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24DE9" w14:textId="580B176B" w:rsidR="00785CA6" w:rsidRPr="00EB6D14" w:rsidRDefault="008B2CA2" w:rsidP="008B2CA2">
      <w:pPr>
        <w:jc w:val="center"/>
        <w:outlineLvl w:val="0"/>
        <w:rPr>
          <w:rFonts w:ascii="Times New Roman" w:hAnsi="Times New Roman" w:cs="Times New Roman"/>
          <w:sz w:val="28"/>
        </w:rPr>
      </w:pPr>
      <w:bookmarkStart w:id="0" w:name="_Hlk8859046"/>
      <w:r w:rsidRPr="00EB6D14">
        <w:rPr>
          <w:rFonts w:ascii="Times New Roman" w:hAnsi="Times New Roman" w:cs="Times New Roman"/>
          <w:sz w:val="28"/>
        </w:rPr>
        <w:t>SALICYLATE-BASED PROTIC IONIC LIQUIDS AS A POTENTIAL ANTIOXIDANT</w:t>
      </w:r>
      <w:r w:rsidR="00785CA6" w:rsidRPr="00EB6D14">
        <w:rPr>
          <w:rFonts w:ascii="Times New Roman" w:hAnsi="Times New Roman" w:cs="Times New Roman"/>
          <w:sz w:val="28"/>
        </w:rPr>
        <w:t xml:space="preserve"> </w:t>
      </w:r>
    </w:p>
    <w:p w14:paraId="3FB24DEA" w14:textId="77777777" w:rsidR="00785CA6" w:rsidRPr="00EB6D14" w:rsidRDefault="00785CA6" w:rsidP="009C4E07">
      <w:pPr>
        <w:jc w:val="center"/>
        <w:outlineLvl w:val="0"/>
        <w:rPr>
          <w:rFonts w:ascii="Times New Roman" w:hAnsi="Times New Roman" w:cs="Times New Roman"/>
          <w:b/>
          <w:sz w:val="24"/>
        </w:rPr>
      </w:pPr>
    </w:p>
    <w:p w14:paraId="3FB24DEB" w14:textId="6A8BD465" w:rsidR="00785CA6" w:rsidRPr="00EB6D14" w:rsidRDefault="00785CA6" w:rsidP="008B2CA2">
      <w:pPr>
        <w:jc w:val="center"/>
        <w:outlineLvl w:val="0"/>
        <w:rPr>
          <w:rFonts w:ascii="Times New Roman" w:hAnsi="Times New Roman" w:cs="Times New Roman"/>
          <w:sz w:val="24"/>
        </w:rPr>
      </w:pPr>
      <w:r w:rsidRPr="00EB6D14">
        <w:rPr>
          <w:rFonts w:ascii="Times New Roman" w:hAnsi="Times New Roman" w:cs="Times New Roman"/>
          <w:sz w:val="24"/>
        </w:rPr>
        <w:t>(</w:t>
      </w:r>
      <w:r w:rsidR="008B2CA2" w:rsidRPr="00EB6D14">
        <w:rPr>
          <w:rFonts w:ascii="Times New Roman" w:hAnsi="Times New Roman" w:cs="Times New Roman"/>
          <w:sz w:val="24"/>
          <w:lang w:val="ms-MY"/>
        </w:rPr>
        <w:t>Cecair Ionik Protik Berasaskan Salisilat Berpotensi Sebagai Antioksida</w:t>
      </w:r>
      <w:r w:rsidRPr="00EB6D14">
        <w:rPr>
          <w:rFonts w:ascii="Times New Roman" w:hAnsi="Times New Roman" w:cs="Times New Roman"/>
          <w:sz w:val="24"/>
        </w:rPr>
        <w:t>)</w:t>
      </w:r>
    </w:p>
    <w:p w14:paraId="3FB24DED" w14:textId="77777777" w:rsidR="00785CA6" w:rsidRPr="00EB6D14" w:rsidRDefault="00785CA6" w:rsidP="00EB6D14">
      <w:pPr>
        <w:outlineLvl w:val="0"/>
        <w:rPr>
          <w:rFonts w:ascii="Times New Roman" w:hAnsi="Times New Roman" w:cs="Times New Roman"/>
          <w:b/>
          <w:szCs w:val="20"/>
        </w:rPr>
      </w:pPr>
    </w:p>
    <w:p w14:paraId="10ADB4EB" w14:textId="77777777" w:rsidR="008B2CA2" w:rsidRPr="00EB6D14" w:rsidRDefault="008B2CA2" w:rsidP="008B2CA2">
      <w:pPr>
        <w:jc w:val="center"/>
        <w:outlineLvl w:val="0"/>
        <w:rPr>
          <w:rFonts w:ascii="Times New Roman" w:hAnsi="Times New Roman" w:cs="Times New Roman"/>
          <w:szCs w:val="20"/>
        </w:rPr>
      </w:pPr>
      <w:r w:rsidRPr="00EB6D14">
        <w:rPr>
          <w:rFonts w:ascii="Times New Roman" w:hAnsi="Times New Roman" w:cs="Times New Roman"/>
          <w:szCs w:val="20"/>
        </w:rPr>
        <w:t xml:space="preserve">Nur </w:t>
      </w:r>
      <w:proofErr w:type="spellStart"/>
      <w:r w:rsidRPr="00EB6D14">
        <w:rPr>
          <w:rFonts w:ascii="Times New Roman" w:hAnsi="Times New Roman" w:cs="Times New Roman"/>
          <w:szCs w:val="20"/>
        </w:rPr>
        <w:t>Afiqah</w:t>
      </w:r>
      <w:proofErr w:type="spellEnd"/>
      <w:r w:rsidRPr="00EB6D14">
        <w:rPr>
          <w:rFonts w:ascii="Times New Roman" w:hAnsi="Times New Roman" w:cs="Times New Roman"/>
          <w:szCs w:val="20"/>
        </w:rPr>
        <w:t xml:space="preserve"> Ahmad</w:t>
      </w:r>
      <w:r w:rsidRPr="00EB6D14">
        <w:rPr>
          <w:rFonts w:ascii="Times New Roman" w:hAnsi="Times New Roman" w:cs="Times New Roman"/>
          <w:szCs w:val="20"/>
          <w:vertAlign w:val="superscript"/>
        </w:rPr>
        <w:t>1</w:t>
      </w:r>
      <w:r w:rsidRPr="00EB6D14">
        <w:rPr>
          <w:rFonts w:ascii="Times New Roman" w:hAnsi="Times New Roman" w:cs="Times New Roman"/>
          <w:szCs w:val="20"/>
        </w:rPr>
        <w:t xml:space="preserve">, </w:t>
      </w:r>
      <w:proofErr w:type="spellStart"/>
      <w:r w:rsidRPr="00EB6D14">
        <w:rPr>
          <w:rFonts w:ascii="Times New Roman" w:hAnsi="Times New Roman" w:cs="Times New Roman"/>
          <w:szCs w:val="20"/>
        </w:rPr>
        <w:t>Khairulazhar</w:t>
      </w:r>
      <w:proofErr w:type="spellEnd"/>
      <w:r w:rsidRPr="00EB6D14">
        <w:rPr>
          <w:rFonts w:ascii="Times New Roman" w:hAnsi="Times New Roman" w:cs="Times New Roman"/>
          <w:szCs w:val="20"/>
        </w:rPr>
        <w:t xml:space="preserve"> Jumbri</w:t>
      </w:r>
      <w:r w:rsidRPr="00EB6D14">
        <w:rPr>
          <w:rFonts w:ascii="Times New Roman" w:hAnsi="Times New Roman" w:cs="Times New Roman"/>
          <w:szCs w:val="20"/>
          <w:vertAlign w:val="superscript"/>
        </w:rPr>
        <w:t>1,2*</w:t>
      </w:r>
      <w:r w:rsidRPr="00EB6D14">
        <w:rPr>
          <w:rFonts w:ascii="Times New Roman" w:hAnsi="Times New Roman" w:cs="Times New Roman"/>
          <w:szCs w:val="20"/>
        </w:rPr>
        <w:t>, Anita Ramli</w:t>
      </w:r>
      <w:r w:rsidRPr="00EB6D14">
        <w:rPr>
          <w:rFonts w:ascii="Times New Roman" w:hAnsi="Times New Roman" w:cs="Times New Roman"/>
          <w:szCs w:val="20"/>
          <w:vertAlign w:val="superscript"/>
        </w:rPr>
        <w:t>1</w:t>
      </w:r>
      <w:r w:rsidRPr="00EB6D14">
        <w:rPr>
          <w:rFonts w:ascii="Times New Roman" w:hAnsi="Times New Roman" w:cs="Times New Roman"/>
          <w:szCs w:val="20"/>
        </w:rPr>
        <w:t>, Noraini Ghani</w:t>
      </w:r>
      <w:r w:rsidRPr="00EB6D14">
        <w:rPr>
          <w:rFonts w:ascii="Times New Roman" w:hAnsi="Times New Roman" w:cs="Times New Roman"/>
          <w:szCs w:val="20"/>
          <w:vertAlign w:val="superscript"/>
        </w:rPr>
        <w:t>1,2</w:t>
      </w:r>
      <w:r w:rsidRPr="00EB6D14">
        <w:rPr>
          <w:rFonts w:ascii="Times New Roman" w:hAnsi="Times New Roman" w:cs="Times New Roman"/>
          <w:szCs w:val="20"/>
        </w:rPr>
        <w:t xml:space="preserve">, </w:t>
      </w:r>
      <w:proofErr w:type="spellStart"/>
      <w:r w:rsidRPr="00EB6D14">
        <w:rPr>
          <w:rFonts w:ascii="Times New Roman" w:hAnsi="Times New Roman" w:cs="Times New Roman"/>
          <w:szCs w:val="20"/>
        </w:rPr>
        <w:t>Haslina</w:t>
      </w:r>
      <w:proofErr w:type="spellEnd"/>
      <w:r w:rsidRPr="00EB6D14">
        <w:rPr>
          <w:rFonts w:ascii="Times New Roman" w:hAnsi="Times New Roman" w:cs="Times New Roman"/>
          <w:szCs w:val="20"/>
        </w:rPr>
        <w:t xml:space="preserve"> Ahmad</w:t>
      </w:r>
      <w:r w:rsidRPr="00EB6D14">
        <w:rPr>
          <w:rFonts w:ascii="Times New Roman" w:hAnsi="Times New Roman" w:cs="Times New Roman"/>
          <w:szCs w:val="20"/>
          <w:vertAlign w:val="superscript"/>
        </w:rPr>
        <w:t>3</w:t>
      </w:r>
    </w:p>
    <w:p w14:paraId="3FB24DF0" w14:textId="77777777" w:rsidR="00785CA6" w:rsidRPr="00EB6D14" w:rsidRDefault="00785CA6" w:rsidP="00785CA6">
      <w:pPr>
        <w:jc w:val="center"/>
        <w:outlineLvl w:val="0"/>
        <w:rPr>
          <w:rFonts w:ascii="Times New Roman" w:hAnsi="Times New Roman" w:cs="Times New Roman"/>
          <w:b/>
          <w:sz w:val="18"/>
          <w:szCs w:val="18"/>
        </w:rPr>
      </w:pPr>
    </w:p>
    <w:p w14:paraId="0E2AA00D" w14:textId="51C8E18B" w:rsidR="008B2CA2" w:rsidRPr="00CD0720" w:rsidRDefault="008B2CA2" w:rsidP="00CD0720">
      <w:pPr>
        <w:pStyle w:val="Addresses"/>
        <w:spacing w:after="0"/>
        <w:ind w:left="0"/>
        <w:jc w:val="center"/>
        <w:rPr>
          <w:rFonts w:ascii="Times New Roman" w:hAnsi="Times New Roman"/>
          <w:i/>
          <w:sz w:val="18"/>
          <w:szCs w:val="18"/>
        </w:rPr>
      </w:pPr>
      <w:r w:rsidRPr="00CD0720">
        <w:rPr>
          <w:rFonts w:ascii="Times New Roman" w:hAnsi="Times New Roman"/>
          <w:i/>
          <w:sz w:val="18"/>
          <w:szCs w:val="18"/>
          <w:vertAlign w:val="superscript"/>
        </w:rPr>
        <w:t>1</w:t>
      </w:r>
      <w:r w:rsidRPr="00CD0720">
        <w:rPr>
          <w:rFonts w:ascii="Times New Roman" w:hAnsi="Times New Roman"/>
          <w:i/>
          <w:sz w:val="18"/>
          <w:szCs w:val="18"/>
        </w:rPr>
        <w:t>Department of Fundamental and Applied Science</w:t>
      </w:r>
      <w:r w:rsidR="00CD0720">
        <w:rPr>
          <w:rFonts w:ascii="Times New Roman" w:hAnsi="Times New Roman"/>
          <w:i/>
          <w:sz w:val="18"/>
          <w:szCs w:val="18"/>
        </w:rPr>
        <w:t>,</w:t>
      </w:r>
      <w:r w:rsidRPr="00CD0720">
        <w:rPr>
          <w:rFonts w:ascii="Times New Roman" w:hAnsi="Times New Roman"/>
          <w:i/>
          <w:sz w:val="18"/>
          <w:szCs w:val="18"/>
        </w:rPr>
        <w:br/>
      </w:r>
      <w:r w:rsidRPr="00CD0720">
        <w:rPr>
          <w:rFonts w:ascii="Times New Roman" w:hAnsi="Times New Roman"/>
          <w:i/>
          <w:sz w:val="18"/>
          <w:szCs w:val="18"/>
          <w:vertAlign w:val="superscript"/>
        </w:rPr>
        <w:t>2</w:t>
      </w:r>
      <w:r w:rsidRPr="00CD0720">
        <w:rPr>
          <w:rFonts w:ascii="Times New Roman" w:hAnsi="Times New Roman"/>
          <w:i/>
          <w:sz w:val="18"/>
          <w:szCs w:val="18"/>
        </w:rPr>
        <w:t>Centre of Research in Ionic Liquids (CORIL)</w:t>
      </w:r>
      <w:r w:rsidR="00E653F6" w:rsidRPr="00CD0720">
        <w:rPr>
          <w:rFonts w:ascii="Times New Roman" w:hAnsi="Times New Roman"/>
          <w:i/>
          <w:sz w:val="18"/>
          <w:szCs w:val="18"/>
        </w:rPr>
        <w:t>,</w:t>
      </w:r>
    </w:p>
    <w:p w14:paraId="67BD04C6" w14:textId="61A55000" w:rsidR="00E653F6" w:rsidRPr="00CD0720" w:rsidRDefault="00CD0720" w:rsidP="00CD0720">
      <w:pPr>
        <w:pStyle w:val="E-mail"/>
        <w:spacing w:after="0"/>
        <w:ind w:left="0"/>
        <w:jc w:val="center"/>
        <w:rPr>
          <w:rFonts w:ascii="Times New Roman" w:hAnsi="Times New Roman"/>
          <w:i/>
          <w:sz w:val="18"/>
          <w:szCs w:val="18"/>
          <w:lang w:val="en-GB"/>
        </w:rPr>
      </w:pPr>
      <w:r w:rsidRPr="00CD0720">
        <w:rPr>
          <w:rFonts w:ascii="Times New Roman" w:hAnsi="Times New Roman"/>
          <w:i/>
          <w:sz w:val="18"/>
          <w:szCs w:val="18"/>
          <w:lang w:val="en-GB"/>
        </w:rPr>
        <w:t>Universiti Teknologi P</w:t>
      </w:r>
      <w:r>
        <w:rPr>
          <w:rFonts w:ascii="Times New Roman" w:hAnsi="Times New Roman"/>
          <w:i/>
          <w:sz w:val="18"/>
          <w:szCs w:val="18"/>
          <w:lang w:val="en-GB"/>
        </w:rPr>
        <w:t>ETRONAS</w:t>
      </w:r>
      <w:r w:rsidRPr="00CD0720">
        <w:rPr>
          <w:rFonts w:ascii="Times New Roman" w:hAnsi="Times New Roman"/>
          <w:i/>
          <w:sz w:val="18"/>
          <w:szCs w:val="18"/>
          <w:lang w:val="en-GB"/>
        </w:rPr>
        <w:t>, 32610 Seri Iskandar, Perak, Malaysia</w:t>
      </w:r>
    </w:p>
    <w:p w14:paraId="23E322D9" w14:textId="5B124385" w:rsidR="00EB6D14" w:rsidRPr="00CD0720" w:rsidRDefault="008B2CA2" w:rsidP="00CD0720">
      <w:pPr>
        <w:pStyle w:val="E-mail"/>
        <w:spacing w:after="0"/>
        <w:ind w:left="0"/>
        <w:jc w:val="center"/>
        <w:rPr>
          <w:rFonts w:ascii="Times New Roman" w:hAnsi="Times New Roman"/>
          <w:i/>
          <w:noProof w:val="0"/>
          <w:sz w:val="18"/>
          <w:szCs w:val="18"/>
          <w:lang w:val="en-GB"/>
        </w:rPr>
      </w:pPr>
      <w:r w:rsidRPr="00CD0720">
        <w:rPr>
          <w:rFonts w:ascii="Times New Roman" w:hAnsi="Times New Roman"/>
          <w:i/>
          <w:noProof w:val="0"/>
          <w:sz w:val="18"/>
          <w:szCs w:val="18"/>
          <w:vertAlign w:val="superscript"/>
          <w:lang w:val="en-GB"/>
        </w:rPr>
        <w:t>3</w:t>
      </w:r>
      <w:r w:rsidRPr="00CD0720">
        <w:rPr>
          <w:rFonts w:ascii="Times New Roman" w:hAnsi="Times New Roman"/>
          <w:i/>
          <w:noProof w:val="0"/>
          <w:sz w:val="18"/>
          <w:szCs w:val="18"/>
          <w:lang w:val="en-GB"/>
        </w:rPr>
        <w:t>Department of Chemistry,</w:t>
      </w:r>
    </w:p>
    <w:p w14:paraId="144AD569" w14:textId="66B53BED" w:rsidR="008B2CA2" w:rsidRPr="00CD0720" w:rsidRDefault="008B2CA2" w:rsidP="00CD0720">
      <w:pPr>
        <w:pStyle w:val="E-mail"/>
        <w:spacing w:after="0"/>
        <w:ind w:left="0"/>
        <w:jc w:val="center"/>
        <w:rPr>
          <w:rFonts w:ascii="Times New Roman" w:hAnsi="Times New Roman"/>
          <w:i/>
          <w:noProof w:val="0"/>
          <w:sz w:val="18"/>
          <w:szCs w:val="18"/>
          <w:lang w:val="en-GB"/>
        </w:rPr>
      </w:pPr>
      <w:r w:rsidRPr="00CD0720">
        <w:rPr>
          <w:rFonts w:ascii="Times New Roman" w:hAnsi="Times New Roman"/>
          <w:i/>
          <w:noProof w:val="0"/>
          <w:sz w:val="18"/>
          <w:szCs w:val="18"/>
          <w:lang w:val="en-GB"/>
        </w:rPr>
        <w:t>Faculty of Science, Universiti Putra Malaysia, 43400, Serdang, Selangor</w:t>
      </w:r>
      <w:r w:rsidR="00CD0720" w:rsidRPr="00CD0720">
        <w:rPr>
          <w:rFonts w:ascii="Times New Roman" w:hAnsi="Times New Roman"/>
          <w:i/>
          <w:noProof w:val="0"/>
          <w:sz w:val="18"/>
          <w:szCs w:val="18"/>
          <w:lang w:val="en-GB"/>
        </w:rPr>
        <w:t>, Malaysia</w:t>
      </w:r>
    </w:p>
    <w:p w14:paraId="3FB24DF5" w14:textId="77777777" w:rsidR="00A415C1" w:rsidRPr="00CD0720" w:rsidRDefault="00A415C1" w:rsidP="00785CA6">
      <w:pPr>
        <w:jc w:val="center"/>
        <w:outlineLvl w:val="0"/>
        <w:rPr>
          <w:rFonts w:ascii="Times New Roman" w:hAnsi="Times New Roman" w:cs="Times New Roman"/>
          <w:b/>
          <w:i/>
          <w:sz w:val="18"/>
          <w:szCs w:val="18"/>
        </w:rPr>
      </w:pPr>
    </w:p>
    <w:p w14:paraId="3FB24DF6" w14:textId="1E1D3295" w:rsidR="00A415C1" w:rsidRPr="00EB6D14" w:rsidRDefault="00A415C1" w:rsidP="00A415C1">
      <w:pPr>
        <w:jc w:val="center"/>
        <w:outlineLvl w:val="0"/>
        <w:rPr>
          <w:rFonts w:ascii="Times New Roman" w:hAnsi="Times New Roman" w:cs="Times New Roman"/>
          <w:i/>
          <w:sz w:val="18"/>
        </w:rPr>
      </w:pPr>
      <w:r w:rsidRPr="00EB6D14">
        <w:rPr>
          <w:rFonts w:ascii="Times New Roman" w:hAnsi="Times New Roman" w:cs="Times New Roman"/>
          <w:i/>
          <w:sz w:val="18"/>
          <w:vertAlign w:val="superscript"/>
        </w:rPr>
        <w:t>*</w:t>
      </w:r>
      <w:r w:rsidRPr="00EB6D14">
        <w:rPr>
          <w:rFonts w:ascii="Times New Roman" w:hAnsi="Times New Roman" w:cs="Times New Roman"/>
          <w:i/>
          <w:sz w:val="18"/>
        </w:rPr>
        <w:t xml:space="preserve">Corresponding author: </w:t>
      </w:r>
      <w:r w:rsidR="008B2CA2" w:rsidRPr="00EB6D14">
        <w:rPr>
          <w:rFonts w:ascii="Times New Roman" w:hAnsi="Times New Roman" w:cs="Times New Roman"/>
          <w:i/>
          <w:sz w:val="18"/>
        </w:rPr>
        <w:t>khairulazhar.jumbri@utp.edu.my</w:t>
      </w:r>
    </w:p>
    <w:p w14:paraId="3FB24DF8" w14:textId="77777777" w:rsidR="009C4E07" w:rsidRPr="00EB6D14" w:rsidRDefault="009C4E07" w:rsidP="00EB6D14">
      <w:pPr>
        <w:outlineLvl w:val="0"/>
        <w:rPr>
          <w:rFonts w:ascii="Times New Roman" w:hAnsi="Times New Roman" w:cs="Times New Roman"/>
          <w:b/>
          <w:sz w:val="18"/>
          <w:szCs w:val="18"/>
        </w:rPr>
      </w:pPr>
    </w:p>
    <w:p w14:paraId="3FB24DF9" w14:textId="77777777" w:rsidR="00785CA6" w:rsidRPr="00EB6D14" w:rsidRDefault="00785CA6" w:rsidP="00785CA6">
      <w:pPr>
        <w:jc w:val="center"/>
        <w:outlineLvl w:val="0"/>
        <w:rPr>
          <w:rFonts w:ascii="Times New Roman" w:hAnsi="Times New Roman" w:cs="Times New Roman"/>
          <w:b/>
          <w:sz w:val="18"/>
          <w:szCs w:val="18"/>
        </w:rPr>
      </w:pPr>
      <w:r w:rsidRPr="00EB6D14">
        <w:rPr>
          <w:rFonts w:ascii="Times New Roman" w:hAnsi="Times New Roman" w:cs="Times New Roman"/>
          <w:b/>
          <w:sz w:val="18"/>
          <w:szCs w:val="18"/>
        </w:rPr>
        <w:t>Abstract</w:t>
      </w:r>
    </w:p>
    <w:p w14:paraId="48343357" w14:textId="77777777" w:rsidR="00EB6D14" w:rsidRDefault="00C02D48" w:rsidP="00EB6D14">
      <w:pPr>
        <w:pStyle w:val="Abstract"/>
        <w:spacing w:after="0"/>
        <w:ind w:left="0"/>
        <w:rPr>
          <w:rFonts w:ascii="Times New Roman" w:hAnsi="Times New Roman"/>
          <w:color w:val="auto"/>
          <w:sz w:val="18"/>
          <w:szCs w:val="18"/>
        </w:rPr>
      </w:pPr>
      <w:r w:rsidRPr="00EB6D14">
        <w:rPr>
          <w:rFonts w:ascii="Times New Roman" w:hAnsi="Times New Roman"/>
          <w:color w:val="auto"/>
          <w:sz w:val="18"/>
          <w:szCs w:val="18"/>
        </w:rPr>
        <w:t>Salicylate-based protic ionic liquids (PILs) were synthesised, characterised and assessed in this study for potential antioxidant in drug design. The synthesised PILs were known as 3-dimethylamino-1-propanol salicylate (3DMAPS) and 3-diethylamino-1-propanol salicylate (3DEAPS). Proton nuclear magnetic resonance (</w:t>
      </w:r>
      <w:r w:rsidRPr="00EB6D14">
        <w:rPr>
          <w:rFonts w:ascii="Times New Roman" w:hAnsi="Times New Roman"/>
          <w:color w:val="auto"/>
          <w:sz w:val="18"/>
          <w:szCs w:val="18"/>
          <w:vertAlign w:val="superscript"/>
        </w:rPr>
        <w:t>1</w:t>
      </w:r>
      <w:r w:rsidRPr="00EB6D14">
        <w:rPr>
          <w:rFonts w:ascii="Times New Roman" w:hAnsi="Times New Roman"/>
          <w:color w:val="auto"/>
          <w:sz w:val="18"/>
          <w:szCs w:val="18"/>
        </w:rPr>
        <w:t>HNMR), Fourier transformation infrared spectroscopy (FTIR) and thermogravimetric analysis (TGA) were used to characterise the synthesised PILs. Furthermore, the antioxidant activity of the synthesised PILs was determined using the 2,2-diphenyl-1-picrylhydrazyl (DPPH) free radical assay. Both 3DMAPS and 3DEAPS showed a good antioxidant activity compared to parent acid (salicylic acid) as these two compounds could scavenge 20% of DPPH free radical at a concentration of 66.76 ± 0.09 µM and 27.27 ± 0.10 µM, respectively.</w:t>
      </w:r>
    </w:p>
    <w:p w14:paraId="3C99775E" w14:textId="77777777" w:rsidR="00EB6D14" w:rsidRDefault="00EB6D14" w:rsidP="00EB6D14">
      <w:pPr>
        <w:pStyle w:val="Abstract"/>
        <w:spacing w:after="0"/>
        <w:ind w:left="0"/>
        <w:rPr>
          <w:rFonts w:ascii="Times New Roman" w:hAnsi="Times New Roman"/>
          <w:b/>
          <w:color w:val="auto"/>
          <w:sz w:val="18"/>
          <w:szCs w:val="18"/>
        </w:rPr>
      </w:pPr>
    </w:p>
    <w:p w14:paraId="740DD9B6" w14:textId="5FA0F30F" w:rsidR="00160686" w:rsidRPr="00EB6D14" w:rsidRDefault="00785CA6" w:rsidP="00EB6D14">
      <w:pPr>
        <w:pStyle w:val="Abstract"/>
        <w:spacing w:after="0"/>
        <w:ind w:left="0"/>
        <w:rPr>
          <w:rFonts w:ascii="Times New Roman" w:hAnsi="Times New Roman"/>
          <w:color w:val="auto"/>
          <w:sz w:val="18"/>
          <w:szCs w:val="18"/>
        </w:rPr>
      </w:pPr>
      <w:r w:rsidRPr="00EB6D14">
        <w:rPr>
          <w:rFonts w:ascii="Times New Roman" w:hAnsi="Times New Roman"/>
          <w:b/>
          <w:color w:val="auto"/>
          <w:sz w:val="18"/>
          <w:szCs w:val="18"/>
        </w:rPr>
        <w:t>Keyword</w:t>
      </w:r>
      <w:r w:rsidR="009C4E07" w:rsidRPr="00EB6D14">
        <w:rPr>
          <w:rFonts w:ascii="Times New Roman" w:hAnsi="Times New Roman"/>
          <w:b/>
          <w:color w:val="auto"/>
          <w:sz w:val="18"/>
          <w:szCs w:val="18"/>
        </w:rPr>
        <w:t>s</w:t>
      </w:r>
      <w:r w:rsidRPr="00EB6D14">
        <w:rPr>
          <w:rFonts w:ascii="Times New Roman" w:hAnsi="Times New Roman"/>
          <w:b/>
          <w:color w:val="auto"/>
          <w:sz w:val="18"/>
          <w:szCs w:val="18"/>
        </w:rPr>
        <w:t>:</w:t>
      </w:r>
      <w:r w:rsidRPr="00EB6D14">
        <w:rPr>
          <w:rFonts w:ascii="Times New Roman" w:hAnsi="Times New Roman"/>
          <w:color w:val="auto"/>
        </w:rPr>
        <w:t xml:space="preserve"> </w:t>
      </w:r>
      <w:r w:rsidR="00160686" w:rsidRPr="00EB6D14">
        <w:rPr>
          <w:rFonts w:ascii="Times New Roman" w:hAnsi="Times New Roman"/>
          <w:color w:val="auto"/>
          <w:sz w:val="18"/>
        </w:rPr>
        <w:t>protic ionic liquids, salicylic acid, radical scavenging, free radical, DPPH assays</w:t>
      </w:r>
    </w:p>
    <w:p w14:paraId="3FB24DFD" w14:textId="06227C79" w:rsidR="00785CA6" w:rsidRPr="00EB6D14" w:rsidRDefault="00785CA6" w:rsidP="00160686">
      <w:pPr>
        <w:outlineLvl w:val="0"/>
        <w:rPr>
          <w:rFonts w:ascii="Times New Roman" w:hAnsi="Times New Roman" w:cs="Times New Roman"/>
          <w:b/>
          <w:sz w:val="18"/>
          <w:szCs w:val="18"/>
        </w:rPr>
      </w:pPr>
    </w:p>
    <w:p w14:paraId="3FB24DFE" w14:textId="77777777" w:rsidR="00785CA6" w:rsidRPr="00EB6D14" w:rsidRDefault="00785CA6" w:rsidP="00EB6D14">
      <w:pPr>
        <w:jc w:val="center"/>
        <w:outlineLvl w:val="0"/>
        <w:rPr>
          <w:rFonts w:ascii="Times New Roman" w:hAnsi="Times New Roman" w:cs="Times New Roman"/>
          <w:b/>
          <w:sz w:val="18"/>
          <w:szCs w:val="18"/>
          <w:lang w:val="ms-MY"/>
        </w:rPr>
      </w:pPr>
      <w:r w:rsidRPr="00EB6D14">
        <w:rPr>
          <w:rFonts w:ascii="Times New Roman" w:hAnsi="Times New Roman" w:cs="Times New Roman"/>
          <w:b/>
          <w:sz w:val="18"/>
          <w:szCs w:val="18"/>
          <w:lang w:val="ms-MY"/>
        </w:rPr>
        <w:t>Abstrak</w:t>
      </w:r>
    </w:p>
    <w:p w14:paraId="3FB24E00" w14:textId="4FA5C845" w:rsidR="00785CA6" w:rsidRPr="00EB6D14" w:rsidRDefault="00347ECA" w:rsidP="00EB6D14">
      <w:pPr>
        <w:rPr>
          <w:rFonts w:ascii="Times New Roman" w:hAnsi="Times New Roman" w:cs="Times New Roman"/>
          <w:sz w:val="18"/>
          <w:lang w:val="ms-MY"/>
        </w:rPr>
      </w:pPr>
      <w:r w:rsidRPr="00EB6D14">
        <w:rPr>
          <w:rFonts w:ascii="Times New Roman" w:hAnsi="Times New Roman" w:cs="Times New Roman"/>
          <w:sz w:val="18"/>
          <w:lang w:val="ms-MY"/>
        </w:rPr>
        <w:t>Cecair ionik protik (PILs) berasaskan salisilat disintesis, dicirikan dan dinilai untuk potensi antioksidan dalam reka bentuk dadah. Dua PILs iaitu 3-dimetilamino-1-propanol salisilat (3DMAPS) dan 3-diethilamino-1-propanol salisilat (3DEAPS) telah berjaya disintesis. Proton resonans magnet</w:t>
      </w:r>
      <w:r w:rsidR="00EB6D14">
        <w:rPr>
          <w:rFonts w:ascii="Times New Roman" w:hAnsi="Times New Roman" w:cs="Times New Roman"/>
          <w:sz w:val="18"/>
          <w:lang w:val="ms-MY"/>
        </w:rPr>
        <w:t>ik</w:t>
      </w:r>
      <w:r w:rsidRPr="00EB6D14">
        <w:rPr>
          <w:rFonts w:ascii="Times New Roman" w:hAnsi="Times New Roman" w:cs="Times New Roman"/>
          <w:sz w:val="18"/>
          <w:lang w:val="ms-MY"/>
        </w:rPr>
        <w:t xml:space="preserve"> nuklear (</w:t>
      </w:r>
      <w:r w:rsidRPr="00EB6D14">
        <w:rPr>
          <w:rFonts w:ascii="Times New Roman" w:hAnsi="Times New Roman" w:cs="Times New Roman"/>
          <w:sz w:val="18"/>
          <w:vertAlign w:val="superscript"/>
          <w:lang w:val="ms-MY"/>
        </w:rPr>
        <w:t>1</w:t>
      </w:r>
      <w:r w:rsidRPr="00EB6D14">
        <w:rPr>
          <w:rFonts w:ascii="Times New Roman" w:hAnsi="Times New Roman" w:cs="Times New Roman"/>
          <w:sz w:val="18"/>
          <w:lang w:val="ms-MY"/>
        </w:rPr>
        <w:t xml:space="preserve">HNMR), spektroskopi </w:t>
      </w:r>
      <w:r w:rsidR="00EB6D14" w:rsidRPr="00EB6D14">
        <w:rPr>
          <w:rFonts w:ascii="Times New Roman" w:hAnsi="Times New Roman" w:cs="Times New Roman"/>
          <w:sz w:val="18"/>
          <w:lang w:val="ms-MY"/>
        </w:rPr>
        <w:t>transformasi</w:t>
      </w:r>
      <w:r w:rsidR="00EB6D14" w:rsidRPr="00EB6D14">
        <w:rPr>
          <w:rFonts w:ascii="Times New Roman" w:hAnsi="Times New Roman" w:cs="Times New Roman"/>
          <w:sz w:val="18"/>
          <w:lang w:val="ms-MY"/>
        </w:rPr>
        <w:t xml:space="preserve"> </w:t>
      </w:r>
      <w:r w:rsidRPr="00EB6D14">
        <w:rPr>
          <w:rFonts w:ascii="Times New Roman" w:hAnsi="Times New Roman" w:cs="Times New Roman"/>
          <w:sz w:val="18"/>
          <w:lang w:val="ms-MY"/>
        </w:rPr>
        <w:t>inframerah (FTIR) dan analisis termogravimetrik (TGA) digunakan untuk pencirian PIL yang di</w:t>
      </w:r>
      <w:r w:rsidR="00EB6D14">
        <w:rPr>
          <w:rFonts w:ascii="Times New Roman" w:hAnsi="Times New Roman" w:cs="Times New Roman"/>
          <w:sz w:val="18"/>
          <w:lang w:val="ms-MY"/>
        </w:rPr>
        <w:t xml:space="preserve"> sintesis</w:t>
      </w:r>
      <w:r w:rsidRPr="00EB6D14">
        <w:rPr>
          <w:rFonts w:ascii="Times New Roman" w:hAnsi="Times New Roman" w:cs="Times New Roman"/>
          <w:sz w:val="18"/>
          <w:lang w:val="ms-MY"/>
        </w:rPr>
        <w:t xml:space="preserve">. Tambahan pula, aktiviti antioksidan PIL ditentukan dengan menggunakan ujian radikal bebas 2,2-difenil-1-pikrilhidrazil (DPPH). Kedua-dua 3DMAPS dan 3DEAPS </w:t>
      </w:r>
      <w:r w:rsidRPr="00EB6D14">
        <w:rPr>
          <w:rFonts w:ascii="Times New Roman" w:hAnsi="Times New Roman" w:cs="Times New Roman"/>
          <w:sz w:val="18"/>
          <w:lang w:val="ms-MY"/>
        </w:rPr>
        <w:br/>
        <w:t xml:space="preserve">menunjukkan aktiviti antioksidan yang baik berbanding dengan asid induk (asid salisilat) kerana kedua-dua sebatian ini </w:t>
      </w:r>
      <w:r w:rsidRPr="00EB6D14">
        <w:rPr>
          <w:rFonts w:ascii="Times New Roman" w:hAnsi="Times New Roman" w:cs="Times New Roman"/>
          <w:sz w:val="18"/>
          <w:lang w:val="ms-MY"/>
        </w:rPr>
        <w:br/>
        <w:t xml:space="preserve">boleh membakar 20% radikal bebas DPPH </w:t>
      </w:r>
      <w:r w:rsidR="00EB6D14">
        <w:rPr>
          <w:rFonts w:ascii="Times New Roman" w:hAnsi="Times New Roman" w:cs="Times New Roman"/>
          <w:sz w:val="18"/>
          <w:lang w:val="ms-MY"/>
        </w:rPr>
        <w:t xml:space="preserve">masing-masing </w:t>
      </w:r>
      <w:r w:rsidRPr="00EB6D14">
        <w:rPr>
          <w:rFonts w:ascii="Times New Roman" w:hAnsi="Times New Roman" w:cs="Times New Roman"/>
          <w:sz w:val="18"/>
          <w:lang w:val="ms-MY"/>
        </w:rPr>
        <w:t>pada kepekatan 66.76 ± 0.09 μM dan 27.27 ± 0.10 μM</w:t>
      </w:r>
      <w:r w:rsidR="00EB6D14">
        <w:rPr>
          <w:rFonts w:ascii="Times New Roman" w:hAnsi="Times New Roman" w:cs="Times New Roman"/>
          <w:sz w:val="18"/>
          <w:lang w:val="ms-MY"/>
        </w:rPr>
        <w:t>.</w:t>
      </w:r>
    </w:p>
    <w:p w14:paraId="0A94B499" w14:textId="77777777" w:rsidR="00347ECA" w:rsidRPr="00EB6D14" w:rsidRDefault="00347ECA" w:rsidP="00EB6D14">
      <w:pPr>
        <w:rPr>
          <w:rFonts w:ascii="Times New Roman" w:hAnsi="Times New Roman" w:cs="Times New Roman"/>
          <w:sz w:val="18"/>
          <w:lang w:val="ms-MY"/>
        </w:rPr>
      </w:pPr>
    </w:p>
    <w:p w14:paraId="3FB24E04" w14:textId="2B3A5DDA" w:rsidR="00785CA6" w:rsidRPr="00EB6D14" w:rsidRDefault="00785CA6" w:rsidP="00EB6D14">
      <w:pPr>
        <w:rPr>
          <w:rFonts w:ascii="Times New Roman" w:hAnsi="Times New Roman" w:cs="Times New Roman"/>
          <w:sz w:val="18"/>
          <w:lang w:val="ms-MY"/>
        </w:rPr>
      </w:pPr>
      <w:r w:rsidRPr="00EB6D14">
        <w:rPr>
          <w:rFonts w:ascii="Times New Roman" w:hAnsi="Times New Roman" w:cs="Times New Roman"/>
          <w:b/>
          <w:sz w:val="18"/>
          <w:lang w:val="ms-MY"/>
        </w:rPr>
        <w:t>Kata kunci:</w:t>
      </w:r>
      <w:r w:rsidRPr="00EB6D14">
        <w:rPr>
          <w:rFonts w:ascii="Times New Roman" w:hAnsi="Times New Roman" w:cs="Times New Roman"/>
          <w:sz w:val="18"/>
          <w:lang w:val="ms-MY"/>
        </w:rPr>
        <w:t xml:space="preserve"> </w:t>
      </w:r>
      <w:r w:rsidR="00347ECA" w:rsidRPr="00EB6D14">
        <w:rPr>
          <w:rFonts w:ascii="Times New Roman" w:hAnsi="Times New Roman" w:cs="Times New Roman"/>
          <w:sz w:val="18"/>
          <w:lang w:val="ms-MY"/>
        </w:rPr>
        <w:t>cecair ionic protik, asid salisilik, perangkap radikal, radikal bebas, ujian DPPH</w:t>
      </w:r>
    </w:p>
    <w:p w14:paraId="3FB24E05" w14:textId="77777777" w:rsidR="003F3701" w:rsidRPr="00EB6D14" w:rsidRDefault="003F3701" w:rsidP="00EB6D14">
      <w:pPr>
        <w:outlineLvl w:val="0"/>
        <w:rPr>
          <w:rFonts w:ascii="Times New Roman" w:hAnsi="Times New Roman" w:cs="Times New Roman"/>
          <w:b/>
          <w:szCs w:val="20"/>
        </w:rPr>
      </w:pPr>
    </w:p>
    <w:p w14:paraId="3FB24E06" w14:textId="77777777" w:rsidR="00785CA6" w:rsidRPr="00EB6D14" w:rsidRDefault="00785CA6" w:rsidP="00785CA6">
      <w:pPr>
        <w:jc w:val="center"/>
        <w:outlineLvl w:val="0"/>
        <w:rPr>
          <w:rFonts w:ascii="Times New Roman" w:hAnsi="Times New Roman" w:cs="Times New Roman"/>
          <w:b/>
        </w:rPr>
      </w:pPr>
      <w:r w:rsidRPr="00EB6D14">
        <w:rPr>
          <w:rFonts w:ascii="Times New Roman" w:hAnsi="Times New Roman" w:cs="Times New Roman"/>
          <w:b/>
        </w:rPr>
        <w:t>Introduction</w:t>
      </w:r>
    </w:p>
    <w:p w14:paraId="2CF146A8" w14:textId="77777777" w:rsidR="00EB6D14" w:rsidRDefault="00C02D48" w:rsidP="00EB6D14">
      <w:pPr>
        <w:pStyle w:val="Bodytext"/>
        <w:rPr>
          <w:rFonts w:ascii="Times New Roman" w:hAnsi="Times New Roman"/>
          <w:color w:val="auto"/>
          <w:sz w:val="20"/>
          <w:szCs w:val="20"/>
          <w:lang w:val="en-GB"/>
        </w:rPr>
      </w:pPr>
      <w:r w:rsidRPr="00EB6D14">
        <w:rPr>
          <w:rFonts w:ascii="Times New Roman" w:hAnsi="Times New Roman"/>
          <w:color w:val="auto"/>
          <w:sz w:val="20"/>
          <w:szCs w:val="20"/>
          <w:lang w:val="en-GB"/>
        </w:rPr>
        <w:t xml:space="preserve">Ionic liquid (IL) is a molten salt with a melting point below 100 °C. This compound can exist as a liquid or solid form at room temperature </w:t>
      </w:r>
      <w:r w:rsidR="00FB57ED"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{"citationItems":[{"id":"ITEM-1","itemData":{"ISBN":"9781847551610","author":[{"dropping-particle":"","family":"Freemantle","given":"M","non-dropping-particle":"","parse-names":false,"suffix":""}],"id":"ITEM-1","issued":{"date-parts":[["2010"]]},"publisher":"Royal Society of Chemistry","title":"An Introduction to Ionic Liquids","type":"book"},"uris":["http://www.mendeley.com/documents/?uuid=e90055ba-7299-4714-87f4-519d5f6ce814"]}],"mendeley":{"formattedCitation":"[1]","manualFormatting":"[1]","plainTextFormattedCitation":"[1]","previouslyFormattedCitation":"[1]"},"properties":{"noteIndex":0},"schema":"https://github.com/citation-style-language/schema/raw/master/csl-citation.json"}</w:instrText>
      </w:r>
      <w:r w:rsidR="00FB57ED"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[1]</w:t>
      </w:r>
      <w:r w:rsidR="00FB57ED"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Furthermore, IL is also known as ‘green solvent’ due to negligible vapour pressure</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{"citationItems":[{"id":"ITEM-1","itemData":{"DOI":"10.1039/c1fd00071c","ISSN":"13596640","abstract":"A series of new protic compds. based on active pharmaceutical ingredients was prepd. and characterized. Some of the salts synthesized produced ionic liqs., while others that were assocd. with rigid mol. structures tended to produce high m.ps. The protonic behavior of these compds. was found to be a major determinant of their properties. Indicator studies, FT-IR-ATR and transport properties (Walden plot) were used to probe the extent of proton transfer and ion assocn. in these ionic liqs. While proton transfer was shown to have taken place in all cases, the Walden plot indicated strong ion assocn. in the primary amine based examples due to hydrogen bonding. This was further explored by the crystal structure detn. of related compds., which showed that extended hydrogen bonded clusters tend to form in these salts. These clusters may dictate membrane transport properties of these compds. in vivo. The synthesis of the target compds. was achieved using tricyclo[3.3.1.13,7]decan-1-amine (amantadine), benzoic acid, salicylic acid, 2,5-dihydroxybenzoic acid (gentisic acid), 2-heptanamine (tuaminooheptane), 1-pyrrolidineethanol as starting materials. The title compds. thus formed included 2-heptanamine benzoate (1:1), 2-heptanamine benzoate (1:2) dibenzoate, tricyclo[3.3.1.13,7]decan-1-amine benzoate (1:1), 1-pyrrolidineethanol benzoate (1:1) and related substances. [on SciFinder(R)]","author":[{"dropping-particle":"","family":"Stoimenovski","given":"Jelena","non-dropping-particle":"","parse-names":false,"suffix":""},{"dropping-particle":"","family":"Dean","given":"Pamela M.","non-dropping-particle":"","parse-names":false,"suffix":""},{"dropping-particle":"","family":"Izgorodina","given":"Ekaterina I.","non-dropping-particle":"","parse-names":false,"suffix":""},{"dropping-particle":"","family":"MacFarlane","given":"Douglas R.","non-dropping-particle":"","parse-names":false,"suffix":""}],"container-title":"Faraday Discussions","id":"ITEM-1","issued":{"date-parts":[["2012"]]},"page":"335-352","title":"Protic pharmaceutical ionic liquids and solids: Aspects of protonics","type":"article-journal","volume":"154"},"uris":["http://www.mendeley.com/documents/?uuid=d348213b-efba-44d5-986f-5c4e2b6010de"]}],"mendeley":{"formattedCitation":"[2]","plainTextFormattedCitation":"[2]","previouslyFormattedCitation":"[2]"},"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[2]</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 xml:space="preserve">A growing trend has been seen in the development of IL in various applications such as organic synthesis, biocatalysis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{"citationItems":[{"id":"ITEM-1","itemData":{"DOI":"10.1016/j.enzmictec.2005.02.014","ISSN":"01410229","abstract":"Ionic liquids hold potential as green solvents because of their lack of vapour pressure, and are opening up a burgeoningly new field of nonaqueous enzymology. As compared to those observed in conventional organic solvents, enzymes in ionic liquids have presented enhanced activity, stability, and selectivity. Advantages of using ionic liquids over the use of normal organic solvents as reaction medium for biocatalysis also include their high ability of dissolving a wide variety of substrates, especially those highly polar ones, and their widely tunable solvent properties through appropriate modification of the cations and anions. In this review, we discuss the solvent properties of ionic liquids, their effects on enzyme performance such as activity, stability and selectivity, and their applications in biocatalysis. © 2005 Elsevier Inc. All rights reserved.","author":[{"dropping-particle":"","family":"Yang","given":"Zhen","non-dropping-particle":"","parse-names":false,"suffix":""},{"dropping-particle":"","family":"Pan","given":"Wubin","non-dropping-particle":"","parse-names":false,"suffix":""}],"container-title":"Enzyme and Microbial Technology","id":"ITEM-1","issue":"1","issued":{"date-parts":[["2005"]]},"page":"19-28","title":"Ionic liquids: Green solvents for nonaqueous biocatalysis","type":"article-journal","volume":"37"},"uris":["http://www.mendeley.com/documents/?uuid=b3bf3ae5-0e83-41e7-8ad6-99dd7d64d06f"]}],"mendeley":{"formattedCitation":"[3]","plainTextFormattedCitation":"[3]","previouslyFormattedCitation":"[3]"},"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[3]</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electrochemistry</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{"citationItems":[{"id":"ITEM-1","itemData":{"DOI":"10.1039/c6ra23056c","ISSN":"20462069","abstract":"This journal is © The Royal Society of Chemistry. Phosphonium-based Ionic Liquids (PhosILs) with natural organic derived anions (l-lactate, l-tartrate, malonate, succinate, l-malate, pyruvate, d-glucuronate, d-galacturonate, ferulate, p-coumarate) were easily prepared by acid-base method from tetrabutylphosphonium hydroxide and an excess of the corresponding acid with good yields. Their characterization was realized through classical NMR, IR and elemental analysis techniques; their viscosity and ATG parameters were also determined. These ionic liquids showed good performance and recyclability in the selective Pd-catalyzed hydrogenation of alkenes, polyenes like linoleic acid and enantioselective hydrogenation of unsaturated ketones such as isophorone at room temperature under atmospheric H 2 pressure. Furthermore, NMR studies leading to computational calculations were performed to establish easily the composition of the resulting mixture obtained through the hydrogenation of linoleic acid.","author":[{"dropping-particle":"","family":"Hayouni","given":"Safa","non-dropping-particle":"","parse-names":false,"suffix":""},{"dropping-particle":"","family":"Robert","given":"Anthony","non-dropping-particle":"","parse-names":false,"suffix":""},{"dropping-particle":"","family":"Ferlin","given":"Nadège","non-dropping-particle":"","parse-names":false,"suffix":""},{"dropping-particle":"","family":"Amri","given":"Hassen","non-dropping-particle":"","parse-names":false,"suffix":""},{"dropping-particle":"","family":"Bouquillon","given":"Sandrine","non-dropping-particle":"","parse-names":false,"suffix":""}],"container-title":"RSC Advances","id":"ITEM-1","issue":"114","issued":{"date-parts":[["2016"]]},"page":"113583-113595","title":"New biobased tetrabutylphosphonium ionic liquids: Synthesis, characterization and use as a solvent or co-solvent for mild and greener Pd-catalyzed hydrogenation processes","type":"article-journal","volume":"6"},"uris":["http://www.mendeley.com/documents/?uuid=2681f669-e6b8-4285-8ac4-1226608ca6f4"]}],"mendeley":{"formattedCitation":"[4]","plainTextFormattedCitation":"[4]","previouslyFormattedCitation":"[4]"},"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[4]</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extraction</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{"citationItems":[{"id":"ITEM-1","itemData":{"DOI":"10.1021/es0158004","ISBN":"0013-936X","ISSN":"0013936X","abstract":"A series of hydrophobic task-specific ionic liquids designed to extract Hg2+ and Cd2+ from water were prepared by appending urea-, thiourea-, and thioether-substituted alkyl groups to imidazoles and combining the resulting cationic species with PF6-. The new ionic liquids were characterized and investigated for their metal ion extraction capabilities. When used in liquid/liquid extraction of Hg2+ and Cd2+ from aqueous solutions, the metal ion distribution ratios increased several orders of magnitude, regardless of whether the ionic liquids were used as the sole extracting phase or doped into a series of [1-alkyl-3-methylimidazolium][PF6] (alkyl = n-C4-C8) ionic liquids to form a 1:1 solution. In the 1:1 mixtures, as the length of the alkyl chain increased from butyl to hexyl to octyl, the metal ion distribution ratios increased. Increasing the ratio TSIL/[C4mim][PF6] resulted in higher distribution ratios for both Hg2+ and Cd2+. Overall, the thiourea- and urea-derivatized cations yielded the highest distribution ratios, and those for Hg2+ were higher than those for Cd2+; however, a change in aqueous-phase pH does not promote the stripping of metal ions from the extracting phase. The combination of these imidazolium cations and PF6- produced ionic liquids with decreased thermal stability in comparison to [C(n)mim]-[PF6]. Gaussian98 restricted Hartree-Fock geometry optimizations for one of the thiourea-appended cations shows the charge delocalization around the ring and suggests that the thiourea group may aid in deprotonating the imidazolium ring and may be responsible for the lowered thermal stability of these cations.","author":[{"dropping-particle":"","family":"Visser","given":"Ann E.","non-dropping-particle":"","parse-names":false,"suffix":""},{"dropping-particle":"","family":"Swatloski","given":"Richard P.","non-dropping-particle":"","parse-names":false,"suffix":""},{"dropping-particle":"","family":"Reichert","given":"W. Matthew","non-dropping-particle":"","parse-names":false,"suffix":""},{"dropping-particle":"","family":"Mayton","given":"Rebecca","non-dropping-particle":"","parse-names":false,"suffix":""},{"dropping-particle":"","family":"Sheff","given":"Sean","non-dropping-particle":"","parse-names":false,"suffix":""},{"dropping-particle":"","family":"Wierzbicki","given":"Andrzej","non-dropping-particle":"","parse-names":false,"suffix":""},{"dropping-particle":"","family":"Davis","given":"James H.","non-dropping-particle":"","parse-names":false,"suffix":""},{"dropping-particle":"","family":"Rogers","given":"Robin D.","non-dropping-particle":"","parse-names":false,"suffix":""}],"container-title":"Environmental Science and Technology","id":"ITEM-1","issue":"11","issued":{"date-parts":[["2002"]]},"page":"2523-2529","title":"Task-specific ionic liquids incorporating novel cations for the coordination and extraction of Hg2+ and Cd2+: Synthesis, characterization, and extraction studies","type":"article-journal","volume":"36"},"uris":["http://www.mendeley.com/documents/?uuid=ef0ba41d-38e5-47c6-ba6c-921bea18663d"]}],"mendeley":{"formattedCitation":"[5]","plainTextFormattedCitation":"[5]","previouslyFormattedCitation":"[5]"},"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[5]</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and in </w:t>
      </w:r>
      <w:r w:rsidR="00641EE6" w:rsidRPr="00EB6D14">
        <w:rPr>
          <w:rFonts w:ascii="Times New Roman" w:hAnsi="Times New Roman"/>
          <w:color w:val="auto"/>
          <w:sz w:val="20"/>
          <w:szCs w:val="20"/>
          <w:lang w:val="en-GB"/>
        </w:rPr>
        <w:t xml:space="preserve">pharmaceutical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{"citationItems":[{"id":"ITEM-1","itemData":{"DOI":"10.2174/157019312800604698","ISBN":"9783527619559","ISSN":"1570193X","abstract":"The industrial synthesis of pharmaceutical compounds often involves the use of organic solvents. Unfortunately, these reaction media are responsible for organic contaminations in the final product. In recent years, ionic liquids (ILs) have become the \" green alterna-tives \" of volatile organic solvents. Thus, the application of ILs instead of conventional reagents offer a new opportunity to solve prob-lems of environmentally harmful solvents. This mini-review discusses a new application of ILs in laboratory-scale pharmaceutical syn-thesis.","author":[{"dropping-particle":"","family":"Siodmiak","given":"Tomasz","non-dropping-particle":"","parse-names":false,"suffix":""},{"dropping-particle":"","family":"Piotr Marszall","given":"Michal","non-dropping-particle":"","parse-names":false,"suffix":""},{"dropping-particle":"","family":"Proszowska","given":"Anna","non-dropping-particle":"","parse-names":false,"suffix":""}],"container-title":"Mini-Reviews in Organic Chemistry","id":"ITEM-1","issue":"2","issued":{"date-parts":[["2012"]]},"page":"203-208","title":"Ionic Liquids: A New Strategy in Pharmaceutical Synthesis","type":"article-journal","volume":"9"},"uris":["http://www.mendeley.com/documents/?uuid=c3c242e0-f46e-4b85-a3f0-8f4fdae3dd5e"]}],"mendeley":{"formattedCitation":"[6]","plainTextFormattedCitation":"[6]","previouslyFormattedCitation":"[6]"},"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[6]</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 xml:space="preserve">IL can be classified into two classes; aprotic and protic ionic liquids. Protic ionic liquids (PILs) are a new family member of IL with available polar proton attached on the cation structure, which could lead to hydrogen bonding interaction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{"citationItems":[{"id":"ITEM-1","itemData":{"author":[{"dropping-particle":"","family":"Greaves","given":"Tamar L","non-dropping-particle":"","parse-names":false,"suffix":""},{"dropping-particle":"","family":"Drummond","given":"Calum J","non-dropping-particle":"","parse-names":false,"suffix":""}],"container-title":"Chem. Rev.","id":"ITEM-1","issued":{"date-parts":[["2008"]]},"page":"206-237","title":"Protic Ionic Liquids : Properties and Applications","type":"article-journal","volume":"108"},"uris":["http://www.mendeley.com/documents/?uuid=8141344a-121e-4476-9f4d-7b388ff06bbc"]}],"mendeley":{"formattedCitation":"[7]","plainTextFormattedCitation":"[7]","previouslyFormattedCitation":"[7]"},"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[7]</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 xml:space="preserve">Besides, these compounds can be easily synthesised by mixing an equimolar solution of Brønsted acid and Brønsted base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{"citationItems":[{"id":"ITEM-1","itemData":{"DOI":"10.1021/jp900814y","ISSN":"15206106","abstract":"Large aggregated parent ions, for example, C(8)A(7)(+) (C = cation and A = anion), have been observed within some protic ionic liquids (PILs) using electrospray ionization mass spectrometry (ESI-MS). We have shown that the formation and size of aggregates is dependent on the nature of the anion and cation. Solvent structuring in select PILs through aggregation can contribute to their classification as \"poor ionic liquids\" and can also strongly influence the entropic component to the free energy of amphiphile self-assembly in select PILs.","author":[{"dropping-particle":"","family":"Kennedy","given":"Danielle F.","non-dropping-particle":"","parse-names":false,"suffix":""},{"dropping-particle":"","family":"Drummondt","given":"Calum J.","non-dropping-particle":"","parse-names":false,"suffix":""}],"container-title":"Journal of Physical Chemistry B","id":"ITEM-1","issue":"17","issued":{"date-parts":[["2009"]]},"page":"5690-5693","title":"Large aggregated ions found in some protic ionic liquids","type":"article-journal","volume":"113"},"uris":["http://www.mendeley.com/documents/?uuid=2499de4e-9640-4221-b1b6-692f72f929e2"]}],"mendeley":{"formattedCitation":"[8]","plainTextFormattedCitation":"[8]","previouslyFormattedCitation":"[8]"},"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[8]</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The formation of PILs is highly depending on the transfer of proton from the Brønsted acid to Brønsted base</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{"citationItems":[{"id":"ITEM-1","itemData":{"author":[{"dropping-particle":"","family":"Greaves","given":"Tamar L","non-dropping-particle":"","parse-names":false,"suffix":""},{"dropping-particle":"","family":"Drummond","given":"Calum J","non-dropping-particle":"","parse-names":false,"suffix":""}],"container-title":"Chem. Rev.","id":"ITEM-1","issued":{"date-parts":[["2008"]]},"page":"206-237","title":"Protic Ionic Liquids : Properties and Applications","type":"article-journal","volume":"108"},"uris":["http://www.mendeley.com/documents/?uuid=8141344a-121e-4476-9f4d-7b388ff06bbc"]}],"mendeley":{"formattedCitation":"[7]","plainTextFormattedCitation":"[7]","previouslyFormattedCitation":"[7]"},"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[7]</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w:t>
      </w:r>
    </w:p>
    <w:p w14:paraId="41427DB6" w14:textId="77777777" w:rsidR="00EB6D14" w:rsidRDefault="00EB6D14" w:rsidP="00EB6D14">
      <w:pPr>
        <w:pStyle w:val="Bodytext"/>
        <w:rPr>
          <w:rFonts w:ascii="Times New Roman" w:hAnsi="Times New Roman"/>
          <w:color w:val="auto"/>
          <w:sz w:val="20"/>
          <w:szCs w:val="20"/>
          <w:lang w:val="en-GB"/>
        </w:rPr>
      </w:pPr>
    </w:p>
    <w:p w14:paraId="3FB24E0B" w14:textId="69344985" w:rsidR="00785CA6" w:rsidRDefault="00C02D48" w:rsidP="00EB6D14">
      <w:pPr>
        <w:pStyle w:val="Bodytext"/>
        <w:rPr>
          <w:rFonts w:ascii="Times New Roman" w:hAnsi="Times New Roman"/>
          <w:color w:val="auto"/>
          <w:sz w:val="20"/>
          <w:szCs w:val="20"/>
          <w:lang w:val="en-GB"/>
        </w:rPr>
      </w:pPr>
      <w:r w:rsidRPr="00EB6D14">
        <w:rPr>
          <w:rFonts w:ascii="Times New Roman" w:hAnsi="Times New Roman"/>
          <w:color w:val="auto"/>
          <w:sz w:val="20"/>
          <w:szCs w:val="20"/>
          <w:lang w:val="en-GB"/>
        </w:rPr>
        <w:t xml:space="preserve">Over the past few years, PILs have attracted increasing attention and have been considered for plethora of applications such as electrochemistry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{"citationItems":[{"id":"ITEM-1","itemData":{"DOI":"10.1007/bf03246212","ISSN":"1735-207X","author":[{"dropping-particle":"","family":"Gung","given":"S. T.","non-dropping-particle":"","parse-names":false,"suffix":""},{"dropping-particle":"","family":"Sun","given":"I. W.","non-dropping-particle":"","parse-names":false,"suffix":""},{"dropping-particle":"","family":"Ou-Yang","given":"W. C.","non-dropping-particle":"","parse-names":false,"suffix":""},{"dropping-particle":"","family":"Su","given":"S. G.","non-dropping-particle":"","parse-names":false,"suffix":""},{"dropping-particle":"","family":"Lin","given":"M. W.","non-dropping-particle":"","parse-names":false,"suffix":""},{"dropping-particle":"","family":"Lai","given":"C. A.","non-dropping-particle":"","parse-names":false,"suffix":""},{"dropping-particle":"","family":"Wu","given":"T. Y.","non-dropping-particle":"","parse-names":false,"suffix":""},{"dropping-particle":"","family":"Lin","given":"Y. C.","non-dropping-particle":"","parse-names":false,"suffix":""}],"container-title":"Journal of the Iranian Chemical Society","id":"ITEM-1","issue":"1","issued":{"date-parts":[["2012"]]},"page":"149-165","title":"Synthesis and characterization of protic ionic liquids containing cyclic amine cations and tetrafluoroborate anion","type":"article-journal","volume":"8"},"uris":["http://www.mendeley.com/documents/?uuid=23dc9db1-82b7-4c0b-a30d-9cc87d4d62c7"]}],"mendeley":{"formattedCitation":"[9]","plainTextFormattedCitation":"[9]","previouslyFormattedCitation":"[9]"},"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[9]</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fuel cell</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641EE6" w:rsidRPr="00EB6D14">
        <w:rPr>
          <w:rFonts w:ascii="Times New Roman" w:hAnsi="Times New Roman"/>
          <w:color w:val="auto"/>
          <w:sz w:val="20"/>
          <w:szCs w:val="20"/>
          <w:lang w:val="en-GB"/>
        </w:rPr>
        <w:instrText>ADDIN CSL_CITATION {"citationItems":[{"id":"ITEM-1","itemData":{"DOI":"10.1557/mrs.2013.153","ISSN":"08837694","abstract":"We have investigated protic ionic liquids (PILs) as proton conductors\\nfor non-humidified intermediate-temperature fuel cells. PILs exhibit\\nproton conductivity and activity in fuel cell electrode reactions, as\\nseen in acidic aqueous solutions and acidic polymer membranes. The wide\\nmolecular designability of PILs enabled the finding of a promising\\ncandidate, diethylmethylammonium trifluoromethanesulfonate\\n({[}dema]{[}TfO]), which exhibits favorable bulk properties and\\nelectrochemical activity. Solid thin films containing {[}dema]{[}TfO]\\nwere fabricated using sulfonated polyimide as a matrix polymer. By using\\nthe composite membrane, non-humidifying fuel cell operation at 120\\ndegrees C succeeded. The fuel cell performance can be further improved\\nby the optimization of the catalyst layer and with further research on\\nPILs.","author":[{"dropping-particle":"","family":"Yasuda","given":"Tomohiro","non-dropping-particle":"","parse-names":false,"suffix":""},{"dropping-particle":"","family":"Watanabe","given":"Masayoshi","non-dropping-particle":"","parse-names":false,"suffix":""}],"container-title":"MRS Bulletin","id":"ITEM-1","issue":"7","issued":{"date-parts":[["2013"]]},"page":"560-566","title":"Protic ionic liquids: Fuel cell applications","type":"article-journal","volume":"38"},"uris":["http://www.mendeley.com/documents/?uuid=cfe5a8d9-0f0c-4fbd-bbb6-a67d5e7ec477"]}],"mendeley":{"formattedCitation":"[10]","plainTextFormattedCitation":"[10]","previouslyFormattedCitation":"[10]"},"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[10]</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and drug delivery</w:t>
      </w:r>
      <w:r w:rsidR="00641EE6" w:rsidRPr="00EB6D14">
        <w:rPr>
          <w:rFonts w:ascii="Times New Roman" w:hAnsi="Times New Roman"/>
          <w:color w:val="auto"/>
          <w:sz w:val="20"/>
          <w:szCs w:val="20"/>
          <w:lang w:val="en-GB"/>
        </w:rPr>
        <w:t xml:space="preserve"> </w:t>
      </w:r>
      <w:r w:rsidR="00641EE6" w:rsidRPr="00EB6D14">
        <w:rPr>
          <w:rFonts w:ascii="Times New Roman" w:hAnsi="Times New Roman"/>
          <w:color w:val="auto"/>
          <w:sz w:val="20"/>
          <w:szCs w:val="20"/>
          <w:lang w:val="en-GB"/>
        </w:rPr>
        <w:fldChar w:fldCharType="begin" w:fldLock="1"/>
      </w:r>
      <w:r w:rsidR="00461456" w:rsidRPr="00EB6D14">
        <w:rPr>
          <w:rFonts w:ascii="Times New Roman" w:hAnsi="Times New Roman"/>
          <w:color w:val="auto"/>
          <w:sz w:val="20"/>
          <w:szCs w:val="20"/>
          <w:lang w:val="en-GB"/>
        </w:rPr>
        <w:instrText>ADDIN CSL_CITATION {"citationItems":[{"id":"ITEM-1","itemData":{"DOI":"10.1039/c1cc14314j","ISSN":"13597345","abstract":"We show that pharmaceutically active protic ionic liquids can be designed to rapidly transport through model membranes as neutral hydrogen bonded clusters.","author":[{"dropping-particle":"","family":"Stoimenovski","given":"Jelena","non-dropping-particle":"","parse-names":false,"suffix":""},{"dropping-particle":"","family":"MacFarlane","given":"Douglas R.","non-dropping-particle":"","parse-names":false,"suffix":""}],"container-title":"Chemical Communications","id":"ITEM-1","issue":"41","issued":{"date-parts":[["2011"]]},"page":"11429-11431","title":"Enhanced membrane transport of pharmaceutically active protic ionic liquids","type":"article-journal","volume":"47"},"uris":["http://www.mendeley.com/documents/?uuid=d8ec1547-b25a-4dbf-bab2-228c61bee0bf"]}],"mendeley":{"formattedCitation":"[11]","plainTextFormattedCitation":"[11]","previouslyFormattedCitation":"[11]"},"properties":{"noteIndex":0},"schema":"https://github.com/citation-style-language/schema/raw/master/csl-citation.json"}</w:instrText>
      </w:r>
      <w:r w:rsidR="00641EE6" w:rsidRPr="00EB6D14">
        <w:rPr>
          <w:rFonts w:ascii="Times New Roman" w:hAnsi="Times New Roman"/>
          <w:color w:val="auto"/>
          <w:sz w:val="20"/>
          <w:szCs w:val="20"/>
          <w:lang w:val="en-GB"/>
        </w:rPr>
        <w:fldChar w:fldCharType="separate"/>
      </w:r>
      <w:r w:rsidR="00641EE6" w:rsidRPr="00EB6D14">
        <w:rPr>
          <w:rFonts w:ascii="Times New Roman" w:hAnsi="Times New Roman"/>
          <w:noProof/>
          <w:color w:val="auto"/>
          <w:sz w:val="20"/>
          <w:szCs w:val="20"/>
          <w:lang w:val="en-GB"/>
        </w:rPr>
        <w:t>[11]</w:t>
      </w:r>
      <w:r w:rsidR="00641EE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 xml:space="preserve">In drug delivery, PILs are used in membrane transport due to the tuneable degree of ionicity. However, to the best of our knowledge, only a few studies have been dedicated to synthesise PILs with specific biological applications </w:t>
      </w:r>
      <w:r w:rsidR="00461456" w:rsidRPr="00EB6D14">
        <w:rPr>
          <w:rFonts w:ascii="Times New Roman" w:hAnsi="Times New Roman"/>
          <w:color w:val="auto"/>
          <w:sz w:val="20"/>
          <w:szCs w:val="20"/>
          <w:lang w:val="en-GB"/>
        </w:rPr>
        <w:fldChar w:fldCharType="begin" w:fldLock="1"/>
      </w:r>
      <w:r w:rsidR="00461456" w:rsidRPr="00EB6D14">
        <w:rPr>
          <w:rFonts w:ascii="Times New Roman" w:hAnsi="Times New Roman"/>
          <w:color w:val="auto"/>
          <w:sz w:val="20"/>
          <w:szCs w:val="20"/>
          <w:lang w:val="en-GB"/>
        </w:rPr>
        <w:instrText>ADDIN CSL_CITATION {"citationItems":[{"id":"ITEM-1","itemData":{"DOI":"10.1039/c1cc14314j","ISSN":"13597345","abstract":"We show that pharmaceutically active protic ionic liquids can be designed to rapidly transport through model membranes as neutral hydrogen bonded clusters.","author":[{"dropping-particle":"","family":"Stoimenovski","given":"Jelena","non-dropping-particle":"","parse-names":false,"suffix":""},{"dropping-particle":"","family":"MacFarlane","given":"Douglas R.","non-dropping-particle":"","parse-names":false,"suffix":""}],"container-title":"Chemical Communications","id":"ITEM-1","issue":"41","issued":{"date-parts":[["2011"]]},"page":"11429-11431","title":"Enhanced membrane transport of pharmaceutically active protic ionic liquids","type":"article-journal","volume":"47"},"uris":["http://www.mendeley.com/documents/?uuid=d8ec1547-b25a-4dbf-bab2-228c61bee0bf"]},{"id":"ITEM-2","itemData":{"author":[{"dropping-particle":"","family":"Mirskova","given":"A N","non-dropping-particle":"","parse-names":false,"suffix":""},{"dropping-particle":"","family":"Adamovich","given":"S N","non-dropping-particle":"","parse-names":false,"suffix":""},{"dropping-particle":"","family":"Mirskov","given":"R G","non-dropping-particle":"","parse-names":false,"suffix":""},{"dropping-particle":"","family":"Voronkov","given":"M G","non-dropping-particle":"","parse-names":false,"suffix":""}],"container-title":"Russian Chemical Bulletin","id":"ITEM-2","issue":"9","issued":{"date-parts":[["2014"]]},"page":"1869-1883","publisher":"Springer","title":"Pharmacologically active salts and ionic liquids based on 2-hydroxyethylamines, arylchalcogenylacetic acids, and essential metals","type":"article-journal","volume":"63"},"uris":["http://www.mendeley.com/documents/?uuid=f1274786-2793-48db-ad27-2518d36b12af"]},{"id":"ITEM-3","itemData":{"DOI":"10.1039/b404625k","ISSN":"14639262","abstract":"Minimum inhibitory concentrations (MIC) and minimum biocidal concentrations (MBC) were established for 1-alkylimidazolium and 1-alkoxymethylimidazolium lactates tested against rods, cocci and fungi. We found that anti-microbial activities of the protic ionic liquids are strongly related to the length of the substituent and to the DL- or L-type anion. Lactates with short substituents up to pentyl or pentyloxymethyl remain inactive toward microorganisms. In addition physical properties and thermal stability of protic ionic liquids have been described. We found them to readily undergo decomposition under the effect of ozone in aqueous solution","author":[{"dropping-particle":"","family":"Pernak","given":"Juliusz","non-dropping-particle":"","parse-names":false,"suffix":""},{"dropping-particle":"","family":"Goc","given":"Izabela","non-dropping-particle":"","parse-names":false,"suffix":""},{"dropping-particle":"","family":"Mirska","given":"Ilona","non-dropping-particle":"","parse-names":false,"suffix":""}],"container-title":"Green Chemistry","id":"ITEM-3","issue":"7","issued":{"date-parts":[["2004"]]},"page":"323-329","title":"Anti-microbial activities of protic ionic liquids with lactate anion","type":"article-journal","volume":"6"},"uris":["http://www.mendeley.com/documents/?uuid=123095d6-610e-4d01-aa9c-f8021ea47ef7"]}],"mendeley":{"formattedCitation":"[11–13]","plainTextFormattedCitation":"[11–13]","previouslyFormattedCitation":"[11–13]"},"properties":{"noteIndex":0},"schema":"https://github.com/citation-style-language/schema/raw/master/csl-citation.json"}</w:instrText>
      </w:r>
      <w:r w:rsidR="00461456" w:rsidRPr="00EB6D14">
        <w:rPr>
          <w:rFonts w:ascii="Times New Roman" w:hAnsi="Times New Roman"/>
          <w:color w:val="auto"/>
          <w:sz w:val="20"/>
          <w:szCs w:val="20"/>
          <w:lang w:val="en-GB"/>
        </w:rPr>
        <w:fldChar w:fldCharType="separate"/>
      </w:r>
      <w:r w:rsidR="00461456" w:rsidRPr="00EB6D14">
        <w:rPr>
          <w:rFonts w:ascii="Times New Roman" w:hAnsi="Times New Roman"/>
          <w:noProof/>
          <w:color w:val="auto"/>
          <w:sz w:val="20"/>
          <w:szCs w:val="20"/>
          <w:lang w:val="en-GB"/>
        </w:rPr>
        <w:t>[11–13]</w:t>
      </w:r>
      <w:r w:rsidR="0046145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Pr="00EB6D14">
        <w:rPr>
          <w:rFonts w:ascii="Times New Roman" w:hAnsi="Times New Roman"/>
          <w:color w:val="auto"/>
          <w:sz w:val="20"/>
          <w:szCs w:val="20"/>
          <w:lang w:val="en-GB"/>
        </w:rPr>
        <w:t>In this study, salicylic acid was used as the anion based PILs for potential antioxidant. Salicylic acid is one of the phenolic acid derivatives reported to display multiple biological applications such as antioxidant activity, antimicrobial and anti-inflammatory</w:t>
      </w:r>
      <w:r w:rsidR="00461456" w:rsidRPr="00EB6D14">
        <w:rPr>
          <w:rFonts w:ascii="Times New Roman" w:hAnsi="Times New Roman"/>
          <w:color w:val="auto"/>
          <w:sz w:val="20"/>
          <w:szCs w:val="20"/>
          <w:lang w:val="en-GB"/>
        </w:rPr>
        <w:t xml:space="preserve"> </w:t>
      </w:r>
      <w:r w:rsidR="00461456" w:rsidRPr="00EB6D14">
        <w:rPr>
          <w:rFonts w:ascii="Times New Roman" w:hAnsi="Times New Roman"/>
          <w:color w:val="auto"/>
          <w:sz w:val="20"/>
          <w:szCs w:val="20"/>
          <w:lang w:val="en-GB"/>
        </w:rPr>
        <w:fldChar w:fldCharType="begin" w:fldLock="1"/>
      </w:r>
      <w:r w:rsidR="00617657" w:rsidRPr="00EB6D14">
        <w:rPr>
          <w:rFonts w:ascii="Times New Roman" w:hAnsi="Times New Roman"/>
          <w:color w:val="auto"/>
          <w:sz w:val="20"/>
          <w:szCs w:val="20"/>
          <w:lang w:val="en-GB"/>
        </w:rPr>
        <w:instrText>ADDIN CSL_CITATION {"citationItems":[{"id":"ITEM-1","itemData":{"DOI":"10.1515/afmnai-2015-0026","abstract":"Salicylic acid is a phytochemical with beneficial effects on human well-being. Salicylic acid is a phenolic compound and is present in various plants where it has a vital role in protection against pathogenic agents. Natural sources include fruits, vegetables and spices. The most famous and defined effect of salicylic acid is prostaglandin synthesis inhibition. Salicylic acid has antiinflammatory effects through suppression of transcription of genes for cyclooxygenase. Most of the pharmacological properties of salicylic acid can be contributed to the inhibition of prostaglandin synthesis. Also, it was discovered that salicylic acid has other in vivo cyclooxygenase-independent pathways. Since salicylic acid does not inhibit cyclooxygenase considerably, the anti-inflammatory effect is not a consequence of direct inhibition of cyclooxygenase activity. Because of its fundamental role, it was suggested that inhibition of nuclear factor kappa B by salicylic acid is one of the key anti-inflammatory mechanisms of action for salicylates. One of the most studied properties of salicylic acid is its antioxidative activity. Salicylic acid is a confirmed inhibitor of oxidative stress. Salicylic acid is capable of binding iron. This fact is significant for antioxidative effect of salicylic acid because iron has an important function in the course of lipid peroxidation.","author":[{"dropping-particle":"","family":"Randjelović","given":"Dušica","non-dropping-particle":"","parse-names":false,"suffix":""},{"dropping-particle":"","family":"Stojiljković","given":"Nenad","non-dropping-particle":"","parse-names":false,"suffix":""},{"dropping-particle":"","family":"Laketić","given":"Darko","non-dropping-particle":"","parse-names":false,"suffix":""},{"dropping-particle":"","family":"Ilić","given":"Ivan","non-dropping-particle":"","parse-names":false,"suffix":""},{"dropping-particle":"","family":"Randjelović","given":"Nebojša","non-dropping-particle":"","parse-names":false,"suffix":""},{"dropping-particle":"","family":"Veljković","given":"Slavimir","non-dropping-particle":"","parse-names":false,"suffix":""},{"dropping-particle":"","family":"Randjelović","given":"Pavle","non-dropping-particle":"","parse-names":false,"suffix":""},{"dropping-particle":"","family":"Sokolović","given":"Dušan","non-dropping-particle":"","parse-names":false,"suffix":""}],"container-title":"Acta Facultatis Medicae Naissensis","id":"ITEM-1","issue":"4","issued":{"date-parts":[["2016"]]},"page":"259-265","title":"The Beneficial Biological Properties of Salicylic Acid","type":"article-journal","volume":"32"},"uris":["http://www.mendeley.com/documents/?uuid=1e81d63e-6eac-4a11-9de8-6548ea2f7421"]}],"mendeley":{"formattedCitation":"[14]","plainTextFormattedCitation":"[14]","previouslyFormattedCitation":"[14]"},"properties":{"noteIndex":0},"schema":"https://github.com/citation-style-language/schema/raw/master/csl-citation.json"}</w:instrText>
      </w:r>
      <w:r w:rsidR="00461456" w:rsidRPr="00EB6D14">
        <w:rPr>
          <w:rFonts w:ascii="Times New Roman" w:hAnsi="Times New Roman"/>
          <w:color w:val="auto"/>
          <w:sz w:val="20"/>
          <w:szCs w:val="20"/>
          <w:lang w:val="en-GB"/>
        </w:rPr>
        <w:fldChar w:fldCharType="separate"/>
      </w:r>
      <w:r w:rsidR="00461456" w:rsidRPr="00EB6D14">
        <w:rPr>
          <w:rFonts w:ascii="Times New Roman" w:hAnsi="Times New Roman"/>
          <w:noProof/>
          <w:color w:val="auto"/>
          <w:sz w:val="20"/>
          <w:szCs w:val="20"/>
          <w:lang w:val="en-GB"/>
        </w:rPr>
        <w:t>[14]</w:t>
      </w:r>
      <w:r w:rsidR="00461456" w:rsidRPr="00EB6D14">
        <w:rPr>
          <w:rFonts w:ascii="Times New Roman" w:hAnsi="Times New Roman"/>
          <w:color w:val="auto"/>
          <w:sz w:val="20"/>
          <w:szCs w:val="20"/>
          <w:lang w:val="en-GB"/>
        </w:rPr>
        <w:fldChar w:fldCharType="end"/>
      </w:r>
      <w:r w:rsidR="00207339" w:rsidRPr="00EB6D14">
        <w:rPr>
          <w:rFonts w:ascii="Times New Roman" w:hAnsi="Times New Roman"/>
          <w:color w:val="auto"/>
          <w:sz w:val="20"/>
          <w:szCs w:val="20"/>
          <w:lang w:val="en-GB"/>
        </w:rPr>
        <w:t xml:space="preserve">. </w:t>
      </w:r>
      <w:r w:rsidR="00D7098A" w:rsidRPr="00EB6D14">
        <w:rPr>
          <w:rFonts w:ascii="Times New Roman" w:hAnsi="Times New Roman"/>
          <w:color w:val="auto"/>
          <w:sz w:val="20"/>
          <w:szCs w:val="20"/>
          <w:lang w:val="en-GB"/>
        </w:rPr>
        <w:t>In addition, low solubility of this acid in water can cause insufficient performance of the salicylic acid. Therefore, the modification of salicylic acid in the form of IL is one of the alternative ways to enhance the performance of this drug compound.</w:t>
      </w:r>
    </w:p>
    <w:p w14:paraId="15F550AE" w14:textId="77777777" w:rsidR="007756A3" w:rsidRPr="007756A3" w:rsidRDefault="007756A3" w:rsidP="007756A3">
      <w:pPr>
        <w:pStyle w:val="BodytextIndented"/>
        <w:ind w:firstLine="0"/>
        <w:rPr>
          <w:lang w:val="en-GB"/>
        </w:rPr>
      </w:pPr>
    </w:p>
    <w:p w14:paraId="3FB24E0C" w14:textId="661E2CC5" w:rsidR="00785CA6" w:rsidRPr="00EB6D14" w:rsidRDefault="00DE73D6" w:rsidP="00785CA6">
      <w:pPr>
        <w:jc w:val="center"/>
        <w:outlineLvl w:val="0"/>
        <w:rPr>
          <w:rFonts w:ascii="Times New Roman" w:hAnsi="Times New Roman" w:cs="Times New Roman"/>
          <w:b/>
          <w:szCs w:val="20"/>
        </w:rPr>
      </w:pPr>
      <w:r w:rsidRPr="00EB6D14">
        <w:rPr>
          <w:rFonts w:ascii="Times New Roman" w:hAnsi="Times New Roman" w:cs="Times New Roman"/>
          <w:b/>
          <w:szCs w:val="20"/>
        </w:rPr>
        <w:t>Materials and Methods</w:t>
      </w:r>
    </w:p>
    <w:p w14:paraId="6438D379" w14:textId="77777777" w:rsidR="00461456" w:rsidRPr="00EB6D14" w:rsidRDefault="00461456" w:rsidP="00CD0720">
      <w:pPr>
        <w:pStyle w:val="Heading2"/>
      </w:pPr>
      <w:r w:rsidRPr="00EB6D14">
        <w:t>Materials</w:t>
      </w:r>
    </w:p>
    <w:p w14:paraId="7315BF1E" w14:textId="10783851" w:rsidR="00461456" w:rsidRPr="00EB6D14" w:rsidRDefault="00D7098A" w:rsidP="007756A3">
      <w:pPr>
        <w:spacing w:after="240"/>
        <w:rPr>
          <w:rFonts w:ascii="Times New Roman" w:hAnsi="Times New Roman" w:cs="Times New Roman"/>
          <w:szCs w:val="20"/>
        </w:rPr>
      </w:pPr>
      <w:r w:rsidRPr="00EB6D14">
        <w:rPr>
          <w:rFonts w:ascii="Times New Roman" w:hAnsi="Times New Roman" w:cs="Times New Roman"/>
          <w:szCs w:val="20"/>
        </w:rPr>
        <w:t xml:space="preserve">3-dimethylamino-1-propanol (purity 99%), methanol and salicylic acid were kindly supplied by Merck Sdn. Bhd company (Darmstadt, Germany). 3-diethylamino-1-propanol was purchased from Acros (Shah Alam, Malaysia). All of these chemicals were used as received without further purification. </w:t>
      </w:r>
      <w:r w:rsidR="00461456" w:rsidRPr="00EB6D14">
        <w:rPr>
          <w:rFonts w:ascii="Times New Roman" w:hAnsi="Times New Roman" w:cs="Times New Roman"/>
          <w:szCs w:val="20"/>
        </w:rPr>
        <w:t xml:space="preserve"> </w:t>
      </w:r>
    </w:p>
    <w:p w14:paraId="0DBCB865" w14:textId="2281614C" w:rsidR="007756A3" w:rsidRPr="00CD0720" w:rsidRDefault="00461456" w:rsidP="00CD0720">
      <w:pPr>
        <w:pStyle w:val="Heading2"/>
      </w:pPr>
      <w:r w:rsidRPr="00CD0720">
        <w:lastRenderedPageBreak/>
        <w:t>Synthesis and characterization of PILs</w:t>
      </w:r>
    </w:p>
    <w:p w14:paraId="587E653E" w14:textId="7AAEEFBA" w:rsidR="00CD0720" w:rsidRPr="00CD0720" w:rsidRDefault="00CD0720" w:rsidP="00CD0720">
      <w:pPr>
        <w:rPr>
          <w:rFonts w:ascii="Times New Roman" w:hAnsi="Times New Roman" w:cs="Times New Roman"/>
          <w:lang w:eastAsia="en-US"/>
        </w:rPr>
      </w:pPr>
      <w:r w:rsidRPr="00CD0720">
        <w:rPr>
          <w:rFonts w:ascii="Times New Roman" w:hAnsi="Times New Roman" w:cs="Times New Roman"/>
          <w:lang w:eastAsia="en-US"/>
        </w:rPr>
        <w:t xml:space="preserve">Protic ionic liquids (PILs) were synthesised by neutralisation reaction. An equimolar of salicylic acid (0.05 mol, 6.9 g) was added to equimolar amount of different base namely 3-dimethylamino-1-propanol and 3-diethylamino-1-propanol (5.9 mL and 7.4 mL, respectively). The base was placed into two-neck round bottom flask immersed in ice bath and equipped with a reflux condenser. Since the reaction is exothermic, the temperature was maintained around 0-5 °C while an acid was added drop wise. Then, the solvent (methanol) was removed by heating the mixture at 50 °C under vacuum using rotary evaporator for 3 hours. Afterwards, the structure and purity of PILs were characterised using Bruker </w:t>
      </w:r>
      <w:proofErr w:type="spellStart"/>
      <w:r w:rsidRPr="00CD0720">
        <w:rPr>
          <w:rFonts w:ascii="Times New Roman" w:hAnsi="Times New Roman" w:cs="Times New Roman"/>
          <w:lang w:eastAsia="en-US"/>
        </w:rPr>
        <w:t>Avance</w:t>
      </w:r>
      <w:proofErr w:type="spellEnd"/>
      <w:r w:rsidRPr="00CD0720">
        <w:rPr>
          <w:rFonts w:ascii="Times New Roman" w:hAnsi="Times New Roman" w:cs="Times New Roman"/>
          <w:lang w:eastAsia="en-US"/>
        </w:rPr>
        <w:t xml:space="preserve"> 500 MHz </w:t>
      </w:r>
      <w:r w:rsidRPr="00CD0720">
        <w:rPr>
          <w:rFonts w:ascii="Times New Roman" w:hAnsi="Times New Roman" w:cs="Times New Roman"/>
          <w:vertAlign w:val="superscript"/>
          <w:lang w:eastAsia="en-US"/>
        </w:rPr>
        <w:t>1</w:t>
      </w:r>
      <w:r w:rsidRPr="00CD0720">
        <w:rPr>
          <w:rFonts w:ascii="Times New Roman" w:hAnsi="Times New Roman" w:cs="Times New Roman"/>
          <w:lang w:eastAsia="en-US"/>
        </w:rPr>
        <w:t>HNMR spectrometer. The structure of PILs was further characterised via Shimadzu FTIR at wavenumber of 4000 cm</w:t>
      </w:r>
      <w:r w:rsidRPr="00CD0720">
        <w:rPr>
          <w:rFonts w:ascii="Times New Roman" w:hAnsi="Times New Roman" w:cs="Times New Roman"/>
          <w:vertAlign w:val="superscript"/>
          <w:lang w:eastAsia="en-US"/>
        </w:rPr>
        <w:t>-1</w:t>
      </w:r>
      <w:r w:rsidRPr="00CD0720">
        <w:rPr>
          <w:rFonts w:ascii="Times New Roman" w:hAnsi="Times New Roman" w:cs="Times New Roman"/>
          <w:lang w:eastAsia="en-US"/>
        </w:rPr>
        <w:t xml:space="preserve"> to 400 cm</w:t>
      </w:r>
      <w:r w:rsidRPr="00CD0720">
        <w:rPr>
          <w:rFonts w:ascii="Times New Roman" w:hAnsi="Times New Roman" w:cs="Times New Roman"/>
          <w:vertAlign w:val="superscript"/>
          <w:lang w:eastAsia="en-US"/>
        </w:rPr>
        <w:t>-1</w:t>
      </w:r>
      <w:r w:rsidRPr="00CD0720">
        <w:rPr>
          <w:rFonts w:ascii="Times New Roman" w:hAnsi="Times New Roman" w:cs="Times New Roman"/>
          <w:lang w:eastAsia="en-US"/>
        </w:rPr>
        <w:t xml:space="preserve"> to determine amine and carbonyl </w:t>
      </w:r>
      <w:r>
        <w:rPr>
          <w:rFonts w:ascii="Times New Roman" w:hAnsi="Times New Roman" w:cs="Times New Roman"/>
          <w:lang w:eastAsia="en-US"/>
        </w:rPr>
        <w:t xml:space="preserve">                         </w:t>
      </w:r>
      <w:r w:rsidRPr="00CD0720">
        <w:rPr>
          <w:rFonts w:ascii="Times New Roman" w:hAnsi="Times New Roman" w:cs="Times New Roman"/>
          <w:lang w:eastAsia="en-US"/>
        </w:rPr>
        <w:t xml:space="preserve">functional groups. The thermal stability of PILs was determined using PerkinElmer, </w:t>
      </w:r>
      <w:proofErr w:type="spellStart"/>
      <w:r w:rsidRPr="00CD0720">
        <w:rPr>
          <w:rFonts w:ascii="Times New Roman" w:hAnsi="Times New Roman" w:cs="Times New Roman"/>
          <w:lang w:eastAsia="en-US"/>
        </w:rPr>
        <w:t>Pyris</w:t>
      </w:r>
      <w:proofErr w:type="spellEnd"/>
      <w:r w:rsidRPr="00CD0720">
        <w:rPr>
          <w:rFonts w:ascii="Times New Roman" w:hAnsi="Times New Roman" w:cs="Times New Roman"/>
          <w:lang w:eastAsia="en-US"/>
        </w:rPr>
        <w:t xml:space="preserve"> V-3.81 </w:t>
      </w:r>
      <w:r>
        <w:rPr>
          <w:rFonts w:ascii="Times New Roman" w:hAnsi="Times New Roman" w:cs="Times New Roman"/>
          <w:lang w:eastAsia="en-US"/>
        </w:rPr>
        <w:t xml:space="preserve">                                     </w:t>
      </w:r>
      <w:r w:rsidRPr="00CD0720">
        <w:rPr>
          <w:rFonts w:ascii="Times New Roman" w:hAnsi="Times New Roman" w:cs="Times New Roman"/>
          <w:lang w:eastAsia="en-US"/>
        </w:rPr>
        <w:t>thermogravimetric analyser.</w:t>
      </w:r>
    </w:p>
    <w:p w14:paraId="5BE86BA8" w14:textId="77777777" w:rsidR="007756A3" w:rsidRPr="007756A3" w:rsidRDefault="007756A3" w:rsidP="007756A3">
      <w:pPr>
        <w:rPr>
          <w:lang w:eastAsia="en-US"/>
        </w:rPr>
      </w:pPr>
    </w:p>
    <w:p w14:paraId="0925D64D" w14:textId="77777777" w:rsidR="007756A3" w:rsidRDefault="00461456" w:rsidP="00CD0720">
      <w:pPr>
        <w:pStyle w:val="Heading2"/>
      </w:pPr>
      <w:r w:rsidRPr="007756A3">
        <w:t xml:space="preserve">Antioxidant </w:t>
      </w:r>
      <w:r w:rsidR="007756A3">
        <w:t>a</w:t>
      </w:r>
      <w:r w:rsidRPr="007756A3">
        <w:t>ctivity</w:t>
      </w:r>
    </w:p>
    <w:p w14:paraId="2F616A77" w14:textId="5EEA91F3" w:rsidR="007756A3" w:rsidRPr="00CD0720" w:rsidRDefault="00CD0720" w:rsidP="00CD0720">
      <w:pPr>
        <w:rPr>
          <w:rFonts w:ascii="Times New Roman" w:hAnsi="Times New Roman" w:cs="Times New Roman"/>
        </w:rPr>
      </w:pPr>
      <w:r w:rsidRPr="00CD0720">
        <w:rPr>
          <w:rFonts w:ascii="Times New Roman" w:hAnsi="Times New Roman" w:cs="Times New Roman"/>
        </w:rPr>
        <w:t>The methods for antioxidant activity was obtained from Brand-Williams [15] using 2,2-diphenyl-1-picrylhydrazyl (DPPH) free radical assay with slight modifications. PILs with various final concentrations (10 -100 µM) in methanol were added into DPPH solution in methanol (60 µM, 3.9 mL). After that, the mixture was incubated in dark condition for 30 min at room temperature. The decrease in absorbance was monitored using UV-Vis at wavelength of 517 nm. The antioxidant activity was calculated using equation 1 as shown below:</w:t>
      </w:r>
    </w:p>
    <w:p w14:paraId="16330688" w14:textId="77777777" w:rsidR="00CD0720" w:rsidRPr="00CD0720" w:rsidRDefault="00CD0720" w:rsidP="007756A3">
      <w:pPr>
        <w:rPr>
          <w:rFonts w:ascii="Times New Roman" w:hAnsi="Times New Roman" w:cs="Times New Roman"/>
          <w:lang w:eastAsia="en-US"/>
        </w:rPr>
      </w:pPr>
    </w:p>
    <w:p w14:paraId="381B4F24" w14:textId="666FDBF7" w:rsidR="007756A3" w:rsidRPr="007756A3" w:rsidRDefault="007756A3" w:rsidP="007756A3">
      <w:pPr>
        <w:ind w:firstLine="720"/>
        <w:rPr>
          <w:rFonts w:ascii="Times New Roman" w:hAnsi="Times New Roman" w:cs="Times New Roman"/>
          <w:lang w:eastAsia="en-US"/>
        </w:rPr>
      </w:pPr>
      <w:r w:rsidRPr="007756A3">
        <w:rPr>
          <w:rFonts w:ascii="Times New Roman" w:hAnsi="Times New Roman" w:cs="Times New Roman"/>
        </w:rPr>
        <w:t>AA (%) = (A</w:t>
      </w:r>
      <w:r w:rsidRPr="007756A3">
        <w:rPr>
          <w:rFonts w:ascii="Times New Roman" w:hAnsi="Times New Roman" w:cs="Times New Roman"/>
          <w:vertAlign w:val="subscript"/>
        </w:rPr>
        <w:t>0</w:t>
      </w:r>
      <w:r w:rsidRPr="007756A3">
        <w:rPr>
          <w:rFonts w:ascii="Times New Roman" w:hAnsi="Times New Roman" w:cs="Times New Roman"/>
        </w:rPr>
        <w:t xml:space="preserve"> - A</w:t>
      </w:r>
      <w:r w:rsidRPr="007756A3">
        <w:rPr>
          <w:rFonts w:ascii="Times New Roman" w:hAnsi="Times New Roman" w:cs="Times New Roman"/>
          <w:vertAlign w:val="subscript"/>
        </w:rPr>
        <w:t>1</w:t>
      </w:r>
      <w:r w:rsidRPr="007756A3">
        <w:rPr>
          <w:rFonts w:ascii="Times New Roman" w:hAnsi="Times New Roman" w:cs="Times New Roman"/>
        </w:rPr>
        <w:t>)/A</w:t>
      </w:r>
      <w:r w:rsidRPr="007756A3">
        <w:rPr>
          <w:rFonts w:ascii="Times New Roman" w:hAnsi="Times New Roman" w:cs="Times New Roman"/>
          <w:vertAlign w:val="subscript"/>
        </w:rPr>
        <w:t>0</w:t>
      </w:r>
      <w:r w:rsidRPr="007756A3">
        <w:rPr>
          <w:rFonts w:ascii="Times New Roman" w:hAnsi="Times New Roman" w:cs="Times New Roman"/>
        </w:rPr>
        <w:t xml:space="preserve"> x100 %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 xml:space="preserve">   (</w:t>
      </w:r>
      <w:proofErr w:type="gramEnd"/>
      <w:r>
        <w:rPr>
          <w:rFonts w:ascii="Times New Roman" w:hAnsi="Times New Roman" w:cs="Times New Roman"/>
        </w:rPr>
        <w:t>1)</w:t>
      </w:r>
    </w:p>
    <w:p w14:paraId="47FF5FA5" w14:textId="77777777" w:rsidR="007756A3" w:rsidRPr="007756A3" w:rsidRDefault="007756A3" w:rsidP="007756A3">
      <w:pPr>
        <w:rPr>
          <w:lang w:eastAsia="en-US"/>
        </w:rPr>
      </w:pPr>
    </w:p>
    <w:p w14:paraId="2BED0D18" w14:textId="3D9049AF" w:rsidR="00D7098A" w:rsidRPr="00EB6D14" w:rsidRDefault="00D7098A" w:rsidP="00D7098A">
      <w:pPr>
        <w:outlineLvl w:val="0"/>
        <w:rPr>
          <w:rFonts w:ascii="Times New Roman" w:hAnsi="Times New Roman" w:cs="Times New Roman"/>
          <w:b/>
          <w:szCs w:val="20"/>
        </w:rPr>
      </w:pPr>
      <w:r w:rsidRPr="00EB6D14">
        <w:rPr>
          <w:rFonts w:ascii="Times New Roman" w:hAnsi="Times New Roman" w:cs="Times New Roman"/>
          <w:szCs w:val="20"/>
        </w:rPr>
        <w:t>where A</w:t>
      </w:r>
      <w:r w:rsidRPr="00EB6D14">
        <w:rPr>
          <w:rFonts w:ascii="Times New Roman" w:hAnsi="Times New Roman" w:cs="Times New Roman"/>
          <w:szCs w:val="20"/>
          <w:vertAlign w:val="subscript"/>
        </w:rPr>
        <w:t>0</w:t>
      </w:r>
      <w:r w:rsidRPr="00EB6D14">
        <w:rPr>
          <w:rFonts w:ascii="Times New Roman" w:hAnsi="Times New Roman" w:cs="Times New Roman"/>
          <w:szCs w:val="20"/>
        </w:rPr>
        <w:t xml:space="preserve"> is the absorbance of the DPHH without PILs and A</w:t>
      </w:r>
      <w:r w:rsidRPr="00EB6D14">
        <w:rPr>
          <w:rFonts w:ascii="Times New Roman" w:hAnsi="Times New Roman" w:cs="Times New Roman"/>
          <w:szCs w:val="20"/>
          <w:vertAlign w:val="subscript"/>
        </w:rPr>
        <w:t>1</w:t>
      </w:r>
      <w:r w:rsidRPr="00EB6D14">
        <w:rPr>
          <w:rFonts w:ascii="Times New Roman" w:hAnsi="Times New Roman" w:cs="Times New Roman"/>
          <w:szCs w:val="20"/>
        </w:rPr>
        <w:t xml:space="preserve"> is the absorbance of the sample (PILs and DPPH) at 517 nm.</w:t>
      </w:r>
    </w:p>
    <w:p w14:paraId="3FB24E0F" w14:textId="77777777" w:rsidR="00785CA6" w:rsidRPr="00EB6D14" w:rsidRDefault="00785CA6" w:rsidP="003F3701">
      <w:pPr>
        <w:jc w:val="center"/>
        <w:outlineLvl w:val="0"/>
        <w:rPr>
          <w:rFonts w:ascii="Times New Roman" w:hAnsi="Times New Roman" w:cs="Times New Roman"/>
          <w:b/>
          <w:szCs w:val="20"/>
        </w:rPr>
      </w:pPr>
    </w:p>
    <w:p w14:paraId="3FB24E10" w14:textId="1D843BB8" w:rsidR="00785CA6" w:rsidRPr="00EB6D14" w:rsidRDefault="00785CA6" w:rsidP="00785CA6">
      <w:pPr>
        <w:jc w:val="center"/>
        <w:outlineLvl w:val="0"/>
        <w:rPr>
          <w:rFonts w:ascii="Times New Roman" w:hAnsi="Times New Roman" w:cs="Times New Roman"/>
          <w:b/>
          <w:szCs w:val="20"/>
        </w:rPr>
      </w:pPr>
      <w:r w:rsidRPr="00EB6D14">
        <w:rPr>
          <w:rFonts w:ascii="Times New Roman" w:hAnsi="Times New Roman" w:cs="Times New Roman"/>
          <w:b/>
          <w:szCs w:val="20"/>
        </w:rPr>
        <w:t>Result</w:t>
      </w:r>
      <w:r w:rsidR="00617657" w:rsidRPr="00EB6D14">
        <w:rPr>
          <w:rFonts w:ascii="Times New Roman" w:hAnsi="Times New Roman" w:cs="Times New Roman"/>
          <w:b/>
          <w:szCs w:val="20"/>
        </w:rPr>
        <w:t>s</w:t>
      </w:r>
      <w:r w:rsidRPr="00EB6D14">
        <w:rPr>
          <w:rFonts w:ascii="Times New Roman" w:hAnsi="Times New Roman" w:cs="Times New Roman"/>
          <w:b/>
          <w:szCs w:val="20"/>
        </w:rPr>
        <w:t xml:space="preserve"> and Discussion</w:t>
      </w:r>
    </w:p>
    <w:p w14:paraId="6D67B12D" w14:textId="77777777" w:rsidR="00617657" w:rsidRPr="007756A3" w:rsidRDefault="00617657" w:rsidP="00CD0720">
      <w:pPr>
        <w:pStyle w:val="Heading2"/>
      </w:pPr>
      <w:r w:rsidRPr="007756A3">
        <w:rPr>
          <w:vertAlign w:val="superscript"/>
        </w:rPr>
        <w:t>1</w:t>
      </w:r>
      <w:r w:rsidRPr="007756A3">
        <w:t>HNMR</w:t>
      </w:r>
    </w:p>
    <w:p w14:paraId="664C1C13" w14:textId="0441287E" w:rsidR="00D7098A" w:rsidRDefault="00D7098A" w:rsidP="007756A3">
      <w:pPr>
        <w:rPr>
          <w:rFonts w:ascii="Times New Roman" w:hAnsi="Times New Roman" w:cs="Times New Roman"/>
          <w:szCs w:val="20"/>
        </w:rPr>
      </w:pPr>
      <w:r w:rsidRPr="00EB6D14">
        <w:rPr>
          <w:rFonts w:ascii="Times New Roman" w:hAnsi="Times New Roman" w:cs="Times New Roman"/>
          <w:szCs w:val="20"/>
        </w:rPr>
        <w:t xml:space="preserve">The </w:t>
      </w:r>
      <w:r w:rsidRPr="00EB6D14">
        <w:rPr>
          <w:rFonts w:ascii="Times New Roman" w:hAnsi="Times New Roman" w:cs="Times New Roman"/>
          <w:szCs w:val="20"/>
          <w:vertAlign w:val="superscript"/>
        </w:rPr>
        <w:t>1</w:t>
      </w:r>
      <w:r w:rsidRPr="00EB6D14">
        <w:rPr>
          <w:rFonts w:ascii="Times New Roman" w:hAnsi="Times New Roman" w:cs="Times New Roman"/>
          <w:szCs w:val="20"/>
        </w:rPr>
        <w:t xml:space="preserve">HNMR was used to determine the structure and purity of the synthesised PILs. Figure 1 shows the </w:t>
      </w:r>
      <w:r w:rsidRPr="00EB6D14">
        <w:rPr>
          <w:rFonts w:ascii="Times New Roman" w:hAnsi="Times New Roman" w:cs="Times New Roman"/>
          <w:szCs w:val="20"/>
          <w:vertAlign w:val="superscript"/>
        </w:rPr>
        <w:t>1</w:t>
      </w:r>
      <w:r w:rsidRPr="00EB6D14">
        <w:rPr>
          <w:rFonts w:ascii="Times New Roman" w:hAnsi="Times New Roman" w:cs="Times New Roman"/>
          <w:szCs w:val="20"/>
        </w:rPr>
        <w:t>HNMR spectrum of 3DMAPS and 3DEAPS PILs, respectively.</w:t>
      </w:r>
    </w:p>
    <w:p w14:paraId="52BB14B5" w14:textId="77777777" w:rsidR="007756A3" w:rsidRPr="00EB6D14" w:rsidRDefault="007756A3" w:rsidP="007756A3">
      <w:pPr>
        <w:rPr>
          <w:rFonts w:ascii="Times New Roman" w:hAnsi="Times New Roman" w:cs="Times New Roman"/>
          <w:szCs w:val="20"/>
        </w:rPr>
      </w:pPr>
    </w:p>
    <w:p w14:paraId="66BB9C96" w14:textId="483EE7C1" w:rsidR="007756A3" w:rsidRDefault="00D7098A" w:rsidP="00D7098A">
      <w:pPr>
        <w:rPr>
          <w:rFonts w:ascii="Times New Roman" w:hAnsi="Times New Roman" w:cs="Times New Roman"/>
          <w:szCs w:val="20"/>
        </w:rPr>
      </w:pPr>
      <w:r w:rsidRPr="00EB6D14">
        <w:rPr>
          <w:rFonts w:ascii="Times New Roman" w:hAnsi="Times New Roman" w:cs="Times New Roman"/>
          <w:b/>
          <w:szCs w:val="20"/>
        </w:rPr>
        <w:t>3-Dimetylamino propanol salicylate (3DMAPS)</w:t>
      </w:r>
    </w:p>
    <w:p w14:paraId="10DDEDF4" w14:textId="304DA7D0" w:rsidR="00D7098A" w:rsidRDefault="00D7098A" w:rsidP="00D7098A">
      <w:pPr>
        <w:rPr>
          <w:rFonts w:ascii="Times New Roman" w:hAnsi="Times New Roman" w:cs="Times New Roman"/>
          <w:szCs w:val="20"/>
        </w:rPr>
      </w:pPr>
      <w:r w:rsidRPr="00EB6D14">
        <w:rPr>
          <w:rFonts w:ascii="Times New Roman" w:hAnsi="Times New Roman" w:cs="Times New Roman"/>
          <w:szCs w:val="20"/>
        </w:rPr>
        <w:t xml:space="preserve">Pale yellow liquid (Yield: 94.5%) </w:t>
      </w:r>
      <w:r w:rsidRPr="00EB6D14">
        <w:rPr>
          <w:rFonts w:ascii="Times New Roman" w:hAnsi="Times New Roman" w:cs="Times New Roman"/>
          <w:szCs w:val="20"/>
          <w:vertAlign w:val="superscript"/>
        </w:rPr>
        <w:t>1</w:t>
      </w:r>
      <w:r w:rsidRPr="00EB6D14">
        <w:rPr>
          <w:rFonts w:ascii="Times New Roman" w:hAnsi="Times New Roman" w:cs="Times New Roman"/>
          <w:szCs w:val="20"/>
        </w:rPr>
        <w:t>H NMR (CDCl</w:t>
      </w:r>
      <w:r w:rsidRPr="00EB6D14">
        <w:rPr>
          <w:rFonts w:ascii="Times New Roman" w:hAnsi="Times New Roman" w:cs="Times New Roman"/>
          <w:szCs w:val="20"/>
          <w:vertAlign w:val="subscript"/>
        </w:rPr>
        <w:t>3</w:t>
      </w:r>
      <w:r w:rsidRPr="00EB6D14">
        <w:rPr>
          <w:rFonts w:ascii="Times New Roman" w:hAnsi="Times New Roman" w:cs="Times New Roman"/>
          <w:szCs w:val="20"/>
        </w:rPr>
        <w:t>) δ(ppm): 1.94 (m, 2H), 2.79 (s, 6H), 3.26 (t, 2H), 3.83 (t, 2H), 6.82 (t, 1H), 6.99 (d,1H), 7.37 (t, 1H), 7.85 (d, 1H).</w:t>
      </w:r>
    </w:p>
    <w:p w14:paraId="2E2BA217" w14:textId="77777777" w:rsidR="007756A3" w:rsidRPr="00EB6D14" w:rsidRDefault="007756A3" w:rsidP="00D7098A">
      <w:pPr>
        <w:rPr>
          <w:rFonts w:ascii="Times New Roman" w:hAnsi="Times New Roman" w:cs="Times New Roman"/>
          <w:szCs w:val="20"/>
        </w:rPr>
      </w:pPr>
    </w:p>
    <w:p w14:paraId="30AE17A1" w14:textId="3A0FFD3B" w:rsidR="007756A3" w:rsidRDefault="00D7098A" w:rsidP="00D7098A">
      <w:pPr>
        <w:rPr>
          <w:rFonts w:ascii="Times New Roman" w:hAnsi="Times New Roman" w:cs="Times New Roman"/>
          <w:b/>
          <w:szCs w:val="20"/>
        </w:rPr>
      </w:pPr>
      <w:r w:rsidRPr="00EB6D14">
        <w:rPr>
          <w:rFonts w:ascii="Times New Roman" w:hAnsi="Times New Roman" w:cs="Times New Roman"/>
          <w:b/>
          <w:szCs w:val="20"/>
        </w:rPr>
        <w:t xml:space="preserve">3-Diethylamino propanol salicylate (3DEAPS) </w:t>
      </w:r>
    </w:p>
    <w:p w14:paraId="334CFD3F" w14:textId="21CD4EE3" w:rsidR="00617657" w:rsidRDefault="00D7098A" w:rsidP="00D7098A">
      <w:pPr>
        <w:rPr>
          <w:rFonts w:ascii="Times New Roman" w:hAnsi="Times New Roman" w:cs="Times New Roman"/>
          <w:szCs w:val="20"/>
        </w:rPr>
      </w:pPr>
      <w:r w:rsidRPr="00EB6D14">
        <w:rPr>
          <w:rFonts w:ascii="Times New Roman" w:hAnsi="Times New Roman" w:cs="Times New Roman"/>
          <w:szCs w:val="20"/>
        </w:rPr>
        <w:t xml:space="preserve">Pale yellow liquid (Yield: 99.5%) </w:t>
      </w:r>
      <w:r w:rsidRPr="00EB6D14">
        <w:rPr>
          <w:rFonts w:ascii="Times New Roman" w:hAnsi="Times New Roman" w:cs="Times New Roman"/>
          <w:szCs w:val="20"/>
          <w:vertAlign w:val="superscript"/>
        </w:rPr>
        <w:t>1</w:t>
      </w:r>
      <w:r w:rsidRPr="00EB6D14">
        <w:rPr>
          <w:rFonts w:ascii="Times New Roman" w:hAnsi="Times New Roman" w:cs="Times New Roman"/>
          <w:szCs w:val="20"/>
        </w:rPr>
        <w:t>H NMR (CDCl</w:t>
      </w:r>
      <w:r w:rsidRPr="00EB6D14">
        <w:rPr>
          <w:rFonts w:ascii="Times New Roman" w:hAnsi="Times New Roman" w:cs="Times New Roman"/>
          <w:szCs w:val="20"/>
          <w:vertAlign w:val="subscript"/>
        </w:rPr>
        <w:t>3</w:t>
      </w:r>
      <w:r w:rsidRPr="00EB6D14">
        <w:rPr>
          <w:rFonts w:ascii="Times New Roman" w:hAnsi="Times New Roman" w:cs="Times New Roman"/>
          <w:szCs w:val="20"/>
        </w:rPr>
        <w:t>) δ(ppm): 1.25 (t, 6H), 1.73 (m, 2H), 3.09 (m, 6H), 3.71 (t, 2H), 6.82 (dd, 2H), 7.29 (d, 1H), 7.85 (d, 1H).</w:t>
      </w:r>
    </w:p>
    <w:p w14:paraId="5C58144F" w14:textId="77777777" w:rsidR="007756A3" w:rsidRPr="00EB6D14" w:rsidRDefault="007756A3" w:rsidP="00D7098A">
      <w:pPr>
        <w:rPr>
          <w:rFonts w:ascii="Times New Roman" w:hAnsi="Times New Roman" w:cs="Times New Roman"/>
          <w:szCs w:val="20"/>
        </w:rPr>
      </w:pPr>
    </w:p>
    <w:p w14:paraId="2B9C2FE8" w14:textId="77777777" w:rsidR="00617657" w:rsidRPr="00EB6D14" w:rsidRDefault="00617657" w:rsidP="00617657">
      <w:pPr>
        <w:jc w:val="center"/>
        <w:rPr>
          <w:rFonts w:cs="Times"/>
        </w:rPr>
      </w:pPr>
      <w:r w:rsidRPr="00EB6D14">
        <w:rPr>
          <w:rFonts w:cs="Times"/>
          <w:noProof/>
          <w:lang w:eastAsia="en-GB"/>
        </w:rPr>
        <mc:AlternateContent>
          <mc:Choice Requires="wps">
            <w:drawing>
              <wp:anchor distT="0" distB="0" distL="114300" distR="114300" simplePos="0" relativeHeight="251806720" behindDoc="0" locked="0" layoutInCell="1" allowOverlap="1" wp14:anchorId="68D38302" wp14:editId="1555E308">
                <wp:simplePos x="0" y="0"/>
                <wp:positionH relativeFrom="column">
                  <wp:posOffset>438150</wp:posOffset>
                </wp:positionH>
                <wp:positionV relativeFrom="paragraph">
                  <wp:posOffset>24130</wp:posOffset>
                </wp:positionV>
                <wp:extent cx="1079500" cy="3022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07950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DE1E2" w14:textId="77777777" w:rsidR="00617657" w:rsidRPr="00AB5F70" w:rsidRDefault="00617657" w:rsidP="00617657">
                            <w:pPr>
                              <w:rPr>
                                <w:rFonts w:ascii="Times New Roman" w:hAnsi="Times New Roman" w:cs="Times New Roman"/>
                                <w:lang w:val="en-MY"/>
                              </w:rPr>
                            </w:pPr>
                            <w:r>
                              <w:rPr>
                                <w:rFonts w:ascii="Times New Roman" w:hAnsi="Times New Roman" w:cs="Times New Roman"/>
                                <w:lang w:val="en-MY"/>
                              </w:rPr>
                              <w:t xml:space="preserve">(a)     </w:t>
                            </w:r>
                            <w:r w:rsidRPr="00AB5F70">
                              <w:rPr>
                                <w:rFonts w:ascii="Times New Roman" w:hAnsi="Times New Roman" w:cs="Times New Roman"/>
                                <w:lang w:val="en-MY"/>
                              </w:rPr>
                              <w:t>3DMAPS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D38302" id="_x0000_t202" coordsize="21600,21600" o:spt="202" path="m,l,21600r21600,l21600,xe">
                <v:stroke joinstyle="miter"/>
                <v:path gradientshapeok="t" o:connecttype="rect"/>
              </v:shapetype>
              <v:shape id="Text Box 1" o:spid="_x0000_s1026" type="#_x0000_t202" style="position:absolute;left:0;text-align:left;margin-left:34.5pt;margin-top:1.9pt;width:85pt;height:23.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" filled="f" stroked="f" strokeweight=".5pt">
                <v:textbox>
                  <w:txbxContent>
                    <w:p w14:paraId="714DE1E2" w14:textId="77777777" w:rsidR="00617657" w:rsidRPr="00AB5F70" w:rsidRDefault="00617657" w:rsidP="00617657">
                      <w:pPr>
                        <w:rPr>
                          <w:rFonts w:ascii="Times New Roman" w:hAnsi="Times New Roman" w:cs="Times New Roman"/>
                          <w:lang w:val="en-MY"/>
                        </w:rPr>
                      </w:pPr>
                      <w:r>
                        <w:rPr>
                          <w:rFonts w:ascii="Times New Roman" w:hAnsi="Times New Roman" w:cs="Times New Roman"/>
                          <w:lang w:val="en-MY"/>
                        </w:rPr>
                        <w:t xml:space="preserve">(a)     </w:t>
                      </w:r>
                      <w:r w:rsidRPr="00AB5F70">
                        <w:rPr>
                          <w:rFonts w:ascii="Times New Roman" w:hAnsi="Times New Roman" w:cs="Times New Roman"/>
                          <w:lang w:val="en-MY"/>
                        </w:rPr>
                        <w:t>3DMAPS</w:t>
                      </w:r>
                    </w:p>
                  </w:txbxContent>
                </v:textbox>
              </v:shape>
            </w:pict>
          </mc:Fallback>
        </mc:AlternateContent>
      </w:r>
      <w:r w:rsidRPr="00EB6D14">
        <w:rPr>
          <w:rFonts w:cs="Times"/>
          <w:noProof/>
          <w:lang w:eastAsia="en-GB"/>
        </w:rPr>
        <mc:AlternateContent>
          <mc:Choice Requires="wps">
            <w:drawing>
              <wp:anchor distT="0" distB="0" distL="114300" distR="114300" simplePos="0" relativeHeight="251612160" behindDoc="0" locked="0" layoutInCell="1" allowOverlap="1" wp14:anchorId="1AF374B0" wp14:editId="08D0420F">
                <wp:simplePos x="0" y="0"/>
                <wp:positionH relativeFrom="column">
                  <wp:posOffset>1333500</wp:posOffset>
                </wp:positionH>
                <wp:positionV relativeFrom="paragraph">
                  <wp:posOffset>1696085</wp:posOffset>
                </wp:positionV>
                <wp:extent cx="407670" cy="2317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0767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9846D"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74B0" id="Text Box 60" o:spid="_x0000_s1027" type="#_x0000_t202" style="position:absolute;left:0;text-align:left;margin-left:105pt;margin-top:133.55pt;width:32.1pt;height:18.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" filled="f" stroked="f" strokeweight=".5pt">
                <v:textbox>
                  <w:txbxContent>
                    <w:p w14:paraId="42A9846D"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8,9</w:t>
                      </w:r>
                    </w:p>
                  </w:txbxContent>
                </v:textbox>
              </v:shape>
            </w:pict>
          </mc:Fallback>
        </mc:AlternateContent>
      </w:r>
      <w:r w:rsidRPr="00EB6D14">
        <w:rPr>
          <w:rFonts w:cs="Times"/>
          <w:noProof/>
          <w:lang w:eastAsia="en-GB"/>
        </w:rPr>
        <mc:AlternateContent>
          <mc:Choice Requires="wps">
            <w:drawing>
              <wp:anchor distT="0" distB="0" distL="114300" distR="114300" simplePos="0" relativeHeight="251534336" behindDoc="0" locked="0" layoutInCell="1" allowOverlap="1" wp14:anchorId="3882DCD1" wp14:editId="0F5E0D94">
                <wp:simplePos x="0" y="0"/>
                <wp:positionH relativeFrom="column">
                  <wp:posOffset>4899953</wp:posOffset>
                </wp:positionH>
                <wp:positionV relativeFrom="paragraph">
                  <wp:posOffset>1724563</wp:posOffset>
                </wp:positionV>
                <wp:extent cx="182880" cy="2317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C59B1"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DCD1" id="Text Box 52" o:spid="_x0000_s1028" type="#_x0000_t202" style="position:absolute;left:0;text-align:left;margin-left:385.8pt;margin-top:135.8pt;width:14.4pt;height:18.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25fgIAAGoFAAAOAAAAZHJzL2Uyb0RvYy54bWysVM1OGzEQvlfqO1i+l00CgTR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" filled="f" stroked="f" strokeweight=".5pt">
                <v:textbox>
                  <w:txbxContent>
                    <w:p w14:paraId="454C59B1"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3</w:t>
                      </w:r>
                    </w:p>
                  </w:txbxContent>
                </v:textbox>
              </v:shape>
            </w:pict>
          </mc:Fallback>
        </mc:AlternateContent>
      </w:r>
      <w:r w:rsidRPr="00EB6D14">
        <w:rPr>
          <w:rFonts w:cs="Times"/>
          <w:noProof/>
          <w:lang w:eastAsia="en-GB"/>
        </w:rPr>
        <mc:AlternateContent>
          <mc:Choice Requires="wps">
            <w:drawing>
              <wp:anchor distT="0" distB="0" distL="114300" distR="114300" simplePos="0" relativeHeight="251553792" behindDoc="0" locked="0" layoutInCell="1" allowOverlap="1" wp14:anchorId="263B9D77" wp14:editId="5814A8A2">
                <wp:simplePos x="0" y="0"/>
                <wp:positionH relativeFrom="column">
                  <wp:posOffset>4415790</wp:posOffset>
                </wp:positionH>
                <wp:positionV relativeFrom="paragraph">
                  <wp:posOffset>549910</wp:posOffset>
                </wp:positionV>
                <wp:extent cx="421640" cy="302260"/>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42164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FA1C5"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9D77" id="Text Box 53" o:spid="_x0000_s1029" type="#_x0000_t202" style="position:absolute;left:0;text-align:left;margin-left:347.7pt;margin-top:43.3pt;width:33.2pt;height:23.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" filled="f" stroked="f" strokeweight=".5pt">
                <v:textbox>
                  <w:txbxContent>
                    <w:p w14:paraId="002FA1C5"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5,6</w:t>
                      </w:r>
                    </w:p>
                  </w:txbxContent>
                </v:textbox>
              </v:shape>
            </w:pict>
          </mc:Fallback>
        </mc:AlternateContent>
      </w:r>
      <w:r w:rsidRPr="00EB6D14">
        <w:rPr>
          <w:rFonts w:cs="Times"/>
          <w:noProof/>
          <w:lang w:eastAsia="en-GB"/>
        </w:rPr>
        <mc:AlternateContent>
          <mc:Choice Requires="wps">
            <w:drawing>
              <wp:anchor distT="0" distB="0" distL="114300" distR="114300" simplePos="0" relativeHeight="251573248" behindDoc="0" locked="0" layoutInCell="1" allowOverlap="1" wp14:anchorId="2B9636DB" wp14:editId="3CC32788">
                <wp:simplePos x="0" y="0"/>
                <wp:positionH relativeFrom="column">
                  <wp:posOffset>4053840</wp:posOffset>
                </wp:positionH>
                <wp:positionV relativeFrom="paragraph">
                  <wp:posOffset>1595755</wp:posOffset>
                </wp:positionV>
                <wp:extent cx="18288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27C7"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36DB" id="Text Box 58" o:spid="_x0000_s1030" type="#_x0000_t202" style="position:absolute;left:0;text-align:left;margin-left:319.2pt;margin-top:125.65pt;width:14.4pt;height:18.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" filled="f" stroked="f" strokeweight=".5pt">
                <v:textbox>
                  <w:txbxContent>
                    <w:p w14:paraId="2A8B27C7"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2</w:t>
                      </w:r>
                    </w:p>
                  </w:txbxContent>
                </v:textbox>
              </v:shape>
            </w:pict>
          </mc:Fallback>
        </mc:AlternateContent>
      </w:r>
      <w:r w:rsidRPr="00EB6D14">
        <w:rPr>
          <w:rFonts w:cs="Times"/>
          <w:noProof/>
          <w:lang w:eastAsia="en-GB"/>
        </w:rPr>
        <mc:AlternateContent>
          <mc:Choice Requires="wps">
            <w:drawing>
              <wp:anchor distT="0" distB="0" distL="114300" distR="114300" simplePos="0" relativeHeight="251592704" behindDoc="0" locked="0" layoutInCell="1" allowOverlap="1" wp14:anchorId="25D05A2F" wp14:editId="45208561">
                <wp:simplePos x="0" y="0"/>
                <wp:positionH relativeFrom="column">
                  <wp:posOffset>3605921</wp:posOffset>
                </wp:positionH>
                <wp:positionV relativeFrom="paragraph">
                  <wp:posOffset>1610995</wp:posOffset>
                </wp:positionV>
                <wp:extent cx="182880" cy="2317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6C9A"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5A2F" id="Text Box 59" o:spid="_x0000_s1031" type="#_x0000_t202" style="position:absolute;left:0;text-align:left;margin-left:283.95pt;margin-top:126.85pt;width:14.4pt;height:1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EfgIAAGoFAAAOAAAAZHJzL2Uyb0RvYy54bWysVM1OGzEQvlfqO1i+l00CgR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" filled="f" stroked="f" strokeweight=".5pt">
                <v:textbox>
                  <w:txbxContent>
                    <w:p w14:paraId="07B76C9A"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w:t>
                      </w:r>
                    </w:p>
                  </w:txbxContent>
                </v:textbox>
              </v:shape>
            </w:pict>
          </mc:Fallback>
        </mc:AlternateContent>
      </w:r>
      <w:r w:rsidRPr="00EB6D14">
        <w:rPr>
          <w:rFonts w:cs="Times"/>
          <w:noProof/>
          <w:lang w:eastAsia="en-GB"/>
        </w:rPr>
        <mc:AlternateContent>
          <mc:Choice Requires="wps">
            <w:drawing>
              <wp:anchor distT="0" distB="0" distL="114300" distR="114300" simplePos="0" relativeHeight="251631616" behindDoc="0" locked="0" layoutInCell="1" allowOverlap="1" wp14:anchorId="0BA9BEF2" wp14:editId="0A0F0230">
                <wp:simplePos x="0" y="0"/>
                <wp:positionH relativeFrom="column">
                  <wp:posOffset>1040130</wp:posOffset>
                </wp:positionH>
                <wp:positionV relativeFrom="paragraph">
                  <wp:posOffset>1738630</wp:posOffset>
                </wp:positionV>
                <wp:extent cx="295275" cy="2317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9527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2138"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BEF2" id="Text Box 61" o:spid="_x0000_s1032" type="#_x0000_t202" style="position:absolute;left:0;text-align:left;margin-left:81.9pt;margin-top:136.9pt;width:23.25pt;height:1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" filled="f" stroked="f" strokeweight=".5pt">
                <v:textbox>
                  <w:txbxContent>
                    <w:p w14:paraId="53972138"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7</w:t>
                      </w:r>
                    </w:p>
                  </w:txbxContent>
                </v:textbox>
              </v:shape>
            </w:pict>
          </mc:Fallback>
        </mc:AlternateContent>
      </w:r>
      <w:r w:rsidRPr="00EB6D14">
        <w:rPr>
          <w:rFonts w:cs="Times"/>
          <w:noProof/>
          <w:lang w:eastAsia="en-GB"/>
        </w:rPr>
        <mc:AlternateContent>
          <mc:Choice Requires="wps">
            <w:drawing>
              <wp:anchor distT="0" distB="0" distL="114300" distR="114300" simplePos="0" relativeHeight="251651072" behindDoc="0" locked="0" layoutInCell="1" allowOverlap="1" wp14:anchorId="7CD3AEB8" wp14:editId="5FE2CD64">
                <wp:simplePos x="0" y="0"/>
                <wp:positionH relativeFrom="column">
                  <wp:posOffset>626110</wp:posOffset>
                </wp:positionH>
                <wp:positionV relativeFrom="paragraph">
                  <wp:posOffset>1696720</wp:posOffset>
                </wp:positionV>
                <wp:extent cx="358140" cy="2317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5814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D1E1C"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AEB8" id="Text Box 62" o:spid="_x0000_s1033" type="#_x0000_t202" style="position:absolute;left:0;text-align:left;margin-left:49.3pt;margin-top:133.6pt;width:28.2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" filled="f" stroked="f" strokeweight=".5pt">
                <v:textbox>
                  <w:txbxContent>
                    <w:p w14:paraId="6B6D1E1C"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10</w:t>
                      </w:r>
                    </w:p>
                  </w:txbxContent>
                </v:textbox>
              </v:shape>
            </w:pict>
          </mc:Fallback>
        </mc:AlternateContent>
      </w:r>
      <w:r w:rsidRPr="00EB6D14">
        <w:rPr>
          <w:rFonts w:cs="Times"/>
          <w:noProof/>
          <w:lang w:eastAsia="en-GB"/>
        </w:rPr>
        <mc:AlternateContent>
          <mc:Choice Requires="wps">
            <w:drawing>
              <wp:anchor distT="0" distB="0" distL="114300" distR="114300" simplePos="0" relativeHeight="251514880" behindDoc="0" locked="0" layoutInCell="1" allowOverlap="1" wp14:anchorId="1AEE5B9C" wp14:editId="453D20D3">
                <wp:simplePos x="0" y="0"/>
                <wp:positionH relativeFrom="column">
                  <wp:posOffset>554990</wp:posOffset>
                </wp:positionH>
                <wp:positionV relativeFrom="paragraph">
                  <wp:posOffset>106680</wp:posOffset>
                </wp:positionV>
                <wp:extent cx="2869565" cy="1301115"/>
                <wp:effectExtent l="0" t="0" r="0" b="0"/>
                <wp:wrapNone/>
                <wp:docPr id="46" name="Rectangle 46"/>
                <wp:cNvGraphicFramePr/>
                <a:graphic xmlns:a="http://schemas.openxmlformats.org/drawingml/2006/main">
                  <a:graphicData uri="http://schemas.microsoft.com/office/word/2010/wordprocessingShape">
                    <wps:wsp>
                      <wps:cNvSpPr/>
                      <wps:spPr>
                        <a:xfrm>
                          <a:off x="0" y="0"/>
                          <a:ext cx="2869565" cy="13011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3D9ECD" w14:textId="77777777" w:rsidR="00617657" w:rsidRDefault="00617657" w:rsidP="00617657">
                            <w:r>
                              <w:rPr>
                                <w:noProof/>
                                <w:lang w:eastAsia="en-GB"/>
                              </w:rPr>
                              <w:drawing>
                                <wp:inline distT="0" distB="0" distL="0" distR="0" wp14:anchorId="1BC290B2" wp14:editId="1235BA1C">
                                  <wp:extent cx="2677610" cy="10761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p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259" cy="1078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5B9C" id="Rectangle 46" o:spid="_x0000_s1034" style="position:absolute;left:0;text-align:left;margin-left:43.7pt;margin-top:8.4pt;width:225.95pt;height:102.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" filled="f" stroked="f" strokeweight="2pt">
                <v:textbox>
                  <w:txbxContent>
                    <w:p w14:paraId="433D9ECD" w14:textId="77777777" w:rsidR="00617657" w:rsidRDefault="00617657" w:rsidP="00617657">
                      <w:r>
                        <w:rPr>
                          <w:noProof/>
                          <w:lang w:eastAsia="en-GB"/>
                        </w:rPr>
                        <w:drawing>
                          <wp:inline distT="0" distB="0" distL="0" distR="0" wp14:anchorId="1BC290B2" wp14:editId="1235BA1C">
                            <wp:extent cx="2677610" cy="10761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p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259" cy="1078047"/>
                                    </a:xfrm>
                                    <a:prstGeom prst="rect">
                                      <a:avLst/>
                                    </a:prstGeom>
                                  </pic:spPr>
                                </pic:pic>
                              </a:graphicData>
                            </a:graphic>
                          </wp:inline>
                        </w:drawing>
                      </w:r>
                    </w:p>
                  </w:txbxContent>
                </v:textbox>
              </v:rect>
            </w:pict>
          </mc:Fallback>
        </mc:AlternateContent>
      </w:r>
      <w:r w:rsidRPr="00EB6D14">
        <w:rPr>
          <w:rFonts w:cs="Times"/>
          <w:noProof/>
          <w:lang w:eastAsia="en-GB"/>
        </w:rPr>
        <w:drawing>
          <wp:inline distT="0" distB="0" distL="0" distR="0" wp14:anchorId="55211E7C" wp14:editId="0F93DFDD">
            <wp:extent cx="4849351" cy="2556000"/>
            <wp:effectExtent l="19050" t="19050" r="2794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sicfas.tiff"/>
                    <pic:cNvPicPr/>
                  </pic:nvPicPr>
                  <pic:blipFill rotWithShape="1">
                    <a:blip r:embed="rId8">
                      <a:extLst>
                        <a:ext uri="{28A0092B-C50C-407E-A947-70E740481C1C}">
                          <a14:useLocalDpi xmlns:a14="http://schemas.microsoft.com/office/drawing/2010/main" val="0"/>
                        </a:ext>
                      </a:extLst>
                    </a:blip>
                    <a:srcRect l="244" t="30070" r="9025"/>
                    <a:stretch/>
                  </pic:blipFill>
                  <pic:spPr bwMode="auto">
                    <a:xfrm>
                      <a:off x="0" y="0"/>
                      <a:ext cx="4849351" cy="2556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1E69ED7" w14:textId="77777777" w:rsidR="00617657" w:rsidRPr="00EB6D14" w:rsidRDefault="00617657" w:rsidP="00617657">
      <w:pPr>
        <w:jc w:val="center"/>
        <w:rPr>
          <w:rFonts w:cs="Times"/>
        </w:rPr>
      </w:pPr>
    </w:p>
    <w:p w14:paraId="2768637E" w14:textId="77777777" w:rsidR="00617657" w:rsidRPr="00EB6D14" w:rsidRDefault="00617657" w:rsidP="00617657">
      <w:pPr>
        <w:jc w:val="center"/>
        <w:rPr>
          <w:rFonts w:cs="Times"/>
        </w:rPr>
      </w:pPr>
      <w:r w:rsidRPr="00EB6D14">
        <w:rPr>
          <w:rFonts w:cs="Times"/>
          <w:noProof/>
          <w:lang w:eastAsia="en-GB"/>
        </w:rPr>
        <w:lastRenderedPageBreak/>
        <mc:AlternateContent>
          <mc:Choice Requires="wps">
            <w:drawing>
              <wp:anchor distT="0" distB="0" distL="114300" distR="114300" simplePos="0" relativeHeight="251826176" behindDoc="0" locked="0" layoutInCell="1" allowOverlap="1" wp14:anchorId="4DE8E50E" wp14:editId="7AA8365B">
                <wp:simplePos x="0" y="0"/>
                <wp:positionH relativeFrom="column">
                  <wp:posOffset>450215</wp:posOffset>
                </wp:positionH>
                <wp:positionV relativeFrom="paragraph">
                  <wp:posOffset>63500</wp:posOffset>
                </wp:positionV>
                <wp:extent cx="1028065" cy="3022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102806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1758D" w14:textId="77777777" w:rsidR="00617657" w:rsidRPr="00AB5F70" w:rsidRDefault="00617657" w:rsidP="00617657">
                            <w:pPr>
                              <w:rPr>
                                <w:rFonts w:ascii="Times New Roman" w:hAnsi="Times New Roman" w:cs="Times New Roman"/>
                                <w:lang w:val="en-MY"/>
                              </w:rPr>
                            </w:pPr>
                            <w:r>
                              <w:rPr>
                                <w:rFonts w:ascii="Times New Roman" w:hAnsi="Times New Roman" w:cs="Times New Roman"/>
                                <w:lang w:val="en-MY"/>
                              </w:rPr>
                              <w:t xml:space="preserve">(b)     </w:t>
                            </w:r>
                            <w:r w:rsidRPr="00AB5F70">
                              <w:rPr>
                                <w:rFonts w:ascii="Times New Roman" w:hAnsi="Times New Roman" w:cs="Times New Roman"/>
                                <w:lang w:val="en-MY"/>
                              </w:rPr>
                              <w:t>3DEAPS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8E50E" id="Text Box 3" o:spid="_x0000_s1035" type="#_x0000_t202" style="position:absolute;left:0;text-align:left;margin-left:35.45pt;margin-top:5pt;width:80.95pt;height:23.8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" filled="f" stroked="f" strokeweight=".5pt">
                <v:textbox>
                  <w:txbxContent>
                    <w:p w14:paraId="3231758D" w14:textId="77777777" w:rsidR="00617657" w:rsidRPr="00AB5F70" w:rsidRDefault="00617657" w:rsidP="00617657">
                      <w:pPr>
                        <w:rPr>
                          <w:rFonts w:ascii="Times New Roman" w:hAnsi="Times New Roman" w:cs="Times New Roman"/>
                          <w:lang w:val="en-MY"/>
                        </w:rPr>
                      </w:pPr>
                      <w:r>
                        <w:rPr>
                          <w:rFonts w:ascii="Times New Roman" w:hAnsi="Times New Roman" w:cs="Times New Roman"/>
                          <w:lang w:val="en-MY"/>
                        </w:rPr>
                        <w:t xml:space="preserve">(b)     </w:t>
                      </w:r>
                      <w:r w:rsidRPr="00AB5F70">
                        <w:rPr>
                          <w:rFonts w:ascii="Times New Roman" w:hAnsi="Times New Roman" w:cs="Times New Roman"/>
                          <w:lang w:val="en-MY"/>
                        </w:rPr>
                        <w:t>3DEAPS</w:t>
                      </w:r>
                    </w:p>
                  </w:txbxContent>
                </v:textbox>
              </v:shape>
            </w:pict>
          </mc:Fallback>
        </mc:AlternateContent>
      </w:r>
      <w:r w:rsidRPr="00EB6D14">
        <w:rPr>
          <w:rFonts w:cs="Times"/>
          <w:noProof/>
          <w:lang w:eastAsia="en-GB"/>
        </w:rPr>
        <mc:AlternateContent>
          <mc:Choice Requires="wps">
            <w:drawing>
              <wp:anchor distT="0" distB="0" distL="114300" distR="114300" simplePos="0" relativeHeight="251709440" behindDoc="0" locked="0" layoutInCell="1" allowOverlap="1" wp14:anchorId="223A2CF5" wp14:editId="2CDB7C0F">
                <wp:simplePos x="0" y="0"/>
                <wp:positionH relativeFrom="column">
                  <wp:posOffset>4483735</wp:posOffset>
                </wp:positionH>
                <wp:positionV relativeFrom="paragraph">
                  <wp:posOffset>1508760</wp:posOffset>
                </wp:positionV>
                <wp:extent cx="252730" cy="2387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2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77746"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5</w:t>
                            </w:r>
                          </w:p>
                          <w:p w14:paraId="00177C2B"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A2CF5" id="Text Box 65" o:spid="_x0000_s1036" type="#_x0000_t202" style="position:absolute;left:0;text-align:left;margin-left:353.05pt;margin-top:118.8pt;width:19.9pt;height:18.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" filled="f" stroked="f" strokeweight=".5pt">
                <v:textbox>
                  <w:txbxContent>
                    <w:p w14:paraId="37277746"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5</w:t>
                      </w:r>
                    </w:p>
                    <w:p w14:paraId="00177C2B"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670528" behindDoc="0" locked="0" layoutInCell="1" allowOverlap="1" wp14:anchorId="7B33291B" wp14:editId="74BCF2F5">
                <wp:simplePos x="0" y="0"/>
                <wp:positionH relativeFrom="column">
                  <wp:posOffset>4732020</wp:posOffset>
                </wp:positionH>
                <wp:positionV relativeFrom="paragraph">
                  <wp:posOffset>520700</wp:posOffset>
                </wp:positionV>
                <wp:extent cx="379730" cy="2387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79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504E"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33291B" id="Text Box 63" o:spid="_x0000_s1037" type="#_x0000_t202" style="position:absolute;left:0;text-align:left;margin-left:372.6pt;margin-top:41pt;width:29.9pt;height:1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" filled="f" stroked="f" strokeweight=".5pt">
                <v:textbox>
                  <w:txbxContent>
                    <w:p w14:paraId="36AA504E"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1,8</w:t>
                      </w:r>
                    </w:p>
                  </w:txbxContent>
                </v:textbox>
              </v:shape>
            </w:pict>
          </mc:Fallback>
        </mc:AlternateContent>
      </w:r>
      <w:r w:rsidRPr="00EB6D14">
        <w:rPr>
          <w:rFonts w:cs="Times"/>
          <w:noProof/>
          <w:lang w:eastAsia="en-GB"/>
        </w:rPr>
        <mc:AlternateContent>
          <mc:Choice Requires="wps">
            <w:drawing>
              <wp:anchor distT="0" distB="0" distL="114300" distR="114300" simplePos="0" relativeHeight="251728896" behindDoc="0" locked="0" layoutInCell="1" allowOverlap="1" wp14:anchorId="0FC18E7A" wp14:editId="0F83A056">
                <wp:simplePos x="0" y="0"/>
                <wp:positionH relativeFrom="column">
                  <wp:posOffset>3316605</wp:posOffset>
                </wp:positionH>
                <wp:positionV relativeFrom="paragraph">
                  <wp:posOffset>1318895</wp:posOffset>
                </wp:positionV>
                <wp:extent cx="252730" cy="23876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27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F76A3"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6</w:t>
                            </w:r>
                            <w:r w:rsidRPr="00AB5F70">
                              <w:rPr>
                                <w:rFonts w:ascii="Times New Roman" w:hAnsi="Times New Roman" w:cs="Times New Roman"/>
                                <w:noProof/>
                                <w:lang w:eastAsia="en-GB"/>
                              </w:rPr>
                              <w:drawing>
                                <wp:inline distT="0" distB="0" distL="0" distR="0" wp14:anchorId="08CE30C8" wp14:editId="69322652">
                                  <wp:extent cx="63500" cy="617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43F5046F" wp14:editId="29B7FEB3">
                                  <wp:extent cx="63500" cy="617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2AB73996"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C18E7A" id="Text Box 68" o:spid="_x0000_s1038" type="#_x0000_t202" style="position:absolute;left:0;text-align:left;margin-left:261.15pt;margin-top:103.85pt;width:19.9pt;height:18.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" filled="f" stroked="f" strokeweight=".5pt">
                <v:textbox>
                  <w:txbxContent>
                    <w:p w14:paraId="713F76A3"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6</w:t>
                      </w:r>
                      <w:r w:rsidRPr="00AB5F70">
                        <w:rPr>
                          <w:rFonts w:ascii="Times New Roman" w:hAnsi="Times New Roman" w:cs="Times New Roman"/>
                          <w:noProof/>
                          <w:lang w:eastAsia="en-GB"/>
                        </w:rPr>
                        <w:drawing>
                          <wp:inline distT="0" distB="0" distL="0" distR="0" wp14:anchorId="08CE30C8" wp14:editId="69322652">
                            <wp:extent cx="63500" cy="617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43F5046F" wp14:editId="29B7FEB3">
                            <wp:extent cx="63500" cy="617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2AB73996"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748352" behindDoc="0" locked="0" layoutInCell="1" allowOverlap="1" wp14:anchorId="47AAB7B1" wp14:editId="7B55E0D5">
                <wp:simplePos x="0" y="0"/>
                <wp:positionH relativeFrom="column">
                  <wp:posOffset>1193165</wp:posOffset>
                </wp:positionH>
                <wp:positionV relativeFrom="paragraph">
                  <wp:posOffset>1426210</wp:posOffset>
                </wp:positionV>
                <wp:extent cx="386715" cy="2387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2F3D8"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8,9</w:t>
                            </w:r>
                            <w:r w:rsidRPr="00AB5F70">
                              <w:rPr>
                                <w:rFonts w:ascii="Times New Roman" w:hAnsi="Times New Roman" w:cs="Times New Roman"/>
                                <w:noProof/>
                                <w:lang w:eastAsia="en-GB"/>
                              </w:rPr>
                              <w:drawing>
                                <wp:inline distT="0" distB="0" distL="0" distR="0" wp14:anchorId="41437CB9" wp14:editId="5514977A">
                                  <wp:extent cx="63500" cy="6174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12040E19" wp14:editId="409D8257">
                                  <wp:extent cx="63500" cy="617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76415EA3"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AB7B1" id="Text Box 71" o:spid="_x0000_s1039" type="#_x0000_t202" style="position:absolute;left:0;text-align:left;margin-left:93.95pt;margin-top:112.3pt;width:30.45pt;height:18.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" filled="f" stroked="f" strokeweight=".5pt">
                <v:textbox>
                  <w:txbxContent>
                    <w:p w14:paraId="12B2F3D8"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8,9</w:t>
                      </w:r>
                      <w:r w:rsidRPr="00AB5F70">
                        <w:rPr>
                          <w:rFonts w:ascii="Times New Roman" w:hAnsi="Times New Roman" w:cs="Times New Roman"/>
                          <w:noProof/>
                          <w:lang w:eastAsia="en-GB"/>
                        </w:rPr>
                        <w:drawing>
                          <wp:inline distT="0" distB="0" distL="0" distR="0" wp14:anchorId="41437CB9" wp14:editId="5514977A">
                            <wp:extent cx="63500" cy="6174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12040E19" wp14:editId="409D8257">
                            <wp:extent cx="63500" cy="617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76415EA3"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787264" behindDoc="0" locked="0" layoutInCell="1" allowOverlap="1" wp14:anchorId="289F3BEC" wp14:editId="7FCA9FFA">
                <wp:simplePos x="0" y="0"/>
                <wp:positionH relativeFrom="column">
                  <wp:posOffset>436880</wp:posOffset>
                </wp:positionH>
                <wp:positionV relativeFrom="paragraph">
                  <wp:posOffset>1457325</wp:posOffset>
                </wp:positionV>
                <wp:extent cx="386715" cy="2387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E125A"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10</w:t>
                            </w:r>
                          </w:p>
                          <w:p w14:paraId="4C33033A"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F3BEC" id="Text Box 77" o:spid="_x0000_s1040" type="#_x0000_t202" style="position:absolute;left:0;text-align:left;margin-left:34.4pt;margin-top:114.75pt;width:30.45pt;height:18.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" filled="f" stroked="f" strokeweight=".5pt">
                <v:textbox>
                  <w:txbxContent>
                    <w:p w14:paraId="759E125A"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10</w:t>
                      </w:r>
                    </w:p>
                    <w:p w14:paraId="4C33033A"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767808" behindDoc="0" locked="0" layoutInCell="1" allowOverlap="1" wp14:anchorId="1B683275" wp14:editId="07647711">
                <wp:simplePos x="0" y="0"/>
                <wp:positionH relativeFrom="column">
                  <wp:posOffset>826135</wp:posOffset>
                </wp:positionH>
                <wp:positionV relativeFrom="paragraph">
                  <wp:posOffset>1501775</wp:posOffset>
                </wp:positionV>
                <wp:extent cx="386715" cy="2387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671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2408F"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11</w:t>
                            </w:r>
                          </w:p>
                          <w:p w14:paraId="631387F0"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83275" id="Text Box 74" o:spid="_x0000_s1041" type="#_x0000_t202" style="position:absolute;left:0;text-align:left;margin-left:65.05pt;margin-top:118.25pt;width:30.45pt;height:18.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" filled="f" stroked="f" strokeweight=".5pt">
                <v:textbox>
                  <w:txbxContent>
                    <w:p w14:paraId="5E22408F"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11</w:t>
                      </w:r>
                    </w:p>
                    <w:p w14:paraId="631387F0"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689984" behindDoc="0" locked="0" layoutInCell="1" allowOverlap="1" wp14:anchorId="3438825F" wp14:editId="76EE3D04">
                <wp:simplePos x="0" y="0"/>
                <wp:positionH relativeFrom="column">
                  <wp:posOffset>3627755</wp:posOffset>
                </wp:positionH>
                <wp:positionV relativeFrom="paragraph">
                  <wp:posOffset>1019175</wp:posOffset>
                </wp:positionV>
                <wp:extent cx="485140" cy="2387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851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D2042"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2,4,7</w:t>
                            </w:r>
                            <w:r w:rsidRPr="00AB5F70">
                              <w:rPr>
                                <w:rFonts w:ascii="Times New Roman" w:hAnsi="Times New Roman" w:cs="Times New Roman"/>
                                <w:noProof/>
                                <w:lang w:eastAsia="en-GB"/>
                              </w:rPr>
                              <w:drawing>
                                <wp:inline distT="0" distB="0" distL="0" distR="0" wp14:anchorId="0287F2DF" wp14:editId="347CFB3A">
                                  <wp:extent cx="63500" cy="6174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39BEABFA" wp14:editId="62D8605F">
                                  <wp:extent cx="63500" cy="617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71BB5306" w14:textId="77777777" w:rsidR="00617657" w:rsidRPr="00AB5F70" w:rsidRDefault="00617657" w:rsidP="00617657">
                            <w:pPr>
                              <w:rPr>
                                <w:rFonts w:ascii="Times New Roman" w:hAnsi="Times New Roman" w:cs="Times New Roman"/>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8825F" id="Text Box 64" o:spid="_x0000_s1042" type="#_x0000_t202" style="position:absolute;left:0;text-align:left;margin-left:285.65pt;margin-top:80.25pt;width:38.2pt;height:18.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" filled="f" stroked="f" strokeweight=".5pt">
                <v:textbox>
                  <w:txbxContent>
                    <w:p w14:paraId="29AD2042" w14:textId="77777777" w:rsidR="00617657" w:rsidRPr="00AB5F70" w:rsidRDefault="00617657" w:rsidP="00617657">
                      <w:pPr>
                        <w:rPr>
                          <w:rFonts w:ascii="Times New Roman" w:hAnsi="Times New Roman" w:cs="Times New Roman"/>
                          <w:lang w:val="en-MY"/>
                        </w:rPr>
                      </w:pPr>
                      <w:r w:rsidRPr="00AB5F70">
                        <w:rPr>
                          <w:rFonts w:ascii="Times New Roman" w:hAnsi="Times New Roman" w:cs="Times New Roman"/>
                          <w:lang w:val="en-MY"/>
                        </w:rPr>
                        <w:t>2,4,7</w:t>
                      </w:r>
                      <w:r w:rsidRPr="00AB5F70">
                        <w:rPr>
                          <w:rFonts w:ascii="Times New Roman" w:hAnsi="Times New Roman" w:cs="Times New Roman"/>
                          <w:noProof/>
                          <w:lang w:eastAsia="en-GB"/>
                        </w:rPr>
                        <w:drawing>
                          <wp:inline distT="0" distB="0" distL="0" distR="0" wp14:anchorId="0287F2DF" wp14:editId="347CFB3A">
                            <wp:extent cx="63500" cy="6174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r w:rsidRPr="00AB5F70">
                        <w:rPr>
                          <w:rFonts w:ascii="Times New Roman" w:hAnsi="Times New Roman" w:cs="Times New Roman"/>
                          <w:noProof/>
                          <w:lang w:eastAsia="en-GB"/>
                        </w:rPr>
                        <w:drawing>
                          <wp:inline distT="0" distB="0" distL="0" distR="0" wp14:anchorId="39BEABFA" wp14:editId="62D8605F">
                            <wp:extent cx="63500" cy="617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 cy="61749"/>
                                    </a:xfrm>
                                    <a:prstGeom prst="rect">
                                      <a:avLst/>
                                    </a:prstGeom>
                                    <a:noFill/>
                                    <a:ln>
                                      <a:noFill/>
                                    </a:ln>
                                  </pic:spPr>
                                </pic:pic>
                              </a:graphicData>
                            </a:graphic>
                          </wp:inline>
                        </w:drawing>
                      </w:r>
                    </w:p>
                    <w:p w14:paraId="71BB5306" w14:textId="77777777" w:rsidR="00617657" w:rsidRPr="00AB5F70" w:rsidRDefault="00617657" w:rsidP="00617657">
                      <w:pPr>
                        <w:rPr>
                          <w:rFonts w:ascii="Times New Roman" w:hAnsi="Times New Roman" w:cs="Times New Roman"/>
                          <w:lang w:val="en-MY"/>
                        </w:rPr>
                      </w:pPr>
                    </w:p>
                  </w:txbxContent>
                </v:textbox>
              </v:shape>
            </w:pict>
          </mc:Fallback>
        </mc:AlternateContent>
      </w:r>
      <w:r w:rsidRPr="00EB6D14">
        <w:rPr>
          <w:rFonts w:cs="Times"/>
          <w:noProof/>
          <w:lang w:eastAsia="en-GB"/>
        </w:rPr>
        <mc:AlternateContent>
          <mc:Choice Requires="wps">
            <w:drawing>
              <wp:anchor distT="0" distB="0" distL="114300" distR="114300" simplePos="0" relativeHeight="251495424" behindDoc="0" locked="0" layoutInCell="1" allowOverlap="1" wp14:anchorId="2CA7BFBC" wp14:editId="3A735DBF">
                <wp:simplePos x="0" y="0"/>
                <wp:positionH relativeFrom="column">
                  <wp:posOffset>555575</wp:posOffset>
                </wp:positionH>
                <wp:positionV relativeFrom="paragraph">
                  <wp:posOffset>197484</wp:posOffset>
                </wp:positionV>
                <wp:extent cx="3073791" cy="1420837"/>
                <wp:effectExtent l="0" t="0" r="0" b="0"/>
                <wp:wrapNone/>
                <wp:docPr id="43" name="Rectangle 43"/>
                <wp:cNvGraphicFramePr/>
                <a:graphic xmlns:a="http://schemas.openxmlformats.org/drawingml/2006/main">
                  <a:graphicData uri="http://schemas.microsoft.com/office/word/2010/wordprocessingShape">
                    <wps:wsp>
                      <wps:cNvSpPr/>
                      <wps:spPr>
                        <a:xfrm>
                          <a:off x="0" y="0"/>
                          <a:ext cx="3073791" cy="142083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F61273" w14:textId="77777777" w:rsidR="00617657" w:rsidRDefault="00617657" w:rsidP="00617657">
                            <w:pPr>
                              <w:jc w:val="center"/>
                            </w:pPr>
                            <w:r>
                              <w:rPr>
                                <w:noProof/>
                                <w:lang w:eastAsia="en-GB"/>
                              </w:rPr>
                              <w:drawing>
                                <wp:inline distT="0" distB="0" distL="0" distR="0" wp14:anchorId="2F1E888A" wp14:editId="4168D765">
                                  <wp:extent cx="2903670" cy="1100460"/>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APS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742" cy="1103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7BFBC" id="Rectangle 43" o:spid="_x0000_s1043" style="position:absolute;left:0;text-align:left;margin-left:43.75pt;margin-top:15.55pt;width:242.05pt;height:111.9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" filled="f" stroked="f" strokeweight="2pt">
                <v:textbox>
                  <w:txbxContent>
                    <w:p w14:paraId="21F61273" w14:textId="77777777" w:rsidR="00617657" w:rsidRDefault="00617657" w:rsidP="00617657">
                      <w:pPr>
                        <w:jc w:val="center"/>
                      </w:pPr>
                      <w:r>
                        <w:rPr>
                          <w:noProof/>
                          <w:lang w:eastAsia="en-GB"/>
                        </w:rPr>
                        <w:drawing>
                          <wp:inline distT="0" distB="0" distL="0" distR="0" wp14:anchorId="2F1E888A" wp14:editId="4168D765">
                            <wp:extent cx="2903670" cy="1100460"/>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APS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742" cy="1103140"/>
                                    </a:xfrm>
                                    <a:prstGeom prst="rect">
                                      <a:avLst/>
                                    </a:prstGeom>
                                  </pic:spPr>
                                </pic:pic>
                              </a:graphicData>
                            </a:graphic>
                          </wp:inline>
                        </w:drawing>
                      </w:r>
                    </w:p>
                  </w:txbxContent>
                </v:textbox>
              </v:rect>
            </w:pict>
          </mc:Fallback>
        </mc:AlternateContent>
      </w:r>
      <w:r w:rsidRPr="00EB6D14">
        <w:rPr>
          <w:rFonts w:cs="Times"/>
          <w:noProof/>
          <w:lang w:eastAsia="en-GB"/>
        </w:rPr>
        <w:drawing>
          <wp:inline distT="0" distB="0" distL="0" distR="0" wp14:anchorId="76E0490B" wp14:editId="7EF57F5D">
            <wp:extent cx="4849200" cy="2426263"/>
            <wp:effectExtent l="19050" t="19050" r="889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psicfas.tiff"/>
                    <pic:cNvPicPr/>
                  </pic:nvPicPr>
                  <pic:blipFill rotWithShape="1">
                    <a:blip r:embed="rId12">
                      <a:extLst>
                        <a:ext uri="{28A0092B-C50C-407E-A947-70E740481C1C}">
                          <a14:useLocalDpi xmlns:a14="http://schemas.microsoft.com/office/drawing/2010/main" val="0"/>
                        </a:ext>
                      </a:extLst>
                    </a:blip>
                    <a:srcRect t="33610" r="6461"/>
                    <a:stretch/>
                  </pic:blipFill>
                  <pic:spPr bwMode="auto">
                    <a:xfrm>
                      <a:off x="0" y="0"/>
                      <a:ext cx="4849200" cy="24262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ABD93E4" w14:textId="77777777" w:rsidR="00617657" w:rsidRPr="00EB6D14" w:rsidRDefault="00617657" w:rsidP="00617657">
      <w:pPr>
        <w:jc w:val="center"/>
        <w:rPr>
          <w:rFonts w:cs="Times"/>
        </w:rPr>
      </w:pPr>
    </w:p>
    <w:p w14:paraId="05DF77BC" w14:textId="2B24214D" w:rsidR="00617657" w:rsidRDefault="00617657" w:rsidP="00617657">
      <w:pPr>
        <w:jc w:val="center"/>
        <w:rPr>
          <w:rFonts w:ascii="Times New Roman" w:hAnsi="Times New Roman" w:cs="Times New Roman"/>
        </w:rPr>
      </w:pPr>
      <w:r w:rsidRPr="00EB6D14">
        <w:rPr>
          <w:rFonts w:ascii="Times New Roman" w:hAnsi="Times New Roman" w:cs="Times New Roman"/>
        </w:rPr>
        <w:t xml:space="preserve">Figure1. </w:t>
      </w:r>
      <w:r w:rsidRPr="00EB6D14">
        <w:rPr>
          <w:rFonts w:ascii="Times New Roman" w:hAnsi="Times New Roman" w:cs="Times New Roman"/>
          <w:vertAlign w:val="superscript"/>
        </w:rPr>
        <w:t>1</w:t>
      </w:r>
      <w:r w:rsidRPr="00EB6D14">
        <w:rPr>
          <w:rFonts w:ascii="Times New Roman" w:hAnsi="Times New Roman" w:cs="Times New Roman"/>
        </w:rPr>
        <w:t>H NMR of synthesized PILs (a) 3DMAPS, (b) 3DEAPS</w:t>
      </w:r>
    </w:p>
    <w:p w14:paraId="241E4D08" w14:textId="77777777" w:rsidR="007756A3" w:rsidRPr="00EB6D14" w:rsidRDefault="007756A3" w:rsidP="00617657">
      <w:pPr>
        <w:jc w:val="center"/>
        <w:rPr>
          <w:rFonts w:ascii="Times New Roman" w:hAnsi="Times New Roman" w:cs="Times New Roman"/>
        </w:rPr>
      </w:pPr>
    </w:p>
    <w:p w14:paraId="69011BF8" w14:textId="77777777" w:rsidR="00617657" w:rsidRPr="007756A3" w:rsidRDefault="00617657" w:rsidP="00CD0720">
      <w:pPr>
        <w:pStyle w:val="Heading2"/>
      </w:pPr>
      <w:r w:rsidRPr="007756A3">
        <w:t>FTIR spectroscopy</w:t>
      </w:r>
    </w:p>
    <w:p w14:paraId="6B24EA21" w14:textId="77777777" w:rsidR="007756A3" w:rsidRDefault="00D7098A" w:rsidP="007756A3">
      <w:pPr>
        <w:pStyle w:val="Section"/>
        <w:numPr>
          <w:ilvl w:val="0"/>
          <w:numId w:val="0"/>
        </w:numPr>
        <w:spacing w:before="0"/>
        <w:jc w:val="both"/>
        <w:rPr>
          <w:rFonts w:ascii="Times New Roman" w:hAnsi="Times New Roman"/>
          <w:b w:val="0"/>
          <w:color w:val="auto"/>
          <w:sz w:val="20"/>
          <w:szCs w:val="20"/>
        </w:rPr>
      </w:pPr>
      <w:r w:rsidRPr="00EB6D14">
        <w:rPr>
          <w:rFonts w:ascii="Times New Roman" w:hAnsi="Times New Roman"/>
          <w:b w:val="0"/>
          <w:color w:val="auto"/>
          <w:sz w:val="20"/>
          <w:szCs w:val="20"/>
        </w:rPr>
        <w:t>The synthesised PILs were further characterised using Fourier transform infrared spectroscopy (FTIR). From the FTIR spectra, the vibration peak of the amine and carbonyl functional group was studied to determine the formation of the PILs. Figure 2 (a and b) shows the FTIR spectra of synthesised PILs with neat alkanolamine and phenolic acid. It can be seen that neat phenolic acid (salicylic acid, SA) spectrum has a sharp peak at wavenumber of 1650.77 cm</w:t>
      </w:r>
      <w:r w:rsidRPr="00EB6D14">
        <w:rPr>
          <w:rFonts w:ascii="Times New Roman" w:hAnsi="Times New Roman"/>
          <w:b w:val="0"/>
          <w:color w:val="auto"/>
          <w:sz w:val="20"/>
          <w:szCs w:val="20"/>
          <w:vertAlign w:val="superscript"/>
        </w:rPr>
        <w:t>-1</w:t>
      </w:r>
      <w:r w:rsidRPr="00EB6D14">
        <w:rPr>
          <w:rFonts w:ascii="Times New Roman" w:hAnsi="Times New Roman"/>
          <w:b w:val="0"/>
          <w:color w:val="auto"/>
          <w:sz w:val="20"/>
          <w:szCs w:val="20"/>
        </w:rPr>
        <w:t xml:space="preserve">. This indicated the vibration frequency of the carbonyl group (C=O) of carboxylic acid </w:t>
      </w:r>
      <w:r w:rsidR="00670217" w:rsidRPr="00EB6D14">
        <w:rPr>
          <w:rFonts w:ascii="Times New Roman" w:hAnsi="Times New Roman"/>
          <w:b w:val="0"/>
          <w:color w:val="auto"/>
          <w:sz w:val="20"/>
          <w:szCs w:val="20"/>
        </w:rPr>
        <w:fldChar w:fldCharType="begin" w:fldLock="1"/>
      </w:r>
      <w:r w:rsidR="00670217" w:rsidRPr="00EB6D14">
        <w:rPr>
          <w:rFonts w:ascii="Times New Roman" w:hAnsi="Times New Roman"/>
          <w:b w:val="0"/>
          <w:color w:val="auto"/>
          <w:sz w:val="20"/>
          <w:szCs w:val="20"/>
        </w:rPr>
        <w:instrText>ADDIN CSL_CITATION {"citationItems":[{"id":"ITEM-1","itemData":{"author":[{"dropping-particle":"","family":"M.J.M. Takac","given":"D.V.Topic","non-dropping-particle":"","parse-names":false,"suffix":""}],"container-title":"Acta Pharm","id":"ITEM-1","issued":{"date-parts":[["2004"]]},"page":"177-191","title":"FT-IR and NMR spectroscopic studies of salicylic acid derivatives . II . Comparison of 2-hydroxy- and 2 , 4- and","type":"article-journal","volume":"54"},"uris":["http://www.mendeley.com/documents/?uuid=038df133-e4aa-462f-8a25-33c6da48ee1a"]}],"mendeley":{"formattedCitation":"[16]","plainTextFormattedCitation":"[16]","previouslyFormattedCitation":"[16]"},"properties":{"noteIndex":0},"schema":"https://github.com/citation-style-language/schema/raw/master/csl-citation.json"}</w:instrText>
      </w:r>
      <w:r w:rsidR="00670217" w:rsidRPr="00EB6D14">
        <w:rPr>
          <w:rFonts w:ascii="Times New Roman" w:hAnsi="Times New Roman"/>
          <w:b w:val="0"/>
          <w:color w:val="auto"/>
          <w:sz w:val="20"/>
          <w:szCs w:val="20"/>
        </w:rPr>
        <w:fldChar w:fldCharType="separate"/>
      </w:r>
      <w:r w:rsidR="00670217" w:rsidRPr="00EB6D14">
        <w:rPr>
          <w:rFonts w:ascii="Times New Roman" w:hAnsi="Times New Roman"/>
          <w:b w:val="0"/>
          <w:noProof/>
          <w:color w:val="auto"/>
          <w:sz w:val="20"/>
          <w:szCs w:val="20"/>
        </w:rPr>
        <w:t>[16]</w:t>
      </w:r>
      <w:r w:rsidR="00670217"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w:t>
      </w:r>
    </w:p>
    <w:p w14:paraId="107F5658" w14:textId="77777777" w:rsidR="007756A3" w:rsidRDefault="007756A3" w:rsidP="007756A3">
      <w:pPr>
        <w:pStyle w:val="Section"/>
        <w:numPr>
          <w:ilvl w:val="0"/>
          <w:numId w:val="0"/>
        </w:numPr>
        <w:spacing w:before="0"/>
        <w:jc w:val="both"/>
        <w:rPr>
          <w:rFonts w:ascii="Times New Roman" w:hAnsi="Times New Roman"/>
          <w:b w:val="0"/>
          <w:color w:val="auto"/>
          <w:sz w:val="20"/>
          <w:szCs w:val="20"/>
        </w:rPr>
      </w:pPr>
    </w:p>
    <w:p w14:paraId="54975E96" w14:textId="15DC8131" w:rsidR="00617657" w:rsidRPr="0002591C" w:rsidRDefault="00D7098A" w:rsidP="0002591C">
      <w:pPr>
        <w:pStyle w:val="Section"/>
        <w:numPr>
          <w:ilvl w:val="0"/>
          <w:numId w:val="0"/>
        </w:numPr>
        <w:spacing w:before="0"/>
        <w:jc w:val="both"/>
        <w:rPr>
          <w:rFonts w:ascii="Times New Roman" w:hAnsi="Times New Roman"/>
          <w:b w:val="0"/>
          <w:color w:val="auto"/>
          <w:sz w:val="20"/>
          <w:szCs w:val="20"/>
        </w:rPr>
      </w:pPr>
      <w:r w:rsidRPr="00EB6D14">
        <w:rPr>
          <w:rFonts w:ascii="Times New Roman" w:hAnsi="Times New Roman"/>
          <w:b w:val="0"/>
          <w:color w:val="auto"/>
          <w:sz w:val="20"/>
          <w:szCs w:val="20"/>
        </w:rPr>
        <w:t>Meanwhile, there was no –NH bending vibration detected in the neat 3DMAP and 3DEAP due to the absence of –NH bond in the tertiary alkanolamine (3DMAP and 3DEAP). However, in the 3DMAPS spectrum, a new weak peak was observed at 1625.70 cm</w:t>
      </w:r>
      <w:r w:rsidRPr="00EB6D14">
        <w:rPr>
          <w:rFonts w:ascii="Times New Roman" w:hAnsi="Times New Roman"/>
          <w:b w:val="0"/>
          <w:color w:val="auto"/>
          <w:sz w:val="20"/>
          <w:szCs w:val="20"/>
          <w:vertAlign w:val="superscript"/>
        </w:rPr>
        <w:t>-1</w:t>
      </w:r>
      <w:r w:rsidRPr="00EB6D14">
        <w:rPr>
          <w:rFonts w:ascii="Times New Roman" w:hAnsi="Times New Roman"/>
          <w:b w:val="0"/>
          <w:color w:val="auto"/>
          <w:sz w:val="20"/>
          <w:szCs w:val="20"/>
        </w:rPr>
        <w:t xml:space="preserve"> and at 1626.18 cm</w:t>
      </w:r>
      <w:r w:rsidRPr="00EB6D14">
        <w:rPr>
          <w:rFonts w:ascii="Times New Roman" w:hAnsi="Times New Roman"/>
          <w:b w:val="0"/>
          <w:color w:val="auto"/>
          <w:sz w:val="20"/>
          <w:szCs w:val="20"/>
          <w:vertAlign w:val="superscript"/>
        </w:rPr>
        <w:t>-1</w:t>
      </w:r>
      <w:r w:rsidRPr="00EB6D14">
        <w:rPr>
          <w:rFonts w:ascii="Times New Roman" w:hAnsi="Times New Roman"/>
          <w:b w:val="0"/>
          <w:color w:val="auto"/>
          <w:sz w:val="20"/>
          <w:szCs w:val="20"/>
        </w:rPr>
        <w:t xml:space="preserve"> in 3DEAPS, which denotes the vibration peaks of protonated tertiary amine –NH</w:t>
      </w:r>
      <w:r w:rsidRPr="00EB6D14">
        <w:rPr>
          <w:rFonts w:ascii="Times New Roman" w:hAnsi="Times New Roman"/>
          <w:b w:val="0"/>
          <w:color w:val="auto"/>
          <w:sz w:val="20"/>
          <w:szCs w:val="20"/>
          <w:vertAlign w:val="superscript"/>
        </w:rPr>
        <w:t>+</w:t>
      </w:r>
      <w:r w:rsidRPr="00EB6D14">
        <w:rPr>
          <w:rFonts w:ascii="Times New Roman" w:hAnsi="Times New Roman"/>
          <w:b w:val="0"/>
          <w:color w:val="auto"/>
          <w:sz w:val="20"/>
          <w:szCs w:val="20"/>
        </w:rPr>
        <w:t xml:space="preserve"> </w:t>
      </w:r>
      <w:r w:rsidR="00670217" w:rsidRPr="00EB6D14">
        <w:rPr>
          <w:rFonts w:ascii="Times New Roman" w:hAnsi="Times New Roman"/>
          <w:b w:val="0"/>
          <w:color w:val="auto"/>
          <w:sz w:val="20"/>
          <w:szCs w:val="20"/>
        </w:rPr>
        <w:fldChar w:fldCharType="begin" w:fldLock="1"/>
      </w:r>
      <w:r w:rsidR="00670217" w:rsidRPr="00EB6D14">
        <w:rPr>
          <w:rFonts w:ascii="Times New Roman" w:hAnsi="Times New Roman"/>
          <w:b w:val="0"/>
          <w:color w:val="auto"/>
          <w:sz w:val="20"/>
          <w:szCs w:val="20"/>
        </w:rPr>
        <w:instrText>ADDIN CSL_CITATION {"citationItems":[{"id":"ITEM-1","itemData":{"DOI":"10.1002/jps.2600551115","ISSN":"15206017","abstract":"Abstract The purpose of this investigation was to study the applicability of near-infrared spectroscopy to pharmaceutical analysis. Of particular interest was a model series of aliphatic amine hydrochlorides, and as typical pharmaceutical examples, the sympathomimetic amine salts were studied. Both solid state and chloroform solution spectra were obtained and their qualitative and quantitative applications were evaluated.","author":[{"dropping-particle":"","family":"Sinsheimer","given":"Joseph E.","non-dropping-particle":"","parse-names":false,"suffix":""},{"dropping-particle":"","family":"Keuhnelian","given":"Anne M.","non-dropping-particle":"","parse-names":false,"suffix":""}],"container-title":"Journal of Pharmaceutical Sciences","id":"ITEM-1","issue":"11","issued":{"date-parts":[["1966"]]},"page":"1240-1244","title":"Near‐infrared spectroscopy of amine salts","type":"article-journal","volume":"55"},"uris":["http://www.mendeley.com/documents/?uuid=b5e9f135-2471-4760-b61d-124062b78497"]},{"id":"ITEM-2","itemData":{"author":[{"dropping-particle":"","family":"Cook","given":"Denys","non-dropping-particle":"","parse-names":false,"suffix":""}],"container-title":"Canadian Journal of Chemistry","id":"ITEM-2","issue":"10","issued":{"date-parts":[["1964"]]},"page":"2292-2299","publisher":"NRC Research Press","title":"Protonation Site in Organic Bases From Infrared X—H Deformation Modes","type":"article-journal","volume":"42"},"uris":["http://www.mendeley.com/documents/?uuid=f86f7cbf-a804-4c32-a30a-67854f93d10e"]}],"mendeley":{"formattedCitation":"[17,18]","plainTextFormattedCitation":"[17,18]","previouslyFormattedCitation":"[17,18]"},"properties":{"noteIndex":0},"schema":"https://github.com/citation-style-language/schema/raw/master/csl-citation.json"}</w:instrText>
      </w:r>
      <w:r w:rsidR="00670217" w:rsidRPr="00EB6D14">
        <w:rPr>
          <w:rFonts w:ascii="Times New Roman" w:hAnsi="Times New Roman"/>
          <w:b w:val="0"/>
          <w:color w:val="auto"/>
          <w:sz w:val="20"/>
          <w:szCs w:val="20"/>
        </w:rPr>
        <w:fldChar w:fldCharType="separate"/>
      </w:r>
      <w:r w:rsidR="00670217" w:rsidRPr="00EB6D14">
        <w:rPr>
          <w:rFonts w:ascii="Times New Roman" w:hAnsi="Times New Roman"/>
          <w:b w:val="0"/>
          <w:noProof/>
          <w:color w:val="auto"/>
          <w:sz w:val="20"/>
          <w:szCs w:val="20"/>
        </w:rPr>
        <w:t>[17,</w:t>
      </w:r>
      <w:r w:rsidR="007756A3">
        <w:rPr>
          <w:rFonts w:ascii="Times New Roman" w:hAnsi="Times New Roman"/>
          <w:b w:val="0"/>
          <w:noProof/>
          <w:color w:val="auto"/>
          <w:sz w:val="20"/>
          <w:szCs w:val="20"/>
        </w:rPr>
        <w:t xml:space="preserve"> </w:t>
      </w:r>
      <w:r w:rsidR="00670217" w:rsidRPr="00EB6D14">
        <w:rPr>
          <w:rFonts w:ascii="Times New Roman" w:hAnsi="Times New Roman"/>
          <w:b w:val="0"/>
          <w:noProof/>
          <w:color w:val="auto"/>
          <w:sz w:val="20"/>
          <w:szCs w:val="20"/>
        </w:rPr>
        <w:t>18]</w:t>
      </w:r>
      <w:r w:rsidR="00670217"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 xml:space="preserve">. </w:t>
      </w:r>
      <w:r w:rsidRPr="00EB6D14">
        <w:rPr>
          <w:rFonts w:ascii="Times New Roman" w:hAnsi="Times New Roman"/>
          <w:b w:val="0"/>
          <w:color w:val="auto"/>
          <w:sz w:val="20"/>
          <w:szCs w:val="20"/>
        </w:rPr>
        <w:t>On top of that, the carboxylate anion (–COO</w:t>
      </w:r>
      <w:r w:rsidRPr="00EB6D14">
        <w:rPr>
          <w:rFonts w:ascii="Times New Roman" w:hAnsi="Times New Roman"/>
          <w:b w:val="0"/>
          <w:color w:val="auto"/>
          <w:sz w:val="20"/>
          <w:szCs w:val="20"/>
          <w:vertAlign w:val="superscript"/>
        </w:rPr>
        <w:t>-</w:t>
      </w:r>
      <w:r w:rsidRPr="00EB6D14">
        <w:rPr>
          <w:rFonts w:ascii="Times New Roman" w:hAnsi="Times New Roman"/>
          <w:b w:val="0"/>
          <w:color w:val="auto"/>
          <w:sz w:val="20"/>
          <w:szCs w:val="20"/>
        </w:rPr>
        <w:t>) was detected at 1377.408 and 1379.818 cm</w:t>
      </w:r>
      <w:r w:rsidRPr="00EB6D14">
        <w:rPr>
          <w:rFonts w:ascii="Times New Roman" w:hAnsi="Times New Roman"/>
          <w:b w:val="0"/>
          <w:color w:val="auto"/>
          <w:sz w:val="20"/>
          <w:szCs w:val="20"/>
          <w:vertAlign w:val="superscript"/>
        </w:rPr>
        <w:t>-1</w:t>
      </w:r>
      <w:r w:rsidRPr="00EB6D14">
        <w:rPr>
          <w:rFonts w:ascii="Times New Roman" w:hAnsi="Times New Roman"/>
          <w:b w:val="0"/>
          <w:color w:val="auto"/>
          <w:sz w:val="20"/>
          <w:szCs w:val="20"/>
        </w:rPr>
        <w:t xml:space="preserve"> in the spectrum of the 3DMAPS and 3DEAPS, respectively. Thus, it could be deduced that the resonance effect of the carboxylate anion had caused the shift of the peak as the hydrogen atom from hydroxyl group of the SA was transferred to the nitrogen atom of the tertiary alkanolamine</w:t>
      </w:r>
      <w:r w:rsidR="00670217" w:rsidRPr="00EB6D14">
        <w:rPr>
          <w:rFonts w:ascii="Times New Roman" w:hAnsi="Times New Roman"/>
          <w:b w:val="0"/>
          <w:color w:val="auto"/>
          <w:sz w:val="20"/>
          <w:szCs w:val="20"/>
        </w:rPr>
        <w:t xml:space="preserve"> </w:t>
      </w:r>
      <w:r w:rsidR="00670217" w:rsidRPr="00EB6D14">
        <w:rPr>
          <w:rFonts w:ascii="Times New Roman" w:hAnsi="Times New Roman"/>
          <w:b w:val="0"/>
          <w:color w:val="auto"/>
          <w:sz w:val="20"/>
          <w:szCs w:val="20"/>
        </w:rPr>
        <w:fldChar w:fldCharType="begin" w:fldLock="1"/>
      </w:r>
      <w:r w:rsidR="00670217" w:rsidRPr="00EB6D14">
        <w:rPr>
          <w:rFonts w:ascii="Times New Roman" w:hAnsi="Times New Roman"/>
          <w:b w:val="0"/>
          <w:color w:val="auto"/>
          <w:sz w:val="20"/>
          <w:szCs w:val="20"/>
        </w:rPr>
        <w:instrText>ADDIN CSL_CITATION {"citationItems":[{"id":"ITEM-1","itemData":{"author":[{"dropping-particle":"","family":"Pavia","given":"Donald L","non-dropping-particle":"","parse-names":false,"suffix":""},{"dropping-particle":"","family":"Lampman","given":"Gary M","non-dropping-particle":"","parse-names":false,"suffix":""},{"dropping-particle":"","family":"Kriz","given":"George S","non-dropping-particle":"","parse-names":false,"suffix":""}],"id":"ITEM-1","issued":{"date-parts":[["2010"]]},"number-of-pages":"80-81","publisher":"Cengage Learning","title":"Introduction to Spectroscopy","type":"book"},"uris":["http://www.mendeley.com/documents/?uuid=dd75bbcf-5a53-42b3-96b5-77a97f2bbb60"]}],"mendeley":{"formattedCitation":"[19]","plainTextFormattedCitation":"[19]","previouslyFormattedCitation":"[19]"},"properties":{"noteIndex":0},"schema":"https://github.com/citation-style-language/schema/raw/master/csl-citation.json"}</w:instrText>
      </w:r>
      <w:r w:rsidR="00670217" w:rsidRPr="00EB6D14">
        <w:rPr>
          <w:rFonts w:ascii="Times New Roman" w:hAnsi="Times New Roman"/>
          <w:b w:val="0"/>
          <w:color w:val="auto"/>
          <w:sz w:val="20"/>
          <w:szCs w:val="20"/>
        </w:rPr>
        <w:fldChar w:fldCharType="separate"/>
      </w:r>
      <w:r w:rsidR="00670217" w:rsidRPr="00EB6D14">
        <w:rPr>
          <w:rFonts w:ascii="Times New Roman" w:hAnsi="Times New Roman"/>
          <w:b w:val="0"/>
          <w:noProof/>
          <w:color w:val="auto"/>
          <w:sz w:val="20"/>
          <w:szCs w:val="20"/>
        </w:rPr>
        <w:t>[19]</w:t>
      </w:r>
      <w:r w:rsidR="00670217"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 xml:space="preserve">. </w:t>
      </w:r>
      <w:r w:rsidRPr="00EB6D14">
        <w:rPr>
          <w:rFonts w:ascii="Times New Roman" w:hAnsi="Times New Roman"/>
          <w:b w:val="0"/>
          <w:color w:val="auto"/>
          <w:sz w:val="20"/>
          <w:szCs w:val="20"/>
        </w:rPr>
        <w:t>The findings are in agreement with the results reported by other researchers</w:t>
      </w:r>
      <w:r w:rsidR="00670217" w:rsidRPr="00EB6D14">
        <w:rPr>
          <w:rFonts w:ascii="Times New Roman" w:hAnsi="Times New Roman"/>
          <w:b w:val="0"/>
          <w:color w:val="auto"/>
          <w:sz w:val="20"/>
          <w:szCs w:val="20"/>
        </w:rPr>
        <w:t xml:space="preserve"> </w:t>
      </w:r>
      <w:r w:rsidR="00670217" w:rsidRPr="00EB6D14">
        <w:rPr>
          <w:rFonts w:ascii="Times New Roman" w:hAnsi="Times New Roman"/>
          <w:b w:val="0"/>
          <w:color w:val="auto"/>
          <w:sz w:val="20"/>
          <w:szCs w:val="20"/>
        </w:rPr>
        <w:fldChar w:fldCharType="begin" w:fldLock="1"/>
      </w:r>
      <w:r w:rsidR="004C7AD9" w:rsidRPr="00EB6D14">
        <w:rPr>
          <w:rFonts w:ascii="Times New Roman" w:hAnsi="Times New Roman"/>
          <w:b w:val="0"/>
          <w:color w:val="auto"/>
          <w:sz w:val="20"/>
          <w:szCs w:val="20"/>
        </w:rPr>
        <w:instrText>ADDIN CSL_CITATION {"citationItems":[{"id":"ITEM-1","itemData":{"DOI":"10.1016/S0168-3659(01)00389-3","ISSN":"01683659","abstract":"Four different grades of chitosan varying in molecular weight and degree of deacetylation were used to prepare chitosan films. Salicylic acid and theophylline were incorporated into cast chitosan films as model acidic and basic drugs, respectively. Crystalline characteristics, thermal behavior, drug-polymer interaction and drug release behaviors of the films were studied. The results of Fourier transform infrared and solid-state 13C NMR spectroscopy demonstrated the drug-polymer interaction between salicylic acid and chitosan, resulting in salicylate formation, whereas no drug-polymer interaction was observed in theophylline-loaded chitosan films. Most chitosan films loaded with either salicylic acid or theophylline exhibited a fast release pattern, whereas the high viscosity chitosan films incorporated with salicylic acid showed sustained release patterns in distilled water. The sustained release action of salicylic acid from the high viscosity chitosan films was due to the drug-polymer interaction. The mechanism of release was Fickian diffusion control with subsequent zero order release. It was suggested that the swelling property, dissolution characteristics of the polymer films, pKa of drugs and especially drug-polymer interaction were important factors governing drug release patterns from chitosan films. © 2001 Elsevier Science B.V.","author":[{"dropping-particle":"","family":"Puttipipatkhachorn","given":"S.","non-dropping-particle":"","parse-names":false,"suffix":""},{"dropping-particle":"","family":"Nunthanid","given":"J.","non-dropping-particle":"","parse-names":false,"suffix":""},{"dropping-particle":"","family":"Yamamoto","given":"K.","non-dropping-particle":"","parse-names":false,"suffix":""},{"dropping-particle":"","family":"Peck","given":"G. E.","non-dropping-particle":"","parse-names":false,"suffix":""}],"container-title":"Journal of Controlled Release","id":"ITEM-1","issue":"1-2","issued":{"date-parts":[["2001"]]},"page":"143-153","title":"Drug physical state and drug-polymer interaction on drug release from chitosan matrix films","type":"article-journal","volume":"75"},"uris":["http://www.mendeley.com/documents/?uuid=1b2b8093-17d9-4f8a-b014-ccbd53980f3c"]},{"id":"ITEM-2","itemData":{"DOI":"10.1346/ccmn.1989.0370406","ISSN":"0009-8604","author":[{"dropping-particle":"","family":"Kung","given":"King-Hsi","non-dropping-particle":"","parse-names":false,"suffix":""}],"container-title":"Clays and Clay Minerals","id":"ITEM-2","issue":"4","issued":{"date-parts":[["2006"]]},"page":"333-340","title":"Coordination Complexes of p-Hydroxybenzoate on Fe Oxides","type":"article-journal","volume":"37"},"uris":["http://www.mendeley.com/documents/?uuid=3cdcb82b-4920-4a3d-8a86-70df5ea5235b"]}],"mendeley":{"formattedCitation":"[20,21]","plainTextFormattedCitation":"[20,21]","previouslyFormattedCitation":"[20,21]"},"properties":{"noteIndex":0},"schema":"https://github.com/citation-style-language/schema/raw/master/csl-citation.json"}</w:instrText>
      </w:r>
      <w:r w:rsidR="00670217" w:rsidRPr="00EB6D14">
        <w:rPr>
          <w:rFonts w:ascii="Times New Roman" w:hAnsi="Times New Roman"/>
          <w:b w:val="0"/>
          <w:color w:val="auto"/>
          <w:sz w:val="20"/>
          <w:szCs w:val="20"/>
        </w:rPr>
        <w:fldChar w:fldCharType="separate"/>
      </w:r>
      <w:r w:rsidR="00670217" w:rsidRPr="00EB6D14">
        <w:rPr>
          <w:rFonts w:ascii="Times New Roman" w:hAnsi="Times New Roman"/>
          <w:b w:val="0"/>
          <w:noProof/>
          <w:color w:val="auto"/>
          <w:sz w:val="20"/>
          <w:szCs w:val="20"/>
        </w:rPr>
        <w:t>[20,21]</w:t>
      </w:r>
      <w:r w:rsidR="00670217"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w:t>
      </w:r>
    </w:p>
    <w:p w14:paraId="4E1474B6" w14:textId="4CA2F81C" w:rsidR="00617657" w:rsidRPr="00EB6D14" w:rsidRDefault="00617657" w:rsidP="00617657">
      <w:pPr>
        <w:pStyle w:val="BodytextIndented"/>
        <w:ind w:left="8222" w:hanging="8222"/>
        <w:jc w:val="left"/>
        <w:rPr>
          <w:rFonts w:ascii="Times New Roman" w:hAnsi="Times New Roman"/>
          <w:color w:val="auto"/>
          <w:sz w:val="20"/>
          <w:lang w:val="en-GB"/>
        </w:rPr>
      </w:pPr>
      <w:r w:rsidRPr="00EB6D14">
        <w:rPr>
          <w:rFonts w:ascii="Times New Roman" w:hAnsi="Times New Roman"/>
          <w:noProof/>
          <w:color w:val="auto"/>
          <w:sz w:val="20"/>
          <w:lang w:val="en-GB" w:eastAsia="en-GB"/>
        </w:rPr>
        <mc:AlternateContent>
          <mc:Choice Requires="wps">
            <w:drawing>
              <wp:inline distT="0" distB="0" distL="0" distR="0" wp14:anchorId="64ABC555" wp14:editId="3FE0489E">
                <wp:extent cx="6024285" cy="2552700"/>
                <wp:effectExtent l="0" t="0" r="0" b="0"/>
                <wp:docPr id="2" name="Rectangle 2"/>
                <wp:cNvGraphicFramePr/>
                <a:graphic xmlns:a="http://schemas.openxmlformats.org/drawingml/2006/main">
                  <a:graphicData uri="http://schemas.microsoft.com/office/word/2010/wordprocessingShape">
                    <wps:wsp>
                      <wps:cNvSpPr/>
                      <wps:spPr>
                        <a:xfrm>
                          <a:off x="0" y="0"/>
                          <a:ext cx="6024285" cy="2552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BAB19" w14:textId="484E9A0B" w:rsidR="00617657" w:rsidRDefault="004C7AD9" w:rsidP="0002591C">
                            <w:pPr>
                              <w:jc w:val="left"/>
                            </w:pPr>
                            <w:r>
                              <w:rPr>
                                <w:noProof/>
                              </w:rPr>
                              <w:drawing>
                                <wp:inline distT="0" distB="0" distL="0" distR="0" wp14:anchorId="727D0894" wp14:editId="097C1331">
                                  <wp:extent cx="5646757" cy="2167842"/>
                                  <wp:effectExtent l="19050" t="19050" r="11430"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IR SKAM.png"/>
                                          <pic:cNvPicPr/>
                                        </pic:nvPicPr>
                                        <pic:blipFill rotWithShape="1">
                                          <a:blip r:embed="rId13">
                                            <a:extLst>
                                              <a:ext uri="{28A0092B-C50C-407E-A947-70E740481C1C}">
                                                <a14:useLocalDpi xmlns:a14="http://schemas.microsoft.com/office/drawing/2010/main" val="0"/>
                                              </a:ext>
                                            </a:extLst>
                                          </a:blip>
                                          <a:srcRect b="23218"/>
                                          <a:stretch/>
                                        </pic:blipFill>
                                        <pic:spPr bwMode="auto">
                                          <a:xfrm>
                                            <a:off x="0" y="0"/>
                                            <a:ext cx="5709461" cy="219191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ABC555" id="Rectangle 2" o:spid="_x0000_s1044" style="width:474.3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" filled="f" stroked="f" strokeweight="2pt">
                <v:textbox>
                  <w:txbxContent>
                    <w:p w14:paraId="7B3BAB19" w14:textId="484E9A0B" w:rsidR="00617657" w:rsidRDefault="004C7AD9" w:rsidP="0002591C">
                      <w:pPr>
                        <w:jc w:val="left"/>
                      </w:pPr>
                      <w:r>
                        <w:rPr>
                          <w:noProof/>
                        </w:rPr>
                        <w:drawing>
                          <wp:inline distT="0" distB="0" distL="0" distR="0" wp14:anchorId="727D0894" wp14:editId="097C1331">
                            <wp:extent cx="5646757" cy="2167842"/>
                            <wp:effectExtent l="19050" t="19050" r="11430"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IR SKAM.png"/>
                                    <pic:cNvPicPr/>
                                  </pic:nvPicPr>
                                  <pic:blipFill rotWithShape="1">
                                    <a:blip r:embed="rId13">
                                      <a:extLst>
                                        <a:ext uri="{28A0092B-C50C-407E-A947-70E740481C1C}">
                                          <a14:useLocalDpi xmlns:a14="http://schemas.microsoft.com/office/drawing/2010/main" val="0"/>
                                        </a:ext>
                                      </a:extLst>
                                    </a:blip>
                                    <a:srcRect b="23218"/>
                                    <a:stretch/>
                                  </pic:blipFill>
                                  <pic:spPr bwMode="auto">
                                    <a:xfrm>
                                      <a:off x="0" y="0"/>
                                      <a:ext cx="5709461" cy="219191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620354D0" w14:textId="77777777" w:rsidR="00617657" w:rsidRPr="00EB6D14" w:rsidRDefault="00617657" w:rsidP="0002591C">
      <w:pPr>
        <w:spacing w:after="240"/>
        <w:jc w:val="center"/>
        <w:rPr>
          <w:rFonts w:ascii="Times New Roman" w:hAnsi="Times New Roman" w:cs="Times New Roman"/>
        </w:rPr>
      </w:pPr>
      <w:r w:rsidRPr="00EB6D14">
        <w:rPr>
          <w:rFonts w:ascii="Times New Roman" w:hAnsi="Times New Roman" w:cs="Times New Roman"/>
        </w:rPr>
        <w:t>Figure2. IR spectrum for 3DMAPS and 3DEAPS of synthesized PILs.</w:t>
      </w:r>
    </w:p>
    <w:p w14:paraId="34D9880E" w14:textId="34BB8348" w:rsidR="00617657" w:rsidRPr="00EB6D14" w:rsidRDefault="00617657" w:rsidP="00CD0720">
      <w:pPr>
        <w:pStyle w:val="Heading2"/>
      </w:pPr>
      <w:r w:rsidRPr="00EB6D14">
        <w:t xml:space="preserve">Thermal </w:t>
      </w:r>
      <w:r w:rsidR="00B5130C">
        <w:t>s</w:t>
      </w:r>
      <w:r w:rsidRPr="00EB6D14">
        <w:t>tability</w:t>
      </w:r>
      <w:r w:rsidRPr="00EB6D14">
        <w:tab/>
      </w:r>
    </w:p>
    <w:p w14:paraId="18455F6C" w14:textId="6DF062BC" w:rsidR="00617657" w:rsidRPr="00EB6D14" w:rsidRDefault="00D7098A" w:rsidP="00B5130C">
      <w:pPr>
        <w:pStyle w:val="Section"/>
        <w:numPr>
          <w:ilvl w:val="0"/>
          <w:numId w:val="0"/>
        </w:numPr>
        <w:spacing w:before="0"/>
        <w:jc w:val="both"/>
        <w:rPr>
          <w:color w:val="auto"/>
          <w:sz w:val="20"/>
          <w:szCs w:val="20"/>
          <w:lang w:eastAsia="en-MY"/>
        </w:rPr>
      </w:pPr>
      <w:r w:rsidRPr="00EB6D14">
        <w:rPr>
          <w:rFonts w:ascii="Times New Roman" w:hAnsi="Times New Roman"/>
          <w:b w:val="0"/>
          <w:color w:val="auto"/>
          <w:sz w:val="20"/>
          <w:szCs w:val="20"/>
        </w:rPr>
        <w:t>Thermal decomposition temperature of the synthesised PILs was recorded ranging from 50 °C until 350 °C. Figure 3 shows the thermograms of 3DMAPS and 3DEAPS PILs. As can been seen, the 3DMAPS has slightly higher thermal decomposition temperature (T</w:t>
      </w:r>
      <w:r w:rsidRPr="00EB6D14">
        <w:rPr>
          <w:rFonts w:ascii="Times New Roman" w:hAnsi="Times New Roman"/>
          <w:b w:val="0"/>
          <w:color w:val="auto"/>
          <w:sz w:val="20"/>
          <w:szCs w:val="20"/>
          <w:vertAlign w:val="subscript"/>
        </w:rPr>
        <w:t>d</w:t>
      </w:r>
      <w:r w:rsidRPr="00EB6D14">
        <w:rPr>
          <w:rFonts w:ascii="Times New Roman" w:hAnsi="Times New Roman"/>
          <w:b w:val="0"/>
          <w:color w:val="auto"/>
          <w:sz w:val="20"/>
          <w:szCs w:val="20"/>
        </w:rPr>
        <w:t xml:space="preserve">) than 3DEAPS (190.70 °C and 188.80 °C, respectively). It could be concluded that the alkyl chain length only gave a small effect towards the thermal stability of PILs. This was because as the alkyl chain length increases from methyl to ethyl, the intermolecular Van der Waals force </w:t>
      </w:r>
      <w:r w:rsidRPr="00EB6D14">
        <w:rPr>
          <w:rFonts w:ascii="Times New Roman" w:hAnsi="Times New Roman"/>
          <w:b w:val="0"/>
          <w:color w:val="auto"/>
          <w:sz w:val="20"/>
          <w:szCs w:val="20"/>
        </w:rPr>
        <w:lastRenderedPageBreak/>
        <w:t xml:space="preserve">interaction also increased </w:t>
      </w:r>
      <w:r w:rsidR="004C7AD9" w:rsidRPr="00EB6D14">
        <w:rPr>
          <w:rFonts w:ascii="Times New Roman" w:hAnsi="Times New Roman"/>
          <w:b w:val="0"/>
          <w:color w:val="auto"/>
          <w:sz w:val="20"/>
          <w:szCs w:val="20"/>
        </w:rPr>
        <w:fldChar w:fldCharType="begin" w:fldLock="1"/>
      </w:r>
      <w:r w:rsidR="004C7AD9" w:rsidRPr="00EB6D14">
        <w:rPr>
          <w:rFonts w:ascii="Times New Roman" w:hAnsi="Times New Roman"/>
          <w:b w:val="0"/>
          <w:color w:val="auto"/>
          <w:sz w:val="20"/>
          <w:szCs w:val="20"/>
        </w:rPr>
        <w:instrText>ADDIN CSL_CITATION {"citationItems":[{"id":"ITEM-1","itemData":{"DOI":"10.1007/s10973-010-0992-5","ISBN":"1572-8943","ISSN":"13886150","abstract":"The thermal stability of the ionic liquids (ILs) 1-n-butyl-3-methylimidazolium bromide, [BMIM]Br, and 1-n-octyl-3-methylimidazolium bromide, [OMIM]Br, was evaluated through thermogravimetry (TG). Long-term isothermal TG studies revealed that both of these ILs exhibit appreciable decomposition even at temperatures significantly lower than the onset decomposition temperature, previously determined from fast scan TG experiments. The long-term TG studies of both the ILs showed linear mass loss as a function of time at each temperature of 10 °C interval in the range 533–573 K over a period of 10 h. The kinetics of isothermal decomposition of ILs was analyzed using pseudo-zero-order rate expression. The activation energies for the isothermal decomposition of [BMIM]Br and [OMIM]Br under nitrogen atmosphere are 219.86 and 212.50 kJ mol−1, respectively. The moisture absorption kinetics of these ILs at 25 °C and 30% relative humidity (RH) and at 85 °C and 85% RH were also studied. Water uptake of ILs exposed at 25 °C/30%RH follows a simple saturation behavior in agreement with Weibull model while that at 85 °C/85%RH fortuitously fit into the Henderson–Pabis model.","author":[{"dropping-particle":"","family":"Arellano","given":"Ian Harvey J","non-dropping-particle":"","parse-names":false,"suffix":""},{"dropping-particle":"","family":"Guarino","given":"Jeiel G.","non-dropping-particle":"","parse-names":false,"suffix":""},{"dropping-particle":"","family":"Paredes","given":"Fiona U.","non-dropping-particle":"","parse-names":false,"suffix":""},{"dropping-particle":"","family":"Arco","given":"Susan D.","non-dropping-particle":"","parse-names":false,"suffix":""}],"container-title":"Journal of Thermal Analysis and Calorimetry","id":"ITEM-1","issue":"2","issued":{"date-parts":[["2011"]]},"page":"725-730","title":"Thermal stability and moisture uptake of 1-alkyl-3-methylimidazolium bromide","type":"article-journal","volume":"103"},"uris":["http://www.mendeley.com/documents/?uuid=743a3a62-edb0-4184-b049-7698ee7cf5a7"]}],"mendeley":{"formattedCitation":"[22]","plainTextFormattedCitation":"[22]","previouslyFormattedCitation":"[22]"},"properties":{"noteIndex":0},"schema":"https://github.com/citation-style-language/schema/raw/master/csl-citation.json"}</w:instrText>
      </w:r>
      <w:r w:rsidR="004C7AD9" w:rsidRPr="00EB6D14">
        <w:rPr>
          <w:rFonts w:ascii="Times New Roman" w:hAnsi="Times New Roman"/>
          <w:b w:val="0"/>
          <w:color w:val="auto"/>
          <w:sz w:val="20"/>
          <w:szCs w:val="20"/>
        </w:rPr>
        <w:fldChar w:fldCharType="separate"/>
      </w:r>
      <w:r w:rsidR="004C7AD9" w:rsidRPr="00EB6D14">
        <w:rPr>
          <w:rFonts w:ascii="Times New Roman" w:hAnsi="Times New Roman"/>
          <w:b w:val="0"/>
          <w:noProof/>
          <w:color w:val="auto"/>
          <w:sz w:val="20"/>
          <w:szCs w:val="20"/>
        </w:rPr>
        <w:t>[22]</w:t>
      </w:r>
      <w:r w:rsidR="004C7AD9"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 xml:space="preserve">. </w:t>
      </w:r>
      <w:r w:rsidRPr="00EB6D14">
        <w:rPr>
          <w:rFonts w:ascii="Times New Roman" w:hAnsi="Times New Roman"/>
          <w:b w:val="0"/>
          <w:color w:val="auto"/>
          <w:sz w:val="20"/>
          <w:szCs w:val="20"/>
        </w:rPr>
        <w:t xml:space="preserve">Hence, this led to the reduction of strength in intramolecular bonding </w:t>
      </w:r>
      <w:r w:rsidR="004C7AD9" w:rsidRPr="00EB6D14">
        <w:rPr>
          <w:rFonts w:ascii="Times New Roman" w:hAnsi="Times New Roman"/>
          <w:b w:val="0"/>
          <w:color w:val="auto"/>
          <w:sz w:val="20"/>
          <w:szCs w:val="20"/>
        </w:rPr>
        <w:fldChar w:fldCharType="begin" w:fldLock="1"/>
      </w:r>
      <w:r w:rsidR="004C7AD9" w:rsidRPr="00EB6D14">
        <w:rPr>
          <w:rFonts w:ascii="Times New Roman" w:hAnsi="Times New Roman"/>
          <w:b w:val="0"/>
          <w:color w:val="auto"/>
          <w:sz w:val="20"/>
          <w:szCs w:val="20"/>
        </w:rPr>
        <w:instrText>ADDIN CSL_CITATION {"citationItems":[{"id":"ITEM-1","itemData":{"DOI":"10.1080/10402004.2012.701000","ISSN":"10402004","abstract":" 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 ","author":[{"dropping-particle":"","family":"Song","given":"Yanxin","non-dropping-particle":"","parse-names":false,"suffix":""},{"dropping-particle":"","family":"Xia","given":"Yanqiu","non-dropping-particle":"","parse-names":false,"suffix":""},{"dropping-particle":"","family":"Liu","given":"Zhilu","non-dropping-particle":"","parse-names":false,"suffix":""}],"container-title":"Tribology Transactions","id":"ITEM-1","issue":"6","issued":{"date-parts":[["2012"]]},"page":"738-746","title":"Influence of cation structure on physicochemical and antiwear properties of hydroxyl-functionalized imidazolium bis(trifluoromethylsulfonyl)imide ionic liquids","type":"article-journal","volume":"55"},"uris":["http://www.mendeley.com/documents/?uuid=2cc538eb-ccbb-464a-ac5a-2a7b165a08d3"]}],"mendeley":{"formattedCitation":"[23]","plainTextFormattedCitation":"[23]","previouslyFormattedCitation":"[23]"},"properties":{"noteIndex":0},"schema":"https://github.com/citation-style-language/schema/raw/master/csl-citation.json"}</w:instrText>
      </w:r>
      <w:r w:rsidR="004C7AD9" w:rsidRPr="00EB6D14">
        <w:rPr>
          <w:rFonts w:ascii="Times New Roman" w:hAnsi="Times New Roman"/>
          <w:b w:val="0"/>
          <w:color w:val="auto"/>
          <w:sz w:val="20"/>
          <w:szCs w:val="20"/>
        </w:rPr>
        <w:fldChar w:fldCharType="separate"/>
      </w:r>
      <w:r w:rsidR="004C7AD9" w:rsidRPr="00EB6D14">
        <w:rPr>
          <w:rFonts w:ascii="Times New Roman" w:hAnsi="Times New Roman"/>
          <w:b w:val="0"/>
          <w:noProof/>
          <w:color w:val="auto"/>
          <w:sz w:val="20"/>
          <w:szCs w:val="20"/>
        </w:rPr>
        <w:t>[23]</w:t>
      </w:r>
      <w:r w:rsidR="004C7AD9"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 xml:space="preserve">. </w:t>
      </w:r>
      <w:r w:rsidRPr="00EB6D14">
        <w:rPr>
          <w:rFonts w:ascii="Times New Roman" w:hAnsi="Times New Roman"/>
          <w:b w:val="0"/>
          <w:color w:val="auto"/>
          <w:sz w:val="20"/>
          <w:szCs w:val="20"/>
        </w:rPr>
        <w:t xml:space="preserve">Moreover, increasing alkyl chain length can form a more stable carbocation that helps the 3DEAPS to be easily decomposed </w:t>
      </w:r>
      <w:r w:rsidR="004C7AD9" w:rsidRPr="00EB6D14">
        <w:rPr>
          <w:rFonts w:ascii="Times New Roman" w:hAnsi="Times New Roman"/>
          <w:b w:val="0"/>
          <w:color w:val="auto"/>
          <w:sz w:val="20"/>
          <w:szCs w:val="20"/>
        </w:rPr>
        <w:fldChar w:fldCharType="begin" w:fldLock="1"/>
      </w:r>
      <w:r w:rsidR="004C7AD9" w:rsidRPr="00EB6D14">
        <w:rPr>
          <w:rFonts w:ascii="Times New Roman" w:hAnsi="Times New Roman"/>
          <w:b w:val="0"/>
          <w:color w:val="auto"/>
          <w:sz w:val="20"/>
          <w:szCs w:val="20"/>
        </w:rPr>
        <w:instrText>ADDIN CSL_CITATION {"citationItems":[{"id":"ITEM-1","itemData":{"DOI":"10.1016/j.electacta.2011.03.089","ISBN":"00134686","ISSN":"00134686","abstract":"This paper reports on the dependence of physical-chemical and electrical properties of ionic liquids formed by N-alkyl-N-alkylpiperidinum cations and bis(trifluoromethane-sulfonyl)imide anions with respect to the length of the cation aliphatic side chain. The thermal stability as well as the density and conductivity were seen to decrease with the alkyl chain length, independently on the cation ring. The ionic conduction, in agreement with the DSC results, is correlated with the viscosity that is found to increase with the main aliphatic chain length. The alkyl chain length influences the cathodic electrochemical stability whereas no relevant difference was detected in the anodic stability. The evolution of the melting point, density and viscosity, detected for the cation having the hexyl side chain, points towards some nanoscale separation, e.g., a segregation of the long aliphatic chains into nanoscale apolar domains that are embedded into three-dimensional charged matrices generated by the anions and the charged piperidinium heads. The existence of such structural heterogeneities, predicted also by other authors, was proposed on the basis of previous Wide Angle X-ray Scattering (WAXS) measurements. © 2011 Elsevier Ltd. All rights reserved.","author":[{"dropping-particle":"","family":"Montanino","given":"Maria","non-dropping-particle":"","parse-names":false,"suffix":""},{"dropping-particle":"","family":"Carewska","given":"Maria","non-dropping-particle":"","parse-names":false,"suffix":""},{"dropping-particle":"","family":"Alessandrini","given":"Fabrizio","non-dropping-particle":"","parse-names":false,"suffix":""},{"dropping-particle":"","family":"Passerini","given":"Stefano","non-dropping-particle":"","parse-names":false,"suffix":""},{"dropping-particle":"","family":"Appetecchi","given":"Giovanni B.","non-dropping-particle":"","parse-names":false,"suffix":""}],"container-title":"Electrochimica Acta","id":"ITEM-1","issue":"1","issued":{"date-parts":[["2011"]]},"page":"153-159","publisher":"Elsevier Ltd","title":"The role of the cation aliphatic side chain length in piperidinium bis(trifluoromethansulfonyl)imide ionic liquids","type":"article-journal","volume":"57"},"uris":["http://www.mendeley.com/documents/?uuid=de8aa13d-f2b9-4448-85ef-22e4ea6fe4b9"]}],"mendeley":{"formattedCitation":"[24]","plainTextFormattedCitation":"[24]","previouslyFormattedCitation":"[24]"},"properties":{"noteIndex":0},"schema":"https://github.com/citation-style-language/schema/raw/master/csl-citation.json"}</w:instrText>
      </w:r>
      <w:r w:rsidR="004C7AD9" w:rsidRPr="00EB6D14">
        <w:rPr>
          <w:rFonts w:ascii="Times New Roman" w:hAnsi="Times New Roman"/>
          <w:b w:val="0"/>
          <w:color w:val="auto"/>
          <w:sz w:val="20"/>
          <w:szCs w:val="20"/>
        </w:rPr>
        <w:fldChar w:fldCharType="separate"/>
      </w:r>
      <w:r w:rsidR="004C7AD9" w:rsidRPr="00EB6D14">
        <w:rPr>
          <w:rFonts w:ascii="Times New Roman" w:hAnsi="Times New Roman"/>
          <w:b w:val="0"/>
          <w:noProof/>
          <w:color w:val="auto"/>
          <w:sz w:val="20"/>
          <w:szCs w:val="20"/>
        </w:rPr>
        <w:t>[24]</w:t>
      </w:r>
      <w:r w:rsidR="004C7AD9"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 xml:space="preserve">. </w:t>
      </w:r>
      <w:r w:rsidRPr="00EB6D14">
        <w:rPr>
          <w:rFonts w:ascii="Times New Roman" w:hAnsi="Times New Roman"/>
          <w:b w:val="0"/>
          <w:color w:val="auto"/>
          <w:sz w:val="20"/>
          <w:szCs w:val="20"/>
        </w:rPr>
        <w:t>Similar findings have been observed in other studies</w:t>
      </w:r>
      <w:r w:rsidR="004C7AD9" w:rsidRPr="00EB6D14">
        <w:rPr>
          <w:rFonts w:ascii="Times New Roman" w:hAnsi="Times New Roman"/>
          <w:b w:val="0"/>
          <w:color w:val="auto"/>
          <w:sz w:val="20"/>
          <w:szCs w:val="20"/>
        </w:rPr>
        <w:t xml:space="preserve"> </w:t>
      </w:r>
      <w:r w:rsidR="004C7AD9" w:rsidRPr="00EB6D14">
        <w:rPr>
          <w:rFonts w:ascii="Times New Roman" w:hAnsi="Times New Roman"/>
          <w:b w:val="0"/>
          <w:color w:val="auto"/>
          <w:sz w:val="20"/>
          <w:szCs w:val="20"/>
        </w:rPr>
        <w:fldChar w:fldCharType="begin" w:fldLock="1"/>
      </w:r>
      <w:r w:rsidR="005E3B24" w:rsidRPr="00EB6D14">
        <w:rPr>
          <w:rFonts w:ascii="Times New Roman" w:hAnsi="Times New Roman"/>
          <w:b w:val="0"/>
          <w:color w:val="auto"/>
          <w:sz w:val="20"/>
          <w:szCs w:val="20"/>
        </w:rPr>
        <w:instrText>ADDIN CSL_CITATION {"citationItems":[{"id":"ITEM-1","itemData":{"DOI":"10.1080/10402004.2012.701000","ISSN":"10402004","abstract":" 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 ","author":[{"dropping-particle":"","family":"Song","given":"Yanxin","non-dropping-particle":"","parse-names":false,"suffix":""},{"dropping-particle":"","family":"Xia","given":"Yanqiu","non-dropping-particle":"","parse-names":false,"suffix":""},{"dropping-particle":"","family":"Liu","given":"Zhilu","non-dropping-particle":"","parse-names":false,"suffix":""}],"container-title":"Tribology Transactions","id":"ITEM-1","issue":"6","issued":{"date-parts":[["2012"]]},"page":"738-746","title":"Influence of cation structure on physicochemical and antiwear properties of hydroxyl-functionalized imidazolium bis(trifluoromethylsulfonyl)imide ionic liquids","type":"article-journal","volume":"55"},"uris":["http://www.mendeley.com/documents/?uuid=2cc538eb-ccbb-464a-ac5a-2a7b165a08d3"]}],"mendeley":{"formattedCitation":"[23]","plainTextFormattedCitation":"[23]","previouslyFormattedCitation":"[23]"},"properties":{"noteIndex":0},"schema":"https://github.com/citation-style-language/schema/raw/master/csl-citation.json"}</w:instrText>
      </w:r>
      <w:r w:rsidR="004C7AD9" w:rsidRPr="00EB6D14">
        <w:rPr>
          <w:rFonts w:ascii="Times New Roman" w:hAnsi="Times New Roman"/>
          <w:b w:val="0"/>
          <w:color w:val="auto"/>
          <w:sz w:val="20"/>
          <w:szCs w:val="20"/>
        </w:rPr>
        <w:fldChar w:fldCharType="separate"/>
      </w:r>
      <w:r w:rsidR="004C7AD9" w:rsidRPr="00EB6D14">
        <w:rPr>
          <w:rFonts w:ascii="Times New Roman" w:hAnsi="Times New Roman"/>
          <w:b w:val="0"/>
          <w:noProof/>
          <w:color w:val="auto"/>
          <w:sz w:val="20"/>
          <w:szCs w:val="20"/>
        </w:rPr>
        <w:t>[23]</w:t>
      </w:r>
      <w:r w:rsidR="004C7AD9" w:rsidRPr="00EB6D14">
        <w:rPr>
          <w:rFonts w:ascii="Times New Roman" w:hAnsi="Times New Roman"/>
          <w:b w:val="0"/>
          <w:color w:val="auto"/>
          <w:sz w:val="20"/>
          <w:szCs w:val="20"/>
        </w:rPr>
        <w:fldChar w:fldCharType="end"/>
      </w:r>
      <w:r w:rsidR="00617657" w:rsidRPr="00EB6D14">
        <w:rPr>
          <w:rFonts w:ascii="Times New Roman" w:hAnsi="Times New Roman"/>
          <w:b w:val="0"/>
          <w:color w:val="auto"/>
          <w:sz w:val="20"/>
          <w:szCs w:val="20"/>
        </w:rPr>
        <w:t>.</w:t>
      </w:r>
      <w:r w:rsidR="00617657" w:rsidRPr="00EB6D14">
        <w:rPr>
          <w:color w:val="auto"/>
          <w:sz w:val="20"/>
          <w:szCs w:val="20"/>
          <w:lang w:eastAsia="en-MY"/>
        </w:rPr>
        <w:t xml:space="preserve"> </w:t>
      </w:r>
    </w:p>
    <w:p w14:paraId="58D76D83" w14:textId="77777777" w:rsidR="00B5130C" w:rsidRDefault="004C7AD9" w:rsidP="00B5130C">
      <w:pPr>
        <w:pStyle w:val="Section"/>
        <w:numPr>
          <w:ilvl w:val="0"/>
          <w:numId w:val="0"/>
        </w:numPr>
        <w:jc w:val="center"/>
        <w:rPr>
          <w:rFonts w:ascii="Times New Roman" w:hAnsi="Times New Roman"/>
          <w:b w:val="0"/>
          <w:color w:val="auto"/>
          <w:sz w:val="20"/>
        </w:rPr>
      </w:pPr>
      <w:r w:rsidRPr="00EB6D14">
        <w:rPr>
          <w:noProof/>
          <w:color w:val="auto"/>
        </w:rPr>
        <w:drawing>
          <wp:inline distT="0" distB="0" distL="0" distR="0" wp14:anchorId="7426B7F1" wp14:editId="41E4C54F">
            <wp:extent cx="3761772" cy="2829259"/>
            <wp:effectExtent l="19050" t="19050" r="10160" b="28575"/>
            <wp:docPr id="13" name="Picture 1">
              <a:extLst xmlns:a="http://schemas.openxmlformats.org/drawingml/2006/main">
                <a:ext uri="{FF2B5EF4-FFF2-40B4-BE49-F238E27FC236}">
                  <a16:creationId xmlns:a16="http://schemas.microsoft.com/office/drawing/2014/main" id="{067F4740-8D08-4480-8FAD-1B4AE385E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7F4740-8D08-4480-8FAD-1B4AE385E668}"/>
                        </a:ext>
                      </a:extLst>
                    </pic:cNvPr>
                    <pic:cNvPicPr>
                      <a:picLocks noChangeAspect="1"/>
                    </pic:cNvPicPr>
                  </pic:nvPicPr>
                  <pic:blipFill rotWithShape="1">
                    <a:blip r:embed="rId14"/>
                    <a:srcRect l="9705" t="9476" r="11456" b="6001"/>
                    <a:stretch/>
                  </pic:blipFill>
                  <pic:spPr bwMode="auto">
                    <a:xfrm>
                      <a:off x="0" y="0"/>
                      <a:ext cx="3772882" cy="283761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617657" w:rsidRPr="00EB6D14">
        <w:rPr>
          <w:color w:val="auto"/>
        </w:rPr>
        <w:br w:type="textWrapping" w:clear="all"/>
      </w:r>
    </w:p>
    <w:p w14:paraId="386A8003" w14:textId="3B62D022" w:rsidR="00617657" w:rsidRPr="00EB6D14" w:rsidRDefault="00617657" w:rsidP="00B5130C">
      <w:pPr>
        <w:pStyle w:val="Section"/>
        <w:numPr>
          <w:ilvl w:val="0"/>
          <w:numId w:val="0"/>
        </w:numPr>
        <w:spacing w:before="0"/>
        <w:jc w:val="center"/>
        <w:rPr>
          <w:rFonts w:ascii="Times New Roman" w:hAnsi="Times New Roman"/>
          <w:b w:val="0"/>
          <w:color w:val="auto"/>
          <w:sz w:val="20"/>
        </w:rPr>
      </w:pPr>
      <w:r w:rsidRPr="00EB6D14">
        <w:rPr>
          <w:rFonts w:ascii="Times New Roman" w:hAnsi="Times New Roman"/>
          <w:b w:val="0"/>
          <w:color w:val="auto"/>
          <w:sz w:val="20"/>
        </w:rPr>
        <w:t>Figure3. Thermogravimetric trace PILs</w:t>
      </w:r>
    </w:p>
    <w:p w14:paraId="68BDBB65" w14:textId="77777777" w:rsidR="00617657" w:rsidRPr="00EB6D14" w:rsidRDefault="00617657" w:rsidP="00617657">
      <w:pPr>
        <w:pStyle w:val="Bodytext"/>
        <w:rPr>
          <w:color w:val="auto"/>
          <w:lang w:val="en-GB"/>
        </w:rPr>
      </w:pPr>
    </w:p>
    <w:p w14:paraId="51CAF665" w14:textId="277B0CE2" w:rsidR="00617657" w:rsidRPr="00EB6D14" w:rsidRDefault="00617657" w:rsidP="00CD0720">
      <w:pPr>
        <w:pStyle w:val="Heading2"/>
      </w:pPr>
      <w:r w:rsidRPr="00EB6D14">
        <w:t xml:space="preserve">Antioxidant </w:t>
      </w:r>
      <w:r w:rsidR="00B5130C">
        <w:t>a</w:t>
      </w:r>
      <w:r w:rsidRPr="00EB6D14">
        <w:t>ctivity</w:t>
      </w:r>
    </w:p>
    <w:p w14:paraId="725B5F53" w14:textId="10F7A418" w:rsidR="00617657" w:rsidRPr="00EB6D14" w:rsidRDefault="00D7098A" w:rsidP="00B5130C">
      <w:pPr>
        <w:rPr>
          <w:rFonts w:ascii="Times New Roman" w:hAnsi="Times New Roman" w:cs="Times New Roman"/>
          <w:szCs w:val="20"/>
        </w:rPr>
      </w:pPr>
      <w:r w:rsidRPr="00EB6D14">
        <w:rPr>
          <w:rFonts w:ascii="Times New Roman" w:hAnsi="Times New Roman" w:cs="Times New Roman"/>
          <w:szCs w:val="20"/>
        </w:rPr>
        <w:t>The results of antioxidant activity were expressed in terms of IC</w:t>
      </w:r>
      <w:r w:rsidRPr="00EB6D14">
        <w:rPr>
          <w:rFonts w:ascii="Times New Roman" w:hAnsi="Times New Roman" w:cs="Times New Roman"/>
          <w:szCs w:val="20"/>
          <w:vertAlign w:val="subscript"/>
        </w:rPr>
        <w:t>20</w:t>
      </w:r>
      <w:r w:rsidRPr="00EB6D14">
        <w:rPr>
          <w:rFonts w:ascii="Times New Roman" w:hAnsi="Times New Roman" w:cs="Times New Roman"/>
          <w:szCs w:val="20"/>
        </w:rPr>
        <w:t xml:space="preserve"> value, which represent the effective concentration required to scavenge 20% of DPPH free radical. Low IC</w:t>
      </w:r>
      <w:r w:rsidRPr="00EB6D14">
        <w:rPr>
          <w:rFonts w:ascii="Times New Roman" w:hAnsi="Times New Roman" w:cs="Times New Roman"/>
          <w:szCs w:val="20"/>
          <w:vertAlign w:val="subscript"/>
        </w:rPr>
        <w:t>20</w:t>
      </w:r>
      <w:r w:rsidRPr="00EB6D14">
        <w:rPr>
          <w:rFonts w:ascii="Times New Roman" w:hAnsi="Times New Roman" w:cs="Times New Roman"/>
          <w:szCs w:val="20"/>
        </w:rPr>
        <w:t xml:space="preserve"> value indicates more effective antioxidant activity. The IC</w:t>
      </w:r>
      <w:r w:rsidRPr="00EB6D14">
        <w:rPr>
          <w:rFonts w:ascii="Times New Roman" w:hAnsi="Times New Roman" w:cs="Times New Roman"/>
          <w:szCs w:val="20"/>
          <w:vertAlign w:val="subscript"/>
        </w:rPr>
        <w:t>20</w:t>
      </w:r>
      <w:r w:rsidRPr="00EB6D14">
        <w:rPr>
          <w:rFonts w:ascii="Times New Roman" w:hAnsi="Times New Roman" w:cs="Times New Roman"/>
          <w:szCs w:val="20"/>
        </w:rPr>
        <w:t xml:space="preserve"> was calculated from the difference concentration of PILs and SA ranging from 10</w:t>
      </w:r>
      <w:r w:rsidR="00B5130C">
        <w:rPr>
          <w:rFonts w:ascii="Times New Roman" w:hAnsi="Times New Roman" w:cs="Times New Roman"/>
          <w:szCs w:val="20"/>
        </w:rPr>
        <w:t xml:space="preserve"> </w:t>
      </w:r>
      <w:r w:rsidRPr="00EB6D14">
        <w:rPr>
          <w:rFonts w:ascii="Times New Roman" w:hAnsi="Times New Roman" w:cs="Times New Roman"/>
          <w:szCs w:val="20"/>
        </w:rPr>
        <w:t>to 100</w:t>
      </w:r>
      <w:r w:rsidR="00B5130C">
        <w:rPr>
          <w:rFonts w:ascii="Times New Roman" w:hAnsi="Times New Roman" w:cs="Times New Roman"/>
          <w:szCs w:val="20"/>
        </w:rPr>
        <w:t xml:space="preserve"> </w:t>
      </w:r>
      <w:r w:rsidRPr="00EB6D14">
        <w:rPr>
          <w:rFonts w:ascii="Times New Roman" w:hAnsi="Times New Roman" w:cs="Times New Roman"/>
          <w:szCs w:val="20"/>
        </w:rPr>
        <w:t>µM. Table 1 shows the summarised IC</w:t>
      </w:r>
      <w:r w:rsidRPr="00EB6D14">
        <w:rPr>
          <w:rFonts w:ascii="Times New Roman" w:hAnsi="Times New Roman" w:cs="Times New Roman"/>
          <w:szCs w:val="20"/>
          <w:vertAlign w:val="subscript"/>
        </w:rPr>
        <w:t>20</w:t>
      </w:r>
      <w:r w:rsidRPr="00EB6D14">
        <w:rPr>
          <w:rFonts w:ascii="Times New Roman" w:hAnsi="Times New Roman" w:cs="Times New Roman"/>
          <w:szCs w:val="20"/>
        </w:rPr>
        <w:t xml:space="preserve"> value of synthesised PILs and parent acid (SA). From the results obtained, it can be seen that the IC</w:t>
      </w:r>
      <w:r w:rsidRPr="00EB6D14">
        <w:rPr>
          <w:rFonts w:ascii="Times New Roman" w:hAnsi="Times New Roman" w:cs="Times New Roman"/>
          <w:szCs w:val="20"/>
          <w:vertAlign w:val="subscript"/>
        </w:rPr>
        <w:t>20</w:t>
      </w:r>
      <w:r w:rsidRPr="00EB6D14">
        <w:rPr>
          <w:rFonts w:ascii="Times New Roman" w:hAnsi="Times New Roman" w:cs="Times New Roman"/>
          <w:szCs w:val="20"/>
        </w:rPr>
        <w:t xml:space="preserve"> of parent acid (SA) was not detected at the selected range of concentration. This was due to low effectiveness of SA towards the DPPH free radical. However, both PILs (3DMAPS and 3DEAPS) were able to scavenge 20% of free radical at concentration of 66.76 ± 0.09 µM and 27.27 ± 0.10 µM, respectively, due to the huge number of active group (OH and NH group) present in the compound. The –OH and –NH transfer the hydrogen atom </w:t>
      </w:r>
      <w:r w:rsidRPr="00EB6D14">
        <w:rPr>
          <w:rFonts w:ascii="Times New Roman" w:hAnsi="Times New Roman" w:cs="Times New Roman"/>
          <w:i/>
          <w:szCs w:val="20"/>
        </w:rPr>
        <w:t>via</w:t>
      </w:r>
      <w:r w:rsidRPr="00EB6D14">
        <w:rPr>
          <w:rFonts w:ascii="Times New Roman" w:hAnsi="Times New Roman" w:cs="Times New Roman"/>
          <w:szCs w:val="20"/>
        </w:rPr>
        <w:t xml:space="preserve"> hydrogen abstraction to stabilise DPPH free radical</w:t>
      </w:r>
      <w:r w:rsidR="005E3B24" w:rsidRPr="00EB6D14">
        <w:rPr>
          <w:rFonts w:ascii="Times New Roman" w:hAnsi="Times New Roman" w:cs="Times New Roman"/>
          <w:szCs w:val="20"/>
        </w:rPr>
        <w:t xml:space="preserve"> </w:t>
      </w:r>
      <w:r w:rsidR="005E3B24" w:rsidRPr="00EB6D14">
        <w:rPr>
          <w:rFonts w:ascii="Times New Roman" w:hAnsi="Times New Roman" w:cs="Times New Roman"/>
          <w:szCs w:val="20"/>
        </w:rPr>
        <w:fldChar w:fldCharType="begin" w:fldLock="1"/>
      </w:r>
      <w:r w:rsidR="005E3B24" w:rsidRPr="00EB6D14">
        <w:rPr>
          <w:rFonts w:ascii="Times New Roman" w:hAnsi="Times New Roman" w:cs="Times New Roman"/>
          <w:szCs w:val="20"/>
        </w:rPr>
        <w:instrText>ADDIN CSL_CITATION {"citationItems":[{"id":"ITEM-1","itemData":{"DOI":"10.1021/jp501636r","ISSN":"15205215","author":[{"dropping-particle":"","family":"Oyeyemi","given":"Victor B.","non-dropping-particle":"","parse-names":false,"suffix":""},{"dropping-particle":"","family":"Keith","given":"John A.","non-dropping-particle":"","parse-names":false,"suffix":""},{"dropping-particle":"","family":"Carter","given":"Emily A.","non-dropping-particle":"","parse-names":false,"suffix":""}],"container-title":"Journal of Physical Chemistry A","id":"ITEM-1","issue":"17","issued":{"date-parts":[["2014"]]},"page":"3039-3050","title":"Trends in bond dissociation energies of alcohols and aldehydes computed with multireference averaged coupled-pair functional theory","type":"article-journal","volume":"118"},"uris":["http://www.mendeley.com/documents/?uuid=5092893c-597b-4f8b-9e31-f0a3867f53b9"]}],"mendeley":{"formattedCitation":"[25]","plainTextFormattedCitation":"[25]","previouslyFormattedCitation":"[25]"},"properties":{"noteIndex":0},"schema":"https://github.com/citation-style-language/schema/raw/master/csl-citation.json"}</w:instrText>
      </w:r>
      <w:r w:rsidR="005E3B24" w:rsidRPr="00EB6D14">
        <w:rPr>
          <w:rFonts w:ascii="Times New Roman" w:hAnsi="Times New Roman" w:cs="Times New Roman"/>
          <w:szCs w:val="20"/>
        </w:rPr>
        <w:fldChar w:fldCharType="separate"/>
      </w:r>
      <w:r w:rsidR="005E3B24" w:rsidRPr="00EB6D14">
        <w:rPr>
          <w:rFonts w:ascii="Times New Roman" w:hAnsi="Times New Roman" w:cs="Times New Roman"/>
          <w:noProof/>
          <w:szCs w:val="20"/>
        </w:rPr>
        <w:t>[25]</w:t>
      </w:r>
      <w:r w:rsidR="005E3B24" w:rsidRPr="00EB6D14">
        <w:rPr>
          <w:rFonts w:ascii="Times New Roman" w:hAnsi="Times New Roman" w:cs="Times New Roman"/>
          <w:szCs w:val="20"/>
        </w:rPr>
        <w:fldChar w:fldCharType="end"/>
      </w:r>
      <w:r w:rsidR="00617657" w:rsidRPr="00EB6D14">
        <w:rPr>
          <w:rFonts w:ascii="Times New Roman" w:hAnsi="Times New Roman" w:cs="Times New Roman"/>
          <w:szCs w:val="20"/>
        </w:rPr>
        <w:t xml:space="preserve">, </w:t>
      </w:r>
      <w:r w:rsidRPr="00EB6D14">
        <w:rPr>
          <w:rFonts w:ascii="Times New Roman" w:hAnsi="Times New Roman" w:cs="Times New Roman"/>
          <w:szCs w:val="20"/>
        </w:rPr>
        <w:t>hence increasing the antioxidant activity. Furthermore, by comparing these two PILs, 3DEAPS (27.27 ± 0.10 µM) was found to be a more effective antioxidant than 3DMAPS (66.76 ± 0.09 µM). This was because [3DEAP]</w:t>
      </w:r>
      <w:r w:rsidRPr="00EB6D14">
        <w:rPr>
          <w:rFonts w:ascii="Times New Roman" w:hAnsi="Times New Roman" w:cs="Times New Roman"/>
          <w:szCs w:val="20"/>
          <w:vertAlign w:val="superscript"/>
        </w:rPr>
        <w:t>+</w:t>
      </w:r>
      <w:r w:rsidRPr="00EB6D14">
        <w:rPr>
          <w:rFonts w:ascii="Times New Roman" w:hAnsi="Times New Roman" w:cs="Times New Roman"/>
          <w:szCs w:val="20"/>
        </w:rPr>
        <w:t xml:space="preserve"> exhibited a more bulky structure than [3DMAP]</w:t>
      </w:r>
      <w:r w:rsidRPr="00EB6D14">
        <w:rPr>
          <w:rFonts w:ascii="Times New Roman" w:hAnsi="Times New Roman" w:cs="Times New Roman"/>
          <w:szCs w:val="20"/>
          <w:vertAlign w:val="superscript"/>
        </w:rPr>
        <w:t>+</w:t>
      </w:r>
      <w:r w:rsidRPr="00EB6D14">
        <w:rPr>
          <w:rFonts w:ascii="Times New Roman" w:hAnsi="Times New Roman" w:cs="Times New Roman"/>
          <w:szCs w:val="20"/>
        </w:rPr>
        <w:t xml:space="preserve"> (Figure 4), which could reduce the hinder of the radical scavenging by increasing the tendency of hydrogen abstraction at –NH group of the cation structure</w:t>
      </w:r>
      <w:r w:rsidR="00900ABC">
        <w:rPr>
          <w:rFonts w:ascii="Times New Roman" w:hAnsi="Times New Roman" w:cs="Times New Roman"/>
          <w:szCs w:val="20"/>
        </w:rPr>
        <w:t xml:space="preserve"> </w:t>
      </w:r>
      <w:r w:rsidR="005E3B24" w:rsidRPr="00EB6D14">
        <w:rPr>
          <w:rFonts w:ascii="Times New Roman" w:hAnsi="Times New Roman" w:cs="Times New Roman"/>
          <w:szCs w:val="20"/>
        </w:rPr>
        <w:fldChar w:fldCharType="begin" w:fldLock="1"/>
      </w:r>
      <w:r w:rsidR="005B4DFD" w:rsidRPr="00EB6D14">
        <w:rPr>
          <w:rFonts w:ascii="Times New Roman" w:hAnsi="Times New Roman" w:cs="Times New Roman"/>
          <w:szCs w:val="20"/>
        </w:rPr>
        <w:instrText>ADDIN CSL_CITATION {"citationItems":[{"id":"ITEM-1","itemData":{"DOI":"10.1021/jf000537w","ISBN":"0021-8561","ISSN":"00218561","PMID":"11368623","abstract":"Hydroxytyrosol acetate was synthesized, and the antioxidant activity of this olive oil component was assessed in comparison with that of other olive oil components, namely hydroxytyrosol, oleuropein, 3,4-DHPEA-EA, and alpha-tocopherol in bulk oil and oil-in-water emulsions. The activity of the compounds was also assessed by scavenging of 1,1-diphenyl-2-picrylhydrazyl (DPPH) radicals. Hydroxytyrosol acetate had a weaker DPPH radical scavenging activity than hydroxytyrosol, oleuropein, or 3,4-DHPEA-EA but it had a radical scavenging activity similar to that of alpha-tocopherol. In oil, the antioxidant activity of hydroxytyrosol acetate was much higher than that of alpha-tocopherol or oleuropein, but in an emulsion 3,4-DHPEA-EA and alpha-tocopherol were more effective as antioxidants than hydroxytyrosol acetate. The antioxidant activity of hydroxytyrosol acetate was rather similar to that of hydroxytyrosol in oil and emulsions despite the difference in DPPH radical scavenging activity.","author":[{"dropping-particle":"","family":"Gordon","given":"Michael H.","non-dropping-particle":"","parse-names":false,"suffix":""},{"dropping-particle":"","family":"Paiva-Martins","given":"Fátima","non-dropping-particle":"","parse-names":false,"suffix":""},{"dropping-particle":"","family":"Almeida","given":"Miguel","non-dropping-particle":"","parse-names":false,"suffix":""}],"container-title":"Journal of Agricultural and Food Chemistry","id":"ITEM-1","issue":"5","issued":{"date-parts":[["2001"]]},"page":"2480-2485","title":"Antioxidant activity of hydroxytyrosol acetate compared with that of other olive oil polyphenols","type":"article-journal","volume":"49"},"uris":["http://www.mendeley.com/documents/?uuid=0bf6a23e-ee69-4a52-aba4-2dcd2f219d2c"]}],"mendeley":{"formattedCitation":"[26]","plainTextFormattedCitation":"[26]","previouslyFormattedCitation":"[26]"},"properties":{"noteIndex":0},"schema":"https://github.com/citation-style-language/schema/raw/master/csl-citation.json"}</w:instrText>
      </w:r>
      <w:r w:rsidR="005E3B24" w:rsidRPr="00EB6D14">
        <w:rPr>
          <w:rFonts w:ascii="Times New Roman" w:hAnsi="Times New Roman" w:cs="Times New Roman"/>
          <w:szCs w:val="20"/>
        </w:rPr>
        <w:fldChar w:fldCharType="separate"/>
      </w:r>
      <w:r w:rsidR="005E3B24" w:rsidRPr="00EB6D14">
        <w:rPr>
          <w:rFonts w:ascii="Times New Roman" w:hAnsi="Times New Roman" w:cs="Times New Roman"/>
          <w:noProof/>
          <w:szCs w:val="20"/>
        </w:rPr>
        <w:t>[26]</w:t>
      </w:r>
      <w:r w:rsidR="005E3B24" w:rsidRPr="00EB6D14">
        <w:rPr>
          <w:rFonts w:ascii="Times New Roman" w:hAnsi="Times New Roman" w:cs="Times New Roman"/>
          <w:szCs w:val="20"/>
        </w:rPr>
        <w:fldChar w:fldCharType="end"/>
      </w:r>
      <w:r w:rsidR="00617657" w:rsidRPr="00EB6D14">
        <w:rPr>
          <w:rFonts w:ascii="Times New Roman" w:hAnsi="Times New Roman" w:cs="Times New Roman"/>
          <w:szCs w:val="20"/>
        </w:rPr>
        <w:t>.</w:t>
      </w:r>
    </w:p>
    <w:p w14:paraId="3664DCCD" w14:textId="77777777" w:rsidR="00617657" w:rsidRPr="00EB6D14" w:rsidRDefault="00617657" w:rsidP="00617657">
      <w:pPr>
        <w:ind w:firstLine="851"/>
        <w:rPr>
          <w:rFonts w:ascii="Times New Roman" w:hAnsi="Times New Roman" w:cs="Times New Roman"/>
          <w:szCs w:val="20"/>
        </w:rPr>
      </w:pPr>
    </w:p>
    <w:p w14:paraId="567782CE" w14:textId="169DE8CA" w:rsidR="00617657" w:rsidRDefault="00617657" w:rsidP="00B5130C">
      <w:pPr>
        <w:jc w:val="center"/>
        <w:rPr>
          <w:rFonts w:ascii="Times New Roman" w:hAnsi="Times New Roman" w:cs="Times New Roman"/>
        </w:rPr>
      </w:pPr>
      <w:r w:rsidRPr="00EB6D14">
        <w:rPr>
          <w:rFonts w:ascii="Times New Roman" w:hAnsi="Times New Roman" w:cs="Times New Roman"/>
        </w:rPr>
        <w:t>Table 1</w:t>
      </w:r>
      <w:r w:rsidR="00B5130C">
        <w:rPr>
          <w:rFonts w:ascii="Times New Roman" w:hAnsi="Times New Roman" w:cs="Times New Roman"/>
        </w:rPr>
        <w:t>.</w:t>
      </w:r>
      <w:r w:rsidRPr="00EB6D14">
        <w:rPr>
          <w:rFonts w:ascii="Times New Roman" w:hAnsi="Times New Roman" w:cs="Times New Roman"/>
        </w:rPr>
        <w:t xml:space="preserve"> IC</w:t>
      </w:r>
      <w:r w:rsidRPr="00EB6D14">
        <w:rPr>
          <w:rFonts w:ascii="Times New Roman" w:hAnsi="Times New Roman" w:cs="Times New Roman"/>
          <w:vertAlign w:val="subscript"/>
        </w:rPr>
        <w:t xml:space="preserve">20 </w:t>
      </w:r>
      <w:r w:rsidRPr="00EB6D14">
        <w:rPr>
          <w:rFonts w:ascii="Times New Roman" w:hAnsi="Times New Roman" w:cs="Times New Roman"/>
        </w:rPr>
        <w:t>value of PILs</w:t>
      </w:r>
    </w:p>
    <w:p w14:paraId="42F84A26" w14:textId="77777777" w:rsidR="00B5130C" w:rsidRPr="00EB6D14" w:rsidRDefault="00B5130C" w:rsidP="00B5130C">
      <w:pPr>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783"/>
        <w:gridCol w:w="1226"/>
      </w:tblGrid>
      <w:tr w:rsidR="00EB6D14" w:rsidRPr="00EB6D14" w14:paraId="0303FF55" w14:textId="77777777" w:rsidTr="00B5130C">
        <w:trPr>
          <w:trHeight w:val="109"/>
          <w:jc w:val="center"/>
        </w:trPr>
        <w:tc>
          <w:tcPr>
            <w:tcW w:w="0" w:type="auto"/>
            <w:tcBorders>
              <w:top w:val="single" w:sz="4" w:space="0" w:color="000000"/>
              <w:left w:val="nil"/>
              <w:bottom w:val="single" w:sz="4" w:space="0" w:color="000000"/>
              <w:right w:val="nil"/>
            </w:tcBorders>
          </w:tcPr>
          <w:p w14:paraId="41E20CFA" w14:textId="77777777" w:rsidR="00617657" w:rsidRPr="00B5130C" w:rsidRDefault="00617657" w:rsidP="00B5130C">
            <w:pPr>
              <w:jc w:val="left"/>
              <w:rPr>
                <w:b/>
              </w:rPr>
            </w:pPr>
            <w:r w:rsidRPr="00B5130C">
              <w:rPr>
                <w:b/>
              </w:rPr>
              <w:t>Sample</w:t>
            </w:r>
          </w:p>
        </w:tc>
        <w:tc>
          <w:tcPr>
            <w:tcW w:w="0" w:type="auto"/>
            <w:tcBorders>
              <w:top w:val="single" w:sz="4" w:space="0" w:color="000000"/>
              <w:left w:val="nil"/>
              <w:bottom w:val="single" w:sz="4" w:space="0" w:color="000000"/>
              <w:right w:val="nil"/>
            </w:tcBorders>
          </w:tcPr>
          <w:p w14:paraId="18189B21" w14:textId="77777777" w:rsidR="00617657" w:rsidRPr="00B5130C" w:rsidRDefault="00617657" w:rsidP="00B5130C">
            <w:pPr>
              <w:jc w:val="left"/>
              <w:rPr>
                <w:b/>
              </w:rPr>
            </w:pPr>
            <w:r w:rsidRPr="00B5130C">
              <w:rPr>
                <w:b/>
              </w:rPr>
              <w:t>IC</w:t>
            </w:r>
            <w:r w:rsidRPr="00B5130C">
              <w:rPr>
                <w:b/>
                <w:vertAlign w:val="subscript"/>
              </w:rPr>
              <w:t>20</w:t>
            </w:r>
            <w:r w:rsidRPr="00B5130C">
              <w:rPr>
                <w:b/>
              </w:rPr>
              <w:t xml:space="preserve"> (µM)</w:t>
            </w:r>
          </w:p>
        </w:tc>
      </w:tr>
      <w:tr w:rsidR="00EB6D14" w:rsidRPr="00EB6D14" w14:paraId="6C8C7E53" w14:textId="77777777" w:rsidTr="00B5130C">
        <w:trPr>
          <w:trHeight w:val="36"/>
          <w:jc w:val="center"/>
        </w:trPr>
        <w:tc>
          <w:tcPr>
            <w:tcW w:w="0" w:type="auto"/>
            <w:tcBorders>
              <w:top w:val="single" w:sz="4" w:space="0" w:color="000000"/>
              <w:left w:val="nil"/>
              <w:bottom w:val="nil"/>
              <w:right w:val="nil"/>
            </w:tcBorders>
          </w:tcPr>
          <w:p w14:paraId="4B671826" w14:textId="77777777" w:rsidR="00617657" w:rsidRPr="00EB6D14" w:rsidRDefault="00617657" w:rsidP="00B5130C">
            <w:pPr>
              <w:jc w:val="left"/>
            </w:pPr>
            <w:r w:rsidRPr="00EB6D14">
              <w:t>Salicylic Acid (SA)</w:t>
            </w:r>
          </w:p>
        </w:tc>
        <w:tc>
          <w:tcPr>
            <w:tcW w:w="0" w:type="auto"/>
            <w:tcBorders>
              <w:top w:val="single" w:sz="4" w:space="0" w:color="000000"/>
              <w:left w:val="nil"/>
              <w:bottom w:val="nil"/>
              <w:right w:val="nil"/>
            </w:tcBorders>
          </w:tcPr>
          <w:p w14:paraId="4D165375" w14:textId="77777777" w:rsidR="00617657" w:rsidRPr="00EB6D14" w:rsidRDefault="00617657" w:rsidP="00B5130C">
            <w:pPr>
              <w:jc w:val="center"/>
            </w:pPr>
            <w:r w:rsidRPr="00EB6D14">
              <w:t>ND</w:t>
            </w:r>
          </w:p>
        </w:tc>
      </w:tr>
      <w:tr w:rsidR="00EB6D14" w:rsidRPr="00EB6D14" w14:paraId="2EF17C62" w14:textId="77777777" w:rsidTr="00B5130C">
        <w:trPr>
          <w:trHeight w:val="194"/>
          <w:jc w:val="center"/>
        </w:trPr>
        <w:tc>
          <w:tcPr>
            <w:tcW w:w="0" w:type="auto"/>
            <w:tcBorders>
              <w:top w:val="nil"/>
              <w:left w:val="nil"/>
              <w:bottom w:val="nil"/>
              <w:right w:val="nil"/>
            </w:tcBorders>
          </w:tcPr>
          <w:p w14:paraId="64D739A6" w14:textId="77777777" w:rsidR="00617657" w:rsidRPr="00EB6D14" w:rsidRDefault="00617657" w:rsidP="00B5130C">
            <w:pPr>
              <w:jc w:val="left"/>
            </w:pPr>
            <w:r w:rsidRPr="00EB6D14">
              <w:t>3DMAPS</w:t>
            </w:r>
          </w:p>
        </w:tc>
        <w:tc>
          <w:tcPr>
            <w:tcW w:w="0" w:type="auto"/>
            <w:tcBorders>
              <w:top w:val="nil"/>
              <w:left w:val="nil"/>
              <w:bottom w:val="nil"/>
              <w:right w:val="nil"/>
            </w:tcBorders>
          </w:tcPr>
          <w:p w14:paraId="2FCB8D1E" w14:textId="77777777" w:rsidR="00617657" w:rsidRPr="00EB6D14" w:rsidRDefault="00617657" w:rsidP="00B5130C">
            <w:pPr>
              <w:jc w:val="center"/>
            </w:pPr>
            <w:r w:rsidRPr="00EB6D14">
              <w:t>66.76 ± 0.09</w:t>
            </w:r>
          </w:p>
        </w:tc>
      </w:tr>
      <w:tr w:rsidR="00EB6D14" w:rsidRPr="00EB6D14" w14:paraId="49927281" w14:textId="77777777" w:rsidTr="00B5130C">
        <w:trPr>
          <w:trHeight w:val="56"/>
          <w:jc w:val="center"/>
        </w:trPr>
        <w:tc>
          <w:tcPr>
            <w:tcW w:w="0" w:type="auto"/>
            <w:tcBorders>
              <w:top w:val="nil"/>
              <w:left w:val="nil"/>
              <w:bottom w:val="single" w:sz="4" w:space="0" w:color="000000"/>
              <w:right w:val="nil"/>
            </w:tcBorders>
          </w:tcPr>
          <w:p w14:paraId="013D9632" w14:textId="77777777" w:rsidR="00617657" w:rsidRPr="00EB6D14" w:rsidRDefault="00617657" w:rsidP="00B5130C">
            <w:pPr>
              <w:jc w:val="left"/>
            </w:pPr>
            <w:r w:rsidRPr="00EB6D14">
              <w:t>3DEAPS</w:t>
            </w:r>
          </w:p>
        </w:tc>
        <w:tc>
          <w:tcPr>
            <w:tcW w:w="0" w:type="auto"/>
            <w:tcBorders>
              <w:top w:val="nil"/>
              <w:left w:val="nil"/>
              <w:bottom w:val="single" w:sz="4" w:space="0" w:color="000000"/>
              <w:right w:val="nil"/>
            </w:tcBorders>
          </w:tcPr>
          <w:p w14:paraId="32B7A06E" w14:textId="77777777" w:rsidR="00617657" w:rsidRPr="00EB6D14" w:rsidRDefault="00617657" w:rsidP="00B5130C">
            <w:pPr>
              <w:jc w:val="center"/>
            </w:pPr>
            <w:r w:rsidRPr="00EB6D14">
              <w:t>27.27 ± 0.10</w:t>
            </w:r>
          </w:p>
        </w:tc>
      </w:tr>
    </w:tbl>
    <w:p w14:paraId="55E5D401" w14:textId="3A18C0DF" w:rsidR="00617657" w:rsidRPr="00EB6D14" w:rsidRDefault="00B5130C" w:rsidP="00B5130C">
      <w:pPr>
        <w:ind w:left="2160" w:firstLine="720"/>
        <w:jc w:val="left"/>
        <w:rPr>
          <w:rFonts w:ascii="Times New Roman" w:hAnsi="Times New Roman" w:cs="Times New Roman"/>
        </w:rPr>
      </w:pPr>
      <w:r>
        <w:rPr>
          <w:rFonts w:ascii="Times New Roman" w:hAnsi="Times New Roman" w:cs="Times New Roman"/>
        </w:rPr>
        <w:t xml:space="preserve">   </w:t>
      </w:r>
      <w:r w:rsidR="00617657" w:rsidRPr="00B5130C">
        <w:rPr>
          <w:rFonts w:ascii="Times New Roman" w:hAnsi="Times New Roman" w:cs="Times New Roman"/>
          <w:sz w:val="16"/>
        </w:rPr>
        <w:t>ND = not detected</w:t>
      </w:r>
    </w:p>
    <w:p w14:paraId="6D030B18" w14:textId="2F9479E4" w:rsidR="00617657" w:rsidRPr="00EB6D14" w:rsidRDefault="00B5130C" w:rsidP="00B5130C">
      <w:pPr>
        <w:jc w:val="center"/>
        <w:rPr>
          <w:lang w:eastAsia="en-MY"/>
        </w:rPr>
      </w:pPr>
      <w:r w:rsidRPr="00EB6D14">
        <w:rPr>
          <w:noProof/>
          <w:lang w:eastAsia="en-GB"/>
        </w:rPr>
        <mc:AlternateContent>
          <mc:Choice Requires="wps">
            <w:drawing>
              <wp:anchor distT="0" distB="0" distL="114300" distR="114300" simplePos="0" relativeHeight="251834368" behindDoc="0" locked="0" layoutInCell="1" allowOverlap="1" wp14:anchorId="3F7A56AF" wp14:editId="5CDE1EC1">
                <wp:simplePos x="0" y="0"/>
                <wp:positionH relativeFrom="column">
                  <wp:posOffset>3793683</wp:posOffset>
                </wp:positionH>
                <wp:positionV relativeFrom="paragraph">
                  <wp:posOffset>1111250</wp:posOffset>
                </wp:positionV>
                <wp:extent cx="72390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8B6" w14:textId="77777777" w:rsidR="00617657" w:rsidRPr="00B11AF1" w:rsidRDefault="00617657" w:rsidP="00617657">
                            <w:pPr>
                              <w:rPr>
                                <w:rFonts w:ascii="Times New Roman" w:hAnsi="Times New Roman" w:cs="Times New Roman"/>
                                <w:lang w:val="en-MY"/>
                              </w:rPr>
                            </w:pPr>
                            <w:r w:rsidRPr="00B11AF1">
                              <w:rPr>
                                <w:rFonts w:ascii="Times New Roman" w:hAnsi="Times New Roman" w:cs="Times New Roman"/>
                                <w:lang w:val="en-MY"/>
                              </w:rPr>
                              <w:t>[3D</w:t>
                            </w:r>
                            <w:r>
                              <w:rPr>
                                <w:rFonts w:ascii="Times New Roman" w:hAnsi="Times New Roman" w:cs="Times New Roman"/>
                                <w:lang w:val="en-MY"/>
                              </w:rPr>
                              <w:t>E</w:t>
                            </w:r>
                            <w:r w:rsidRPr="00B11AF1">
                              <w:rPr>
                                <w:rFonts w:ascii="Times New Roman" w:hAnsi="Times New Roman" w:cs="Times New Roman"/>
                                <w:lang w:val="en-MY"/>
                              </w:rPr>
                              <w:t>AP]</w:t>
                            </w:r>
                            <w:r w:rsidRPr="00B11AF1">
                              <w:rPr>
                                <w:rFonts w:ascii="Times New Roman" w:hAnsi="Times New Roman" w:cs="Times New Roman"/>
                                <w:vertAlign w:val="superscript"/>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A56AF" id="Text Box 8" o:spid="_x0000_s1045" type="#_x0000_t202" style="position:absolute;left:0;text-align:left;margin-left:298.7pt;margin-top:87.5pt;width:57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" filled="f" stroked="f" strokeweight=".5pt">
                <v:textbox>
                  <w:txbxContent>
                    <w:p w14:paraId="0361E8B6" w14:textId="77777777" w:rsidR="00617657" w:rsidRPr="00B11AF1" w:rsidRDefault="00617657" w:rsidP="00617657">
                      <w:pPr>
                        <w:rPr>
                          <w:rFonts w:ascii="Times New Roman" w:hAnsi="Times New Roman" w:cs="Times New Roman"/>
                          <w:lang w:val="en-MY"/>
                        </w:rPr>
                      </w:pPr>
                      <w:r w:rsidRPr="00B11AF1">
                        <w:rPr>
                          <w:rFonts w:ascii="Times New Roman" w:hAnsi="Times New Roman" w:cs="Times New Roman"/>
                          <w:lang w:val="en-MY"/>
                        </w:rPr>
                        <w:t>[3D</w:t>
                      </w:r>
                      <w:r>
                        <w:rPr>
                          <w:rFonts w:ascii="Times New Roman" w:hAnsi="Times New Roman" w:cs="Times New Roman"/>
                          <w:lang w:val="en-MY"/>
                        </w:rPr>
                        <w:t>E</w:t>
                      </w:r>
                      <w:r w:rsidRPr="00B11AF1">
                        <w:rPr>
                          <w:rFonts w:ascii="Times New Roman" w:hAnsi="Times New Roman" w:cs="Times New Roman"/>
                          <w:lang w:val="en-MY"/>
                        </w:rPr>
                        <w:t>AP]</w:t>
                      </w:r>
                      <w:r w:rsidRPr="00B11AF1">
                        <w:rPr>
                          <w:rFonts w:ascii="Times New Roman" w:hAnsi="Times New Roman" w:cs="Times New Roman"/>
                          <w:vertAlign w:val="superscript"/>
                          <w:lang w:val="en-MY"/>
                        </w:rPr>
                        <w:t>+</w:t>
                      </w:r>
                    </w:p>
                  </w:txbxContent>
                </v:textbox>
              </v:shape>
            </w:pict>
          </mc:Fallback>
        </mc:AlternateContent>
      </w:r>
      <w:r w:rsidR="00617657" w:rsidRPr="00EB6D14">
        <w:rPr>
          <w:noProof/>
          <w:lang w:eastAsia="en-GB"/>
        </w:rPr>
        <mc:AlternateContent>
          <mc:Choice Requires="wps">
            <w:drawing>
              <wp:anchor distT="0" distB="0" distL="114300" distR="114300" simplePos="0" relativeHeight="251830272" behindDoc="0" locked="0" layoutInCell="1" allowOverlap="1" wp14:anchorId="4D890BFB" wp14:editId="15D5C86D">
                <wp:simplePos x="0" y="0"/>
                <wp:positionH relativeFrom="column">
                  <wp:posOffset>1400858</wp:posOffset>
                </wp:positionH>
                <wp:positionV relativeFrom="paragraph">
                  <wp:posOffset>1060450</wp:posOffset>
                </wp:positionV>
                <wp:extent cx="787400"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87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3D1CF" w14:textId="77777777" w:rsidR="00617657" w:rsidRPr="00B11AF1" w:rsidRDefault="00617657" w:rsidP="00617657">
                            <w:pPr>
                              <w:rPr>
                                <w:rFonts w:ascii="Times New Roman" w:hAnsi="Times New Roman" w:cs="Times New Roman"/>
                                <w:lang w:val="en-MY"/>
                              </w:rPr>
                            </w:pPr>
                            <w:r w:rsidRPr="00B11AF1">
                              <w:rPr>
                                <w:rFonts w:ascii="Times New Roman" w:hAnsi="Times New Roman" w:cs="Times New Roman"/>
                                <w:lang w:val="en-MY"/>
                              </w:rPr>
                              <w:t>[3DMAP]</w:t>
                            </w:r>
                            <w:r w:rsidRPr="00B11AF1">
                              <w:rPr>
                                <w:rFonts w:ascii="Times New Roman" w:hAnsi="Times New Roman" w:cs="Times New Roman"/>
                                <w:vertAlign w:val="superscript"/>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890BFB" id="Text Box 7" o:spid="_x0000_s1046" type="#_x0000_t202" style="position:absolute;left:0;text-align:left;margin-left:110.3pt;margin-top:83.5pt;width:62pt;height:19.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" filled="f" stroked="f" strokeweight=".5pt">
                <v:textbox>
                  <w:txbxContent>
                    <w:p w14:paraId="6953D1CF" w14:textId="77777777" w:rsidR="00617657" w:rsidRPr="00B11AF1" w:rsidRDefault="00617657" w:rsidP="00617657">
                      <w:pPr>
                        <w:rPr>
                          <w:rFonts w:ascii="Times New Roman" w:hAnsi="Times New Roman" w:cs="Times New Roman"/>
                          <w:lang w:val="en-MY"/>
                        </w:rPr>
                      </w:pPr>
                      <w:r w:rsidRPr="00B11AF1">
                        <w:rPr>
                          <w:rFonts w:ascii="Times New Roman" w:hAnsi="Times New Roman" w:cs="Times New Roman"/>
                          <w:lang w:val="en-MY"/>
                        </w:rPr>
                        <w:t>[3DMAP]</w:t>
                      </w:r>
                      <w:r w:rsidRPr="00B11AF1">
                        <w:rPr>
                          <w:rFonts w:ascii="Times New Roman" w:hAnsi="Times New Roman" w:cs="Times New Roman"/>
                          <w:vertAlign w:val="superscript"/>
                          <w:lang w:val="en-MY"/>
                        </w:rPr>
                        <w:t>+</w:t>
                      </w:r>
                    </w:p>
                  </w:txbxContent>
                </v:textbox>
              </v:shape>
            </w:pict>
          </mc:Fallback>
        </mc:AlternateContent>
      </w:r>
      <w:r w:rsidR="00617657" w:rsidRPr="00EB6D14">
        <w:rPr>
          <w:noProof/>
          <w:lang w:eastAsia="en-GB"/>
        </w:rPr>
        <w:drawing>
          <wp:inline distT="0" distB="0" distL="0" distR="0" wp14:anchorId="183EBA96" wp14:editId="1A4C02BC">
            <wp:extent cx="2285574" cy="115052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tif"/>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8068" t="14063" r="8818" b="16250"/>
                    <a:stretch/>
                  </pic:blipFill>
                  <pic:spPr bwMode="auto">
                    <a:xfrm>
                      <a:off x="0" y="0"/>
                      <a:ext cx="2298544" cy="1157055"/>
                    </a:xfrm>
                    <a:prstGeom prst="rect">
                      <a:avLst/>
                    </a:prstGeom>
                    <a:ln>
                      <a:noFill/>
                    </a:ln>
                    <a:extLst>
                      <a:ext uri="{53640926-AAD7-44D8-BBD7-CCE9431645EC}">
                        <a14:shadowObscured xmlns:a14="http://schemas.microsoft.com/office/drawing/2010/main"/>
                      </a:ext>
                    </a:extLst>
                  </pic:spPr>
                </pic:pic>
              </a:graphicData>
            </a:graphic>
          </wp:inline>
        </w:drawing>
      </w:r>
      <w:r w:rsidR="00617657" w:rsidRPr="00EB6D14">
        <w:rPr>
          <w:noProof/>
          <w:lang w:eastAsia="en-GB"/>
        </w:rPr>
        <w:drawing>
          <wp:inline distT="0" distB="0" distL="0" distR="0" wp14:anchorId="51279D03" wp14:editId="39602FDB">
            <wp:extent cx="2343874" cy="104615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p.PNG"/>
                    <pic:cNvPicPr/>
                  </pic:nvPicPr>
                  <pic:blipFill rotWithShape="1">
                    <a:blip r:embed="rId16">
                      <a:extLst>
                        <a:ext uri="{28A0092B-C50C-407E-A947-70E740481C1C}">
                          <a14:useLocalDpi xmlns:a14="http://schemas.microsoft.com/office/drawing/2010/main" val="0"/>
                        </a:ext>
                      </a:extLst>
                    </a:blip>
                    <a:srcRect l="2239" t="27529" r="2737" b="15920"/>
                    <a:stretch/>
                  </pic:blipFill>
                  <pic:spPr bwMode="auto">
                    <a:xfrm>
                      <a:off x="0" y="0"/>
                      <a:ext cx="2367444" cy="1056674"/>
                    </a:xfrm>
                    <a:prstGeom prst="rect">
                      <a:avLst/>
                    </a:prstGeom>
                    <a:ln>
                      <a:noFill/>
                    </a:ln>
                    <a:extLst>
                      <a:ext uri="{53640926-AAD7-44D8-BBD7-CCE9431645EC}">
                        <a14:shadowObscured xmlns:a14="http://schemas.microsoft.com/office/drawing/2010/main"/>
                      </a:ext>
                    </a:extLst>
                  </pic:spPr>
                </pic:pic>
              </a:graphicData>
            </a:graphic>
          </wp:inline>
        </w:drawing>
      </w:r>
    </w:p>
    <w:p w14:paraId="28CD84AB" w14:textId="77777777" w:rsidR="00617657" w:rsidRPr="00EB6D14" w:rsidRDefault="00617657" w:rsidP="00617657">
      <w:pPr>
        <w:jc w:val="left"/>
        <w:rPr>
          <w:lang w:eastAsia="en-MY"/>
        </w:rPr>
      </w:pPr>
    </w:p>
    <w:p w14:paraId="59904CD3" w14:textId="77777777" w:rsidR="00B5130C" w:rsidRDefault="00B5130C" w:rsidP="00617657">
      <w:pPr>
        <w:jc w:val="center"/>
        <w:rPr>
          <w:rFonts w:ascii="Times New Roman" w:hAnsi="Times New Roman" w:cs="Times New Roman"/>
        </w:rPr>
      </w:pPr>
    </w:p>
    <w:p w14:paraId="3FB24E33" w14:textId="001E72B1" w:rsidR="00785CA6" w:rsidRPr="00B5130C" w:rsidRDefault="00617657" w:rsidP="00B5130C">
      <w:pPr>
        <w:jc w:val="center"/>
        <w:rPr>
          <w:rFonts w:ascii="Times New Roman" w:hAnsi="Times New Roman" w:cs="Times New Roman"/>
        </w:rPr>
      </w:pPr>
      <w:r w:rsidRPr="00EB6D14">
        <w:rPr>
          <w:rFonts w:ascii="Times New Roman" w:hAnsi="Times New Roman" w:cs="Times New Roman"/>
        </w:rPr>
        <w:t>Figure4. Structure of [3</w:t>
      </w:r>
      <w:proofErr w:type="gramStart"/>
      <w:r w:rsidRPr="00EB6D14">
        <w:rPr>
          <w:rFonts w:ascii="Times New Roman" w:hAnsi="Times New Roman" w:cs="Times New Roman"/>
        </w:rPr>
        <w:t>DMAP]</w:t>
      </w:r>
      <w:r w:rsidRPr="00EB6D14">
        <w:rPr>
          <w:rFonts w:ascii="Times New Roman" w:hAnsi="Times New Roman" w:cs="Times New Roman"/>
          <w:vertAlign w:val="superscript"/>
        </w:rPr>
        <w:t>+</w:t>
      </w:r>
      <w:proofErr w:type="gramEnd"/>
      <w:r w:rsidRPr="00EB6D14">
        <w:rPr>
          <w:rFonts w:ascii="Times New Roman" w:hAnsi="Times New Roman" w:cs="Times New Roman"/>
        </w:rPr>
        <w:t xml:space="preserve"> and [3DEAP]</w:t>
      </w:r>
      <w:r w:rsidRPr="00EB6D14">
        <w:rPr>
          <w:rFonts w:ascii="Times New Roman" w:hAnsi="Times New Roman" w:cs="Times New Roman"/>
          <w:vertAlign w:val="superscript"/>
        </w:rPr>
        <w:t>+</w:t>
      </w:r>
    </w:p>
    <w:p w14:paraId="3FB24E34" w14:textId="77777777" w:rsidR="00785CA6" w:rsidRPr="00EB6D14" w:rsidRDefault="00785CA6" w:rsidP="00785CA6">
      <w:pPr>
        <w:jc w:val="center"/>
        <w:outlineLvl w:val="0"/>
        <w:rPr>
          <w:rFonts w:ascii="Times New Roman" w:hAnsi="Times New Roman" w:cs="Times New Roman"/>
          <w:b/>
          <w:szCs w:val="20"/>
        </w:rPr>
      </w:pPr>
      <w:r w:rsidRPr="00EB6D14">
        <w:rPr>
          <w:rFonts w:ascii="Times New Roman" w:hAnsi="Times New Roman" w:cs="Times New Roman"/>
          <w:b/>
          <w:szCs w:val="20"/>
        </w:rPr>
        <w:lastRenderedPageBreak/>
        <w:t>Conclusion</w:t>
      </w:r>
    </w:p>
    <w:p w14:paraId="6DC94F82" w14:textId="77777777" w:rsidR="00D7098A" w:rsidRPr="00EB6D14" w:rsidRDefault="00D7098A" w:rsidP="00B5130C">
      <w:pPr>
        <w:pStyle w:val="Bodytext"/>
        <w:rPr>
          <w:rFonts w:ascii="Times New Roman" w:hAnsi="Times New Roman"/>
          <w:color w:val="auto"/>
          <w:sz w:val="20"/>
          <w:szCs w:val="20"/>
          <w:lang w:val="en-GB"/>
        </w:rPr>
      </w:pPr>
      <w:r w:rsidRPr="00EB6D14">
        <w:rPr>
          <w:rFonts w:ascii="Times New Roman" w:hAnsi="Times New Roman"/>
          <w:color w:val="auto"/>
          <w:sz w:val="20"/>
          <w:szCs w:val="20"/>
          <w:lang w:val="en-GB"/>
        </w:rPr>
        <w:t>The 3DMAPS and 3DEAPS PILs have been successfully synthesised and characterised and their application as a potential antioxidant was determined. The synthesised PILs showed a remarkable antioxidant activity compared to that of parent acid (SA) due to the extra number of active group present (–OH and –NH) in the structure. The presence of extra active group led to a high DPPH scavenging, thus increasing antioxidant activity. For future works, kinetics study and other antioxidant assays are suggested to be considered to further confirm the antioxidant activity of the synthesised compound. Besides, increasing in concentration could be carried out to determine the half maximal inhibition concentration (IC</w:t>
      </w:r>
      <w:r w:rsidRPr="00EB6D14">
        <w:rPr>
          <w:rFonts w:ascii="Times New Roman" w:hAnsi="Times New Roman"/>
          <w:color w:val="auto"/>
          <w:sz w:val="20"/>
          <w:szCs w:val="20"/>
          <w:vertAlign w:val="subscript"/>
          <w:lang w:val="en-GB"/>
        </w:rPr>
        <w:t>50</w:t>
      </w:r>
      <w:r w:rsidRPr="00EB6D14">
        <w:rPr>
          <w:rFonts w:ascii="Times New Roman" w:hAnsi="Times New Roman"/>
          <w:color w:val="auto"/>
          <w:sz w:val="20"/>
          <w:szCs w:val="20"/>
          <w:lang w:val="en-GB"/>
        </w:rPr>
        <w:t>) value of the samples.</w:t>
      </w:r>
    </w:p>
    <w:p w14:paraId="3FB24E36" w14:textId="77777777" w:rsidR="003A2A26" w:rsidRPr="00EB6D14" w:rsidRDefault="003A2A26" w:rsidP="003A2A26">
      <w:pPr>
        <w:jc w:val="center"/>
        <w:outlineLvl w:val="0"/>
        <w:rPr>
          <w:rFonts w:ascii="Times New Roman" w:hAnsi="Times New Roman" w:cs="Times New Roman"/>
          <w:szCs w:val="20"/>
        </w:rPr>
      </w:pPr>
    </w:p>
    <w:p w14:paraId="3FB24E37" w14:textId="77777777" w:rsidR="00785CA6" w:rsidRPr="00EB6D14" w:rsidRDefault="00785CA6" w:rsidP="00785CA6">
      <w:pPr>
        <w:jc w:val="center"/>
        <w:outlineLvl w:val="0"/>
        <w:rPr>
          <w:rFonts w:ascii="Times New Roman" w:hAnsi="Times New Roman" w:cs="Times New Roman"/>
          <w:b/>
          <w:szCs w:val="20"/>
        </w:rPr>
      </w:pPr>
      <w:r w:rsidRPr="00EB6D14">
        <w:rPr>
          <w:rFonts w:ascii="Times New Roman" w:hAnsi="Times New Roman" w:cs="Times New Roman"/>
          <w:b/>
          <w:szCs w:val="20"/>
        </w:rPr>
        <w:t>Acknowledgement</w:t>
      </w:r>
    </w:p>
    <w:p w14:paraId="3FB24E39" w14:textId="2B229491" w:rsidR="00785CA6" w:rsidRPr="00EB6D14" w:rsidRDefault="005E3B24" w:rsidP="005E3B24">
      <w:pPr>
        <w:widowControl/>
        <w:wordWrap/>
        <w:adjustRightInd w:val="0"/>
        <w:rPr>
          <w:rFonts w:ascii="Times New Roman" w:eastAsiaTheme="minorHAnsi" w:hAnsi="Times New Roman" w:cs="Times New Roman"/>
          <w:kern w:val="0"/>
          <w:szCs w:val="20"/>
          <w:lang w:eastAsia="en-US"/>
        </w:rPr>
      </w:pPr>
      <w:r w:rsidRPr="00EB6D14">
        <w:rPr>
          <w:rFonts w:ascii="Times New Roman" w:eastAsiaTheme="minorHAnsi" w:hAnsi="Times New Roman" w:cs="Times New Roman"/>
          <w:kern w:val="0"/>
          <w:szCs w:val="20"/>
          <w:lang w:eastAsia="en-US"/>
        </w:rPr>
        <w:t>This research was funded by Short Term Internal Research Fund (STIRF 0153AA-F21), Universiti Teknologi PETRONAS. Nur Afiqah Ahmad acknowledges the UTP Graduate Assistantship (GA) scheme,</w:t>
      </w:r>
      <w:r w:rsidR="00B5130C">
        <w:rPr>
          <w:rFonts w:ascii="Times New Roman" w:eastAsiaTheme="minorHAnsi" w:hAnsi="Times New Roman" w:cs="Times New Roman"/>
          <w:kern w:val="0"/>
          <w:szCs w:val="20"/>
          <w:lang w:eastAsia="en-US"/>
        </w:rPr>
        <w:t xml:space="preserve"> </w:t>
      </w:r>
      <w:r w:rsidRPr="00EB6D14">
        <w:rPr>
          <w:rFonts w:ascii="Times New Roman" w:eastAsiaTheme="minorHAnsi" w:hAnsi="Times New Roman" w:cs="Times New Roman"/>
          <w:kern w:val="0"/>
          <w:szCs w:val="20"/>
          <w:lang w:eastAsia="en-US"/>
        </w:rPr>
        <w:t>Universiti Teknologi PETRONAS.</w:t>
      </w:r>
      <w:r w:rsidRPr="00EB6D14">
        <w:rPr>
          <w:rFonts w:ascii="Times New Roman" w:hAnsi="Times New Roman" w:cs="Times New Roman"/>
          <w:b/>
          <w:szCs w:val="20"/>
        </w:rPr>
        <w:t xml:space="preserve"> </w:t>
      </w:r>
    </w:p>
    <w:p w14:paraId="3FB24E3A" w14:textId="77777777" w:rsidR="003A2A26" w:rsidRPr="00EB6D14" w:rsidRDefault="003A2A26" w:rsidP="003A2A26">
      <w:pPr>
        <w:jc w:val="center"/>
        <w:outlineLvl w:val="0"/>
        <w:rPr>
          <w:rFonts w:ascii="Times New Roman" w:hAnsi="Times New Roman" w:cs="Times New Roman"/>
          <w:b/>
          <w:szCs w:val="20"/>
        </w:rPr>
      </w:pPr>
      <w:bookmarkStart w:id="1" w:name="_GoBack"/>
      <w:bookmarkEnd w:id="1"/>
    </w:p>
    <w:p w14:paraId="3FB24E3B" w14:textId="77777777" w:rsidR="00785CA6" w:rsidRPr="00EB6D14" w:rsidRDefault="00785CA6" w:rsidP="003A2A26">
      <w:pPr>
        <w:jc w:val="center"/>
        <w:outlineLvl w:val="0"/>
        <w:rPr>
          <w:rFonts w:ascii="Times New Roman" w:hAnsi="Times New Roman" w:cs="Times New Roman"/>
          <w:b/>
          <w:szCs w:val="20"/>
        </w:rPr>
      </w:pPr>
      <w:r w:rsidRPr="00EB6D14">
        <w:rPr>
          <w:rFonts w:ascii="Times New Roman" w:hAnsi="Times New Roman" w:cs="Times New Roman"/>
          <w:b/>
          <w:szCs w:val="20"/>
        </w:rPr>
        <w:t>References</w:t>
      </w:r>
    </w:p>
    <w:p w14:paraId="05A196EB" w14:textId="0AE8C98E" w:rsidR="005B4DFD" w:rsidRPr="00EB6D14" w:rsidRDefault="005B4DFD" w:rsidP="00785CA6">
      <w:pPr>
        <w:outlineLvl w:val="0"/>
        <w:rPr>
          <w:rFonts w:ascii="Times New Roman" w:hAnsi="Times New Roman" w:cs="Times New Roman"/>
          <w:b/>
          <w:szCs w:val="20"/>
        </w:rPr>
      </w:pPr>
    </w:p>
    <w:bookmarkStart w:id="2" w:name="_Hlk8861529"/>
    <w:p w14:paraId="7343A85C" w14:textId="75F4573C" w:rsidR="00B5130C" w:rsidRDefault="00D72C7C" w:rsidP="00B5130C">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szCs w:val="20"/>
        </w:rPr>
        <w:fldChar w:fldCharType="begin" w:fldLock="1"/>
      </w:r>
      <w:r w:rsidRPr="00B5130C">
        <w:rPr>
          <w:rFonts w:ascii="Times New Roman" w:hAnsi="Times New Roman" w:cs="Times New Roman"/>
          <w:szCs w:val="20"/>
        </w:rPr>
        <w:instrText xml:space="preserve">ADDIN Mendeley Bibliography CSL_BIBLIOGRAPHY </w:instrText>
      </w:r>
      <w:r w:rsidRPr="00B5130C">
        <w:rPr>
          <w:rFonts w:ascii="Times New Roman" w:hAnsi="Times New Roman" w:cs="Times New Roman"/>
          <w:szCs w:val="20"/>
        </w:rPr>
        <w:fldChar w:fldCharType="separate"/>
      </w:r>
      <w:r w:rsidRPr="00B5130C">
        <w:rPr>
          <w:rFonts w:ascii="Times New Roman" w:hAnsi="Times New Roman" w:cs="Times New Roman"/>
          <w:noProof/>
          <w:szCs w:val="20"/>
        </w:rPr>
        <w:t xml:space="preserve">Freemantle, M. (2010). </w:t>
      </w:r>
      <w:r w:rsidRPr="00B5130C">
        <w:rPr>
          <w:rFonts w:ascii="Times New Roman" w:hAnsi="Times New Roman" w:cs="Times New Roman"/>
          <w:iCs/>
          <w:noProof/>
          <w:szCs w:val="20"/>
        </w:rPr>
        <w:t xml:space="preserve">An </w:t>
      </w:r>
      <w:r w:rsidR="00B5130C" w:rsidRPr="00B5130C">
        <w:rPr>
          <w:rFonts w:ascii="Times New Roman" w:hAnsi="Times New Roman" w:cs="Times New Roman"/>
          <w:iCs/>
          <w:noProof/>
          <w:szCs w:val="20"/>
        </w:rPr>
        <w:t>introduction to ionic liquids</w:t>
      </w:r>
      <w:r w:rsidR="00B5130C" w:rsidRPr="00B5130C">
        <w:rPr>
          <w:rFonts w:ascii="Times New Roman" w:hAnsi="Times New Roman" w:cs="Times New Roman"/>
          <w:noProof/>
          <w:szCs w:val="20"/>
        </w:rPr>
        <w:t xml:space="preserve">. </w:t>
      </w:r>
      <w:r w:rsidRPr="00B5130C">
        <w:rPr>
          <w:rFonts w:ascii="Times New Roman" w:hAnsi="Times New Roman" w:cs="Times New Roman"/>
          <w:noProof/>
          <w:szCs w:val="20"/>
        </w:rPr>
        <w:t>Royal Society of Chemistry</w:t>
      </w:r>
      <w:r w:rsidR="00223283" w:rsidRPr="00B5130C">
        <w:rPr>
          <w:rFonts w:ascii="Times New Roman" w:hAnsi="Times New Roman" w:cs="Times New Roman"/>
          <w:noProof/>
          <w:szCs w:val="20"/>
        </w:rPr>
        <w:t>: pp.</w:t>
      </w:r>
      <w:r w:rsidR="00223283" w:rsidRPr="00B5130C">
        <w:rPr>
          <w:rFonts w:ascii="Times New Roman" w:hAnsi="Times New Roman" w:cs="Times New Roman"/>
          <w:szCs w:val="20"/>
        </w:rPr>
        <w:t xml:space="preserve"> 1</w:t>
      </w:r>
      <w:r w:rsidR="00CD0720">
        <w:rPr>
          <w:rFonts w:ascii="Times New Roman" w:hAnsi="Times New Roman" w:cs="Times New Roman"/>
          <w:szCs w:val="20"/>
        </w:rPr>
        <w:t>-</w:t>
      </w:r>
      <w:r w:rsidR="00223283" w:rsidRPr="00B5130C">
        <w:rPr>
          <w:rFonts w:ascii="Times New Roman" w:hAnsi="Times New Roman" w:cs="Times New Roman"/>
          <w:szCs w:val="20"/>
        </w:rPr>
        <w:t>2</w:t>
      </w:r>
      <w:r w:rsidR="00CD0720">
        <w:rPr>
          <w:rFonts w:ascii="Times New Roman" w:hAnsi="Times New Roman" w:cs="Times New Roman"/>
          <w:szCs w:val="20"/>
        </w:rPr>
        <w:t>.</w:t>
      </w:r>
    </w:p>
    <w:p w14:paraId="68803575" w14:textId="77777777" w:rsidR="00B5130C" w:rsidRDefault="00D72C7C" w:rsidP="00B5130C">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noProof/>
          <w:szCs w:val="20"/>
        </w:rPr>
        <w:t xml:space="preserve">Stoimenovski, J., Dean, P. M., Izgorodina, E. I. </w:t>
      </w:r>
      <w:r w:rsidR="00B5130C">
        <w:rPr>
          <w:rFonts w:ascii="Times New Roman" w:hAnsi="Times New Roman" w:cs="Times New Roman"/>
          <w:noProof/>
          <w:szCs w:val="20"/>
        </w:rPr>
        <w:t xml:space="preserve">and </w:t>
      </w:r>
      <w:r w:rsidRPr="00B5130C">
        <w:rPr>
          <w:rFonts w:ascii="Times New Roman" w:hAnsi="Times New Roman" w:cs="Times New Roman"/>
          <w:noProof/>
          <w:szCs w:val="20"/>
        </w:rPr>
        <w:t xml:space="preserve">MacFarlane, D. R. (2012). Protic pharmaceutical ionic liquids and solids: Aspects of protonics. </w:t>
      </w:r>
      <w:r w:rsidRPr="00B5130C">
        <w:rPr>
          <w:rFonts w:ascii="Times New Roman" w:hAnsi="Times New Roman" w:cs="Times New Roman"/>
          <w:i/>
          <w:iCs/>
          <w:noProof/>
          <w:szCs w:val="20"/>
        </w:rPr>
        <w:t>Faraday Discussions</w:t>
      </w:r>
      <w:r w:rsidRPr="00B5130C">
        <w:rPr>
          <w:rFonts w:ascii="Times New Roman" w:hAnsi="Times New Roman" w:cs="Times New Roman"/>
          <w:noProof/>
          <w:szCs w:val="20"/>
        </w:rPr>
        <w:t xml:space="preserve">, </w:t>
      </w:r>
      <w:r w:rsidRPr="00B5130C">
        <w:rPr>
          <w:rFonts w:ascii="Times New Roman" w:hAnsi="Times New Roman" w:cs="Times New Roman"/>
          <w:iCs/>
          <w:noProof/>
          <w:szCs w:val="20"/>
        </w:rPr>
        <w:t>154</w:t>
      </w:r>
      <w:r w:rsidR="006D254C" w:rsidRPr="00B5130C">
        <w:rPr>
          <w:rFonts w:ascii="Times New Roman" w:hAnsi="Times New Roman" w:cs="Times New Roman"/>
          <w:iCs/>
          <w:noProof/>
          <w:szCs w:val="20"/>
        </w:rPr>
        <w:t>(1</w:t>
      </w:r>
      <w:r w:rsidR="009E014E" w:rsidRPr="00B5130C">
        <w:rPr>
          <w:rFonts w:ascii="Times New Roman" w:hAnsi="Times New Roman" w:cs="Times New Roman"/>
          <w:iCs/>
          <w:noProof/>
          <w:szCs w:val="20"/>
        </w:rPr>
        <w:t>):</w:t>
      </w:r>
      <w:r w:rsidRPr="00B5130C">
        <w:rPr>
          <w:rFonts w:ascii="Times New Roman" w:hAnsi="Times New Roman" w:cs="Times New Roman"/>
          <w:noProof/>
          <w:szCs w:val="20"/>
        </w:rPr>
        <w:t xml:space="preserve"> 335</w:t>
      </w:r>
      <w:r w:rsidR="00B5130C">
        <w:rPr>
          <w:rFonts w:ascii="Times New Roman" w:hAnsi="Times New Roman" w:cs="Times New Roman"/>
          <w:noProof/>
          <w:szCs w:val="20"/>
        </w:rPr>
        <w:t>-</w:t>
      </w:r>
      <w:r w:rsidRPr="00B5130C">
        <w:rPr>
          <w:rFonts w:ascii="Times New Roman" w:hAnsi="Times New Roman" w:cs="Times New Roman"/>
          <w:noProof/>
          <w:szCs w:val="20"/>
        </w:rPr>
        <w:t>352.</w:t>
      </w:r>
    </w:p>
    <w:p w14:paraId="309739B1" w14:textId="77777777" w:rsidR="00B5130C" w:rsidRDefault="00D72C7C" w:rsidP="00B5130C">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noProof/>
          <w:szCs w:val="20"/>
        </w:rPr>
        <w:t xml:space="preserve">Yang, Z. </w:t>
      </w:r>
      <w:r w:rsidR="00B5130C">
        <w:rPr>
          <w:rFonts w:ascii="Times New Roman" w:hAnsi="Times New Roman" w:cs="Times New Roman"/>
          <w:noProof/>
          <w:szCs w:val="20"/>
        </w:rPr>
        <w:t xml:space="preserve">and </w:t>
      </w:r>
      <w:r w:rsidRPr="00B5130C">
        <w:rPr>
          <w:rFonts w:ascii="Times New Roman" w:hAnsi="Times New Roman" w:cs="Times New Roman"/>
          <w:noProof/>
          <w:szCs w:val="20"/>
        </w:rPr>
        <w:t xml:space="preserve">Pan, W. (2005). Ionic liquids: Green solvents for nonaqueous biocatalysis. </w:t>
      </w:r>
      <w:r w:rsidRPr="00B5130C">
        <w:rPr>
          <w:rFonts w:ascii="Times New Roman" w:hAnsi="Times New Roman" w:cs="Times New Roman"/>
          <w:i/>
          <w:iCs/>
          <w:noProof/>
          <w:szCs w:val="20"/>
        </w:rPr>
        <w:t>Enzyme and Microbial Technology</w:t>
      </w:r>
      <w:r w:rsidRPr="00B5130C">
        <w:rPr>
          <w:rFonts w:ascii="Times New Roman" w:hAnsi="Times New Roman" w:cs="Times New Roman"/>
          <w:noProof/>
          <w:szCs w:val="20"/>
        </w:rPr>
        <w:t xml:space="preserve">, </w:t>
      </w:r>
      <w:r w:rsidRPr="00B5130C">
        <w:rPr>
          <w:rFonts w:ascii="Times New Roman" w:hAnsi="Times New Roman" w:cs="Times New Roman"/>
          <w:iCs/>
          <w:noProof/>
          <w:szCs w:val="20"/>
        </w:rPr>
        <w:t>37</w:t>
      </w:r>
      <w:r w:rsidRPr="00B5130C">
        <w:rPr>
          <w:rFonts w:ascii="Times New Roman" w:hAnsi="Times New Roman" w:cs="Times New Roman"/>
          <w:noProof/>
          <w:szCs w:val="20"/>
        </w:rPr>
        <w:t>(1)</w:t>
      </w:r>
      <w:r w:rsidR="009E014E" w:rsidRPr="00B5130C">
        <w:rPr>
          <w:rFonts w:ascii="Times New Roman" w:hAnsi="Times New Roman" w:cs="Times New Roman"/>
          <w:noProof/>
          <w:szCs w:val="20"/>
        </w:rPr>
        <w:t>:</w:t>
      </w:r>
      <w:r w:rsidRPr="00B5130C">
        <w:rPr>
          <w:rFonts w:ascii="Times New Roman" w:hAnsi="Times New Roman" w:cs="Times New Roman"/>
          <w:noProof/>
          <w:szCs w:val="20"/>
        </w:rPr>
        <w:t xml:space="preserve"> 19</w:t>
      </w:r>
      <w:r w:rsidR="00B5130C">
        <w:rPr>
          <w:rFonts w:ascii="Times New Roman" w:hAnsi="Times New Roman" w:cs="Times New Roman"/>
          <w:noProof/>
          <w:szCs w:val="20"/>
        </w:rPr>
        <w:t>-</w:t>
      </w:r>
      <w:r w:rsidRPr="00B5130C">
        <w:rPr>
          <w:rFonts w:ascii="Times New Roman" w:hAnsi="Times New Roman" w:cs="Times New Roman"/>
          <w:noProof/>
          <w:szCs w:val="20"/>
        </w:rPr>
        <w:t xml:space="preserve">28. </w:t>
      </w:r>
    </w:p>
    <w:p w14:paraId="38147102" w14:textId="77777777" w:rsidR="00B5130C" w:rsidRDefault="00D72C7C" w:rsidP="00B5130C">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noProof/>
          <w:szCs w:val="20"/>
        </w:rPr>
        <w:t xml:space="preserve">Hayouni, S., Robert, A., Ferlin, N., Amri, H. </w:t>
      </w:r>
      <w:r w:rsidR="00B5130C">
        <w:rPr>
          <w:rFonts w:ascii="Times New Roman" w:hAnsi="Times New Roman" w:cs="Times New Roman"/>
          <w:noProof/>
          <w:szCs w:val="20"/>
        </w:rPr>
        <w:t xml:space="preserve">and </w:t>
      </w:r>
      <w:r w:rsidRPr="00B5130C">
        <w:rPr>
          <w:rFonts w:ascii="Times New Roman" w:hAnsi="Times New Roman" w:cs="Times New Roman"/>
          <w:noProof/>
          <w:szCs w:val="20"/>
        </w:rPr>
        <w:t>Bouquillon, S. (2016). New biobased tetrabutylphosphonium ionic liquids: Synthesis, characteri</w:t>
      </w:r>
      <w:r w:rsidR="009E014E" w:rsidRPr="00B5130C">
        <w:rPr>
          <w:rFonts w:ascii="Times New Roman" w:hAnsi="Times New Roman" w:cs="Times New Roman"/>
          <w:noProof/>
          <w:szCs w:val="20"/>
        </w:rPr>
        <w:t>s</w:t>
      </w:r>
      <w:r w:rsidRPr="00B5130C">
        <w:rPr>
          <w:rFonts w:ascii="Times New Roman" w:hAnsi="Times New Roman" w:cs="Times New Roman"/>
          <w:noProof/>
          <w:szCs w:val="20"/>
        </w:rPr>
        <w:t xml:space="preserve">ation and use as a solvent or co-solvent for mild and greener Pd-catalyzed hydrogenation processes. </w:t>
      </w:r>
      <w:r w:rsidRPr="00B5130C">
        <w:rPr>
          <w:rFonts w:ascii="Times New Roman" w:hAnsi="Times New Roman" w:cs="Times New Roman"/>
          <w:i/>
          <w:iCs/>
          <w:noProof/>
          <w:szCs w:val="20"/>
        </w:rPr>
        <w:t>RSC Advances</w:t>
      </w:r>
      <w:r w:rsidRPr="00B5130C">
        <w:rPr>
          <w:rFonts w:ascii="Times New Roman" w:hAnsi="Times New Roman" w:cs="Times New Roman"/>
          <w:noProof/>
          <w:szCs w:val="20"/>
        </w:rPr>
        <w:t xml:space="preserve">, </w:t>
      </w:r>
      <w:r w:rsidRPr="00B5130C">
        <w:rPr>
          <w:rFonts w:ascii="Times New Roman" w:hAnsi="Times New Roman" w:cs="Times New Roman"/>
          <w:iCs/>
          <w:noProof/>
          <w:szCs w:val="20"/>
        </w:rPr>
        <w:t>6</w:t>
      </w:r>
      <w:r w:rsidRPr="00B5130C">
        <w:rPr>
          <w:rFonts w:ascii="Times New Roman" w:hAnsi="Times New Roman" w:cs="Times New Roman"/>
          <w:noProof/>
          <w:szCs w:val="20"/>
        </w:rPr>
        <w:t>(114)</w:t>
      </w:r>
      <w:r w:rsidR="009E014E" w:rsidRPr="00B5130C">
        <w:rPr>
          <w:rFonts w:ascii="Times New Roman" w:hAnsi="Times New Roman" w:cs="Times New Roman"/>
          <w:noProof/>
          <w:szCs w:val="20"/>
        </w:rPr>
        <w:t>:</w:t>
      </w:r>
      <w:r w:rsidRPr="00B5130C">
        <w:rPr>
          <w:rFonts w:ascii="Times New Roman" w:hAnsi="Times New Roman" w:cs="Times New Roman"/>
          <w:noProof/>
          <w:szCs w:val="20"/>
        </w:rPr>
        <w:t xml:space="preserve"> 113583</w:t>
      </w:r>
      <w:r w:rsidR="00B5130C">
        <w:rPr>
          <w:rFonts w:ascii="Times New Roman" w:hAnsi="Times New Roman" w:cs="Times New Roman"/>
          <w:noProof/>
          <w:szCs w:val="20"/>
        </w:rPr>
        <w:t>-</w:t>
      </w:r>
      <w:r w:rsidRPr="00B5130C">
        <w:rPr>
          <w:rFonts w:ascii="Times New Roman" w:hAnsi="Times New Roman" w:cs="Times New Roman"/>
          <w:noProof/>
          <w:szCs w:val="20"/>
        </w:rPr>
        <w:t xml:space="preserve">113595. </w:t>
      </w:r>
    </w:p>
    <w:p w14:paraId="50C929DD" w14:textId="77777777" w:rsidR="00B5130C" w:rsidRDefault="00D72C7C" w:rsidP="00B5130C">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noProof/>
          <w:szCs w:val="20"/>
        </w:rPr>
        <w:t>Visser, A. E., Swatloski, R. P., Reichert, W. M., Mayton, R., Sheff, S., Wierzbicki, A.</w:t>
      </w:r>
      <w:r w:rsidR="00B5130C">
        <w:rPr>
          <w:rFonts w:ascii="Times New Roman" w:hAnsi="Times New Roman" w:cs="Times New Roman"/>
          <w:noProof/>
          <w:szCs w:val="20"/>
        </w:rPr>
        <w:t xml:space="preserve"> and </w:t>
      </w:r>
      <w:r w:rsidRPr="00B5130C">
        <w:rPr>
          <w:rFonts w:ascii="Times New Roman" w:hAnsi="Times New Roman" w:cs="Times New Roman"/>
          <w:noProof/>
          <w:szCs w:val="20"/>
        </w:rPr>
        <w:t>Rogers, R. D. (2002). Task-specific ionic liquids incorporating novel cations for the coordination and extraction of Hg</w:t>
      </w:r>
      <w:r w:rsidRPr="00CD0720">
        <w:rPr>
          <w:rFonts w:ascii="Times New Roman" w:hAnsi="Times New Roman" w:cs="Times New Roman"/>
          <w:noProof/>
          <w:szCs w:val="20"/>
          <w:vertAlign w:val="superscript"/>
        </w:rPr>
        <w:t>2+</w:t>
      </w:r>
      <w:r w:rsidRPr="00B5130C">
        <w:rPr>
          <w:rFonts w:ascii="Times New Roman" w:hAnsi="Times New Roman" w:cs="Times New Roman"/>
          <w:noProof/>
          <w:szCs w:val="20"/>
        </w:rPr>
        <w:t xml:space="preserve"> and Cd</w:t>
      </w:r>
      <w:r w:rsidRPr="00CD0720">
        <w:rPr>
          <w:rFonts w:ascii="Times New Roman" w:hAnsi="Times New Roman" w:cs="Times New Roman"/>
          <w:noProof/>
          <w:szCs w:val="20"/>
          <w:vertAlign w:val="superscript"/>
        </w:rPr>
        <w:t>2+</w:t>
      </w:r>
      <w:r w:rsidRPr="00B5130C">
        <w:rPr>
          <w:rFonts w:ascii="Times New Roman" w:hAnsi="Times New Roman" w:cs="Times New Roman"/>
          <w:noProof/>
          <w:szCs w:val="20"/>
        </w:rPr>
        <w:t>: Synthesis, characteri</w:t>
      </w:r>
      <w:r w:rsidR="009E014E" w:rsidRPr="00B5130C">
        <w:rPr>
          <w:rFonts w:ascii="Times New Roman" w:hAnsi="Times New Roman" w:cs="Times New Roman"/>
          <w:noProof/>
          <w:szCs w:val="20"/>
        </w:rPr>
        <w:t>s</w:t>
      </w:r>
      <w:r w:rsidRPr="00B5130C">
        <w:rPr>
          <w:rFonts w:ascii="Times New Roman" w:hAnsi="Times New Roman" w:cs="Times New Roman"/>
          <w:noProof/>
          <w:szCs w:val="20"/>
        </w:rPr>
        <w:t xml:space="preserve">ation, and extraction studies. </w:t>
      </w:r>
      <w:r w:rsidRPr="00B5130C">
        <w:rPr>
          <w:rFonts w:ascii="Times New Roman" w:hAnsi="Times New Roman" w:cs="Times New Roman"/>
          <w:i/>
          <w:iCs/>
          <w:noProof/>
          <w:szCs w:val="20"/>
        </w:rPr>
        <w:t>Environmental Science and Technology</w:t>
      </w:r>
      <w:r w:rsidRPr="00B5130C">
        <w:rPr>
          <w:rFonts w:ascii="Times New Roman" w:hAnsi="Times New Roman" w:cs="Times New Roman"/>
          <w:noProof/>
          <w:szCs w:val="20"/>
        </w:rPr>
        <w:t xml:space="preserve">, </w:t>
      </w:r>
      <w:r w:rsidRPr="00B5130C">
        <w:rPr>
          <w:rFonts w:ascii="Times New Roman" w:hAnsi="Times New Roman" w:cs="Times New Roman"/>
          <w:iCs/>
          <w:noProof/>
          <w:szCs w:val="20"/>
        </w:rPr>
        <w:t>36</w:t>
      </w:r>
      <w:r w:rsidRPr="00B5130C">
        <w:rPr>
          <w:rFonts w:ascii="Times New Roman" w:hAnsi="Times New Roman" w:cs="Times New Roman"/>
          <w:noProof/>
          <w:szCs w:val="20"/>
        </w:rPr>
        <w:t>(11)</w:t>
      </w:r>
      <w:r w:rsidR="009E014E" w:rsidRPr="00B5130C">
        <w:rPr>
          <w:rFonts w:ascii="Times New Roman" w:hAnsi="Times New Roman" w:cs="Times New Roman"/>
          <w:noProof/>
          <w:szCs w:val="20"/>
        </w:rPr>
        <w:t>:</w:t>
      </w:r>
      <w:r w:rsidRPr="00B5130C">
        <w:rPr>
          <w:rFonts w:ascii="Times New Roman" w:hAnsi="Times New Roman" w:cs="Times New Roman"/>
          <w:noProof/>
          <w:szCs w:val="20"/>
        </w:rPr>
        <w:t xml:space="preserve"> 2523</w:t>
      </w:r>
      <w:r w:rsidR="00B5130C">
        <w:rPr>
          <w:rFonts w:ascii="Times New Roman" w:hAnsi="Times New Roman" w:cs="Times New Roman"/>
          <w:noProof/>
          <w:szCs w:val="20"/>
        </w:rPr>
        <w:t>-</w:t>
      </w:r>
      <w:r w:rsidRPr="00B5130C">
        <w:rPr>
          <w:rFonts w:ascii="Times New Roman" w:hAnsi="Times New Roman" w:cs="Times New Roman"/>
          <w:noProof/>
          <w:szCs w:val="20"/>
        </w:rPr>
        <w:t>2529.</w:t>
      </w:r>
    </w:p>
    <w:p w14:paraId="6A1BAFDD" w14:textId="77777777" w:rsidR="007B4931" w:rsidRDefault="00D72C7C" w:rsidP="007B4931">
      <w:pPr>
        <w:pStyle w:val="ListParagraph"/>
        <w:numPr>
          <w:ilvl w:val="0"/>
          <w:numId w:val="3"/>
        </w:numPr>
        <w:adjustRightInd w:val="0"/>
        <w:ind w:hanging="720"/>
        <w:rPr>
          <w:rFonts w:ascii="Times New Roman" w:hAnsi="Times New Roman" w:cs="Times New Roman"/>
          <w:noProof/>
          <w:szCs w:val="20"/>
        </w:rPr>
      </w:pPr>
      <w:r w:rsidRPr="00B5130C">
        <w:rPr>
          <w:rFonts w:ascii="Times New Roman" w:hAnsi="Times New Roman" w:cs="Times New Roman"/>
          <w:noProof/>
          <w:szCs w:val="20"/>
        </w:rPr>
        <w:t xml:space="preserve">Siodmiak, T., Piotr Marszall, M. </w:t>
      </w:r>
      <w:r w:rsidR="00B5130C">
        <w:rPr>
          <w:rFonts w:ascii="Times New Roman" w:hAnsi="Times New Roman" w:cs="Times New Roman"/>
          <w:noProof/>
          <w:szCs w:val="20"/>
        </w:rPr>
        <w:t xml:space="preserve">and </w:t>
      </w:r>
      <w:r w:rsidRPr="00B5130C">
        <w:rPr>
          <w:rFonts w:ascii="Times New Roman" w:hAnsi="Times New Roman" w:cs="Times New Roman"/>
          <w:noProof/>
          <w:szCs w:val="20"/>
        </w:rPr>
        <w:t xml:space="preserve">Proszowska, A. (2012). Ionic </w:t>
      </w:r>
      <w:r w:rsidR="00B5130C">
        <w:rPr>
          <w:rFonts w:ascii="Times New Roman" w:hAnsi="Times New Roman" w:cs="Times New Roman"/>
          <w:noProof/>
          <w:szCs w:val="20"/>
        </w:rPr>
        <w:t>l</w:t>
      </w:r>
      <w:r w:rsidRPr="00B5130C">
        <w:rPr>
          <w:rFonts w:ascii="Times New Roman" w:hAnsi="Times New Roman" w:cs="Times New Roman"/>
          <w:noProof/>
          <w:szCs w:val="20"/>
        </w:rPr>
        <w:t xml:space="preserve">iquids: A </w:t>
      </w:r>
      <w:r w:rsidR="00B5130C">
        <w:rPr>
          <w:rFonts w:ascii="Times New Roman" w:hAnsi="Times New Roman" w:cs="Times New Roman"/>
          <w:noProof/>
          <w:szCs w:val="20"/>
        </w:rPr>
        <w:t>n</w:t>
      </w:r>
      <w:r w:rsidRPr="00B5130C">
        <w:rPr>
          <w:rFonts w:ascii="Times New Roman" w:hAnsi="Times New Roman" w:cs="Times New Roman"/>
          <w:noProof/>
          <w:szCs w:val="20"/>
        </w:rPr>
        <w:t xml:space="preserve">ew </w:t>
      </w:r>
      <w:r w:rsidR="00B5130C">
        <w:rPr>
          <w:rFonts w:ascii="Times New Roman" w:hAnsi="Times New Roman" w:cs="Times New Roman"/>
          <w:noProof/>
          <w:szCs w:val="20"/>
        </w:rPr>
        <w:t>s</w:t>
      </w:r>
      <w:r w:rsidRPr="00B5130C">
        <w:rPr>
          <w:rFonts w:ascii="Times New Roman" w:hAnsi="Times New Roman" w:cs="Times New Roman"/>
          <w:noProof/>
          <w:szCs w:val="20"/>
        </w:rPr>
        <w:t xml:space="preserve">trategy in </w:t>
      </w:r>
      <w:r w:rsidR="00B5130C" w:rsidRPr="00B5130C">
        <w:rPr>
          <w:rFonts w:ascii="Times New Roman" w:hAnsi="Times New Roman" w:cs="Times New Roman"/>
          <w:noProof/>
          <w:szCs w:val="20"/>
        </w:rPr>
        <w:t xml:space="preserve">pharmaceutical synthesis. </w:t>
      </w:r>
      <w:r w:rsidRPr="00B5130C">
        <w:rPr>
          <w:rFonts w:ascii="Times New Roman" w:hAnsi="Times New Roman" w:cs="Times New Roman"/>
          <w:i/>
          <w:iCs/>
          <w:noProof/>
          <w:szCs w:val="20"/>
        </w:rPr>
        <w:t>Mini-Reviews in Organic Chemistry</w:t>
      </w:r>
      <w:r w:rsidRPr="00B5130C">
        <w:rPr>
          <w:rFonts w:ascii="Times New Roman" w:hAnsi="Times New Roman" w:cs="Times New Roman"/>
          <w:noProof/>
          <w:szCs w:val="20"/>
        </w:rPr>
        <w:t xml:space="preserve">, </w:t>
      </w:r>
      <w:r w:rsidRPr="00B5130C">
        <w:rPr>
          <w:rFonts w:ascii="Times New Roman" w:hAnsi="Times New Roman" w:cs="Times New Roman"/>
          <w:iCs/>
          <w:noProof/>
          <w:szCs w:val="20"/>
        </w:rPr>
        <w:t>9</w:t>
      </w:r>
      <w:r w:rsidRPr="00B5130C">
        <w:rPr>
          <w:rFonts w:ascii="Times New Roman" w:hAnsi="Times New Roman" w:cs="Times New Roman"/>
          <w:noProof/>
          <w:szCs w:val="20"/>
        </w:rPr>
        <w:t>(2</w:t>
      </w:r>
      <w:r w:rsidR="009E014E" w:rsidRPr="00B5130C">
        <w:rPr>
          <w:rFonts w:ascii="Times New Roman" w:hAnsi="Times New Roman" w:cs="Times New Roman"/>
          <w:noProof/>
          <w:szCs w:val="20"/>
        </w:rPr>
        <w:t>):</w:t>
      </w:r>
      <w:r w:rsidRPr="00B5130C">
        <w:rPr>
          <w:rFonts w:ascii="Times New Roman" w:hAnsi="Times New Roman" w:cs="Times New Roman"/>
          <w:noProof/>
          <w:szCs w:val="20"/>
        </w:rPr>
        <w:t xml:space="preserve"> 203</w:t>
      </w:r>
      <w:r w:rsidR="00B5130C">
        <w:rPr>
          <w:rFonts w:ascii="Times New Roman" w:hAnsi="Times New Roman" w:cs="Times New Roman"/>
          <w:noProof/>
          <w:szCs w:val="20"/>
        </w:rPr>
        <w:t>-</w:t>
      </w:r>
      <w:r w:rsidRPr="00B5130C">
        <w:rPr>
          <w:rFonts w:ascii="Times New Roman" w:hAnsi="Times New Roman" w:cs="Times New Roman"/>
          <w:noProof/>
          <w:szCs w:val="20"/>
        </w:rPr>
        <w:t xml:space="preserve">208. </w:t>
      </w:r>
    </w:p>
    <w:p w14:paraId="177CD012" w14:textId="77777777" w:rsidR="007B4931" w:rsidRDefault="00D72C7C" w:rsidP="007B4931">
      <w:pPr>
        <w:pStyle w:val="ListParagraph"/>
        <w:numPr>
          <w:ilvl w:val="0"/>
          <w:numId w:val="3"/>
        </w:numPr>
        <w:adjustRightInd w:val="0"/>
        <w:ind w:hanging="720"/>
        <w:rPr>
          <w:rFonts w:ascii="Times New Roman" w:hAnsi="Times New Roman" w:cs="Times New Roman"/>
          <w:noProof/>
          <w:szCs w:val="20"/>
        </w:rPr>
      </w:pPr>
      <w:r w:rsidRPr="007B4931">
        <w:rPr>
          <w:rFonts w:ascii="Times New Roman" w:hAnsi="Times New Roman" w:cs="Times New Roman"/>
          <w:noProof/>
          <w:szCs w:val="20"/>
        </w:rPr>
        <w:t xml:space="preserve">Greaves, T. L. </w:t>
      </w:r>
      <w:r w:rsidR="007B4931">
        <w:rPr>
          <w:rFonts w:ascii="Times New Roman" w:hAnsi="Times New Roman" w:cs="Times New Roman"/>
          <w:noProof/>
          <w:szCs w:val="20"/>
        </w:rPr>
        <w:t xml:space="preserve">and </w:t>
      </w:r>
      <w:r w:rsidRPr="007B4931">
        <w:rPr>
          <w:rFonts w:ascii="Times New Roman" w:hAnsi="Times New Roman" w:cs="Times New Roman"/>
          <w:noProof/>
          <w:szCs w:val="20"/>
        </w:rPr>
        <w:t xml:space="preserve">Drummond, C. J. (2008). Protic </w:t>
      </w:r>
      <w:r w:rsidR="007B4931" w:rsidRPr="007B4931">
        <w:rPr>
          <w:rFonts w:ascii="Times New Roman" w:hAnsi="Times New Roman" w:cs="Times New Roman"/>
          <w:noProof/>
          <w:szCs w:val="20"/>
        </w:rPr>
        <w:t>ionic liquids</w:t>
      </w:r>
      <w:r w:rsidRPr="007B4931">
        <w:rPr>
          <w:rFonts w:ascii="Times New Roman" w:hAnsi="Times New Roman" w:cs="Times New Roman"/>
          <w:noProof/>
          <w:szCs w:val="20"/>
        </w:rPr>
        <w:t xml:space="preserve">: Properties and </w:t>
      </w:r>
      <w:r w:rsidR="007B4931">
        <w:rPr>
          <w:rFonts w:ascii="Times New Roman" w:hAnsi="Times New Roman" w:cs="Times New Roman"/>
          <w:noProof/>
          <w:szCs w:val="20"/>
        </w:rPr>
        <w:t>a</w:t>
      </w:r>
      <w:r w:rsidRPr="007B4931">
        <w:rPr>
          <w:rFonts w:ascii="Times New Roman" w:hAnsi="Times New Roman" w:cs="Times New Roman"/>
          <w:noProof/>
          <w:szCs w:val="20"/>
        </w:rPr>
        <w:t xml:space="preserve">pplications. </w:t>
      </w:r>
      <w:r w:rsidRPr="007B4931">
        <w:rPr>
          <w:rFonts w:ascii="Times New Roman" w:hAnsi="Times New Roman" w:cs="Times New Roman"/>
          <w:i/>
          <w:iCs/>
          <w:noProof/>
          <w:szCs w:val="20"/>
        </w:rPr>
        <w:t>Chem</w:t>
      </w:r>
      <w:r w:rsidR="007B4931">
        <w:rPr>
          <w:rFonts w:ascii="Times New Roman" w:hAnsi="Times New Roman" w:cs="Times New Roman"/>
          <w:i/>
          <w:iCs/>
          <w:noProof/>
          <w:szCs w:val="20"/>
        </w:rPr>
        <w:t>istry</w:t>
      </w:r>
      <w:r w:rsidRPr="007B4931">
        <w:rPr>
          <w:rFonts w:ascii="Times New Roman" w:hAnsi="Times New Roman" w:cs="Times New Roman"/>
          <w:i/>
          <w:iCs/>
          <w:noProof/>
          <w:szCs w:val="20"/>
        </w:rPr>
        <w:t xml:space="preserve"> Rev</w:t>
      </w:r>
      <w:r w:rsidR="007B4931">
        <w:rPr>
          <w:rFonts w:ascii="Times New Roman" w:hAnsi="Times New Roman" w:cs="Times New Roman"/>
          <w:i/>
          <w:iCs/>
          <w:noProof/>
          <w:szCs w:val="20"/>
        </w:rPr>
        <w:t>iews</w:t>
      </w:r>
      <w:r w:rsidRPr="007B4931">
        <w:rPr>
          <w:rFonts w:ascii="Times New Roman" w:hAnsi="Times New Roman" w:cs="Times New Roman"/>
          <w:noProof/>
          <w:szCs w:val="20"/>
        </w:rPr>
        <w:t xml:space="preserve">, </w:t>
      </w:r>
      <w:r w:rsidRPr="007B4931">
        <w:rPr>
          <w:rFonts w:ascii="Times New Roman" w:hAnsi="Times New Roman" w:cs="Times New Roman"/>
          <w:iCs/>
          <w:noProof/>
          <w:szCs w:val="20"/>
        </w:rPr>
        <w:t>108</w:t>
      </w:r>
      <w:r w:rsidR="006D254C" w:rsidRPr="007B4931">
        <w:rPr>
          <w:rFonts w:ascii="Times New Roman" w:hAnsi="Times New Roman" w:cs="Times New Roman"/>
          <w:iCs/>
          <w:noProof/>
          <w:szCs w:val="20"/>
        </w:rPr>
        <w:t>(1)</w:t>
      </w:r>
      <w:r w:rsidR="009E014E" w:rsidRPr="007B4931">
        <w:rPr>
          <w:rFonts w:ascii="Times New Roman" w:hAnsi="Times New Roman" w:cs="Times New Roman"/>
          <w:noProof/>
          <w:szCs w:val="20"/>
        </w:rPr>
        <w:t>:</w:t>
      </w:r>
      <w:r w:rsidRPr="007B4931">
        <w:rPr>
          <w:rFonts w:ascii="Times New Roman" w:hAnsi="Times New Roman" w:cs="Times New Roman"/>
          <w:noProof/>
          <w:szCs w:val="20"/>
        </w:rPr>
        <w:t xml:space="preserve"> 206</w:t>
      </w:r>
      <w:r w:rsidR="007B4931">
        <w:rPr>
          <w:rFonts w:ascii="Times New Roman" w:hAnsi="Times New Roman" w:cs="Times New Roman"/>
          <w:noProof/>
          <w:szCs w:val="20"/>
        </w:rPr>
        <w:t>-</w:t>
      </w:r>
      <w:r w:rsidRPr="007B4931">
        <w:rPr>
          <w:rFonts w:ascii="Times New Roman" w:hAnsi="Times New Roman" w:cs="Times New Roman"/>
          <w:noProof/>
          <w:szCs w:val="20"/>
        </w:rPr>
        <w:t>237.</w:t>
      </w:r>
    </w:p>
    <w:p w14:paraId="201A909E" w14:textId="77777777" w:rsidR="007B4931" w:rsidRDefault="00D72C7C" w:rsidP="007B4931">
      <w:pPr>
        <w:pStyle w:val="ListParagraph"/>
        <w:numPr>
          <w:ilvl w:val="0"/>
          <w:numId w:val="3"/>
        </w:numPr>
        <w:adjustRightInd w:val="0"/>
        <w:ind w:hanging="720"/>
        <w:rPr>
          <w:rFonts w:ascii="Times New Roman" w:hAnsi="Times New Roman" w:cs="Times New Roman"/>
          <w:noProof/>
          <w:szCs w:val="20"/>
        </w:rPr>
      </w:pPr>
      <w:r w:rsidRPr="007B4931">
        <w:rPr>
          <w:rFonts w:ascii="Times New Roman" w:hAnsi="Times New Roman" w:cs="Times New Roman"/>
          <w:noProof/>
          <w:szCs w:val="20"/>
        </w:rPr>
        <w:t xml:space="preserve">Kennedy, D. F. </w:t>
      </w:r>
      <w:r w:rsidR="007B4931">
        <w:rPr>
          <w:rFonts w:ascii="Times New Roman" w:hAnsi="Times New Roman" w:cs="Times New Roman"/>
          <w:noProof/>
          <w:szCs w:val="20"/>
        </w:rPr>
        <w:t xml:space="preserve">and </w:t>
      </w:r>
      <w:r w:rsidRPr="007B4931">
        <w:rPr>
          <w:rFonts w:ascii="Times New Roman" w:hAnsi="Times New Roman" w:cs="Times New Roman"/>
          <w:noProof/>
          <w:szCs w:val="20"/>
        </w:rPr>
        <w:t xml:space="preserve">Drummondt, C. J. (2009). Large aggregated ions found in some protic ionic liquids. </w:t>
      </w:r>
      <w:r w:rsidRPr="007B4931">
        <w:rPr>
          <w:rFonts w:ascii="Times New Roman" w:hAnsi="Times New Roman" w:cs="Times New Roman"/>
          <w:i/>
          <w:iCs/>
          <w:noProof/>
          <w:szCs w:val="20"/>
        </w:rPr>
        <w:t>Journal of Physical Chemistry B</w:t>
      </w:r>
      <w:r w:rsidRPr="007B4931">
        <w:rPr>
          <w:rFonts w:ascii="Times New Roman" w:hAnsi="Times New Roman" w:cs="Times New Roman"/>
          <w:noProof/>
          <w:szCs w:val="20"/>
        </w:rPr>
        <w:t xml:space="preserve">, </w:t>
      </w:r>
      <w:r w:rsidRPr="007B4931">
        <w:rPr>
          <w:rFonts w:ascii="Times New Roman" w:hAnsi="Times New Roman" w:cs="Times New Roman"/>
          <w:iCs/>
          <w:noProof/>
          <w:szCs w:val="20"/>
        </w:rPr>
        <w:t>113</w:t>
      </w:r>
      <w:r w:rsidRPr="007B4931">
        <w:rPr>
          <w:rFonts w:ascii="Times New Roman" w:hAnsi="Times New Roman" w:cs="Times New Roman"/>
          <w:noProof/>
          <w:szCs w:val="20"/>
        </w:rPr>
        <w:t>(17)</w:t>
      </w:r>
      <w:r w:rsidR="009E014E" w:rsidRPr="007B4931">
        <w:rPr>
          <w:rFonts w:ascii="Times New Roman" w:hAnsi="Times New Roman" w:cs="Times New Roman"/>
          <w:noProof/>
          <w:szCs w:val="20"/>
        </w:rPr>
        <w:t>:</w:t>
      </w:r>
      <w:r w:rsidRPr="007B4931">
        <w:rPr>
          <w:rFonts w:ascii="Times New Roman" w:hAnsi="Times New Roman" w:cs="Times New Roman"/>
          <w:noProof/>
          <w:szCs w:val="20"/>
        </w:rPr>
        <w:t xml:space="preserve"> 5690</w:t>
      </w:r>
      <w:r w:rsidR="007B4931">
        <w:rPr>
          <w:rFonts w:ascii="Times New Roman" w:hAnsi="Times New Roman" w:cs="Times New Roman"/>
          <w:noProof/>
          <w:szCs w:val="20"/>
        </w:rPr>
        <w:t>-</w:t>
      </w:r>
      <w:r w:rsidRPr="007B4931">
        <w:rPr>
          <w:rFonts w:ascii="Times New Roman" w:hAnsi="Times New Roman" w:cs="Times New Roman"/>
          <w:noProof/>
          <w:szCs w:val="20"/>
        </w:rPr>
        <w:t xml:space="preserve">5693. </w:t>
      </w:r>
    </w:p>
    <w:p w14:paraId="33BDDC1F" w14:textId="77777777" w:rsidR="007B4931" w:rsidRDefault="00D72C7C" w:rsidP="007B4931">
      <w:pPr>
        <w:pStyle w:val="ListParagraph"/>
        <w:numPr>
          <w:ilvl w:val="0"/>
          <w:numId w:val="3"/>
        </w:numPr>
        <w:adjustRightInd w:val="0"/>
        <w:ind w:hanging="720"/>
        <w:rPr>
          <w:rFonts w:ascii="Times New Roman" w:hAnsi="Times New Roman" w:cs="Times New Roman"/>
          <w:noProof/>
          <w:szCs w:val="20"/>
        </w:rPr>
      </w:pPr>
      <w:r w:rsidRPr="007B4931">
        <w:rPr>
          <w:rFonts w:ascii="Times New Roman" w:hAnsi="Times New Roman" w:cs="Times New Roman"/>
          <w:noProof/>
          <w:szCs w:val="20"/>
        </w:rPr>
        <w:t xml:space="preserve">Gung, S. T., Sun, I. W., Ou-Yang, W. C., Su, S. G., Lin, M. W., Lai, C. A. </w:t>
      </w:r>
      <w:r w:rsidR="007B4931">
        <w:rPr>
          <w:rFonts w:ascii="Times New Roman" w:hAnsi="Times New Roman" w:cs="Times New Roman"/>
          <w:noProof/>
          <w:szCs w:val="20"/>
        </w:rPr>
        <w:t xml:space="preserve">and </w:t>
      </w:r>
      <w:r w:rsidRPr="007B4931">
        <w:rPr>
          <w:rFonts w:ascii="Times New Roman" w:hAnsi="Times New Roman" w:cs="Times New Roman"/>
          <w:noProof/>
          <w:szCs w:val="20"/>
        </w:rPr>
        <w:t>Lin, Y. C. (2012). Synthesis and characteri</w:t>
      </w:r>
      <w:r w:rsidR="009E014E" w:rsidRPr="007B4931">
        <w:rPr>
          <w:rFonts w:ascii="Times New Roman" w:hAnsi="Times New Roman" w:cs="Times New Roman"/>
          <w:noProof/>
          <w:szCs w:val="20"/>
        </w:rPr>
        <w:t>s</w:t>
      </w:r>
      <w:r w:rsidRPr="007B4931">
        <w:rPr>
          <w:rFonts w:ascii="Times New Roman" w:hAnsi="Times New Roman" w:cs="Times New Roman"/>
          <w:noProof/>
          <w:szCs w:val="20"/>
        </w:rPr>
        <w:t xml:space="preserve">ation of protic ionic liquids containing cyclic amine cations and tetrafluoroborate anion. </w:t>
      </w:r>
      <w:r w:rsidRPr="007B4931">
        <w:rPr>
          <w:rFonts w:ascii="Times New Roman" w:hAnsi="Times New Roman" w:cs="Times New Roman"/>
          <w:i/>
          <w:iCs/>
          <w:noProof/>
          <w:szCs w:val="20"/>
        </w:rPr>
        <w:t>Journal of the Iranian Chemical Society</w:t>
      </w:r>
      <w:r w:rsidRPr="007B4931">
        <w:rPr>
          <w:rFonts w:ascii="Times New Roman" w:hAnsi="Times New Roman" w:cs="Times New Roman"/>
          <w:noProof/>
          <w:szCs w:val="20"/>
        </w:rPr>
        <w:t xml:space="preserve">, </w:t>
      </w:r>
      <w:r w:rsidRPr="007B4931">
        <w:rPr>
          <w:rFonts w:ascii="Times New Roman" w:hAnsi="Times New Roman" w:cs="Times New Roman"/>
          <w:iCs/>
          <w:noProof/>
          <w:szCs w:val="20"/>
        </w:rPr>
        <w:t>8</w:t>
      </w:r>
      <w:r w:rsidRPr="007B4931">
        <w:rPr>
          <w:rFonts w:ascii="Times New Roman" w:hAnsi="Times New Roman" w:cs="Times New Roman"/>
          <w:noProof/>
          <w:szCs w:val="20"/>
        </w:rPr>
        <w:t>(1</w:t>
      </w:r>
      <w:r w:rsidR="009E014E" w:rsidRPr="007B4931">
        <w:rPr>
          <w:rFonts w:ascii="Times New Roman" w:hAnsi="Times New Roman" w:cs="Times New Roman"/>
          <w:noProof/>
          <w:szCs w:val="20"/>
        </w:rPr>
        <w:t>):</w:t>
      </w:r>
      <w:r w:rsidRPr="007B4931">
        <w:rPr>
          <w:rFonts w:ascii="Times New Roman" w:hAnsi="Times New Roman" w:cs="Times New Roman"/>
          <w:noProof/>
          <w:szCs w:val="20"/>
        </w:rPr>
        <w:t xml:space="preserve"> 149</w:t>
      </w:r>
      <w:r w:rsidR="007B4931">
        <w:rPr>
          <w:rFonts w:ascii="Times New Roman" w:hAnsi="Times New Roman" w:cs="Times New Roman"/>
          <w:noProof/>
          <w:szCs w:val="20"/>
        </w:rPr>
        <w:t>-</w:t>
      </w:r>
      <w:r w:rsidRPr="007B4931">
        <w:rPr>
          <w:rFonts w:ascii="Times New Roman" w:hAnsi="Times New Roman" w:cs="Times New Roman"/>
          <w:noProof/>
          <w:szCs w:val="20"/>
        </w:rPr>
        <w:t xml:space="preserve">165. </w:t>
      </w:r>
    </w:p>
    <w:p w14:paraId="3A040773" w14:textId="77777777" w:rsidR="002C075D" w:rsidRDefault="00D72C7C" w:rsidP="002C075D">
      <w:pPr>
        <w:pStyle w:val="ListParagraph"/>
        <w:numPr>
          <w:ilvl w:val="0"/>
          <w:numId w:val="3"/>
        </w:numPr>
        <w:adjustRightInd w:val="0"/>
        <w:ind w:hanging="720"/>
        <w:rPr>
          <w:rFonts w:ascii="Times New Roman" w:hAnsi="Times New Roman" w:cs="Times New Roman"/>
          <w:noProof/>
          <w:szCs w:val="20"/>
        </w:rPr>
      </w:pPr>
      <w:r w:rsidRPr="007B4931">
        <w:rPr>
          <w:rFonts w:ascii="Times New Roman" w:hAnsi="Times New Roman" w:cs="Times New Roman"/>
          <w:noProof/>
          <w:szCs w:val="20"/>
        </w:rPr>
        <w:t xml:space="preserve">Yasuda, T. </w:t>
      </w:r>
      <w:r w:rsidR="007B4931">
        <w:rPr>
          <w:rFonts w:ascii="Times New Roman" w:hAnsi="Times New Roman" w:cs="Times New Roman"/>
          <w:noProof/>
          <w:szCs w:val="20"/>
        </w:rPr>
        <w:t xml:space="preserve">and </w:t>
      </w:r>
      <w:r w:rsidRPr="007B4931">
        <w:rPr>
          <w:rFonts w:ascii="Times New Roman" w:hAnsi="Times New Roman" w:cs="Times New Roman"/>
          <w:noProof/>
          <w:szCs w:val="20"/>
        </w:rPr>
        <w:t xml:space="preserve">Watanabe, M. (2013). Protic ionic liquids: Fuel cell applications. </w:t>
      </w:r>
      <w:r w:rsidRPr="007B4931">
        <w:rPr>
          <w:rFonts w:ascii="Times New Roman" w:hAnsi="Times New Roman" w:cs="Times New Roman"/>
          <w:i/>
          <w:iCs/>
          <w:noProof/>
          <w:szCs w:val="20"/>
        </w:rPr>
        <w:t>MRS Bulletin</w:t>
      </w:r>
      <w:r w:rsidRPr="007B4931">
        <w:rPr>
          <w:rFonts w:ascii="Times New Roman" w:hAnsi="Times New Roman" w:cs="Times New Roman"/>
          <w:noProof/>
          <w:szCs w:val="20"/>
        </w:rPr>
        <w:t xml:space="preserve">, </w:t>
      </w:r>
      <w:r w:rsidRPr="007B4931">
        <w:rPr>
          <w:rFonts w:ascii="Times New Roman" w:hAnsi="Times New Roman" w:cs="Times New Roman"/>
          <w:iCs/>
          <w:noProof/>
          <w:szCs w:val="20"/>
        </w:rPr>
        <w:t>38</w:t>
      </w:r>
      <w:r w:rsidRPr="007B4931">
        <w:rPr>
          <w:rFonts w:ascii="Times New Roman" w:hAnsi="Times New Roman" w:cs="Times New Roman"/>
          <w:noProof/>
          <w:szCs w:val="20"/>
        </w:rPr>
        <w:t>(7)</w:t>
      </w:r>
      <w:r w:rsidR="009E014E" w:rsidRPr="007B4931">
        <w:rPr>
          <w:rFonts w:ascii="Times New Roman" w:hAnsi="Times New Roman" w:cs="Times New Roman"/>
          <w:noProof/>
          <w:szCs w:val="20"/>
        </w:rPr>
        <w:t>:</w:t>
      </w:r>
      <w:r w:rsidRPr="007B4931">
        <w:rPr>
          <w:rFonts w:ascii="Times New Roman" w:hAnsi="Times New Roman" w:cs="Times New Roman"/>
          <w:noProof/>
          <w:szCs w:val="20"/>
        </w:rPr>
        <w:t xml:space="preserve"> 560</w:t>
      </w:r>
      <w:r w:rsidR="007B4931">
        <w:rPr>
          <w:rFonts w:ascii="Times New Roman" w:hAnsi="Times New Roman" w:cs="Times New Roman"/>
          <w:noProof/>
          <w:szCs w:val="20"/>
        </w:rPr>
        <w:t>-</w:t>
      </w:r>
      <w:r w:rsidRPr="007B4931">
        <w:rPr>
          <w:rFonts w:ascii="Times New Roman" w:hAnsi="Times New Roman" w:cs="Times New Roman"/>
          <w:noProof/>
          <w:szCs w:val="20"/>
        </w:rPr>
        <w:t xml:space="preserve">566. </w:t>
      </w:r>
    </w:p>
    <w:p w14:paraId="3AB3442B" w14:textId="77777777" w:rsidR="002C075D" w:rsidRDefault="00D72C7C" w:rsidP="002C075D">
      <w:pPr>
        <w:pStyle w:val="ListParagraph"/>
        <w:numPr>
          <w:ilvl w:val="0"/>
          <w:numId w:val="3"/>
        </w:numPr>
        <w:adjustRightInd w:val="0"/>
        <w:ind w:hanging="720"/>
        <w:rPr>
          <w:rFonts w:ascii="Times New Roman" w:hAnsi="Times New Roman" w:cs="Times New Roman"/>
          <w:noProof/>
          <w:szCs w:val="20"/>
        </w:rPr>
      </w:pPr>
      <w:r w:rsidRPr="002C075D">
        <w:rPr>
          <w:rFonts w:ascii="Times New Roman" w:hAnsi="Times New Roman" w:cs="Times New Roman"/>
          <w:noProof/>
          <w:szCs w:val="20"/>
        </w:rPr>
        <w:t>Stoimenovski, J.</w:t>
      </w:r>
      <w:r w:rsidR="002C075D">
        <w:rPr>
          <w:rFonts w:ascii="Times New Roman" w:hAnsi="Times New Roman" w:cs="Times New Roman"/>
          <w:noProof/>
          <w:szCs w:val="20"/>
        </w:rPr>
        <w:t xml:space="preserve"> and </w:t>
      </w:r>
      <w:r w:rsidRPr="002C075D">
        <w:rPr>
          <w:rFonts w:ascii="Times New Roman" w:hAnsi="Times New Roman" w:cs="Times New Roman"/>
          <w:noProof/>
          <w:szCs w:val="20"/>
        </w:rPr>
        <w:t xml:space="preserve">MacFarlane, D. R. (2011). Enhanced membrane transport of pharmaceutically active protic ionic liquids. </w:t>
      </w:r>
      <w:r w:rsidRPr="002C075D">
        <w:rPr>
          <w:rFonts w:ascii="Times New Roman" w:hAnsi="Times New Roman" w:cs="Times New Roman"/>
          <w:i/>
          <w:iCs/>
          <w:noProof/>
          <w:szCs w:val="20"/>
        </w:rPr>
        <w:t>Chemical Communications</w:t>
      </w:r>
      <w:r w:rsidRPr="002C075D">
        <w:rPr>
          <w:rFonts w:ascii="Times New Roman" w:hAnsi="Times New Roman" w:cs="Times New Roman"/>
          <w:noProof/>
          <w:szCs w:val="20"/>
        </w:rPr>
        <w:t xml:space="preserve">, </w:t>
      </w:r>
      <w:r w:rsidRPr="002C075D">
        <w:rPr>
          <w:rFonts w:ascii="Times New Roman" w:hAnsi="Times New Roman" w:cs="Times New Roman"/>
          <w:iCs/>
          <w:noProof/>
          <w:szCs w:val="20"/>
        </w:rPr>
        <w:t>47</w:t>
      </w:r>
      <w:r w:rsidRPr="002C075D">
        <w:rPr>
          <w:rFonts w:ascii="Times New Roman" w:hAnsi="Times New Roman" w:cs="Times New Roman"/>
          <w:noProof/>
          <w:szCs w:val="20"/>
        </w:rPr>
        <w:t>(41)</w:t>
      </w:r>
      <w:r w:rsidR="009E014E" w:rsidRPr="002C075D">
        <w:rPr>
          <w:rFonts w:ascii="Times New Roman" w:hAnsi="Times New Roman" w:cs="Times New Roman"/>
          <w:noProof/>
          <w:szCs w:val="20"/>
        </w:rPr>
        <w:t>:</w:t>
      </w:r>
      <w:r w:rsidRPr="002C075D">
        <w:rPr>
          <w:rFonts w:ascii="Times New Roman" w:hAnsi="Times New Roman" w:cs="Times New Roman"/>
          <w:noProof/>
          <w:szCs w:val="20"/>
        </w:rPr>
        <w:t xml:space="preserve"> 11429</w:t>
      </w:r>
      <w:r w:rsidR="002C075D">
        <w:rPr>
          <w:rFonts w:ascii="Times New Roman" w:hAnsi="Times New Roman" w:cs="Times New Roman"/>
          <w:noProof/>
          <w:szCs w:val="20"/>
        </w:rPr>
        <w:t>-</w:t>
      </w:r>
      <w:r w:rsidRPr="002C075D">
        <w:rPr>
          <w:rFonts w:ascii="Times New Roman" w:hAnsi="Times New Roman" w:cs="Times New Roman"/>
          <w:noProof/>
          <w:szCs w:val="20"/>
        </w:rPr>
        <w:t>11431.</w:t>
      </w:r>
    </w:p>
    <w:p w14:paraId="3EC7D8FC" w14:textId="77777777" w:rsidR="002C075D" w:rsidRDefault="00D72C7C" w:rsidP="002C075D">
      <w:pPr>
        <w:pStyle w:val="ListParagraph"/>
        <w:numPr>
          <w:ilvl w:val="0"/>
          <w:numId w:val="3"/>
        </w:numPr>
        <w:adjustRightInd w:val="0"/>
        <w:ind w:hanging="720"/>
        <w:rPr>
          <w:rFonts w:ascii="Times New Roman" w:hAnsi="Times New Roman" w:cs="Times New Roman"/>
          <w:noProof/>
          <w:szCs w:val="20"/>
        </w:rPr>
      </w:pPr>
      <w:r w:rsidRPr="002C075D">
        <w:rPr>
          <w:rFonts w:ascii="Times New Roman" w:hAnsi="Times New Roman" w:cs="Times New Roman"/>
          <w:noProof/>
          <w:szCs w:val="20"/>
        </w:rPr>
        <w:t>Mirskova, A. N., Adamovich, S. N., Mirskov, R. G.</w:t>
      </w:r>
      <w:r w:rsidR="002C075D">
        <w:rPr>
          <w:rFonts w:ascii="Times New Roman" w:hAnsi="Times New Roman" w:cs="Times New Roman"/>
          <w:noProof/>
          <w:szCs w:val="20"/>
        </w:rPr>
        <w:t xml:space="preserve"> and </w:t>
      </w:r>
      <w:r w:rsidRPr="002C075D">
        <w:rPr>
          <w:rFonts w:ascii="Times New Roman" w:hAnsi="Times New Roman" w:cs="Times New Roman"/>
          <w:noProof/>
          <w:szCs w:val="20"/>
        </w:rPr>
        <w:t xml:space="preserve">Voronkov, M. G. (2014). Pharmacologically active salts and ionic liquids based on 2-hydroxyethylamines, arylchalcogenylacetic acids, and essential metals. </w:t>
      </w:r>
      <w:r w:rsidRPr="002C075D">
        <w:rPr>
          <w:rFonts w:ascii="Times New Roman" w:hAnsi="Times New Roman" w:cs="Times New Roman"/>
          <w:i/>
          <w:iCs/>
          <w:noProof/>
          <w:szCs w:val="20"/>
        </w:rPr>
        <w:t>Russian Chemical Bulletin</w:t>
      </w:r>
      <w:r w:rsidRPr="002C075D">
        <w:rPr>
          <w:rFonts w:ascii="Times New Roman" w:hAnsi="Times New Roman" w:cs="Times New Roman"/>
          <w:noProof/>
          <w:szCs w:val="20"/>
        </w:rPr>
        <w:t xml:space="preserve">, </w:t>
      </w:r>
      <w:r w:rsidRPr="002C075D">
        <w:rPr>
          <w:rFonts w:ascii="Times New Roman" w:hAnsi="Times New Roman" w:cs="Times New Roman"/>
          <w:iCs/>
          <w:noProof/>
          <w:szCs w:val="20"/>
        </w:rPr>
        <w:t>63</w:t>
      </w:r>
      <w:r w:rsidRPr="002C075D">
        <w:rPr>
          <w:rFonts w:ascii="Times New Roman" w:hAnsi="Times New Roman" w:cs="Times New Roman"/>
          <w:noProof/>
          <w:szCs w:val="20"/>
        </w:rPr>
        <w:t>(9)</w:t>
      </w:r>
      <w:r w:rsidR="009E014E" w:rsidRPr="002C075D">
        <w:rPr>
          <w:rFonts w:ascii="Times New Roman" w:hAnsi="Times New Roman" w:cs="Times New Roman"/>
          <w:noProof/>
          <w:szCs w:val="20"/>
        </w:rPr>
        <w:t>:</w:t>
      </w:r>
      <w:r w:rsidRPr="002C075D">
        <w:rPr>
          <w:rFonts w:ascii="Times New Roman" w:hAnsi="Times New Roman" w:cs="Times New Roman"/>
          <w:noProof/>
          <w:szCs w:val="20"/>
        </w:rPr>
        <w:t xml:space="preserve"> 1869</w:t>
      </w:r>
      <w:r w:rsidR="002C075D">
        <w:rPr>
          <w:rFonts w:ascii="Times New Roman" w:hAnsi="Times New Roman" w:cs="Times New Roman"/>
          <w:noProof/>
          <w:szCs w:val="20"/>
        </w:rPr>
        <w:t>-</w:t>
      </w:r>
      <w:r w:rsidRPr="002C075D">
        <w:rPr>
          <w:rFonts w:ascii="Times New Roman" w:hAnsi="Times New Roman" w:cs="Times New Roman"/>
          <w:noProof/>
          <w:szCs w:val="20"/>
        </w:rPr>
        <w:t>1883.</w:t>
      </w:r>
    </w:p>
    <w:p w14:paraId="3798AF60" w14:textId="77777777" w:rsidR="002C075D" w:rsidRDefault="00D72C7C" w:rsidP="002C075D">
      <w:pPr>
        <w:pStyle w:val="ListParagraph"/>
        <w:numPr>
          <w:ilvl w:val="0"/>
          <w:numId w:val="3"/>
        </w:numPr>
        <w:adjustRightInd w:val="0"/>
        <w:ind w:hanging="720"/>
        <w:rPr>
          <w:rFonts w:ascii="Times New Roman" w:hAnsi="Times New Roman" w:cs="Times New Roman"/>
          <w:noProof/>
          <w:szCs w:val="20"/>
        </w:rPr>
      </w:pPr>
      <w:r w:rsidRPr="002C075D">
        <w:rPr>
          <w:rFonts w:ascii="Times New Roman" w:hAnsi="Times New Roman" w:cs="Times New Roman"/>
          <w:noProof/>
          <w:szCs w:val="20"/>
        </w:rPr>
        <w:t>Pernak, J., Goc, I.</w:t>
      </w:r>
      <w:r w:rsidR="002C075D">
        <w:rPr>
          <w:rFonts w:ascii="Times New Roman" w:hAnsi="Times New Roman" w:cs="Times New Roman"/>
          <w:noProof/>
          <w:szCs w:val="20"/>
        </w:rPr>
        <w:t xml:space="preserve"> and </w:t>
      </w:r>
      <w:r w:rsidRPr="002C075D">
        <w:rPr>
          <w:rFonts w:ascii="Times New Roman" w:hAnsi="Times New Roman" w:cs="Times New Roman"/>
          <w:noProof/>
          <w:szCs w:val="20"/>
        </w:rPr>
        <w:t xml:space="preserve">Mirska, I. (2004). Anti-microbial activities of protic ionic liquids with lactate anion. </w:t>
      </w:r>
      <w:r w:rsidRPr="002C075D">
        <w:rPr>
          <w:rFonts w:ascii="Times New Roman" w:hAnsi="Times New Roman" w:cs="Times New Roman"/>
          <w:i/>
          <w:iCs/>
          <w:noProof/>
          <w:szCs w:val="20"/>
        </w:rPr>
        <w:t>Green Chemistry</w:t>
      </w:r>
      <w:r w:rsidRPr="002C075D">
        <w:rPr>
          <w:rFonts w:ascii="Times New Roman" w:hAnsi="Times New Roman" w:cs="Times New Roman"/>
          <w:noProof/>
          <w:szCs w:val="20"/>
        </w:rPr>
        <w:t xml:space="preserve">, </w:t>
      </w:r>
      <w:r w:rsidRPr="002C075D">
        <w:rPr>
          <w:rFonts w:ascii="Times New Roman" w:hAnsi="Times New Roman" w:cs="Times New Roman"/>
          <w:iCs/>
          <w:noProof/>
          <w:szCs w:val="20"/>
        </w:rPr>
        <w:t>6</w:t>
      </w:r>
      <w:r w:rsidRPr="002C075D">
        <w:rPr>
          <w:rFonts w:ascii="Times New Roman" w:hAnsi="Times New Roman" w:cs="Times New Roman"/>
          <w:noProof/>
          <w:szCs w:val="20"/>
        </w:rPr>
        <w:t>(7)</w:t>
      </w:r>
      <w:r w:rsidR="002C075D">
        <w:rPr>
          <w:rFonts w:ascii="Times New Roman" w:hAnsi="Times New Roman" w:cs="Times New Roman"/>
          <w:noProof/>
          <w:szCs w:val="20"/>
        </w:rPr>
        <w:t>:</w:t>
      </w:r>
      <w:r w:rsidRPr="002C075D">
        <w:rPr>
          <w:rFonts w:ascii="Times New Roman" w:hAnsi="Times New Roman" w:cs="Times New Roman"/>
          <w:noProof/>
          <w:szCs w:val="20"/>
        </w:rPr>
        <w:t xml:space="preserve"> 323</w:t>
      </w:r>
      <w:r w:rsidR="002C075D">
        <w:rPr>
          <w:rFonts w:ascii="Times New Roman" w:hAnsi="Times New Roman" w:cs="Times New Roman"/>
          <w:noProof/>
          <w:szCs w:val="20"/>
        </w:rPr>
        <w:t>-</w:t>
      </w:r>
      <w:r w:rsidRPr="002C075D">
        <w:rPr>
          <w:rFonts w:ascii="Times New Roman" w:hAnsi="Times New Roman" w:cs="Times New Roman"/>
          <w:noProof/>
          <w:szCs w:val="20"/>
        </w:rPr>
        <w:t xml:space="preserve">329. </w:t>
      </w:r>
    </w:p>
    <w:p w14:paraId="3C0B31F9" w14:textId="77777777" w:rsidR="002C075D" w:rsidRDefault="00D72C7C" w:rsidP="002C075D">
      <w:pPr>
        <w:pStyle w:val="ListParagraph"/>
        <w:numPr>
          <w:ilvl w:val="0"/>
          <w:numId w:val="3"/>
        </w:numPr>
        <w:adjustRightInd w:val="0"/>
        <w:ind w:hanging="720"/>
        <w:rPr>
          <w:rFonts w:ascii="Times New Roman" w:hAnsi="Times New Roman" w:cs="Times New Roman"/>
          <w:noProof/>
          <w:szCs w:val="20"/>
        </w:rPr>
      </w:pPr>
      <w:r w:rsidRPr="002C075D">
        <w:rPr>
          <w:rFonts w:ascii="Times New Roman" w:hAnsi="Times New Roman" w:cs="Times New Roman"/>
          <w:noProof/>
          <w:szCs w:val="20"/>
        </w:rPr>
        <w:t>Randjelović, D., Stojiljković, N., Laketić, D., Ilić, I., Randjelović, N., Veljković, S.</w:t>
      </w:r>
      <w:r w:rsidR="002C075D">
        <w:rPr>
          <w:rFonts w:ascii="Times New Roman" w:hAnsi="Times New Roman" w:cs="Times New Roman"/>
          <w:noProof/>
          <w:szCs w:val="20"/>
        </w:rPr>
        <w:t xml:space="preserve"> and </w:t>
      </w:r>
      <w:r w:rsidRPr="002C075D">
        <w:rPr>
          <w:rFonts w:ascii="Times New Roman" w:hAnsi="Times New Roman" w:cs="Times New Roman"/>
          <w:noProof/>
          <w:szCs w:val="20"/>
        </w:rPr>
        <w:t xml:space="preserve">Sokolović, D. (2016). The </w:t>
      </w:r>
      <w:r w:rsidR="002C075D" w:rsidRPr="002C075D">
        <w:rPr>
          <w:rFonts w:ascii="Times New Roman" w:hAnsi="Times New Roman" w:cs="Times New Roman"/>
          <w:noProof/>
          <w:szCs w:val="20"/>
        </w:rPr>
        <w:t xml:space="preserve">beneficial biological properties of salicylic acid. </w:t>
      </w:r>
      <w:r w:rsidRPr="002C075D">
        <w:rPr>
          <w:rFonts w:ascii="Times New Roman" w:hAnsi="Times New Roman" w:cs="Times New Roman"/>
          <w:i/>
          <w:iCs/>
          <w:noProof/>
          <w:szCs w:val="20"/>
        </w:rPr>
        <w:t>Acta Facultatis Medicae Naissensis</w:t>
      </w:r>
      <w:r w:rsidRPr="002C075D">
        <w:rPr>
          <w:rFonts w:ascii="Times New Roman" w:hAnsi="Times New Roman" w:cs="Times New Roman"/>
          <w:noProof/>
          <w:szCs w:val="20"/>
        </w:rPr>
        <w:t xml:space="preserve">, </w:t>
      </w:r>
      <w:r w:rsidRPr="002C075D">
        <w:rPr>
          <w:rFonts w:ascii="Times New Roman" w:hAnsi="Times New Roman" w:cs="Times New Roman"/>
          <w:iCs/>
          <w:noProof/>
          <w:szCs w:val="20"/>
        </w:rPr>
        <w:t>32</w:t>
      </w:r>
      <w:r w:rsidRPr="002C075D">
        <w:rPr>
          <w:rFonts w:ascii="Times New Roman" w:hAnsi="Times New Roman" w:cs="Times New Roman"/>
          <w:noProof/>
          <w:szCs w:val="20"/>
        </w:rPr>
        <w:t>(4)</w:t>
      </w:r>
      <w:r w:rsidR="009E014E" w:rsidRPr="002C075D">
        <w:rPr>
          <w:rFonts w:ascii="Times New Roman" w:hAnsi="Times New Roman" w:cs="Times New Roman"/>
          <w:noProof/>
          <w:szCs w:val="20"/>
        </w:rPr>
        <w:t>:</w:t>
      </w:r>
      <w:r w:rsidRPr="002C075D">
        <w:rPr>
          <w:rFonts w:ascii="Times New Roman" w:hAnsi="Times New Roman" w:cs="Times New Roman"/>
          <w:noProof/>
          <w:szCs w:val="20"/>
        </w:rPr>
        <w:t xml:space="preserve"> 259</w:t>
      </w:r>
      <w:r w:rsidR="002C075D">
        <w:rPr>
          <w:rFonts w:ascii="Times New Roman" w:hAnsi="Times New Roman" w:cs="Times New Roman"/>
          <w:noProof/>
          <w:szCs w:val="20"/>
        </w:rPr>
        <w:t>-</w:t>
      </w:r>
      <w:r w:rsidRPr="002C075D">
        <w:rPr>
          <w:rFonts w:ascii="Times New Roman" w:hAnsi="Times New Roman" w:cs="Times New Roman"/>
          <w:noProof/>
          <w:szCs w:val="20"/>
        </w:rPr>
        <w:t xml:space="preserve">265. </w:t>
      </w:r>
    </w:p>
    <w:p w14:paraId="676941C5" w14:textId="77777777" w:rsidR="00610CD1" w:rsidRDefault="00D72C7C" w:rsidP="00610CD1">
      <w:pPr>
        <w:pStyle w:val="ListParagraph"/>
        <w:numPr>
          <w:ilvl w:val="0"/>
          <w:numId w:val="3"/>
        </w:numPr>
        <w:adjustRightInd w:val="0"/>
        <w:ind w:hanging="720"/>
        <w:rPr>
          <w:rFonts w:ascii="Times New Roman" w:hAnsi="Times New Roman" w:cs="Times New Roman"/>
          <w:noProof/>
          <w:szCs w:val="20"/>
        </w:rPr>
      </w:pPr>
      <w:r w:rsidRPr="002C075D">
        <w:rPr>
          <w:rFonts w:ascii="Times New Roman" w:hAnsi="Times New Roman" w:cs="Times New Roman"/>
          <w:noProof/>
          <w:szCs w:val="20"/>
        </w:rPr>
        <w:t xml:space="preserve">Brand-Williams, W., Cuvelier, M. E. </w:t>
      </w:r>
      <w:r w:rsidR="002C075D">
        <w:rPr>
          <w:rFonts w:ascii="Times New Roman" w:hAnsi="Times New Roman" w:cs="Times New Roman"/>
          <w:noProof/>
          <w:szCs w:val="20"/>
        </w:rPr>
        <w:t xml:space="preserve">and </w:t>
      </w:r>
      <w:r w:rsidRPr="002C075D">
        <w:rPr>
          <w:rFonts w:ascii="Times New Roman" w:hAnsi="Times New Roman" w:cs="Times New Roman"/>
          <w:noProof/>
          <w:szCs w:val="20"/>
        </w:rPr>
        <w:t>Berset, C. L. W. T. (1995). Use of free radical method to evaluate antioxidant activity.</w:t>
      </w:r>
      <w:r w:rsidR="002C075D">
        <w:rPr>
          <w:rFonts w:ascii="Times New Roman" w:hAnsi="Times New Roman" w:cs="Times New Roman"/>
          <w:noProof/>
          <w:szCs w:val="20"/>
        </w:rPr>
        <w:t xml:space="preserve"> </w:t>
      </w:r>
      <w:r w:rsidRPr="002C075D">
        <w:rPr>
          <w:rFonts w:ascii="Times New Roman" w:hAnsi="Times New Roman" w:cs="Times New Roman"/>
          <w:i/>
          <w:iCs/>
          <w:noProof/>
          <w:szCs w:val="20"/>
        </w:rPr>
        <w:t>LWT - Food Science and Technology</w:t>
      </w:r>
      <w:r w:rsidRPr="002C075D">
        <w:rPr>
          <w:rFonts w:ascii="Times New Roman" w:hAnsi="Times New Roman" w:cs="Times New Roman"/>
          <w:noProof/>
          <w:szCs w:val="20"/>
        </w:rPr>
        <w:t xml:space="preserve">, </w:t>
      </w:r>
      <w:r w:rsidRPr="002C075D">
        <w:rPr>
          <w:rFonts w:ascii="Times New Roman" w:hAnsi="Times New Roman" w:cs="Times New Roman"/>
          <w:iCs/>
          <w:noProof/>
          <w:szCs w:val="20"/>
        </w:rPr>
        <w:t>28</w:t>
      </w:r>
      <w:r w:rsidR="00223283" w:rsidRPr="002C075D">
        <w:rPr>
          <w:rFonts w:ascii="Times New Roman" w:hAnsi="Times New Roman" w:cs="Times New Roman"/>
          <w:iCs/>
          <w:noProof/>
          <w:szCs w:val="20"/>
        </w:rPr>
        <w:t>(1)</w:t>
      </w:r>
      <w:r w:rsidR="009E014E" w:rsidRPr="002C075D">
        <w:rPr>
          <w:rFonts w:ascii="Times New Roman" w:hAnsi="Times New Roman" w:cs="Times New Roman"/>
          <w:iCs/>
          <w:noProof/>
          <w:szCs w:val="20"/>
        </w:rPr>
        <w:t>:</w:t>
      </w:r>
      <w:r w:rsidRPr="002C075D">
        <w:rPr>
          <w:rFonts w:ascii="Times New Roman" w:hAnsi="Times New Roman" w:cs="Times New Roman"/>
          <w:noProof/>
          <w:szCs w:val="20"/>
        </w:rPr>
        <w:t xml:space="preserve"> 25</w:t>
      </w:r>
      <w:r w:rsidR="002C075D">
        <w:rPr>
          <w:rFonts w:ascii="Times New Roman" w:hAnsi="Times New Roman" w:cs="Times New Roman"/>
          <w:noProof/>
          <w:szCs w:val="20"/>
        </w:rPr>
        <w:t>-</w:t>
      </w:r>
      <w:r w:rsidRPr="002C075D">
        <w:rPr>
          <w:rFonts w:ascii="Times New Roman" w:hAnsi="Times New Roman" w:cs="Times New Roman"/>
          <w:noProof/>
          <w:szCs w:val="20"/>
        </w:rPr>
        <w:t xml:space="preserve">30. </w:t>
      </w:r>
    </w:p>
    <w:p w14:paraId="0E590ABE" w14:textId="77777777" w:rsidR="00610CD1" w:rsidRDefault="00610CD1"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Jadrijević-Mladar Takac</w:t>
      </w:r>
      <w:r>
        <w:rPr>
          <w:rFonts w:ascii="Times New Roman" w:hAnsi="Times New Roman" w:cs="Times New Roman"/>
          <w:noProof/>
          <w:szCs w:val="20"/>
        </w:rPr>
        <w:t>,</w:t>
      </w:r>
      <w:r w:rsidRPr="00610CD1">
        <w:rPr>
          <w:rFonts w:ascii="Times New Roman" w:hAnsi="Times New Roman" w:cs="Times New Roman"/>
          <w:noProof/>
          <w:szCs w:val="20"/>
        </w:rPr>
        <w:t xml:space="preserve"> M</w:t>
      </w:r>
      <w:r>
        <w:rPr>
          <w:rFonts w:ascii="Times New Roman" w:hAnsi="Times New Roman" w:cs="Times New Roman"/>
          <w:noProof/>
          <w:szCs w:val="20"/>
        </w:rPr>
        <w:t xml:space="preserve">. and </w:t>
      </w:r>
      <w:r w:rsidRPr="00610CD1">
        <w:rPr>
          <w:rFonts w:ascii="Times New Roman" w:hAnsi="Times New Roman" w:cs="Times New Roman"/>
          <w:noProof/>
          <w:szCs w:val="20"/>
        </w:rPr>
        <w:t>Vikić Topić D.</w:t>
      </w:r>
      <w:r w:rsidR="00D72C7C" w:rsidRPr="00610CD1">
        <w:rPr>
          <w:rFonts w:ascii="Times New Roman" w:hAnsi="Times New Roman" w:cs="Times New Roman"/>
          <w:noProof/>
          <w:szCs w:val="20"/>
        </w:rPr>
        <w:t xml:space="preserve"> (2004). FT-IR and NMR spectroscopic studies of salicylic acid derivatives . II . Comparison of 2-hydroxy- and 2 , 4- and</w:t>
      </w:r>
      <w:r w:rsidR="00223283" w:rsidRPr="00610CD1">
        <w:rPr>
          <w:rFonts w:ascii="Times New Roman" w:hAnsi="Times New Roman" w:cs="Times New Roman"/>
          <w:noProof/>
          <w:szCs w:val="20"/>
        </w:rPr>
        <w:t xml:space="preserve"> </w:t>
      </w:r>
      <w:r w:rsidR="00223283" w:rsidRPr="00610CD1">
        <w:rPr>
          <w:rStyle w:val="Strong"/>
          <w:rFonts w:ascii="Times New Roman" w:hAnsi="Times New Roman" w:cs="Times New Roman"/>
          <w:b w:val="0"/>
          <w:szCs w:val="20"/>
          <w:shd w:val="clear" w:color="auto" w:fill="FFFFFF"/>
        </w:rPr>
        <w:t>2,5-dihydroxy derivatives</w:t>
      </w:r>
      <w:r w:rsidR="00D72C7C" w:rsidRPr="00610CD1">
        <w:rPr>
          <w:rFonts w:ascii="Times New Roman" w:hAnsi="Times New Roman" w:cs="Times New Roman"/>
          <w:noProof/>
          <w:szCs w:val="20"/>
        </w:rPr>
        <w:t xml:space="preserve">. </w:t>
      </w:r>
      <w:r w:rsidR="00D72C7C" w:rsidRPr="00610CD1">
        <w:rPr>
          <w:rFonts w:ascii="Times New Roman" w:hAnsi="Times New Roman" w:cs="Times New Roman"/>
          <w:i/>
          <w:iCs/>
          <w:noProof/>
          <w:szCs w:val="20"/>
        </w:rPr>
        <w:t>Acta Pharm</w:t>
      </w:r>
      <w:r>
        <w:rPr>
          <w:rFonts w:ascii="Times New Roman" w:hAnsi="Times New Roman" w:cs="Times New Roman"/>
          <w:i/>
          <w:iCs/>
          <w:noProof/>
          <w:szCs w:val="20"/>
        </w:rPr>
        <w:t>aceutica</w:t>
      </w:r>
      <w:r w:rsidR="00D72C7C" w:rsidRPr="00610CD1">
        <w:rPr>
          <w:rFonts w:ascii="Times New Roman" w:hAnsi="Times New Roman" w:cs="Times New Roman"/>
          <w:noProof/>
          <w:szCs w:val="20"/>
        </w:rPr>
        <w:t xml:space="preserve">, </w:t>
      </w:r>
      <w:r w:rsidR="00D72C7C" w:rsidRPr="00610CD1">
        <w:rPr>
          <w:rFonts w:ascii="Times New Roman" w:hAnsi="Times New Roman" w:cs="Times New Roman"/>
          <w:iCs/>
          <w:noProof/>
          <w:szCs w:val="20"/>
        </w:rPr>
        <w:t>54</w:t>
      </w:r>
      <w:r w:rsidR="00223283" w:rsidRPr="00610CD1">
        <w:rPr>
          <w:rFonts w:ascii="Times New Roman" w:hAnsi="Times New Roman" w:cs="Times New Roman"/>
          <w:iCs/>
          <w:noProof/>
          <w:szCs w:val="20"/>
        </w:rPr>
        <w:t>(3</w:t>
      </w:r>
      <w:r w:rsidR="009E014E" w:rsidRPr="00610CD1">
        <w:rPr>
          <w:rFonts w:ascii="Times New Roman" w:hAnsi="Times New Roman" w:cs="Times New Roman"/>
          <w:iCs/>
          <w:noProof/>
          <w:szCs w:val="20"/>
        </w:rPr>
        <w:t>):</w:t>
      </w:r>
      <w:r w:rsidR="00D72C7C" w:rsidRPr="00610CD1">
        <w:rPr>
          <w:rFonts w:ascii="Times New Roman" w:hAnsi="Times New Roman" w:cs="Times New Roman"/>
          <w:noProof/>
          <w:szCs w:val="20"/>
        </w:rPr>
        <w:t xml:space="preserve"> 177</w:t>
      </w:r>
      <w:r>
        <w:rPr>
          <w:rFonts w:ascii="Times New Roman" w:hAnsi="Times New Roman" w:cs="Times New Roman"/>
          <w:noProof/>
          <w:szCs w:val="20"/>
        </w:rPr>
        <w:t>-</w:t>
      </w:r>
      <w:r w:rsidR="00D72C7C" w:rsidRPr="00610CD1">
        <w:rPr>
          <w:rFonts w:ascii="Times New Roman" w:hAnsi="Times New Roman" w:cs="Times New Roman"/>
          <w:noProof/>
          <w:szCs w:val="20"/>
        </w:rPr>
        <w:t>191.</w:t>
      </w:r>
    </w:p>
    <w:p w14:paraId="5C61D0AD" w14:textId="77777777" w:rsidR="00610CD1" w:rsidRDefault="00D72C7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 xml:space="preserve">Sinsheimer, J. E. </w:t>
      </w:r>
      <w:r w:rsidR="00610CD1">
        <w:rPr>
          <w:rFonts w:ascii="Times New Roman" w:hAnsi="Times New Roman" w:cs="Times New Roman"/>
          <w:noProof/>
          <w:szCs w:val="20"/>
        </w:rPr>
        <w:t xml:space="preserve">and </w:t>
      </w:r>
      <w:r w:rsidRPr="00610CD1">
        <w:rPr>
          <w:rFonts w:ascii="Times New Roman" w:hAnsi="Times New Roman" w:cs="Times New Roman"/>
          <w:noProof/>
          <w:szCs w:val="20"/>
        </w:rPr>
        <w:t xml:space="preserve">Keuhnelian, A. M. (1966). Near‐infrared spectroscopy of amine salts. </w:t>
      </w:r>
      <w:r w:rsidRPr="00610CD1">
        <w:rPr>
          <w:rFonts w:ascii="Times New Roman" w:hAnsi="Times New Roman" w:cs="Times New Roman"/>
          <w:i/>
          <w:iCs/>
          <w:noProof/>
          <w:szCs w:val="20"/>
        </w:rPr>
        <w:t>Journal of Pharmaceutical Sciences</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55</w:t>
      </w:r>
      <w:r w:rsidRPr="00610CD1">
        <w:rPr>
          <w:rFonts w:ascii="Times New Roman" w:hAnsi="Times New Roman" w:cs="Times New Roman"/>
          <w:noProof/>
          <w:szCs w:val="20"/>
        </w:rPr>
        <w:t>(11)</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1240</w:t>
      </w:r>
      <w:r w:rsidR="00610CD1">
        <w:rPr>
          <w:rFonts w:ascii="Times New Roman" w:hAnsi="Times New Roman" w:cs="Times New Roman"/>
          <w:noProof/>
          <w:szCs w:val="20"/>
        </w:rPr>
        <w:t>-</w:t>
      </w:r>
      <w:r w:rsidRPr="00610CD1">
        <w:rPr>
          <w:rFonts w:ascii="Times New Roman" w:hAnsi="Times New Roman" w:cs="Times New Roman"/>
          <w:noProof/>
          <w:szCs w:val="20"/>
        </w:rPr>
        <w:t>1244.</w:t>
      </w:r>
    </w:p>
    <w:p w14:paraId="34114B3F" w14:textId="77777777" w:rsidR="00610CD1" w:rsidRDefault="00D72C7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 xml:space="preserve">Cook, D. (1964). Protonation </w:t>
      </w:r>
      <w:r w:rsidR="00610CD1" w:rsidRPr="00610CD1">
        <w:rPr>
          <w:rFonts w:ascii="Times New Roman" w:hAnsi="Times New Roman" w:cs="Times New Roman"/>
          <w:noProof/>
          <w:szCs w:val="20"/>
        </w:rPr>
        <w:t>site in organic bases from</w:t>
      </w:r>
      <w:r w:rsidRPr="00610CD1">
        <w:rPr>
          <w:rFonts w:ascii="Times New Roman" w:hAnsi="Times New Roman" w:cs="Times New Roman"/>
          <w:noProof/>
          <w:szCs w:val="20"/>
        </w:rPr>
        <w:t xml:space="preserve"> Infrared X—H </w:t>
      </w:r>
      <w:r w:rsidR="00610CD1" w:rsidRPr="00610CD1">
        <w:rPr>
          <w:rFonts w:ascii="Times New Roman" w:hAnsi="Times New Roman" w:cs="Times New Roman"/>
          <w:noProof/>
          <w:szCs w:val="20"/>
        </w:rPr>
        <w:t xml:space="preserve">deformation modes. </w:t>
      </w:r>
      <w:r w:rsidRPr="00610CD1">
        <w:rPr>
          <w:rFonts w:ascii="Times New Roman" w:hAnsi="Times New Roman" w:cs="Times New Roman"/>
          <w:i/>
          <w:iCs/>
          <w:noProof/>
          <w:szCs w:val="20"/>
        </w:rPr>
        <w:t>Canadian Journal of Chemistry</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42</w:t>
      </w:r>
      <w:r w:rsidRPr="00610CD1">
        <w:rPr>
          <w:rFonts w:ascii="Times New Roman" w:hAnsi="Times New Roman" w:cs="Times New Roman"/>
          <w:noProof/>
          <w:szCs w:val="20"/>
        </w:rPr>
        <w:t>(10)</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2292</w:t>
      </w:r>
      <w:r w:rsidR="00610CD1">
        <w:rPr>
          <w:rFonts w:ascii="Times New Roman" w:hAnsi="Times New Roman" w:cs="Times New Roman"/>
          <w:noProof/>
          <w:szCs w:val="20"/>
        </w:rPr>
        <w:t>-</w:t>
      </w:r>
      <w:r w:rsidRPr="00610CD1">
        <w:rPr>
          <w:rFonts w:ascii="Times New Roman" w:hAnsi="Times New Roman" w:cs="Times New Roman"/>
          <w:noProof/>
          <w:szCs w:val="20"/>
        </w:rPr>
        <w:t>2299.</w:t>
      </w:r>
    </w:p>
    <w:p w14:paraId="4B9C98D0" w14:textId="77777777" w:rsidR="00610CD1" w:rsidRDefault="00D72C7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Pavia, D. L., Lampman, G. M.</w:t>
      </w:r>
      <w:r w:rsidR="00610CD1">
        <w:rPr>
          <w:rFonts w:ascii="Times New Roman" w:hAnsi="Times New Roman" w:cs="Times New Roman"/>
          <w:noProof/>
          <w:szCs w:val="20"/>
        </w:rPr>
        <w:t xml:space="preserve"> and </w:t>
      </w:r>
      <w:r w:rsidRPr="00610CD1">
        <w:rPr>
          <w:rFonts w:ascii="Times New Roman" w:hAnsi="Times New Roman" w:cs="Times New Roman"/>
          <w:noProof/>
          <w:szCs w:val="20"/>
        </w:rPr>
        <w:t xml:space="preserve">Kriz, G. S. (2010). </w:t>
      </w:r>
      <w:r w:rsidRPr="00610CD1">
        <w:rPr>
          <w:rFonts w:ascii="Times New Roman" w:hAnsi="Times New Roman" w:cs="Times New Roman"/>
          <w:iCs/>
          <w:noProof/>
          <w:szCs w:val="20"/>
        </w:rPr>
        <w:t xml:space="preserve">Introduction to </w:t>
      </w:r>
      <w:r w:rsidR="00610CD1">
        <w:rPr>
          <w:rFonts w:ascii="Times New Roman" w:hAnsi="Times New Roman" w:cs="Times New Roman"/>
          <w:iCs/>
          <w:noProof/>
          <w:szCs w:val="20"/>
        </w:rPr>
        <w:t>s</w:t>
      </w:r>
      <w:r w:rsidRPr="00610CD1">
        <w:rPr>
          <w:rFonts w:ascii="Times New Roman" w:hAnsi="Times New Roman" w:cs="Times New Roman"/>
          <w:iCs/>
          <w:noProof/>
          <w:szCs w:val="20"/>
        </w:rPr>
        <w:t>pectroscopy</w:t>
      </w:r>
      <w:r w:rsidRPr="00610CD1">
        <w:rPr>
          <w:rFonts w:ascii="Times New Roman" w:hAnsi="Times New Roman" w:cs="Times New Roman"/>
          <w:noProof/>
          <w:szCs w:val="20"/>
        </w:rPr>
        <w:t>. Cengage Learning</w:t>
      </w:r>
      <w:r w:rsidR="00223283" w:rsidRPr="00610CD1">
        <w:rPr>
          <w:rFonts w:ascii="Times New Roman" w:hAnsi="Times New Roman" w:cs="Times New Roman"/>
          <w:noProof/>
          <w:szCs w:val="20"/>
        </w:rPr>
        <w:t xml:space="preserve">: pp. </w:t>
      </w:r>
      <w:r w:rsidR="00223283" w:rsidRPr="00610CD1">
        <w:rPr>
          <w:rFonts w:ascii="Times New Roman" w:hAnsi="Times New Roman" w:cs="Times New Roman"/>
          <w:szCs w:val="20"/>
        </w:rPr>
        <w:t>370</w:t>
      </w:r>
      <w:r w:rsidR="00610CD1">
        <w:rPr>
          <w:rFonts w:ascii="Times New Roman" w:hAnsi="Times New Roman" w:cs="Times New Roman"/>
          <w:szCs w:val="20"/>
        </w:rPr>
        <w:t>-</w:t>
      </w:r>
      <w:r w:rsidR="00223283" w:rsidRPr="00610CD1">
        <w:rPr>
          <w:rFonts w:ascii="Times New Roman" w:hAnsi="Times New Roman" w:cs="Times New Roman"/>
          <w:szCs w:val="20"/>
        </w:rPr>
        <w:t>372</w:t>
      </w:r>
      <w:r w:rsidR="00610CD1">
        <w:rPr>
          <w:rFonts w:ascii="Times New Roman" w:hAnsi="Times New Roman" w:cs="Times New Roman"/>
          <w:szCs w:val="20"/>
        </w:rPr>
        <w:t>.</w:t>
      </w:r>
    </w:p>
    <w:p w14:paraId="7EFB0EF3"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lastRenderedPageBreak/>
        <w:t>Puttipipatkhachorn, S., Nunthanid, J., Yamamoto, K.</w:t>
      </w:r>
      <w:r w:rsidR="00610CD1">
        <w:rPr>
          <w:rFonts w:ascii="Times New Roman" w:hAnsi="Times New Roman" w:cs="Times New Roman"/>
          <w:noProof/>
          <w:szCs w:val="20"/>
        </w:rPr>
        <w:t xml:space="preserve"> and</w:t>
      </w:r>
      <w:r w:rsidRPr="00610CD1">
        <w:rPr>
          <w:rFonts w:ascii="Times New Roman" w:hAnsi="Times New Roman" w:cs="Times New Roman"/>
          <w:noProof/>
          <w:szCs w:val="20"/>
        </w:rPr>
        <w:t xml:space="preserve"> Peck, G. E. (2001). Drug physical state and drug-polymer interaction on drug release from chitosan matrix films. </w:t>
      </w:r>
      <w:r w:rsidRPr="00610CD1">
        <w:rPr>
          <w:rFonts w:ascii="Times New Roman" w:hAnsi="Times New Roman" w:cs="Times New Roman"/>
          <w:i/>
          <w:iCs/>
          <w:noProof/>
          <w:szCs w:val="20"/>
        </w:rPr>
        <w:t>Journal of Controlled Release</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75</w:t>
      </w:r>
      <w:r w:rsidRPr="00610CD1">
        <w:rPr>
          <w:rFonts w:ascii="Times New Roman" w:hAnsi="Times New Roman" w:cs="Times New Roman"/>
          <w:noProof/>
          <w:szCs w:val="20"/>
        </w:rPr>
        <w:t>(1–2)</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143</w:t>
      </w:r>
      <w:r w:rsidR="00610CD1">
        <w:rPr>
          <w:rFonts w:ascii="Times New Roman" w:hAnsi="Times New Roman" w:cs="Times New Roman"/>
          <w:noProof/>
          <w:szCs w:val="20"/>
        </w:rPr>
        <w:t>-</w:t>
      </w:r>
      <w:r w:rsidRPr="00610CD1">
        <w:rPr>
          <w:rFonts w:ascii="Times New Roman" w:hAnsi="Times New Roman" w:cs="Times New Roman"/>
          <w:noProof/>
          <w:szCs w:val="20"/>
        </w:rPr>
        <w:t xml:space="preserve">153. </w:t>
      </w:r>
    </w:p>
    <w:p w14:paraId="53E86ECA"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 xml:space="preserve">Kung, K.-H. (2006). Coordination </w:t>
      </w:r>
      <w:r w:rsidR="00610CD1">
        <w:rPr>
          <w:rFonts w:ascii="Times New Roman" w:hAnsi="Times New Roman" w:cs="Times New Roman"/>
          <w:noProof/>
          <w:szCs w:val="20"/>
        </w:rPr>
        <w:t>c</w:t>
      </w:r>
      <w:r w:rsidRPr="00610CD1">
        <w:rPr>
          <w:rFonts w:ascii="Times New Roman" w:hAnsi="Times New Roman" w:cs="Times New Roman"/>
          <w:noProof/>
          <w:szCs w:val="20"/>
        </w:rPr>
        <w:t xml:space="preserve">omplexes of p-Hydroxybenzoate on Fe </w:t>
      </w:r>
      <w:r w:rsidR="00610CD1">
        <w:rPr>
          <w:rFonts w:ascii="Times New Roman" w:hAnsi="Times New Roman" w:cs="Times New Roman"/>
          <w:noProof/>
          <w:szCs w:val="20"/>
        </w:rPr>
        <w:t>o</w:t>
      </w:r>
      <w:r w:rsidRPr="00610CD1">
        <w:rPr>
          <w:rFonts w:ascii="Times New Roman" w:hAnsi="Times New Roman" w:cs="Times New Roman"/>
          <w:noProof/>
          <w:szCs w:val="20"/>
        </w:rPr>
        <w:t xml:space="preserve">xides. </w:t>
      </w:r>
      <w:r w:rsidRPr="00610CD1">
        <w:rPr>
          <w:rFonts w:ascii="Times New Roman" w:hAnsi="Times New Roman" w:cs="Times New Roman"/>
          <w:i/>
          <w:iCs/>
          <w:noProof/>
          <w:szCs w:val="20"/>
        </w:rPr>
        <w:t>Clays and Clay Minerals</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37</w:t>
      </w:r>
      <w:r w:rsidRPr="00610CD1">
        <w:rPr>
          <w:rFonts w:ascii="Times New Roman" w:hAnsi="Times New Roman" w:cs="Times New Roman"/>
          <w:noProof/>
          <w:szCs w:val="20"/>
        </w:rPr>
        <w:t>(4)</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333</w:t>
      </w:r>
      <w:r w:rsidR="00610CD1">
        <w:rPr>
          <w:rFonts w:ascii="Times New Roman" w:hAnsi="Times New Roman" w:cs="Times New Roman"/>
          <w:noProof/>
          <w:szCs w:val="20"/>
        </w:rPr>
        <w:t>-</w:t>
      </w:r>
      <w:r w:rsidRPr="00610CD1">
        <w:rPr>
          <w:rFonts w:ascii="Times New Roman" w:hAnsi="Times New Roman" w:cs="Times New Roman"/>
          <w:noProof/>
          <w:szCs w:val="20"/>
        </w:rPr>
        <w:t>340.</w:t>
      </w:r>
    </w:p>
    <w:p w14:paraId="4744B495"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Arellano, I. H. J., Guarino, J. G., Paredes, F. U.</w:t>
      </w:r>
      <w:r w:rsidR="00610CD1">
        <w:rPr>
          <w:rFonts w:ascii="Times New Roman" w:hAnsi="Times New Roman" w:cs="Times New Roman"/>
          <w:noProof/>
          <w:szCs w:val="20"/>
        </w:rPr>
        <w:t xml:space="preserve"> and </w:t>
      </w:r>
      <w:r w:rsidRPr="00610CD1">
        <w:rPr>
          <w:rFonts w:ascii="Times New Roman" w:hAnsi="Times New Roman" w:cs="Times New Roman"/>
          <w:noProof/>
          <w:szCs w:val="20"/>
        </w:rPr>
        <w:t xml:space="preserve">Arco, S. D. (2011). Thermal stability and moisture uptake of 1-alkyl-3-methylimidazolium bromide. </w:t>
      </w:r>
      <w:r w:rsidRPr="00610CD1">
        <w:rPr>
          <w:rFonts w:ascii="Times New Roman" w:hAnsi="Times New Roman" w:cs="Times New Roman"/>
          <w:i/>
          <w:iCs/>
          <w:noProof/>
          <w:szCs w:val="20"/>
        </w:rPr>
        <w:t>Journal of Thermal Analysis and Calorimetry</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103</w:t>
      </w:r>
      <w:r w:rsidRPr="00610CD1">
        <w:rPr>
          <w:rFonts w:ascii="Times New Roman" w:hAnsi="Times New Roman" w:cs="Times New Roman"/>
          <w:noProof/>
          <w:szCs w:val="20"/>
        </w:rPr>
        <w:t>(2)</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725</w:t>
      </w:r>
      <w:r w:rsidR="00610CD1">
        <w:rPr>
          <w:rFonts w:ascii="Times New Roman" w:hAnsi="Times New Roman" w:cs="Times New Roman"/>
          <w:noProof/>
          <w:szCs w:val="20"/>
        </w:rPr>
        <w:t>-</w:t>
      </w:r>
      <w:r w:rsidRPr="00610CD1">
        <w:rPr>
          <w:rFonts w:ascii="Times New Roman" w:hAnsi="Times New Roman" w:cs="Times New Roman"/>
          <w:noProof/>
          <w:szCs w:val="20"/>
        </w:rPr>
        <w:t>730.</w:t>
      </w:r>
    </w:p>
    <w:p w14:paraId="7B9B5A41"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Song, Y., Xia, Y.</w:t>
      </w:r>
      <w:r w:rsidR="00610CD1">
        <w:rPr>
          <w:rFonts w:ascii="Times New Roman" w:hAnsi="Times New Roman" w:cs="Times New Roman"/>
          <w:noProof/>
          <w:szCs w:val="20"/>
        </w:rPr>
        <w:t xml:space="preserve"> and </w:t>
      </w:r>
      <w:r w:rsidRPr="00610CD1">
        <w:rPr>
          <w:rFonts w:ascii="Times New Roman" w:hAnsi="Times New Roman" w:cs="Times New Roman"/>
          <w:noProof/>
          <w:szCs w:val="20"/>
        </w:rPr>
        <w:t xml:space="preserve">Liu, Z. (2012). Influence of cation structure on physicochemical and antiwear properties of hydroxyl-functionalized imidazolium bis(trifluoromethylsulfonyl)imide ionic liquids. </w:t>
      </w:r>
      <w:r w:rsidRPr="00610CD1">
        <w:rPr>
          <w:rFonts w:ascii="Times New Roman" w:hAnsi="Times New Roman" w:cs="Times New Roman"/>
          <w:i/>
          <w:iCs/>
          <w:noProof/>
          <w:szCs w:val="20"/>
        </w:rPr>
        <w:t>Tribology Transactions</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55</w:t>
      </w:r>
      <w:r w:rsidRPr="00610CD1">
        <w:rPr>
          <w:rFonts w:ascii="Times New Roman" w:hAnsi="Times New Roman" w:cs="Times New Roman"/>
          <w:noProof/>
          <w:szCs w:val="20"/>
        </w:rPr>
        <w:t>(6)</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738</w:t>
      </w:r>
      <w:r w:rsidR="00610CD1">
        <w:rPr>
          <w:rFonts w:ascii="Times New Roman" w:hAnsi="Times New Roman" w:cs="Times New Roman"/>
          <w:noProof/>
          <w:szCs w:val="20"/>
        </w:rPr>
        <w:t>-</w:t>
      </w:r>
      <w:r w:rsidRPr="00610CD1">
        <w:rPr>
          <w:rFonts w:ascii="Times New Roman" w:hAnsi="Times New Roman" w:cs="Times New Roman"/>
          <w:noProof/>
          <w:szCs w:val="20"/>
        </w:rPr>
        <w:t>746.</w:t>
      </w:r>
    </w:p>
    <w:p w14:paraId="0CBAD034"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Montanino, M., Carewska, M., Alessandrini, F., Passerini, S.</w:t>
      </w:r>
      <w:r w:rsidR="00610CD1">
        <w:rPr>
          <w:rFonts w:ascii="Times New Roman" w:hAnsi="Times New Roman" w:cs="Times New Roman"/>
          <w:noProof/>
          <w:szCs w:val="20"/>
        </w:rPr>
        <w:t xml:space="preserve"> and</w:t>
      </w:r>
      <w:r w:rsidRPr="00610CD1">
        <w:rPr>
          <w:rFonts w:ascii="Times New Roman" w:hAnsi="Times New Roman" w:cs="Times New Roman"/>
          <w:noProof/>
          <w:szCs w:val="20"/>
        </w:rPr>
        <w:t xml:space="preserve"> Appetecchi, G. B. (2011). The role of the cation aliphatic side chain length in piperidinium bis(trifluoromethansulfonyl)imide ionic liquids. </w:t>
      </w:r>
      <w:r w:rsidRPr="00610CD1">
        <w:rPr>
          <w:rFonts w:ascii="Times New Roman" w:hAnsi="Times New Roman" w:cs="Times New Roman"/>
          <w:i/>
          <w:iCs/>
          <w:noProof/>
          <w:szCs w:val="20"/>
        </w:rPr>
        <w:t>Electrochimica Acta</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57</w:t>
      </w:r>
      <w:r w:rsidRPr="00610CD1">
        <w:rPr>
          <w:rFonts w:ascii="Times New Roman" w:hAnsi="Times New Roman" w:cs="Times New Roman"/>
          <w:noProof/>
          <w:szCs w:val="20"/>
        </w:rPr>
        <w:t>(1)</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153</w:t>
      </w:r>
      <w:r w:rsidR="00610CD1">
        <w:rPr>
          <w:rFonts w:ascii="Times New Roman" w:hAnsi="Times New Roman" w:cs="Times New Roman"/>
          <w:noProof/>
          <w:szCs w:val="20"/>
        </w:rPr>
        <w:t>-</w:t>
      </w:r>
      <w:r w:rsidRPr="00610CD1">
        <w:rPr>
          <w:rFonts w:ascii="Times New Roman" w:hAnsi="Times New Roman" w:cs="Times New Roman"/>
          <w:noProof/>
          <w:szCs w:val="20"/>
        </w:rPr>
        <w:t xml:space="preserve">159. </w:t>
      </w:r>
    </w:p>
    <w:p w14:paraId="09F06D60" w14:textId="77777777" w:rsid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Oyeyemi, V. B., Keith, J. A.</w:t>
      </w:r>
      <w:r w:rsidR="00610CD1">
        <w:rPr>
          <w:rFonts w:ascii="Times New Roman" w:hAnsi="Times New Roman" w:cs="Times New Roman"/>
          <w:noProof/>
          <w:szCs w:val="20"/>
        </w:rPr>
        <w:t xml:space="preserve"> and</w:t>
      </w:r>
      <w:r w:rsidRPr="00610CD1">
        <w:rPr>
          <w:rFonts w:ascii="Times New Roman" w:hAnsi="Times New Roman" w:cs="Times New Roman"/>
          <w:noProof/>
          <w:szCs w:val="20"/>
        </w:rPr>
        <w:t xml:space="preserve"> Carter, E. A. (2014). Trends in bond dissociation energies of alcohols and aldehydes computed with multireference averaged coupled-pair functional theory. </w:t>
      </w:r>
      <w:r w:rsidRPr="00610CD1">
        <w:rPr>
          <w:rFonts w:ascii="Times New Roman" w:hAnsi="Times New Roman" w:cs="Times New Roman"/>
          <w:i/>
          <w:iCs/>
          <w:noProof/>
          <w:szCs w:val="20"/>
        </w:rPr>
        <w:t>Journal</w:t>
      </w:r>
      <w:r w:rsidR="00610CD1">
        <w:rPr>
          <w:rFonts w:ascii="Times New Roman" w:hAnsi="Times New Roman" w:cs="Times New Roman"/>
          <w:i/>
          <w:iCs/>
          <w:noProof/>
          <w:szCs w:val="20"/>
        </w:rPr>
        <w:t xml:space="preserve"> </w:t>
      </w:r>
      <w:r w:rsidRPr="00610CD1">
        <w:rPr>
          <w:rFonts w:ascii="Times New Roman" w:hAnsi="Times New Roman" w:cs="Times New Roman"/>
          <w:i/>
          <w:iCs/>
          <w:noProof/>
          <w:szCs w:val="20"/>
        </w:rPr>
        <w:t>of Physical Chemistry A</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118</w:t>
      </w:r>
      <w:r w:rsidRPr="00610CD1">
        <w:rPr>
          <w:rFonts w:ascii="Times New Roman" w:hAnsi="Times New Roman" w:cs="Times New Roman"/>
          <w:noProof/>
          <w:szCs w:val="20"/>
        </w:rPr>
        <w:t>(17)</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3039</w:t>
      </w:r>
      <w:r w:rsidR="00610CD1">
        <w:rPr>
          <w:rFonts w:ascii="Times New Roman" w:hAnsi="Times New Roman" w:cs="Times New Roman"/>
          <w:noProof/>
          <w:szCs w:val="20"/>
        </w:rPr>
        <w:t>-</w:t>
      </w:r>
      <w:r w:rsidRPr="00610CD1">
        <w:rPr>
          <w:rFonts w:ascii="Times New Roman" w:hAnsi="Times New Roman" w:cs="Times New Roman"/>
          <w:noProof/>
          <w:szCs w:val="20"/>
        </w:rPr>
        <w:t>3050.</w:t>
      </w:r>
    </w:p>
    <w:p w14:paraId="06461B43" w14:textId="335B2EFC" w:rsidR="00D72C7C" w:rsidRPr="00610CD1" w:rsidRDefault="006D254C" w:rsidP="00610CD1">
      <w:pPr>
        <w:pStyle w:val="ListParagraph"/>
        <w:numPr>
          <w:ilvl w:val="0"/>
          <w:numId w:val="3"/>
        </w:numPr>
        <w:adjustRightInd w:val="0"/>
        <w:ind w:hanging="720"/>
        <w:rPr>
          <w:rFonts w:ascii="Times New Roman" w:hAnsi="Times New Roman" w:cs="Times New Roman"/>
          <w:noProof/>
          <w:szCs w:val="20"/>
        </w:rPr>
      </w:pPr>
      <w:r w:rsidRPr="00610CD1">
        <w:rPr>
          <w:rFonts w:ascii="Times New Roman" w:hAnsi="Times New Roman" w:cs="Times New Roman"/>
          <w:noProof/>
          <w:szCs w:val="20"/>
        </w:rPr>
        <w:t>Gordon, M. H., Paiva-Martins, F.</w:t>
      </w:r>
      <w:r w:rsidR="00610CD1">
        <w:rPr>
          <w:rFonts w:ascii="Times New Roman" w:hAnsi="Times New Roman" w:cs="Times New Roman"/>
          <w:noProof/>
          <w:szCs w:val="20"/>
        </w:rPr>
        <w:t xml:space="preserve"> and </w:t>
      </w:r>
      <w:r w:rsidRPr="00610CD1">
        <w:rPr>
          <w:rFonts w:ascii="Times New Roman" w:hAnsi="Times New Roman" w:cs="Times New Roman"/>
          <w:noProof/>
          <w:szCs w:val="20"/>
        </w:rPr>
        <w:t xml:space="preserve">Almeida, M. (2001). Antioxidant activity of hydroxytyrosol acetate compared with that of other olive oil polyphenols. </w:t>
      </w:r>
      <w:r w:rsidRPr="00610CD1">
        <w:rPr>
          <w:rFonts w:ascii="Times New Roman" w:hAnsi="Times New Roman" w:cs="Times New Roman"/>
          <w:i/>
          <w:iCs/>
          <w:noProof/>
          <w:szCs w:val="20"/>
        </w:rPr>
        <w:t>Journal of Agricultural and Food Chemistry</w:t>
      </w:r>
      <w:r w:rsidRPr="00610CD1">
        <w:rPr>
          <w:rFonts w:ascii="Times New Roman" w:hAnsi="Times New Roman" w:cs="Times New Roman"/>
          <w:noProof/>
          <w:szCs w:val="20"/>
        </w:rPr>
        <w:t xml:space="preserve">, </w:t>
      </w:r>
      <w:r w:rsidRPr="00610CD1">
        <w:rPr>
          <w:rFonts w:ascii="Times New Roman" w:hAnsi="Times New Roman" w:cs="Times New Roman"/>
          <w:iCs/>
          <w:noProof/>
          <w:szCs w:val="20"/>
        </w:rPr>
        <w:t>49</w:t>
      </w:r>
      <w:r w:rsidRPr="00610CD1">
        <w:rPr>
          <w:rFonts w:ascii="Times New Roman" w:hAnsi="Times New Roman" w:cs="Times New Roman"/>
          <w:noProof/>
          <w:szCs w:val="20"/>
        </w:rPr>
        <w:t>(5)</w:t>
      </w:r>
      <w:r w:rsidR="009E014E" w:rsidRPr="00610CD1">
        <w:rPr>
          <w:rFonts w:ascii="Times New Roman" w:hAnsi="Times New Roman" w:cs="Times New Roman"/>
          <w:noProof/>
          <w:szCs w:val="20"/>
        </w:rPr>
        <w:t>:</w:t>
      </w:r>
      <w:r w:rsidRPr="00610CD1">
        <w:rPr>
          <w:rFonts w:ascii="Times New Roman" w:hAnsi="Times New Roman" w:cs="Times New Roman"/>
          <w:noProof/>
          <w:szCs w:val="20"/>
        </w:rPr>
        <w:t xml:space="preserve"> 2480</w:t>
      </w:r>
      <w:r w:rsidR="00610CD1">
        <w:rPr>
          <w:rFonts w:ascii="Times New Roman" w:hAnsi="Times New Roman" w:cs="Times New Roman"/>
          <w:noProof/>
          <w:szCs w:val="20"/>
        </w:rPr>
        <w:t>-</w:t>
      </w:r>
      <w:r w:rsidRPr="00610CD1">
        <w:rPr>
          <w:rFonts w:ascii="Times New Roman" w:hAnsi="Times New Roman" w:cs="Times New Roman"/>
          <w:noProof/>
          <w:szCs w:val="20"/>
        </w:rPr>
        <w:t>2485.</w:t>
      </w:r>
    </w:p>
    <w:p w14:paraId="3FB24E49" w14:textId="5A73BBB0" w:rsidR="004E5EE2" w:rsidRPr="00EB6D14" w:rsidRDefault="00D72C7C" w:rsidP="00713919">
      <w:pPr>
        <w:outlineLvl w:val="0"/>
        <w:rPr>
          <w:rFonts w:ascii="Times New Roman" w:hAnsi="Times New Roman" w:cs="Times New Roman"/>
          <w:b/>
          <w:szCs w:val="20"/>
        </w:rPr>
      </w:pPr>
      <w:r w:rsidRPr="00EB6D14">
        <w:rPr>
          <w:rFonts w:ascii="Times New Roman" w:hAnsi="Times New Roman" w:cs="Times New Roman"/>
          <w:szCs w:val="20"/>
        </w:rPr>
        <w:fldChar w:fldCharType="end"/>
      </w:r>
      <w:bookmarkEnd w:id="2"/>
    </w:p>
    <w:bookmarkEnd w:id="0"/>
    <w:p w14:paraId="3FB24E4A" w14:textId="77777777" w:rsidR="004E5EE2" w:rsidRPr="00EB6D14" w:rsidRDefault="004E5EE2" w:rsidP="00713919">
      <w:pPr>
        <w:outlineLvl w:val="0"/>
        <w:rPr>
          <w:rFonts w:ascii="Times New Roman" w:hAnsi="Times New Roman" w:cs="Times New Roman"/>
          <w:b/>
          <w:sz w:val="24"/>
        </w:rPr>
      </w:pPr>
    </w:p>
    <w:sectPr w:rsidR="004E5EE2" w:rsidRPr="00EB6D14" w:rsidSect="00EB6D14">
      <w:footerReference w:type="default" r:id="rId17"/>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AA0B1" w14:textId="77777777" w:rsidR="001E084A" w:rsidRDefault="001E084A" w:rsidP="006B61BE">
      <w:r>
        <w:separator/>
      </w:r>
    </w:p>
  </w:endnote>
  <w:endnote w:type="continuationSeparator" w:id="0">
    <w:p w14:paraId="2307B09A" w14:textId="77777777" w:rsidR="001E084A" w:rsidRDefault="001E084A"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868925"/>
      <w:docPartObj>
        <w:docPartGallery w:val="Page Numbers (Bottom of Page)"/>
        <w:docPartUnique/>
      </w:docPartObj>
    </w:sdtPr>
    <w:sdtEndPr>
      <w:rPr>
        <w:noProof/>
      </w:rPr>
    </w:sdtEndPr>
    <w:sdtContent>
      <w:p w14:paraId="3FB24E53" w14:textId="49554A91" w:rsidR="00F4378D" w:rsidRDefault="00CD0720">
        <w:pPr>
          <w:pStyle w:val="Footer"/>
          <w:jc w:val="right"/>
        </w:pPr>
      </w:p>
    </w:sdtContent>
  </w:sdt>
  <w:p w14:paraId="3FB24E54"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42BBC" w14:textId="77777777" w:rsidR="001E084A" w:rsidRDefault="001E084A" w:rsidP="006B61BE">
      <w:r>
        <w:separator/>
      </w:r>
    </w:p>
  </w:footnote>
  <w:footnote w:type="continuationSeparator" w:id="0">
    <w:p w14:paraId="13ACB3A0" w14:textId="77777777" w:rsidR="001E084A" w:rsidRDefault="001E084A"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5A84FB62"/>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51A10D6"/>
    <w:multiLevelType w:val="hybridMultilevel"/>
    <w:tmpl w:val="3C2A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2MzU2MjQ2trQ0tjRX0lEKTi0uzszPAykwqgUAZwYMoiwAAAA="/>
  </w:docVars>
  <w:rsids>
    <w:rsidRoot w:val="00785CA6"/>
    <w:rsid w:val="00022CA8"/>
    <w:rsid w:val="0002591C"/>
    <w:rsid w:val="00160686"/>
    <w:rsid w:val="001871B4"/>
    <w:rsid w:val="001E084A"/>
    <w:rsid w:val="00207339"/>
    <w:rsid w:val="00223283"/>
    <w:rsid w:val="00281422"/>
    <w:rsid w:val="002C075D"/>
    <w:rsid w:val="002C7F0A"/>
    <w:rsid w:val="00313CA8"/>
    <w:rsid w:val="00324132"/>
    <w:rsid w:val="00347ECA"/>
    <w:rsid w:val="003A2A26"/>
    <w:rsid w:val="003A6234"/>
    <w:rsid w:val="003F3701"/>
    <w:rsid w:val="00414563"/>
    <w:rsid w:val="00451B92"/>
    <w:rsid w:val="00461456"/>
    <w:rsid w:val="004C7AD9"/>
    <w:rsid w:val="004E5EE2"/>
    <w:rsid w:val="005B4DFD"/>
    <w:rsid w:val="005B64EA"/>
    <w:rsid w:val="005E3B24"/>
    <w:rsid w:val="0060418B"/>
    <w:rsid w:val="00610CD1"/>
    <w:rsid w:val="00617657"/>
    <w:rsid w:val="00641EE6"/>
    <w:rsid w:val="0066186E"/>
    <w:rsid w:val="00670217"/>
    <w:rsid w:val="006752F3"/>
    <w:rsid w:val="00685C81"/>
    <w:rsid w:val="006A6E88"/>
    <w:rsid w:val="006B61BE"/>
    <w:rsid w:val="006D254C"/>
    <w:rsid w:val="00713919"/>
    <w:rsid w:val="00747021"/>
    <w:rsid w:val="00763E99"/>
    <w:rsid w:val="0077276F"/>
    <w:rsid w:val="007756A3"/>
    <w:rsid w:val="00785CA6"/>
    <w:rsid w:val="007B4931"/>
    <w:rsid w:val="0082319D"/>
    <w:rsid w:val="0083156F"/>
    <w:rsid w:val="00855B26"/>
    <w:rsid w:val="00893C65"/>
    <w:rsid w:val="008B2CA2"/>
    <w:rsid w:val="00900ABC"/>
    <w:rsid w:val="009C4E07"/>
    <w:rsid w:val="009E014E"/>
    <w:rsid w:val="00A415C1"/>
    <w:rsid w:val="00B5130C"/>
    <w:rsid w:val="00B779E3"/>
    <w:rsid w:val="00BD1340"/>
    <w:rsid w:val="00C02D48"/>
    <w:rsid w:val="00CC3BBA"/>
    <w:rsid w:val="00CD0720"/>
    <w:rsid w:val="00D7098A"/>
    <w:rsid w:val="00D72C7C"/>
    <w:rsid w:val="00D75333"/>
    <w:rsid w:val="00DE73D6"/>
    <w:rsid w:val="00E653F6"/>
    <w:rsid w:val="00EB6D14"/>
    <w:rsid w:val="00F32069"/>
    <w:rsid w:val="00F4378D"/>
    <w:rsid w:val="00FB57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B24DE8"/>
  <w15:docId w15:val="{95507A73-BFAE-4133-A7D6-FABB79C65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val="en-GB" w:eastAsia="ko-KR"/>
    </w:rPr>
  </w:style>
  <w:style w:type="paragraph" w:styleId="Heading2">
    <w:name w:val="heading 2"/>
    <w:basedOn w:val="Subsection"/>
    <w:next w:val="Normal"/>
    <w:link w:val="Heading2Char"/>
    <w:autoRedefine/>
    <w:qFormat/>
    <w:rsid w:val="00CD0720"/>
    <w:pPr>
      <w:numPr>
        <w:ilvl w:val="0"/>
        <w:numId w:val="0"/>
      </w:numPr>
      <w:spacing w:before="0"/>
      <w:jc w:val="both"/>
      <w:outlineLvl w:val="1"/>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E-mail">
    <w:name w:val="E-mail"/>
    <w:next w:val="Normal"/>
    <w:rsid w:val="008B2CA2"/>
    <w:pPr>
      <w:spacing w:after="240" w:line="240" w:lineRule="auto"/>
      <w:ind w:left="1418"/>
    </w:pPr>
    <w:rPr>
      <w:rFonts w:ascii="Times" w:eastAsia="Times New Roman" w:hAnsi="Times" w:cs="Times New Roman"/>
      <w:noProof/>
    </w:rPr>
  </w:style>
  <w:style w:type="paragraph" w:customStyle="1" w:styleId="Addresses">
    <w:name w:val="Addresses"/>
    <w:next w:val="E-mail"/>
    <w:rsid w:val="008B2CA2"/>
    <w:pPr>
      <w:spacing w:after="240" w:line="240" w:lineRule="auto"/>
      <w:ind w:left="1418"/>
    </w:pPr>
    <w:rPr>
      <w:rFonts w:ascii="Times" w:eastAsia="Times New Roman" w:hAnsi="Times" w:cs="Times New Roman"/>
      <w:lang w:val="en-GB"/>
    </w:rPr>
  </w:style>
  <w:style w:type="paragraph" w:customStyle="1" w:styleId="Abstract">
    <w:name w:val="Abstract"/>
    <w:next w:val="Normal"/>
    <w:rsid w:val="00160686"/>
    <w:pPr>
      <w:spacing w:after="454" w:line="240" w:lineRule="auto"/>
      <w:ind w:left="1418"/>
      <w:jc w:val="both"/>
    </w:pPr>
    <w:rPr>
      <w:rFonts w:ascii="Times" w:eastAsia="Times New Roman" w:hAnsi="Times" w:cs="Times New Roman"/>
      <w:color w:val="000000"/>
      <w:sz w:val="20"/>
      <w:szCs w:val="20"/>
      <w:lang w:val="en-GB"/>
    </w:rPr>
  </w:style>
  <w:style w:type="paragraph" w:customStyle="1" w:styleId="Bodytext">
    <w:name w:val="Bodytext"/>
    <w:next w:val="BodytextIndented"/>
    <w:rsid w:val="00207339"/>
    <w:pPr>
      <w:spacing w:after="0" w:line="240" w:lineRule="auto"/>
      <w:jc w:val="both"/>
    </w:pPr>
    <w:rPr>
      <w:rFonts w:ascii="Times" w:eastAsia="Times New Roman" w:hAnsi="Times" w:cs="Times New Roman"/>
      <w:iCs/>
      <w:color w:val="000000"/>
    </w:rPr>
  </w:style>
  <w:style w:type="paragraph" w:customStyle="1" w:styleId="BodytextIndented">
    <w:name w:val="BodytextIndented"/>
    <w:basedOn w:val="Bodytext"/>
    <w:rsid w:val="00207339"/>
    <w:pPr>
      <w:ind w:firstLine="284"/>
    </w:pPr>
  </w:style>
  <w:style w:type="character" w:customStyle="1" w:styleId="Heading2Char">
    <w:name w:val="Heading 2 Char"/>
    <w:basedOn w:val="DefaultParagraphFont"/>
    <w:link w:val="Heading2"/>
    <w:rsid w:val="00CD0720"/>
    <w:rPr>
      <w:rFonts w:ascii="Times New Roman" w:eastAsia="Times New Roman" w:hAnsi="Times New Roman" w:cs="Times New Roman"/>
      <w:b/>
      <w:iCs/>
      <w:color w:val="000000"/>
      <w:sz w:val="20"/>
      <w:szCs w:val="20"/>
      <w:lang w:val="en-GB"/>
    </w:rPr>
  </w:style>
  <w:style w:type="paragraph" w:customStyle="1" w:styleId="Subsubsection">
    <w:name w:val="Subsubsection"/>
    <w:next w:val="Bodytext"/>
    <w:rsid w:val="00461456"/>
    <w:pPr>
      <w:numPr>
        <w:ilvl w:val="2"/>
        <w:numId w:val="2"/>
      </w:numPr>
      <w:spacing w:before="240" w:after="0" w:line="240" w:lineRule="auto"/>
    </w:pPr>
    <w:rPr>
      <w:rFonts w:ascii="Times" w:eastAsia="Times New Roman" w:hAnsi="Times" w:cs="Times New Roman"/>
      <w:i/>
      <w:iCs/>
      <w:color w:val="000000"/>
      <w:lang w:val="en-GB"/>
    </w:rPr>
  </w:style>
  <w:style w:type="paragraph" w:customStyle="1" w:styleId="Section">
    <w:name w:val="Section"/>
    <w:next w:val="Bodytext"/>
    <w:link w:val="SectionChar"/>
    <w:rsid w:val="00461456"/>
    <w:pPr>
      <w:numPr>
        <w:numId w:val="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461456"/>
    <w:pPr>
      <w:numPr>
        <w:ilvl w:val="1"/>
        <w:numId w:val="2"/>
      </w:numPr>
      <w:spacing w:before="240" w:after="0" w:line="240" w:lineRule="auto"/>
    </w:pPr>
    <w:rPr>
      <w:rFonts w:ascii="Times" w:eastAsia="Times New Roman" w:hAnsi="Times" w:cs="Times New Roman"/>
      <w:iCs/>
      <w:color w:val="000000"/>
      <w:lang w:val="en-GB"/>
    </w:rPr>
  </w:style>
  <w:style w:type="character" w:customStyle="1" w:styleId="SectionChar">
    <w:name w:val="Section Char"/>
    <w:basedOn w:val="DefaultParagraphFont"/>
    <w:link w:val="Section"/>
    <w:rsid w:val="00461456"/>
    <w:rPr>
      <w:rFonts w:ascii="Times" w:eastAsia="Times New Roman" w:hAnsi="Times" w:cs="Times New Roman"/>
      <w:b/>
      <w:iCs/>
      <w:color w:val="000000"/>
      <w:lang w:val="en-GB"/>
    </w:rPr>
  </w:style>
  <w:style w:type="table" w:styleId="TableGrid">
    <w:name w:val="Table Grid"/>
    <w:basedOn w:val="TableNormal"/>
    <w:uiPriority w:val="59"/>
    <w:rsid w:val="0046145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23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9555</Words>
  <Characters>54470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7</cp:revision>
  <cp:lastPrinted>2017-03-01T05:33:00Z</cp:lastPrinted>
  <dcterms:created xsi:type="dcterms:W3CDTF">2019-05-19T21:49:00Z</dcterms:created>
  <dcterms:modified xsi:type="dcterms:W3CDTF">2019-05-22T15:40:00Z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994ddd94-bf85-3457-96c3-96618746f85b</vt:lpwstr>
  </property>
  <property fmtid="{D5CDD505-2E9C-101B-9397-08002B2CF9AE}" pid="4" name="Mendeley Citation Style_1">
    <vt:lpwstr>http://www.zotero.org/styles/journal-of-molecular-liquids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http://www.zotero.org/styles/journal-of-molecular-liquids</vt:lpwstr>
  </property>
  <property fmtid="{D5CDD505-2E9C-101B-9397-08002B2CF9AE}" pid="18" name="Mendeley Recent Style Name 6_1">
    <vt:lpwstr>Journal of Molecular Liquids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