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6A" w:rsidRDefault="005A416A" w:rsidP="005A416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23 No 3 (2019): 383 - 389</w:t>
      </w:r>
    </w:p>
    <w:p w:rsidR="005A416A" w:rsidRDefault="005A416A" w:rsidP="005A416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A416A" w:rsidRDefault="005A416A" w:rsidP="005A416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A416A" w:rsidRPr="005A416A" w:rsidRDefault="005A416A" w:rsidP="005A416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A416A" w:rsidRPr="00EB6D14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EB6D14">
        <w:rPr>
          <w:rFonts w:ascii="Times New Roman" w:hAnsi="Times New Roman"/>
          <w:sz w:val="28"/>
        </w:rPr>
        <w:t xml:space="preserve">SALICYLATE-BASED PROTIC IONIC LIQUIDS AS A POTENTIAL ANTIOXIDANT </w:t>
      </w:r>
    </w:p>
    <w:p w:rsidR="005A416A" w:rsidRPr="00EB6D14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5A416A" w:rsidRPr="00EB6D14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EB6D14">
        <w:rPr>
          <w:rFonts w:ascii="Times New Roman" w:hAnsi="Times New Roman"/>
          <w:sz w:val="24"/>
        </w:rPr>
        <w:t>(</w:t>
      </w:r>
      <w:r w:rsidRPr="00EB6D14">
        <w:rPr>
          <w:rFonts w:ascii="Times New Roman" w:hAnsi="Times New Roman"/>
          <w:sz w:val="24"/>
          <w:lang w:val="ms-MY"/>
        </w:rPr>
        <w:t>Cecair Ionik Protik Berasaskan Salisilat Berpotensi Sebagai Antioksida</w:t>
      </w:r>
      <w:r w:rsidRPr="00EB6D14">
        <w:rPr>
          <w:rFonts w:ascii="Times New Roman" w:hAnsi="Times New Roman"/>
          <w:sz w:val="24"/>
        </w:rPr>
        <w:t>)</w:t>
      </w:r>
    </w:p>
    <w:p w:rsidR="005A416A" w:rsidRPr="00BF2403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A416A" w:rsidRPr="00BF2403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BF2403">
        <w:rPr>
          <w:rFonts w:ascii="Times New Roman" w:hAnsi="Times New Roman"/>
          <w:sz w:val="20"/>
          <w:szCs w:val="20"/>
        </w:rPr>
        <w:t>Nur Afiqah Ahmad</w:t>
      </w:r>
      <w:r w:rsidRPr="00BF2403">
        <w:rPr>
          <w:rFonts w:ascii="Times New Roman" w:hAnsi="Times New Roman"/>
          <w:sz w:val="20"/>
          <w:szCs w:val="20"/>
          <w:vertAlign w:val="superscript"/>
        </w:rPr>
        <w:t>1</w:t>
      </w:r>
      <w:r w:rsidRPr="00BF2403">
        <w:rPr>
          <w:rFonts w:ascii="Times New Roman" w:hAnsi="Times New Roman"/>
          <w:sz w:val="20"/>
          <w:szCs w:val="20"/>
        </w:rPr>
        <w:t>, Khairulazhar Jumbri</w:t>
      </w:r>
      <w:r w:rsidRPr="00BF2403">
        <w:rPr>
          <w:rFonts w:ascii="Times New Roman" w:hAnsi="Times New Roman"/>
          <w:sz w:val="20"/>
          <w:szCs w:val="20"/>
          <w:vertAlign w:val="superscript"/>
        </w:rPr>
        <w:t>1,2</w:t>
      </w:r>
      <w:r w:rsidRPr="00BF2403">
        <w:rPr>
          <w:rFonts w:ascii="Times New Roman" w:hAnsi="Times New Roman"/>
          <w:sz w:val="20"/>
          <w:szCs w:val="20"/>
        </w:rPr>
        <w:t>*, Anita Ramli</w:t>
      </w:r>
      <w:r w:rsidRPr="00BF2403">
        <w:rPr>
          <w:rFonts w:ascii="Times New Roman" w:hAnsi="Times New Roman"/>
          <w:sz w:val="20"/>
          <w:szCs w:val="20"/>
          <w:vertAlign w:val="superscript"/>
        </w:rPr>
        <w:t>1</w:t>
      </w:r>
      <w:r w:rsidRPr="00BF2403">
        <w:rPr>
          <w:rFonts w:ascii="Times New Roman" w:hAnsi="Times New Roman"/>
          <w:sz w:val="20"/>
          <w:szCs w:val="20"/>
        </w:rPr>
        <w:t>, Noraini Ghani</w:t>
      </w:r>
      <w:r w:rsidRPr="00BF2403">
        <w:rPr>
          <w:rFonts w:ascii="Times New Roman" w:hAnsi="Times New Roman"/>
          <w:sz w:val="20"/>
          <w:szCs w:val="20"/>
          <w:vertAlign w:val="superscript"/>
        </w:rPr>
        <w:t>1,2</w:t>
      </w:r>
      <w:r w:rsidRPr="00BF2403">
        <w:rPr>
          <w:rFonts w:ascii="Times New Roman" w:hAnsi="Times New Roman"/>
          <w:sz w:val="20"/>
          <w:szCs w:val="20"/>
        </w:rPr>
        <w:t>, Haslina Ahmad</w:t>
      </w:r>
      <w:r w:rsidRPr="00BF2403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5A416A" w:rsidRPr="005A416A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A416A" w:rsidRPr="005A416A" w:rsidRDefault="005A416A" w:rsidP="005A416A">
      <w:pPr>
        <w:pStyle w:val="Addresses"/>
        <w:rPr>
          <w:i w:val="0"/>
          <w:sz w:val="20"/>
          <w:szCs w:val="20"/>
        </w:rPr>
      </w:pPr>
      <w:r w:rsidRPr="005A416A">
        <w:rPr>
          <w:sz w:val="20"/>
          <w:szCs w:val="20"/>
          <w:vertAlign w:val="superscript"/>
        </w:rPr>
        <w:t>1</w:t>
      </w:r>
      <w:r w:rsidRPr="005A416A">
        <w:rPr>
          <w:sz w:val="20"/>
          <w:szCs w:val="20"/>
        </w:rPr>
        <w:t>Department of Fundamental and Applied Science</w:t>
      </w:r>
      <w:r w:rsidRPr="005A416A">
        <w:rPr>
          <w:sz w:val="20"/>
          <w:szCs w:val="20"/>
        </w:rPr>
        <w:br/>
      </w:r>
      <w:r w:rsidRPr="005A416A">
        <w:rPr>
          <w:sz w:val="20"/>
          <w:szCs w:val="20"/>
          <w:vertAlign w:val="superscript"/>
        </w:rPr>
        <w:t>2</w:t>
      </w:r>
      <w:r w:rsidRPr="005A416A">
        <w:rPr>
          <w:sz w:val="20"/>
          <w:szCs w:val="20"/>
        </w:rPr>
        <w:t>Centre of Research in Ionic Liquids (CORIL)</w:t>
      </w:r>
    </w:p>
    <w:p w:rsidR="005A416A" w:rsidRPr="005A416A" w:rsidRDefault="005A416A" w:rsidP="005A416A">
      <w:pPr>
        <w:pStyle w:val="E-mail"/>
        <w:spacing w:after="0"/>
        <w:ind w:left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5A416A">
        <w:rPr>
          <w:rFonts w:ascii="Times New Roman" w:hAnsi="Times New Roman"/>
          <w:i/>
          <w:sz w:val="20"/>
          <w:szCs w:val="20"/>
          <w:lang w:val="en-GB"/>
        </w:rPr>
        <w:t>Universiti Teknologi PETRONAS, 32610 Seri Iskandar, Perak, Malaysia</w:t>
      </w:r>
    </w:p>
    <w:p w:rsidR="005A416A" w:rsidRPr="005A416A" w:rsidRDefault="005A416A" w:rsidP="005A416A">
      <w:pPr>
        <w:pStyle w:val="E-mail"/>
        <w:spacing w:after="0"/>
        <w:ind w:left="0"/>
        <w:jc w:val="center"/>
        <w:rPr>
          <w:rFonts w:ascii="Times New Roman" w:hAnsi="Times New Roman"/>
          <w:i/>
          <w:noProof w:val="0"/>
          <w:sz w:val="20"/>
          <w:szCs w:val="20"/>
          <w:lang w:val="en-GB"/>
        </w:rPr>
      </w:pPr>
      <w:r w:rsidRPr="005A416A">
        <w:rPr>
          <w:rFonts w:ascii="Times New Roman" w:hAnsi="Times New Roman"/>
          <w:i/>
          <w:noProof w:val="0"/>
          <w:sz w:val="20"/>
          <w:szCs w:val="20"/>
          <w:vertAlign w:val="superscript"/>
          <w:lang w:val="en-GB"/>
        </w:rPr>
        <w:t>3</w:t>
      </w:r>
      <w:r w:rsidRPr="005A416A">
        <w:rPr>
          <w:rFonts w:ascii="Times New Roman" w:hAnsi="Times New Roman"/>
          <w:i/>
          <w:noProof w:val="0"/>
          <w:sz w:val="20"/>
          <w:szCs w:val="20"/>
          <w:lang w:val="en-GB"/>
        </w:rPr>
        <w:t xml:space="preserve">Department of Chemistry, Faculty of Science, </w:t>
      </w:r>
    </w:p>
    <w:p w:rsidR="005A416A" w:rsidRPr="005A416A" w:rsidRDefault="005A416A" w:rsidP="005A416A">
      <w:pPr>
        <w:pStyle w:val="E-mail"/>
        <w:spacing w:after="0"/>
        <w:ind w:left="0"/>
        <w:jc w:val="center"/>
        <w:rPr>
          <w:rFonts w:ascii="Times New Roman" w:hAnsi="Times New Roman"/>
          <w:i/>
          <w:noProof w:val="0"/>
          <w:sz w:val="20"/>
          <w:szCs w:val="20"/>
          <w:lang w:val="en-GB"/>
        </w:rPr>
      </w:pPr>
      <w:r w:rsidRPr="005A416A">
        <w:rPr>
          <w:rFonts w:ascii="Times New Roman" w:hAnsi="Times New Roman"/>
          <w:i/>
          <w:noProof w:val="0"/>
          <w:sz w:val="20"/>
          <w:szCs w:val="20"/>
          <w:lang w:val="en-GB"/>
        </w:rPr>
        <w:t>Universiti Putra Malaysia, 43400 UPM Serdang, Selangor, Malaysia</w:t>
      </w:r>
    </w:p>
    <w:p w:rsidR="005A416A" w:rsidRPr="005A416A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0"/>
          <w:szCs w:val="20"/>
        </w:rPr>
      </w:pPr>
    </w:p>
    <w:p w:rsidR="005A416A" w:rsidRPr="005A416A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A416A">
        <w:rPr>
          <w:rFonts w:ascii="Times New Roman" w:hAnsi="Times New Roman"/>
          <w:i/>
          <w:sz w:val="20"/>
          <w:szCs w:val="20"/>
        </w:rPr>
        <w:t>*Corresponding author:  khairulazhar.jumbri@utp.edu.my</w:t>
      </w:r>
    </w:p>
    <w:p w:rsidR="005A416A" w:rsidRPr="005A416A" w:rsidRDefault="005A416A" w:rsidP="005A416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A416A" w:rsidRPr="005A416A" w:rsidRDefault="005A416A" w:rsidP="005A416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A416A" w:rsidRPr="005A416A" w:rsidRDefault="005A416A" w:rsidP="005A416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A416A">
        <w:rPr>
          <w:rFonts w:ascii="Times New Roman" w:hAnsi="Times New Roman"/>
          <w:noProof/>
          <w:sz w:val="20"/>
          <w:szCs w:val="20"/>
          <w:lang w:bidi="ar-SA"/>
        </w:rPr>
        <w:t>Received: 19 August 2018; Accepted: 20 May 2019</w:t>
      </w:r>
    </w:p>
    <w:p w:rsidR="005A416A" w:rsidRPr="005A416A" w:rsidRDefault="005A416A" w:rsidP="005A416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A416A" w:rsidRPr="005A416A" w:rsidRDefault="005A416A" w:rsidP="005A416A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A416A" w:rsidRPr="005A416A" w:rsidRDefault="005A416A" w:rsidP="005A416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A416A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A416A" w:rsidRPr="005A416A" w:rsidRDefault="005A416A" w:rsidP="005A416A">
      <w:pPr>
        <w:pStyle w:val="Abstract"/>
        <w:spacing w:after="0"/>
        <w:ind w:left="0"/>
        <w:rPr>
          <w:rFonts w:ascii="Times New Roman" w:hAnsi="Times New Roman"/>
          <w:color w:val="auto"/>
        </w:rPr>
      </w:pPr>
      <w:r w:rsidRPr="005A416A">
        <w:rPr>
          <w:rFonts w:ascii="Times New Roman" w:hAnsi="Times New Roman"/>
          <w:color w:val="auto"/>
        </w:rPr>
        <w:t>Salicylate-based protic ionic liquids (PILs) were synthesised, characterised and assessed in this study for potential antioxidant in drug design. The synthesised PILs were known as 3-dimethylamino-1-propanol salicylate (3DMAPS) and 3-diethylamino-1-propanol salicylate (3DEAPS). Proton nuclear magnetic resonance (</w:t>
      </w:r>
      <w:r w:rsidRPr="005A416A">
        <w:rPr>
          <w:rFonts w:ascii="Times New Roman" w:hAnsi="Times New Roman"/>
          <w:color w:val="auto"/>
          <w:vertAlign w:val="superscript"/>
        </w:rPr>
        <w:t>1</w:t>
      </w:r>
      <w:r w:rsidRPr="005A416A">
        <w:rPr>
          <w:rFonts w:ascii="Times New Roman" w:hAnsi="Times New Roman"/>
          <w:color w:val="auto"/>
        </w:rPr>
        <w:t>HNMR), Fourier transformation infrared spectroscopy (FTIR) and thermogravimetric analysis (TGA) were used to characterise the synthesised PILs. Furthermore, the antioxidant activity of the synthesised PILs was determined using the 2,2-diphenyl-1-picrylhydrazyl (DPPH) free radical assay. Both 3DMAPS and 3DEAPS showed a good antioxidant activity compared to parent acid (salicylic acid) as these two compounds could scavenge 20% of DPPH free radical at a concentration of 66.76 ± 0.09 µM and 27.27 ± 0.10 µM, respectively.</w:t>
      </w:r>
    </w:p>
    <w:p w:rsidR="005A416A" w:rsidRPr="005A416A" w:rsidRDefault="005A416A" w:rsidP="005A416A">
      <w:pPr>
        <w:pStyle w:val="Abstract"/>
        <w:spacing w:after="0"/>
        <w:ind w:left="0"/>
        <w:rPr>
          <w:rFonts w:ascii="Times New Roman" w:hAnsi="Times New Roman"/>
          <w:b/>
          <w:color w:val="auto"/>
        </w:rPr>
      </w:pPr>
    </w:p>
    <w:p w:rsidR="005A416A" w:rsidRPr="005A416A" w:rsidRDefault="005A416A" w:rsidP="005A416A">
      <w:pPr>
        <w:pStyle w:val="Abstract"/>
        <w:spacing w:after="0"/>
        <w:ind w:left="0"/>
        <w:rPr>
          <w:rFonts w:ascii="Times New Roman" w:hAnsi="Times New Roman"/>
          <w:color w:val="auto"/>
        </w:rPr>
      </w:pPr>
      <w:r w:rsidRPr="005A416A">
        <w:rPr>
          <w:rFonts w:ascii="Times New Roman" w:hAnsi="Times New Roman"/>
          <w:b/>
          <w:color w:val="auto"/>
        </w:rPr>
        <w:t>Keywords:</w:t>
      </w:r>
      <w:r w:rsidRPr="005A416A">
        <w:rPr>
          <w:rFonts w:ascii="Times New Roman" w:hAnsi="Times New Roman"/>
          <w:color w:val="auto"/>
        </w:rPr>
        <w:t xml:space="preserve">  protic ionic liquids, salicylic acid, radical scavenging, free radical, DPPH assays</w:t>
      </w:r>
    </w:p>
    <w:p w:rsidR="005A416A" w:rsidRPr="005A416A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A416A" w:rsidRPr="005A416A" w:rsidRDefault="005A416A" w:rsidP="005A416A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5A416A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5A416A" w:rsidRPr="005A416A" w:rsidRDefault="005A416A" w:rsidP="005A416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5A416A">
        <w:rPr>
          <w:rFonts w:ascii="Times New Roman" w:hAnsi="Times New Roman"/>
          <w:sz w:val="20"/>
          <w:szCs w:val="20"/>
          <w:lang w:val="ms-MY"/>
        </w:rPr>
        <w:t>Cecair ionik protik (PILs) berasaskan salisilat disintesis, dicirikan dan dinilai untuk potensi antioksidan dalam reka bentuk dadah. Dua PILs iaitu 3-dimetilamino-1-propanol salisilat (3DMAPS) dan 3-diethilamino-1-propanol salisilat (3DEAPS) telah berjaya disintesis. Proton resonans magnetik nuklear (</w:t>
      </w:r>
      <w:r w:rsidRPr="005A416A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5A416A">
        <w:rPr>
          <w:rFonts w:ascii="Times New Roman" w:hAnsi="Times New Roman"/>
          <w:sz w:val="20"/>
          <w:szCs w:val="20"/>
          <w:lang w:val="ms-MY"/>
        </w:rPr>
        <w:t>HNMR), spektroskopi transformasi inframerah (FTIR) dan analisis termogravimetrik (TGA) digunakan untuk pencirian PIL yang di sintesis. Tambahan pula, aktiviti antioksidan PIL ditentukan dengan menggunakan ujian radikal bebas 2,2-difenil-1-pikrilhidrazil (DPPH</w:t>
      </w:r>
      <w:r>
        <w:rPr>
          <w:rFonts w:ascii="Times New Roman" w:hAnsi="Times New Roman"/>
          <w:sz w:val="20"/>
          <w:szCs w:val="20"/>
          <w:lang w:val="ms-MY"/>
        </w:rPr>
        <w:t xml:space="preserve">). Kedua-dua 3DMAPS dan 3DEAPS </w:t>
      </w:r>
      <w:r w:rsidRPr="005A416A">
        <w:rPr>
          <w:rFonts w:ascii="Times New Roman" w:hAnsi="Times New Roman"/>
          <w:sz w:val="20"/>
          <w:szCs w:val="20"/>
          <w:lang w:val="ms-MY"/>
        </w:rPr>
        <w:t>menunjukkan aktiviti antioksidan yang baik berbanding dengan asid induk (asid salisilat) kerana ke</w:t>
      </w:r>
      <w:r>
        <w:rPr>
          <w:rFonts w:ascii="Times New Roman" w:hAnsi="Times New Roman"/>
          <w:sz w:val="20"/>
          <w:szCs w:val="20"/>
          <w:lang w:val="ms-MY"/>
        </w:rPr>
        <w:t xml:space="preserve">dua-dua sebatian ini </w:t>
      </w:r>
      <w:r w:rsidRPr="005A416A">
        <w:rPr>
          <w:rFonts w:ascii="Times New Roman" w:hAnsi="Times New Roman"/>
          <w:sz w:val="20"/>
          <w:szCs w:val="20"/>
          <w:lang w:val="ms-MY"/>
        </w:rPr>
        <w:t>boleh membakar 20% radikal bebas DPPH masing-masing pada kepekatan 66.76 ± 0.09 μM dan 27.27 ± 0.10 μM.</w:t>
      </w:r>
    </w:p>
    <w:p w:rsidR="005A416A" w:rsidRPr="005A416A" w:rsidRDefault="005A416A" w:rsidP="005A416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022F01" w:rsidRDefault="005A416A" w:rsidP="005A416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5A416A">
        <w:rPr>
          <w:rFonts w:ascii="Times New Roman" w:hAnsi="Times New Roman"/>
          <w:b/>
          <w:sz w:val="20"/>
          <w:szCs w:val="20"/>
          <w:lang w:val="ms-MY"/>
        </w:rPr>
        <w:t>Kata kunci:</w:t>
      </w:r>
      <w:r w:rsidRPr="005A416A">
        <w:rPr>
          <w:rFonts w:ascii="Times New Roman" w:hAnsi="Times New Roman"/>
          <w:sz w:val="20"/>
          <w:szCs w:val="20"/>
          <w:lang w:val="ms-MY"/>
        </w:rPr>
        <w:t xml:space="preserve">  cecair ionic protik, asid salisilik, perangkap radikal, radikal bebas, ujian DPPH</w:t>
      </w:r>
    </w:p>
    <w:p w:rsidR="005A416A" w:rsidRDefault="005A416A" w:rsidP="005A416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5A416A" w:rsidRPr="00F447A7" w:rsidRDefault="005A416A" w:rsidP="005A416A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bookmarkStart w:id="0" w:name="_Hlk8859046"/>
    <w:bookmarkStart w:id="1" w:name="_Hlk8861529"/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sz w:val="20"/>
          <w:szCs w:val="20"/>
        </w:rPr>
        <w:fldChar w:fldCharType="begin" w:fldLock="1"/>
      </w:r>
      <w:r w:rsidRPr="00525AFE">
        <w:rPr>
          <w:rFonts w:ascii="Times New Roman" w:hAnsi="Times New Roman"/>
          <w:sz w:val="20"/>
          <w:szCs w:val="20"/>
        </w:rPr>
        <w:instrText xml:space="preserve">ADDIN Mendeley Bibliography CSL_BIBLIOGRAPHY </w:instrText>
      </w:r>
      <w:r w:rsidRPr="00525AFE">
        <w:rPr>
          <w:rFonts w:ascii="Times New Roman" w:hAnsi="Times New Roman"/>
          <w:sz w:val="20"/>
          <w:szCs w:val="20"/>
        </w:rPr>
        <w:fldChar w:fldCharType="separate"/>
      </w:r>
      <w:r w:rsidRPr="00525AFE">
        <w:rPr>
          <w:rFonts w:ascii="Times New Roman" w:hAnsi="Times New Roman"/>
          <w:noProof/>
          <w:sz w:val="20"/>
          <w:szCs w:val="20"/>
        </w:rPr>
        <w:t xml:space="preserve">Freemantle, M. (2010). </w:t>
      </w:r>
      <w:r w:rsidRPr="00525AFE">
        <w:rPr>
          <w:rFonts w:ascii="Times New Roman" w:hAnsi="Times New Roman"/>
          <w:iCs/>
          <w:noProof/>
          <w:sz w:val="20"/>
          <w:szCs w:val="20"/>
        </w:rPr>
        <w:t>An introduction to ionic liquids</w:t>
      </w:r>
      <w:r w:rsidRPr="00525AFE">
        <w:rPr>
          <w:rFonts w:ascii="Times New Roman" w:hAnsi="Times New Roman"/>
          <w:noProof/>
          <w:sz w:val="20"/>
          <w:szCs w:val="20"/>
        </w:rPr>
        <w:t>. Royal Society of Chemistry: pp.</w:t>
      </w:r>
      <w:r w:rsidRPr="00525AFE">
        <w:rPr>
          <w:rFonts w:ascii="Times New Roman" w:hAnsi="Times New Roman"/>
          <w:sz w:val="20"/>
          <w:szCs w:val="20"/>
        </w:rPr>
        <w:t xml:space="preserve"> 1-2.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Stoimenovski, J., Dean, P. M., Izgorodina, E. I. and MacFarlane, D. R. (2012). Protic pharmaceutical ionic liquids and solids: Aspects of protonics.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Faraday Discussions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154(1):</w:t>
      </w:r>
      <w:r w:rsidRPr="00525AFE">
        <w:rPr>
          <w:rFonts w:ascii="Times New Roman" w:hAnsi="Times New Roman"/>
          <w:noProof/>
          <w:sz w:val="20"/>
          <w:szCs w:val="20"/>
        </w:rPr>
        <w:t xml:space="preserve"> 335-352.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lastRenderedPageBreak/>
        <w:t xml:space="preserve">Yang, Z. and Pan, W. (2005). Ionic liquids: Green solvents for nonaqueous biocatalysis.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Enzyme and Microbial Technology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37</w:t>
      </w:r>
      <w:r w:rsidRPr="00525AFE">
        <w:rPr>
          <w:rFonts w:ascii="Times New Roman" w:hAnsi="Times New Roman"/>
          <w:noProof/>
          <w:sz w:val="20"/>
          <w:szCs w:val="20"/>
        </w:rPr>
        <w:t xml:space="preserve">(1): 19-28.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Hayouni, S., Robert, A., Ferlin, N., Amri, H. and Bouquillon, S. (2016). New biobased tetrabutylphosphonium ionic liquids: Synthesis, characterisation and use as a solvent or co-solvent for mild and greener Pd-catalyzed hydrogenation processes.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RSC Advances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6</w:t>
      </w:r>
      <w:r w:rsidRPr="00525AFE">
        <w:rPr>
          <w:rFonts w:ascii="Times New Roman" w:hAnsi="Times New Roman"/>
          <w:noProof/>
          <w:sz w:val="20"/>
          <w:szCs w:val="20"/>
        </w:rPr>
        <w:t xml:space="preserve">(114): 113583-113595.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>Visser, A. E., Swatloski, R. P., Reichert, W. M., Mayton, R., Sheff, S., Wierzbicki, A. and Rogers, R. D. (2002). Task-specific ionic liquids incorporating novel cations for the coordination and extraction of Hg</w:t>
      </w:r>
      <w:r w:rsidRPr="00525AFE">
        <w:rPr>
          <w:rFonts w:ascii="Times New Roman" w:hAnsi="Times New Roman"/>
          <w:noProof/>
          <w:sz w:val="20"/>
          <w:szCs w:val="20"/>
          <w:vertAlign w:val="superscript"/>
        </w:rPr>
        <w:t>2+</w:t>
      </w:r>
      <w:r w:rsidRPr="00525AFE">
        <w:rPr>
          <w:rFonts w:ascii="Times New Roman" w:hAnsi="Times New Roman"/>
          <w:noProof/>
          <w:sz w:val="20"/>
          <w:szCs w:val="20"/>
        </w:rPr>
        <w:t xml:space="preserve"> and Cd</w:t>
      </w:r>
      <w:r w:rsidRPr="00525AFE">
        <w:rPr>
          <w:rFonts w:ascii="Times New Roman" w:hAnsi="Times New Roman"/>
          <w:noProof/>
          <w:sz w:val="20"/>
          <w:szCs w:val="20"/>
          <w:vertAlign w:val="superscript"/>
        </w:rPr>
        <w:t>2+</w:t>
      </w:r>
      <w:r w:rsidRPr="00525AFE">
        <w:rPr>
          <w:rFonts w:ascii="Times New Roman" w:hAnsi="Times New Roman"/>
          <w:noProof/>
          <w:sz w:val="20"/>
          <w:szCs w:val="20"/>
        </w:rPr>
        <w:t xml:space="preserve">: Synthesis, characterisation, and extraction studies.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Environmental Science and Technology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36</w:t>
      </w:r>
      <w:r w:rsidRPr="00525AFE">
        <w:rPr>
          <w:rFonts w:ascii="Times New Roman" w:hAnsi="Times New Roman"/>
          <w:noProof/>
          <w:sz w:val="20"/>
          <w:szCs w:val="20"/>
        </w:rPr>
        <w:t>(11): 2523-2529.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Siodmiak, T., Piotr Marszall, M. and Proszowska, A. (2012). Ionic liquids: A new strategy in pharmaceutical synthesis.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Mini-Reviews in Organic Chemistry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9</w:t>
      </w:r>
      <w:r w:rsidRPr="00525AFE">
        <w:rPr>
          <w:rFonts w:ascii="Times New Roman" w:hAnsi="Times New Roman"/>
          <w:noProof/>
          <w:sz w:val="20"/>
          <w:szCs w:val="20"/>
        </w:rPr>
        <w:t xml:space="preserve">(2): 203-208.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Greaves, T. L. and Drummond, C. J. (2008). Protic ionic liquids: Properties and applications.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Chemistry Reviews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108(1)</w:t>
      </w:r>
      <w:r w:rsidRPr="00525AFE">
        <w:rPr>
          <w:rFonts w:ascii="Times New Roman" w:hAnsi="Times New Roman"/>
          <w:noProof/>
          <w:sz w:val="20"/>
          <w:szCs w:val="20"/>
        </w:rPr>
        <w:t>: 206-237.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Kennedy, D. F. and Drummondt, C. J. (2009). Large aggregated ions found in some protic ionic liquids.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Journal of Physical Chemistry B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113</w:t>
      </w:r>
      <w:r w:rsidRPr="00525AFE">
        <w:rPr>
          <w:rFonts w:ascii="Times New Roman" w:hAnsi="Times New Roman"/>
          <w:noProof/>
          <w:sz w:val="20"/>
          <w:szCs w:val="20"/>
        </w:rPr>
        <w:t xml:space="preserve">(17): 5690-5693.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Gung, S. T., Sun, I. W., Ou-Yang, W. C., Su, S. G., Lin, M. W., Lai, C. A. and Lin, Y. C. (2012). Synthesis and characterisation of protic ionic liquids containing cyclic amine cations and tetrafluoroborate anion.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Journal of the Iranian Chemical Society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8</w:t>
      </w:r>
      <w:r w:rsidRPr="00525AFE">
        <w:rPr>
          <w:rFonts w:ascii="Times New Roman" w:hAnsi="Times New Roman"/>
          <w:noProof/>
          <w:sz w:val="20"/>
          <w:szCs w:val="20"/>
        </w:rPr>
        <w:t xml:space="preserve">(1): 149-165.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Yasuda, T. and Watanabe, M. (2013). Protic ionic liquids: Fuel cell applications.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MRS Bulletin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38</w:t>
      </w:r>
      <w:r w:rsidRPr="00525AFE">
        <w:rPr>
          <w:rFonts w:ascii="Times New Roman" w:hAnsi="Times New Roman"/>
          <w:noProof/>
          <w:sz w:val="20"/>
          <w:szCs w:val="20"/>
        </w:rPr>
        <w:t xml:space="preserve">(7): 560-566.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Stoimenovski, J. and MacFarlane, D. R. (2011). Enhanced membrane transport of pharmaceutically active protic ionic liquids.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Chemical Communications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47</w:t>
      </w:r>
      <w:r w:rsidRPr="00525AFE">
        <w:rPr>
          <w:rFonts w:ascii="Times New Roman" w:hAnsi="Times New Roman"/>
          <w:noProof/>
          <w:sz w:val="20"/>
          <w:szCs w:val="20"/>
        </w:rPr>
        <w:t>(41): 11429-11431.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Mirskova, A. N., Adamovich, S. N., Mirskov, R. G. and Voronkov, M. G. (2014). Pharmacologically active salts and ionic liquids based on 2-hydroxyethylamines, arylchalcogenylacetic acids, and essential metals.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Russian Chemical Bulletin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63</w:t>
      </w:r>
      <w:r w:rsidRPr="00525AFE">
        <w:rPr>
          <w:rFonts w:ascii="Times New Roman" w:hAnsi="Times New Roman"/>
          <w:noProof/>
          <w:sz w:val="20"/>
          <w:szCs w:val="20"/>
        </w:rPr>
        <w:t>(9): 1869-1883.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Pernak, J., Goc, I. and Mirska, I. (2004). Anti-microbial activities of protic ionic liquids with lactate anion.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Green Chemistry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6</w:t>
      </w:r>
      <w:r w:rsidRPr="00525AFE">
        <w:rPr>
          <w:rFonts w:ascii="Times New Roman" w:hAnsi="Times New Roman"/>
          <w:noProof/>
          <w:sz w:val="20"/>
          <w:szCs w:val="20"/>
        </w:rPr>
        <w:t xml:space="preserve">(7): 323-329.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Randjelović, D., Stojiljković, N., Laketić, D., Ilić, I., Randjelović, N., Veljković, S. and Sokolović, D. (2016). The beneficial biological properties of salicylic acid.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Acta Facultatis Medicae Naissensis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32</w:t>
      </w:r>
      <w:r w:rsidRPr="00525AFE">
        <w:rPr>
          <w:rFonts w:ascii="Times New Roman" w:hAnsi="Times New Roman"/>
          <w:noProof/>
          <w:sz w:val="20"/>
          <w:szCs w:val="20"/>
        </w:rPr>
        <w:t xml:space="preserve">(4): 259-265.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Brand-Williams, W., Cuvelier, M. E. and Berset, C. L. W. T. (1995). Use of free radical method to evaluate antioxidant activity.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LWT - Food Science and Technology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28(1):</w:t>
      </w:r>
      <w:r w:rsidRPr="00525AFE">
        <w:rPr>
          <w:rFonts w:ascii="Times New Roman" w:hAnsi="Times New Roman"/>
          <w:noProof/>
          <w:sz w:val="20"/>
          <w:szCs w:val="20"/>
        </w:rPr>
        <w:t xml:space="preserve"> 25-30.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Jadrijević-Mladar Takac, M. and Vikić Topić D. (2004). FT-IR and NMR spectroscopic studies of salicylic acid derivatives . II . Comparison of 2-hydroxy- and 2 , 4- and </w:t>
      </w:r>
      <w:r w:rsidRPr="005A416A">
        <w:rPr>
          <w:rStyle w:val="Strong"/>
          <w:rFonts w:ascii="Times New Roman" w:hAnsi="Times New Roman"/>
          <w:b w:val="0"/>
          <w:sz w:val="20"/>
          <w:szCs w:val="20"/>
          <w:shd w:val="clear" w:color="auto" w:fill="FFFFFF"/>
        </w:rPr>
        <w:t>2,5-dihydroxy derivatives</w:t>
      </w:r>
      <w:r w:rsidRPr="00525AFE">
        <w:rPr>
          <w:rFonts w:ascii="Times New Roman" w:hAnsi="Times New Roman"/>
          <w:noProof/>
          <w:sz w:val="20"/>
          <w:szCs w:val="20"/>
        </w:rPr>
        <w:t xml:space="preserve">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Acta Pharmaceutica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54(3):</w:t>
      </w:r>
      <w:r w:rsidRPr="00525AFE">
        <w:rPr>
          <w:rFonts w:ascii="Times New Roman" w:hAnsi="Times New Roman"/>
          <w:noProof/>
          <w:sz w:val="20"/>
          <w:szCs w:val="20"/>
        </w:rPr>
        <w:t xml:space="preserve"> 177-191.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>Sinsheimer, J. E. and Keuhnelian, A. M. (1966). Near</w:t>
      </w:r>
      <w:r w:rsidRPr="00525AFE">
        <w:rPr>
          <w:rFonts w:ascii="Cambria Math" w:hAnsi="Cambria Math" w:cs="Cambria Math"/>
          <w:noProof/>
          <w:sz w:val="20"/>
          <w:szCs w:val="20"/>
        </w:rPr>
        <w:t>‐</w:t>
      </w:r>
      <w:r w:rsidRPr="00525AFE">
        <w:rPr>
          <w:rFonts w:ascii="Times New Roman" w:hAnsi="Times New Roman"/>
          <w:noProof/>
          <w:sz w:val="20"/>
          <w:szCs w:val="20"/>
        </w:rPr>
        <w:t xml:space="preserve">infrared spectroscopy of amine salts.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Journal of Pharmaceutical Sciences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55</w:t>
      </w:r>
      <w:r w:rsidRPr="00525AFE">
        <w:rPr>
          <w:rFonts w:ascii="Times New Roman" w:hAnsi="Times New Roman"/>
          <w:noProof/>
          <w:sz w:val="20"/>
          <w:szCs w:val="20"/>
        </w:rPr>
        <w:t>(11): 1240-1244.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Cook, D. (1964). Protonation site in organic bases from Infrared X—H deformation modes.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Canadian Journal of Chemistry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42</w:t>
      </w:r>
      <w:r w:rsidRPr="00525AFE">
        <w:rPr>
          <w:rFonts w:ascii="Times New Roman" w:hAnsi="Times New Roman"/>
          <w:noProof/>
          <w:sz w:val="20"/>
          <w:szCs w:val="20"/>
        </w:rPr>
        <w:t>(10): 2292-2299.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Pavia, D. L., Lampman, G. M. and Kriz, G. S. (2010). </w:t>
      </w:r>
      <w:r w:rsidRPr="00525AFE">
        <w:rPr>
          <w:rFonts w:ascii="Times New Roman" w:hAnsi="Times New Roman"/>
          <w:iCs/>
          <w:noProof/>
          <w:sz w:val="20"/>
          <w:szCs w:val="20"/>
        </w:rPr>
        <w:t>Introduction to spectroscopy</w:t>
      </w:r>
      <w:r w:rsidRPr="00525AFE">
        <w:rPr>
          <w:rFonts w:ascii="Times New Roman" w:hAnsi="Times New Roman"/>
          <w:noProof/>
          <w:sz w:val="20"/>
          <w:szCs w:val="20"/>
        </w:rPr>
        <w:t xml:space="preserve">. Cengage Learning: pp. </w:t>
      </w:r>
      <w:r w:rsidRPr="00525AFE">
        <w:rPr>
          <w:rFonts w:ascii="Times New Roman" w:hAnsi="Times New Roman"/>
          <w:sz w:val="20"/>
          <w:szCs w:val="20"/>
        </w:rPr>
        <w:t>370-372.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Puttipipatkhachorn, S., Nunthanid, J., Yamamoto, K. and Peck, G. E. (2001). Drug physical state and drug-polymer interaction on drug release from chitosan matrix films.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Journal of Controlled Release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75</w:t>
      </w:r>
      <w:r w:rsidRPr="00525AFE">
        <w:rPr>
          <w:rFonts w:ascii="Times New Roman" w:hAnsi="Times New Roman"/>
          <w:noProof/>
          <w:sz w:val="20"/>
          <w:szCs w:val="20"/>
        </w:rPr>
        <w:t xml:space="preserve">(1–2): 143-153.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Kung, K.-H. (2006). Coordination complexes of p-Hydroxybenzoate on Fe oxides.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Clays and Clay Minerals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37</w:t>
      </w:r>
      <w:r w:rsidRPr="00525AFE">
        <w:rPr>
          <w:rFonts w:ascii="Times New Roman" w:hAnsi="Times New Roman"/>
          <w:noProof/>
          <w:sz w:val="20"/>
          <w:szCs w:val="20"/>
        </w:rPr>
        <w:t>(4): 333-340.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Arellano, I. H. J., Guarino, J. G., Paredes, F. U. and Arco, S. D. (2011). Thermal stability and moisture uptake of 1-alkyl-3-methylimidazolium bromide.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Journal of Thermal Analysis and Calorimetry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103</w:t>
      </w:r>
      <w:r w:rsidRPr="00525AFE">
        <w:rPr>
          <w:rFonts w:ascii="Times New Roman" w:hAnsi="Times New Roman"/>
          <w:noProof/>
          <w:sz w:val="20"/>
          <w:szCs w:val="20"/>
        </w:rPr>
        <w:t>(2): 725-730.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Song, Y., Xia, Y. and Liu, Z. (2012). Influence of cation structure on physicochemical and antiwear properties of hydroxyl-functionalized imidazolium bis(trifluoromethylsulfonyl)imide ionic liquids.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Tribology Transactions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55</w:t>
      </w:r>
      <w:r w:rsidRPr="00525AFE">
        <w:rPr>
          <w:rFonts w:ascii="Times New Roman" w:hAnsi="Times New Roman"/>
          <w:noProof/>
          <w:sz w:val="20"/>
          <w:szCs w:val="20"/>
        </w:rPr>
        <w:t>(6): 738-746.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Montanino, M., Carewska, M., Alessandrini, F., Passerini, S. and Appetecchi, G. B. (2011). The role of the cation aliphatic side chain length in piperidinium bis(trifluoromethansulfonyl)imide ionic liquids.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Electrochimica Acta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57</w:t>
      </w:r>
      <w:r w:rsidRPr="00525AFE">
        <w:rPr>
          <w:rFonts w:ascii="Times New Roman" w:hAnsi="Times New Roman"/>
          <w:noProof/>
          <w:sz w:val="20"/>
          <w:szCs w:val="20"/>
        </w:rPr>
        <w:t xml:space="preserve">(1): 153-159. </w:t>
      </w:r>
    </w:p>
    <w:p w:rsidR="005A416A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lastRenderedPageBreak/>
        <w:t xml:space="preserve">Oyeyemi, V. B., Keith, J. A. and Carter, E. A. (2014). Trends in bond dissociation energies of alcohols and aldehydes computed with multireference averaged coupled-pair functional theory.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Journal of Physical Chemistry A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118</w:t>
      </w:r>
      <w:r w:rsidRPr="00525AFE">
        <w:rPr>
          <w:rFonts w:ascii="Times New Roman" w:hAnsi="Times New Roman"/>
          <w:noProof/>
          <w:sz w:val="20"/>
          <w:szCs w:val="20"/>
        </w:rPr>
        <w:t>(17): 3039-3050.</w:t>
      </w:r>
    </w:p>
    <w:p w:rsidR="005A416A" w:rsidRPr="00525AFE" w:rsidRDefault="005A416A" w:rsidP="005A416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525AFE">
        <w:rPr>
          <w:rFonts w:ascii="Times New Roman" w:hAnsi="Times New Roman"/>
          <w:noProof/>
          <w:sz w:val="20"/>
          <w:szCs w:val="20"/>
        </w:rPr>
        <w:t xml:space="preserve">Gordon, M. H., Paiva-Martins, F. and Almeida, M. (2001). Antioxidant activity of hydroxytyrosol acetate compared with that of other olive oil polyphenols. </w:t>
      </w:r>
      <w:r w:rsidRPr="00525AFE">
        <w:rPr>
          <w:rFonts w:ascii="Times New Roman" w:hAnsi="Times New Roman"/>
          <w:i/>
          <w:iCs/>
          <w:noProof/>
          <w:sz w:val="20"/>
          <w:szCs w:val="20"/>
        </w:rPr>
        <w:t>Journal of Agricultural and Food Chemistry</w:t>
      </w:r>
      <w:r w:rsidRPr="00525AFE">
        <w:rPr>
          <w:rFonts w:ascii="Times New Roman" w:hAnsi="Times New Roman"/>
          <w:noProof/>
          <w:sz w:val="20"/>
          <w:szCs w:val="20"/>
        </w:rPr>
        <w:t xml:space="preserve">, </w:t>
      </w:r>
      <w:r w:rsidRPr="00525AFE">
        <w:rPr>
          <w:rFonts w:ascii="Times New Roman" w:hAnsi="Times New Roman"/>
          <w:iCs/>
          <w:noProof/>
          <w:sz w:val="20"/>
          <w:szCs w:val="20"/>
        </w:rPr>
        <w:t>49</w:t>
      </w:r>
      <w:r w:rsidRPr="00525AFE">
        <w:rPr>
          <w:rFonts w:ascii="Times New Roman" w:hAnsi="Times New Roman"/>
          <w:noProof/>
          <w:sz w:val="20"/>
          <w:szCs w:val="20"/>
        </w:rPr>
        <w:t>(5): 2480-2485.</w:t>
      </w:r>
    </w:p>
    <w:p w:rsidR="005A416A" w:rsidRPr="005A416A" w:rsidRDefault="005A416A" w:rsidP="005A416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5AFE">
        <w:rPr>
          <w:rFonts w:ascii="Times New Roman" w:hAnsi="Times New Roman"/>
          <w:sz w:val="20"/>
          <w:szCs w:val="20"/>
        </w:rPr>
        <w:fldChar w:fldCharType="end"/>
      </w:r>
      <w:bookmarkStart w:id="2" w:name="_GoBack"/>
      <w:bookmarkEnd w:id="1"/>
      <w:bookmarkEnd w:id="0"/>
      <w:bookmarkEnd w:id="2"/>
    </w:p>
    <w:sectPr w:rsidR="005A416A" w:rsidRPr="005A416A" w:rsidSect="005A416A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2AB9"/>
    <w:multiLevelType w:val="hybridMultilevel"/>
    <w:tmpl w:val="797AA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6A"/>
    <w:rsid w:val="00022F01"/>
    <w:rsid w:val="005A416A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6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es">
    <w:name w:val="Addresses"/>
    <w:basedOn w:val="Normal"/>
    <w:rsid w:val="005A416A"/>
    <w:pPr>
      <w:spacing w:after="0" w:line="240" w:lineRule="auto"/>
      <w:jc w:val="center"/>
    </w:pPr>
    <w:rPr>
      <w:rFonts w:ascii="Times New Roman" w:hAnsi="Times New Roman"/>
      <w:i/>
      <w:sz w:val="18"/>
    </w:rPr>
  </w:style>
  <w:style w:type="paragraph" w:customStyle="1" w:styleId="E-mail">
    <w:name w:val="E-mail"/>
    <w:next w:val="Normal"/>
    <w:rsid w:val="005A416A"/>
    <w:pPr>
      <w:spacing w:after="240" w:line="240" w:lineRule="auto"/>
      <w:ind w:left="1418"/>
    </w:pPr>
    <w:rPr>
      <w:rFonts w:ascii="Times" w:eastAsia="Times New Roman" w:hAnsi="Times" w:cs="Times New Roman"/>
      <w:noProof/>
    </w:rPr>
  </w:style>
  <w:style w:type="paragraph" w:customStyle="1" w:styleId="Abstract">
    <w:name w:val="Abstract"/>
    <w:next w:val="Normal"/>
    <w:rsid w:val="005A416A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character" w:styleId="Strong">
    <w:name w:val="Strong"/>
    <w:uiPriority w:val="22"/>
    <w:qFormat/>
    <w:rsid w:val="005A416A"/>
    <w:rPr>
      <w:b/>
      <w:bCs/>
    </w:rPr>
  </w:style>
  <w:style w:type="paragraph" w:styleId="ListParagraph">
    <w:name w:val="List Paragraph"/>
    <w:basedOn w:val="Normal"/>
    <w:uiPriority w:val="34"/>
    <w:qFormat/>
    <w:rsid w:val="005A4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6A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es">
    <w:name w:val="Addresses"/>
    <w:basedOn w:val="Normal"/>
    <w:rsid w:val="005A416A"/>
    <w:pPr>
      <w:spacing w:after="0" w:line="240" w:lineRule="auto"/>
      <w:jc w:val="center"/>
    </w:pPr>
    <w:rPr>
      <w:rFonts w:ascii="Times New Roman" w:hAnsi="Times New Roman"/>
      <w:i/>
      <w:sz w:val="18"/>
    </w:rPr>
  </w:style>
  <w:style w:type="paragraph" w:customStyle="1" w:styleId="E-mail">
    <w:name w:val="E-mail"/>
    <w:next w:val="Normal"/>
    <w:rsid w:val="005A416A"/>
    <w:pPr>
      <w:spacing w:after="240" w:line="240" w:lineRule="auto"/>
      <w:ind w:left="1418"/>
    </w:pPr>
    <w:rPr>
      <w:rFonts w:ascii="Times" w:eastAsia="Times New Roman" w:hAnsi="Times" w:cs="Times New Roman"/>
      <w:noProof/>
    </w:rPr>
  </w:style>
  <w:style w:type="paragraph" w:customStyle="1" w:styleId="Abstract">
    <w:name w:val="Abstract"/>
    <w:next w:val="Normal"/>
    <w:rsid w:val="005A416A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character" w:styleId="Strong">
    <w:name w:val="Strong"/>
    <w:uiPriority w:val="22"/>
    <w:qFormat/>
    <w:rsid w:val="005A416A"/>
    <w:rPr>
      <w:b/>
      <w:bCs/>
    </w:rPr>
  </w:style>
  <w:style w:type="paragraph" w:styleId="ListParagraph">
    <w:name w:val="List Paragraph"/>
    <w:basedOn w:val="Normal"/>
    <w:uiPriority w:val="34"/>
    <w:qFormat/>
    <w:rsid w:val="005A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1128</Words>
  <Characters>6455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2019-05-30T00:54:00Z</dcterms:created>
  <dcterms:modified xsi:type="dcterms:W3CDTF">2019-05-30T00:59:00Z</dcterms:modified>
</cp:coreProperties>
</file>