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9F1505">
        <w:rPr>
          <w:rFonts w:ascii="Times New Roman" w:hAnsi="Times New Roman" w:cs="Times New Roman"/>
          <w:sz w:val="24"/>
          <w:szCs w:val="24"/>
        </w:rPr>
        <w:t>505 - 515</w:t>
      </w:r>
    </w:p>
    <w:p w:rsidR="009F1505" w:rsidRDefault="009F1505" w:rsidP="001573E3">
      <w:pPr>
        <w:spacing w:after="0" w:line="240" w:lineRule="auto"/>
        <w:rPr>
          <w:rFonts w:ascii="Times New Roman" w:hAnsi="Times New Roman" w:cs="Times New Roman"/>
          <w:sz w:val="24"/>
          <w:szCs w:val="24"/>
        </w:rPr>
      </w:pPr>
    </w:p>
    <w:p w:rsidR="009F1505" w:rsidRDefault="009F1505" w:rsidP="001573E3">
      <w:pPr>
        <w:spacing w:after="0" w:line="240" w:lineRule="auto"/>
        <w:rPr>
          <w:rFonts w:ascii="Times New Roman" w:hAnsi="Times New Roman" w:cs="Times New Roman"/>
          <w:sz w:val="24"/>
          <w:szCs w:val="24"/>
        </w:rPr>
      </w:pPr>
    </w:p>
    <w:p w:rsidR="009F1505" w:rsidRPr="001573E3" w:rsidRDefault="009F1505" w:rsidP="001573E3">
      <w:pPr>
        <w:spacing w:after="0" w:line="240" w:lineRule="auto"/>
        <w:rPr>
          <w:rFonts w:ascii="Times New Roman" w:hAnsi="Times New Roman" w:cs="Times New Roman"/>
          <w:sz w:val="24"/>
          <w:szCs w:val="24"/>
        </w:rPr>
      </w:pPr>
    </w:p>
    <w:p w:rsidR="009F1505" w:rsidRPr="007316AB" w:rsidRDefault="009F1505" w:rsidP="009F1505">
      <w:pPr>
        <w:pStyle w:val="BodyA"/>
        <w:jc w:val="center"/>
        <w:outlineLvl w:val="0"/>
        <w:rPr>
          <w:rFonts w:ascii="Times New Roman" w:hAnsi="Times New Roman" w:cs="Times New Roman"/>
          <w:color w:val="auto"/>
          <w:sz w:val="28"/>
          <w:szCs w:val="28"/>
        </w:rPr>
      </w:pPr>
      <w:r w:rsidRPr="007316AB">
        <w:rPr>
          <w:rFonts w:ascii="Times New Roman" w:hAnsi="Times New Roman" w:cs="Times New Roman"/>
          <w:color w:val="auto"/>
          <w:sz w:val="28"/>
          <w:szCs w:val="28"/>
        </w:rPr>
        <w:t>RAPID SPECTROPHOTOMETRIC METHOD FOR</w:t>
      </w:r>
      <w:r>
        <w:rPr>
          <w:rFonts w:ascii="Times New Roman" w:hAnsi="Times New Roman" w:cs="Times New Roman"/>
          <w:color w:val="auto"/>
          <w:sz w:val="28"/>
          <w:szCs w:val="28"/>
        </w:rPr>
        <w:t xml:space="preserve"> </w:t>
      </w:r>
      <w:r w:rsidRPr="007316AB">
        <w:rPr>
          <w:rFonts w:ascii="Times New Roman" w:hAnsi="Times New Roman" w:cs="Times New Roman"/>
          <w:color w:val="auto"/>
          <w:sz w:val="28"/>
          <w:szCs w:val="28"/>
        </w:rPr>
        <w:t>HISTAMINE DETERMINATION IN FISH USING</w:t>
      </w:r>
      <w:r>
        <w:rPr>
          <w:rFonts w:ascii="Times New Roman" w:hAnsi="Times New Roman" w:cs="Times New Roman"/>
          <w:color w:val="auto"/>
          <w:sz w:val="28"/>
          <w:szCs w:val="28"/>
        </w:rPr>
        <w:t xml:space="preserve"> </w:t>
      </w:r>
      <w:r w:rsidRPr="007316AB">
        <w:rPr>
          <w:rFonts w:ascii="Times New Roman" w:hAnsi="Times New Roman" w:cs="Times New Roman"/>
          <w:color w:val="auto"/>
          <w:sz w:val="28"/>
          <w:szCs w:val="28"/>
        </w:rPr>
        <w:t>ALIZARIN RED S AND METAL</w:t>
      </w:r>
    </w:p>
    <w:p w:rsidR="009F1505" w:rsidRPr="00836B0C" w:rsidRDefault="009F1505" w:rsidP="009F1505">
      <w:pPr>
        <w:pStyle w:val="BodyA"/>
        <w:jc w:val="center"/>
        <w:outlineLvl w:val="0"/>
        <w:rPr>
          <w:rFonts w:ascii="Times New Roman" w:hAnsi="Times New Roman" w:cs="Times New Roman"/>
          <w:color w:val="auto"/>
          <w:sz w:val="24"/>
          <w:szCs w:val="24"/>
        </w:rPr>
      </w:pPr>
    </w:p>
    <w:p w:rsidR="009F1505" w:rsidRPr="00836B0C" w:rsidRDefault="009F1505" w:rsidP="009F1505">
      <w:pPr>
        <w:pStyle w:val="BodyA"/>
        <w:jc w:val="center"/>
        <w:outlineLvl w:val="0"/>
        <w:rPr>
          <w:rFonts w:ascii="Times New Roman" w:hAnsi="Times New Roman" w:cs="Times New Roman"/>
          <w:color w:val="auto"/>
          <w:sz w:val="24"/>
          <w:szCs w:val="24"/>
          <w:lang w:val="ms-MY"/>
        </w:rPr>
      </w:pPr>
      <w:r w:rsidRPr="007316AB">
        <w:rPr>
          <w:rFonts w:ascii="Times New Roman" w:hAnsi="Times New Roman" w:cs="Times New Roman"/>
          <w:color w:val="auto"/>
          <w:sz w:val="24"/>
          <w:szCs w:val="24"/>
        </w:rPr>
        <w:t>(</w:t>
      </w:r>
      <w:r w:rsidRPr="007316AB">
        <w:rPr>
          <w:rFonts w:ascii="Times New Roman" w:hAnsi="Times New Roman" w:cs="Times New Roman"/>
          <w:color w:val="auto"/>
          <w:sz w:val="24"/>
          <w:szCs w:val="24"/>
          <w:lang w:val="ms-MY"/>
        </w:rPr>
        <w:t>Kaedah Spektrofotometri Pantas untuk Penentuan Histamin</w:t>
      </w:r>
      <w:r>
        <w:rPr>
          <w:rFonts w:ascii="Times New Roman" w:hAnsi="Times New Roman" w:cs="Times New Roman"/>
          <w:color w:val="auto"/>
          <w:sz w:val="24"/>
          <w:szCs w:val="24"/>
          <w:lang w:val="ms-MY"/>
        </w:rPr>
        <w:t xml:space="preserve"> d</w:t>
      </w:r>
      <w:r w:rsidRPr="007316AB">
        <w:rPr>
          <w:rFonts w:ascii="Times New Roman" w:hAnsi="Times New Roman" w:cs="Times New Roman"/>
          <w:color w:val="auto"/>
          <w:sz w:val="24"/>
          <w:szCs w:val="24"/>
          <w:lang w:val="ms-MY"/>
        </w:rPr>
        <w:t>alam Ikan Menggunakan Alizarin Merah S dan Logam</w:t>
      </w:r>
      <w:r w:rsidRPr="007316AB">
        <w:rPr>
          <w:rFonts w:ascii="Times New Roman" w:hAnsi="Times New Roman" w:cs="Times New Roman"/>
          <w:color w:val="auto"/>
          <w:sz w:val="24"/>
          <w:szCs w:val="24"/>
        </w:rPr>
        <w:t>)</w:t>
      </w:r>
    </w:p>
    <w:p w:rsidR="009F1505" w:rsidRPr="007316AB" w:rsidRDefault="009F1505" w:rsidP="009F1505">
      <w:pPr>
        <w:pStyle w:val="BodyA"/>
        <w:jc w:val="center"/>
        <w:outlineLvl w:val="0"/>
        <w:rPr>
          <w:rFonts w:ascii="Times New Roman" w:hAnsi="Times New Roman" w:cs="Times New Roman"/>
          <w:color w:val="auto"/>
        </w:rPr>
      </w:pPr>
    </w:p>
    <w:p w:rsidR="009F1505" w:rsidRPr="007316AB" w:rsidRDefault="009F1505" w:rsidP="009F1505">
      <w:pPr>
        <w:pStyle w:val="BodyA"/>
        <w:jc w:val="center"/>
        <w:outlineLvl w:val="0"/>
        <w:rPr>
          <w:rFonts w:ascii="Times New Roman" w:hAnsi="Times New Roman" w:cs="Times New Roman"/>
          <w:color w:val="auto"/>
        </w:rPr>
      </w:pPr>
      <w:r w:rsidRPr="007316AB">
        <w:rPr>
          <w:rFonts w:ascii="Times New Roman" w:hAnsi="Times New Roman" w:cs="Times New Roman"/>
          <w:color w:val="auto"/>
        </w:rPr>
        <w:t>Miftakhul Jannatin</w:t>
      </w:r>
      <w:r w:rsidRPr="007316AB">
        <w:rPr>
          <w:rFonts w:ascii="Times New Roman" w:hAnsi="Times New Roman" w:cs="Times New Roman"/>
          <w:color w:val="auto"/>
          <w:vertAlign w:val="superscript"/>
        </w:rPr>
        <w:t>1</w:t>
      </w:r>
      <w:r w:rsidRPr="007316AB">
        <w:rPr>
          <w:rFonts w:ascii="Times New Roman" w:hAnsi="Times New Roman" w:cs="Times New Roman"/>
          <w:color w:val="auto"/>
        </w:rPr>
        <w:t>, Ayu Nabila Izazi Latjuba</w:t>
      </w:r>
      <w:r w:rsidRPr="007316AB">
        <w:rPr>
          <w:rFonts w:ascii="Times New Roman" w:hAnsi="Times New Roman" w:cs="Times New Roman"/>
          <w:color w:val="auto"/>
          <w:vertAlign w:val="superscript"/>
        </w:rPr>
        <w:t>1</w:t>
      </w:r>
      <w:r w:rsidRPr="007316AB">
        <w:rPr>
          <w:rFonts w:ascii="Times New Roman" w:hAnsi="Times New Roman" w:cs="Times New Roman"/>
          <w:color w:val="auto"/>
          <w:lang w:val="de-DE"/>
        </w:rPr>
        <w:t>, Sri Wahyuni</w:t>
      </w:r>
      <w:r w:rsidRPr="007316AB">
        <w:rPr>
          <w:rFonts w:ascii="Times New Roman" w:hAnsi="Times New Roman" w:cs="Times New Roman"/>
          <w:color w:val="auto"/>
          <w:vertAlign w:val="superscript"/>
        </w:rPr>
        <w:t>1</w:t>
      </w:r>
      <w:r w:rsidRPr="007316AB">
        <w:rPr>
          <w:rFonts w:ascii="Times New Roman" w:hAnsi="Times New Roman" w:cs="Times New Roman"/>
          <w:color w:val="auto"/>
        </w:rPr>
        <w:t>, Ganden Supriyanto</w:t>
      </w:r>
      <w:r w:rsidRPr="007316AB">
        <w:rPr>
          <w:rFonts w:ascii="Times New Roman" w:hAnsi="Times New Roman" w:cs="Times New Roman"/>
          <w:color w:val="auto"/>
          <w:vertAlign w:val="superscript"/>
        </w:rPr>
        <w:t>1,2</w:t>
      </w:r>
      <w:r w:rsidRPr="00836B0C">
        <w:rPr>
          <w:rFonts w:ascii="Times New Roman" w:hAnsi="Times New Roman" w:cs="Times New Roman"/>
          <w:color w:val="auto"/>
        </w:rPr>
        <w:t>*</w:t>
      </w:r>
      <w:r w:rsidRPr="007316AB">
        <w:rPr>
          <w:rFonts w:ascii="Times New Roman" w:hAnsi="Times New Roman" w:cs="Times New Roman"/>
          <w:color w:val="auto"/>
        </w:rPr>
        <w:t>,</w:t>
      </w:r>
      <w:r w:rsidRPr="007316AB">
        <w:rPr>
          <w:rFonts w:ascii="Times New Roman" w:hAnsi="Times New Roman" w:cs="Times New Roman"/>
          <w:color w:val="auto"/>
          <w:vertAlign w:val="subscript"/>
        </w:rPr>
        <w:t xml:space="preserve"> </w:t>
      </w:r>
      <w:r w:rsidRPr="007316AB">
        <w:rPr>
          <w:rFonts w:ascii="Times New Roman" w:hAnsi="Times New Roman" w:cs="Times New Roman"/>
          <w:color w:val="auto"/>
        </w:rPr>
        <w:t>Wan Aini Wan Ibrahim</w:t>
      </w:r>
      <w:r w:rsidRPr="007316AB">
        <w:rPr>
          <w:rFonts w:ascii="Times New Roman" w:hAnsi="Times New Roman" w:cs="Times New Roman"/>
          <w:color w:val="auto"/>
          <w:vertAlign w:val="superscript"/>
        </w:rPr>
        <w:t>3</w:t>
      </w:r>
    </w:p>
    <w:p w:rsidR="009F1505" w:rsidRPr="009F1505" w:rsidRDefault="009F1505" w:rsidP="009F1505">
      <w:pPr>
        <w:pStyle w:val="BodyA"/>
        <w:jc w:val="center"/>
        <w:outlineLvl w:val="0"/>
        <w:rPr>
          <w:rFonts w:ascii="Times New Roman" w:hAnsi="Times New Roman" w:cs="Times New Roman"/>
          <w:color w:val="auto"/>
        </w:rPr>
      </w:pPr>
    </w:p>
    <w:p w:rsidR="009F1505" w:rsidRPr="009F1505" w:rsidRDefault="009F1505" w:rsidP="009F1505">
      <w:pPr>
        <w:pStyle w:val="BodyA"/>
        <w:jc w:val="center"/>
        <w:rPr>
          <w:rFonts w:ascii="Times New Roman" w:hAnsi="Times New Roman" w:cs="Times New Roman"/>
          <w:i/>
          <w:iCs/>
          <w:color w:val="auto"/>
        </w:rPr>
      </w:pPr>
      <w:r w:rsidRPr="009F1505">
        <w:rPr>
          <w:rFonts w:ascii="Times New Roman" w:hAnsi="Times New Roman" w:cs="Times New Roman"/>
          <w:i/>
          <w:iCs/>
          <w:color w:val="auto"/>
          <w:vertAlign w:val="superscript"/>
        </w:rPr>
        <w:t>1</w:t>
      </w:r>
      <w:r w:rsidRPr="009F1505">
        <w:rPr>
          <w:rFonts w:ascii="Times New Roman" w:hAnsi="Times New Roman" w:cs="Times New Roman"/>
          <w:i/>
          <w:iCs/>
          <w:color w:val="auto"/>
        </w:rPr>
        <w:t>Department of Chemistry, Faculty of Science and Technology</w:t>
      </w:r>
    </w:p>
    <w:p w:rsidR="009F1505" w:rsidRPr="009F1505" w:rsidRDefault="009F1505" w:rsidP="009F1505">
      <w:pPr>
        <w:pStyle w:val="BodyA"/>
        <w:jc w:val="center"/>
        <w:rPr>
          <w:rFonts w:ascii="Times New Roman" w:hAnsi="Times New Roman" w:cs="Times New Roman"/>
          <w:i/>
          <w:iCs/>
          <w:color w:val="auto"/>
        </w:rPr>
      </w:pPr>
      <w:r w:rsidRPr="009F1505">
        <w:rPr>
          <w:rFonts w:ascii="Times New Roman" w:hAnsi="Times New Roman" w:cs="Times New Roman"/>
          <w:i/>
          <w:iCs/>
          <w:color w:val="auto"/>
          <w:vertAlign w:val="superscript"/>
        </w:rPr>
        <w:t>2</w:t>
      </w:r>
      <w:r w:rsidRPr="009F1505">
        <w:rPr>
          <w:rFonts w:ascii="Times New Roman" w:hAnsi="Times New Roman" w:cs="Times New Roman"/>
          <w:i/>
          <w:iCs/>
          <w:color w:val="auto"/>
        </w:rPr>
        <w:t>Laboratory of Sensor and Biosensor, Institute of Tropical Disease</w:t>
      </w:r>
    </w:p>
    <w:p w:rsidR="009F1505" w:rsidRPr="009F1505" w:rsidRDefault="009F1505" w:rsidP="009F1505">
      <w:pPr>
        <w:pStyle w:val="BodyA"/>
        <w:jc w:val="center"/>
        <w:rPr>
          <w:rFonts w:ascii="Times New Roman" w:hAnsi="Times New Roman" w:cs="Times New Roman"/>
          <w:color w:val="auto"/>
        </w:rPr>
      </w:pPr>
      <w:r w:rsidRPr="009F1505">
        <w:rPr>
          <w:rFonts w:ascii="Times New Roman" w:hAnsi="Times New Roman" w:cs="Times New Roman"/>
          <w:i/>
          <w:iCs/>
          <w:color w:val="auto"/>
        </w:rPr>
        <w:t>Universitas Airlangga</w:t>
      </w:r>
      <w:r w:rsidRPr="009F1505">
        <w:rPr>
          <w:rFonts w:ascii="Times New Roman" w:hAnsi="Times New Roman" w:cs="Times New Roman"/>
          <w:color w:val="auto"/>
        </w:rPr>
        <w:t xml:space="preserve">, </w:t>
      </w:r>
      <w:r w:rsidRPr="009F1505">
        <w:rPr>
          <w:rFonts w:ascii="Times New Roman" w:hAnsi="Times New Roman" w:cs="Times New Roman"/>
          <w:i/>
          <w:iCs/>
          <w:color w:val="auto"/>
          <w:lang w:val="es-ES_tradnl"/>
        </w:rPr>
        <w:t>Jl. Mulyorejo Kampus C UNAIR Surabaya 60115, Indonesia</w:t>
      </w:r>
    </w:p>
    <w:p w:rsidR="009F1505" w:rsidRPr="009F1505" w:rsidRDefault="009F1505" w:rsidP="009F1505">
      <w:pPr>
        <w:pStyle w:val="BodyA"/>
        <w:jc w:val="center"/>
        <w:rPr>
          <w:rFonts w:ascii="Times New Roman" w:hAnsi="Times New Roman" w:cs="Times New Roman"/>
          <w:i/>
          <w:iCs/>
          <w:color w:val="auto"/>
        </w:rPr>
      </w:pPr>
      <w:r w:rsidRPr="009F1505">
        <w:rPr>
          <w:rFonts w:ascii="Times New Roman" w:hAnsi="Times New Roman" w:cs="Times New Roman"/>
          <w:i/>
          <w:iCs/>
          <w:color w:val="auto"/>
          <w:vertAlign w:val="superscript"/>
        </w:rPr>
        <w:t>3</w:t>
      </w:r>
      <w:r w:rsidRPr="009F1505">
        <w:rPr>
          <w:rFonts w:ascii="Times New Roman" w:hAnsi="Times New Roman" w:cs="Times New Roman"/>
          <w:i/>
          <w:iCs/>
          <w:color w:val="auto"/>
        </w:rPr>
        <w:t>Department of Chemistry, Faculty of Science,</w:t>
      </w:r>
    </w:p>
    <w:p w:rsidR="009F1505" w:rsidRPr="009F1505" w:rsidRDefault="009F1505" w:rsidP="009F1505">
      <w:pPr>
        <w:pStyle w:val="BodyA"/>
        <w:jc w:val="center"/>
        <w:rPr>
          <w:rFonts w:ascii="Times New Roman" w:hAnsi="Times New Roman" w:cs="Times New Roman"/>
          <w:color w:val="auto"/>
        </w:rPr>
      </w:pPr>
      <w:r w:rsidRPr="009F1505">
        <w:rPr>
          <w:rFonts w:ascii="Times New Roman" w:hAnsi="Times New Roman" w:cs="Times New Roman"/>
          <w:i/>
          <w:iCs/>
          <w:color w:val="auto"/>
        </w:rPr>
        <w:t>Universiti Teknologi Malaysia, 81310 UTM Johor Bahru, Johor, Malaysia</w:t>
      </w:r>
    </w:p>
    <w:p w:rsidR="009F1505" w:rsidRPr="009F1505" w:rsidRDefault="009F1505" w:rsidP="009F1505">
      <w:pPr>
        <w:pStyle w:val="BodyA"/>
        <w:jc w:val="center"/>
        <w:outlineLvl w:val="0"/>
        <w:rPr>
          <w:rFonts w:ascii="Times New Roman" w:hAnsi="Times New Roman" w:cs="Times New Roman"/>
          <w:color w:val="auto"/>
        </w:rPr>
      </w:pPr>
    </w:p>
    <w:p w:rsidR="009F1505" w:rsidRPr="009F1505" w:rsidRDefault="009F1505" w:rsidP="00247C61">
      <w:pPr>
        <w:pStyle w:val="ListParagraph"/>
        <w:spacing w:after="0" w:line="240" w:lineRule="auto"/>
        <w:ind w:left="0"/>
        <w:contextualSpacing w:val="0"/>
        <w:jc w:val="center"/>
        <w:rPr>
          <w:rFonts w:ascii="Times New Roman" w:hAnsi="Times New Roman"/>
          <w:sz w:val="20"/>
          <w:szCs w:val="20"/>
        </w:rPr>
      </w:pPr>
      <w:bookmarkStart w:id="0" w:name="_GoBack"/>
      <w:bookmarkEnd w:id="0"/>
      <w:r w:rsidRPr="009F1505">
        <w:rPr>
          <w:rFonts w:ascii="Times New Roman" w:hAnsi="Times New Roman"/>
          <w:i/>
          <w:iCs/>
          <w:sz w:val="20"/>
          <w:szCs w:val="20"/>
        </w:rPr>
        <w:t>*Corresponding author:  ganden-s@fst.unair.ac.id</w:t>
      </w:r>
    </w:p>
    <w:p w:rsidR="009F1505" w:rsidRPr="009F1505" w:rsidRDefault="009F1505" w:rsidP="009F1505">
      <w:pPr>
        <w:spacing w:after="0" w:line="240" w:lineRule="auto"/>
        <w:jc w:val="center"/>
        <w:rPr>
          <w:rFonts w:ascii="Times New Roman" w:hAnsi="Times New Roman"/>
          <w:noProof/>
          <w:sz w:val="20"/>
          <w:szCs w:val="20"/>
        </w:rPr>
      </w:pPr>
    </w:p>
    <w:p w:rsidR="009F1505" w:rsidRPr="009F1505" w:rsidRDefault="009F1505" w:rsidP="009F1505">
      <w:pPr>
        <w:spacing w:after="0" w:line="240" w:lineRule="auto"/>
        <w:jc w:val="center"/>
        <w:rPr>
          <w:rFonts w:ascii="Times New Roman" w:hAnsi="Times New Roman"/>
          <w:noProof/>
          <w:sz w:val="20"/>
          <w:szCs w:val="20"/>
        </w:rPr>
      </w:pPr>
    </w:p>
    <w:p w:rsidR="009F1505" w:rsidRPr="009F1505" w:rsidRDefault="009F1505" w:rsidP="009F1505">
      <w:pPr>
        <w:spacing w:after="0" w:line="240" w:lineRule="auto"/>
        <w:jc w:val="center"/>
        <w:rPr>
          <w:rFonts w:ascii="Times New Roman" w:hAnsi="Times New Roman"/>
          <w:noProof/>
          <w:sz w:val="20"/>
          <w:szCs w:val="20"/>
        </w:rPr>
      </w:pPr>
      <w:r w:rsidRPr="009F1505">
        <w:rPr>
          <w:rFonts w:ascii="Times New Roman" w:hAnsi="Times New Roman"/>
          <w:noProof/>
          <w:sz w:val="20"/>
          <w:szCs w:val="20"/>
        </w:rPr>
        <w:t>Received: 25 October 2017; Accepted: 22 January 2019</w:t>
      </w:r>
    </w:p>
    <w:p w:rsidR="009F1505" w:rsidRPr="009F1505" w:rsidRDefault="009F1505" w:rsidP="009F1505">
      <w:pPr>
        <w:spacing w:after="0" w:line="240" w:lineRule="auto"/>
        <w:jc w:val="center"/>
        <w:rPr>
          <w:rFonts w:ascii="Times New Roman" w:hAnsi="Times New Roman"/>
          <w:noProof/>
          <w:sz w:val="20"/>
          <w:szCs w:val="20"/>
        </w:rPr>
      </w:pPr>
    </w:p>
    <w:p w:rsidR="009F1505" w:rsidRPr="009F1505" w:rsidRDefault="009F1505" w:rsidP="009F1505">
      <w:pPr>
        <w:spacing w:after="0" w:line="240" w:lineRule="auto"/>
        <w:jc w:val="center"/>
        <w:rPr>
          <w:rFonts w:ascii="Times New Roman" w:hAnsi="Times New Roman"/>
          <w:noProof/>
          <w:sz w:val="20"/>
          <w:szCs w:val="20"/>
        </w:rPr>
      </w:pPr>
    </w:p>
    <w:p w:rsidR="009F1505" w:rsidRPr="009F1505" w:rsidRDefault="009F1505" w:rsidP="009F1505">
      <w:pPr>
        <w:spacing w:after="0" w:line="240" w:lineRule="auto"/>
        <w:jc w:val="center"/>
        <w:rPr>
          <w:rFonts w:ascii="Times New Roman" w:hAnsi="Times New Roman"/>
          <w:b/>
          <w:noProof/>
          <w:sz w:val="20"/>
          <w:szCs w:val="20"/>
        </w:rPr>
      </w:pPr>
      <w:r w:rsidRPr="009F1505">
        <w:rPr>
          <w:rFonts w:ascii="Times New Roman" w:hAnsi="Times New Roman"/>
          <w:b/>
          <w:noProof/>
          <w:sz w:val="20"/>
          <w:szCs w:val="20"/>
        </w:rPr>
        <w:t>Abstract</w:t>
      </w:r>
    </w:p>
    <w:p w:rsidR="009F1505" w:rsidRPr="009F1505" w:rsidRDefault="009F1505" w:rsidP="009F1505">
      <w:pPr>
        <w:pStyle w:val="BodyA"/>
        <w:rPr>
          <w:rFonts w:ascii="Times New Roman" w:hAnsi="Times New Roman" w:cs="Times New Roman"/>
          <w:color w:val="auto"/>
        </w:rPr>
      </w:pPr>
      <w:r w:rsidRPr="009F1505">
        <w:rPr>
          <w:rFonts w:ascii="Times New Roman" w:hAnsi="Times New Roman" w:cs="Times New Roman"/>
          <w:color w:val="auto"/>
        </w:rPr>
        <w:t>An analytical method for the determination of histamine using metals and alizarin red S (ARS) reagents</w:t>
      </w:r>
      <w:r w:rsidRPr="009F1505">
        <w:rPr>
          <w:rFonts w:ascii="Times New Roman" w:hAnsi="Times New Roman" w:cs="Times New Roman"/>
          <w:i/>
          <w:iCs/>
          <w:color w:val="auto"/>
        </w:rPr>
        <w:t xml:space="preserve"> </w:t>
      </w:r>
      <w:r w:rsidRPr="009F1505">
        <w:rPr>
          <w:rFonts w:ascii="Times New Roman" w:hAnsi="Times New Roman" w:cs="Times New Roman"/>
          <w:color w:val="auto"/>
        </w:rPr>
        <w:t>by UV-Visible spectrophotometry was developed. Cu(II), Co(II) and ARS were used to form colored complex with histamine. The developed method was used to detect qualitatively and quantitatively the presence of histamine. Absorbance of Cu(II) and Co(II) complex were measured at a maximum wavelength of 505.5 and 567 nm, respectively. Optimization of analytical parameters such as concentration of metals, concentration of ARS, sample solution pH, and optimum time for complex formation were performed. Experimental results showed that the optimum concentration of Cu(II) was 50 ppm, 75 ppm ARS, sample solution pH 6, and 15 minutes optimum time, while the optimum concentration of Co(II) was 125 ppm, ARS was 75 and 50 ppm, sample solution pH 5 and 10 minutes optimum time. Method validation indicated that the coefficient of variation, limit of detection (LOD) (S/N =3), and limit of quantitation (LOQ = 10S/N) of Cu(II) were 0.65%, 8.94 ppm, and 29.82 ppm respectively with a sensitivity of 0.0054 ppm and linearity of 0.9959. Accuracy of histamine determination through Cu-ARS-histamine complex at a concentration of 50, 100, and 150 ppm were 105.7% (RSD = 0.777%, n = 3), 105.06% (RSD = 0.606%, n = 3), and 94.12% (RSD = 0.767%, n = 3), respectively. Meanwhile, the CV, LOD, and LOQ of Co(II) were 0.28%; 2.58 ppm; and 8.6 ppm respectively with a sensitivity of 0.0006 ppm and linearity of 0.9965. Accuracy of histamine determination through Co-ARS-histamine complex at a concentration of 50, 75, and 125 ppm were 98.33%, 95.83%, 93.88%, respectively. The proposed method was successfully applied to the determination of histamine in a fish sample with quantitative recovery; for Cu(II) complex (99.23%) and Co(II) complex (102.62%).</w:t>
      </w:r>
    </w:p>
    <w:p w:rsidR="009F1505" w:rsidRPr="009F1505" w:rsidRDefault="009F1505" w:rsidP="009F1505">
      <w:pPr>
        <w:pStyle w:val="BodyA"/>
        <w:outlineLvl w:val="0"/>
        <w:rPr>
          <w:rFonts w:ascii="Times New Roman" w:hAnsi="Times New Roman" w:cs="Times New Roman"/>
          <w:color w:val="auto"/>
        </w:rPr>
      </w:pPr>
    </w:p>
    <w:p w:rsidR="009F1505" w:rsidRPr="009F1505" w:rsidRDefault="009F1505" w:rsidP="009F1505">
      <w:pPr>
        <w:pStyle w:val="BodyA"/>
        <w:outlineLvl w:val="0"/>
        <w:rPr>
          <w:rFonts w:ascii="Times New Roman" w:hAnsi="Times New Roman" w:cs="Times New Roman"/>
          <w:color w:val="auto"/>
        </w:rPr>
      </w:pPr>
      <w:r w:rsidRPr="009F1505">
        <w:rPr>
          <w:rFonts w:ascii="Times New Roman" w:hAnsi="Times New Roman" w:cs="Times New Roman"/>
          <w:b/>
          <w:bCs/>
          <w:color w:val="auto"/>
        </w:rPr>
        <w:t>Keywords</w:t>
      </w:r>
      <w:r w:rsidRPr="009F1505">
        <w:rPr>
          <w:rFonts w:ascii="Times New Roman" w:hAnsi="Times New Roman" w:cs="Times New Roman"/>
          <w:color w:val="auto"/>
        </w:rPr>
        <w:t>:  histamine, metals, Cu(II), Co(II), ARS, UV-visible spectrophotometry</w:t>
      </w:r>
    </w:p>
    <w:p w:rsidR="009F1505" w:rsidRPr="009F1505" w:rsidRDefault="009F1505" w:rsidP="009F1505">
      <w:pPr>
        <w:pStyle w:val="BodyA"/>
        <w:jc w:val="center"/>
        <w:outlineLvl w:val="0"/>
        <w:rPr>
          <w:rFonts w:ascii="Times New Roman" w:hAnsi="Times New Roman" w:cs="Times New Roman"/>
          <w:color w:val="auto"/>
        </w:rPr>
      </w:pPr>
    </w:p>
    <w:p w:rsidR="009F1505" w:rsidRPr="009F1505" w:rsidRDefault="009F1505" w:rsidP="009F1505">
      <w:pPr>
        <w:pStyle w:val="BodyA"/>
        <w:jc w:val="center"/>
        <w:outlineLvl w:val="0"/>
        <w:rPr>
          <w:rFonts w:ascii="Times New Roman" w:hAnsi="Times New Roman" w:cs="Times New Roman"/>
          <w:color w:val="auto"/>
          <w:lang w:val="ms-MY"/>
        </w:rPr>
      </w:pPr>
      <w:r w:rsidRPr="009F1505">
        <w:rPr>
          <w:rFonts w:ascii="Times New Roman" w:hAnsi="Times New Roman" w:cs="Times New Roman"/>
          <w:b/>
          <w:bCs/>
          <w:color w:val="auto"/>
          <w:lang w:val="ms-MY"/>
        </w:rPr>
        <w:t>Abstrak</w:t>
      </w:r>
    </w:p>
    <w:p w:rsidR="009F1505" w:rsidRPr="009F1505" w:rsidRDefault="009F1505" w:rsidP="009F1505">
      <w:pPr>
        <w:pStyle w:val="BodyA"/>
        <w:outlineLvl w:val="0"/>
        <w:rPr>
          <w:rFonts w:ascii="Times New Roman" w:hAnsi="Times New Roman" w:cs="Times New Roman"/>
          <w:color w:val="auto"/>
          <w:lang w:val="ms-MY"/>
        </w:rPr>
      </w:pPr>
      <w:r w:rsidRPr="009F1505">
        <w:rPr>
          <w:rFonts w:ascii="Times New Roman" w:hAnsi="Times New Roman" w:cs="Times New Roman"/>
          <w:color w:val="auto"/>
          <w:lang w:val="ms-MY"/>
        </w:rPr>
        <w:t xml:space="preserve">Kaedah analisis untuk penentuan histamin menggunakan logam dan reagen alizarin merah S (ARS) </w:t>
      </w:r>
      <w:r w:rsidR="00D948D1">
        <w:rPr>
          <w:rFonts w:ascii="Times New Roman" w:hAnsi="Times New Roman" w:cs="Times New Roman"/>
          <w:color w:val="auto"/>
          <w:lang w:val="ms-MY"/>
        </w:rPr>
        <w:t xml:space="preserve">telah dibangunkan </w:t>
      </w:r>
      <w:r w:rsidRPr="009F1505">
        <w:rPr>
          <w:rFonts w:ascii="Times New Roman" w:hAnsi="Times New Roman" w:cs="Times New Roman"/>
          <w:color w:val="auto"/>
          <w:lang w:val="ms-MY"/>
        </w:rPr>
        <w:t>menggunakan spektrofotometri ultralembayung-nampak</w:t>
      </w:r>
      <w:r w:rsidR="00D948D1">
        <w:rPr>
          <w:rFonts w:ascii="Times New Roman" w:hAnsi="Times New Roman" w:cs="Times New Roman"/>
          <w:color w:val="auto"/>
          <w:lang w:val="ms-MY"/>
        </w:rPr>
        <w:t>.</w:t>
      </w:r>
      <w:r w:rsidRPr="009F1505">
        <w:rPr>
          <w:rFonts w:ascii="Times New Roman" w:hAnsi="Times New Roman" w:cs="Times New Roman"/>
          <w:color w:val="auto"/>
          <w:lang w:val="ms-MY"/>
        </w:rPr>
        <w:t xml:space="preserve"> Cu(II), Co(II), dan ARS digunakan untuk membentuk kompleks berwarna dengan histamin. Kaedah yang telah dibangunkan digunakan untuk </w:t>
      </w:r>
      <w:r w:rsidR="00DB2FF9">
        <w:rPr>
          <w:rFonts w:ascii="Times New Roman" w:hAnsi="Times New Roman" w:cs="Times New Roman"/>
          <w:color w:val="auto"/>
          <w:lang w:val="ms-MY"/>
        </w:rPr>
        <w:t>mengesan histamin secara kualit</w:t>
      </w:r>
      <w:r w:rsidRPr="009F1505">
        <w:rPr>
          <w:rFonts w:ascii="Times New Roman" w:hAnsi="Times New Roman" w:cs="Times New Roman"/>
          <w:color w:val="auto"/>
          <w:lang w:val="ms-MY"/>
        </w:rPr>
        <w:t xml:space="preserve">atif dan kuantitatif. Serapan kompleks Cu(II) dan Co(II) diukur pada panjang gelombang maksimum masing-masing 505.5 dan 567 nm. Pengoptimuman parameter analisis seperti kepekatan logam, </w:t>
      </w:r>
      <w:r w:rsidRPr="009F1505">
        <w:rPr>
          <w:rFonts w:ascii="Times New Roman" w:hAnsi="Times New Roman" w:cs="Times New Roman"/>
          <w:color w:val="auto"/>
          <w:lang w:val="ms-MY"/>
        </w:rPr>
        <w:lastRenderedPageBreak/>
        <w:t>kepekatan ARS, pH larutan sampel, dan masa optimum bagi pembentukan kompleks telah dilakukan. Keputusan eksperimen menunjukkan bahawa kepekatan optimum Cu(II) ialah 50 ppm, 75 ppm ARS, pH 6 larutan sampel, dan masa optimum 15 minit, manakala kepekatan optimum Co(II) ialah 125 ppm, ARS ialah 75 dan 50 ppm, pH larutan sampel 5 dan 10 minit masa optimum. Pengesahan kaedah menunjukkan bahawa pekali variasi (CV), had pengesanan (LOD) (S/N = 3) dan had kuantititatif (LOQ = 10 S/N) Cu(II) masing-masing adalah 0.65%, 8.94 ppm dan 29.82 ppm dengan sensitiviti 0.0054 ppm dan kelinearan 0.9959. Ketepatan penentuan histamin melalui kompleks Cu-ARS-histamin pada kepekatan 50, 100, dan 150 ppm ialah 105.7% (RSD = 0.777%, n = 3), 105.06% (RSD = 0.606%, n = 3), dan 94.12% (RSD = 0.767%, n = 3), sementara itu,CV, LOD, dan LOQ Co(II) masing-masing adalah 0.28%; 2.58 ppm dan 8.6 ppm dengan kepekaan 0.0006 ppm dan kelinearan 0.9965. Ketepatan penentuan histamin melalui kompleks Co-ARS-histamin pada kepekatan 50, 75, dan 125 ppm masing-masing adalah 98.33%, 95.83%, dan 93.88%. Kaedah yang dicadangkan berjaya digunakan untuk menentukan histamin dalam sampel ikan dengan pengembalian kuantitatif untuk kompleks Cu(II) (99.23%) dan kompleks Co(II) (102.62%).</w:t>
      </w:r>
    </w:p>
    <w:p w:rsidR="009F1505" w:rsidRPr="009F1505" w:rsidRDefault="009F1505" w:rsidP="009F1505">
      <w:pPr>
        <w:pStyle w:val="BodyA"/>
        <w:outlineLvl w:val="0"/>
        <w:rPr>
          <w:rFonts w:ascii="Times New Roman" w:hAnsi="Times New Roman" w:cs="Times New Roman"/>
          <w:color w:val="auto"/>
          <w:lang w:val="ms-MY"/>
        </w:rPr>
      </w:pPr>
    </w:p>
    <w:p w:rsidR="001573E3" w:rsidRDefault="009F1505" w:rsidP="009F1505">
      <w:pPr>
        <w:pStyle w:val="BodyA"/>
        <w:outlineLvl w:val="0"/>
        <w:rPr>
          <w:rFonts w:ascii="Times New Roman" w:hAnsi="Times New Roman" w:cs="Times New Roman"/>
          <w:color w:val="auto"/>
          <w:lang w:val="ms-MY"/>
        </w:rPr>
      </w:pPr>
      <w:r w:rsidRPr="009F1505">
        <w:rPr>
          <w:rFonts w:ascii="Times New Roman" w:hAnsi="Times New Roman" w:cs="Times New Roman"/>
          <w:b/>
          <w:bCs/>
          <w:color w:val="auto"/>
          <w:lang w:val="ms-MY"/>
        </w:rPr>
        <w:t xml:space="preserve">Kata kunci:  </w:t>
      </w:r>
      <w:r w:rsidRPr="009F1505">
        <w:rPr>
          <w:rFonts w:ascii="Times New Roman" w:hAnsi="Times New Roman" w:cs="Times New Roman"/>
          <w:color w:val="auto"/>
          <w:lang w:val="ms-MY"/>
        </w:rPr>
        <w:t>histamin, logam, Cu(II), Co(II), alizarin merah S, spektrofotometri ultralembayung-nampak</w:t>
      </w:r>
    </w:p>
    <w:p w:rsidR="009F1505" w:rsidRDefault="009F1505" w:rsidP="009F1505">
      <w:pPr>
        <w:pStyle w:val="BodyA"/>
        <w:outlineLvl w:val="0"/>
        <w:rPr>
          <w:rFonts w:ascii="Times New Roman" w:hAnsi="Times New Roman" w:cs="Times New Roman"/>
          <w:color w:val="auto"/>
          <w:lang w:val="ms-MY"/>
        </w:rPr>
      </w:pPr>
    </w:p>
    <w:p w:rsidR="009F1505" w:rsidRPr="00F447A7" w:rsidRDefault="009F1505" w:rsidP="009F1505">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Kaştaş, G., Paşaoğlu, H., Karabulut, B. and Bulut, İ. (2010). Structural and spectroscopic studies on cadmium complex of a biogenic amine, histamine.</w:t>
      </w:r>
      <w:r w:rsidRPr="00A37B27">
        <w:rPr>
          <w:rFonts w:ascii="Times New Roman" w:hAnsi="Times New Roman"/>
          <w:i/>
          <w:iCs/>
          <w:sz w:val="20"/>
          <w:szCs w:val="20"/>
        </w:rPr>
        <w:t xml:space="preserve"> Chemical Physics Letters, </w:t>
      </w:r>
      <w:r w:rsidRPr="00A37B27">
        <w:rPr>
          <w:rFonts w:ascii="Times New Roman" w:hAnsi="Times New Roman"/>
          <w:sz w:val="20"/>
          <w:szCs w:val="20"/>
        </w:rPr>
        <w:t>488 (4-6): 162–167.</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Bulushi, I. A., Poole, S., Deeth, H. C. and Dykes, G. A. (2009). Biogenic amines in fish: Roles in intoxication, spoilage, and nitrosamine formation—a review. </w:t>
      </w:r>
      <w:r w:rsidRPr="00A37B27">
        <w:rPr>
          <w:rFonts w:ascii="Times New Roman" w:hAnsi="Times New Roman"/>
          <w:i/>
          <w:iCs/>
          <w:sz w:val="20"/>
          <w:szCs w:val="20"/>
        </w:rPr>
        <w:t xml:space="preserve">Critical Reviews in Food Science and Nutrition, </w:t>
      </w:r>
      <w:r w:rsidRPr="00A37B27">
        <w:rPr>
          <w:rFonts w:ascii="Times New Roman" w:hAnsi="Times New Roman"/>
          <w:sz w:val="20"/>
          <w:szCs w:val="20"/>
        </w:rPr>
        <w:t>49(4): 369–377.</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Diaz, M., Ladero, V., Redruello, B., Sanchez-Llana, E., Rio, B., Fernandez, M., Martin, M. C. and Alvarez, M. A. (2016). A PCR-DGGE method for the identification of histamine-producing bacteria in cheese. </w:t>
      </w:r>
      <w:r w:rsidRPr="00A37B27">
        <w:rPr>
          <w:rFonts w:ascii="Times New Roman" w:hAnsi="Times New Roman"/>
          <w:i/>
          <w:iCs/>
          <w:sz w:val="20"/>
          <w:szCs w:val="20"/>
        </w:rPr>
        <w:t>Food Control</w:t>
      </w:r>
      <w:r w:rsidRPr="00A37B27">
        <w:rPr>
          <w:rFonts w:ascii="Times New Roman" w:hAnsi="Times New Roman"/>
          <w:sz w:val="20"/>
          <w:szCs w:val="20"/>
        </w:rPr>
        <w:t>, 63: 216-223.</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Altieri, I., Semeraro, A., Scalise, F., Calderari, I. and Stacchini, P. (2016). European official control of food: Determination of histamine in fish products by a HPLC–UV-DAD Method. </w:t>
      </w:r>
      <w:r w:rsidRPr="00A37B27">
        <w:rPr>
          <w:rFonts w:ascii="Times New Roman" w:hAnsi="Times New Roman"/>
          <w:i/>
          <w:iCs/>
          <w:sz w:val="20"/>
          <w:szCs w:val="20"/>
        </w:rPr>
        <w:t>Food Chemistry.</w:t>
      </w:r>
      <w:r w:rsidRPr="00A37B27">
        <w:rPr>
          <w:rFonts w:ascii="Times New Roman" w:hAnsi="Times New Roman"/>
          <w:sz w:val="20"/>
          <w:szCs w:val="20"/>
        </w:rPr>
        <w:t xml:space="preserve"> 211: 694–699.</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Evangelista, W. P., Silva, T. M., Guidi, L. R., Tette, P. A. S., Byrro, R. M. D., Silva, P. S., Fernandes, C. and Gloria, M. B. A. (2016). Quality assurance of histamine analysis in fresh and canned fish. </w:t>
      </w:r>
      <w:r w:rsidRPr="00A37B27">
        <w:rPr>
          <w:rFonts w:ascii="Times New Roman" w:hAnsi="Times New Roman"/>
          <w:i/>
          <w:iCs/>
          <w:sz w:val="20"/>
          <w:szCs w:val="20"/>
        </w:rPr>
        <w:t>Food Chemistry</w:t>
      </w:r>
      <w:r w:rsidRPr="00A37B27">
        <w:rPr>
          <w:rFonts w:ascii="Times New Roman" w:hAnsi="Times New Roman"/>
          <w:sz w:val="20"/>
          <w:szCs w:val="20"/>
        </w:rPr>
        <w:t>, 211: 100-106.</w:t>
      </w:r>
    </w:p>
    <w:p w:rsidR="00633C1B" w:rsidRDefault="009F1505" w:rsidP="00633C1B">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Veseli, A., Vasjari, M., Arbneshi, T., Hajrizi, A.,  Svorc, L., Samphao, A. and Kalcher, K. (2016). Electrochemical determination of histamine in fish sauce using heterogeneous carbon electrodes modified with rhenium(iv) oxide. </w:t>
      </w:r>
      <w:r w:rsidRPr="00A37B27">
        <w:rPr>
          <w:rFonts w:ascii="Times New Roman" w:hAnsi="Times New Roman"/>
          <w:i/>
          <w:iCs/>
          <w:sz w:val="20"/>
          <w:szCs w:val="20"/>
        </w:rPr>
        <w:t>Sensors and Actuators B</w:t>
      </w:r>
      <w:r w:rsidRPr="00A37B27">
        <w:rPr>
          <w:rFonts w:ascii="Times New Roman" w:hAnsi="Times New Roman"/>
          <w:sz w:val="20"/>
          <w:szCs w:val="20"/>
        </w:rPr>
        <w:t>. 228: 774–781.</w:t>
      </w:r>
    </w:p>
    <w:p w:rsidR="00D5689E" w:rsidRPr="00D5689E" w:rsidRDefault="00633C1B" w:rsidP="00D5689E">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633C1B">
        <w:rPr>
          <w:rFonts w:ascii="Times New Roman" w:hAnsi="Times New Roman"/>
          <w:sz w:val="20"/>
          <w:szCs w:val="20"/>
        </w:rPr>
        <w:t xml:space="preserve">Department </w:t>
      </w:r>
      <w:r w:rsidR="009F1505" w:rsidRPr="00633C1B">
        <w:rPr>
          <w:rFonts w:ascii="Times New Roman" w:hAnsi="Times New Roman"/>
          <w:sz w:val="20"/>
          <w:szCs w:val="20"/>
        </w:rPr>
        <w:t>of Health and Human Services, Public Health Service, Food and</w:t>
      </w:r>
      <w:r w:rsidR="00D5689E">
        <w:rPr>
          <w:rFonts w:ascii="Times New Roman" w:hAnsi="Times New Roman"/>
          <w:sz w:val="20"/>
          <w:szCs w:val="20"/>
        </w:rPr>
        <w:t xml:space="preserve"> </w:t>
      </w:r>
      <w:r w:rsidR="009F1505" w:rsidRPr="00633C1B">
        <w:rPr>
          <w:rFonts w:ascii="Times New Roman" w:hAnsi="Times New Roman"/>
          <w:sz w:val="20"/>
          <w:szCs w:val="20"/>
        </w:rPr>
        <w:t xml:space="preserve">Drug Administration, Center for </w:t>
      </w:r>
      <w:r w:rsidR="00D5689E">
        <w:rPr>
          <w:rFonts w:ascii="Times New Roman" w:hAnsi="Times New Roman"/>
          <w:sz w:val="20"/>
          <w:szCs w:val="20"/>
        </w:rPr>
        <w:t>F</w:t>
      </w:r>
      <w:r w:rsidR="009F1505" w:rsidRPr="00633C1B">
        <w:rPr>
          <w:rFonts w:ascii="Times New Roman" w:hAnsi="Times New Roman"/>
          <w:sz w:val="20"/>
          <w:szCs w:val="20"/>
        </w:rPr>
        <w:t xml:space="preserve">ood Safety and Nutrition (2011). </w:t>
      </w:r>
      <w:r w:rsidR="009F1505" w:rsidRPr="00633C1B">
        <w:rPr>
          <w:rFonts w:ascii="Times New Roman" w:hAnsi="Times New Roman"/>
          <w:iCs/>
          <w:sz w:val="20"/>
          <w:szCs w:val="20"/>
        </w:rPr>
        <w:t>Fish and fishery</w:t>
      </w:r>
      <w:r w:rsidR="00D5689E">
        <w:rPr>
          <w:rFonts w:ascii="Times New Roman" w:hAnsi="Times New Roman"/>
          <w:iCs/>
          <w:sz w:val="20"/>
          <w:szCs w:val="20"/>
        </w:rPr>
        <w:t xml:space="preserve"> </w:t>
      </w:r>
      <w:r w:rsidR="009F1505" w:rsidRPr="00633C1B">
        <w:rPr>
          <w:rFonts w:ascii="Times New Roman" w:hAnsi="Times New Roman"/>
          <w:iCs/>
          <w:sz w:val="20"/>
          <w:szCs w:val="20"/>
        </w:rPr>
        <w:t>products hazards and controls guidance</w:t>
      </w:r>
      <w:r w:rsidR="009F1505" w:rsidRPr="00633C1B">
        <w:rPr>
          <w:rFonts w:ascii="Times New Roman" w:hAnsi="Times New Roman"/>
          <w:sz w:val="20"/>
          <w:szCs w:val="20"/>
        </w:rPr>
        <w:t>, 4</w:t>
      </w:r>
      <w:r w:rsidR="009F1505" w:rsidRPr="00633C1B">
        <w:rPr>
          <w:rFonts w:ascii="Times New Roman" w:hAnsi="Times New Roman"/>
          <w:sz w:val="20"/>
          <w:szCs w:val="20"/>
          <w:vertAlign w:val="superscript"/>
        </w:rPr>
        <w:t>th</w:t>
      </w:r>
      <w:r w:rsidR="009F1505" w:rsidRPr="00633C1B">
        <w:rPr>
          <w:rFonts w:ascii="Times New Roman" w:hAnsi="Times New Roman"/>
          <w:sz w:val="20"/>
          <w:szCs w:val="20"/>
        </w:rPr>
        <w:t xml:space="preserve"> edition 2011, April.</w:t>
      </w:r>
    </w:p>
    <w:p w:rsidR="009F1505" w:rsidRPr="009F1505"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Lehane, L. and Olley, J. (2000). Review histamine fish poisoning revisited. </w:t>
      </w:r>
      <w:r w:rsidRPr="00A37B27">
        <w:rPr>
          <w:rFonts w:ascii="Times New Roman" w:hAnsi="Times New Roman"/>
          <w:i/>
          <w:iCs/>
          <w:sz w:val="20"/>
          <w:szCs w:val="20"/>
        </w:rPr>
        <w:t>International Journal of Food Microbiology</w:t>
      </w:r>
      <w:r w:rsidRPr="00A37B27">
        <w:rPr>
          <w:rFonts w:ascii="Times New Roman" w:hAnsi="Times New Roman"/>
          <w:sz w:val="20"/>
          <w:szCs w:val="20"/>
        </w:rPr>
        <w:t>, 58 (1-2): 1–37.</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Keow, C. M., Bakar, F. A.,  Salleh, A. B., Heng, L. Y., Wagiran, R., Bean, L. S. (2007). An amperometric biosensor for the rapid assessment of histamine level in tiger prawn (</w:t>
      </w:r>
      <w:r w:rsidRPr="00A37B27">
        <w:rPr>
          <w:rFonts w:ascii="Times New Roman" w:hAnsi="Times New Roman"/>
          <w:i/>
          <w:iCs/>
          <w:sz w:val="20"/>
          <w:szCs w:val="20"/>
        </w:rPr>
        <w:t>Penaeus monodon</w:t>
      </w:r>
      <w:r w:rsidRPr="00A37B27">
        <w:rPr>
          <w:rFonts w:ascii="Times New Roman" w:hAnsi="Times New Roman"/>
          <w:sz w:val="20"/>
          <w:szCs w:val="20"/>
        </w:rPr>
        <w:t xml:space="preserve">) spoilage, </w:t>
      </w:r>
      <w:r w:rsidRPr="00A37B27">
        <w:rPr>
          <w:rFonts w:ascii="Times New Roman" w:hAnsi="Times New Roman"/>
          <w:i/>
          <w:iCs/>
          <w:sz w:val="20"/>
          <w:szCs w:val="20"/>
        </w:rPr>
        <w:t>Food Chemistry</w:t>
      </w:r>
      <w:r w:rsidRPr="00A37B27">
        <w:rPr>
          <w:rFonts w:ascii="Times New Roman" w:hAnsi="Times New Roman"/>
          <w:sz w:val="20"/>
          <w:szCs w:val="20"/>
        </w:rPr>
        <w:t>, 105(4): 1636–1641.</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Akbari-adergani, B., Norouzi, P., Ganjali, M. R., and Dinarvand, R. (2010). Ultrasensitive flow-injection electrochemical method for determination of histamine in tuna fish sample. </w:t>
      </w:r>
      <w:r w:rsidRPr="00A37B27">
        <w:rPr>
          <w:rFonts w:ascii="Times New Roman" w:hAnsi="Times New Roman"/>
          <w:i/>
          <w:iCs/>
          <w:sz w:val="20"/>
          <w:szCs w:val="20"/>
        </w:rPr>
        <w:t xml:space="preserve">Food Research International Journal, </w:t>
      </w:r>
      <w:r w:rsidRPr="00A37B27">
        <w:rPr>
          <w:rFonts w:ascii="Times New Roman" w:hAnsi="Times New Roman"/>
          <w:sz w:val="20"/>
          <w:szCs w:val="20"/>
        </w:rPr>
        <w:t>43(4): 1116-1122.</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Fonts w:ascii="Times New Roman" w:hAnsi="Times New Roman"/>
          <w:sz w:val="20"/>
          <w:szCs w:val="20"/>
        </w:rPr>
        <w:t xml:space="preserve">Degefu, H., Amare, M., Tessema, M. and Admassie, S. (2014), </w:t>
      </w:r>
      <w:r w:rsidRPr="00A37B27">
        <w:rPr>
          <w:rFonts w:ascii="Times New Roman" w:hAnsi="Times New Roman"/>
          <w:kern w:val="36"/>
          <w:sz w:val="20"/>
          <w:szCs w:val="20"/>
        </w:rPr>
        <w:t xml:space="preserve">Lignin modified glassy carbon electrode for the electrochemical determination of histamine in human urine and wine samples. </w:t>
      </w:r>
      <w:hyperlink r:id="rId6" w:history="1">
        <w:r w:rsidRPr="00A37B27">
          <w:rPr>
            <w:rStyle w:val="Hyperlink0"/>
            <w:rFonts w:eastAsia="Calibri"/>
            <w:sz w:val="20"/>
            <w:szCs w:val="20"/>
          </w:rPr>
          <w:t>Electrochimica Acta</w:t>
        </w:r>
      </w:hyperlink>
      <w:r w:rsidRPr="00A37B27">
        <w:rPr>
          <w:rStyle w:val="Hyperlink0"/>
          <w:rFonts w:eastAsia="Calibri"/>
          <w:sz w:val="20"/>
          <w:szCs w:val="20"/>
        </w:rPr>
        <w:t xml:space="preserve"> Journal</w:t>
      </w:r>
      <w:r w:rsidRPr="00A37B27">
        <w:rPr>
          <w:rStyle w:val="None"/>
          <w:rFonts w:ascii="Times New Roman" w:hAnsi="Times New Roman"/>
          <w:sz w:val="20"/>
          <w:szCs w:val="20"/>
        </w:rPr>
        <w:t>, 121: 307-314.</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Tao, Z., Sato, M., Han, Y., Tan, Z., Yamaguchi, T. and Nakano, T. (2011). </w:t>
      </w:r>
      <w:r w:rsidRPr="00A37B27">
        <w:rPr>
          <w:rStyle w:val="None"/>
          <w:rFonts w:ascii="Times New Roman" w:hAnsi="Times New Roman"/>
          <w:kern w:val="36"/>
          <w:sz w:val="20"/>
          <w:szCs w:val="20"/>
        </w:rPr>
        <w:t xml:space="preserve">A simply and rapid method for histamine analysis in fish and fishery products by TLC determination. </w:t>
      </w:r>
      <w:r w:rsidRPr="00A37B27">
        <w:rPr>
          <w:rStyle w:val="None"/>
          <w:rFonts w:ascii="Times New Roman" w:hAnsi="Times New Roman"/>
          <w:i/>
          <w:iCs/>
          <w:kern w:val="36"/>
          <w:sz w:val="20"/>
          <w:szCs w:val="20"/>
        </w:rPr>
        <w:t xml:space="preserve">Food Control, </w:t>
      </w:r>
      <w:r w:rsidRPr="00A37B27">
        <w:rPr>
          <w:rStyle w:val="None"/>
          <w:rFonts w:ascii="Times New Roman" w:hAnsi="Times New Roman"/>
          <w:kern w:val="36"/>
          <w:sz w:val="20"/>
          <w:szCs w:val="20"/>
        </w:rPr>
        <w:t>22(8): 115</w:t>
      </w:r>
      <w:r w:rsidRPr="00A37B27">
        <w:rPr>
          <w:rStyle w:val="None"/>
          <w:rFonts w:ascii="Times New Roman" w:hAnsi="Times New Roman"/>
          <w:sz w:val="20"/>
          <w:szCs w:val="20"/>
        </w:rPr>
        <w:t>4</w:t>
      </w:r>
      <w:r w:rsidRPr="00A37B27">
        <w:rPr>
          <w:rStyle w:val="None"/>
          <w:rFonts w:ascii="Times New Roman" w:hAnsi="Times New Roman"/>
          <w:kern w:val="36"/>
          <w:sz w:val="20"/>
          <w:szCs w:val="20"/>
        </w:rPr>
        <w:t>-1577.</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Wang, Z., Wu, J., Wu, S. and Bao, A. (2013). High performance liquid chromatographic determination of histamine in biological samples: the cerebrospinal fluid challenge–a review. </w:t>
      </w:r>
      <w:r w:rsidRPr="00A37B27">
        <w:rPr>
          <w:rStyle w:val="None"/>
          <w:rFonts w:ascii="Times New Roman" w:hAnsi="Times New Roman"/>
          <w:i/>
          <w:iCs/>
          <w:sz w:val="20"/>
          <w:szCs w:val="20"/>
        </w:rPr>
        <w:t xml:space="preserve">Analytica Chimica Acta, </w:t>
      </w:r>
      <w:r w:rsidRPr="00A37B27">
        <w:rPr>
          <w:rStyle w:val="None"/>
          <w:rFonts w:ascii="Times New Roman" w:hAnsi="Times New Roman"/>
          <w:sz w:val="20"/>
          <w:szCs w:val="20"/>
        </w:rPr>
        <w:t>24(774): 1-10.</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Henry, B., Gizzi, P. and Delpuech, J. (2015), Magnetic Non-equivalence and dynamic NMR of N-methylene </w:t>
      </w:r>
      <w:r w:rsidRPr="00A37B27">
        <w:rPr>
          <w:rStyle w:val="None"/>
          <w:rFonts w:ascii="Times New Roman" w:hAnsi="Times New Roman"/>
          <w:sz w:val="20"/>
          <w:szCs w:val="20"/>
        </w:rPr>
        <w:lastRenderedPageBreak/>
        <w:t xml:space="preserve">protons in a histamine-containing pseudopeptide: Alanyl-glycyl-histamine. </w:t>
      </w:r>
      <w:r w:rsidRPr="00A37B27">
        <w:rPr>
          <w:rStyle w:val="None"/>
          <w:rFonts w:ascii="Times New Roman" w:hAnsi="Times New Roman"/>
          <w:i/>
          <w:iCs/>
          <w:sz w:val="20"/>
          <w:szCs w:val="20"/>
        </w:rPr>
        <w:t>Tetrahedron,</w:t>
      </w:r>
      <w:r w:rsidRPr="00A37B27">
        <w:rPr>
          <w:rStyle w:val="None"/>
          <w:rFonts w:ascii="Times New Roman" w:hAnsi="Times New Roman"/>
          <w:sz w:val="20"/>
          <w:szCs w:val="20"/>
        </w:rPr>
        <w:t xml:space="preserve"> 71(36): 6227-6244.</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An, D., Chen, Z., Zheng, J., Chen, S., Wang, L. and Su, W. (2016). Polyoxometalate functionalized tris(2,2-bipyridyl)dichlororuthenium(II) as the probe for electrochemiluminescence sensing of histamine, </w:t>
      </w:r>
      <w:r w:rsidRPr="00A37B27">
        <w:rPr>
          <w:rStyle w:val="None"/>
          <w:rFonts w:ascii="Times New Roman" w:hAnsi="Times New Roman"/>
          <w:i/>
          <w:iCs/>
          <w:sz w:val="20"/>
          <w:szCs w:val="20"/>
        </w:rPr>
        <w:t>Food Chemistry,</w:t>
      </w:r>
      <w:r w:rsidRPr="00A37B27">
        <w:rPr>
          <w:rStyle w:val="None"/>
          <w:rFonts w:ascii="Times New Roman" w:hAnsi="Times New Roman"/>
          <w:sz w:val="20"/>
          <w:szCs w:val="20"/>
        </w:rPr>
        <w:t xml:space="preserve"> 194: 966–971.</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Chimalakonda, K. C., Pang, E., Weaver, J. L., Howard, K. E., Patel, V. and Boyne II, M. T. (2015). Development and validation of a liquid-chromatography tandem mass spectrometry method to determine in vitro and in vivo histamine release, </w:t>
      </w:r>
      <w:r w:rsidRPr="00A37B27">
        <w:rPr>
          <w:rStyle w:val="None"/>
          <w:rFonts w:ascii="Times New Roman" w:hAnsi="Times New Roman"/>
          <w:i/>
          <w:iCs/>
          <w:sz w:val="20"/>
          <w:szCs w:val="20"/>
        </w:rPr>
        <w:t>Journal of Pharmaceutical and Biomedical Analysis,</w:t>
      </w:r>
      <w:r w:rsidRPr="00A37B27">
        <w:rPr>
          <w:rStyle w:val="None"/>
          <w:rFonts w:ascii="Times New Roman" w:hAnsi="Times New Roman"/>
          <w:sz w:val="20"/>
          <w:szCs w:val="20"/>
        </w:rPr>
        <w:t xml:space="preserve"> 102: 494–499.</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Jancsó, A., Selmeczi, K., Gizzi, P., Nagyc, N. V., Gajda, T. and Henry, B. (2011). The role of terminal amino group and histidine at the fourth position in the metal ion binding of oligopeptides revisited copper(II) and nickel(II) complexes of glycyl-glycyl-glycyl-histamine and its n-boc protected derivative. </w:t>
      </w:r>
      <w:r w:rsidRPr="00A37B27">
        <w:rPr>
          <w:rStyle w:val="None"/>
          <w:rFonts w:ascii="Times New Roman" w:hAnsi="Times New Roman"/>
          <w:i/>
          <w:iCs/>
          <w:sz w:val="20"/>
          <w:szCs w:val="20"/>
        </w:rPr>
        <w:t xml:space="preserve">Journal of Inorganic Biochemistry, </w:t>
      </w:r>
      <w:r w:rsidRPr="00A37B27">
        <w:rPr>
          <w:rStyle w:val="None"/>
          <w:rFonts w:ascii="Times New Roman" w:hAnsi="Times New Roman"/>
          <w:sz w:val="20"/>
          <w:szCs w:val="20"/>
        </w:rPr>
        <w:t>105(1): 92-101.</w:t>
      </w:r>
    </w:p>
    <w:p w:rsidR="009F1505" w:rsidRPr="00A37B27" w:rsidRDefault="00247C61"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hyperlink r:id="rId7" w:history="1">
        <w:r w:rsidR="009F1505" w:rsidRPr="00A37B27">
          <w:rPr>
            <w:rStyle w:val="Hyperlink1"/>
            <w:rFonts w:ascii="Times New Roman" w:hAnsi="Times New Roman"/>
            <w:sz w:val="20"/>
            <w:szCs w:val="20"/>
          </w:rPr>
          <w:t>Kaştaş</w:t>
        </w:r>
      </w:hyperlink>
      <w:r w:rsidR="009F1505" w:rsidRPr="00A37B27">
        <w:rPr>
          <w:rStyle w:val="None"/>
          <w:rFonts w:ascii="Times New Roman" w:hAnsi="Times New Roman"/>
          <w:sz w:val="20"/>
          <w:szCs w:val="20"/>
        </w:rPr>
        <w:t xml:space="preserve">, G., Pasaoglu, H. and Karabulut, B. (2011). Magnetic, structural and computational studies on transition metal complexes of a neurotransmitter, histamine. </w:t>
      </w:r>
      <w:r w:rsidR="009F1505" w:rsidRPr="00A37B27">
        <w:rPr>
          <w:rStyle w:val="None"/>
          <w:rFonts w:ascii="Times New Roman" w:hAnsi="Times New Roman"/>
          <w:i/>
          <w:iCs/>
          <w:sz w:val="20"/>
          <w:szCs w:val="20"/>
        </w:rPr>
        <w:t>Journal of Molecular Structure,</w:t>
      </w:r>
      <w:r w:rsidR="009F1505" w:rsidRPr="00A37B27">
        <w:rPr>
          <w:rStyle w:val="None"/>
          <w:rFonts w:ascii="Times New Roman" w:hAnsi="Times New Roman"/>
          <w:sz w:val="20"/>
          <w:szCs w:val="20"/>
        </w:rPr>
        <w:t xml:space="preserve"> 1000(1-3): 39–48.</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Style w:val="None"/>
          <w:rFonts w:ascii="Times New Roman" w:hAnsi="Times New Roman"/>
          <w:sz w:val="20"/>
          <w:szCs w:val="20"/>
        </w:rPr>
      </w:pPr>
      <w:r w:rsidRPr="00A37B27">
        <w:rPr>
          <w:rStyle w:val="None"/>
          <w:rFonts w:ascii="Times New Roman" w:hAnsi="Times New Roman"/>
          <w:sz w:val="20"/>
          <w:szCs w:val="20"/>
        </w:rPr>
        <w:t xml:space="preserve">Sathish, R. S., Kumar, M. R., Rao, G. N., Kumar, K. A. and Janardhana, C. (2007). A water-soluble fluorescent fluoride ion probe based on ARS–Al(III) complex. </w:t>
      </w:r>
      <w:r w:rsidRPr="00A37B27">
        <w:rPr>
          <w:rStyle w:val="None"/>
          <w:rFonts w:ascii="Times New Roman" w:hAnsi="Times New Roman"/>
          <w:i/>
          <w:iCs/>
          <w:sz w:val="20"/>
          <w:szCs w:val="20"/>
        </w:rPr>
        <w:t>Spectrochimica Acta Part A</w:t>
      </w:r>
      <w:r w:rsidRPr="00A37B27">
        <w:rPr>
          <w:rStyle w:val="None"/>
          <w:rFonts w:ascii="Times New Roman" w:hAnsi="Times New Roman"/>
          <w:sz w:val="20"/>
          <w:szCs w:val="20"/>
        </w:rPr>
        <w:t>, 66: 457–461.</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Style w:val="None"/>
          <w:rFonts w:ascii="Times New Roman" w:hAnsi="Times New Roman"/>
          <w:sz w:val="20"/>
          <w:szCs w:val="20"/>
        </w:rPr>
      </w:pPr>
      <w:r w:rsidRPr="00A37B27">
        <w:rPr>
          <w:rStyle w:val="None"/>
          <w:rFonts w:ascii="Times New Roman" w:hAnsi="Times New Roman"/>
          <w:sz w:val="20"/>
          <w:szCs w:val="20"/>
        </w:rPr>
        <w:t xml:space="preserve">Panahi, H. A., Karimi, M., Moniri, E. and Soudi, H. (2008). Development of a sensitive spectrophotometeric method for determination of copper. </w:t>
      </w:r>
      <w:r w:rsidRPr="00A37B27">
        <w:rPr>
          <w:rStyle w:val="None"/>
          <w:rFonts w:ascii="Times New Roman" w:hAnsi="Times New Roman"/>
          <w:i/>
          <w:iCs/>
          <w:sz w:val="20"/>
          <w:szCs w:val="20"/>
        </w:rPr>
        <w:t>African Journal of Pure and Applied Chemistry,</w:t>
      </w:r>
      <w:r w:rsidRPr="00A37B27">
        <w:rPr>
          <w:rStyle w:val="None"/>
          <w:rFonts w:ascii="Times New Roman" w:hAnsi="Times New Roman"/>
          <w:sz w:val="20"/>
          <w:szCs w:val="20"/>
        </w:rPr>
        <w:t xml:space="preserve"> 2(10): 96–99.</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Rohilla, R. and Gupta, U. (2012) Simultaneous determination of cobalt(ii) and nickel(ii) by first order derivative spectrophotometry in micellar media. </w:t>
      </w:r>
      <w:r w:rsidRPr="00A37B27">
        <w:rPr>
          <w:rStyle w:val="None"/>
          <w:rFonts w:ascii="Times New Roman" w:hAnsi="Times New Roman"/>
          <w:i/>
          <w:iCs/>
          <w:sz w:val="20"/>
          <w:szCs w:val="20"/>
        </w:rPr>
        <w:t>E-Journal of Chemistry</w:t>
      </w:r>
      <w:r w:rsidRPr="00A37B27">
        <w:rPr>
          <w:rStyle w:val="None"/>
          <w:rFonts w:ascii="Times New Roman" w:hAnsi="Times New Roman"/>
          <w:sz w:val="20"/>
          <w:szCs w:val="20"/>
        </w:rPr>
        <w:t>, 9(3): 1357-1363.</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Style w:val="None"/>
          <w:rFonts w:ascii="Times New Roman" w:hAnsi="Times New Roman"/>
          <w:sz w:val="20"/>
          <w:szCs w:val="20"/>
        </w:rPr>
      </w:pPr>
      <w:r w:rsidRPr="00A37B27">
        <w:rPr>
          <w:rStyle w:val="None"/>
          <w:rFonts w:ascii="Times New Roman" w:hAnsi="Times New Roman"/>
          <w:sz w:val="20"/>
          <w:szCs w:val="20"/>
        </w:rPr>
        <w:t xml:space="preserve">Gahlan, A. A., El-Mottaleb, M.A., Badawy, N. A., Kamale, F. H. and Ali, S. H. (2014). spectrophotometeric studies on binary and ternary complexes of some metal ions with ARS and cysteine. </w:t>
      </w:r>
      <w:r w:rsidRPr="00A37B27">
        <w:rPr>
          <w:rStyle w:val="None"/>
          <w:rFonts w:ascii="Times New Roman" w:hAnsi="Times New Roman"/>
          <w:i/>
          <w:iCs/>
          <w:sz w:val="20"/>
          <w:szCs w:val="20"/>
        </w:rPr>
        <w:t>International Journal of Advanced Research,</w:t>
      </w:r>
      <w:r w:rsidRPr="00A37B27">
        <w:rPr>
          <w:rStyle w:val="None"/>
          <w:rFonts w:ascii="Times New Roman" w:hAnsi="Times New Roman"/>
          <w:sz w:val="20"/>
          <w:szCs w:val="20"/>
        </w:rPr>
        <w:t xml:space="preserve"> 2(10): 570–584.</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Jannatin, M., Supriyanto, G., Pudjiastuti, P. (2017). A novel spectrophotometric method for the determination of histamine based on its complex reaction with Ni(II) and ARS. </w:t>
      </w:r>
      <w:r w:rsidRPr="00A37B27">
        <w:rPr>
          <w:rStyle w:val="None"/>
          <w:rFonts w:ascii="Times New Roman" w:hAnsi="Times New Roman"/>
          <w:i/>
          <w:iCs/>
          <w:sz w:val="20"/>
          <w:szCs w:val="20"/>
        </w:rPr>
        <w:t>Indonesian Journal of Chem</w:t>
      </w:r>
      <w:r w:rsidRPr="00A37B27">
        <w:rPr>
          <w:rStyle w:val="None"/>
          <w:rFonts w:ascii="Times New Roman" w:hAnsi="Times New Roman"/>
          <w:sz w:val="20"/>
          <w:szCs w:val="20"/>
        </w:rPr>
        <w:t>istry, 17(1): 139-143.</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Ali, N. M., Amaniampong, P. N. and Karam, A. (2016). D</w:t>
      </w:r>
      <w:r w:rsidRPr="00A37B27">
        <w:rPr>
          <w:rStyle w:val="None"/>
          <w:rFonts w:ascii="Times New Roman" w:hAnsi="Times New Roman"/>
          <w:kern w:val="36"/>
          <w:sz w:val="20"/>
          <w:szCs w:val="20"/>
        </w:rPr>
        <w:t xml:space="preserve">etermination of optimal conditions for eelectrodeposition of tin(II) in the presence of ARS. </w:t>
      </w:r>
      <w:r w:rsidRPr="00A37B27">
        <w:rPr>
          <w:rStyle w:val="None"/>
          <w:rFonts w:ascii="Times New Roman" w:hAnsi="Times New Roman"/>
          <w:i/>
          <w:iCs/>
          <w:kern w:val="36"/>
          <w:sz w:val="20"/>
          <w:szCs w:val="20"/>
        </w:rPr>
        <w:t>Heliyon</w:t>
      </w:r>
      <w:r w:rsidRPr="00A37B27">
        <w:rPr>
          <w:rStyle w:val="None"/>
          <w:rFonts w:ascii="Times New Roman" w:hAnsi="Times New Roman"/>
          <w:kern w:val="36"/>
          <w:sz w:val="20"/>
          <w:szCs w:val="20"/>
        </w:rPr>
        <w:t>, 2(12): 1-26.</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Xie, Z., Wang, Y., Chen, Y., Xu, X., Jin, Z. and Ding, Y, (2017). Tuneable surface enhanced raman spectroscopy hyphenated to chemically derivatized thin-layer chromatography plates for screening histamine in fish. </w:t>
      </w:r>
      <w:r w:rsidRPr="00A37B27">
        <w:rPr>
          <w:rStyle w:val="None"/>
          <w:rFonts w:ascii="Times New Roman" w:hAnsi="Times New Roman"/>
          <w:i/>
          <w:iCs/>
          <w:sz w:val="20"/>
          <w:szCs w:val="20"/>
        </w:rPr>
        <w:t>Food Chemistry</w:t>
      </w:r>
      <w:r w:rsidRPr="00A37B27">
        <w:rPr>
          <w:rStyle w:val="None"/>
          <w:rFonts w:ascii="Times New Roman" w:hAnsi="Times New Roman"/>
          <w:sz w:val="20"/>
          <w:szCs w:val="20"/>
        </w:rPr>
        <w:t>, 230: 547–552.</w:t>
      </w:r>
    </w:p>
    <w:p w:rsidR="009F1505" w:rsidRPr="00A37B27" w:rsidRDefault="009F1505" w:rsidP="009F1505">
      <w:pPr>
        <w:pStyle w:val="ListParagraph"/>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sz w:val="20"/>
          <w:szCs w:val="20"/>
        </w:rPr>
        <w:t xml:space="preserve">Fain, V. Y., Zaitsev, B. E. and Ryabov, M. A. (2004). Metal complexes with alizarin and ARS: Electronic absorption spectra and structure of ligands. </w:t>
      </w:r>
      <w:r w:rsidRPr="00A37B27">
        <w:rPr>
          <w:rStyle w:val="None"/>
          <w:rFonts w:ascii="Times New Roman" w:hAnsi="Times New Roman"/>
          <w:i/>
          <w:iCs/>
          <w:sz w:val="20"/>
          <w:szCs w:val="20"/>
        </w:rPr>
        <w:t xml:space="preserve">Russian Journal of Coordination Chemistry, </w:t>
      </w:r>
      <w:r w:rsidRPr="00A37B27">
        <w:rPr>
          <w:rStyle w:val="None"/>
          <w:rFonts w:ascii="Times New Roman" w:hAnsi="Times New Roman"/>
          <w:sz w:val="20"/>
          <w:szCs w:val="20"/>
        </w:rPr>
        <w:t>30(5): 365–370.</w:t>
      </w:r>
    </w:p>
    <w:p w:rsidR="009F1505" w:rsidRPr="00A37B27" w:rsidRDefault="009F1505" w:rsidP="009F1505">
      <w:pPr>
        <w:pStyle w:val="ListParagraph"/>
        <w:widowControl w:val="0"/>
        <w:numPr>
          <w:ilvl w:val="0"/>
          <w:numId w:val="2"/>
        </w:numPr>
        <w:pBdr>
          <w:top w:val="nil"/>
          <w:left w:val="nil"/>
          <w:bottom w:val="nil"/>
          <w:right w:val="nil"/>
          <w:between w:val="nil"/>
          <w:bar w:val="nil"/>
        </w:pBdr>
        <w:spacing w:after="0" w:line="240" w:lineRule="auto"/>
        <w:ind w:left="360"/>
        <w:contextualSpacing w:val="0"/>
        <w:jc w:val="both"/>
        <w:rPr>
          <w:rFonts w:ascii="Times New Roman" w:hAnsi="Times New Roman"/>
          <w:sz w:val="20"/>
          <w:szCs w:val="20"/>
        </w:rPr>
      </w:pPr>
      <w:r w:rsidRPr="00A37B27">
        <w:rPr>
          <w:rStyle w:val="None"/>
          <w:rFonts w:ascii="Times New Roman" w:hAnsi="Times New Roman"/>
          <w:kern w:val="36"/>
          <w:sz w:val="20"/>
          <w:szCs w:val="20"/>
        </w:rPr>
        <w:t xml:space="preserve">Day, R. A. and Underwood, A. L. (2002). </w:t>
      </w:r>
      <w:r w:rsidRPr="00A37B27">
        <w:rPr>
          <w:rStyle w:val="None"/>
          <w:rFonts w:ascii="Times New Roman" w:hAnsi="Times New Roman"/>
          <w:iCs/>
          <w:kern w:val="36"/>
          <w:sz w:val="20"/>
          <w:szCs w:val="20"/>
          <w:lang w:val="ms-MY"/>
        </w:rPr>
        <w:t>Analisis kimia kuantitatif</w:t>
      </w:r>
      <w:r w:rsidRPr="00A37B27">
        <w:rPr>
          <w:rStyle w:val="None"/>
          <w:rFonts w:ascii="Times New Roman" w:hAnsi="Times New Roman"/>
          <w:kern w:val="36"/>
          <w:sz w:val="20"/>
          <w:szCs w:val="20"/>
          <w:lang w:val="ms-MY"/>
        </w:rPr>
        <w:t xml:space="preserve">. </w:t>
      </w:r>
      <w:r w:rsidRPr="00A37B27">
        <w:rPr>
          <w:rStyle w:val="None"/>
          <w:rFonts w:ascii="Times New Roman" w:hAnsi="Times New Roman"/>
          <w:iCs/>
          <w:kern w:val="36"/>
          <w:sz w:val="20"/>
          <w:szCs w:val="20"/>
          <w:lang w:val="ms-MY"/>
        </w:rPr>
        <w:t xml:space="preserve">Edisi keenam. </w:t>
      </w:r>
      <w:r w:rsidRPr="00A37B27">
        <w:rPr>
          <w:rStyle w:val="None"/>
          <w:rFonts w:ascii="Times New Roman" w:hAnsi="Times New Roman"/>
          <w:kern w:val="36"/>
          <w:sz w:val="20"/>
          <w:szCs w:val="20"/>
          <w:lang w:val="ms-MY"/>
        </w:rPr>
        <w:t>Penerbit Erlangga,</w:t>
      </w:r>
      <w:r w:rsidRPr="00A37B27">
        <w:rPr>
          <w:rStyle w:val="None"/>
          <w:rFonts w:ascii="Times New Roman" w:hAnsi="Times New Roman"/>
          <w:kern w:val="36"/>
          <w:sz w:val="20"/>
          <w:szCs w:val="20"/>
        </w:rPr>
        <w:t xml:space="preserve"> Jakarta, Indonesia.</w:t>
      </w:r>
    </w:p>
    <w:p w:rsidR="009F1505" w:rsidRPr="009F1505" w:rsidRDefault="009F1505" w:rsidP="009F1505">
      <w:pPr>
        <w:pStyle w:val="BodyA"/>
        <w:outlineLvl w:val="0"/>
        <w:rPr>
          <w:rFonts w:ascii="Times New Roman" w:hAnsi="Times New Roman" w:cs="Times New Roman"/>
          <w:color w:val="auto"/>
          <w:lang w:val="ms-MY"/>
        </w:rPr>
      </w:pPr>
    </w:p>
    <w:sectPr w:rsidR="009F1505" w:rsidRPr="009F15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4F61"/>
    <w:multiLevelType w:val="hybridMultilevel"/>
    <w:tmpl w:val="107CEBD0"/>
    <w:numStyleLink w:val="ImportedStyle1"/>
  </w:abstractNum>
  <w:abstractNum w:abstractNumId="1">
    <w:nsid w:val="2C00412C"/>
    <w:multiLevelType w:val="hybridMultilevel"/>
    <w:tmpl w:val="107CEBD0"/>
    <w:styleLink w:val="ImportedStyle1"/>
    <w:lvl w:ilvl="0" w:tplc="09AC5074">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CCE320A">
      <w:start w:val="1"/>
      <w:numFmt w:val="lowerLetter"/>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9F66BD0">
      <w:start w:val="1"/>
      <w:numFmt w:val="lowerRoman"/>
      <w:lvlText w:val="%3."/>
      <w:lvlJc w:val="left"/>
      <w:pPr>
        <w:ind w:left="267" w:hanging="2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AA63A36">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3CAA46">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6E86972">
      <w:start w:val="1"/>
      <w:numFmt w:val="lowerRoman"/>
      <w:lvlText w:val="%6."/>
      <w:lvlJc w:val="left"/>
      <w:pPr>
        <w:ind w:left="267" w:hanging="2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A22F34">
      <w:start w:val="1"/>
      <w:numFmt w:val="decimal"/>
      <w:lvlText w:val="%7."/>
      <w:lvlJc w:val="left"/>
      <w:pPr>
        <w:ind w:left="71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C20AA36">
      <w:start w:val="1"/>
      <w:numFmt w:val="lowerLetter"/>
      <w:lvlText w:val="%8."/>
      <w:lvlJc w:val="left"/>
      <w:pPr>
        <w:ind w:left="143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CC2CA2">
      <w:start w:val="1"/>
      <w:numFmt w:val="lowerRoman"/>
      <w:lvlText w:val="%9."/>
      <w:lvlJc w:val="left"/>
      <w:pPr>
        <w:ind w:left="2151" w:hanging="2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7C61"/>
    <w:rsid w:val="00633C1B"/>
    <w:rsid w:val="006F2968"/>
    <w:rsid w:val="009F1505"/>
    <w:rsid w:val="00C71438"/>
    <w:rsid w:val="00D0718B"/>
    <w:rsid w:val="00D40B1F"/>
    <w:rsid w:val="00D5689E"/>
    <w:rsid w:val="00D948D1"/>
    <w:rsid w:val="00DB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1505"/>
    <w:pPr>
      <w:ind w:left="720"/>
      <w:contextualSpacing/>
    </w:pPr>
    <w:rPr>
      <w:rFonts w:ascii="Cambria" w:eastAsia="Times New Roman" w:hAnsi="Cambria" w:cs="Times New Roman"/>
      <w:lang w:bidi="en-US"/>
    </w:rPr>
  </w:style>
  <w:style w:type="paragraph" w:customStyle="1" w:styleId="BodyA">
    <w:name w:val="Body A"/>
    <w:rsid w:val="009F1505"/>
    <w:pPr>
      <w:widowControl w:val="0"/>
      <w:pBdr>
        <w:top w:val="nil"/>
        <w:left w:val="nil"/>
        <w:bottom w:val="nil"/>
        <w:right w:val="nil"/>
        <w:between w:val="nil"/>
        <w:bar w:val="nil"/>
      </w:pBdr>
      <w:spacing w:after="0" w:line="240" w:lineRule="auto"/>
      <w:jc w:val="both"/>
    </w:pPr>
    <w:rPr>
      <w:rFonts w:ascii="Calibri" w:eastAsia="Calibri" w:hAnsi="Calibri" w:cs="Calibri"/>
      <w:color w:val="000000"/>
      <w:kern w:val="2"/>
      <w:sz w:val="20"/>
      <w:szCs w:val="20"/>
      <w:u w:color="000000"/>
      <w:bdr w:val="nil"/>
      <w:lang w:eastAsia="en-MY"/>
    </w:rPr>
  </w:style>
  <w:style w:type="numbering" w:customStyle="1" w:styleId="ImportedStyle1">
    <w:name w:val="Imported Style 1"/>
    <w:rsid w:val="009F1505"/>
    <w:pPr>
      <w:numPr>
        <w:numId w:val="1"/>
      </w:numPr>
    </w:pPr>
  </w:style>
  <w:style w:type="character" w:customStyle="1" w:styleId="None">
    <w:name w:val="None"/>
    <w:rsid w:val="009F1505"/>
  </w:style>
  <w:style w:type="character" w:customStyle="1" w:styleId="Hyperlink0">
    <w:name w:val="Hyperlink.0"/>
    <w:basedOn w:val="None"/>
    <w:rsid w:val="009F1505"/>
    <w:rPr>
      <w:rFonts w:ascii="Times New Roman" w:eastAsia="Times New Roman" w:hAnsi="Times New Roman" w:cs="Times New Roman"/>
      <w:i/>
      <w:iCs/>
      <w:color w:val="000000"/>
      <w:u w:val="none" w:color="000000"/>
    </w:rPr>
  </w:style>
  <w:style w:type="character" w:customStyle="1" w:styleId="Hyperlink1">
    <w:name w:val="Hyperlink.1"/>
    <w:basedOn w:val="None"/>
    <w:rsid w:val="009F1505"/>
    <w:rPr>
      <w:color w:val="000000"/>
      <w:u w:val="none" w:color="00000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1505"/>
    <w:pPr>
      <w:ind w:left="720"/>
      <w:contextualSpacing/>
    </w:pPr>
    <w:rPr>
      <w:rFonts w:ascii="Cambria" w:eastAsia="Times New Roman" w:hAnsi="Cambria" w:cs="Times New Roman"/>
      <w:lang w:bidi="en-US"/>
    </w:rPr>
  </w:style>
  <w:style w:type="paragraph" w:customStyle="1" w:styleId="BodyA">
    <w:name w:val="Body A"/>
    <w:rsid w:val="009F1505"/>
    <w:pPr>
      <w:widowControl w:val="0"/>
      <w:pBdr>
        <w:top w:val="nil"/>
        <w:left w:val="nil"/>
        <w:bottom w:val="nil"/>
        <w:right w:val="nil"/>
        <w:between w:val="nil"/>
        <w:bar w:val="nil"/>
      </w:pBdr>
      <w:spacing w:after="0" w:line="240" w:lineRule="auto"/>
      <w:jc w:val="both"/>
    </w:pPr>
    <w:rPr>
      <w:rFonts w:ascii="Calibri" w:eastAsia="Calibri" w:hAnsi="Calibri" w:cs="Calibri"/>
      <w:color w:val="000000"/>
      <w:kern w:val="2"/>
      <w:sz w:val="20"/>
      <w:szCs w:val="20"/>
      <w:u w:color="000000"/>
      <w:bdr w:val="nil"/>
      <w:lang w:eastAsia="en-MY"/>
    </w:rPr>
  </w:style>
  <w:style w:type="numbering" w:customStyle="1" w:styleId="ImportedStyle1">
    <w:name w:val="Imported Style 1"/>
    <w:rsid w:val="009F1505"/>
    <w:pPr>
      <w:numPr>
        <w:numId w:val="1"/>
      </w:numPr>
    </w:pPr>
  </w:style>
  <w:style w:type="character" w:customStyle="1" w:styleId="None">
    <w:name w:val="None"/>
    <w:rsid w:val="009F1505"/>
  </w:style>
  <w:style w:type="character" w:customStyle="1" w:styleId="Hyperlink0">
    <w:name w:val="Hyperlink.0"/>
    <w:basedOn w:val="None"/>
    <w:rsid w:val="009F1505"/>
    <w:rPr>
      <w:rFonts w:ascii="Times New Roman" w:eastAsia="Times New Roman" w:hAnsi="Times New Roman" w:cs="Times New Roman"/>
      <w:i/>
      <w:iCs/>
      <w:color w:val="000000"/>
      <w:u w:val="none" w:color="000000"/>
    </w:rPr>
  </w:style>
  <w:style w:type="character" w:customStyle="1" w:styleId="Hyperlink1">
    <w:name w:val="Hyperlink.1"/>
    <w:basedOn w:val="None"/>
    <w:rsid w:val="009F1505"/>
    <w:rPr>
      <w:color w:val="000000"/>
      <w:u w:val="none" w:color="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cedirect.com/science/article/pii/S00222860110043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journal/0013468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8</cp:revision>
  <dcterms:created xsi:type="dcterms:W3CDTF">2019-06-03T06:18:00Z</dcterms:created>
  <dcterms:modified xsi:type="dcterms:W3CDTF">2019-06-19T15:51:00Z</dcterms:modified>
</cp:coreProperties>
</file>