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 xml:space="preserve">Malaysian Journal of Analytical Sciences Vol 23 No 3 (2019): </w:t>
      </w:r>
      <w:r w:rsidR="00722974">
        <w:rPr>
          <w:rFonts w:ascii="Times New Roman" w:hAnsi="Times New Roman" w:cs="Times New Roman"/>
          <w:sz w:val="24"/>
          <w:szCs w:val="24"/>
        </w:rPr>
        <w:t>495 - 504</w:t>
      </w:r>
    </w:p>
    <w:p w:rsidR="00722974" w:rsidRDefault="00722974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74" w:rsidRDefault="00722974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74" w:rsidRPr="001573E3" w:rsidRDefault="00722974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74" w:rsidRPr="00F31D7D" w:rsidRDefault="00722974" w:rsidP="00722974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4"/>
        </w:rPr>
      </w:pPr>
      <w:r w:rsidRPr="00F31D7D">
        <w:rPr>
          <w:rFonts w:ascii="Times New Roman" w:hAnsi="Times New Roman"/>
          <w:sz w:val="28"/>
        </w:rPr>
        <w:t xml:space="preserve">OPTIMIZATION OF HERBAL HEALTH TEA FLAVORED WITH ROASTED RICE GERM (KHAO DAWK MALI 105) USING RESPONSE SURFACE METHODOLOGY </w:t>
      </w:r>
    </w:p>
    <w:p w:rsidR="00722974" w:rsidRPr="00F31D7D" w:rsidRDefault="00722974" w:rsidP="0072297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22974" w:rsidRPr="00F31D7D" w:rsidRDefault="00722974" w:rsidP="00722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lang w:val="ms-MY"/>
        </w:rPr>
      </w:pPr>
      <w:r w:rsidRPr="00F31D7D">
        <w:rPr>
          <w:rFonts w:ascii="Times New Roman" w:hAnsi="Times New Roman"/>
          <w:sz w:val="24"/>
        </w:rPr>
        <w:t>(</w:t>
      </w:r>
      <w:r w:rsidRPr="00F31D7D">
        <w:rPr>
          <w:rFonts w:ascii="Times New Roman" w:hAnsi="Times New Roman"/>
          <w:sz w:val="24"/>
          <w:lang w:val="ms-MY"/>
        </w:rPr>
        <w:t>Pengoptimuman Teh Kesihatan Herba yang Bercampur dengan Germa Beras Panggang</w:t>
      </w:r>
    </w:p>
    <w:p w:rsidR="00722974" w:rsidRPr="00F31D7D" w:rsidRDefault="00722974" w:rsidP="00722974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 w:rsidRPr="00F31D7D">
        <w:rPr>
          <w:rFonts w:ascii="Times New Roman" w:hAnsi="Times New Roman"/>
          <w:sz w:val="24"/>
          <w:lang w:val="ms-MY"/>
        </w:rPr>
        <w:t>(Khao Dawk Mali 105) Menggunakan Kaedah Gerak Balas Permukaan</w:t>
      </w:r>
      <w:r w:rsidRPr="00F31D7D">
        <w:rPr>
          <w:rFonts w:ascii="Times New Roman" w:hAnsi="Times New Roman"/>
          <w:sz w:val="24"/>
        </w:rPr>
        <w:t>)</w:t>
      </w:r>
    </w:p>
    <w:p w:rsidR="00722974" w:rsidRPr="00F31D7D" w:rsidRDefault="00722974" w:rsidP="0072297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722974" w:rsidRPr="00F31D7D" w:rsidRDefault="002F3F08" w:rsidP="00722974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ms-MY"/>
        </w:rPr>
      </w:pPr>
      <w:r>
        <w:rPr>
          <w:rFonts w:ascii="Times New Roman" w:hAnsi="Times New Roman"/>
          <w:sz w:val="20"/>
          <w:szCs w:val="20"/>
          <w:lang w:val="ms-MY"/>
        </w:rPr>
        <w:t>Sriwiang Rittisak</w:t>
      </w:r>
      <w:bookmarkStart w:id="0" w:name="_GoBack"/>
      <w:bookmarkEnd w:id="0"/>
      <w:r w:rsidR="00722974" w:rsidRPr="00F31D7D">
        <w:rPr>
          <w:rFonts w:ascii="Times New Roman" w:hAnsi="Times New Roman"/>
          <w:sz w:val="20"/>
          <w:szCs w:val="20"/>
          <w:vertAlign w:val="superscript"/>
          <w:lang w:val="ms-MY"/>
        </w:rPr>
        <w:t>1</w:t>
      </w:r>
      <w:r w:rsidR="00722974" w:rsidRPr="00F31D7D">
        <w:rPr>
          <w:rFonts w:ascii="Times New Roman" w:hAnsi="Times New Roman"/>
          <w:sz w:val="20"/>
          <w:szCs w:val="20"/>
          <w:lang w:val="ms-MY"/>
        </w:rPr>
        <w:t>*, Ratchanee Charoen</w:t>
      </w:r>
      <w:r w:rsidR="00722974" w:rsidRPr="00F31D7D">
        <w:rPr>
          <w:rFonts w:ascii="Times New Roman" w:hAnsi="Times New Roman"/>
          <w:sz w:val="20"/>
          <w:szCs w:val="20"/>
          <w:vertAlign w:val="superscript"/>
          <w:lang w:val="ms-MY"/>
        </w:rPr>
        <w:t>1</w:t>
      </w:r>
      <w:r w:rsidR="00722974" w:rsidRPr="00F31D7D">
        <w:rPr>
          <w:rFonts w:ascii="Times New Roman" w:hAnsi="Times New Roman"/>
          <w:sz w:val="20"/>
          <w:szCs w:val="20"/>
          <w:lang w:val="ms-MY"/>
        </w:rPr>
        <w:t>, Ratchagon Pongsri</w:t>
      </w:r>
      <w:r w:rsidR="00722974" w:rsidRPr="00F31D7D">
        <w:rPr>
          <w:rFonts w:ascii="Times New Roman" w:hAnsi="Times New Roman"/>
          <w:sz w:val="20"/>
          <w:szCs w:val="20"/>
          <w:vertAlign w:val="superscript"/>
          <w:lang w:val="ms-MY"/>
        </w:rPr>
        <w:t>1</w:t>
      </w:r>
      <w:r w:rsidR="00722974" w:rsidRPr="00F31D7D">
        <w:rPr>
          <w:rFonts w:ascii="Times New Roman" w:hAnsi="Times New Roman"/>
          <w:sz w:val="20"/>
          <w:szCs w:val="20"/>
          <w:lang w:val="ms-MY"/>
        </w:rPr>
        <w:t>, Pattraporn Tearyakul</w:t>
      </w:r>
      <w:r w:rsidR="00722974" w:rsidRPr="00F31D7D">
        <w:rPr>
          <w:rFonts w:ascii="Times New Roman" w:hAnsi="Times New Roman"/>
          <w:sz w:val="20"/>
          <w:szCs w:val="20"/>
          <w:vertAlign w:val="superscript"/>
          <w:lang w:val="ms-MY"/>
        </w:rPr>
        <w:t>1</w:t>
      </w:r>
      <w:r w:rsidR="00722974" w:rsidRPr="00F31D7D">
        <w:rPr>
          <w:rFonts w:ascii="Times New Roman" w:hAnsi="Times New Roman"/>
          <w:sz w:val="20"/>
          <w:szCs w:val="20"/>
          <w:lang w:val="ms-MY"/>
        </w:rPr>
        <w:t>, Wanticha Savedboworn</w:t>
      </w:r>
      <w:r w:rsidR="00722974" w:rsidRPr="00F31D7D">
        <w:rPr>
          <w:rFonts w:ascii="Times New Roman" w:hAnsi="Times New Roman"/>
          <w:sz w:val="20"/>
          <w:szCs w:val="20"/>
          <w:vertAlign w:val="superscript"/>
          <w:lang w:val="ms-MY"/>
        </w:rPr>
        <w:t>2</w:t>
      </w:r>
      <w:r w:rsidR="00722974" w:rsidRPr="00F31D7D">
        <w:rPr>
          <w:rFonts w:ascii="Times New Roman" w:hAnsi="Times New Roman"/>
          <w:sz w:val="20"/>
          <w:szCs w:val="20"/>
          <w:lang w:val="ms-MY"/>
        </w:rPr>
        <w:t>, Wiboon Riansa-ngawong</w:t>
      </w:r>
      <w:r w:rsidR="00722974" w:rsidRPr="00F31D7D">
        <w:rPr>
          <w:rFonts w:ascii="Times New Roman" w:hAnsi="Times New Roman"/>
          <w:sz w:val="20"/>
          <w:szCs w:val="20"/>
          <w:vertAlign w:val="superscript"/>
          <w:lang w:val="ms-MY"/>
        </w:rPr>
        <w:t>2</w:t>
      </w:r>
    </w:p>
    <w:p w:rsidR="00722974" w:rsidRPr="00722974" w:rsidRDefault="00722974" w:rsidP="00722974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722974" w:rsidRPr="00722974" w:rsidRDefault="00722974" w:rsidP="0072297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22974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722974">
        <w:rPr>
          <w:rFonts w:ascii="Times New Roman" w:hAnsi="Times New Roman"/>
          <w:i/>
          <w:sz w:val="20"/>
          <w:szCs w:val="20"/>
        </w:rPr>
        <w:t>Department of Innovation and Product Development Technology, Faculty of Agro-Industry</w:t>
      </w:r>
    </w:p>
    <w:p w:rsidR="00722974" w:rsidRPr="00722974" w:rsidRDefault="00722974" w:rsidP="0072297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22974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722974">
        <w:rPr>
          <w:rFonts w:ascii="Times New Roman" w:hAnsi="Times New Roman"/>
          <w:i/>
          <w:sz w:val="20"/>
          <w:szCs w:val="20"/>
        </w:rPr>
        <w:t xml:space="preserve">Department of Agro-industry Technology and Management, Faculty of Agro-Industry </w:t>
      </w:r>
      <w:r w:rsidRPr="00722974">
        <w:rPr>
          <w:rFonts w:ascii="Times New Roman" w:hAnsi="Times New Roman"/>
          <w:i/>
          <w:sz w:val="20"/>
          <w:szCs w:val="20"/>
        </w:rPr>
        <w:br/>
        <w:t xml:space="preserve">King Mongkut’s University of Technology North Bangkok, </w:t>
      </w:r>
      <w:r w:rsidRPr="00722974">
        <w:rPr>
          <w:rFonts w:ascii="Times New Roman" w:hAnsi="Times New Roman"/>
          <w:i/>
          <w:sz w:val="20"/>
          <w:szCs w:val="20"/>
          <w:lang w:bidi="th-TH"/>
        </w:rPr>
        <w:t>25230</w:t>
      </w:r>
      <w:r w:rsidRPr="00722974">
        <w:rPr>
          <w:rFonts w:ascii="Times New Roman" w:hAnsi="Times New Roman"/>
          <w:i/>
          <w:sz w:val="20"/>
          <w:szCs w:val="20"/>
        </w:rPr>
        <w:t xml:space="preserve"> Prachinburi, Thailand.</w:t>
      </w:r>
    </w:p>
    <w:p w:rsidR="00722974" w:rsidRPr="00722974" w:rsidRDefault="00722974" w:rsidP="0072297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722974" w:rsidRPr="00722974" w:rsidRDefault="00722974" w:rsidP="00722974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722974">
        <w:rPr>
          <w:rFonts w:ascii="Times New Roman" w:hAnsi="Times New Roman"/>
          <w:i/>
          <w:sz w:val="20"/>
          <w:szCs w:val="20"/>
        </w:rPr>
        <w:t xml:space="preserve">*Corresponding author:  sriwiang.t@agro.kmutnb.ac.th </w:t>
      </w:r>
    </w:p>
    <w:p w:rsidR="00722974" w:rsidRPr="00722974" w:rsidRDefault="00722974" w:rsidP="0072297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722974" w:rsidRPr="00722974" w:rsidRDefault="00722974" w:rsidP="0072297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722974" w:rsidRPr="00722974" w:rsidRDefault="00722974" w:rsidP="0072297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722974">
        <w:rPr>
          <w:rFonts w:ascii="Times New Roman" w:hAnsi="Times New Roman"/>
          <w:noProof/>
          <w:sz w:val="20"/>
          <w:szCs w:val="20"/>
        </w:rPr>
        <w:t>Received: 25 October 2017; Accepted: 22 January 2019</w:t>
      </w:r>
    </w:p>
    <w:p w:rsidR="00722974" w:rsidRPr="00722974" w:rsidRDefault="00722974" w:rsidP="0072297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722974" w:rsidRPr="00722974" w:rsidRDefault="00722974" w:rsidP="0072297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722974" w:rsidRPr="00722974" w:rsidRDefault="00722974" w:rsidP="0072297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722974">
        <w:rPr>
          <w:rFonts w:ascii="Times New Roman" w:hAnsi="Times New Roman"/>
          <w:b/>
          <w:noProof/>
          <w:sz w:val="20"/>
          <w:szCs w:val="20"/>
        </w:rPr>
        <w:t>Abstract</w:t>
      </w:r>
    </w:p>
    <w:p w:rsidR="00722974" w:rsidRPr="00722974" w:rsidRDefault="00722974" w:rsidP="00722974">
      <w:pPr>
        <w:pStyle w:val="NormalWeb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722974">
        <w:rPr>
          <w:sz w:val="20"/>
          <w:szCs w:val="20"/>
        </w:rPr>
        <w:t>Herbal health tea flavored with roasted rice germ was formulated using mixture design and response surface methodology (RSM). The ranges for dried bael fruit powder (</w:t>
      </w:r>
      <w:r w:rsidRPr="00722974">
        <w:rPr>
          <w:i/>
          <w:iCs/>
          <w:sz w:val="20"/>
          <w:szCs w:val="20"/>
        </w:rPr>
        <w:t>Aegle marmelos</w:t>
      </w:r>
      <w:r w:rsidRPr="00722974">
        <w:rPr>
          <w:sz w:val="20"/>
          <w:szCs w:val="20"/>
        </w:rPr>
        <w:t xml:space="preserve"> (L.) Correa), dried pandan (</w:t>
      </w:r>
      <w:r w:rsidRPr="00722974">
        <w:rPr>
          <w:i/>
          <w:iCs/>
          <w:sz w:val="20"/>
          <w:szCs w:val="20"/>
        </w:rPr>
        <w:t>Pandanus amaryllifolius</w:t>
      </w:r>
      <w:r w:rsidRPr="00722974">
        <w:rPr>
          <w:sz w:val="20"/>
          <w:szCs w:val="20"/>
        </w:rPr>
        <w:t xml:space="preserve">) leaf powder and roasted rice germ were 20 – 50%, 20 – 50% and 30 – 70%, respectively. At optimum condition, the herbal tea flavored with roasted rice germ consisted of </w:t>
      </w:r>
      <w:r w:rsidRPr="00722974">
        <w:rPr>
          <w:rFonts w:eastAsiaTheme="minorEastAsia" w:cs="Cordia New"/>
          <w:kern w:val="2"/>
          <w:sz w:val="20"/>
          <w:szCs w:val="20"/>
          <w:lang w:eastAsia="ko-KR"/>
        </w:rPr>
        <w:t>45.</w:t>
      </w:r>
      <w:r w:rsidRPr="00722974">
        <w:rPr>
          <w:rFonts w:eastAsiaTheme="minorEastAsia" w:cs="Cordia New"/>
          <w:kern w:val="2"/>
          <w:sz w:val="20"/>
          <w:szCs w:val="20"/>
          <w:lang w:eastAsia="ko-KR" w:bidi="th-TH"/>
        </w:rPr>
        <w:t>2</w:t>
      </w:r>
      <w:r w:rsidRPr="00722974">
        <w:rPr>
          <w:rFonts w:eastAsiaTheme="minorEastAsia" w:cs="Cordia New"/>
          <w:kern w:val="2"/>
          <w:sz w:val="20"/>
          <w:szCs w:val="20"/>
          <w:lang w:eastAsia="ko-KR"/>
        </w:rPr>
        <w:t>5</w:t>
      </w:r>
      <w:r w:rsidRPr="00722974">
        <w:rPr>
          <w:sz w:val="20"/>
          <w:szCs w:val="20"/>
        </w:rPr>
        <w:t xml:space="preserve">% of dried bael fruit powder, </w:t>
      </w:r>
      <w:r w:rsidRPr="00722974">
        <w:rPr>
          <w:rFonts w:eastAsiaTheme="minorEastAsia" w:cs="Cordia New"/>
          <w:kern w:val="2"/>
          <w:sz w:val="20"/>
          <w:szCs w:val="20"/>
          <w:lang w:eastAsia="ko-KR"/>
        </w:rPr>
        <w:t>21.68</w:t>
      </w:r>
      <w:r w:rsidRPr="00722974">
        <w:rPr>
          <w:sz w:val="20"/>
          <w:szCs w:val="20"/>
        </w:rPr>
        <w:t xml:space="preserve">% of dried pandan leaf powder and </w:t>
      </w:r>
      <w:r w:rsidRPr="00722974">
        <w:rPr>
          <w:rFonts w:eastAsiaTheme="minorEastAsia" w:cs="Cordia New"/>
          <w:kern w:val="2"/>
          <w:sz w:val="20"/>
          <w:szCs w:val="20"/>
          <w:lang w:eastAsia="ko-KR"/>
        </w:rPr>
        <w:t>33.07</w:t>
      </w:r>
      <w:r w:rsidRPr="00722974">
        <w:rPr>
          <w:sz w:val="20"/>
          <w:szCs w:val="20"/>
        </w:rPr>
        <w:t>% of roasted rice germ.</w:t>
      </w:r>
      <w:r w:rsidRPr="00722974">
        <w:rPr>
          <w:rFonts w:hint="cs"/>
          <w:sz w:val="20"/>
          <w:szCs w:val="20"/>
          <w:rtl/>
          <w:cs/>
        </w:rPr>
        <w:t xml:space="preserve"> </w:t>
      </w:r>
      <w:r w:rsidRPr="00722974">
        <w:rPr>
          <w:sz w:val="20"/>
          <w:szCs w:val="20"/>
        </w:rPr>
        <w:t>The product contained 4.22% moisture and 3.18% total ash. For antioxidant activity, it was found that herbal health tea had 69.03% DPPH scavenging activity and 75.16 mg</w:t>
      </w:r>
      <w:r w:rsidRPr="00722974">
        <w:rPr>
          <w:rFonts w:cs="Cordia New" w:hint="cs"/>
          <w:sz w:val="20"/>
          <w:szCs w:val="20"/>
          <w:cs/>
          <w:lang w:bidi="th-TH"/>
        </w:rPr>
        <w:t xml:space="preserve"> </w:t>
      </w:r>
      <w:r w:rsidRPr="00722974">
        <w:rPr>
          <w:sz w:val="20"/>
          <w:szCs w:val="20"/>
        </w:rPr>
        <w:t>GAE/g total phenolic content. Water activity of the product was 0.374. The aerobic plate count was less than 1×10</w:t>
      </w:r>
      <w:r w:rsidRPr="00722974">
        <w:rPr>
          <w:sz w:val="20"/>
          <w:szCs w:val="20"/>
          <w:vertAlign w:val="superscript"/>
        </w:rPr>
        <w:t>2</w:t>
      </w:r>
      <w:r w:rsidRPr="00722974">
        <w:rPr>
          <w:sz w:val="20"/>
          <w:szCs w:val="20"/>
        </w:rPr>
        <w:t xml:space="preserve"> CFU/g as well as yeast and mold were not found. Color with L*, a*, b* values and transmittance of brewed herbal tea were 60.11, -1.43, 14.10 and 75.87%, respectively with almost clear greenish-yellow appearance. Consumer acceptability test on 150 consumers indicated that the product was liked very much (Overall liking score = 7.6) with 99.3% of them accepted the product.</w:t>
      </w:r>
    </w:p>
    <w:p w:rsidR="00722974" w:rsidRPr="00722974" w:rsidRDefault="00722974" w:rsidP="00722974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722974" w:rsidRPr="00722974" w:rsidRDefault="00722974" w:rsidP="00722974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ja-JP"/>
        </w:rPr>
      </w:pPr>
      <w:r w:rsidRPr="00722974">
        <w:rPr>
          <w:rFonts w:ascii="Times New Roman" w:hAnsi="Times New Roman"/>
          <w:b/>
          <w:sz w:val="20"/>
          <w:szCs w:val="20"/>
        </w:rPr>
        <w:t>Keywords:</w:t>
      </w:r>
      <w:r w:rsidRPr="00722974">
        <w:rPr>
          <w:rFonts w:ascii="Times New Roman" w:hAnsi="Times New Roman"/>
          <w:sz w:val="20"/>
          <w:szCs w:val="20"/>
        </w:rPr>
        <w:t xml:space="preserve">  </w:t>
      </w:r>
      <w:r w:rsidRPr="00722974">
        <w:rPr>
          <w:rFonts w:ascii="Times New Roman" w:hAnsi="Times New Roman"/>
          <w:sz w:val="20"/>
          <w:szCs w:val="20"/>
          <w:lang w:eastAsia="ja-JP"/>
        </w:rPr>
        <w:t>herbal health tea, rice germ, mixture design, response surface methodology, antioxidant activity</w:t>
      </w:r>
    </w:p>
    <w:p w:rsidR="00722974" w:rsidRPr="00722974" w:rsidRDefault="00722974" w:rsidP="0072297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722974" w:rsidRPr="00722974" w:rsidRDefault="00722974" w:rsidP="0072297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722974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:rsidR="00722974" w:rsidRPr="00722974" w:rsidRDefault="00722974" w:rsidP="0072297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722974">
        <w:rPr>
          <w:rFonts w:ascii="Times New Roman" w:hAnsi="Times New Roman"/>
          <w:sz w:val="20"/>
          <w:szCs w:val="20"/>
          <w:lang w:val="ms-MY"/>
        </w:rPr>
        <w:t>Teh kesihatan herba yang ditanam dengan germa  beras panggang di formulasi dengan menggunakan kaedah gerak balas permukaan (RSM). Julat untuk serbuk buah bael kering (</w:t>
      </w:r>
      <w:r w:rsidRPr="00722974">
        <w:rPr>
          <w:rFonts w:ascii="Times New Roman" w:hAnsi="Times New Roman"/>
          <w:i/>
          <w:sz w:val="20"/>
          <w:szCs w:val="20"/>
          <w:lang w:val="ms-MY"/>
        </w:rPr>
        <w:t>Aegle marmelos</w:t>
      </w:r>
      <w:r w:rsidRPr="00722974">
        <w:rPr>
          <w:rFonts w:ascii="Times New Roman" w:hAnsi="Times New Roman"/>
          <w:sz w:val="20"/>
          <w:szCs w:val="20"/>
          <w:lang w:val="ms-MY"/>
        </w:rPr>
        <w:t xml:space="preserve"> (L.) Correa), serbuk daun pandan (</w:t>
      </w:r>
      <w:r w:rsidRPr="00722974">
        <w:rPr>
          <w:rFonts w:ascii="Times New Roman" w:hAnsi="Times New Roman"/>
          <w:i/>
          <w:sz w:val="20"/>
          <w:szCs w:val="20"/>
          <w:lang w:val="ms-MY"/>
        </w:rPr>
        <w:t>Pandanus amaryllifolius</w:t>
      </w:r>
      <w:r w:rsidRPr="00722974">
        <w:rPr>
          <w:rFonts w:ascii="Times New Roman" w:hAnsi="Times New Roman"/>
          <w:sz w:val="20"/>
          <w:szCs w:val="20"/>
          <w:lang w:val="ms-MY"/>
        </w:rPr>
        <w:t>) dan germa beras panggang, masing -masing adalah 20</w:t>
      </w:r>
      <w:r>
        <w:rPr>
          <w:rFonts w:ascii="Times New Roman" w:hAnsi="Times New Roman"/>
          <w:sz w:val="20"/>
          <w:szCs w:val="20"/>
          <w:lang w:val="ms-MY"/>
        </w:rPr>
        <w:t xml:space="preserve"> - 50%, 20 - 50% dan 30 - 70%. </w:t>
      </w:r>
      <w:r w:rsidRPr="00722974">
        <w:rPr>
          <w:rFonts w:ascii="Times New Roman" w:hAnsi="Times New Roman"/>
          <w:sz w:val="20"/>
          <w:szCs w:val="20"/>
          <w:lang w:val="ms-MY"/>
        </w:rPr>
        <w:t xml:space="preserve">Pada keadaan optimum, teh herba yang dibekalkan dengan germa beras panggang terdiri daripada 45.25% serbuk </w:t>
      </w:r>
      <w:r>
        <w:rPr>
          <w:rFonts w:ascii="Times New Roman" w:hAnsi="Times New Roman"/>
          <w:sz w:val="20"/>
          <w:szCs w:val="20"/>
          <w:lang w:val="ms-MY"/>
        </w:rPr>
        <w:t xml:space="preserve">buah bael </w:t>
      </w:r>
      <w:r w:rsidRPr="00722974">
        <w:rPr>
          <w:rFonts w:ascii="Times New Roman" w:hAnsi="Times New Roman"/>
          <w:sz w:val="20"/>
          <w:szCs w:val="20"/>
          <w:lang w:val="ms-MY"/>
        </w:rPr>
        <w:t>kering, 21.68% serbuk daun pandan kering dan 33.07% germa beras panggang. Produk in</w:t>
      </w:r>
      <w:r>
        <w:rPr>
          <w:rFonts w:ascii="Times New Roman" w:hAnsi="Times New Roman"/>
          <w:sz w:val="20"/>
          <w:szCs w:val="20"/>
          <w:lang w:val="ms-MY"/>
        </w:rPr>
        <w:t xml:space="preserve">i mengandungi kelembapan 4.22% </w:t>
      </w:r>
      <w:r w:rsidRPr="00722974">
        <w:rPr>
          <w:rFonts w:ascii="Times New Roman" w:hAnsi="Times New Roman"/>
          <w:sz w:val="20"/>
          <w:szCs w:val="20"/>
          <w:lang w:val="ms-MY"/>
        </w:rPr>
        <w:t>dan abu sebanyak 3.18%. Bagi aktiviti antioksidan, didapati teh kesihatan herba mempunyai aktiviti skaveng</w:t>
      </w:r>
      <w:r>
        <w:rPr>
          <w:rFonts w:ascii="Times New Roman" w:hAnsi="Times New Roman"/>
          <w:sz w:val="20"/>
          <w:szCs w:val="20"/>
          <w:lang w:val="ms-MY"/>
        </w:rPr>
        <w:t xml:space="preserve"> DPPH </w:t>
      </w:r>
      <w:r w:rsidRPr="00722974">
        <w:rPr>
          <w:rFonts w:ascii="Times New Roman" w:hAnsi="Times New Roman"/>
          <w:sz w:val="20"/>
          <w:szCs w:val="20"/>
          <w:lang w:val="ms-MY"/>
        </w:rPr>
        <w:t>sebanyak 69.03% dan kandungan fenolik sebanyak 75.16 mg GAE/g. Aktiviti air produk ialah</w:t>
      </w:r>
      <w:r>
        <w:rPr>
          <w:rFonts w:ascii="Times New Roman" w:hAnsi="Times New Roman"/>
          <w:sz w:val="20"/>
          <w:szCs w:val="20"/>
          <w:lang w:val="ms-MY"/>
        </w:rPr>
        <w:t xml:space="preserve"> 0.374. Perkiraan plat aerobik </w:t>
      </w:r>
      <w:r w:rsidRPr="00722974">
        <w:rPr>
          <w:rFonts w:ascii="Times New Roman" w:hAnsi="Times New Roman"/>
          <w:sz w:val="20"/>
          <w:szCs w:val="20"/>
          <w:lang w:val="ms-MY"/>
        </w:rPr>
        <w:t>kurang daripada 1 × 102 CFU/g serta</w:t>
      </w:r>
      <w:r>
        <w:rPr>
          <w:rFonts w:ascii="Times New Roman" w:hAnsi="Times New Roman"/>
          <w:sz w:val="20"/>
          <w:szCs w:val="20"/>
          <w:lang w:val="ms-MY"/>
        </w:rPr>
        <w:t xml:space="preserve"> ragi dan acuan tidak dijumpai. </w:t>
      </w:r>
      <w:r w:rsidRPr="00722974">
        <w:rPr>
          <w:rFonts w:ascii="Times New Roman" w:hAnsi="Times New Roman"/>
          <w:sz w:val="20"/>
          <w:szCs w:val="20"/>
          <w:lang w:val="ms-MY"/>
        </w:rPr>
        <w:t>Warna dengan nilai L*, a*, b* dan kepancaran</w:t>
      </w:r>
      <w:r>
        <w:rPr>
          <w:rFonts w:ascii="Times New Roman" w:hAnsi="Times New Roman"/>
          <w:sz w:val="20"/>
          <w:szCs w:val="20"/>
          <w:lang w:val="ms-MY"/>
        </w:rPr>
        <w:t xml:space="preserve"> teh </w:t>
      </w:r>
      <w:r w:rsidRPr="00722974">
        <w:rPr>
          <w:rFonts w:ascii="Times New Roman" w:hAnsi="Times New Roman"/>
          <w:sz w:val="20"/>
          <w:szCs w:val="20"/>
          <w:lang w:val="ms-MY"/>
        </w:rPr>
        <w:t xml:space="preserve">herba yang di bru masing-masing adalah 60.11, -1.43, 14.10 dan 75.87%, dengan penampilan kuning kehijauan yang jelas. Ujian penerimaan pelanggan pada 150 pengguna </w:t>
      </w:r>
      <w:r w:rsidRPr="00722974">
        <w:rPr>
          <w:rFonts w:ascii="Times New Roman" w:hAnsi="Times New Roman"/>
          <w:sz w:val="20"/>
          <w:szCs w:val="20"/>
          <w:lang w:val="ms-MY"/>
        </w:rPr>
        <w:lastRenderedPageBreak/>
        <w:t>menunjukkan bahawa produk itu sangat disu</w:t>
      </w:r>
      <w:r>
        <w:rPr>
          <w:rFonts w:ascii="Times New Roman" w:hAnsi="Times New Roman"/>
          <w:sz w:val="20"/>
          <w:szCs w:val="20"/>
          <w:lang w:val="ms-MY"/>
        </w:rPr>
        <w:t>kai (Keseluruhan skor suka = ​​</w:t>
      </w:r>
      <w:r w:rsidRPr="00722974">
        <w:rPr>
          <w:rFonts w:ascii="Times New Roman" w:hAnsi="Times New Roman"/>
          <w:sz w:val="20"/>
          <w:szCs w:val="20"/>
          <w:lang w:val="ms-MY"/>
        </w:rPr>
        <w:t xml:space="preserve">7.6) dengan 99.3% daripada mereka menerima produk tersebut. </w:t>
      </w:r>
    </w:p>
    <w:p w:rsidR="00722974" w:rsidRPr="00722974" w:rsidRDefault="00722974" w:rsidP="00722974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 w:eastAsia="ja-JP"/>
        </w:rPr>
      </w:pPr>
    </w:p>
    <w:p w:rsidR="001573E3" w:rsidRDefault="00722974" w:rsidP="00722974">
      <w:pPr>
        <w:spacing w:after="0" w:line="240" w:lineRule="auto"/>
        <w:ind w:left="1260" w:hanging="1260"/>
        <w:jc w:val="both"/>
        <w:rPr>
          <w:rFonts w:ascii="Times New Roman" w:hAnsi="Times New Roman"/>
          <w:sz w:val="20"/>
          <w:szCs w:val="20"/>
          <w:lang w:val="ms-MY" w:eastAsia="ja-JP"/>
        </w:rPr>
      </w:pPr>
      <w:r w:rsidRPr="00722974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722974">
        <w:rPr>
          <w:rFonts w:ascii="Times New Roman" w:hAnsi="Times New Roman"/>
          <w:sz w:val="20"/>
          <w:szCs w:val="20"/>
          <w:lang w:val="ms-MY" w:eastAsia="ja-JP"/>
        </w:rPr>
        <w:t xml:space="preserve">teh kesihatan herba, germa beras, rekaan campuran, </w:t>
      </w:r>
      <w:r w:rsidRPr="00722974">
        <w:rPr>
          <w:rFonts w:ascii="Times New Roman" w:hAnsi="Times New Roman"/>
          <w:sz w:val="20"/>
          <w:szCs w:val="20"/>
          <w:lang w:val="ms-MY"/>
        </w:rPr>
        <w:t>kaedah gerak balas permukaan</w:t>
      </w:r>
      <w:r w:rsidRPr="00722974">
        <w:rPr>
          <w:rFonts w:ascii="Times New Roman" w:hAnsi="Times New Roman"/>
          <w:sz w:val="20"/>
          <w:szCs w:val="20"/>
          <w:lang w:val="ms-MY" w:eastAsia="ja-JP"/>
        </w:rPr>
        <w:t>, aktiviti antioksidan</w:t>
      </w:r>
    </w:p>
    <w:p w:rsidR="00722974" w:rsidRDefault="00722974" w:rsidP="00722974">
      <w:pPr>
        <w:spacing w:after="0" w:line="240" w:lineRule="auto"/>
        <w:ind w:left="1260" w:hanging="1260"/>
        <w:jc w:val="both"/>
        <w:rPr>
          <w:rFonts w:ascii="Times New Roman" w:hAnsi="Times New Roman"/>
          <w:sz w:val="20"/>
          <w:szCs w:val="20"/>
        </w:rPr>
      </w:pPr>
    </w:p>
    <w:p w:rsidR="00722974" w:rsidRPr="00F447A7" w:rsidRDefault="00722974" w:rsidP="0072297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</w:rPr>
        <w:t xml:space="preserve">Craig, W. J. (1999). Health-promoting properties of common herbs. </w:t>
      </w:r>
      <w:r w:rsidRPr="00BF4252">
        <w:rPr>
          <w:rFonts w:ascii="Times New Roman" w:hAnsi="Times New Roman"/>
          <w:i/>
          <w:iCs/>
          <w:sz w:val="20"/>
          <w:szCs w:val="20"/>
        </w:rPr>
        <w:t>American Journal of Clinical Nutrition</w:t>
      </w:r>
      <w:r w:rsidRPr="00BF4252">
        <w:rPr>
          <w:rFonts w:ascii="Times New Roman" w:hAnsi="Times New Roman"/>
          <w:sz w:val="20"/>
          <w:szCs w:val="20"/>
        </w:rPr>
        <w:t>, 70 (suppl): 491S – 499S.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Lazar, M. A. (2004). East meets West: and herbal tea finds a receptor.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Journal of Clinical Investigation,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113(1): 23 – 25.</w:t>
      </w:r>
    </w:p>
    <w:p w:rsidR="00722974" w:rsidRPr="00FB4DDD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</w:rPr>
        <w:t xml:space="preserve">Naithani, V., Nair, S. and Kakkar, P. (2006). Decline in antioxidant capacity of Indian herbal teas during storage and its relation to phenolic content. </w:t>
      </w:r>
      <w:r w:rsidRPr="00BF4252">
        <w:rPr>
          <w:rFonts w:ascii="Times New Roman" w:hAnsi="Times New Roman"/>
          <w:i/>
          <w:iCs/>
          <w:sz w:val="20"/>
          <w:szCs w:val="20"/>
        </w:rPr>
        <w:t>Food Research International,</w:t>
      </w:r>
      <w:r w:rsidRPr="00BF4252">
        <w:rPr>
          <w:rFonts w:ascii="Times New Roman" w:hAnsi="Times New Roman"/>
          <w:sz w:val="20"/>
          <w:szCs w:val="20"/>
        </w:rPr>
        <w:t xml:space="preserve"> 39(2): 176 – 181. 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</w:rPr>
        <w:t xml:space="preserve">Aoshima, H., Hirata, S. and Ayabe, S. (2007). Antioxidative and anti-hydrogen peroxide activities of various herbal teas. </w:t>
      </w:r>
      <w:r w:rsidRPr="00BF4252">
        <w:rPr>
          <w:rFonts w:ascii="Times New Roman" w:hAnsi="Times New Roman"/>
          <w:i/>
          <w:iCs/>
          <w:sz w:val="20"/>
          <w:szCs w:val="20"/>
        </w:rPr>
        <w:t>Food Chemistry,</w:t>
      </w:r>
      <w:r w:rsidRPr="00BF4252">
        <w:rPr>
          <w:rFonts w:ascii="Times New Roman" w:hAnsi="Times New Roman"/>
          <w:sz w:val="20"/>
          <w:szCs w:val="20"/>
        </w:rPr>
        <w:t xml:space="preserve"> 103(2): 617 – 622.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</w:rPr>
        <w:t xml:space="preserve">Thomson, C. and Lutz, R. B. (2001). </w:t>
      </w:r>
      <w:r w:rsidRPr="00BF4252">
        <w:rPr>
          <w:rFonts w:ascii="Times New Roman" w:hAnsi="Times New Roman"/>
          <w:iCs/>
          <w:sz w:val="20"/>
          <w:szCs w:val="20"/>
        </w:rPr>
        <w:t>Herbs and botanical supplements: Principles and concepts, In:</w:t>
      </w:r>
      <w:r w:rsidRPr="00BF4252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BF4252">
        <w:rPr>
          <w:rFonts w:ascii="Times New Roman" w:hAnsi="Times New Roman"/>
          <w:sz w:val="20"/>
          <w:szCs w:val="20"/>
        </w:rPr>
        <w:t>Nutrition in the prevention and treatment of disease. Academic press: pp. 261 – 275.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Speiky, H., Rocco, C., Carrasco, C., Lissi, E. A. and Lopez-Alarcon, C. (2006). Antioxidant screening of medicinal herbal teas.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Phytotherapy Research,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20(6): 462 – 467.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Romm, A., Ganora, L., Hoffmann, D., Yarnell, E., Abascal, K. and Coven, M. (2010). </w:t>
      </w:r>
      <w:r w:rsidRPr="00BF4252">
        <w:rPr>
          <w:rFonts w:ascii="Times New Roman" w:hAnsi="Times New Roman"/>
          <w:iCs/>
          <w:sz w:val="20"/>
          <w:szCs w:val="20"/>
          <w:lang w:bidi="th-TH"/>
        </w:rPr>
        <w:t>Fundamental principles of herbal medicine.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</w:t>
      </w:r>
      <w:r w:rsidRPr="00BF4252">
        <w:rPr>
          <w:rFonts w:ascii="Times New Roman" w:hAnsi="Times New Roman"/>
          <w:iCs/>
          <w:sz w:val="20"/>
          <w:szCs w:val="20"/>
          <w:lang w:bidi="th-TH"/>
        </w:rPr>
        <w:t>In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: Romm, A., Hardy, M.L. and Mills, S. (Eds.) Botanical Medicine for Women’s health, Churchill Livingstone/Elsevier: pp. 24 – 74. 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Wachtel-Galor, S. and Benzie, I. F. F. (2011). </w:t>
      </w:r>
      <w:r w:rsidRPr="00BF4252">
        <w:rPr>
          <w:rFonts w:ascii="Times New Roman" w:hAnsi="Times New Roman"/>
          <w:iCs/>
          <w:sz w:val="20"/>
          <w:szCs w:val="20"/>
          <w:lang w:bidi="th-TH"/>
        </w:rPr>
        <w:t>Herbal medicine: An introduction to its history, usage, regulation, current trends, and research needs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. </w:t>
      </w:r>
      <w:r w:rsidRPr="00BF4252">
        <w:rPr>
          <w:rFonts w:ascii="Times New Roman" w:hAnsi="Times New Roman"/>
          <w:iCs/>
          <w:sz w:val="20"/>
          <w:szCs w:val="20"/>
          <w:lang w:bidi="th-TH"/>
        </w:rPr>
        <w:t>In</w:t>
      </w:r>
      <w:r w:rsidRPr="00BF4252">
        <w:rPr>
          <w:rFonts w:ascii="Times New Roman" w:hAnsi="Times New Roman"/>
          <w:sz w:val="20"/>
          <w:szCs w:val="20"/>
          <w:lang w:bidi="th-TH"/>
        </w:rPr>
        <w:t>: Benzie, I.F.F. and Wachtel-Galor, S. (Eds.) Herbal Medicine: Biomolecular and Clinical Aspect, CRC Press</w:t>
      </w:r>
      <w:r w:rsidRPr="00BF4252">
        <w:rPr>
          <w:rFonts w:ascii="Times New Roman" w:hAnsi="Times New Roman"/>
          <w:iCs/>
          <w:sz w:val="20"/>
          <w:szCs w:val="20"/>
          <w:lang w:bidi="th-TH"/>
        </w:rPr>
        <w:t xml:space="preserve">: 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pp. </w:t>
      </w:r>
      <w:r w:rsidRPr="00BF4252">
        <w:rPr>
          <w:rFonts w:ascii="Times New Roman" w:hAnsi="Times New Roman"/>
          <w:sz w:val="20"/>
          <w:szCs w:val="20"/>
          <w:cs/>
          <w:lang w:bidi="th-TH"/>
        </w:rPr>
        <w:t xml:space="preserve"> </w:t>
      </w:r>
      <w:r w:rsidRPr="00BF4252">
        <w:rPr>
          <w:rFonts w:ascii="Times New Roman" w:hAnsi="Times New Roman"/>
          <w:sz w:val="20"/>
          <w:szCs w:val="20"/>
          <w:lang w:bidi="th-TH"/>
        </w:rPr>
        <w:t>1 – 10.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Kim, I. H., Kim, C. J., You, J. M., Lee, K.W., Kim, C. T., Chung, S. H. and Tae, B.-S. (2002). Effect of roasting temperature and time on the chemical composition of rice germ Oil.  </w:t>
      </w:r>
      <w:hyperlink r:id="rId6" w:tooltip="Journal of the American Oil Chemists' Society" w:history="1">
        <w:r w:rsidRPr="00BF4252">
          <w:rPr>
            <w:rFonts w:ascii="Times New Roman" w:hAnsi="Times New Roman"/>
            <w:i/>
            <w:iCs/>
            <w:sz w:val="20"/>
            <w:szCs w:val="20"/>
            <w:lang w:bidi="th-TH"/>
          </w:rPr>
          <w:t>Journal of the American Oil Chemists' Society</w:t>
        </w:r>
      </w:hyperlink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,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79(5): 413 – 8. 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Mori, H., Kawabata, K., Yoshimi, N., Tanaka, T., Murakami, T., Okada, T. and Murai, H. (1999). Chemopreventive effects of ferulic acid on oral and rice germ on large bowel carcinogenesis.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Anticancer Research,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19(5A): 3775 – 3778.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Granato, D., Calado, V. M. A. and Jarvis, B. (2014). Observations on the use of statistical methods in food science and technology.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Food Research International,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55: 137 – 149. 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>Liu, C., Yu, J., Wang, J., Liu, Z. and Wang, Q. (2012). Application of response surface methodology to optimize supercritical carbon dioxide extraction of oil from rapeseed (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Brassica napus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L.).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International Journal of Food Science &amp; Technology,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47(6): 1115 – 1121. 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Thaipong, K., Boonprokob, U., Crosby, K., Zevallos, L. C. and Byme, H. D. (2006). Comparison of ABTS, DPPH, FRAP and ORAC assays for estimating antioxidant activity from guava extracts.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 xml:space="preserve">Journal of Food Composition and Analysis, 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19(6-7): 669 – 675. 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Matthus, B. (2002). Antioxidant activity of extracts obtained from residues of different oilseeds.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Journal of Agricultural of Food Chemistry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, 5(12): 3444 – 3452. 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Peryam, D. R. and Pilgrim, F. J. (1957). Hedonic scale method of measuring food preferences.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Journal of Food Science</w:t>
      </w:r>
      <w:r w:rsidRPr="00BF4252">
        <w:rPr>
          <w:rFonts w:ascii="Times New Roman" w:hAnsi="Times New Roman"/>
          <w:sz w:val="20"/>
          <w:szCs w:val="20"/>
          <w:lang w:bidi="th-TH"/>
        </w:rPr>
        <w:t>, 11(9): 9 – 14.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Resurrecction, A. V. A. (1998). </w:t>
      </w:r>
      <w:r w:rsidRPr="00BF4252">
        <w:rPr>
          <w:rFonts w:ascii="Times New Roman" w:hAnsi="Times New Roman"/>
          <w:iCs/>
          <w:sz w:val="20"/>
          <w:szCs w:val="20"/>
          <w:lang w:bidi="th-TH"/>
        </w:rPr>
        <w:t>Consumer sensory testing for product development</w:t>
      </w:r>
      <w:r w:rsidRPr="00BF4252">
        <w:rPr>
          <w:rFonts w:ascii="Times New Roman" w:hAnsi="Times New Roman"/>
          <w:sz w:val="20"/>
          <w:szCs w:val="20"/>
          <w:lang w:bidi="th-TH"/>
        </w:rPr>
        <w:t>. Aspen Publishers, Inc., Maryland.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Grosso, N. R. and Resurrecction, A. V. A. (2002). Prediction consumer acceptance rating of cracker-coated and roasted peanuts from descriptive analysis and hexanal measurements.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Journal of Food Science,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67(4): 1530 – 1537. 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AOAC (2000). </w:t>
      </w:r>
      <w:r w:rsidRPr="00BF4252">
        <w:rPr>
          <w:rFonts w:ascii="Times New Roman" w:hAnsi="Times New Roman"/>
          <w:iCs/>
          <w:sz w:val="20"/>
          <w:szCs w:val="20"/>
          <w:lang w:bidi="th-TH"/>
        </w:rPr>
        <w:t>Official method of analysis</w:t>
      </w:r>
      <w:r w:rsidRPr="00BF4252">
        <w:rPr>
          <w:rFonts w:ascii="Times New Roman" w:hAnsi="Times New Roman"/>
          <w:sz w:val="20"/>
          <w:szCs w:val="20"/>
          <w:lang w:bidi="th-TH"/>
        </w:rPr>
        <w:t>. 17</w:t>
      </w:r>
      <w:r w:rsidRPr="00BF4252">
        <w:rPr>
          <w:rFonts w:ascii="Times New Roman" w:hAnsi="Times New Roman"/>
          <w:sz w:val="20"/>
          <w:szCs w:val="20"/>
          <w:vertAlign w:val="superscript"/>
          <w:lang w:bidi="th-TH"/>
        </w:rPr>
        <w:t>th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edition. The Association of Official Analytical Chemistry, Arlington, Virginia. 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</w:rPr>
        <w:t xml:space="preserve">Bacteriological Analytical Manual (2001). Available Source from </w:t>
      </w:r>
      <w:r w:rsidRPr="00722974">
        <w:rPr>
          <w:rFonts w:ascii="Times New Roman" w:hAnsi="Times New Roman"/>
          <w:sz w:val="20"/>
          <w:szCs w:val="20"/>
        </w:rPr>
        <w:t>https://www.fda.gov/</w:t>
      </w:r>
      <w:r>
        <w:rPr>
          <w:rFonts w:ascii="Times New Roman" w:hAnsi="Times New Roman"/>
          <w:sz w:val="20"/>
          <w:szCs w:val="20"/>
        </w:rPr>
        <w:t xml:space="preserve"> </w:t>
      </w:r>
      <w:r w:rsidRPr="00BF4252">
        <w:rPr>
          <w:rFonts w:ascii="Times New Roman" w:hAnsi="Times New Roman"/>
          <w:sz w:val="20"/>
          <w:szCs w:val="20"/>
        </w:rPr>
        <w:t>Food/FoodScienceResearch/LaboratoryMethods/ucm2006949.htm. Access date October 12, 2017].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Joglekar, A. M. and May, A. T. (1987). Product excellence through design of experiments.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Cereal Food World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, </w:t>
      </w:r>
      <w:r w:rsidRPr="00BF4252">
        <w:rPr>
          <w:rFonts w:ascii="Times New Roman" w:hAnsi="Times New Roman"/>
          <w:sz w:val="20"/>
          <w:szCs w:val="20"/>
          <w:lang w:bidi="th-TH"/>
        </w:rPr>
        <w:lastRenderedPageBreak/>
        <w:t>32: 857 – 868.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Sara P., Michael H. G., Monica B., Francisca P. L. Francisco S. and Maria P. A. (2014). Modelling extraction of white tea polyphenols: the influence of temperature and ethanol concentration.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Antioxidants,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3(3): 684 – 699.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Pooja S. and Modi H. A. (2015). Comparative study of DPPH, ABTS and FRAP assays for determination of antioxidant activity.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International Journal of Research in Applied Science and Engineering Technology</w:t>
      </w:r>
      <w:r w:rsidRPr="00BF4252">
        <w:rPr>
          <w:rFonts w:ascii="Times New Roman" w:hAnsi="Times New Roman"/>
          <w:sz w:val="20"/>
          <w:szCs w:val="20"/>
          <w:lang w:bidi="th-TH"/>
        </w:rPr>
        <w:t>, 3(6): 636 – 641.</w:t>
      </w:r>
    </w:p>
    <w:p w:rsidR="00722974" w:rsidRPr="00BF4252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Owczarek L., Jasinska U., Osinska M. and Skapska S. (2004). Juices and beverages with a controlled phenolic content and antioxidant capacity.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Polish Journal of Food and Nutrition Sciences,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13(3): 261 – 268</w:t>
      </w:r>
      <w:r w:rsidRPr="00BF4252">
        <w:rPr>
          <w:rFonts w:ascii="Times New Roman" w:hAnsi="Times New Roman"/>
          <w:sz w:val="20"/>
          <w:szCs w:val="20"/>
        </w:rPr>
        <w:t>.</w:t>
      </w:r>
    </w:p>
    <w:p w:rsidR="00722974" w:rsidRPr="009B2C1C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>Soccol C. R., Lima I. F. P., Lindner J. D., Parada J. L. and Soccol V. T. (2012). Development of and innovative nutraceutical fermented beverage from herbal mate (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 xml:space="preserve">Ilex paraguariensis 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A. St.-Hil.) extract.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International Journal of Molecular Sciences,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 13(1): 788 – 800.</w:t>
      </w:r>
    </w:p>
    <w:p w:rsidR="00722974" w:rsidRPr="00722974" w:rsidRDefault="00722974" w:rsidP="0072297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BF4252">
        <w:rPr>
          <w:rFonts w:ascii="Times New Roman" w:hAnsi="Times New Roman"/>
          <w:sz w:val="20"/>
          <w:szCs w:val="20"/>
          <w:lang w:bidi="th-TH"/>
        </w:rPr>
        <w:t xml:space="preserve">Yeliz B. S., Ezgi A. D. and Nimetullah B. (2016). Mixture design: A review of recent applications in the food industry. </w:t>
      </w:r>
      <w:r w:rsidRPr="00BF4252">
        <w:rPr>
          <w:rFonts w:ascii="Times New Roman" w:hAnsi="Times New Roman"/>
          <w:i/>
          <w:iCs/>
          <w:sz w:val="20"/>
          <w:szCs w:val="20"/>
          <w:lang w:bidi="th-TH"/>
        </w:rPr>
        <w:t>Pamukkale University Journal of Engineering Sciences</w:t>
      </w:r>
      <w:r w:rsidRPr="00BF4252">
        <w:rPr>
          <w:rFonts w:ascii="Times New Roman" w:hAnsi="Times New Roman"/>
          <w:sz w:val="20"/>
          <w:szCs w:val="20"/>
          <w:lang w:bidi="th-TH"/>
        </w:rPr>
        <w:t xml:space="preserve">, 22(4): 297 – 304. </w:t>
      </w:r>
    </w:p>
    <w:sectPr w:rsidR="00722974" w:rsidRPr="00722974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2F3F08"/>
    <w:rsid w:val="00722974"/>
    <w:rsid w:val="00C7143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722974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7229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722974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722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journal/117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3</cp:revision>
  <dcterms:created xsi:type="dcterms:W3CDTF">2019-06-03T01:07:00Z</dcterms:created>
  <dcterms:modified xsi:type="dcterms:W3CDTF">2019-06-18T08:33:00Z</dcterms:modified>
</cp:coreProperties>
</file>