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53256" w:rsidRPr="00E3287E" w:rsidRDefault="0095325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953256" w:rsidRDefault="0095325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953256" w:rsidRPr="00E3287E" w:rsidRDefault="0095325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953256" w:rsidRDefault="0095325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B9303B" w:rsidRPr="0065337F" w:rsidRDefault="00B9303B" w:rsidP="00B9303B">
      <w:pPr>
        <w:spacing w:after="0" w:line="240" w:lineRule="auto"/>
        <w:jc w:val="center"/>
        <w:rPr>
          <w:rFonts w:ascii="Times New Roman" w:hAnsi="Times New Roman"/>
          <w:sz w:val="28"/>
          <w:szCs w:val="24"/>
        </w:rPr>
      </w:pPr>
      <w:r w:rsidRPr="0065337F">
        <w:rPr>
          <w:rFonts w:ascii="Times New Roman" w:hAnsi="Times New Roman"/>
          <w:sz w:val="28"/>
          <w:szCs w:val="24"/>
        </w:rPr>
        <w:t>MAGNETITE GRAPHENE FOR ELECTROCHEMICAL</w:t>
      </w:r>
      <w:r>
        <w:rPr>
          <w:rFonts w:ascii="Times New Roman" w:hAnsi="Times New Roman"/>
          <w:sz w:val="28"/>
          <w:szCs w:val="24"/>
        </w:rPr>
        <w:t xml:space="preserve"> </w:t>
      </w:r>
      <w:r w:rsidRPr="0065337F">
        <w:rPr>
          <w:rFonts w:ascii="Times New Roman" w:hAnsi="Times New Roman"/>
          <w:sz w:val="28"/>
          <w:szCs w:val="24"/>
        </w:rPr>
        <w:t>DETERMINATION OF URIC ACID</w:t>
      </w:r>
    </w:p>
    <w:p w:rsidR="00B9303B" w:rsidRPr="0065337F" w:rsidRDefault="00B9303B" w:rsidP="00B9303B">
      <w:pPr>
        <w:spacing w:after="0" w:line="240" w:lineRule="auto"/>
        <w:jc w:val="center"/>
        <w:rPr>
          <w:rFonts w:ascii="Times New Roman" w:hAnsi="Times New Roman"/>
          <w:sz w:val="24"/>
          <w:szCs w:val="24"/>
        </w:rPr>
      </w:pPr>
    </w:p>
    <w:p w:rsidR="00B9303B" w:rsidRPr="0065337F" w:rsidRDefault="00B9303B" w:rsidP="00B9303B">
      <w:pPr>
        <w:spacing w:after="0" w:line="240" w:lineRule="auto"/>
        <w:jc w:val="center"/>
        <w:rPr>
          <w:rFonts w:ascii="Times New Roman" w:hAnsi="Times New Roman"/>
          <w:sz w:val="24"/>
          <w:szCs w:val="24"/>
        </w:rPr>
      </w:pPr>
      <w:r w:rsidRPr="0065337F">
        <w:rPr>
          <w:rFonts w:ascii="Times New Roman" w:hAnsi="Times New Roman"/>
          <w:sz w:val="24"/>
          <w:szCs w:val="24"/>
        </w:rPr>
        <w:t>(Magnetit Grafin untuk Penentuan Elektrokimia Asid Urik)</w:t>
      </w:r>
    </w:p>
    <w:p w:rsidR="00B9303B" w:rsidRPr="0065337F" w:rsidRDefault="00B9303B" w:rsidP="00B9303B">
      <w:pPr>
        <w:spacing w:after="0" w:line="240" w:lineRule="auto"/>
        <w:jc w:val="center"/>
        <w:rPr>
          <w:rFonts w:ascii="Times New Roman" w:hAnsi="Times New Roman"/>
          <w:b/>
          <w:sz w:val="20"/>
          <w:szCs w:val="24"/>
        </w:rPr>
      </w:pPr>
    </w:p>
    <w:p w:rsidR="00B9303B" w:rsidRPr="00B9303B" w:rsidRDefault="00B9303B" w:rsidP="00B9303B">
      <w:pPr>
        <w:spacing w:after="0" w:line="240" w:lineRule="auto"/>
        <w:jc w:val="center"/>
        <w:rPr>
          <w:rFonts w:ascii="Times New Roman" w:hAnsi="Times New Roman"/>
          <w:sz w:val="20"/>
          <w:szCs w:val="24"/>
        </w:rPr>
      </w:pPr>
      <w:r w:rsidRPr="0065337F">
        <w:rPr>
          <w:rFonts w:ascii="Times New Roman" w:hAnsi="Times New Roman"/>
          <w:sz w:val="20"/>
          <w:szCs w:val="24"/>
        </w:rPr>
        <w:t>Yee Kin Weng, Azleen Rashidah Mohd Rosli, Farhanini Yusoff</w:t>
      </w:r>
      <w:r w:rsidRPr="00B9303B">
        <w:rPr>
          <w:rFonts w:ascii="Times New Roman" w:hAnsi="Times New Roman"/>
          <w:sz w:val="20"/>
          <w:szCs w:val="24"/>
        </w:rPr>
        <w:t>*</w:t>
      </w:r>
    </w:p>
    <w:p w:rsidR="00B9303B" w:rsidRPr="0065337F" w:rsidRDefault="00B9303B" w:rsidP="00B9303B">
      <w:pPr>
        <w:spacing w:after="0" w:line="240" w:lineRule="auto"/>
        <w:jc w:val="center"/>
        <w:rPr>
          <w:rFonts w:ascii="Times New Roman" w:hAnsi="Times New Roman"/>
          <w:sz w:val="18"/>
          <w:szCs w:val="24"/>
        </w:rPr>
      </w:pPr>
    </w:p>
    <w:p w:rsidR="00B9303B" w:rsidRPr="0065337F" w:rsidRDefault="00B9303B" w:rsidP="00B9303B">
      <w:pPr>
        <w:spacing w:after="0" w:line="240" w:lineRule="auto"/>
        <w:jc w:val="center"/>
        <w:rPr>
          <w:rFonts w:ascii="Times New Roman" w:hAnsi="Times New Roman"/>
          <w:i/>
          <w:sz w:val="18"/>
          <w:szCs w:val="24"/>
        </w:rPr>
      </w:pPr>
      <w:r w:rsidRPr="0065337F">
        <w:rPr>
          <w:rFonts w:ascii="Times New Roman" w:hAnsi="Times New Roman"/>
          <w:i/>
          <w:sz w:val="18"/>
          <w:szCs w:val="24"/>
        </w:rPr>
        <w:t>School of Marine and Environmental Sciences,</w:t>
      </w:r>
    </w:p>
    <w:p w:rsidR="00B9303B" w:rsidRPr="0065337F" w:rsidRDefault="00B9303B" w:rsidP="00B9303B">
      <w:pPr>
        <w:spacing w:after="0" w:line="240" w:lineRule="auto"/>
        <w:jc w:val="center"/>
        <w:rPr>
          <w:rFonts w:ascii="Times New Roman" w:hAnsi="Times New Roman"/>
          <w:i/>
          <w:sz w:val="18"/>
          <w:szCs w:val="24"/>
        </w:rPr>
      </w:pPr>
      <w:r w:rsidRPr="0065337F">
        <w:rPr>
          <w:rFonts w:ascii="Times New Roman" w:hAnsi="Times New Roman"/>
          <w:i/>
          <w:sz w:val="18"/>
          <w:szCs w:val="24"/>
        </w:rPr>
        <w:t>Universiti Malaysia Terengganu, 21030 Kuala Nerus, Terengganu, Malaysia</w:t>
      </w:r>
    </w:p>
    <w:p w:rsidR="00B9303B" w:rsidRPr="0065337F" w:rsidRDefault="00B9303B" w:rsidP="00B9303B">
      <w:pPr>
        <w:spacing w:after="0" w:line="240" w:lineRule="auto"/>
        <w:jc w:val="center"/>
        <w:rPr>
          <w:rFonts w:ascii="Times New Roman" w:hAnsi="Times New Roman"/>
          <w:sz w:val="18"/>
          <w:szCs w:val="24"/>
        </w:rPr>
      </w:pPr>
    </w:p>
    <w:p w:rsidR="00AC0033" w:rsidRDefault="00B9303B" w:rsidP="00AC0033">
      <w:pPr>
        <w:spacing w:after="0" w:line="240" w:lineRule="auto"/>
        <w:jc w:val="center"/>
        <w:rPr>
          <w:rFonts w:ascii="Times New Roman" w:hAnsi="Times New Roman"/>
          <w:i/>
          <w:sz w:val="18"/>
          <w:szCs w:val="24"/>
        </w:rPr>
      </w:pPr>
      <w:r w:rsidRPr="00B9303B">
        <w:rPr>
          <w:rFonts w:ascii="Times New Roman" w:hAnsi="Times New Roman"/>
          <w:i/>
          <w:sz w:val="18"/>
          <w:szCs w:val="24"/>
        </w:rPr>
        <w:t>*</w:t>
      </w:r>
      <w:r w:rsidRPr="0065337F">
        <w:rPr>
          <w:rFonts w:ascii="Times New Roman" w:hAnsi="Times New Roman"/>
          <w:i/>
          <w:sz w:val="18"/>
          <w:szCs w:val="24"/>
        </w:rPr>
        <w:t>Corresponding author:</w:t>
      </w:r>
      <w:r>
        <w:rPr>
          <w:rFonts w:ascii="Times New Roman" w:hAnsi="Times New Roman"/>
          <w:i/>
          <w:sz w:val="18"/>
          <w:szCs w:val="24"/>
        </w:rPr>
        <w:t xml:space="preserve"> </w:t>
      </w:r>
      <w:r w:rsidRPr="0065337F">
        <w:rPr>
          <w:rFonts w:ascii="Times New Roman" w:hAnsi="Times New Roman"/>
          <w:i/>
          <w:sz w:val="18"/>
          <w:szCs w:val="24"/>
        </w:rPr>
        <w:t xml:space="preserve"> </w:t>
      </w:r>
      <w:r w:rsidRPr="00B9303B">
        <w:rPr>
          <w:rFonts w:ascii="Times New Roman" w:hAnsi="Times New Roman"/>
          <w:i/>
          <w:sz w:val="18"/>
          <w:szCs w:val="24"/>
        </w:rPr>
        <w:t>farhanini@umt.edu.my</w:t>
      </w:r>
    </w:p>
    <w:p w:rsidR="00B9303B" w:rsidRPr="00B9303B" w:rsidRDefault="00B9303B" w:rsidP="00AC0033">
      <w:pPr>
        <w:spacing w:after="0" w:line="240" w:lineRule="auto"/>
        <w:jc w:val="center"/>
        <w:rPr>
          <w:rFonts w:ascii="Times New Roman" w:hAnsi="Times New Roman"/>
          <w:i/>
          <w:sz w:val="18"/>
          <w:szCs w:val="24"/>
        </w:rPr>
      </w:pPr>
    </w:p>
    <w:p w:rsidR="00AC0033"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B9303B">
        <w:rPr>
          <w:rFonts w:ascii="Times New Roman" w:hAnsi="Times New Roman"/>
          <w:noProof/>
          <w:sz w:val="18"/>
          <w:szCs w:val="18"/>
          <w:lang w:bidi="ar-SA"/>
        </w:rPr>
        <w:t>17 February 2019</w:t>
      </w:r>
      <w:r>
        <w:rPr>
          <w:rFonts w:ascii="Times New Roman" w:hAnsi="Times New Roman"/>
          <w:noProof/>
          <w:sz w:val="18"/>
          <w:szCs w:val="18"/>
          <w:lang w:bidi="ar-SA"/>
        </w:rPr>
        <w:t xml:space="preserve">; Accepted: </w:t>
      </w:r>
      <w:r w:rsidR="00B9303B">
        <w:rPr>
          <w:rFonts w:ascii="Times New Roman" w:hAnsi="Times New Roman"/>
          <w:noProof/>
          <w:sz w:val="18"/>
          <w:szCs w:val="18"/>
          <w:lang w:bidi="ar-SA"/>
        </w:rPr>
        <w:t>22 May 2019</w:t>
      </w:r>
    </w:p>
    <w:p w:rsidR="00AC0033"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B9303B" w:rsidRPr="0065337F" w:rsidRDefault="00B9303B" w:rsidP="00B9303B">
      <w:pPr>
        <w:spacing w:after="0" w:line="240" w:lineRule="auto"/>
        <w:jc w:val="both"/>
        <w:rPr>
          <w:rFonts w:ascii="Times New Roman" w:hAnsi="Times New Roman"/>
          <w:sz w:val="18"/>
          <w:szCs w:val="24"/>
        </w:rPr>
      </w:pPr>
      <w:r w:rsidRPr="0065337F">
        <w:rPr>
          <w:rFonts w:ascii="Times New Roman" w:hAnsi="Times New Roman"/>
          <w:sz w:val="18"/>
          <w:szCs w:val="24"/>
        </w:rPr>
        <w:t>In this work, the magnetite-reduced graphene oxide (Fe</w:t>
      </w:r>
      <w:r w:rsidRPr="0065337F">
        <w:rPr>
          <w:rFonts w:ascii="Times New Roman" w:hAnsi="Times New Roman"/>
          <w:sz w:val="18"/>
          <w:szCs w:val="24"/>
          <w:vertAlign w:val="subscript"/>
        </w:rPr>
        <w:t>3</w:t>
      </w:r>
      <w:r w:rsidRPr="0065337F">
        <w:rPr>
          <w:rFonts w:ascii="Times New Roman" w:hAnsi="Times New Roman"/>
          <w:sz w:val="18"/>
          <w:szCs w:val="24"/>
        </w:rPr>
        <w:t>O</w:t>
      </w:r>
      <w:r w:rsidRPr="0065337F">
        <w:rPr>
          <w:rFonts w:ascii="Times New Roman" w:hAnsi="Times New Roman"/>
          <w:sz w:val="18"/>
          <w:szCs w:val="24"/>
          <w:vertAlign w:val="subscript"/>
        </w:rPr>
        <w:t>4</w:t>
      </w:r>
      <w:r w:rsidRPr="0065337F">
        <w:rPr>
          <w:rFonts w:ascii="Times New Roman" w:hAnsi="Times New Roman"/>
          <w:sz w:val="18"/>
          <w:szCs w:val="24"/>
        </w:rPr>
        <w:t>/rGO) was fabricated for a selective voltammetric detection of uric acid. The magnetite-reduced graphene oxide is biocompatible sensing material that was synthesized through one-step reaction mechanism. The attachment of spherical like Fe</w:t>
      </w:r>
      <w:r w:rsidRPr="0065337F">
        <w:rPr>
          <w:rFonts w:ascii="Times New Roman" w:hAnsi="Times New Roman"/>
          <w:sz w:val="18"/>
          <w:szCs w:val="24"/>
        </w:rPr>
        <w:softHyphen/>
      </w:r>
      <w:r w:rsidRPr="0065337F">
        <w:rPr>
          <w:rFonts w:ascii="Times New Roman" w:hAnsi="Times New Roman"/>
          <w:sz w:val="18"/>
          <w:szCs w:val="24"/>
          <w:vertAlign w:val="subscript"/>
        </w:rPr>
        <w:t>3</w:t>
      </w:r>
      <w:r w:rsidRPr="0065337F">
        <w:rPr>
          <w:rFonts w:ascii="Times New Roman" w:hAnsi="Times New Roman"/>
          <w:sz w:val="18"/>
          <w:szCs w:val="24"/>
        </w:rPr>
        <w:t>O</w:t>
      </w:r>
      <w:r w:rsidRPr="0065337F">
        <w:rPr>
          <w:rFonts w:ascii="Times New Roman" w:hAnsi="Times New Roman"/>
          <w:sz w:val="18"/>
          <w:szCs w:val="24"/>
          <w:vertAlign w:val="subscript"/>
        </w:rPr>
        <w:t>4</w:t>
      </w:r>
      <w:r w:rsidRPr="0065337F">
        <w:rPr>
          <w:rFonts w:ascii="Times New Roman" w:hAnsi="Times New Roman"/>
          <w:sz w:val="18"/>
          <w:szCs w:val="24"/>
        </w:rPr>
        <w:t xml:space="preserve"> particle on the rGO sheet was characterized by Fourier Transform Infrared (FTIR), Ultraviolet-Visible Spectroscopy (UV-Vis) and Scanning Electron Microscopy (SEM). The electrochemical performance of the Fe</w:t>
      </w:r>
      <w:r w:rsidRPr="0065337F">
        <w:rPr>
          <w:rFonts w:ascii="Times New Roman" w:hAnsi="Times New Roman"/>
          <w:sz w:val="18"/>
          <w:szCs w:val="24"/>
          <w:vertAlign w:val="subscript"/>
        </w:rPr>
        <w:t>3</w:t>
      </w:r>
      <w:r w:rsidRPr="0065337F">
        <w:rPr>
          <w:rFonts w:ascii="Times New Roman" w:hAnsi="Times New Roman"/>
          <w:sz w:val="18"/>
          <w:szCs w:val="24"/>
        </w:rPr>
        <w:t>O</w:t>
      </w:r>
      <w:r w:rsidRPr="0065337F">
        <w:rPr>
          <w:rFonts w:ascii="Times New Roman" w:hAnsi="Times New Roman"/>
          <w:sz w:val="18"/>
          <w:szCs w:val="24"/>
          <w:vertAlign w:val="subscript"/>
        </w:rPr>
        <w:t>4</w:t>
      </w:r>
      <w:r w:rsidRPr="0065337F">
        <w:rPr>
          <w:rFonts w:ascii="Times New Roman" w:hAnsi="Times New Roman"/>
          <w:sz w:val="18"/>
          <w:szCs w:val="24"/>
        </w:rPr>
        <w:t>/rGO/GCE electrode were studied by Cyclic Voltammetry (CV) and Differential Pulse Voltammetry (DPV). The superparamagtism property of the Fe</w:t>
      </w:r>
      <w:r w:rsidRPr="0065337F">
        <w:rPr>
          <w:rFonts w:ascii="Times New Roman" w:hAnsi="Times New Roman"/>
          <w:sz w:val="18"/>
          <w:szCs w:val="24"/>
          <w:vertAlign w:val="subscript"/>
        </w:rPr>
        <w:t>3</w:t>
      </w:r>
      <w:r w:rsidRPr="0065337F">
        <w:rPr>
          <w:rFonts w:ascii="Times New Roman" w:hAnsi="Times New Roman"/>
          <w:sz w:val="18"/>
          <w:szCs w:val="24"/>
        </w:rPr>
        <w:t>O</w:t>
      </w:r>
      <w:r w:rsidRPr="0065337F">
        <w:rPr>
          <w:rFonts w:ascii="Times New Roman" w:hAnsi="Times New Roman"/>
          <w:sz w:val="18"/>
          <w:szCs w:val="24"/>
          <w:vertAlign w:val="subscript"/>
        </w:rPr>
        <w:t>4</w:t>
      </w:r>
      <w:r w:rsidRPr="0065337F">
        <w:rPr>
          <w:rFonts w:ascii="Times New Roman" w:hAnsi="Times New Roman"/>
          <w:sz w:val="18"/>
          <w:szCs w:val="24"/>
        </w:rPr>
        <w:t xml:space="preserve"> anchoring on the rGO sheet provides a conduction pathway for the analyte diffusion meanwhile promote the electron transfer kinetic between the electroactive species and electrode surface. The enhanced current response signal produced from the reduction-oxidation process by the electroactive species were optimized further in parameters of scan rate, concentration of uric acid and pH value of the supporting electrolyte. The observed DPV response displays a linearity relationship on uric acid concentration ranging from 4 μM to 100 μM with correlation coefficient 0.989 and a sensitivity of 0.08478 μA/μM. The detection limit and limit of quantitation were found to be 3.04 μM and 10.14 μM respectively. </w:t>
      </w:r>
    </w:p>
    <w:p w:rsidR="00B9303B" w:rsidRPr="0065337F" w:rsidRDefault="00B9303B" w:rsidP="00B9303B">
      <w:pPr>
        <w:spacing w:after="0" w:line="240" w:lineRule="auto"/>
        <w:jc w:val="both"/>
        <w:rPr>
          <w:rFonts w:ascii="Times New Roman" w:hAnsi="Times New Roman"/>
          <w:sz w:val="18"/>
          <w:szCs w:val="24"/>
        </w:rPr>
      </w:pPr>
    </w:p>
    <w:p w:rsidR="00B9303B" w:rsidRPr="0065337F" w:rsidRDefault="00B9303B" w:rsidP="00B9303B">
      <w:pPr>
        <w:spacing w:after="0" w:line="240" w:lineRule="auto"/>
        <w:jc w:val="both"/>
        <w:rPr>
          <w:rFonts w:ascii="Times New Roman" w:hAnsi="Times New Roman"/>
          <w:sz w:val="18"/>
          <w:szCs w:val="24"/>
        </w:rPr>
      </w:pPr>
      <w:r w:rsidRPr="0065337F">
        <w:rPr>
          <w:rFonts w:ascii="Times New Roman" w:hAnsi="Times New Roman"/>
          <w:b/>
          <w:sz w:val="18"/>
          <w:szCs w:val="24"/>
        </w:rPr>
        <w:t>Keywords:</w:t>
      </w:r>
      <w:r w:rsidRPr="0065337F">
        <w:rPr>
          <w:rFonts w:ascii="Times New Roman" w:hAnsi="Times New Roman"/>
          <w:sz w:val="18"/>
          <w:szCs w:val="24"/>
        </w:rPr>
        <w:t xml:space="preserve"> </w:t>
      </w:r>
      <w:r>
        <w:rPr>
          <w:rFonts w:ascii="Times New Roman" w:hAnsi="Times New Roman"/>
          <w:sz w:val="18"/>
          <w:szCs w:val="24"/>
        </w:rPr>
        <w:t xml:space="preserve"> </w:t>
      </w:r>
      <w:r w:rsidRPr="0065337F">
        <w:rPr>
          <w:rFonts w:ascii="Times New Roman" w:hAnsi="Times New Roman"/>
          <w:sz w:val="18"/>
          <w:szCs w:val="24"/>
        </w:rPr>
        <w:t>magnetite, reduced graphene oxide, uric acid, electrochemical sensor</w:t>
      </w:r>
    </w:p>
    <w:p w:rsidR="00B9303B" w:rsidRPr="0065337F" w:rsidRDefault="00B9303B" w:rsidP="00B9303B">
      <w:pPr>
        <w:spacing w:after="0" w:line="240" w:lineRule="auto"/>
        <w:jc w:val="center"/>
        <w:rPr>
          <w:rFonts w:ascii="Times New Roman" w:hAnsi="Times New Roman"/>
          <w:sz w:val="18"/>
          <w:szCs w:val="24"/>
        </w:rPr>
      </w:pPr>
    </w:p>
    <w:p w:rsidR="00B9303B" w:rsidRPr="0065337F" w:rsidRDefault="00B9303B" w:rsidP="00B9303B">
      <w:pPr>
        <w:spacing w:after="0" w:line="240" w:lineRule="auto"/>
        <w:jc w:val="center"/>
        <w:rPr>
          <w:rFonts w:ascii="Times New Roman" w:hAnsi="Times New Roman"/>
          <w:b/>
          <w:sz w:val="18"/>
          <w:szCs w:val="24"/>
        </w:rPr>
      </w:pPr>
      <w:r w:rsidRPr="0065337F">
        <w:rPr>
          <w:rFonts w:ascii="Times New Roman" w:hAnsi="Times New Roman"/>
          <w:b/>
          <w:sz w:val="18"/>
          <w:szCs w:val="24"/>
        </w:rPr>
        <w:t>Abstrak</w:t>
      </w:r>
    </w:p>
    <w:p w:rsidR="00B9303B" w:rsidRPr="0065337F" w:rsidRDefault="00B9303B" w:rsidP="00B9303B">
      <w:pPr>
        <w:spacing w:after="0" w:line="240" w:lineRule="auto"/>
        <w:jc w:val="both"/>
        <w:rPr>
          <w:rFonts w:ascii="Times New Roman" w:hAnsi="Times New Roman"/>
          <w:sz w:val="18"/>
          <w:szCs w:val="24"/>
        </w:rPr>
      </w:pPr>
      <w:r w:rsidRPr="0065337F">
        <w:rPr>
          <w:rFonts w:ascii="Times New Roman" w:hAnsi="Times New Roman"/>
          <w:sz w:val="18"/>
          <w:szCs w:val="24"/>
        </w:rPr>
        <w:t>Dalam hasil kerja ini, magnetit-grafin oksida terturun (Fe</w:t>
      </w:r>
      <w:r w:rsidRPr="0065337F">
        <w:rPr>
          <w:rFonts w:ascii="Times New Roman" w:hAnsi="Times New Roman"/>
          <w:sz w:val="18"/>
          <w:szCs w:val="24"/>
          <w:vertAlign w:val="subscript"/>
        </w:rPr>
        <w:t>3</w:t>
      </w:r>
      <w:r w:rsidRPr="0065337F">
        <w:rPr>
          <w:rFonts w:ascii="Times New Roman" w:hAnsi="Times New Roman"/>
          <w:sz w:val="18"/>
          <w:szCs w:val="24"/>
        </w:rPr>
        <w:t>O</w:t>
      </w:r>
      <w:r w:rsidRPr="0065337F">
        <w:rPr>
          <w:rFonts w:ascii="Times New Roman" w:hAnsi="Times New Roman"/>
          <w:sz w:val="18"/>
          <w:szCs w:val="24"/>
          <w:vertAlign w:val="subscript"/>
        </w:rPr>
        <w:t>4</w:t>
      </w:r>
      <w:r w:rsidRPr="0065337F">
        <w:rPr>
          <w:rFonts w:ascii="Times New Roman" w:hAnsi="Times New Roman"/>
          <w:sz w:val="18"/>
          <w:szCs w:val="24"/>
        </w:rPr>
        <w:t>/rGO) telah difabrikasikan untuk tujuan pengesanan voltametrik terpilih bagi asid urik. Magnetit-grafin oksida terturun merupakan bahan sensor bioserasi yang telah disintesis melalui mekanisma tindak balas satu langkah. Pelekatan zarah sfera Fe</w:t>
      </w:r>
      <w:r w:rsidRPr="0065337F">
        <w:rPr>
          <w:rFonts w:ascii="Times New Roman" w:hAnsi="Times New Roman"/>
          <w:sz w:val="18"/>
          <w:szCs w:val="24"/>
        </w:rPr>
        <w:softHyphen/>
      </w:r>
      <w:r w:rsidRPr="0065337F">
        <w:rPr>
          <w:rFonts w:ascii="Times New Roman" w:hAnsi="Times New Roman"/>
          <w:sz w:val="18"/>
          <w:szCs w:val="24"/>
          <w:vertAlign w:val="subscript"/>
        </w:rPr>
        <w:t>3</w:t>
      </w:r>
      <w:r w:rsidRPr="0065337F">
        <w:rPr>
          <w:rFonts w:ascii="Times New Roman" w:hAnsi="Times New Roman"/>
          <w:sz w:val="18"/>
          <w:szCs w:val="24"/>
        </w:rPr>
        <w:t>O</w:t>
      </w:r>
      <w:r w:rsidRPr="0065337F">
        <w:rPr>
          <w:rFonts w:ascii="Times New Roman" w:hAnsi="Times New Roman"/>
          <w:sz w:val="18"/>
          <w:szCs w:val="24"/>
          <w:vertAlign w:val="subscript"/>
        </w:rPr>
        <w:t xml:space="preserve">4 </w:t>
      </w:r>
      <w:r w:rsidRPr="0065337F">
        <w:rPr>
          <w:rFonts w:ascii="Times New Roman" w:hAnsi="Times New Roman"/>
          <w:sz w:val="18"/>
          <w:szCs w:val="24"/>
        </w:rPr>
        <w:t>pada lembaran rGO telah dicirikan menggunakan Inframerah Transformasi Fourier (FTIR), Spekt</w:t>
      </w:r>
      <w:r w:rsidR="009A066C">
        <w:rPr>
          <w:rFonts w:ascii="Times New Roman" w:hAnsi="Times New Roman"/>
          <w:sz w:val="18"/>
          <w:szCs w:val="24"/>
        </w:rPr>
        <w:t>r</w:t>
      </w:r>
      <w:r w:rsidRPr="0065337F">
        <w:rPr>
          <w:rFonts w:ascii="Times New Roman" w:hAnsi="Times New Roman"/>
          <w:sz w:val="18"/>
          <w:szCs w:val="24"/>
        </w:rPr>
        <w:t>oskopi Sinar Ultra Lembayung Terlihat (UV-Vis), dan Mikroskop Imbasan Elektron (SEM). Prestasi elektrokimia  elektrod Fe</w:t>
      </w:r>
      <w:r w:rsidRPr="0065337F">
        <w:rPr>
          <w:rFonts w:ascii="Times New Roman" w:hAnsi="Times New Roman"/>
          <w:sz w:val="18"/>
          <w:szCs w:val="24"/>
          <w:vertAlign w:val="subscript"/>
        </w:rPr>
        <w:t>3</w:t>
      </w:r>
      <w:r w:rsidRPr="0065337F">
        <w:rPr>
          <w:rFonts w:ascii="Times New Roman" w:hAnsi="Times New Roman"/>
          <w:sz w:val="18"/>
          <w:szCs w:val="24"/>
        </w:rPr>
        <w:t>O</w:t>
      </w:r>
      <w:r w:rsidRPr="0065337F">
        <w:rPr>
          <w:rFonts w:ascii="Times New Roman" w:hAnsi="Times New Roman"/>
          <w:sz w:val="18"/>
          <w:szCs w:val="24"/>
          <w:vertAlign w:val="subscript"/>
        </w:rPr>
        <w:t>4</w:t>
      </w:r>
      <w:r w:rsidRPr="0065337F">
        <w:rPr>
          <w:rFonts w:ascii="Times New Roman" w:hAnsi="Times New Roman"/>
          <w:sz w:val="18"/>
          <w:szCs w:val="24"/>
        </w:rPr>
        <w:t>/rGO/GCE telah dikaji menggunakan kaedah Voltametri Berkitar (CV) dan Voltammetri Pembezaan Denyutan (DPV). Ciri-ciri superparamagnetisma Fe</w:t>
      </w:r>
      <w:r w:rsidRPr="0065337F">
        <w:rPr>
          <w:rFonts w:ascii="Times New Roman" w:hAnsi="Times New Roman"/>
          <w:sz w:val="18"/>
          <w:szCs w:val="24"/>
          <w:vertAlign w:val="subscript"/>
        </w:rPr>
        <w:t>3</w:t>
      </w:r>
      <w:r w:rsidRPr="0065337F">
        <w:rPr>
          <w:rFonts w:ascii="Times New Roman" w:hAnsi="Times New Roman"/>
          <w:sz w:val="18"/>
          <w:szCs w:val="24"/>
        </w:rPr>
        <w:t>O</w:t>
      </w:r>
      <w:r w:rsidRPr="0065337F">
        <w:rPr>
          <w:rFonts w:ascii="Times New Roman" w:hAnsi="Times New Roman"/>
          <w:sz w:val="18"/>
          <w:szCs w:val="24"/>
          <w:vertAlign w:val="subscript"/>
        </w:rPr>
        <w:t>4</w:t>
      </w:r>
      <w:r w:rsidRPr="0065337F">
        <w:rPr>
          <w:rFonts w:ascii="Times New Roman" w:hAnsi="Times New Roman"/>
          <w:sz w:val="18"/>
          <w:szCs w:val="24"/>
        </w:rPr>
        <w:t xml:space="preserve"> yang terlekat di atas lembaran rGO menyediakan laluan konduktif untuk penyerapan analit dan juga meningkatkan kinetik pemindahan elektron di antara spesies elektroaktif dan permukaan elektrod. Peningkatan isyarat tindakbalas arus yang dihasilkan dari proses pengoksidaan dan pengurangan oleh spesies elektroaktif telah dioptimumkan lebih lanjut didalam pengoptimuman kadar imbasan, kepekatan asid urik dan nilai pH elektrolit sokongan. DPV yang telah diperhatikan menunjukkan hubungan linear di antara kepekatan asid urik antara 4 μM sehingga 100 μM berserta pekali kolerasi 0.989 dan sensitivity 0.08478 µA/µM. Had pengesanan dan had kuantifikasi masing-masing adalah 3.04 µM dan 10.14 µM.</w:t>
      </w:r>
    </w:p>
    <w:p w:rsidR="00B9303B" w:rsidRPr="0065337F" w:rsidRDefault="00B9303B" w:rsidP="00B9303B">
      <w:pPr>
        <w:spacing w:after="0" w:line="240" w:lineRule="auto"/>
        <w:jc w:val="both"/>
        <w:rPr>
          <w:rFonts w:ascii="Times New Roman" w:hAnsi="Times New Roman"/>
          <w:sz w:val="18"/>
          <w:szCs w:val="24"/>
        </w:rPr>
      </w:pPr>
    </w:p>
    <w:p w:rsidR="00B9303B" w:rsidRPr="0065337F" w:rsidRDefault="00B9303B" w:rsidP="00B9303B">
      <w:pPr>
        <w:spacing w:after="0" w:line="240" w:lineRule="auto"/>
        <w:jc w:val="both"/>
        <w:rPr>
          <w:rFonts w:ascii="Times New Roman" w:hAnsi="Times New Roman"/>
          <w:sz w:val="18"/>
          <w:szCs w:val="24"/>
        </w:rPr>
      </w:pPr>
      <w:r w:rsidRPr="0065337F">
        <w:rPr>
          <w:rFonts w:ascii="Times New Roman" w:hAnsi="Times New Roman"/>
          <w:b/>
          <w:sz w:val="18"/>
          <w:szCs w:val="24"/>
        </w:rPr>
        <w:t xml:space="preserve">Kata kunci: </w:t>
      </w:r>
      <w:r>
        <w:rPr>
          <w:rFonts w:ascii="Times New Roman" w:hAnsi="Times New Roman"/>
          <w:b/>
          <w:sz w:val="18"/>
          <w:szCs w:val="24"/>
        </w:rPr>
        <w:t xml:space="preserve"> </w:t>
      </w:r>
      <w:r w:rsidRPr="0065337F">
        <w:rPr>
          <w:rFonts w:ascii="Times New Roman" w:hAnsi="Times New Roman"/>
          <w:sz w:val="18"/>
          <w:szCs w:val="24"/>
        </w:rPr>
        <w:t>magnetit, grafin oksida terturun, asid urik, sensor elektrokimia</w:t>
      </w:r>
    </w:p>
    <w:p w:rsidR="00AC0033" w:rsidRDefault="00AC0033" w:rsidP="00B9303B">
      <w:pPr>
        <w:spacing w:after="0" w:line="240" w:lineRule="auto"/>
        <w:jc w:val="center"/>
        <w:rPr>
          <w:rFonts w:ascii="Times New Roman" w:hAnsi="Times New Roman"/>
          <w:noProof/>
          <w:sz w:val="20"/>
          <w:szCs w:val="20"/>
          <w:lang w:bidi="ar-SA"/>
        </w:rPr>
      </w:pPr>
    </w:p>
    <w:p w:rsidR="00AC0033" w:rsidRDefault="00AC0033" w:rsidP="00AC0033">
      <w:pPr>
        <w:spacing w:after="0" w:line="240" w:lineRule="auto"/>
        <w:jc w:val="center"/>
        <w:rPr>
          <w:rFonts w:ascii="Times New Roman" w:hAnsi="Times New Roman"/>
          <w:noProof/>
          <w:sz w:val="20"/>
          <w:szCs w:val="20"/>
          <w:lang w:bidi="ar-SA"/>
        </w:rPr>
      </w:pPr>
    </w:p>
    <w:p w:rsidR="006C5FBD" w:rsidRDefault="006C5FBD" w:rsidP="00AC0033">
      <w:pPr>
        <w:spacing w:after="0" w:line="240" w:lineRule="auto"/>
        <w:jc w:val="center"/>
        <w:rPr>
          <w:rFonts w:ascii="Times New Roman" w:hAnsi="Times New Roman"/>
          <w:noProof/>
          <w:sz w:val="20"/>
          <w:szCs w:val="20"/>
          <w:lang w:bidi="ar-SA"/>
        </w:rPr>
      </w:pPr>
    </w:p>
    <w:p w:rsidR="006C5FBD" w:rsidRPr="00BE7C30" w:rsidRDefault="006C5FBD"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6C5FBD" w:rsidRDefault="006C5FBD" w:rsidP="006C5FBD">
      <w:pPr>
        <w:spacing w:after="0" w:line="240" w:lineRule="auto"/>
        <w:jc w:val="both"/>
        <w:rPr>
          <w:rFonts w:ascii="Times New Roman" w:hAnsi="Times New Roman"/>
          <w:sz w:val="20"/>
          <w:szCs w:val="24"/>
        </w:rPr>
      </w:pPr>
      <w:r w:rsidRPr="006C5FBD">
        <w:rPr>
          <w:rFonts w:ascii="Times New Roman" w:hAnsi="Times New Roman"/>
          <w:sz w:val="20"/>
          <w:szCs w:val="24"/>
        </w:rPr>
        <w:t xml:space="preserve">Uric acid (UA) is a biomolecule compound that plays significant role in regulate the homeostasis and metabolism system of the human body.  The relative concentration of the UA varies dependently on tissue sites, which may accumulate temporarily or localized for extended period </w:t>
      </w:r>
      <w:r w:rsidRPr="006C5FBD">
        <w:rPr>
          <w:rFonts w:ascii="Times New Roman" w:hAnsi="Times New Roman"/>
          <w:sz w:val="20"/>
          <w:szCs w:val="24"/>
        </w:rPr>
        <w:fldChar w:fldCharType="begin" w:fldLock="1"/>
      </w:r>
      <w:r w:rsidRPr="006C5FBD">
        <w:rPr>
          <w:rFonts w:ascii="Times New Roman" w:hAnsi="Times New Roman"/>
          <w:sz w:val="20"/>
          <w:szCs w:val="24"/>
        </w:rPr>
        <w:instrText>ADDIN CSL_CITATION {"citationItems":[{"id":"ITEM-1","itemData":{"DOI":"10.1039/c4ra03148b","ISBN":"2046-2069","ISSN":"20462069","abstract":"A facile and cost-effective approach has been developed towards electrochemical fabrication of a reduced graphene oxide (RGO) modified glassy carbon electrode (RGO/GCE). Scanning electron microscopy (SEM) images show that RGO is covered completely on the surface of glassy carbon electrodes. The RGO/GCE is used to detect dopamine (DA), uric acid (UA) and ascorbic acid (AA) simultaneously via cyclic voltammetry (CV) and differential pulse voltammetry (DPV) methods. Compared with bare GCE, RGO/GCE exhibits much high electrocatalytic activities toward the oxidation of DA, UA and AA, and three well-defined fully resolved anodic peaks were found in the CV curve at RGO/GCE. The GCEs modified with different amounts of RGO have an obvious influence on the determination of DA, UA and AA. By changing the concentrations of DA, UA and AA in the three substances coexisting system, the linear response ranges for the determination of DA, UA and AA were 0.1-400 [small mu ]M, 2-600 [small mu ]M, and 0.7-100 [small mu ]M with the limit of detection (LOD) (S/N = 3) were estimated to be 0.1 [small mu ]M, 1 [small mu ]M and 0.7 [small mu ]M, respectively. Moreover, it is found that RGO/GCE displays high reproducibility and selectivity for the determination of DA, UA and AA.","author":[{"dropping-particle":"","family":"Wang","given":"Huiwen","non-dropping-particle":"","parse-names":false,"suffix":""},{"dropping-particle":"","family":"Ren","given":"Fangfang","non-dropping-particle":"","parse-names":false,"suffix":""},{"dropping-particle":"","family":"Wang","given":"Caiqin","non-dropping-particle":"","parse-names":false,"suffix":""},{"dropping-particle":"","family":"Yang","given":"Beibei","non-dropping-particle":"","parse-names":false,"suffix":""},{"dropping-particle":"","family":"Bin","given":"Duan","non-dropping-particle":"","parse-names":false,"suffix":""},{"dropping-particle":"","family":"Zhang","given":"Ke","non-dropping-particle":"","parse-names":false,"suffix":""},{"dropping-particle":"","family":"Du","given":"Yukou","non-dropping-particle":"","parse-names":false,"suffix":""}],"container-title":"RSC Advances","id":"ITEM-1","issue":"51","issued":{"date-parts":[["2014"]]},"page":"26895-26901","title":"Simultaneous determination of dopamine, uric acid and ascorbic acid using a glassy carbon electrode modified with reduced graphene oxide","type":"article-journal","volume":"4"},"uris":["http://www.mendeley.com/documents/?uuid=c9d33ad5-37ec-4b52-913d-b80d364f7b99","http://www.mendeley.com/documents/?uuid=14f57793-1d1a-4ab4-8926-8d4f2175d96a"]}],"mendeley":{"formattedCitation":"[1]","plainTextFormattedCitation":"[1]","previouslyFormattedCitation":"[1]"},"properties":{"noteIndex":0},"schema":"https://github.com/citation-style-language/schema/raw/master/csl-citation.json"}</w:instrText>
      </w:r>
      <w:r w:rsidRPr="006C5FBD">
        <w:rPr>
          <w:rFonts w:ascii="Times New Roman" w:hAnsi="Times New Roman"/>
          <w:sz w:val="20"/>
          <w:szCs w:val="24"/>
        </w:rPr>
        <w:fldChar w:fldCharType="separate"/>
      </w:r>
      <w:r w:rsidRPr="006C5FBD">
        <w:rPr>
          <w:rFonts w:ascii="Times New Roman" w:hAnsi="Times New Roman"/>
          <w:noProof/>
          <w:sz w:val="20"/>
          <w:szCs w:val="24"/>
        </w:rPr>
        <w:t>[1]</w:t>
      </w:r>
      <w:r w:rsidRPr="006C5FBD">
        <w:rPr>
          <w:rFonts w:ascii="Times New Roman" w:hAnsi="Times New Roman"/>
          <w:sz w:val="20"/>
          <w:szCs w:val="24"/>
        </w:rPr>
        <w:fldChar w:fldCharType="end"/>
      </w:r>
      <w:r w:rsidRPr="006C5FBD">
        <w:rPr>
          <w:rFonts w:ascii="Times New Roman" w:hAnsi="Times New Roman"/>
          <w:sz w:val="20"/>
          <w:szCs w:val="24"/>
        </w:rPr>
        <w:t xml:space="preserve">. The UA that is sparingly water-soluble biochemical compound can be determined in the blood serum and excretion waste of the mammalian in the forms of urine. The clinical screening assessment for the uric acid serve as the fundamental tool in understanding various clinical conflicts that link to the uric acid level in human body. The abnormal amount of uric acid may potentially associated with diseases in term of chronic and acute that hold the risk of fatality </w:t>
      </w:r>
      <w:r w:rsidRPr="006C5FBD">
        <w:rPr>
          <w:rFonts w:ascii="Times New Roman" w:hAnsi="Times New Roman"/>
          <w:sz w:val="20"/>
          <w:szCs w:val="24"/>
        </w:rPr>
        <w:fldChar w:fldCharType="begin" w:fldLock="1"/>
      </w:r>
      <w:r w:rsidRPr="006C5FBD">
        <w:rPr>
          <w:rFonts w:ascii="Times New Roman" w:hAnsi="Times New Roman"/>
          <w:sz w:val="20"/>
          <w:szCs w:val="24"/>
        </w:rPr>
        <w:instrText>ADDIN CSL_CITATION {"citationItems":[{"id":"ITEM-1","itemData":{"DOI":"10.1172/JCI42344.dietary","ISBN":"0021-9738","ISSN":"0021-9738","PMID":"20516647","abstract":"Uric acid is the metabolic end product of purine metabolism in humans. It has antioxidant properties that may be protective but can also be pro-oxidant, depending on its chemical microenvironment. Hyperuricemia predisposes to disease through the formation of urate crystals that cause gout, but hyperuricemia, independent of crystal formation, has also been linked with hypertension, atherosclerosis, insulin resistance, and diabetes. We discuss here the biology of urate metabolism and its role in disease. We also cover the genetics of urate transport, including URAT1, and recent studies identifying SLC2A9, which encodes the glucose transporter family isoform Glut9, as a major determinant of plasma uric acid levels and of gout development.","author":[{"dropping-particle":"","family":"So","given":"Alexander","non-dropping-particle":"","parse-names":false,"suffix":""},{"dropping-particle":"","family":"Thorens","given":"Bernard","non-dropping-particle":"","parse-names":false,"suffix":""}],"container-title":"The Journal of clinical investigation","id":"ITEM-1","issue":"6","issued":{"date-parts":[["2010"]]},"page":"1791-1799","title":"Science in medicine Uric acid transport and disease","type":"article-journal","volume":"120"},"uris":["http://www.mendeley.com/documents/?uuid=460126a5-c193-46a3-a4d7-74182649de3c","http://www.mendeley.com/documents/?uuid=a6ecee95-2254-41db-bb90-253f35488281"]}],"mendeley":{"formattedCitation":"[2]","plainTextFormattedCitation":"[2]","previouslyFormattedCitation":"[2]"},"properties":{"noteIndex":0},"schema":"https://github.com/citation-style-language/schema/raw/master/csl-citation.json"}</w:instrText>
      </w:r>
      <w:r w:rsidRPr="006C5FBD">
        <w:rPr>
          <w:rFonts w:ascii="Times New Roman" w:hAnsi="Times New Roman"/>
          <w:sz w:val="20"/>
          <w:szCs w:val="24"/>
        </w:rPr>
        <w:fldChar w:fldCharType="separate"/>
      </w:r>
      <w:r w:rsidRPr="006C5FBD">
        <w:rPr>
          <w:rFonts w:ascii="Times New Roman" w:hAnsi="Times New Roman"/>
          <w:noProof/>
          <w:sz w:val="20"/>
          <w:szCs w:val="24"/>
        </w:rPr>
        <w:t>[2]</w:t>
      </w:r>
      <w:r w:rsidRPr="006C5FBD">
        <w:rPr>
          <w:rFonts w:ascii="Times New Roman" w:hAnsi="Times New Roman"/>
          <w:sz w:val="20"/>
          <w:szCs w:val="24"/>
        </w:rPr>
        <w:fldChar w:fldCharType="end"/>
      </w:r>
      <w:r w:rsidRPr="006C5FBD">
        <w:rPr>
          <w:rFonts w:ascii="Times New Roman" w:hAnsi="Times New Roman"/>
          <w:sz w:val="20"/>
          <w:szCs w:val="24"/>
        </w:rPr>
        <w:t xml:space="preserve">. The type of diseases that show close relationship to the abnormal amount of uric acid in body fluid including gout, hyperuricemia, rheumatoid and arthritis. Abnormal elevation in the level of uric acid in the body fluid will probably results several recognized clinical problem, which uric acid probably serve as the etiological agent. At high concentration, the uric acid can converted into oxidative radical and its derivatives, which has high cellular permeability and ability to interrupt during the DNA transcription and translation </w:t>
      </w:r>
      <w:r w:rsidRPr="006C5FBD">
        <w:rPr>
          <w:rFonts w:ascii="Times New Roman" w:hAnsi="Times New Roman"/>
          <w:sz w:val="20"/>
          <w:szCs w:val="24"/>
        </w:rPr>
        <w:fldChar w:fldCharType="begin" w:fldLock="1"/>
      </w:r>
      <w:r w:rsidRPr="006C5FBD">
        <w:rPr>
          <w:rFonts w:ascii="Times New Roman" w:hAnsi="Times New Roman"/>
          <w:sz w:val="20"/>
          <w:szCs w:val="24"/>
        </w:rPr>
        <w:instrText>ADDIN CSL_CITATION {"citationItems":[{"id":"ITEM-1","itemData":{"DOI":"10.1111/j.1600-0773.2003.pto930606.x","ISBN":"0901-9928","ISSN":"09019928","PMID":"29099113","abstract":"To clarify the antioxidative role of uric acid, its ability to scavenge carbon-centered and peroxyl radicals and its inhibitory effect on lipid peroxidation induced by various model systems were examined. Uric acid efficiently scavenged carbon-centered and peroxyl radicals derived from the hydrophilic free radical generator 2,2'-azobis-(2-amidinopropane)dihydrochloride (AAPH). All damage to biological-molecules, including protein, DNA and lipids induced by AAPH, was strongly prevented by uric acid. In contrast, alpha-tocopherol had little effect on damage to biological molecules. Lipid peroxidation by the lipophilic free radical generator 2,2'-azobis(2,4-dimethylvaleronitrile) (AMVN) was little inhibited by uric acid, but not by alpha-tocopherol. Copper-induced lipid peroxidation was inhibited by uric acid and alpha-tocopherol. NADPH- and ADP-Fe3+-dependent microsomal lipid peroxidation was efficiently inhibited by alpha-tocopherol, but not by uric acid. Uric acid seems to scavenge free radicals in hydrophilic conditions to inhibit lipid peroxidation on the lipid-aqueous boundary, and the antioxidation is only little in lipophilic conditions.","author":[{"dropping-particle":"","family":"Muraoka","given":"Sanae","non-dropping-particle":"","parse-names":false,"suffix":""},{"dropping-particle":"","family":"Miura","given":"Toshiaki","non-dropping-particle":"","parse-names":false,"suffix":""}],"container-title":"Pharmacology and Toxicology","id":"ITEM-1","issue":"6","issued":{"date-parts":[["2003"]]},"page":"284-289","title":"Inhibition by Uric Acid of Free Radicals that Damage Biological Molecules","type":"article-journal","volume":"93"},"uris":["http://www.mendeley.com/documents/?uuid=e08892ef-3940-4c8f-b30b-d5f1990d9309","http://www.mendeley.com/documents/?uuid=49ec8ef3-84cd-439d-8e5d-4f274dc443f3"]}],"mendeley":{"formattedCitation":"[3]","plainTextFormattedCitation":"[3]","previouslyFormattedCitation":"[3]"},"properties":{"noteIndex":0},"schema":"https://github.com/citation-style-language/schema/raw/master/csl-citation.json"}</w:instrText>
      </w:r>
      <w:r w:rsidRPr="006C5FBD">
        <w:rPr>
          <w:rFonts w:ascii="Times New Roman" w:hAnsi="Times New Roman"/>
          <w:sz w:val="20"/>
          <w:szCs w:val="24"/>
        </w:rPr>
        <w:fldChar w:fldCharType="separate"/>
      </w:r>
      <w:r w:rsidRPr="006C5FBD">
        <w:rPr>
          <w:rFonts w:ascii="Times New Roman" w:hAnsi="Times New Roman"/>
          <w:noProof/>
          <w:sz w:val="20"/>
          <w:szCs w:val="24"/>
        </w:rPr>
        <w:t>[3]</w:t>
      </w:r>
      <w:r w:rsidRPr="006C5FBD">
        <w:rPr>
          <w:rFonts w:ascii="Times New Roman" w:hAnsi="Times New Roman"/>
          <w:sz w:val="20"/>
          <w:szCs w:val="24"/>
        </w:rPr>
        <w:fldChar w:fldCharType="end"/>
      </w:r>
      <w:r w:rsidRPr="006C5FBD">
        <w:rPr>
          <w:rFonts w:ascii="Times New Roman" w:hAnsi="Times New Roman"/>
          <w:sz w:val="20"/>
          <w:szCs w:val="24"/>
        </w:rPr>
        <w:t>.</w:t>
      </w:r>
    </w:p>
    <w:p w:rsidR="006C5FBD" w:rsidRPr="006C5FBD" w:rsidRDefault="006C5FBD" w:rsidP="006C5FBD">
      <w:pPr>
        <w:spacing w:after="0" w:line="240" w:lineRule="auto"/>
        <w:jc w:val="both"/>
        <w:rPr>
          <w:rFonts w:ascii="Times New Roman" w:hAnsi="Times New Roman"/>
          <w:sz w:val="20"/>
          <w:szCs w:val="24"/>
        </w:rPr>
      </w:pPr>
    </w:p>
    <w:p w:rsidR="006C5FBD" w:rsidRPr="006C5FBD" w:rsidRDefault="006C5FBD" w:rsidP="006C5FBD">
      <w:pPr>
        <w:spacing w:after="0" w:line="240" w:lineRule="auto"/>
        <w:jc w:val="both"/>
        <w:rPr>
          <w:rFonts w:ascii="Times New Roman" w:hAnsi="Times New Roman"/>
          <w:sz w:val="20"/>
          <w:szCs w:val="24"/>
        </w:rPr>
      </w:pPr>
      <w:r w:rsidRPr="006C5FBD">
        <w:rPr>
          <w:rFonts w:ascii="Times New Roman" w:hAnsi="Times New Roman"/>
          <w:sz w:val="20"/>
          <w:szCs w:val="24"/>
        </w:rPr>
        <w:t xml:space="preserve">Quantitative and qualitative determination of the uric acid are significantly useful to provide related information especially in field of pharmaceutical, nursery, pathology, and medical field.  There are varieties of techniques have been proposed with promising sensitivity and consistency in term of detection limit and the amount of uric acid quantified </w:t>
      </w:r>
      <w:r w:rsidRPr="006C5FBD">
        <w:rPr>
          <w:rFonts w:ascii="Times New Roman" w:hAnsi="Times New Roman"/>
          <w:sz w:val="20"/>
          <w:szCs w:val="24"/>
        </w:rPr>
        <w:fldChar w:fldCharType="begin" w:fldLock="1"/>
      </w:r>
      <w:r w:rsidRPr="006C5FBD">
        <w:rPr>
          <w:rFonts w:ascii="Times New Roman" w:hAnsi="Times New Roman"/>
          <w:sz w:val="20"/>
          <w:szCs w:val="24"/>
        </w:rPr>
        <w:instrText>ADDIN CSL_CITATION {"citationItems":[{"id":"ITEM-1","itemData":{"DOI":"10.1016/j.snb.2015.08.020","ISBN":"9442563637","ISSN":"09254005","abstract":"A novel biosensor has been constructed based on SnO&lt;inf&gt;2&lt;/inf&gt;/graphene nanocomposite modified glassy carbon electrode (GCE) and was employed for the simultaneous determination of epinephrine (EP) and uric acid (UA) in the presence of common interferent ascorbic acid (AA) at physiological pH (7.0). SnO&lt;inf&gt;2&lt;/inf&gt;/graphene composites were synthesized by a simple one-pot chemical reduction method. Physico-chemical analyses such as X-ray diffraction (XRD), transmission electron microscopy (TEM) and X-ray photoelectron spectroscopy (XPS) revealed that the crystalline SnO&lt;inf&gt;2&lt;/inf&gt; nanoparticles were finely dispersed on the surface of graphene. The SnO&lt;inf&gt;2&lt;/inf&gt;/graphene modified GCE exhibited enhanced electrocatalytic activity toward the oxidation of EP and UA when compared to the GO and SnO&lt;inf&gt;2&lt;/inf&gt; modified GCEs. Under the optimal conditions, the oxidation peak currents increased linearly with concentration over the wide range of 0.5-200 μM and 0.1-200 μM with the detection limits of 0.017 μM and 0.28 μM for EP and UA, respectively. The proposed modified electrode displayed high selectivity, good stability and reproducibility, and was successfully applied for the determination of epinephrine in epinephrine hydrochloride injection and uric acid in human urine samples.","author":[{"dropping-particle":"","family":"Lavanya","given":"N.","non-dropping-particle":"","parse-names":false,"suffix":""},{"dropping-particle":"","family":"Fazio","given":"E.","non-dropping-particle":"","parse-names":false,"suffix":""},{"dropping-particle":"","family":"Neri","given":"F.","non-dropping-particle":"","parse-names":false,"suffix":""},{"dropping-particle":"","family":"Bonavita","given":"A.","non-dropping-particle":"","parse-names":false,"suffix":""},{"dropping-particle":"","family":"Leonardi","given":"S. G.","non-dropping-particle":"","parse-names":false,"suffix":""},{"dropping-particle":"","family":"Neri","given":"G.","non-dropping-particle":"","parse-names":false,"suffix":""},{"dropping-particle":"","family":"Sekar","given":"C.","non-dropping-particle":"","parse-names":false,"suffix":""}],"container-title":"Sensors and Actuators, B: Chemical","id":"ITEM-1","issued":{"date-parts":[["2015"]]},"number-of-pages":"1412-1422","publisher":"Elsevier B.V.","title":"Simultaneous electrochemical determination of epinephrine and uric acid in the presence of ascorbic acid using SnO&lt;inf&gt;2&lt;/inf&gt;/graphene nanocomposite modified glassy carbon electrode","type":"book","volume":"221"},"uris":["http://www.mendeley.com/documents/?uuid=7f4f5cf0-6b1d-4f90-83ff-72bab13e8f26","http://www.mendeley.com/documents/?uuid=a47e0ba5-2c7a-4548-a5f4-935023d0609f"]},{"id":"ITEM-2","itemData":{"DOI":"10.1039/c4nr01774a","ISBN":"2040-3372 (Electronic)\r2040-3364 (Linking)","ISSN":"20403372","PMID":"25137352","abstract":"Sensitive electrochemical sensors were fabricated with reduced graphene oxide-supported Au@Pd (Au@Pd-RGO) nanocomposites by one-step synthesis for individual and simultaneous determination of ascorbic acid (AA), dopamine (DA), and uric acid (UA) with low detection limits and wide concentration ranges. From the Au@Pd-RGO-modified electrodes, well-separated oxidation peaks and enhanced peak currents of AA, DA, and UA were observed owing to the superior conductivity of RGO and the excellent catalytic activity of Au@Pd nanoparticles. For individual detection, the linear responses of AA, DA, and UA were in the concentration ranges of 0.1–1000, 0.01–100, and 0.02–500 μM with detection limits of 0.02, 0.002, and 0.005 μM (S/N = 3), respectively. For simultaneous detection by synchronous change of the concentrations of AA, DA, and UA, the linear response ranges were 1–800, 0.1–100, and 0.1–350 μM with detection limits of 0.28, 0.024, and 0.02 μM (S/N = 3), respectively. The fabricated sensors were further applied to the detection of AA, DA, and UA in urine samples. The Au@Pd-RGO nanocomposites have promising applications in highly sensitive and selective electrochemical sensing.","author":[{"dropping-particle":"","family":"Jiang","given":"Jingjing","non-dropping-particle":"","parse-names":false,"suffix":""},{"dropping-particle":"","family":"Du","given":"Xuezhong","non-dropping-particle":"","parse-names":false,"suffix":""}],"container-title":"Nanoscale","id":"ITEM-2","issue":"19","issued":{"date-parts":[["2014"]]},"page":"11303-11309","publisher":"Royal Society of Chemistry","title":"Sensitive electrochemical sensors for simultaneous determination of ascorbic acid, dopamine, and uric acid based on Au@Pd-reduced graphene oxide nanocomposites","type":"article-journal","volume":"6"},"uris":["http://www.mendeley.com/documents/?uuid=03716deb-7f14-4322-b693-6e27126d35eb","http://www.mendeley.com/documents/?uuid=7e4862ea-c039-44db-863c-7d26b8d0fc04"]}],"mendeley":{"formattedCitation":"[4,5]","manualFormatting":"[4],[5]","plainTextFormattedCitation":"[4,5]","previouslyFormattedCitation":"[4,5]"},"properties":{"noteIndex":0},"schema":"https://github.com/citation-style-language/schema/raw/master/csl-citation.json"}</w:instrText>
      </w:r>
      <w:r w:rsidRPr="006C5FBD">
        <w:rPr>
          <w:rFonts w:ascii="Times New Roman" w:hAnsi="Times New Roman"/>
          <w:sz w:val="20"/>
          <w:szCs w:val="24"/>
        </w:rPr>
        <w:fldChar w:fldCharType="separate"/>
      </w:r>
      <w:r w:rsidRPr="006C5FBD">
        <w:rPr>
          <w:rFonts w:ascii="Times New Roman" w:hAnsi="Times New Roman"/>
          <w:noProof/>
          <w:sz w:val="20"/>
          <w:szCs w:val="24"/>
        </w:rPr>
        <w:t>[4, 5]</w:t>
      </w:r>
      <w:r w:rsidRPr="006C5FBD">
        <w:rPr>
          <w:rFonts w:ascii="Times New Roman" w:hAnsi="Times New Roman"/>
          <w:sz w:val="20"/>
          <w:szCs w:val="24"/>
        </w:rPr>
        <w:fldChar w:fldCharType="end"/>
      </w:r>
      <w:r w:rsidRPr="006C5FBD">
        <w:rPr>
          <w:rFonts w:ascii="Times New Roman" w:hAnsi="Times New Roman"/>
          <w:sz w:val="20"/>
          <w:szCs w:val="24"/>
        </w:rPr>
        <w:t xml:space="preserve">. Recently, electrochemical sensing has been highlighting as sophisticate alternative in identification of disease diagnosis molecules including UA </w:t>
      </w:r>
      <w:r w:rsidRPr="006C5FBD">
        <w:rPr>
          <w:rFonts w:ascii="Times New Roman" w:hAnsi="Times New Roman"/>
          <w:sz w:val="20"/>
          <w:szCs w:val="24"/>
        </w:rPr>
        <w:fldChar w:fldCharType="begin" w:fldLock="1"/>
      </w:r>
      <w:r w:rsidRPr="006C5FBD">
        <w:rPr>
          <w:rFonts w:ascii="Times New Roman" w:hAnsi="Times New Roman"/>
          <w:sz w:val="20"/>
          <w:szCs w:val="24"/>
        </w:rPr>
        <w:instrText>ADDIN CSL_CITATION {"citationItems":[{"id":"ITEM-1","itemData":{"DOI":"10.1016/j.bios.2013.04.034","ISBN":"0956-5663","ISSN":"09565663","PMID":"23708810","abstract":"We have developed Fe3O4 magnetic nanoparticles/reduced graphene oxide nanosheets modified glassy carbon (Fe3O4/r-GO/GC) electrode as a novel system for the preparation of electrochemical sensing platform. Decorating Fe3O4 nanoparticles on graphene sheets was performed via a facile one-step chemical reaction strategy, where the reduction of GO and the in-situ generation of Fe3O4 nanoparticles occurred simultaneously. Characterization of as-made nanocomposite using X-ray diffraction (XRD), transmission electron microscopy (TEM) and alternative gradient force magnetometry (AGFM) clearly demonstrate the successful attachment of monodisperse Fe3O4 nanoparticles to graphene sheets. Electrochemical studies revealed that the Fe3O4/r-GO/GC electrode possess excellent electrocatalytic activities toward the low potential oxidation of NADH (0.05V vs. Ag/AgCl) as well as the catalytic reduction of O2 and H2O2 at reduced overpotentials. Via immobilization of lactate dehydrogenase (LDH) as a model dehydrogenase enzyme onto the Fe3O4/r-GO/GC electrode surface, the ability of modified electrode for biosensing lactate was demonstrated. In addition, using differential pulse voltammetry (DPV) to investigate the electrochemical oxidation behavior of ascorbic acid (AA), dopamine (DA) and uric acid (UA) at Fe3O4/r-GO/GC electrode, the high electrocatalytic activity of the modified electrode toward simultaneous detection of these compounds was indicated. Finally, based on the strong electrocatalytic action of Fe3O4/r-GO/GC electrode toward both oxidation and reduction of nitrite, a sensitive amperometric sensor for nitrite determination was proposed. The Fe3O4/r-GO hybrid presented here showing favorable electrochemical features may hold great promise to the development of electrochemical sensors, molecular bioelectronic devices, biosensors and biofuel cells. ?? 2013 Elsevier B.V.","author":[{"dropping-particle":"","family":"Teymourian","given":"Hazhir","non-dropping-particle":"","parse-names":false,"suffix":""},{"dropping-particle":"","family":"Salimi","given":"Abdollah","non-dropping-particle":"","parse-names":false,"suffix":""},{"dropping-particle":"","family":"Khezrian","given":"Somayeh","non-dropping-particle":"","parse-names":false,"suffix":""}],"container-title":"Biosensors and Bioelectronics","id":"ITEM-1","issued":{"date-parts":[["2013"]]},"page":"1-8","publisher":"Elsevier","title":"Fe3O4 magnetic nanoparticles/reduced graphene oxide nanosheets as a novel electrochemical and bioeletrochemical sensing platform","type":"article-journal","volume":"49"},"uris":["http://www.mendeley.com/documents/?uuid=9ce8c6d9-4e20-44e4-b1c7-b901caad8dbb"]}],"mendeley":{"formattedCitation":"[6]","plainTextFormattedCitation":"[6]","previouslyFormattedCitation":"[6]"},"properties":{"noteIndex":0},"schema":"https://github.com/citation-style-language/schema/raw/master/csl-citation.json"}</w:instrText>
      </w:r>
      <w:r w:rsidRPr="006C5FBD">
        <w:rPr>
          <w:rFonts w:ascii="Times New Roman" w:hAnsi="Times New Roman"/>
          <w:sz w:val="20"/>
          <w:szCs w:val="24"/>
        </w:rPr>
        <w:fldChar w:fldCharType="separate"/>
      </w:r>
      <w:r w:rsidRPr="006C5FBD">
        <w:rPr>
          <w:rFonts w:ascii="Times New Roman" w:hAnsi="Times New Roman"/>
          <w:noProof/>
          <w:sz w:val="20"/>
          <w:szCs w:val="24"/>
        </w:rPr>
        <w:t>[6]</w:t>
      </w:r>
      <w:r w:rsidRPr="006C5FBD">
        <w:rPr>
          <w:rFonts w:ascii="Times New Roman" w:hAnsi="Times New Roman"/>
          <w:sz w:val="20"/>
          <w:szCs w:val="24"/>
        </w:rPr>
        <w:fldChar w:fldCharType="end"/>
      </w:r>
      <w:r w:rsidRPr="006C5FBD">
        <w:rPr>
          <w:rFonts w:ascii="Times New Roman" w:hAnsi="Times New Roman"/>
          <w:sz w:val="20"/>
          <w:szCs w:val="24"/>
        </w:rPr>
        <w:t xml:space="preserve">. Meanwhile, due to unique electronic properties and stiffness of the nano-sized graphene carbon allotrope, it has been widely adopted in material development and research activities was intensified on exploitation of graphene in photocatalysis, environmental remediation, and energy storage </w:t>
      </w:r>
      <w:r w:rsidRPr="006C5FBD">
        <w:rPr>
          <w:rFonts w:ascii="Times New Roman" w:hAnsi="Times New Roman"/>
          <w:sz w:val="20"/>
          <w:szCs w:val="24"/>
        </w:rPr>
        <w:fldChar w:fldCharType="begin" w:fldLock="1"/>
      </w:r>
      <w:r w:rsidRPr="006C5FBD">
        <w:rPr>
          <w:rFonts w:ascii="Times New Roman" w:hAnsi="Times New Roman"/>
          <w:sz w:val="20"/>
          <w:szCs w:val="24"/>
        </w:rPr>
        <w:instrText>ADDIN CSL_CITATION {"citationItems":[{"id":"ITEM-1","itemData":{"DOI":"10.3390/s140815227","ISBN":"1424-8220","ISSN":"1424-8220","PMID":"25195850","abstract":"The fabrication of an electrochemical sensor based on an iron oxide/graphene modified glassy carbon electrode (Fe3O4/rGO/GCE) and its simultaneous detection of dopamine (DA) and ascorbic acid (AA) is described here. The Fe3O4/rGO nanocomposite was synthesized via a simple, one step in-situ wet chemical method and characterized by different techniques. The presence of Fe3O4 nanoparticles on the surface of rGO sheets was confirmed by FESEM and TEM images. The electrochemical behavior of Fe3O4/rGO/GCE towards electrocatalytic oxidation of DA was investigated by cyclic voltammetry (CV) and differential pulse voltammetry (DPV) analysis. The electrochemical studies revealed that the Fe3O4/rGO/GCE dramatically increased the current response against the DA, due to the synergistic effect emerged between Fe3O4 and rGO. This implies that Fe3O4/rGO/GCE could exhibit excellent electrocatalytic activity and remarkable electron transfer kinetics towards the oxidation of DA. Moreover, the modified sensor electrode portrayed sensitivity and selectivity for simultaneous determination of AA and DA. The observed DPVs response linearly depends on AA and DA concentration in the range of 1–9 mM and 0.5–100 µM, with correlation coefficients of 0.995 and 0.996, respectively. The detection limit of \\r\\n(S/N = 3) was found to be 0.42 and 0.12 µM for AA and DA, respectively.","author":[{"dropping-particle":"","family":"Peik-See","given":"Teo","non-dropping-particle":"","parse-names":false,"suffix":""},{"dropping-particle":"","family":"Pandikumar","given":"Alagarsamy","non-dropping-particle":"","parse-names":false,"suffix":""},{"dropping-particle":"","family":"Nay-Ming","given":"Huang","non-dropping-particle":"","parse-names":false,"suffix":""},{"dropping-particle":"","family":"Hong-Ngee","given":"Lim","non-dropping-particle":"","parse-names":false,"suffix":""},{"dropping-particle":"","family":"Sulaiman","given":"Yusran","non-dropping-particle":"","parse-names":false,"suffix":""}],"container-title":"Sensors","id":"ITEM-1","issue":"8","issued":{"date-parts":[["2014"]]},"page":"15227-15243","title":"Simultaneous Electrochemical Detection of Dopamine and Ascorbic Acid Using an Iron Oxide/Reduced Graphene Oxide Modified Glassy Carbon Electrode","type":"article-journal","volume":"14"},"uris":["http://www.mendeley.com/documents/?uuid=b32a4046-e590-4947-bca3-23cbffab80d7","http://www.mendeley.com/documents/?uuid=4f848652-62ba-4ba9-86a6-9222283aa68a"]},{"id":"ITEM-2","itemData":{"DOI":"10.1039/c4ra03148b","ISBN":"2046-2069","ISSN":"20462069","abstract":"A facile and cost-effective approach has been developed towards electrochemical fabrication of a reduced graphene oxide (RGO) modified glassy carbon electrode (RGO/GCE). Scanning electron microscopy (SEM) images show that RGO is covered completely on the surface of glassy carbon electrodes. The RGO/GCE is used to detect dopamine (DA), uric acid (UA) and ascorbic acid (AA) simultaneously via cyclic voltammetry (CV) and differential pulse voltammetry (DPV) methods. Compared with bare GCE, RGO/GCE exhibits much high electrocatalytic activities toward the oxidation of DA, UA and AA, and three well-defined fully resolved anodic peaks were found in the CV curve at RGO/GCE. The GCEs modified with different amounts of RGO have an obvious influence on the determination of DA, UA and AA. By changing the concentrations of DA, UA and AA in the three substances coexisting system, the linear response ranges for the determination of DA, UA and AA were 0.1-400 [small mu ]M, 2-600 [small mu ]M, and 0.7-100 [small mu ]M with the limit of detection (LOD) (S/N = 3) were estimated to be 0.1 [small mu ]M, 1 [small mu ]M and 0.7 [small mu ]M, respectively. Moreover, it is found that RGO/GCE displays high reproducibility and selectivity for the determination of DA, UA and AA.","author":[{"dropping-particle":"","family":"Wang","given":"Huiwen","non-dropping-particle":"","parse-names":false,"suffix":""},{"dropping-particle":"","family":"Ren","given":"Fangfang","non-dropping-particle":"","parse-names":false,"suffix":""},{"dropping-particle":"","family":"Wang","given":"Caiqin","non-dropping-particle":"","parse-names":false,"suffix":""},{"dropping-particle":"","family":"Yang","given":"Beibei","non-dropping-particle":"","parse-names":false,"suffix":""},{"dropping-particle":"","family":"Bin","given":"Duan","non-dropping-particle":"","parse-names":false,"suffix":""},{"dropping-particle":"","family":"Zhang","given":"Ke","non-dropping-particle":"","parse-names":false,"suffix":""},{"dropping-particle":"","family":"Du","given":"Yukou","non-dropping-particle":"","parse-names":false,"suffix":""}],"container-title":"RSC Advances","id":"ITEM-2","issue":"51","issued":{"date-parts":[["2014"]]},"page":"26895-26901","title":"Simultaneous determination of dopamine, uric acid and ascorbic acid using a glassy carbon electrode modified with reduced graphene oxide","type":"article-journal","volume":"4"},"uris":["http://www.mendeley.com/documents/?uuid=14f57793-1d1a-4ab4-8926-8d4f2175d96a","http://www.mendeley.com/documents/?uuid=c9d33ad5-37ec-4b52-913d-b80d364f7b99"]}],"mendeley":{"formattedCitation":"[1,7]","plainTextFormattedCitation":"[1,7]","previouslyFormattedCitation":"[1,7]"},"properties":{"noteIndex":0},"schema":"https://github.com/citation-style-language/schema/raw/master/csl-citation.json"}</w:instrText>
      </w:r>
      <w:r w:rsidRPr="006C5FBD">
        <w:rPr>
          <w:rFonts w:ascii="Times New Roman" w:hAnsi="Times New Roman"/>
          <w:sz w:val="20"/>
          <w:szCs w:val="24"/>
        </w:rPr>
        <w:fldChar w:fldCharType="separate"/>
      </w:r>
      <w:r w:rsidRPr="006C5FBD">
        <w:rPr>
          <w:rFonts w:ascii="Times New Roman" w:hAnsi="Times New Roman"/>
          <w:noProof/>
          <w:sz w:val="20"/>
          <w:szCs w:val="24"/>
        </w:rPr>
        <w:t>[1,7]</w:t>
      </w:r>
      <w:r w:rsidRPr="006C5FBD">
        <w:rPr>
          <w:rFonts w:ascii="Times New Roman" w:hAnsi="Times New Roman"/>
          <w:sz w:val="20"/>
          <w:szCs w:val="24"/>
        </w:rPr>
        <w:fldChar w:fldCharType="end"/>
      </w:r>
      <w:r w:rsidRPr="006C5FBD">
        <w:rPr>
          <w:rFonts w:ascii="Times New Roman" w:hAnsi="Times New Roman"/>
          <w:sz w:val="20"/>
          <w:szCs w:val="24"/>
        </w:rPr>
        <w:t>.</w:t>
      </w:r>
    </w:p>
    <w:p w:rsidR="006C5FBD" w:rsidRDefault="006C5FBD" w:rsidP="006C5FBD">
      <w:pPr>
        <w:spacing w:after="0" w:line="240" w:lineRule="auto"/>
        <w:jc w:val="both"/>
        <w:rPr>
          <w:rFonts w:ascii="Times New Roman" w:hAnsi="Times New Roman"/>
          <w:sz w:val="20"/>
          <w:szCs w:val="24"/>
        </w:rPr>
      </w:pPr>
      <w:r w:rsidRPr="006C5FBD">
        <w:rPr>
          <w:rFonts w:ascii="Times New Roman" w:hAnsi="Times New Roman"/>
          <w:sz w:val="20"/>
          <w:szCs w:val="24"/>
        </w:rPr>
        <w:t xml:space="preserve">Graphene is a newly carbon material with nanoscale-dispersed phase at two dimensions other than zero-dimensional fullerene, one-dimensional carbon nanotube, and three-dimensional graphite </w:t>
      </w:r>
      <w:r w:rsidRPr="006C5FBD">
        <w:rPr>
          <w:rFonts w:ascii="Times New Roman" w:hAnsi="Times New Roman"/>
          <w:sz w:val="20"/>
          <w:szCs w:val="24"/>
        </w:rPr>
        <w:fldChar w:fldCharType="begin" w:fldLock="1"/>
      </w:r>
      <w:r w:rsidRPr="006C5FBD">
        <w:rPr>
          <w:rFonts w:ascii="Times New Roman" w:hAnsi="Times New Roman"/>
          <w:sz w:val="20"/>
          <w:szCs w:val="24"/>
        </w:rPr>
        <w:instrText>ADDIN CSL_CITATION {"citationItems":[{"id":"ITEM-1","itemData":{"DOI":"10.1016/j.cocis.2015.10.011","ISBN":"1359-0294","ISSN":"18790399","abstract":"Graphene is a two-dimensional carbon nanomaterial with many distinctive properties that are electrochemically beneficial, such as large surface-to-volume ratio, lowered power usage, high conductivity and electron mobility. Graphene study is currently in its infant stages and is utilized in many applications including biological and chemical sensors based on electrochemical sensing. This review gives a general view of recent advances in the application of graphene in electrochemical sensing. It is subdivided into sections on (i) biosensors for disease diagnosis molecules (such as glucose, uric acid, dopamine, ascorbic acid), (ii) electrochemical sensing of drug molecules (such as rutin, acetaminophen, codeine, artemisinin), (iii) applications of graphene in food analysis (including sudan, sunset yellow, tartrazine, clenbuterol, diethylstilbestrol, bisphenol A), and finally (iv) applications of graphene in environmental detection (including toxic heavy mental ions, phenols, estriol, chlorpyrifos). The various strategies are discussed, and the advances of using graphene and the trends in the application of graphene in electrochemical sensing are summarized in the final section.","author":[{"dropping-particle":"","family":"Zheng","given":"Dongyun","non-dropping-particle":"","parse-names":false,"suffix":""},{"dropping-particle":"","family":"Hu","given":"Hui","non-dropping-particle":"","parse-names":false,"suffix":""},{"dropping-particle":"","family":"Liu","given":"Xiaojun","non-dropping-particle":"","parse-names":false,"suffix":""},{"dropping-particle":"","family":"Hu","given":"Shengshui","non-dropping-particle":"","parse-names":false,"suffix":""}],"container-title":"Current Opinion in Colloid and Interface Science","id":"ITEM-1","issue":"5-6","issued":{"date-parts":[["2015"]]},"page":"383-405","publisher":"Elsevier B.V.","title":"Application of graphene in elctrochemical sensing","type":"article-journal","volume":"20"},"uris":["http://www.mendeley.com/documents/?uuid=b3184bf9-5543-46ce-bcd7-71e9a6b16ad7","http://www.mendeley.com/documents/?uuid=0c9d1059-4252-482b-af7d-aff933771146"]}],"mendeley":{"formattedCitation":"[8]","plainTextFormattedCitation":"[8]","previouslyFormattedCitation":"[8]"},"properties":{"noteIndex":0},"schema":"https://github.com/citation-style-language/schema/raw/master/csl-citation.json"}</w:instrText>
      </w:r>
      <w:r w:rsidRPr="006C5FBD">
        <w:rPr>
          <w:rFonts w:ascii="Times New Roman" w:hAnsi="Times New Roman"/>
          <w:sz w:val="20"/>
          <w:szCs w:val="24"/>
        </w:rPr>
        <w:fldChar w:fldCharType="separate"/>
      </w:r>
      <w:r w:rsidRPr="006C5FBD">
        <w:rPr>
          <w:rFonts w:ascii="Times New Roman" w:hAnsi="Times New Roman"/>
          <w:noProof/>
          <w:sz w:val="20"/>
          <w:szCs w:val="24"/>
        </w:rPr>
        <w:t>[8]</w:t>
      </w:r>
      <w:r w:rsidRPr="006C5FBD">
        <w:rPr>
          <w:rFonts w:ascii="Times New Roman" w:hAnsi="Times New Roman"/>
          <w:sz w:val="20"/>
          <w:szCs w:val="24"/>
        </w:rPr>
        <w:fldChar w:fldCharType="end"/>
      </w:r>
      <w:r w:rsidRPr="006C5FBD">
        <w:rPr>
          <w:rFonts w:ascii="Times New Roman" w:hAnsi="Times New Roman"/>
          <w:sz w:val="20"/>
          <w:szCs w:val="24"/>
        </w:rPr>
        <w:t>. The distinctive properties of graphene which are electrochemical beneficial have drawn noticeable attentions among the researchers to uncover its unique structure and properties. The graphene has 2D honeycomb lattice structure favored by the sp</w:t>
      </w:r>
      <w:r w:rsidRPr="006C5FBD">
        <w:rPr>
          <w:rFonts w:ascii="Times New Roman" w:hAnsi="Times New Roman"/>
          <w:sz w:val="20"/>
          <w:szCs w:val="24"/>
          <w:vertAlign w:val="superscript"/>
        </w:rPr>
        <w:t>2</w:t>
      </w:r>
      <w:r w:rsidRPr="006C5FBD">
        <w:rPr>
          <w:rFonts w:ascii="Times New Roman" w:hAnsi="Times New Roman"/>
          <w:sz w:val="20"/>
          <w:szCs w:val="24"/>
        </w:rPr>
        <w:t xml:space="preserve"> hybridization of each carbon atom in the domain. The covalent reinforcement of the domain rendering graphene has strong mechanical strength and making it an ideal material for sustaining the engineering application as well as industrial manufacturing process.</w:t>
      </w:r>
    </w:p>
    <w:p w:rsidR="006C5FBD" w:rsidRPr="006C5FBD" w:rsidRDefault="006C5FBD" w:rsidP="006C5FBD">
      <w:pPr>
        <w:spacing w:after="0" w:line="240" w:lineRule="auto"/>
        <w:jc w:val="both"/>
        <w:rPr>
          <w:rFonts w:ascii="Times New Roman" w:hAnsi="Times New Roman"/>
          <w:sz w:val="20"/>
          <w:szCs w:val="24"/>
        </w:rPr>
      </w:pPr>
    </w:p>
    <w:p w:rsidR="006C5FBD" w:rsidRDefault="006C5FBD" w:rsidP="006C5FBD">
      <w:pPr>
        <w:spacing w:after="0" w:line="240" w:lineRule="auto"/>
        <w:jc w:val="both"/>
        <w:rPr>
          <w:rFonts w:ascii="Times New Roman" w:hAnsi="Times New Roman"/>
          <w:sz w:val="20"/>
          <w:szCs w:val="24"/>
        </w:rPr>
      </w:pPr>
      <w:r w:rsidRPr="006C5FBD">
        <w:rPr>
          <w:rFonts w:ascii="Times New Roman" w:hAnsi="Times New Roman"/>
          <w:sz w:val="20"/>
          <w:szCs w:val="24"/>
        </w:rPr>
        <w:t>Aside from its excellent physically strength, it has been found that graphene poses large surface–to-volume ratio, high thermal conductivity (3000 W m</w:t>
      </w:r>
      <w:r w:rsidRPr="006C5FBD">
        <w:rPr>
          <w:rFonts w:ascii="Times New Roman" w:hAnsi="Times New Roman"/>
          <w:sz w:val="20"/>
          <w:szCs w:val="24"/>
          <w:vertAlign w:val="superscript"/>
        </w:rPr>
        <w:t>-1</w:t>
      </w:r>
      <w:r w:rsidRPr="006C5FBD">
        <w:rPr>
          <w:rFonts w:ascii="Times New Roman" w:hAnsi="Times New Roman"/>
          <w:sz w:val="20"/>
          <w:szCs w:val="24"/>
        </w:rPr>
        <w:t>K</w:t>
      </w:r>
      <w:r w:rsidRPr="006C5FBD">
        <w:rPr>
          <w:rFonts w:ascii="Times New Roman" w:hAnsi="Times New Roman"/>
          <w:sz w:val="20"/>
          <w:szCs w:val="24"/>
          <w:vertAlign w:val="superscript"/>
        </w:rPr>
        <w:t>-1</w:t>
      </w:r>
      <w:r w:rsidRPr="006C5FBD">
        <w:rPr>
          <w:rFonts w:ascii="Times New Roman" w:hAnsi="Times New Roman"/>
          <w:sz w:val="20"/>
          <w:szCs w:val="24"/>
        </w:rPr>
        <w:t xml:space="preserve">), and extremely high electron mobility at room temperature (2.0 </w:t>
      </w:r>
      <m:oMath>
        <m:r>
          <w:rPr>
            <w:rFonts w:ascii="Cambria Math" w:hAnsi="Cambria Math"/>
            <w:sz w:val="20"/>
            <w:szCs w:val="24"/>
          </w:rPr>
          <m:t>×</m:t>
        </m:r>
      </m:oMath>
      <w:r w:rsidRPr="006C5FBD">
        <w:rPr>
          <w:rFonts w:ascii="Times New Roman" w:hAnsi="Times New Roman"/>
          <w:sz w:val="20"/>
          <w:szCs w:val="24"/>
        </w:rPr>
        <w:t xml:space="preserve"> 10</w:t>
      </w:r>
      <w:r w:rsidRPr="006C5FBD">
        <w:rPr>
          <w:rFonts w:ascii="Times New Roman" w:hAnsi="Times New Roman"/>
          <w:sz w:val="20"/>
          <w:szCs w:val="24"/>
          <w:vertAlign w:val="superscript"/>
        </w:rPr>
        <w:t>5</w:t>
      </w:r>
      <w:r w:rsidRPr="006C5FBD">
        <w:rPr>
          <w:rFonts w:ascii="Times New Roman" w:hAnsi="Times New Roman"/>
          <w:sz w:val="20"/>
          <w:szCs w:val="24"/>
        </w:rPr>
        <w:t xml:space="preserve"> cm</w:t>
      </w:r>
      <w:r w:rsidRPr="006C5FBD">
        <w:rPr>
          <w:rFonts w:ascii="Times New Roman" w:hAnsi="Times New Roman"/>
          <w:sz w:val="20"/>
          <w:szCs w:val="24"/>
          <w:vertAlign w:val="superscript"/>
        </w:rPr>
        <w:t>2</w:t>
      </w:r>
      <w:r w:rsidRPr="006C5FBD">
        <w:rPr>
          <w:rFonts w:ascii="Times New Roman" w:hAnsi="Times New Roman"/>
          <w:sz w:val="20"/>
          <w:szCs w:val="24"/>
        </w:rPr>
        <w:t xml:space="preserve"> V</w:t>
      </w:r>
      <w:r w:rsidRPr="006C5FBD">
        <w:rPr>
          <w:rFonts w:ascii="Times New Roman" w:hAnsi="Times New Roman"/>
          <w:sz w:val="20"/>
          <w:szCs w:val="24"/>
          <w:vertAlign w:val="superscript"/>
        </w:rPr>
        <w:t>-1</w:t>
      </w:r>
      <w:r w:rsidRPr="006C5FBD">
        <w:rPr>
          <w:rFonts w:ascii="Times New Roman" w:hAnsi="Times New Roman"/>
          <w:sz w:val="20"/>
          <w:szCs w:val="24"/>
        </w:rPr>
        <w:t xml:space="preserve"> s</w:t>
      </w:r>
      <w:r w:rsidRPr="006C5FBD">
        <w:rPr>
          <w:rFonts w:ascii="Times New Roman" w:hAnsi="Times New Roman"/>
          <w:sz w:val="20"/>
          <w:szCs w:val="24"/>
          <w:vertAlign w:val="superscript"/>
        </w:rPr>
        <w:t>-1</w:t>
      </w:r>
      <w:r w:rsidRPr="006C5FBD">
        <w:rPr>
          <w:rFonts w:ascii="Times New Roman" w:hAnsi="Times New Roman"/>
          <w:sz w:val="20"/>
          <w:szCs w:val="24"/>
        </w:rPr>
        <w:t xml:space="preserve">) </w:t>
      </w:r>
      <w:r w:rsidRPr="006C5FBD">
        <w:rPr>
          <w:rFonts w:ascii="Times New Roman" w:hAnsi="Times New Roman"/>
          <w:sz w:val="20"/>
          <w:szCs w:val="24"/>
        </w:rPr>
        <w:fldChar w:fldCharType="begin" w:fldLock="1"/>
      </w:r>
      <w:r w:rsidRPr="006C5FBD">
        <w:rPr>
          <w:rFonts w:ascii="Times New Roman" w:hAnsi="Times New Roman"/>
          <w:sz w:val="20"/>
          <w:szCs w:val="24"/>
        </w:rPr>
        <w:instrText>ADDIN CSL_CITATION {"citationItems":[{"id":"ITEM-1","itemData":{"DOI":"10.1016/j.cocis.2015.10.011","ISBN":"1359-0294","ISSN":"18790399","abstract":"Graphene is a two-dimensional carbon nanomaterial with many distinctive properties that are electrochemically beneficial, such as large surface-to-volume ratio, lowered power usage, high conductivity and electron mobility. Graphene study is currently in its infant stages and is utilized in many applications including biological and chemical sensors based on electrochemical sensing. This review gives a general view of recent advances in the application of graphene in electrochemical sensing. It is subdivided into sections on (i) biosensors for disease diagnosis molecules (such as glucose, uric acid, dopamine, ascorbic acid), (ii) electrochemical sensing of drug molecules (such as rutin, acetaminophen, codeine, artemisinin), (iii) applications of graphene in food analysis (including sudan, sunset yellow, tartrazine, clenbuterol, diethylstilbestrol, bisphenol A), and finally (iv) applications of graphene in environmental detection (including toxic heavy mental ions, phenols, estriol, chlorpyrifos). The various strategies are discussed, and the advances of using graphene and the trends in the application of graphene in electrochemical sensing are summarized in the final section.","author":[{"dropping-particle":"","family":"Zheng","given":"Dongyun","non-dropping-particle":"","parse-names":false,"suffix":""},{"dropping-particle":"","family":"Hu","given":"Hui","non-dropping-particle":"","parse-names":false,"suffix":""},{"dropping-particle":"","family":"Liu","given":"Xiaojun","non-dropping-particle":"","parse-names":false,"suffix":""},{"dropping-particle":"","family":"Hu","given":"Shengshui","non-dropping-particle":"","parse-names":false,"suffix":""}],"container-title":"Current Opinion in Colloid and Interface Science","id":"ITEM-1","issue":"5-6","issued":{"date-parts":[["2015"]]},"page":"383-405","publisher":"Elsevier B.V.","title":"Application of graphene in elctrochemical sensing","type":"article-journal","volume":"20"},"uris":["http://www.mendeley.com/documents/?uuid=0c9d1059-4252-482b-af7d-aff933771146","http://www.mendeley.com/documents/?uuid=b3184bf9-5543-46ce-bcd7-71e9a6b16ad7"]}],"mendeley":{"formattedCitation":"[8]","plainTextFormattedCitation":"[8]","previouslyFormattedCitation":"[8]"},"properties":{"noteIndex":0},"schema":"https://github.com/citation-style-language/schema/raw/master/csl-citation.json"}</w:instrText>
      </w:r>
      <w:r w:rsidRPr="006C5FBD">
        <w:rPr>
          <w:rFonts w:ascii="Times New Roman" w:hAnsi="Times New Roman"/>
          <w:sz w:val="20"/>
          <w:szCs w:val="24"/>
        </w:rPr>
        <w:fldChar w:fldCharType="separate"/>
      </w:r>
      <w:r w:rsidRPr="006C5FBD">
        <w:rPr>
          <w:rFonts w:ascii="Times New Roman" w:hAnsi="Times New Roman"/>
          <w:noProof/>
          <w:sz w:val="20"/>
          <w:szCs w:val="24"/>
        </w:rPr>
        <w:t>[8]</w:t>
      </w:r>
      <w:r w:rsidRPr="006C5FBD">
        <w:rPr>
          <w:rFonts w:ascii="Times New Roman" w:hAnsi="Times New Roman"/>
          <w:sz w:val="20"/>
          <w:szCs w:val="24"/>
        </w:rPr>
        <w:fldChar w:fldCharType="end"/>
      </w:r>
      <w:r w:rsidRPr="006C5FBD">
        <w:rPr>
          <w:rFonts w:ascii="Times New Roman" w:hAnsi="Times New Roman"/>
          <w:sz w:val="20"/>
          <w:szCs w:val="24"/>
        </w:rPr>
        <w:t xml:space="preserve">. Such intriguing special of the graphene highly promoted as new potential electrode material for the application in electrochemically determination analyte of interest. A water-dispersible nanocomposite consisting of both magnetite and reduced graphene oxide was designed to address the issue associated with removal of arsenic in typical water treatment process </w:t>
      </w:r>
      <w:r w:rsidRPr="006C5FBD">
        <w:rPr>
          <w:rFonts w:ascii="Times New Roman" w:hAnsi="Times New Roman"/>
          <w:sz w:val="20"/>
          <w:szCs w:val="24"/>
        </w:rPr>
        <w:fldChar w:fldCharType="begin" w:fldLock="1"/>
      </w:r>
      <w:r w:rsidRPr="006C5FBD">
        <w:rPr>
          <w:rFonts w:ascii="Times New Roman" w:hAnsi="Times New Roman"/>
          <w:sz w:val="20"/>
          <w:szCs w:val="24"/>
        </w:rPr>
        <w:instrText>ADDIN CSL_CITATION {"citationItems":[{"id":"ITEM-1","itemData":{"DOI":"10.1021/nn1008897","ISBN":"1936-0851","ISSN":"19360851","PMID":"20552997","abstract":"Magnetite-graphene hybrids have been synthesized via a chemical reaction with a magnetite particle size of 10 nm. The composites are superparamagnetic at room temperature and can be separated by an external magnetic field. As compared to bare magnetite particles, the hybrids show a high binding capacity for As(III) and As(V), whose presence in the drinking water in wide areas of South Asia has been a huge problem. Their high binding capacity is due to the increased adsorption sites in the M?RGO composite which occurs by reducing the aggregation of bare magnetite. Since the composites show near complete (over 99.9%) arsenic removal within 1 ppb, they are practically usable for arsenic separation from water.","author":[{"dropping-particle":"","family":"Chandra","given":"Vimlesh","non-dropping-particle":"","parse-names":false,"suffix":""},{"dropping-particle":"","family":"Park","given":"Jaesung","non-dropping-particle":"","parse-names":false,"suffix":""},{"dropping-particle":"","family":"Chun","given":"Young","non-dropping-particle":"","parse-names":false,"suffix":""},{"dropping-particle":"","family":"Lee","given":"Jung Woo","non-dropping-particle":"","parse-names":false,"suffix":""},{"dropping-particle":"","family":"Hwang","given":"In Chul","non-dropping-particle":"","parse-names":false,"suffix":""},{"dropping-particle":"","family":"Kim","given":"Kwang S.","non-dropping-particle":"","parse-names":false,"suffix":""}],"container-title":"ACS Nano","id":"ITEM-1","issue":"7","issued":{"date-parts":[["2010"]]},"page":"3979-3986","title":"Water-dispersible magnetite-reduced graphene oxide composites for arsenic removal","type":"article-journal","volume":"4"},"uris":["http://www.mendeley.com/documents/?uuid=0df66192-1215-4cf2-b2a7-c902915e2894","http://www.mendeley.com/documents/?uuid=b124e344-defd-4197-b5fa-1fe8c684214a"]}],"mendeley":{"formattedCitation":"[9]","plainTextFormattedCitation":"[9]","previouslyFormattedCitation":"[9]"},"properties":{"noteIndex":0},"schema":"https://github.com/citation-style-language/schema/raw/master/csl-citation.json"}</w:instrText>
      </w:r>
      <w:r w:rsidRPr="006C5FBD">
        <w:rPr>
          <w:rFonts w:ascii="Times New Roman" w:hAnsi="Times New Roman"/>
          <w:sz w:val="20"/>
          <w:szCs w:val="24"/>
        </w:rPr>
        <w:fldChar w:fldCharType="separate"/>
      </w:r>
      <w:r w:rsidRPr="006C5FBD">
        <w:rPr>
          <w:rFonts w:ascii="Times New Roman" w:hAnsi="Times New Roman"/>
          <w:noProof/>
          <w:sz w:val="20"/>
          <w:szCs w:val="24"/>
        </w:rPr>
        <w:t>[9]</w:t>
      </w:r>
      <w:r w:rsidRPr="006C5FBD">
        <w:rPr>
          <w:rFonts w:ascii="Times New Roman" w:hAnsi="Times New Roman"/>
          <w:sz w:val="20"/>
          <w:szCs w:val="24"/>
        </w:rPr>
        <w:fldChar w:fldCharType="end"/>
      </w:r>
      <w:r w:rsidRPr="006C5FBD">
        <w:rPr>
          <w:rFonts w:ascii="Times New Roman" w:hAnsi="Times New Roman"/>
          <w:sz w:val="20"/>
          <w:szCs w:val="24"/>
        </w:rPr>
        <w:t>. By coupling both beneficial factors from the graphene and magnetite, the electronic and mechanical performance of the resulting compound may be enhanced. The combinations of excellent electrocatalytic activity of magnetite and good electronic properties of graphene serve as a promising hybrid material on measuring the UA content in biological sample. The UA monitoring examination is clinical diagnostic important as excessive amount of uric acid accumulated may potentially associated with disease of either chronic or acute as well as fatality.</w:t>
      </w:r>
    </w:p>
    <w:p w:rsidR="006C5FBD" w:rsidRPr="006C5FBD" w:rsidRDefault="006C5FBD" w:rsidP="006C5FBD">
      <w:pPr>
        <w:spacing w:after="0" w:line="240" w:lineRule="auto"/>
        <w:jc w:val="both"/>
        <w:rPr>
          <w:rFonts w:ascii="Times New Roman" w:hAnsi="Times New Roman"/>
          <w:sz w:val="20"/>
          <w:szCs w:val="24"/>
        </w:rPr>
      </w:pPr>
    </w:p>
    <w:p w:rsidR="006C5FBD" w:rsidRDefault="006C5FBD" w:rsidP="006C5FBD">
      <w:pPr>
        <w:spacing w:after="0" w:line="240" w:lineRule="auto"/>
        <w:jc w:val="both"/>
        <w:rPr>
          <w:rFonts w:ascii="Times New Roman" w:hAnsi="Times New Roman"/>
          <w:sz w:val="20"/>
          <w:szCs w:val="24"/>
        </w:rPr>
      </w:pPr>
      <w:r w:rsidRPr="006C5FBD">
        <w:rPr>
          <w:rFonts w:ascii="Times New Roman" w:hAnsi="Times New Roman"/>
          <w:sz w:val="20"/>
          <w:szCs w:val="24"/>
        </w:rPr>
        <w:t xml:space="preserve">The development of graphene-based hybrid material has been explore through its intended application in electronic industry, microprocessor chipset, and battery manufacture </w:t>
      </w:r>
      <w:r w:rsidRPr="006C5FBD">
        <w:rPr>
          <w:rFonts w:ascii="Times New Roman" w:hAnsi="Times New Roman"/>
          <w:sz w:val="20"/>
          <w:szCs w:val="24"/>
        </w:rPr>
        <w:fldChar w:fldCharType="begin" w:fldLock="1"/>
      </w:r>
      <w:r w:rsidRPr="006C5FBD">
        <w:rPr>
          <w:rFonts w:ascii="Times New Roman" w:hAnsi="Times New Roman"/>
          <w:sz w:val="20"/>
          <w:szCs w:val="24"/>
        </w:rPr>
        <w:instrText>ADDIN CSL_CITATION {"citationItems":[{"id":"ITEM-1","itemData":{"author":[{"dropping-particle":"","family":"Farghali","given":"Mohamed","non-dropping-particle":"","parse-names":false,"suffix":""},{"dropping-particle":"","family":"Material","given":"Advanced","non-dropping-particle":"","parse-names":false,"suffix":""},{"dropping-particle":"","family":"Salah","given":"Taher","non-dropping-particle":"","parse-names":false,"suffix":""},{"dropping-particle":"","family":"Al-enizi","given":"Abdullah M","non-dropping-particle":"","parse-names":false,"suffix":""}],"id":"ITEM-1","issue":"December","issued":{"date-parts":[["2014"]]},"page":"0-9","title":"Graphene / Magnetite Nanocomposite for Potential Environmental Application","type":"article-journal"},"uris":["http://www.mendeley.com/documents/?uuid=cfb19b67-0e3a-4ba6-b62c-aa2fe786e425","http://www.mendeley.com/documents/?uuid=3a75203a-d7e8-4284-a548-5e3d47e95f7c"]}],"mendeley":{"formattedCitation":"[10]","plainTextFormattedCitation":"[10]","previouslyFormattedCitation":"[10]"},"properties":{"noteIndex":0},"schema":"https://github.com/citation-style-language/schema/raw/master/csl-citation.json"}</w:instrText>
      </w:r>
      <w:r w:rsidRPr="006C5FBD">
        <w:rPr>
          <w:rFonts w:ascii="Times New Roman" w:hAnsi="Times New Roman"/>
          <w:sz w:val="20"/>
          <w:szCs w:val="24"/>
        </w:rPr>
        <w:fldChar w:fldCharType="separate"/>
      </w:r>
      <w:r w:rsidRPr="006C5FBD">
        <w:rPr>
          <w:rFonts w:ascii="Times New Roman" w:hAnsi="Times New Roman"/>
          <w:noProof/>
          <w:sz w:val="20"/>
          <w:szCs w:val="24"/>
        </w:rPr>
        <w:t>[10]</w:t>
      </w:r>
      <w:r w:rsidRPr="006C5FBD">
        <w:rPr>
          <w:rFonts w:ascii="Times New Roman" w:hAnsi="Times New Roman"/>
          <w:sz w:val="20"/>
          <w:szCs w:val="24"/>
        </w:rPr>
        <w:fldChar w:fldCharType="end"/>
      </w:r>
      <w:r w:rsidRPr="006C5FBD">
        <w:rPr>
          <w:rFonts w:ascii="Times New Roman" w:hAnsi="Times New Roman"/>
          <w:sz w:val="20"/>
          <w:szCs w:val="24"/>
        </w:rPr>
        <w:t>. In order to resolve the difficulties coped in determination of uric acid in real sample, the fabrication of magnetite (Fe</w:t>
      </w:r>
      <w:r w:rsidRPr="006C5FBD">
        <w:rPr>
          <w:rFonts w:ascii="Times New Roman" w:hAnsi="Times New Roman"/>
          <w:sz w:val="20"/>
          <w:szCs w:val="24"/>
          <w:vertAlign w:val="subscript"/>
        </w:rPr>
        <w:t>3</w:t>
      </w:r>
      <w:r w:rsidRPr="006C5FBD">
        <w:rPr>
          <w:rFonts w:ascii="Times New Roman" w:hAnsi="Times New Roman"/>
          <w:sz w:val="20"/>
          <w:szCs w:val="24"/>
        </w:rPr>
        <w:t>O</w:t>
      </w:r>
      <w:r w:rsidRPr="006C5FBD">
        <w:rPr>
          <w:rFonts w:ascii="Times New Roman" w:hAnsi="Times New Roman"/>
          <w:sz w:val="20"/>
          <w:szCs w:val="24"/>
          <w:vertAlign w:val="subscript"/>
        </w:rPr>
        <w:t>4</w:t>
      </w:r>
      <w:r w:rsidRPr="006C5FBD">
        <w:rPr>
          <w:rFonts w:ascii="Times New Roman" w:hAnsi="Times New Roman"/>
          <w:sz w:val="20"/>
          <w:szCs w:val="24"/>
        </w:rPr>
        <w:t>) supported on the reduced graphene oxide (rGO) nanocomposite coated on glassy carbon electrode (GCE) is proposed in this paper. The Fe</w:t>
      </w:r>
      <w:r w:rsidRPr="006C5FBD">
        <w:rPr>
          <w:rFonts w:ascii="Times New Roman" w:hAnsi="Times New Roman"/>
          <w:sz w:val="20"/>
          <w:szCs w:val="24"/>
          <w:vertAlign w:val="subscript"/>
        </w:rPr>
        <w:t>3</w:t>
      </w:r>
      <w:r w:rsidRPr="006C5FBD">
        <w:rPr>
          <w:rFonts w:ascii="Times New Roman" w:hAnsi="Times New Roman"/>
          <w:sz w:val="20"/>
          <w:szCs w:val="24"/>
        </w:rPr>
        <w:t>O</w:t>
      </w:r>
      <w:r w:rsidRPr="006C5FBD">
        <w:rPr>
          <w:rFonts w:ascii="Times New Roman" w:hAnsi="Times New Roman"/>
          <w:sz w:val="20"/>
          <w:szCs w:val="24"/>
          <w:vertAlign w:val="subscript"/>
        </w:rPr>
        <w:t>4</w:t>
      </w:r>
      <w:r w:rsidRPr="006C5FBD">
        <w:rPr>
          <w:rFonts w:ascii="Times New Roman" w:hAnsi="Times New Roman"/>
          <w:sz w:val="20"/>
          <w:szCs w:val="24"/>
        </w:rPr>
        <w:t>/rGO/GCE has demonstrated better biocompatibility as compare to bare glassy carbon electrode. Its noticeable electron transfer kinetic enhances the overall performance of the electrochemical instrumental about the desirable sensitivity and selectivity of electrode react with.</w:t>
      </w:r>
    </w:p>
    <w:p w:rsidR="006C5FBD" w:rsidRPr="006C5FBD" w:rsidRDefault="006C5FBD" w:rsidP="006C5FBD">
      <w:pPr>
        <w:spacing w:after="0" w:line="240" w:lineRule="auto"/>
        <w:jc w:val="center"/>
        <w:rPr>
          <w:rFonts w:ascii="Times New Roman" w:hAnsi="Times New Roman"/>
          <w:sz w:val="20"/>
          <w:szCs w:val="24"/>
        </w:rPr>
      </w:pPr>
    </w:p>
    <w:p w:rsidR="006C5FBD" w:rsidRPr="006C5FBD" w:rsidRDefault="006C5FBD" w:rsidP="006C5FBD">
      <w:pPr>
        <w:spacing w:after="0" w:line="240" w:lineRule="auto"/>
        <w:jc w:val="center"/>
        <w:rPr>
          <w:rFonts w:ascii="Times New Roman" w:hAnsi="Times New Roman"/>
          <w:b/>
          <w:sz w:val="20"/>
          <w:szCs w:val="24"/>
        </w:rPr>
      </w:pPr>
      <w:bookmarkStart w:id="0" w:name="_Toc532057310"/>
      <w:r w:rsidRPr="006C5FBD">
        <w:rPr>
          <w:rFonts w:ascii="Times New Roman" w:hAnsi="Times New Roman"/>
          <w:b/>
          <w:sz w:val="20"/>
          <w:szCs w:val="24"/>
        </w:rPr>
        <w:t>Materials and Methods</w:t>
      </w:r>
    </w:p>
    <w:p w:rsidR="006C5FBD" w:rsidRPr="006C5FBD" w:rsidRDefault="006C5FBD" w:rsidP="006C5FBD">
      <w:pPr>
        <w:spacing w:after="0" w:line="240" w:lineRule="auto"/>
        <w:jc w:val="both"/>
        <w:rPr>
          <w:rFonts w:ascii="Times New Roman" w:hAnsi="Times New Roman"/>
          <w:b/>
          <w:sz w:val="20"/>
          <w:szCs w:val="24"/>
        </w:rPr>
      </w:pPr>
      <w:r w:rsidRPr="006C5FBD">
        <w:rPr>
          <w:rFonts w:ascii="Times New Roman" w:hAnsi="Times New Roman"/>
          <w:b/>
          <w:sz w:val="20"/>
          <w:szCs w:val="24"/>
        </w:rPr>
        <w:t>Reagent an</w:t>
      </w:r>
      <w:bookmarkEnd w:id="0"/>
      <w:r w:rsidRPr="006C5FBD">
        <w:rPr>
          <w:rFonts w:ascii="Times New Roman" w:hAnsi="Times New Roman"/>
          <w:b/>
          <w:sz w:val="20"/>
          <w:szCs w:val="24"/>
        </w:rPr>
        <w:t>d apparatus</w:t>
      </w:r>
    </w:p>
    <w:p w:rsidR="006C5FBD" w:rsidRPr="006C5FBD" w:rsidRDefault="006C5FBD" w:rsidP="006C5FBD">
      <w:pPr>
        <w:spacing w:after="0" w:line="240" w:lineRule="auto"/>
        <w:jc w:val="both"/>
        <w:rPr>
          <w:rFonts w:ascii="Times New Roman" w:hAnsi="Times New Roman"/>
          <w:sz w:val="20"/>
          <w:szCs w:val="24"/>
        </w:rPr>
      </w:pPr>
      <w:r w:rsidRPr="006C5FBD">
        <w:rPr>
          <w:rFonts w:ascii="Times New Roman" w:hAnsi="Times New Roman"/>
          <w:sz w:val="20"/>
          <w:szCs w:val="24"/>
        </w:rPr>
        <w:t>The concentrated sulfuric acid (H</w:t>
      </w:r>
      <w:r w:rsidRPr="006C5FBD">
        <w:rPr>
          <w:rFonts w:ascii="Times New Roman" w:hAnsi="Times New Roman"/>
          <w:sz w:val="20"/>
          <w:szCs w:val="24"/>
          <w:vertAlign w:val="subscript"/>
        </w:rPr>
        <w:t>2</w:t>
      </w:r>
      <w:r w:rsidRPr="006C5FBD">
        <w:rPr>
          <w:rFonts w:ascii="Times New Roman" w:hAnsi="Times New Roman"/>
          <w:sz w:val="20"/>
          <w:szCs w:val="24"/>
        </w:rPr>
        <w:t>SO</w:t>
      </w:r>
      <w:r w:rsidRPr="006C5FBD">
        <w:rPr>
          <w:rFonts w:ascii="Times New Roman" w:hAnsi="Times New Roman"/>
          <w:sz w:val="20"/>
          <w:szCs w:val="24"/>
          <w:vertAlign w:val="subscript"/>
        </w:rPr>
        <w:t xml:space="preserve">4, </w:t>
      </w:r>
      <w:r w:rsidRPr="006C5FBD">
        <w:rPr>
          <w:rFonts w:ascii="Times New Roman" w:hAnsi="Times New Roman"/>
          <w:sz w:val="20"/>
          <w:szCs w:val="24"/>
        </w:rPr>
        <w:t>98%), hydrochloric acid (HCl), ammonia (NH</w:t>
      </w:r>
      <w:r w:rsidRPr="006C5FBD">
        <w:rPr>
          <w:rFonts w:ascii="Times New Roman" w:hAnsi="Times New Roman"/>
          <w:sz w:val="20"/>
          <w:szCs w:val="24"/>
          <w:vertAlign w:val="subscript"/>
        </w:rPr>
        <w:t>3</w:t>
      </w:r>
      <w:r w:rsidRPr="006C5FBD">
        <w:rPr>
          <w:rFonts w:ascii="Times New Roman" w:hAnsi="Times New Roman"/>
          <w:sz w:val="20"/>
          <w:szCs w:val="24"/>
        </w:rPr>
        <w:t>), potassium permanganate (KMnO</w:t>
      </w:r>
      <w:r w:rsidRPr="006C5FBD">
        <w:rPr>
          <w:rFonts w:ascii="Times New Roman" w:hAnsi="Times New Roman"/>
          <w:sz w:val="20"/>
          <w:szCs w:val="24"/>
          <w:vertAlign w:val="subscript"/>
        </w:rPr>
        <w:t>4</w:t>
      </w:r>
      <w:r w:rsidRPr="006C5FBD">
        <w:rPr>
          <w:rFonts w:ascii="Times New Roman" w:hAnsi="Times New Roman"/>
          <w:sz w:val="20"/>
          <w:szCs w:val="24"/>
        </w:rPr>
        <w:t>), hydrogen peroxide (H</w:t>
      </w:r>
      <w:r w:rsidRPr="006C5FBD">
        <w:rPr>
          <w:rFonts w:ascii="Times New Roman" w:hAnsi="Times New Roman"/>
          <w:sz w:val="20"/>
          <w:szCs w:val="24"/>
          <w:vertAlign w:val="subscript"/>
        </w:rPr>
        <w:t>2</w:t>
      </w:r>
      <w:r w:rsidRPr="006C5FBD">
        <w:rPr>
          <w:rFonts w:ascii="Times New Roman" w:hAnsi="Times New Roman"/>
          <w:sz w:val="20"/>
          <w:szCs w:val="24"/>
        </w:rPr>
        <w:t>O</w:t>
      </w:r>
      <w:r w:rsidRPr="006C5FBD">
        <w:rPr>
          <w:rFonts w:ascii="Times New Roman" w:hAnsi="Times New Roman"/>
          <w:sz w:val="20"/>
          <w:szCs w:val="24"/>
          <w:vertAlign w:val="subscript"/>
        </w:rPr>
        <w:t xml:space="preserve">2, </w:t>
      </w:r>
      <w:r w:rsidRPr="006C5FBD">
        <w:rPr>
          <w:rFonts w:ascii="Times New Roman" w:hAnsi="Times New Roman"/>
          <w:sz w:val="20"/>
          <w:szCs w:val="24"/>
        </w:rPr>
        <w:t xml:space="preserve">30%) sodium nitrate and uric acid were purchased from the Merck, Germany. </w:t>
      </w:r>
      <w:r w:rsidRPr="006C5FBD">
        <w:rPr>
          <w:rFonts w:ascii="Times New Roman" w:hAnsi="Times New Roman"/>
          <w:sz w:val="20"/>
          <w:szCs w:val="24"/>
        </w:rPr>
        <w:lastRenderedPageBreak/>
        <w:t>The natural graphite powder, hydrazine hydrate, iron(II) chloride tetrahydrate (FeCl</w:t>
      </w:r>
      <w:r w:rsidRPr="006C5FBD">
        <w:rPr>
          <w:rFonts w:ascii="Times New Roman" w:hAnsi="Times New Roman"/>
          <w:sz w:val="20"/>
          <w:szCs w:val="24"/>
          <w:vertAlign w:val="subscript"/>
        </w:rPr>
        <w:t>2</w:t>
      </w:r>
      <w:r w:rsidRPr="006C5FBD">
        <w:rPr>
          <w:rFonts w:ascii="Times New Roman" w:hAnsi="Times New Roman"/>
          <w:sz w:val="20"/>
          <w:szCs w:val="24"/>
        </w:rPr>
        <w:t>·4H</w:t>
      </w:r>
      <w:r w:rsidRPr="006C5FBD">
        <w:rPr>
          <w:rFonts w:ascii="Times New Roman" w:hAnsi="Times New Roman"/>
          <w:sz w:val="20"/>
          <w:szCs w:val="24"/>
          <w:vertAlign w:val="subscript"/>
        </w:rPr>
        <w:t>2</w:t>
      </w:r>
      <w:r w:rsidRPr="006C5FBD">
        <w:rPr>
          <w:rFonts w:ascii="Times New Roman" w:hAnsi="Times New Roman"/>
          <w:sz w:val="20"/>
          <w:szCs w:val="24"/>
        </w:rPr>
        <w:t>O), and iron(III) chloride hexahydrate (FeCl</w:t>
      </w:r>
      <w:r w:rsidRPr="006C5FBD">
        <w:rPr>
          <w:rFonts w:ascii="Times New Roman" w:hAnsi="Times New Roman"/>
          <w:sz w:val="20"/>
          <w:szCs w:val="24"/>
          <w:vertAlign w:val="subscript"/>
        </w:rPr>
        <w:t>3</w:t>
      </w:r>
      <w:r w:rsidRPr="006C5FBD">
        <w:rPr>
          <w:rFonts w:ascii="Times New Roman" w:hAnsi="Times New Roman"/>
          <w:sz w:val="20"/>
          <w:szCs w:val="24"/>
        </w:rPr>
        <w:t>.6H</w:t>
      </w:r>
      <w:r w:rsidRPr="006C5FBD">
        <w:rPr>
          <w:rFonts w:ascii="Times New Roman" w:hAnsi="Times New Roman"/>
          <w:sz w:val="20"/>
          <w:szCs w:val="24"/>
          <w:vertAlign w:val="subscript"/>
        </w:rPr>
        <w:t>2</w:t>
      </w:r>
      <w:r w:rsidRPr="006C5FBD">
        <w:rPr>
          <w:rFonts w:ascii="Times New Roman" w:hAnsi="Times New Roman"/>
          <w:sz w:val="20"/>
          <w:szCs w:val="24"/>
        </w:rPr>
        <w:t xml:space="preserve">O) were obtained from Merck, Germany. The electrocatalytic performance of the magnetic nanocomposite decorated glassy electrode will be electrochemically analyzed by using 3-electrode system consists of counter electrode made of a platinum wire, silver/silver chloride electrode (Methrom AUTOLAB, Netherlands), with 3 M of KCl) as reference electrode, and magnetite-reduced  graphene oxide modified glassy electrode (BASi MF-2012 3.0mm diameter) as the working electrode, with the use of Potentiostat/Galvanostat module PGSTAT (Metrohm AUTOLAB, Nertherlands). </w:t>
      </w:r>
      <w:bookmarkStart w:id="1" w:name="_Toc532057313"/>
    </w:p>
    <w:p w:rsidR="006C5FBD" w:rsidRPr="006C5FBD" w:rsidRDefault="006C5FBD" w:rsidP="006C5FBD">
      <w:pPr>
        <w:spacing w:after="0" w:line="240" w:lineRule="auto"/>
        <w:jc w:val="both"/>
        <w:rPr>
          <w:rFonts w:ascii="Times New Roman" w:hAnsi="Times New Roman"/>
          <w:b/>
          <w:sz w:val="20"/>
          <w:szCs w:val="24"/>
        </w:rPr>
      </w:pPr>
    </w:p>
    <w:p w:rsidR="006C5FBD" w:rsidRPr="006C5FBD" w:rsidRDefault="006C5FBD" w:rsidP="006C5FBD">
      <w:pPr>
        <w:spacing w:after="0" w:line="240" w:lineRule="auto"/>
        <w:jc w:val="both"/>
        <w:rPr>
          <w:rFonts w:ascii="Times New Roman" w:hAnsi="Times New Roman"/>
          <w:b/>
          <w:sz w:val="20"/>
          <w:szCs w:val="24"/>
        </w:rPr>
      </w:pPr>
      <w:r w:rsidRPr="006C5FBD">
        <w:rPr>
          <w:rFonts w:ascii="Times New Roman" w:hAnsi="Times New Roman"/>
          <w:b/>
          <w:sz w:val="20"/>
          <w:szCs w:val="24"/>
        </w:rPr>
        <w:t xml:space="preserve">Synthesis of rGO </w:t>
      </w:r>
      <w:bookmarkEnd w:id="1"/>
    </w:p>
    <w:p w:rsidR="006C5FBD" w:rsidRPr="006C5FBD" w:rsidRDefault="006C5FBD" w:rsidP="006C5FBD">
      <w:pPr>
        <w:spacing w:after="0" w:line="240" w:lineRule="auto"/>
        <w:jc w:val="both"/>
        <w:rPr>
          <w:rFonts w:ascii="Times New Roman" w:hAnsi="Times New Roman"/>
          <w:sz w:val="20"/>
          <w:szCs w:val="24"/>
        </w:rPr>
      </w:pPr>
      <w:r w:rsidRPr="006C5FBD">
        <w:rPr>
          <w:rFonts w:ascii="Times New Roman" w:hAnsi="Times New Roman"/>
          <w:sz w:val="20"/>
          <w:szCs w:val="24"/>
        </w:rPr>
        <w:t>Firstly, </w:t>
      </w:r>
      <w:r w:rsidRPr="006C5FBD">
        <w:rPr>
          <w:rFonts w:ascii="Times New Roman" w:hAnsi="Times New Roman"/>
          <w:bCs/>
          <w:sz w:val="20"/>
          <w:szCs w:val="24"/>
        </w:rPr>
        <w:t>GO</w:t>
      </w:r>
      <w:r w:rsidRPr="006C5FBD">
        <w:rPr>
          <w:rFonts w:ascii="Times New Roman" w:hAnsi="Times New Roman"/>
          <w:sz w:val="20"/>
          <w:szCs w:val="24"/>
        </w:rPr>
        <w:t> was prepared by modified Hummer's method as </w:t>
      </w:r>
      <w:r w:rsidRPr="006C5FBD">
        <w:rPr>
          <w:rFonts w:ascii="Times New Roman" w:hAnsi="Times New Roman"/>
          <w:bCs/>
          <w:sz w:val="20"/>
          <w:szCs w:val="24"/>
        </w:rPr>
        <w:t>reported by Yusoff et al</w:t>
      </w:r>
      <w:r w:rsidRPr="006C5FBD">
        <w:rPr>
          <w:rFonts w:ascii="Times New Roman" w:hAnsi="Times New Roman"/>
          <w:bCs/>
          <w:i/>
          <w:sz w:val="20"/>
          <w:szCs w:val="24"/>
        </w:rPr>
        <w:t>.</w:t>
      </w:r>
      <w:r w:rsidRPr="006C5FBD">
        <w:rPr>
          <w:rFonts w:ascii="Times New Roman" w:hAnsi="Times New Roman"/>
          <w:bCs/>
          <w:sz w:val="20"/>
          <w:szCs w:val="24"/>
        </w:rPr>
        <w:t xml:space="preserve"> </w:t>
      </w:r>
      <w:r w:rsidRPr="006C5FBD">
        <w:rPr>
          <w:rFonts w:ascii="Times New Roman" w:hAnsi="Times New Roman"/>
          <w:bCs/>
          <w:sz w:val="20"/>
          <w:szCs w:val="24"/>
        </w:rPr>
        <w:fldChar w:fldCharType="begin" w:fldLock="1"/>
      </w:r>
      <w:r w:rsidRPr="006C5FBD">
        <w:rPr>
          <w:rFonts w:ascii="Times New Roman" w:hAnsi="Times New Roman"/>
          <w:bCs/>
          <w:sz w:val="20"/>
          <w:szCs w:val="24"/>
        </w:rPr>
        <w:instrText>ADDIN CSL_CITATION {"citationItems":[{"id":"ITEM-1","itemData":{"author":[{"dropping-particle":"","family":"Elektrokimia","given":"Sifat","non-dropping-particle":"","parse-names":false,"suffix":""},{"dropping-particle":"","family":"Komposit","given":"Elektrod","non-dropping-particle":"","parse-names":false,"suffix":""},{"dropping-particle":"","family":"Oksida","given":"Zink","non-dropping-particle":"","parse-names":false,"suffix":""},{"dropping-particle":"","family":"Oksida","given":"Grafin","non-dropping-particle":"","parse-names":false,"suffix":""}],"id":"ITEM-1","issue":"2","issued":{"date-parts":[["2018"]]},"page":"227-237","title":"THE ELECTROCHEMICAL BEHAVIOR OF ZINC OXIDE / REDUCED GRAPHENE OXIDE COMPOSITE ELECTRODE IN DOPAMINE","type":"article-journal","volume":"22"},"uris":["http://www.mendeley.com/documents/?uuid=c602cb3f-8e2c-4139-881b-8cfeb8dc8ddf","http://www.mendeley.com/documents/?uuid=29815e45-f9e0-44bc-bf69-d4d8498d64c5"]}],"mendeley":{"formattedCitation":"[11]","plainTextFormattedCitation":"[11]","previouslyFormattedCitation":"[11]"},"properties":{"noteIndex":0},"schema":"https://github.com/citation-style-language/schema/raw/master/csl-citation.json"}</w:instrText>
      </w:r>
      <w:r w:rsidRPr="006C5FBD">
        <w:rPr>
          <w:rFonts w:ascii="Times New Roman" w:hAnsi="Times New Roman"/>
          <w:bCs/>
          <w:sz w:val="20"/>
          <w:szCs w:val="24"/>
        </w:rPr>
        <w:fldChar w:fldCharType="separate"/>
      </w:r>
      <w:r w:rsidRPr="006C5FBD">
        <w:rPr>
          <w:rFonts w:ascii="Times New Roman" w:hAnsi="Times New Roman"/>
          <w:bCs/>
          <w:noProof/>
          <w:sz w:val="20"/>
          <w:szCs w:val="24"/>
        </w:rPr>
        <w:t>[11]</w:t>
      </w:r>
      <w:r w:rsidRPr="006C5FBD">
        <w:rPr>
          <w:rFonts w:ascii="Times New Roman" w:hAnsi="Times New Roman"/>
          <w:bCs/>
          <w:sz w:val="20"/>
          <w:szCs w:val="24"/>
        </w:rPr>
        <w:fldChar w:fldCharType="end"/>
      </w:r>
      <w:r w:rsidRPr="006C5FBD">
        <w:rPr>
          <w:rFonts w:ascii="Times New Roman" w:hAnsi="Times New Roman"/>
          <w:bCs/>
          <w:sz w:val="20"/>
          <w:szCs w:val="24"/>
        </w:rPr>
        <w:t>.</w:t>
      </w:r>
      <w:r w:rsidRPr="006C5FBD">
        <w:rPr>
          <w:rFonts w:ascii="Times New Roman" w:hAnsi="Times New Roman"/>
          <w:sz w:val="20"/>
          <w:szCs w:val="24"/>
        </w:rPr>
        <w:t xml:space="preserve"> The graphene oxide solid sample obtained from the modified Hummers’ method was grounded with mortar and pester. The 0.5g of fine powder GO first dispersed in deionized water and sonicate for 30 minutes at 60 </w:t>
      </w:r>
      <w:r w:rsidRPr="006C5FBD">
        <w:rPr>
          <w:rFonts w:ascii="Times New Roman" w:hAnsi="Times New Roman"/>
          <w:sz w:val="20"/>
          <w:szCs w:val="24"/>
          <w:vertAlign w:val="superscript"/>
        </w:rPr>
        <w:t>o</w:t>
      </w:r>
      <w:r w:rsidRPr="006C5FBD">
        <w:rPr>
          <w:rFonts w:ascii="Times New Roman" w:hAnsi="Times New Roman"/>
          <w:sz w:val="20"/>
          <w:szCs w:val="24"/>
        </w:rPr>
        <w:t xml:space="preserve">C. Later, 5g of ascorbic acid added into the homogenized GO solution and stirred with magnetic bar for 30 minutes at 60 </w:t>
      </w:r>
      <w:r w:rsidRPr="006C5FBD">
        <w:rPr>
          <w:rFonts w:ascii="Times New Roman" w:hAnsi="Times New Roman"/>
          <w:sz w:val="20"/>
          <w:szCs w:val="24"/>
          <w:vertAlign w:val="superscript"/>
        </w:rPr>
        <w:t>o</w:t>
      </w:r>
      <w:r w:rsidRPr="006C5FBD">
        <w:rPr>
          <w:rFonts w:ascii="Times New Roman" w:hAnsi="Times New Roman"/>
          <w:sz w:val="20"/>
          <w:szCs w:val="24"/>
        </w:rPr>
        <w:t xml:space="preserve">C. The mixture underwent a color changes from yellowish brown to black precipitate, indicative of reduction of GO. The reduction product was treated with centrifugation and remove the supernatant. The black paste of rGO was added with excess 30% hydrogen peroxide to eliminate the unreacted AA by sonicating for 30 minutes at 60 </w:t>
      </w:r>
      <w:r w:rsidRPr="006C5FBD">
        <w:rPr>
          <w:rFonts w:ascii="Times New Roman" w:hAnsi="Times New Roman"/>
          <w:sz w:val="20"/>
          <w:szCs w:val="24"/>
          <w:vertAlign w:val="superscript"/>
        </w:rPr>
        <w:t>o</w:t>
      </w:r>
      <w:r w:rsidRPr="006C5FBD">
        <w:rPr>
          <w:rFonts w:ascii="Times New Roman" w:hAnsi="Times New Roman"/>
          <w:sz w:val="20"/>
          <w:szCs w:val="24"/>
        </w:rPr>
        <w:t>C. After sonication, the resulted black solid was obtained by centrifugation and wash with ethanol, deionized water 3 times respectively, and dried in the oven at 100</w:t>
      </w:r>
      <w:bookmarkStart w:id="2" w:name="_Toc532057315"/>
      <w:r w:rsidRPr="006C5FBD">
        <w:rPr>
          <w:rFonts w:ascii="Times New Roman" w:hAnsi="Times New Roman"/>
          <w:sz w:val="20"/>
          <w:szCs w:val="24"/>
        </w:rPr>
        <w:t xml:space="preserve"> </w:t>
      </w:r>
      <w:r w:rsidRPr="006C5FBD">
        <w:rPr>
          <w:rFonts w:ascii="Times New Roman" w:hAnsi="Times New Roman"/>
          <w:sz w:val="20"/>
          <w:szCs w:val="24"/>
          <w:vertAlign w:val="superscript"/>
        </w:rPr>
        <w:t>o</w:t>
      </w:r>
      <w:r w:rsidRPr="006C5FBD">
        <w:rPr>
          <w:rFonts w:ascii="Times New Roman" w:hAnsi="Times New Roman"/>
          <w:sz w:val="20"/>
          <w:szCs w:val="24"/>
        </w:rPr>
        <w:t>C.</w:t>
      </w:r>
    </w:p>
    <w:p w:rsidR="006C5FBD" w:rsidRPr="006C5FBD" w:rsidRDefault="006C5FBD" w:rsidP="006C5FBD">
      <w:pPr>
        <w:spacing w:after="0" w:line="240" w:lineRule="auto"/>
        <w:jc w:val="both"/>
        <w:rPr>
          <w:rFonts w:ascii="Times New Roman" w:hAnsi="Times New Roman"/>
          <w:i/>
          <w:sz w:val="20"/>
          <w:szCs w:val="24"/>
        </w:rPr>
      </w:pPr>
    </w:p>
    <w:p w:rsidR="006C5FBD" w:rsidRPr="006C5FBD" w:rsidRDefault="006C5FBD" w:rsidP="006C5FBD">
      <w:pPr>
        <w:spacing w:after="0" w:line="240" w:lineRule="auto"/>
        <w:jc w:val="both"/>
        <w:rPr>
          <w:rFonts w:ascii="Times New Roman" w:hAnsi="Times New Roman"/>
          <w:b/>
          <w:sz w:val="20"/>
          <w:szCs w:val="24"/>
        </w:rPr>
      </w:pPr>
      <w:r w:rsidRPr="006C5FBD">
        <w:rPr>
          <w:rFonts w:ascii="Times New Roman" w:hAnsi="Times New Roman"/>
          <w:b/>
          <w:sz w:val="20"/>
          <w:szCs w:val="24"/>
        </w:rPr>
        <w:t>Co-precipitation of magnetite</w:t>
      </w:r>
      <w:bookmarkEnd w:id="2"/>
      <w:r w:rsidRPr="006C5FBD">
        <w:rPr>
          <w:rFonts w:ascii="Times New Roman" w:hAnsi="Times New Roman"/>
          <w:b/>
          <w:sz w:val="20"/>
          <w:szCs w:val="24"/>
        </w:rPr>
        <w:t xml:space="preserve"> </w:t>
      </w:r>
    </w:p>
    <w:p w:rsidR="006C5FBD" w:rsidRPr="006C5FBD" w:rsidRDefault="006C5FBD" w:rsidP="006C5FBD">
      <w:pPr>
        <w:spacing w:after="0" w:line="240" w:lineRule="auto"/>
        <w:jc w:val="both"/>
        <w:rPr>
          <w:rFonts w:ascii="Times New Roman" w:hAnsi="Times New Roman"/>
          <w:sz w:val="20"/>
          <w:szCs w:val="24"/>
        </w:rPr>
      </w:pPr>
      <w:r w:rsidRPr="006C5FBD">
        <w:rPr>
          <w:rFonts w:ascii="Times New Roman" w:hAnsi="Times New Roman"/>
          <w:sz w:val="20"/>
          <w:szCs w:val="24"/>
        </w:rPr>
        <w:t xml:space="preserve">The ferric (10.4 g) and ferrous chloride (4.0 g) can be prepared in a 2:1 mole ratio in 200 mL of degassed deionized water. The solution containing both ferric and ferrous species was heated up to 50 </w:t>
      </w:r>
      <w:r w:rsidRPr="006C5FBD">
        <w:rPr>
          <w:rFonts w:ascii="Times New Roman" w:hAnsi="Times New Roman"/>
          <w:sz w:val="20"/>
          <w:szCs w:val="24"/>
          <w:vertAlign w:val="superscript"/>
        </w:rPr>
        <w:t>o</w:t>
      </w:r>
      <w:r w:rsidRPr="006C5FBD">
        <w:rPr>
          <w:rFonts w:ascii="Times New Roman" w:hAnsi="Times New Roman"/>
          <w:sz w:val="20"/>
          <w:szCs w:val="24"/>
        </w:rPr>
        <w:t xml:space="preserve">C for 10 minutes. After the heating process completed, 2 mL of 25% ammonium hydroxide was added dropwise into the mixture solution under constant stirring rate at 50 </w:t>
      </w:r>
      <w:r w:rsidRPr="006C5FBD">
        <w:rPr>
          <w:rFonts w:ascii="Times New Roman" w:hAnsi="Times New Roman"/>
          <w:sz w:val="20"/>
          <w:szCs w:val="24"/>
          <w:vertAlign w:val="superscript"/>
        </w:rPr>
        <w:t>o</w:t>
      </w:r>
      <w:r w:rsidRPr="006C5FBD">
        <w:rPr>
          <w:rFonts w:ascii="Times New Roman" w:hAnsi="Times New Roman"/>
          <w:sz w:val="20"/>
          <w:szCs w:val="24"/>
        </w:rPr>
        <w:t xml:space="preserve">C. The pH of the mixture was adjusted using the relatively small amount of sodium hydroxide solution to maintain the solution within the pH range of 9-10. The solution stirred continuously at the same condition for one hour. The black solid magnetite was separated from the solution using a strong magnet, washed with 1:1 composition mixture of ethanol and deionized water. The solid mass was dried in the oven at </w:t>
      </w:r>
      <w:bookmarkStart w:id="3" w:name="_Toc532057316"/>
      <w:r w:rsidRPr="006C5FBD">
        <w:rPr>
          <w:rFonts w:ascii="Times New Roman" w:hAnsi="Times New Roman"/>
          <w:sz w:val="20"/>
          <w:szCs w:val="24"/>
        </w:rPr>
        <w:t xml:space="preserve">70 </w:t>
      </w:r>
      <w:r w:rsidRPr="006C5FBD">
        <w:rPr>
          <w:rFonts w:ascii="Times New Roman" w:hAnsi="Times New Roman"/>
          <w:sz w:val="20"/>
          <w:szCs w:val="24"/>
          <w:vertAlign w:val="superscript"/>
        </w:rPr>
        <w:t>o</w:t>
      </w:r>
      <w:r w:rsidRPr="006C5FBD">
        <w:rPr>
          <w:rFonts w:ascii="Times New Roman" w:hAnsi="Times New Roman"/>
          <w:sz w:val="20"/>
          <w:szCs w:val="24"/>
        </w:rPr>
        <w:t xml:space="preserve">C for 6 hours. </w:t>
      </w:r>
    </w:p>
    <w:p w:rsidR="006C5FBD" w:rsidRPr="006C5FBD" w:rsidRDefault="006C5FBD" w:rsidP="006C5FBD">
      <w:pPr>
        <w:spacing w:after="0" w:line="240" w:lineRule="auto"/>
        <w:jc w:val="both"/>
        <w:rPr>
          <w:rFonts w:ascii="Times New Roman" w:hAnsi="Times New Roman"/>
          <w:sz w:val="20"/>
          <w:szCs w:val="24"/>
        </w:rPr>
      </w:pPr>
    </w:p>
    <w:p w:rsidR="006C5FBD" w:rsidRPr="006C5FBD" w:rsidRDefault="006C5FBD" w:rsidP="006C5FBD">
      <w:pPr>
        <w:spacing w:after="0" w:line="240" w:lineRule="auto"/>
        <w:jc w:val="both"/>
        <w:rPr>
          <w:rFonts w:ascii="Times New Roman" w:hAnsi="Times New Roman"/>
          <w:b/>
          <w:sz w:val="20"/>
          <w:szCs w:val="24"/>
        </w:rPr>
      </w:pPr>
      <w:r w:rsidRPr="006C5FBD">
        <w:rPr>
          <w:rFonts w:ascii="Times New Roman" w:hAnsi="Times New Roman"/>
          <w:b/>
          <w:sz w:val="20"/>
          <w:szCs w:val="24"/>
        </w:rPr>
        <w:t>Preparation of magnetic nanocomposite (Fe</w:t>
      </w:r>
      <w:r w:rsidRPr="006C5FBD">
        <w:rPr>
          <w:rFonts w:ascii="Times New Roman" w:hAnsi="Times New Roman"/>
          <w:b/>
          <w:sz w:val="20"/>
          <w:szCs w:val="24"/>
          <w:vertAlign w:val="subscript"/>
        </w:rPr>
        <w:t>3</w:t>
      </w:r>
      <w:r w:rsidRPr="006C5FBD">
        <w:rPr>
          <w:rFonts w:ascii="Times New Roman" w:hAnsi="Times New Roman"/>
          <w:b/>
          <w:sz w:val="20"/>
          <w:szCs w:val="24"/>
        </w:rPr>
        <w:t>O</w:t>
      </w:r>
      <w:r w:rsidRPr="006C5FBD">
        <w:rPr>
          <w:rFonts w:ascii="Times New Roman" w:hAnsi="Times New Roman"/>
          <w:b/>
          <w:sz w:val="20"/>
          <w:szCs w:val="24"/>
          <w:vertAlign w:val="subscript"/>
        </w:rPr>
        <w:t>4</w:t>
      </w:r>
      <w:r w:rsidRPr="006C5FBD">
        <w:rPr>
          <w:rFonts w:ascii="Times New Roman" w:hAnsi="Times New Roman"/>
          <w:b/>
          <w:sz w:val="20"/>
          <w:szCs w:val="24"/>
        </w:rPr>
        <w:t>/rGO) through co-precipitation</w:t>
      </w:r>
      <w:bookmarkEnd w:id="3"/>
      <w:r w:rsidRPr="006C5FBD">
        <w:rPr>
          <w:rFonts w:ascii="Times New Roman" w:hAnsi="Times New Roman"/>
          <w:b/>
          <w:sz w:val="20"/>
          <w:szCs w:val="24"/>
        </w:rPr>
        <w:t xml:space="preserve"> </w:t>
      </w:r>
    </w:p>
    <w:p w:rsidR="006C5FBD" w:rsidRPr="006C5FBD" w:rsidRDefault="006C5FBD" w:rsidP="006C5FBD">
      <w:pPr>
        <w:spacing w:after="0" w:line="240" w:lineRule="auto"/>
        <w:jc w:val="both"/>
        <w:rPr>
          <w:rFonts w:ascii="Times New Roman" w:hAnsi="Times New Roman"/>
          <w:sz w:val="20"/>
          <w:szCs w:val="24"/>
        </w:rPr>
      </w:pPr>
      <w:r w:rsidRPr="006C5FBD">
        <w:rPr>
          <w:rFonts w:ascii="Times New Roman" w:hAnsi="Times New Roman"/>
          <w:sz w:val="20"/>
          <w:szCs w:val="24"/>
        </w:rPr>
        <w:t xml:space="preserve">The obtained graphite oxide powder (0.5 g) was homogenized in 300 mL deionized water through ultra-sonication for 35 minutes. The solutions of ferrous chloride (0.1584 g/25 mL) and ferric chloride (0.4055 g/2 5mL) will be prepared according to 1:2 molar ratio, which is the elemental stoichiometric need for the exact composition of the magnetite required. The resulting monodispersed solution was added with the as prepared iron (II/III) solutions slowly at room temperature and stirred at low speed power.  Next, alkalization of the mixture solution by adding 30% ammonia solution. The pH of the mixture was adjusted to a magnitude of 10-11. Later on, the stirring mixture was gradually heated up to 90 </w:t>
      </w:r>
      <w:r w:rsidRPr="006C5FBD">
        <w:rPr>
          <w:rFonts w:ascii="Times New Roman" w:hAnsi="Times New Roman"/>
          <w:sz w:val="20"/>
          <w:szCs w:val="24"/>
          <w:vertAlign w:val="superscript"/>
        </w:rPr>
        <w:t>o</w:t>
      </w:r>
      <w:r w:rsidRPr="006C5FBD">
        <w:rPr>
          <w:rFonts w:ascii="Times New Roman" w:hAnsi="Times New Roman"/>
          <w:sz w:val="20"/>
          <w:szCs w:val="24"/>
        </w:rPr>
        <w:t xml:space="preserve">C and meanwhile promoting a reducing atmosphere by introduction of suitable amount of hydrazine hydrate (10 mL). The solution heated up for 4 hours at constant stirring condition. The resulting black solution cooled under room atmosphere and filtered with mixture of ethanol and water (1:1). The black powder obtained after drying in the oven at 70 </w:t>
      </w:r>
      <w:r w:rsidRPr="006C5FBD">
        <w:rPr>
          <w:rFonts w:ascii="Times New Roman" w:hAnsi="Times New Roman"/>
          <w:sz w:val="20"/>
          <w:szCs w:val="24"/>
          <w:vertAlign w:val="superscript"/>
        </w:rPr>
        <w:t>o</w:t>
      </w:r>
      <w:r w:rsidRPr="006C5FBD">
        <w:rPr>
          <w:rFonts w:ascii="Times New Roman" w:hAnsi="Times New Roman"/>
          <w:sz w:val="20"/>
          <w:szCs w:val="24"/>
        </w:rPr>
        <w:t xml:space="preserve">C for 2 hours. </w:t>
      </w:r>
    </w:p>
    <w:p w:rsidR="006C5FBD" w:rsidRPr="006C5FBD" w:rsidRDefault="006C5FBD" w:rsidP="006C5FBD">
      <w:pPr>
        <w:spacing w:after="0" w:line="240" w:lineRule="auto"/>
        <w:jc w:val="both"/>
        <w:rPr>
          <w:rFonts w:ascii="Times New Roman" w:hAnsi="Times New Roman"/>
          <w:sz w:val="20"/>
          <w:szCs w:val="24"/>
        </w:rPr>
      </w:pPr>
    </w:p>
    <w:p w:rsidR="006C5FBD" w:rsidRPr="006C5FBD" w:rsidRDefault="006C5FBD" w:rsidP="006C5FBD">
      <w:pPr>
        <w:spacing w:after="0" w:line="240" w:lineRule="auto"/>
        <w:jc w:val="both"/>
        <w:rPr>
          <w:rFonts w:ascii="Times New Roman" w:hAnsi="Times New Roman"/>
          <w:b/>
          <w:sz w:val="20"/>
          <w:szCs w:val="24"/>
        </w:rPr>
      </w:pPr>
      <w:bookmarkStart w:id="4" w:name="_Toc532057318"/>
      <w:r w:rsidRPr="006C5FBD">
        <w:rPr>
          <w:rFonts w:ascii="Times New Roman" w:hAnsi="Times New Roman"/>
          <w:b/>
          <w:sz w:val="20"/>
          <w:szCs w:val="24"/>
        </w:rPr>
        <w:t>Fabrication of the magnetite-graphene composite film</w:t>
      </w:r>
      <w:bookmarkEnd w:id="4"/>
      <w:r w:rsidRPr="006C5FBD">
        <w:rPr>
          <w:rFonts w:ascii="Times New Roman" w:hAnsi="Times New Roman"/>
          <w:b/>
          <w:sz w:val="20"/>
          <w:szCs w:val="24"/>
        </w:rPr>
        <w:t xml:space="preserve"> </w:t>
      </w:r>
    </w:p>
    <w:p w:rsidR="006C5FBD" w:rsidRDefault="006C5FBD" w:rsidP="006C5FBD">
      <w:pPr>
        <w:spacing w:after="0" w:line="240" w:lineRule="auto"/>
        <w:jc w:val="both"/>
        <w:rPr>
          <w:rFonts w:ascii="Times New Roman" w:hAnsi="Times New Roman"/>
          <w:sz w:val="20"/>
          <w:szCs w:val="24"/>
        </w:rPr>
      </w:pPr>
      <w:r w:rsidRPr="006C5FBD">
        <w:rPr>
          <w:rFonts w:ascii="Times New Roman" w:hAnsi="Times New Roman"/>
          <w:sz w:val="20"/>
          <w:szCs w:val="24"/>
        </w:rPr>
        <w:t>Prior to the surface modification of the bare glassy carbon electrode (3 mm in diameter), the surface was polished with fine alumina slurry (0.05 μm) and rinse thoroughly with deionized water. The GCE will then ultra-sonicate in the acetone and deionized water successively and dry under ambient condition. The Fe</w:t>
      </w:r>
      <w:r w:rsidRPr="006C5FBD">
        <w:rPr>
          <w:rFonts w:ascii="Times New Roman" w:hAnsi="Times New Roman"/>
          <w:sz w:val="20"/>
          <w:szCs w:val="24"/>
          <w:vertAlign w:val="subscript"/>
        </w:rPr>
        <w:t>3</w:t>
      </w:r>
      <w:r w:rsidRPr="006C5FBD">
        <w:rPr>
          <w:rFonts w:ascii="Times New Roman" w:hAnsi="Times New Roman"/>
          <w:sz w:val="20"/>
          <w:szCs w:val="24"/>
        </w:rPr>
        <w:t>O</w:t>
      </w:r>
      <w:r w:rsidRPr="006C5FBD">
        <w:rPr>
          <w:rFonts w:ascii="Times New Roman" w:hAnsi="Times New Roman"/>
          <w:sz w:val="20"/>
          <w:szCs w:val="24"/>
          <w:vertAlign w:val="subscript"/>
        </w:rPr>
        <w:t>4</w:t>
      </w:r>
      <w:r w:rsidRPr="006C5FBD">
        <w:rPr>
          <w:rFonts w:ascii="Times New Roman" w:hAnsi="Times New Roman"/>
          <w:sz w:val="20"/>
          <w:szCs w:val="24"/>
        </w:rPr>
        <w:t>/rGO (1.0 mg) was added into 1 mL of deionized water and produced a homogeneous suspension after completion of one-hour sonication. Finally, 5 μL of the Fe</w:t>
      </w:r>
      <w:r w:rsidRPr="006C5FBD">
        <w:rPr>
          <w:rFonts w:ascii="Times New Roman" w:hAnsi="Times New Roman"/>
          <w:sz w:val="20"/>
          <w:szCs w:val="24"/>
          <w:vertAlign w:val="subscript"/>
        </w:rPr>
        <w:t>3</w:t>
      </w:r>
      <w:r w:rsidRPr="006C5FBD">
        <w:rPr>
          <w:rFonts w:ascii="Times New Roman" w:hAnsi="Times New Roman"/>
          <w:sz w:val="20"/>
          <w:szCs w:val="24"/>
        </w:rPr>
        <w:t>O</w:t>
      </w:r>
      <w:r w:rsidRPr="006C5FBD">
        <w:rPr>
          <w:rFonts w:ascii="Times New Roman" w:hAnsi="Times New Roman"/>
          <w:sz w:val="20"/>
          <w:szCs w:val="24"/>
          <w:vertAlign w:val="subscript"/>
        </w:rPr>
        <w:t>4</w:t>
      </w:r>
      <w:r w:rsidRPr="006C5FBD">
        <w:rPr>
          <w:rFonts w:ascii="Times New Roman" w:hAnsi="Times New Roman"/>
          <w:sz w:val="20"/>
          <w:szCs w:val="24"/>
        </w:rPr>
        <w:t xml:space="preserve">/rGO homogenized solution was drop-casted on the pretreated GCE and allowed to dry in a </w:t>
      </w:r>
      <w:bookmarkStart w:id="5" w:name="_Toc532057319"/>
      <w:r w:rsidRPr="006C5FBD">
        <w:rPr>
          <w:rFonts w:ascii="Times New Roman" w:hAnsi="Times New Roman"/>
          <w:sz w:val="20"/>
          <w:szCs w:val="24"/>
        </w:rPr>
        <w:t xml:space="preserve">vacuum desiccator for 2 hours. </w:t>
      </w:r>
    </w:p>
    <w:p w:rsidR="006C5FBD" w:rsidRPr="006C5FBD" w:rsidRDefault="006C5FBD" w:rsidP="006C5FBD">
      <w:pPr>
        <w:spacing w:after="0" w:line="240" w:lineRule="auto"/>
        <w:jc w:val="both"/>
        <w:rPr>
          <w:rFonts w:ascii="Times New Roman" w:hAnsi="Times New Roman"/>
          <w:sz w:val="20"/>
          <w:szCs w:val="24"/>
        </w:rPr>
      </w:pPr>
    </w:p>
    <w:p w:rsidR="006C5FBD" w:rsidRPr="006C5FBD" w:rsidRDefault="006C5FBD" w:rsidP="006C5FBD">
      <w:pPr>
        <w:spacing w:after="0" w:line="240" w:lineRule="auto"/>
        <w:jc w:val="both"/>
        <w:rPr>
          <w:rFonts w:ascii="Times New Roman" w:hAnsi="Times New Roman"/>
          <w:b/>
          <w:sz w:val="20"/>
          <w:szCs w:val="24"/>
        </w:rPr>
      </w:pPr>
      <w:r w:rsidRPr="006C5FBD">
        <w:rPr>
          <w:rFonts w:ascii="Times New Roman" w:hAnsi="Times New Roman"/>
          <w:b/>
          <w:sz w:val="20"/>
          <w:szCs w:val="24"/>
        </w:rPr>
        <w:t>Electrochemical Measurement</w:t>
      </w:r>
      <w:bookmarkEnd w:id="5"/>
      <w:r w:rsidRPr="006C5FBD">
        <w:rPr>
          <w:rFonts w:ascii="Times New Roman" w:hAnsi="Times New Roman"/>
          <w:b/>
          <w:sz w:val="20"/>
          <w:szCs w:val="24"/>
        </w:rPr>
        <w:t xml:space="preserve"> </w:t>
      </w:r>
    </w:p>
    <w:p w:rsidR="006C5FBD" w:rsidRPr="006C5FBD" w:rsidRDefault="006C5FBD" w:rsidP="006C5FBD">
      <w:pPr>
        <w:spacing w:after="0" w:line="240" w:lineRule="auto"/>
        <w:jc w:val="both"/>
        <w:rPr>
          <w:rFonts w:ascii="Times New Roman" w:hAnsi="Times New Roman"/>
          <w:sz w:val="20"/>
          <w:szCs w:val="24"/>
        </w:rPr>
      </w:pPr>
      <w:r w:rsidRPr="006C5FBD">
        <w:rPr>
          <w:rFonts w:ascii="Times New Roman" w:hAnsi="Times New Roman"/>
          <w:sz w:val="20"/>
          <w:szCs w:val="24"/>
        </w:rPr>
        <w:t>The Fe</w:t>
      </w:r>
      <w:r w:rsidRPr="006C5FBD">
        <w:rPr>
          <w:rFonts w:ascii="Times New Roman" w:hAnsi="Times New Roman"/>
          <w:sz w:val="20"/>
          <w:szCs w:val="24"/>
          <w:vertAlign w:val="subscript"/>
        </w:rPr>
        <w:t>3</w:t>
      </w:r>
      <w:r w:rsidRPr="006C5FBD">
        <w:rPr>
          <w:rFonts w:ascii="Times New Roman" w:hAnsi="Times New Roman"/>
          <w:sz w:val="20"/>
          <w:szCs w:val="24"/>
        </w:rPr>
        <w:t>O</w:t>
      </w:r>
      <w:r w:rsidRPr="006C5FBD">
        <w:rPr>
          <w:rFonts w:ascii="Times New Roman" w:hAnsi="Times New Roman"/>
          <w:sz w:val="20"/>
          <w:szCs w:val="24"/>
          <w:vertAlign w:val="subscript"/>
        </w:rPr>
        <w:t>4</w:t>
      </w:r>
      <w:r w:rsidRPr="006C5FBD">
        <w:rPr>
          <w:rFonts w:ascii="Times New Roman" w:hAnsi="Times New Roman"/>
          <w:sz w:val="20"/>
          <w:szCs w:val="24"/>
        </w:rPr>
        <w:t>/rGO/ GCE-modified electrode was used to determine uric acid by electrochemical means. The potential applied varies from -0.2 to 0.8 in order to study the redox behavior of the uric acid under cyclic voltammetry. The unmodified glassy carbon electrode was used to replace the Fe</w:t>
      </w:r>
      <w:r w:rsidRPr="006C5FBD">
        <w:rPr>
          <w:rFonts w:ascii="Times New Roman" w:hAnsi="Times New Roman"/>
          <w:sz w:val="20"/>
          <w:szCs w:val="24"/>
          <w:vertAlign w:val="subscript"/>
        </w:rPr>
        <w:t>3</w:t>
      </w:r>
      <w:r w:rsidRPr="006C5FBD">
        <w:rPr>
          <w:rFonts w:ascii="Times New Roman" w:hAnsi="Times New Roman"/>
          <w:sz w:val="20"/>
          <w:szCs w:val="24"/>
        </w:rPr>
        <w:t>O</w:t>
      </w:r>
      <w:r w:rsidRPr="006C5FBD">
        <w:rPr>
          <w:rFonts w:ascii="Times New Roman" w:hAnsi="Times New Roman"/>
          <w:sz w:val="20"/>
          <w:szCs w:val="24"/>
          <w:vertAlign w:val="subscript"/>
        </w:rPr>
        <w:t>4</w:t>
      </w:r>
      <w:r w:rsidRPr="006C5FBD">
        <w:rPr>
          <w:rFonts w:ascii="Times New Roman" w:hAnsi="Times New Roman"/>
          <w:sz w:val="20"/>
          <w:szCs w:val="24"/>
        </w:rPr>
        <w:t xml:space="preserve">/rGO/ GCE-modified electrode in comparison of </w:t>
      </w:r>
      <w:r w:rsidRPr="006C5FBD">
        <w:rPr>
          <w:rFonts w:ascii="Times New Roman" w:hAnsi="Times New Roman"/>
          <w:sz w:val="20"/>
          <w:szCs w:val="24"/>
        </w:rPr>
        <w:lastRenderedPageBreak/>
        <w:t xml:space="preserve">their thermal stability, electron kinetic transfer, electrode performance and efficiency. Other than this, the stability of the electrode designed will investigate at different external condition in the experiment. Parameters such as pH, concentrations and scan rate were used to study the optimum performance of the overall electrochemical system built. </w:t>
      </w:r>
    </w:p>
    <w:p w:rsidR="00AC0033" w:rsidRPr="00F447A7" w:rsidRDefault="00AC0033" w:rsidP="006C5FBD">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6C5FBD" w:rsidRPr="00DC4C68" w:rsidRDefault="006C5FBD" w:rsidP="006C5FBD">
      <w:pPr>
        <w:spacing w:after="0" w:line="240" w:lineRule="auto"/>
        <w:jc w:val="both"/>
        <w:rPr>
          <w:rFonts w:ascii="Times New Roman" w:hAnsi="Times New Roman"/>
          <w:b/>
          <w:sz w:val="20"/>
          <w:szCs w:val="24"/>
        </w:rPr>
      </w:pPr>
      <w:r w:rsidRPr="00DC4C68">
        <w:rPr>
          <w:rFonts w:ascii="Times New Roman" w:hAnsi="Times New Roman"/>
          <w:b/>
          <w:sz w:val="20"/>
          <w:szCs w:val="24"/>
        </w:rPr>
        <w:t>Physical characterization of Fe</w:t>
      </w:r>
      <w:r w:rsidRPr="00DC4C68">
        <w:rPr>
          <w:rFonts w:ascii="Times New Roman" w:hAnsi="Times New Roman"/>
          <w:b/>
          <w:sz w:val="20"/>
          <w:szCs w:val="24"/>
          <w:vertAlign w:val="subscript"/>
        </w:rPr>
        <w:t>3</w:t>
      </w:r>
      <w:r w:rsidRPr="00DC4C68">
        <w:rPr>
          <w:rFonts w:ascii="Times New Roman" w:hAnsi="Times New Roman"/>
          <w:b/>
          <w:sz w:val="20"/>
          <w:szCs w:val="24"/>
        </w:rPr>
        <w:t>O</w:t>
      </w:r>
      <w:r w:rsidRPr="00DC4C68">
        <w:rPr>
          <w:rFonts w:ascii="Times New Roman" w:hAnsi="Times New Roman"/>
          <w:b/>
          <w:sz w:val="20"/>
          <w:szCs w:val="24"/>
          <w:vertAlign w:val="subscript"/>
        </w:rPr>
        <w:t>4</w:t>
      </w:r>
      <w:r w:rsidRPr="00DC4C68">
        <w:rPr>
          <w:rFonts w:ascii="Times New Roman" w:hAnsi="Times New Roman"/>
          <w:b/>
          <w:sz w:val="20"/>
          <w:szCs w:val="24"/>
        </w:rPr>
        <w:t>/rGO</w:t>
      </w:r>
    </w:p>
    <w:p w:rsidR="006C5FBD" w:rsidRDefault="006C5FBD" w:rsidP="006C5FBD">
      <w:pPr>
        <w:spacing w:after="0" w:line="240" w:lineRule="auto"/>
        <w:jc w:val="both"/>
        <w:rPr>
          <w:rFonts w:ascii="Times New Roman" w:hAnsi="Times New Roman"/>
          <w:sz w:val="20"/>
          <w:szCs w:val="24"/>
        </w:rPr>
      </w:pPr>
      <w:r w:rsidRPr="00DC4C68">
        <w:rPr>
          <w:rFonts w:ascii="Times New Roman" w:hAnsi="Times New Roman"/>
          <w:sz w:val="20"/>
          <w:szCs w:val="24"/>
        </w:rPr>
        <w:t>The distinction in the functionalities and moieties of each constituents can be determined using the substrate nature and characteristic peaks demonstrated in the IR spectrum. The pure graphite in Figure 1(a) displays a smooth line passes through the region of 4000 to 1500 cm</w:t>
      </w:r>
      <w:r w:rsidRPr="00DC4C68">
        <w:rPr>
          <w:rFonts w:ascii="Times New Roman" w:hAnsi="Times New Roman"/>
          <w:sz w:val="20"/>
          <w:szCs w:val="24"/>
          <w:vertAlign w:val="superscript"/>
        </w:rPr>
        <w:t>-1</w:t>
      </w:r>
      <w:r w:rsidRPr="00DC4C68">
        <w:rPr>
          <w:rFonts w:ascii="Times New Roman" w:hAnsi="Times New Roman"/>
          <w:sz w:val="20"/>
          <w:szCs w:val="24"/>
        </w:rPr>
        <w:t xml:space="preserve"> with no single peak appear. The layer intercalation and surface modification of graphite using the modified Hummers method was indicated successfully by the changes in the shape of the spectrum obtained for GO. The FTIR spectrum of GO shown a broad peak at the region around 2950-3699 cm</w:t>
      </w:r>
      <w:r w:rsidRPr="00DC4C68">
        <w:rPr>
          <w:rFonts w:ascii="Times New Roman" w:hAnsi="Times New Roman"/>
          <w:sz w:val="20"/>
          <w:szCs w:val="24"/>
          <w:vertAlign w:val="superscript"/>
        </w:rPr>
        <w:t>-1</w:t>
      </w:r>
      <w:r w:rsidRPr="00DC4C68">
        <w:rPr>
          <w:rFonts w:ascii="Times New Roman" w:hAnsi="Times New Roman"/>
          <w:sz w:val="20"/>
          <w:szCs w:val="24"/>
        </w:rPr>
        <w:t>, which designated to the stretching vibration of OH groups of water molecules adsorbed on graphene oxide. The oxygen functionalities of the graphene oxide described by the peak value of 1730 cm</w:t>
      </w:r>
      <w:r w:rsidRPr="00DC4C68">
        <w:rPr>
          <w:rFonts w:ascii="Times New Roman" w:hAnsi="Times New Roman"/>
          <w:sz w:val="20"/>
          <w:szCs w:val="24"/>
          <w:vertAlign w:val="superscript"/>
        </w:rPr>
        <w:t>-1</w:t>
      </w:r>
      <w:r w:rsidRPr="00DC4C68">
        <w:rPr>
          <w:rFonts w:ascii="Times New Roman" w:hAnsi="Times New Roman"/>
          <w:sz w:val="20"/>
          <w:szCs w:val="24"/>
        </w:rPr>
        <w:t>, 1400 cm</w:t>
      </w:r>
      <w:r w:rsidRPr="00DC4C68">
        <w:rPr>
          <w:rFonts w:ascii="Times New Roman" w:hAnsi="Times New Roman"/>
          <w:sz w:val="20"/>
          <w:szCs w:val="24"/>
          <w:vertAlign w:val="superscript"/>
        </w:rPr>
        <w:t>-1</w:t>
      </w:r>
      <w:r w:rsidRPr="00DC4C68">
        <w:rPr>
          <w:rFonts w:ascii="Times New Roman" w:hAnsi="Times New Roman"/>
          <w:sz w:val="20"/>
          <w:szCs w:val="24"/>
        </w:rPr>
        <w:t>, 1210 cm</w:t>
      </w:r>
      <w:r w:rsidRPr="00DC4C68">
        <w:rPr>
          <w:rFonts w:ascii="Times New Roman" w:hAnsi="Times New Roman"/>
          <w:sz w:val="20"/>
          <w:szCs w:val="24"/>
          <w:vertAlign w:val="superscript"/>
        </w:rPr>
        <w:t>-1,</w:t>
      </w:r>
      <w:r w:rsidRPr="00DC4C68">
        <w:rPr>
          <w:rFonts w:ascii="Times New Roman" w:hAnsi="Times New Roman"/>
          <w:sz w:val="20"/>
          <w:szCs w:val="24"/>
        </w:rPr>
        <w:t xml:space="preserve"> and 1020 cm</w:t>
      </w:r>
      <w:r w:rsidRPr="00DC4C68">
        <w:rPr>
          <w:rFonts w:ascii="Times New Roman" w:hAnsi="Times New Roman"/>
          <w:sz w:val="20"/>
          <w:szCs w:val="24"/>
          <w:vertAlign w:val="superscript"/>
        </w:rPr>
        <w:t>-1</w:t>
      </w:r>
      <w:r w:rsidRPr="00DC4C68">
        <w:rPr>
          <w:rFonts w:ascii="Times New Roman" w:hAnsi="Times New Roman"/>
          <w:sz w:val="20"/>
          <w:szCs w:val="24"/>
        </w:rPr>
        <w:t xml:space="preserve"> corresponding to the carbonyl C=O, carboxyl COO-, epoxy C-O, and alkoxy C-OH stretching vibration </w:t>
      </w:r>
      <w:r w:rsidRPr="00DC4C68">
        <w:rPr>
          <w:rFonts w:ascii="Times New Roman" w:hAnsi="Times New Roman"/>
          <w:sz w:val="20"/>
          <w:szCs w:val="24"/>
        </w:rPr>
        <w:fldChar w:fldCharType="begin" w:fldLock="1"/>
      </w:r>
      <w:r w:rsidRPr="00DC4C68">
        <w:rPr>
          <w:rFonts w:ascii="Times New Roman" w:hAnsi="Times New Roman"/>
          <w:sz w:val="20"/>
          <w:szCs w:val="24"/>
        </w:rPr>
        <w:instrText>ADDIN CSL_CITATION {"citationItems":[{"id":"ITEM-1","itemData":{"DOI":"10.1063/1.4945457","ISBN":"9780735413726","ISSN":"15517616","abstract":"Graphene has attracted a tremendous attention in recent years due to its unique properties such as mechanical, thermal, optical and electrical properties. However, a large scale production of this material is still an issue and subjected to intense research efforts. Here, we show a simple and green approach of the graphene synthesis from graphene oxide using ascorbic acid as reduction agent. A facile synthesis of graphene (rGO) through chemical oxidation of graphite into graphene oxide (GO) was described using modified Hummers method (Improved Tour Method/ITM). The ITM method does not produce toxic gas and the temperature of the oxidation is easily controlled using ice bath. The synthesized of graphene oxide was highly soluble and stable in water. The reduction of graphene oxide into graphene was performed using ascorbic acid (AA) in mild condition. The combined ITM method and green reduction using ascorbic acid open the avenue of replacing hydrazine in the reduction of graphite oxide into graphene and may be very important step for bulk production of graphene.","author":[{"dropping-particle":"","family":"Andrijanto","given":"Eko","non-dropping-particle":"","parse-names":false,"suffix":""},{"dropping-particle":"","family":"Shoelarta","given":"Shoerya","non-dropping-particle":"","parse-names":false,"suffix":""},{"dropping-particle":"","family":"Subiyanto","given":"Gatot","non-dropping-particle":"","parse-names":false,"suffix":""},{"dropping-particle":"","family":"Rifki","given":"Sadur","non-dropping-particle":"","parse-names":false,"suffix":""}],"container-title":"AIP Conference Proceedings","id":"ITEM-1","issued":{"date-parts":[["2016"]]},"title":"Facile synthesis of graphene from graphite using ascorbic acid as reducing agent","type":"article-journal","volume":"1725"},"uris":["http://www.mendeley.com/documents/?uuid=e5cfb9df-5629-4198-a684-aabd7cc8afa5","http://www.mendeley.com/documents/?uuid=380ae4b8-a81c-4450-831f-9dba92f2de33"]}],"mendeley":{"formattedCitation":"[12]","plainTextFormattedCitation":"[12]","previouslyFormattedCitation":"[12]"},"properties":{"noteIndex":0},"schema":"https://github.com/citation-style-language/schema/raw/master/csl-citation.json"}</w:instrText>
      </w:r>
      <w:r w:rsidRPr="00DC4C68">
        <w:rPr>
          <w:rFonts w:ascii="Times New Roman" w:hAnsi="Times New Roman"/>
          <w:sz w:val="20"/>
          <w:szCs w:val="24"/>
        </w:rPr>
        <w:fldChar w:fldCharType="separate"/>
      </w:r>
      <w:r w:rsidRPr="00DC4C68">
        <w:rPr>
          <w:rFonts w:ascii="Times New Roman" w:hAnsi="Times New Roman"/>
          <w:noProof/>
          <w:sz w:val="20"/>
          <w:szCs w:val="24"/>
        </w:rPr>
        <w:t xml:space="preserve">[12, </w:t>
      </w:r>
      <w:r w:rsidRPr="00DC4C68">
        <w:rPr>
          <w:rFonts w:ascii="Times New Roman" w:hAnsi="Times New Roman"/>
          <w:sz w:val="20"/>
          <w:szCs w:val="24"/>
        </w:rPr>
        <w:fldChar w:fldCharType="end"/>
      </w:r>
      <w:r w:rsidRPr="00DC4C68">
        <w:rPr>
          <w:rFonts w:ascii="Times New Roman" w:hAnsi="Times New Roman"/>
          <w:sz w:val="20"/>
          <w:szCs w:val="24"/>
        </w:rPr>
        <w:fldChar w:fldCharType="begin" w:fldLock="1"/>
      </w:r>
      <w:r w:rsidRPr="00DC4C68">
        <w:rPr>
          <w:rFonts w:ascii="Times New Roman" w:hAnsi="Times New Roman"/>
          <w:sz w:val="20"/>
          <w:szCs w:val="24"/>
        </w:rPr>
        <w:instrText>ADDIN CSL_CITATION {"citationItems":[{"id":"ITEM-1","itemData":{"author":[{"dropping-particle":"","family":"Fizikal","given":"Pencirian","non-dropping-particle":"","parse-names":false,"suffix":""},{"dropping-particle":"","family":"Zarah","given":"Komposit","non-dropping-particle":"","parse-names":false,"suffix":""},{"dropping-particle":"","family":"Aurum","given":"Nano","non-dropping-particle":"","parse-names":false,"suffix":""},{"dropping-particle":"","family":"Pedot","given":"Disokong","non-dropping-particle":"","parse-names":false,"suffix":""},{"dropping-particle":"","family":"Berpotensi","given":"Katod","non-dropping-particle":"","parse-names":false,"suffix":""},{"dropping-particle":"","family":"Api","given":"Bahan","non-dropping-particle":"","parse-names":false,"suffix":""}],"id":"ITEM-1","issue":"6","issued":{"date-parts":[["2018"]]},"page":"921-930","title":"THE PHYSICAL AND ELECTROCHEMICAL CHARACTERISTIC OF GOLD NANOPARTICLES SUPPORTED PEDOT / GRAPHENE COMPOSITE AS POTENTIAL CATHODE MATERIAL IN FUEL CELLS","type":"article-journal","volume":"22"},"uris":["http://www.mendeley.com/documents/?uuid=bb5ece30-cdf9-41be-b71d-7a19202a8bdc","http://www.mendeley.com/documents/?uuid=e10f0fe8-8a71-4273-a389-088e37b8dd21"]}],"mendeley":{"formattedCitation":"[13]","plainTextFormattedCitation":"[13]","previouslyFormattedCitation":"[13]"},"properties":{"noteIndex":0},"schema":"https://github.com/citation-style-language/schema/raw/master/csl-citation.json"}</w:instrText>
      </w:r>
      <w:r w:rsidRPr="00DC4C68">
        <w:rPr>
          <w:rFonts w:ascii="Times New Roman" w:hAnsi="Times New Roman"/>
          <w:sz w:val="20"/>
          <w:szCs w:val="24"/>
        </w:rPr>
        <w:fldChar w:fldCharType="separate"/>
      </w:r>
      <w:r w:rsidRPr="00DC4C68">
        <w:rPr>
          <w:rFonts w:ascii="Times New Roman" w:hAnsi="Times New Roman"/>
          <w:noProof/>
          <w:sz w:val="20"/>
          <w:szCs w:val="24"/>
        </w:rPr>
        <w:t>13]</w:t>
      </w:r>
      <w:r w:rsidRPr="00DC4C68">
        <w:rPr>
          <w:rFonts w:ascii="Times New Roman" w:hAnsi="Times New Roman"/>
          <w:sz w:val="20"/>
          <w:szCs w:val="24"/>
        </w:rPr>
        <w:fldChar w:fldCharType="end"/>
      </w:r>
      <w:r w:rsidRPr="00DC4C68">
        <w:rPr>
          <w:rFonts w:ascii="Times New Roman" w:hAnsi="Times New Roman"/>
          <w:sz w:val="20"/>
          <w:szCs w:val="24"/>
        </w:rPr>
        <w:t>. The absorption band value of 1612 cm</w:t>
      </w:r>
      <w:r w:rsidRPr="00DC4C68">
        <w:rPr>
          <w:rFonts w:ascii="Times New Roman" w:hAnsi="Times New Roman"/>
          <w:sz w:val="20"/>
          <w:szCs w:val="24"/>
          <w:vertAlign w:val="superscript"/>
        </w:rPr>
        <w:t>-1</w:t>
      </w:r>
      <w:r w:rsidRPr="00DC4C68">
        <w:rPr>
          <w:rFonts w:ascii="Times New Roman" w:hAnsi="Times New Roman"/>
          <w:sz w:val="20"/>
          <w:szCs w:val="24"/>
          <w:vertAlign w:val="subscript"/>
        </w:rPr>
        <w:t xml:space="preserve"> </w:t>
      </w:r>
      <w:r w:rsidRPr="00DC4C68">
        <w:rPr>
          <w:rFonts w:ascii="Times New Roman" w:hAnsi="Times New Roman"/>
          <w:sz w:val="20"/>
          <w:szCs w:val="24"/>
        </w:rPr>
        <w:t xml:space="preserve">being assigned to the aromatic C=C stretching vibration of the carbon domain. Upon successful chemical reduction of GO with AA, the characteristic absorption peaks responsible for the oxygen moieties present in the GO no longer observed in the rGO spectrum </w:t>
      </w:r>
      <w:r w:rsidRPr="00DC4C68">
        <w:rPr>
          <w:rFonts w:ascii="Times New Roman" w:hAnsi="Times New Roman"/>
          <w:sz w:val="20"/>
          <w:szCs w:val="24"/>
        </w:rPr>
        <w:fldChar w:fldCharType="begin" w:fldLock="1"/>
      </w:r>
      <w:r w:rsidRPr="00DC4C68">
        <w:rPr>
          <w:rFonts w:ascii="Times New Roman" w:hAnsi="Times New Roman"/>
          <w:sz w:val="20"/>
          <w:szCs w:val="24"/>
        </w:rPr>
        <w:instrText>ADDIN CSL_CITATION {"citationItems":[{"id":"ITEM-1","itemData":{"DOI":"10.1155/2016/2418172","ISBN":"2013032102","ISSN":"20909071 20909063","abstract":"The synthesis of reduced graphene oxide modified by magnetic iron oxide (Fe 3 O 4 /rGO) and its application for heavy metals removal were demonstrated. The obtained samples were characterized by X-ray diffraction (XRD), nitrogen adsorption/desorption isotherms, X-ray photoelectron spectroscopy (XPS), Fourier transform infrared spectroscopy (FT-IR), and magnetic measurement. The results showed that the obtained graphene oxide (GO) contains a small part of initial graphite as well as reduced oxide graphene. GO exhibits very high surface area in comparison with initial graphite. The morphology of Fe 3 O 4 /rGO consists of very fine spherical iron nanooxide particles in nanoscale. The formal kinetics and adsorption isotherms of As(V), Ni(II), and Pb(II) over obtained Fe 3 O 4 /rGO have been investigated. Fe 3 O 4 /rGO exhibits excellent heavy metal ions adsorption indicating that it is a potential adsorbent for water sources contaminated by heavy metals.","author":[{"dropping-particle":"","family":"Thi","given":"Nguyen","non-dropping-particle":"","parse-names":false,"suffix":""},{"dropping-particle":"","family":"Hoan","given":"Vuong","non-dropping-particle":"","parse-names":false,"suffix":""},{"dropping-particle":"","family":"Thu","given":"Anh","non-dropping-particle":"","parse-names":false,"suffix":""},{"dropping-particle":"Van","family":"Duc","given":"Hoang","non-dropping-particle":"","parse-names":false,"suffix":""},{"dropping-particle":"","family":"Cuong","given":"Nguyen Duc","non-dropping-particle":"","parse-names":false,"suffix":""},{"dropping-particle":"","family":"Khieu","given":"Dinh Quang","non-dropping-particle":"","parse-names":false,"suffix":""},{"dropping-particle":"","family":"Vo","given":"Vien","non-dropping-particle":"","parse-names":false,"suffix":""},{"dropping-particle":"","family":"Vuong","given":"Nguyen Thi","non-dropping-particle":"","parse-names":false,"suffix":""},{"dropping-particle":"","family":"Vn","given":"Hoan","non-dropping-particle":"","parse-names":false,"suffix":""}],"container-title":"Journal of Chemistry","id":"ITEM-1","issued":{"date-parts":[["2016"]]},"page":"1-10","title":"Fe3O4/Reduced Graphene Oxide Nanocomposite: Synthesis and Its Application for Toxic Metal Ion Removal","type":"article-journal","volume":"2016"},"uris":["http://www.mendeley.com/documents/?uuid=41ac8600-d284-48d5-b4a8-fa78ce2ab743","http://www.mendeley.com/documents/?uuid=250e1a44-f528-415c-bbf7-4e1c1d316c1a"]},{"id":"ITEM-2","itemData":{"DOI":"10.1016/j.mssp.2014.03.038","ISBN":"1369-8001","ISSN":"13698001","abstract":"Titania possesses a band gap of ~3.2 eV, whereas the work function of graphene ~4.5 eV exists near the lowest unoccupied molecular orbital (LUMO) of titania. The photoexcitation of electrons in titania (TiO2) is possible only under the ultraviolet radiation. If such conversion is required in visible light range, band gap has to be lowered below 3.1 eV. This research work hence aims at lowering the band gap of titania thin films by incorporation of graphene nanosheets. Graphene was synthesized using modified Hummer's method. Oxidation of graphite was confirmed by X-ray diffraction (XRD) revealing a peak at 11.8° with interplanar distance of 7.5 Å and energy dispersive X-ray spectroscopy (EDS) analysis. Atomic force microscopy (AFM) analysis revealed exfoliation of single layer graphene oxide nanosheets having thickness of 0.6-1.0 nm. Fourier transform infrared spectroscopy (FT-IR) analysis confirmed the reduction of graphene oxide by revealing removal of carbonyl group (CO). Titania sol was obtained using hydrolysis and condensation of titanium tetraisopropoxide. The TiO2-graphene composite was prepared by liquid phase dispersion of graphene oxide into titania sol and reduction of deposited films was carried out by exposing hydrazine hydrate vapors. In the second method, nanoparticles of reduced graphene oxide were dispersed in titania sol; thin films were deposited on indium-tin oxide (ITO) coated glass using spin coating and subsequently heat treated. A scanning electron microscope (SEM) was used to reveal dispersion of graphene nanosheets among homogenously distributed titania nanoparticles of uniform size distribution (~30-50 nm). Surface roughness of about 16 nm was observed by AFM topographic images. The highest occupied molecular orbital (HOMO) and LUMO levels were calculated by cyclic voltammetry and subsequent band gap was calculated which came out to be as low as 2.9 eV. Ti-O-C chemical bonding between titania and graphene sheets resulted in enhanced electron transport in the obtained composite films. © 2014 Elsevier Ltd.","author":[{"dropping-particle":"","family":"Mahmood","given":"Haroon","non-dropping-particle":"","parse-names":false,"suffix":""},{"dropping-particle":"","family":"Habib","given":"Amir","non-dropping-particle":"","parse-names":false,"suffix":""},{"dropping-particle":"","family":"Mujahid","given":"Mohammad","non-dropping-particle":"","parse-names":false,"suffix":""},{"dropping-particle":"","family":"Tanveer","given":"Muhammad","non-dropping-particle":"","parse-names":false,"suffix":""},{"dropping-particle":"","family":"Javed","given":"Sofia","non-dropping-particle":"","parse-names":false,"suffix":""},{"dropping-particle":"","family":"Jamil","given":"Asif","non-dropping-particle":"","parse-names":false,"suffix":""}],"container-title":"Materials Science in Semiconductor Processing","id":"ITEM-2","issue":"1","issued":{"date-parts":[["2014"]]},"page":"193-199","publisher":"Elsevier","title":"Band gap reduction of titania thin films using graphene nanosheets","type":"article-journal","volume":"24"},"uris":["http://www.mendeley.com/documents/?uuid=55d8e948-1493-4ab0-825f-1773804730e8","http://www.mendeley.com/documents/?uuid=b026cc99-162a-4e3d-b235-a872891f46e2"]},{"id":"ITEM-3","itemData":{"DOI":"10.1038/srep23325","ISSN":"20452322","abstract":"1,4,5 Reduced graphene oxide (RGO)-porphyrin (TPP) nanohybrids (RGO-TPP 1 and RGO-TPP 2) were prepared by two synthetic routes that involve functionalization of the RGO using diazonium salts. The microscopic structures, morphology, photophysical properties and nonlinear optical performance of the resultant RGO-TPP nanohybrids were investigated. The covalent bonding of the porphyrin-functionalized-RGO nanohybrid materials was confirmed by Fourier transform infrared spectroscopy, Raman spectroscopy, X-ray photoelectron spectroscopy, transmission electron microscopy, and thermogravimetric analysis. Attachment of the porphyrin units to the surface of the RGO by diazotization significantly improves the solubility and ease of processing of these RGO-based nanohybrid materials. Ultraviolet/visible absorption and steady-state fluorescence studies indicate considerable π-π interactions and effective photo-induced electron and/or energy transfer between the porphyrin moieties and the extended π-system of RGO. The nonlinear optical properties of RGO-TPP 1 and RGO-TPP 2 were investigated by open-aperture Z-scan measurements at 532 nm with both 4 ns and 21 ps laser pulses, the results showing that the chemical nanohybrids exhibit improved nonlinear optical properties compared to those of the benchmark material C 60 , and the constituent RGO or porphyrins. Graphene comprises two-dimensional planar sheets of sp 2 -bound carbon atoms arranged in a hexagonal crys-tal lattice; it possesses remarkable electronic, optical, and mechanical properties 1–3 , such as high charge-carrier mobility 4 , mechanical stiffness 5 , and excellent nonlinear optical response 6 . However, pristine graphene is unsuit-able for further processing because the strong π -π and Van der Waals interactions in bulk graphene result in a pronounced tendency to agglomerate; this can have a significant and detrimental effect on material properties 7 . As a result, considerable effort has been expended in improving the dispersion and compatibility of graphene (including the related graphene oxide, GO and reduced graphene oxide, RGO) by derivatization using noncova-lent interactions and, more importantly, covalent-coupling, in order to obtain new graphene derivatives for spe-cific applications 8–11","author":[{"dropping-particle":"","family":"Wang","given":"Aijian","non-dropping-particle":"","parse-names":false,"suffix":""},{"dropping-particle":"","family":"Yu","given":"Wang","non-dropping-particle":"","parse-names":false,"suffix":""},{"dropping-particle":"","family":"Huang","given":"Zhipeng","non-dropping-particle":"","parse-names":false,"suffix":""},{"dropping-particle":"","family":"Zhou","given":"Feng","non-dropping-particle":"","parse-names":false,"suffix":""},{"dropping-particle":"","family":"Song","given":"Jingbao","non-dropping-particle":"","parse-names":false,"suffix":""},{"dropping-particle":"","family":"Song","given":"Yinglin","non-dropping-particle":"","parse-names":false,"suffix":""},{"dropping-particle":"","family":"Long","given":"Lingliang","non-dropping-particle":"","parse-names":false,"suffix":""},{"dropping-particle":"","family":"Cifuentes","given":"Marie P.","non-dropping-particle":"","parse-names":false,"suffix":""},{"dropping-particle":"","family":"Humphrey","given":"Mark G.","non-dropping-particle":"","parse-names":false,"suffix":""},{"dropping-particle":"","family":"Zhang","given":"Long","non-dropping-particle":"","parse-names":false,"suffix":""},{"dropping-particle":"","family":"Shao","given":"Jianda","non-dropping-particle":"","parse-names":false,"suffix":""},{"dropping-particle":"","family":"Zhang","given":"Chi","non-dropping-particle":"","parse-names":false,"suffix":""}],"container-title":"Scientific Reports","id":"ITEM-3","issue":"October 2015","issued":{"date-parts":[["2016"]]},"page":"1-12","publisher":"Nature Publishing Group","title":"Covalent functionalization of reduced graphene oxide with porphyrin by means of diazonium chemistry for nonlinear optical performance","type":"article-journal","volume":"6"},"uris":["http://www.mendeley.com/documents/?uuid=9bacc4ba-77ad-409d-93fa-b94c2c36daa7","http://www.mendeley.com/documents/?uuid=2dfb9411-6d57-4290-93f5-90e4773be788"]}],"mendeley":{"formattedCitation":"[14–16]","plainTextFormattedCitation":"[14–16]","previouslyFormattedCitation":"[14–16]"},"properties":{"noteIndex":0},"schema":"https://github.com/citation-style-language/schema/raw/master/csl-citation.json"}</w:instrText>
      </w:r>
      <w:r w:rsidRPr="00DC4C68">
        <w:rPr>
          <w:rFonts w:ascii="Times New Roman" w:hAnsi="Times New Roman"/>
          <w:sz w:val="20"/>
          <w:szCs w:val="24"/>
        </w:rPr>
        <w:fldChar w:fldCharType="separate"/>
      </w:r>
      <w:r w:rsidRPr="00DC4C68">
        <w:rPr>
          <w:rFonts w:ascii="Times New Roman" w:hAnsi="Times New Roman"/>
          <w:noProof/>
          <w:sz w:val="20"/>
          <w:szCs w:val="24"/>
        </w:rPr>
        <w:t>[14–16]</w:t>
      </w:r>
      <w:r w:rsidRPr="00DC4C68">
        <w:rPr>
          <w:rFonts w:ascii="Times New Roman" w:hAnsi="Times New Roman"/>
          <w:sz w:val="20"/>
          <w:szCs w:val="24"/>
        </w:rPr>
        <w:fldChar w:fldCharType="end"/>
      </w:r>
      <w:r w:rsidRPr="00DC4C68">
        <w:rPr>
          <w:rFonts w:ascii="Times New Roman" w:hAnsi="Times New Roman"/>
          <w:sz w:val="20"/>
          <w:szCs w:val="24"/>
        </w:rPr>
        <w:t>. A significant peak at 580 cm</w:t>
      </w:r>
      <w:r w:rsidRPr="00DC4C68">
        <w:rPr>
          <w:rFonts w:ascii="Times New Roman" w:hAnsi="Times New Roman"/>
          <w:sz w:val="20"/>
          <w:szCs w:val="24"/>
          <w:vertAlign w:val="superscript"/>
        </w:rPr>
        <w:t>-1</w:t>
      </w:r>
      <w:r w:rsidRPr="00DC4C68">
        <w:rPr>
          <w:rFonts w:ascii="Times New Roman" w:hAnsi="Times New Roman"/>
          <w:sz w:val="20"/>
          <w:szCs w:val="24"/>
        </w:rPr>
        <w:t xml:space="preserve"> was determined in the spectra of synthesized Fe</w:t>
      </w:r>
      <w:r w:rsidRPr="00DC4C68">
        <w:rPr>
          <w:rFonts w:ascii="Times New Roman" w:hAnsi="Times New Roman"/>
          <w:sz w:val="20"/>
          <w:szCs w:val="24"/>
          <w:vertAlign w:val="subscript"/>
        </w:rPr>
        <w:t>3</w:t>
      </w:r>
      <w:r w:rsidRPr="00DC4C68">
        <w:rPr>
          <w:rFonts w:ascii="Times New Roman" w:hAnsi="Times New Roman"/>
          <w:sz w:val="20"/>
          <w:szCs w:val="24"/>
        </w:rPr>
        <w:t>O</w:t>
      </w:r>
      <w:r w:rsidRPr="00DC4C68">
        <w:rPr>
          <w:rFonts w:ascii="Times New Roman" w:hAnsi="Times New Roman"/>
          <w:sz w:val="20"/>
          <w:szCs w:val="24"/>
          <w:vertAlign w:val="subscript"/>
        </w:rPr>
        <w:t>4</w:t>
      </w:r>
      <w:r w:rsidRPr="00DC4C68">
        <w:rPr>
          <w:rFonts w:ascii="Times New Roman" w:hAnsi="Times New Roman"/>
          <w:sz w:val="20"/>
          <w:szCs w:val="24"/>
        </w:rPr>
        <w:t xml:space="preserve"> nanocomposite, where it defines the stretching vibrational mode of Fe-O intrinsically at the tetrahedral void </w:t>
      </w:r>
      <w:r w:rsidRPr="00DC4C68">
        <w:rPr>
          <w:rFonts w:ascii="Times New Roman" w:hAnsi="Times New Roman"/>
          <w:sz w:val="20"/>
          <w:szCs w:val="24"/>
        </w:rPr>
        <w:fldChar w:fldCharType="begin" w:fldLock="1"/>
      </w:r>
      <w:r w:rsidRPr="00DC4C68">
        <w:rPr>
          <w:rFonts w:ascii="Times New Roman" w:hAnsi="Times New Roman"/>
          <w:sz w:val="20"/>
          <w:szCs w:val="24"/>
        </w:rPr>
        <w:instrText>ADDIN CSL_CITATION {"citationItems":[{"id":"ITEM-1","itemData":{"DOI":"10.1038/s41598-017-09897-5","ISSN":"20452322","PMID":"28855564","abstract":"Highly crystalline single-domain magnetite Fe3O4 nanoparticles (NPs) are important, not only for fundamental understanding of magnetic behaviour, but also for their considerable potential applications in biomedicine and industry. Fe3O4 NPs with sizes of 10–300 nm were systematically investigated to reveal the fundamental relationship between the crystal domain structure and the magnetic properties. The examined Fe3O4 NPs were prepared under well-controlled crystal growth conditions using a large-scale liquid precipitation method. The crystallite size of cube-like NPs estimated from X-ray diffraction pattern increased linearly as the particle size (estimated by transmission electron microscopy) increased from 10 to 64.7 nm, which indicates that the NPs have a single-domain structure. This was further confirmed by the uniform lattice fringes. The critical size of approximately 76 nm was obtained by correlating particle size with both crystallite size and magnetic coercivity; this was reported for the first time in this study. The coercivity of cube-like Fe3O4 NPs increased to a maximum of 190 Oe at the critical size, which suggests strong exchange interactions during spin alignment. Compared with cube-like NPs, sphere-like NPs have lower magnetic coercivity and remanence values, which is caused by the different orientations of their polycrystalline structure.","author":[{"dropping-particle":"","family":"Li","given":"Qing","non-dropping-particle":"","parse-names":false,"suffix":""},{"dropping-particle":"","family":"Kartikowati","given":"Christina W.","non-dropping-particle":"","parse-names":false,"suffix":""},{"dropping-particle":"","family":"Horie","given":"Shinji","non-dropping-particle":"","parse-names":false,"suffix":""},{"dropping-particle":"","family":"Ogi","given":"Takashi","non-dropping-particle":"","parse-names":false,"suffix":""},{"dropping-particle":"","family":"Iwaki","given":"Toru","non-dropping-particle":"","parse-names":false,"suffix":""},{"dropping-particle":"","family":"Okuyama","given":"Kikuo","non-dropping-particle":"","parse-names":false,"suffix":""}],"container-title":"Scientific Reports","id":"ITEM-1","issue":"1","issued":{"date-parts":[["2017"]]},"page":"1-4","publisher":"Springer US","title":"Correlation between particle size/domain structure and magnetic properties of highly crystalline Fe3O4nanoparticles","type":"article-journal","volume":"7"},"uris":["http://www.mendeley.com/documents/?uuid=d79af3dd-33f9-4d71-b5c5-0f890fd37fc3","http://www.mendeley.com/documents/?uuid=4f6c1517-fb98-4f68-836f-e9d8a1f9e525"]}],"mendeley":{"formattedCitation":"[17]","plainTextFormattedCitation":"[17]","previouslyFormattedCitation":"[17]"},"properties":{"noteIndex":0},"schema":"https://github.com/citation-style-language/schema/raw/master/csl-citation.json"}</w:instrText>
      </w:r>
      <w:r w:rsidRPr="00DC4C68">
        <w:rPr>
          <w:rFonts w:ascii="Times New Roman" w:hAnsi="Times New Roman"/>
          <w:sz w:val="20"/>
          <w:szCs w:val="24"/>
        </w:rPr>
        <w:fldChar w:fldCharType="separate"/>
      </w:r>
      <w:r w:rsidRPr="00DC4C68">
        <w:rPr>
          <w:rFonts w:ascii="Times New Roman" w:hAnsi="Times New Roman"/>
          <w:noProof/>
          <w:sz w:val="20"/>
          <w:szCs w:val="24"/>
        </w:rPr>
        <w:t>[17]</w:t>
      </w:r>
      <w:r w:rsidRPr="00DC4C68">
        <w:rPr>
          <w:rFonts w:ascii="Times New Roman" w:hAnsi="Times New Roman"/>
          <w:sz w:val="20"/>
          <w:szCs w:val="24"/>
        </w:rPr>
        <w:fldChar w:fldCharType="end"/>
      </w:r>
      <w:r w:rsidRPr="00DC4C68">
        <w:rPr>
          <w:rFonts w:ascii="Times New Roman" w:hAnsi="Times New Roman"/>
          <w:sz w:val="20"/>
          <w:szCs w:val="24"/>
        </w:rPr>
        <w:t>. The stretching vibrations of –OH at low-frequency region of 3400 cm</w:t>
      </w:r>
      <w:r w:rsidRPr="00DC4C68">
        <w:rPr>
          <w:rFonts w:ascii="Times New Roman" w:hAnsi="Times New Roman"/>
          <w:sz w:val="20"/>
          <w:szCs w:val="24"/>
          <w:vertAlign w:val="superscript"/>
        </w:rPr>
        <w:t>-1</w:t>
      </w:r>
      <w:r w:rsidRPr="00DC4C68">
        <w:rPr>
          <w:rFonts w:ascii="Times New Roman" w:hAnsi="Times New Roman"/>
          <w:sz w:val="20"/>
          <w:szCs w:val="24"/>
        </w:rPr>
        <w:t xml:space="preserve"> and the band 1612 cm</w:t>
      </w:r>
      <w:r w:rsidRPr="00DC4C68">
        <w:rPr>
          <w:rFonts w:ascii="Times New Roman" w:hAnsi="Times New Roman"/>
          <w:sz w:val="20"/>
          <w:szCs w:val="24"/>
          <w:vertAlign w:val="superscript"/>
        </w:rPr>
        <w:t>-1</w:t>
      </w:r>
      <w:r w:rsidRPr="00DC4C68">
        <w:rPr>
          <w:rFonts w:ascii="Times New Roman" w:hAnsi="Times New Roman"/>
          <w:sz w:val="20"/>
          <w:szCs w:val="24"/>
        </w:rPr>
        <w:t xml:space="preserve"> was ascribed to the bending mode of the water molecules absorbed on magnetite surfaces </w:t>
      </w:r>
      <w:r w:rsidRPr="00DC4C68">
        <w:rPr>
          <w:rFonts w:ascii="Times New Roman" w:hAnsi="Times New Roman"/>
          <w:sz w:val="20"/>
          <w:szCs w:val="24"/>
        </w:rPr>
        <w:fldChar w:fldCharType="begin" w:fldLock="1"/>
      </w:r>
      <w:r w:rsidRPr="00DC4C68">
        <w:rPr>
          <w:rFonts w:ascii="Times New Roman" w:hAnsi="Times New Roman"/>
          <w:sz w:val="20"/>
          <w:szCs w:val="24"/>
        </w:rPr>
        <w:instrText>ADDIN CSL_CITATION {"citationItems":[{"id":"ITEM-1","itemData":{"DOI":"10.1016/j.jcis.2015.12.008","ISBN":"0021-9797","ISSN":"10957103","PMID":"26859095","abstract":"Magnetic magnetite (Fe3O4) nanoparticles synthesized by chemical co-precipitation were characterized using XRD, TEM, SEM-EDX, FT-IR, ED-XRF, PPMS, point of zero charge (pHpzc) and surface area measurements. As-prepared Fe3O4nanoparticles were successful for aqueous Cr6+and Pb2+removal. Batch adsorption experiments systematically investigated the influence of pH, temperature, contact time and adsorbate/adsorbent concentration on Cr6+and Pb2+adsorption. Maximum Cr6+and Pb2+removal occurred at pH 2.0 and 5.0, respectively. Sorption data fit pseudo-second order kinetics, indicating a chemical adsorption. The Freundlich, Langmuir, Redlich-Peterson, Toth, Radke and Sips adsorption isotherm models were applied to describe equilibrium data. The Sips and Langmuir models best described Cr6+and Pb2+adsorption on magnetite nanoparticles, respectively. The maximum Langmuir adsorption capacities were 34.87 (Cr6+) and 53.11 (Pb2+) mg/g at 45 °C, respectively. Fe3O4nanoparticles are promising potential adsorbents and exhibited remarkable reusability for metal ions removal in water and wastewater treatment.","author":[{"dropping-particle":"","family":"Rajput","given":"Shalini","non-dropping-particle":"","parse-names":false,"suffix":""},{"dropping-particle":"","family":"Pittman","given":"Charles U.","non-dropping-particle":"","parse-names":false,"suffix":""},{"dropping-particle":"","family":"Mohan","given":"Dinesh","non-dropping-particle":"","parse-names":false,"suffix":""}],"container-title":"Journal of Colloid and Interface Science","id":"ITEM-1","issued":{"date-parts":[["2016"]]},"page":"334-346","publisher":"Elsevier Inc.","title":"Magnetic magnetite (Fe3O4) nanoparticle synthesis and applications for lead (Pb2+) and chromium (Cr6+) removal from water","type":"article-journal","volume":"468"},"uris":["http://www.mendeley.com/documents/?uuid=556afa5d-6e15-4284-ad82-51e030907b56","http://www.mendeley.com/documents/?uuid=cd6f1d7d-8ee8-4e15-b86c-85ea789619fb"]}],"mendeley":{"formattedCitation":"[18]","manualFormatting":"[18]","plainTextFormattedCitation":"[18]","previouslyFormattedCitation":"[18]"},"properties":{"noteIndex":0},"schema":"https://github.com/citation-style-language/schema/raw/master/csl-citation.json"}</w:instrText>
      </w:r>
      <w:r w:rsidRPr="00DC4C68">
        <w:rPr>
          <w:rFonts w:ascii="Times New Roman" w:hAnsi="Times New Roman"/>
          <w:sz w:val="20"/>
          <w:szCs w:val="24"/>
        </w:rPr>
        <w:fldChar w:fldCharType="separate"/>
      </w:r>
      <w:r w:rsidRPr="00DC4C68">
        <w:rPr>
          <w:rFonts w:ascii="Times New Roman" w:hAnsi="Times New Roman"/>
          <w:noProof/>
          <w:sz w:val="20"/>
          <w:szCs w:val="24"/>
        </w:rPr>
        <w:t>[18]</w:t>
      </w:r>
      <w:r w:rsidRPr="00DC4C68">
        <w:rPr>
          <w:rFonts w:ascii="Times New Roman" w:hAnsi="Times New Roman"/>
          <w:sz w:val="20"/>
          <w:szCs w:val="24"/>
        </w:rPr>
        <w:fldChar w:fldCharType="end"/>
      </w:r>
      <w:r w:rsidRPr="00DC4C68">
        <w:rPr>
          <w:rFonts w:ascii="Times New Roman" w:hAnsi="Times New Roman"/>
          <w:sz w:val="20"/>
          <w:szCs w:val="24"/>
        </w:rPr>
        <w:t>.  In the view of spectrum obtained for Fe</w:t>
      </w:r>
      <w:r w:rsidRPr="00DC4C68">
        <w:rPr>
          <w:rFonts w:ascii="Times New Roman" w:hAnsi="Times New Roman"/>
          <w:sz w:val="20"/>
          <w:szCs w:val="24"/>
          <w:vertAlign w:val="subscript"/>
        </w:rPr>
        <w:t>3</w:t>
      </w:r>
      <w:r w:rsidRPr="00DC4C68">
        <w:rPr>
          <w:rFonts w:ascii="Times New Roman" w:hAnsi="Times New Roman"/>
          <w:sz w:val="20"/>
          <w:szCs w:val="24"/>
        </w:rPr>
        <w:t>O</w:t>
      </w:r>
      <w:r w:rsidRPr="00DC4C68">
        <w:rPr>
          <w:rFonts w:ascii="Times New Roman" w:hAnsi="Times New Roman"/>
          <w:sz w:val="20"/>
          <w:szCs w:val="24"/>
          <w:vertAlign w:val="subscript"/>
        </w:rPr>
        <w:t>4</w:t>
      </w:r>
      <w:r w:rsidRPr="00DC4C68">
        <w:rPr>
          <w:rFonts w:ascii="Times New Roman" w:hAnsi="Times New Roman"/>
          <w:sz w:val="20"/>
          <w:szCs w:val="24"/>
        </w:rPr>
        <w:t>/rGO, the absorption bands being assigned to oxygenated group was greatly reduced in intensity and the transmittance band around 584 cm</w:t>
      </w:r>
      <w:r w:rsidRPr="00DC4C68">
        <w:rPr>
          <w:rFonts w:ascii="Times New Roman" w:hAnsi="Times New Roman"/>
          <w:sz w:val="20"/>
          <w:szCs w:val="24"/>
          <w:vertAlign w:val="superscript"/>
        </w:rPr>
        <w:t>-1</w:t>
      </w:r>
      <w:r w:rsidRPr="00DC4C68">
        <w:rPr>
          <w:rFonts w:ascii="Times New Roman" w:hAnsi="Times New Roman"/>
          <w:sz w:val="20"/>
          <w:szCs w:val="24"/>
        </w:rPr>
        <w:t xml:space="preserve"> is attributed to the Fe-O bonding vibration, indicated the existence of magnetite </w:t>
      </w:r>
      <w:r w:rsidRPr="00DC4C68">
        <w:rPr>
          <w:rFonts w:ascii="Times New Roman" w:hAnsi="Times New Roman"/>
          <w:sz w:val="20"/>
          <w:szCs w:val="24"/>
        </w:rPr>
        <w:fldChar w:fldCharType="begin" w:fldLock="1"/>
      </w:r>
      <w:r w:rsidRPr="00DC4C68">
        <w:rPr>
          <w:rFonts w:ascii="Times New Roman" w:hAnsi="Times New Roman"/>
          <w:sz w:val="20"/>
          <w:szCs w:val="24"/>
        </w:rPr>
        <w:instrText>ADDIN CSL_CITATION {"citationItems":[{"id":"ITEM-1","itemData":{"DOI":"10.31788/RJC.2018.1134003","ISSN":"09760083","author":[{"dropping-particle":"","family":"Kamakshi","given":"T.","non-dropping-particle":"","parse-names":false,"suffix":""},{"dropping-particle":"","family":"Sundari","given":"G. Sunita","non-dropping-particle":"","parse-names":false,"suffix":""},{"dropping-particle":"","family":"Erothu","given":"Harikrishna","non-dropping-particle":"","parse-names":false,"suffix":""},{"dropping-particle":"","family":"Rao","given":"T. P.","non-dropping-particle":"","parse-names":false,"suffix":""}],"container-title":"Rasayan Journal of Chemistry","id":"ITEM-1","issue":"3","issued":{"date-parts":[["2018","2"]]},"page":"1113-1119","title":"Synthesis and characterization ofgraphene based iron oxide (Fe3O4) nanocomposites","type":"article-journal","volume":"11"},"uris":["http://www.mendeley.com/documents/?uuid=ffc11eb4-436b-4edc-802e-7ef0d5078cd6","http://www.mendeley.com/documents/?uuid=7209e074-acc0-4e0e-aafb-99993652622a"]}],"mendeley":{"formattedCitation":"[19]","manualFormatting":"[19]","plainTextFormattedCitation":"[19]","previouslyFormattedCitation":"[19]"},"properties":{"noteIndex":0},"schema":"https://github.com/citation-style-language/schema/raw/master/csl-citation.json"}</w:instrText>
      </w:r>
      <w:r w:rsidRPr="00DC4C68">
        <w:rPr>
          <w:rFonts w:ascii="Times New Roman" w:hAnsi="Times New Roman"/>
          <w:sz w:val="20"/>
          <w:szCs w:val="24"/>
        </w:rPr>
        <w:fldChar w:fldCharType="separate"/>
      </w:r>
      <w:r w:rsidRPr="00DC4C68">
        <w:rPr>
          <w:rFonts w:ascii="Times New Roman" w:hAnsi="Times New Roman"/>
          <w:noProof/>
          <w:sz w:val="20"/>
          <w:szCs w:val="24"/>
        </w:rPr>
        <w:t>[19]</w:t>
      </w:r>
      <w:r w:rsidRPr="00DC4C68">
        <w:rPr>
          <w:rFonts w:ascii="Times New Roman" w:hAnsi="Times New Roman"/>
          <w:sz w:val="20"/>
          <w:szCs w:val="24"/>
        </w:rPr>
        <w:fldChar w:fldCharType="end"/>
      </w:r>
      <w:r w:rsidRPr="00DC4C68">
        <w:rPr>
          <w:rFonts w:ascii="Times New Roman" w:hAnsi="Times New Roman"/>
          <w:sz w:val="20"/>
          <w:szCs w:val="24"/>
        </w:rPr>
        <w:t>. There are additional symmetric and antisymmetric stretching mode of carboxylic group, COO- with corresponding absorption peak value at 1585 cm</w:t>
      </w:r>
      <w:r w:rsidRPr="00DC4C68">
        <w:rPr>
          <w:rFonts w:ascii="Times New Roman" w:hAnsi="Times New Roman"/>
          <w:sz w:val="20"/>
          <w:szCs w:val="24"/>
          <w:vertAlign w:val="superscript"/>
        </w:rPr>
        <w:t>-1</w:t>
      </w:r>
      <w:r w:rsidRPr="00DC4C68">
        <w:rPr>
          <w:rFonts w:ascii="Times New Roman" w:hAnsi="Times New Roman"/>
          <w:sz w:val="20"/>
          <w:szCs w:val="24"/>
        </w:rPr>
        <w:t xml:space="preserve"> and 1414 cm</w:t>
      </w:r>
      <w:r w:rsidRPr="00DC4C68">
        <w:rPr>
          <w:rFonts w:ascii="Times New Roman" w:hAnsi="Times New Roman"/>
          <w:sz w:val="20"/>
          <w:szCs w:val="24"/>
          <w:vertAlign w:val="superscript"/>
        </w:rPr>
        <w:t>-1</w:t>
      </w:r>
      <w:r w:rsidRPr="00DC4C68">
        <w:rPr>
          <w:rFonts w:ascii="Times New Roman" w:hAnsi="Times New Roman"/>
          <w:sz w:val="20"/>
          <w:szCs w:val="24"/>
        </w:rPr>
        <w:t>.</w:t>
      </w:r>
    </w:p>
    <w:p w:rsidR="000F1DE8" w:rsidRDefault="000F1DE8" w:rsidP="006C5FBD">
      <w:pPr>
        <w:spacing w:after="0" w:line="240" w:lineRule="auto"/>
        <w:jc w:val="both"/>
        <w:rPr>
          <w:rFonts w:ascii="Times New Roman" w:hAnsi="Times New Roman"/>
          <w:sz w:val="20"/>
          <w:szCs w:val="24"/>
        </w:rPr>
      </w:pPr>
    </w:p>
    <w:p w:rsidR="000F1DE8" w:rsidRPr="00DC4C68" w:rsidRDefault="000F1DE8" w:rsidP="000F1DE8">
      <w:pPr>
        <w:spacing w:after="0" w:line="240" w:lineRule="auto"/>
        <w:jc w:val="both"/>
        <w:rPr>
          <w:rFonts w:ascii="Times New Roman" w:hAnsi="Times New Roman"/>
          <w:sz w:val="20"/>
          <w:szCs w:val="24"/>
        </w:rPr>
      </w:pPr>
      <w:r w:rsidRPr="00DC4C68">
        <w:rPr>
          <w:rFonts w:ascii="Times New Roman" w:hAnsi="Times New Roman"/>
          <w:sz w:val="20"/>
          <w:szCs w:val="24"/>
        </w:rPr>
        <w:t xml:space="preserve">The optical properties of each constituent materials was measured and the progressive changes on the optical behavior were studied based on exposure upon the ultraviolet-visible light wavelength region. In Figure 1(b), the pure graphite exhibits no significant absorption peak in the range of 200 nm to 800 nm. This is mainly due to the non-functionalized surface and inertness nature of the pure graphite in response toward the radiation. The dramatic changes to the surface morphology and functioning group attached to the graphitic surface layer will promote the absorption of radiation that brought about excitation of outermost electrons into higher energy state. The GO displayed an optical π-π* aromatic C-C bond absorption band at 231 nm and a shoulder peak at 300 nm which responsible to n-π* transition of the carbonyl C=O bond </w:t>
      </w:r>
      <w:r w:rsidRPr="00DC4C68">
        <w:rPr>
          <w:rFonts w:ascii="Times New Roman" w:hAnsi="Times New Roman"/>
          <w:sz w:val="20"/>
          <w:szCs w:val="24"/>
        </w:rPr>
        <w:fldChar w:fldCharType="begin" w:fldLock="1"/>
      </w:r>
      <w:r w:rsidRPr="00DC4C68">
        <w:rPr>
          <w:rFonts w:ascii="Times New Roman" w:hAnsi="Times New Roman"/>
          <w:sz w:val="20"/>
          <w:szCs w:val="24"/>
        </w:rPr>
        <w:instrText>ADDIN CSL_CITATION {"citationItems":[{"id":"ITEM-1","itemData":{"DOI":"10.1039/c2ra20746j","ISSN":"20462069","abstract":"This work reports a green and facile approach to the synthesis of graphene nanosheets through the zinc reduction of a graphene oxide precursor in alkaline media. Compared to the chemical reduction of GO by using hydrazine or its derivations, the present route is operationally easy and environmentally friendly. Moreover, the reduction degree of GO in the present condition is much higher than that in either Zn or alkaline solutions alone, indicating a cooperative mechanism, and the as-prepared graphene exhibits a good stability in solution. This simple method shows promising applications in the bulk-quantity production of graphene and graphene-based materials.","author":[{"dropping-particle":"","family":"Yang","given":"Sheng","non-dropping-particle":"","parse-names":false,"suffix":""},{"dropping-particle":"","family":"Yue","given":"Wenbo","non-dropping-particle":"","parse-names":false,"suffix":""},{"dropping-particle":"","family":"Huang","given":"Dazhen","non-dropping-particle":"","parse-names":false,"suffix":""},{"dropping-particle":"","family":"Chen","given":"Caifeng","non-dropping-particle":"","parse-names":false,"suffix":""},{"dropping-particle":"","family":"Lin","given":"Hao","non-dropping-particle":"","parse-names":false,"suffix":""},{"dropping-particle":"","family":"Yang","given":"Xiaojing","non-dropping-particle":"","parse-names":false,"suffix":""}],"container-title":"RSC Advances","id":"ITEM-1","issue":"23","issued":{"date-parts":[["2012"]]},"page":"8827-8832","title":"A facile green strategy for rapid reduction of graphene oxide by metallic zinc","type":"article-journal","volume":"2"},"uris":["http://www.mendeley.com/documents/?uuid=8678f417-15a9-4ac0-a350-45abd99dedd6","http://www.mendeley.com/documents/?uuid=6169e68f-aeb9-4ed4-b9da-f7422cd19588"]}],"mendeley":{"formattedCitation":"[20]","manualFormatting":"[20]","plainTextFormattedCitation":"[20]","previouslyFormattedCitation":"[20]"},"properties":{"noteIndex":0},"schema":"https://github.com/citation-style-language/schema/raw/master/csl-citation.json"}</w:instrText>
      </w:r>
      <w:r w:rsidRPr="00DC4C68">
        <w:rPr>
          <w:rFonts w:ascii="Times New Roman" w:hAnsi="Times New Roman"/>
          <w:sz w:val="20"/>
          <w:szCs w:val="24"/>
        </w:rPr>
        <w:fldChar w:fldCharType="separate"/>
      </w:r>
      <w:r w:rsidRPr="00DC4C68">
        <w:rPr>
          <w:rFonts w:ascii="Times New Roman" w:hAnsi="Times New Roman"/>
          <w:noProof/>
          <w:sz w:val="20"/>
          <w:szCs w:val="24"/>
        </w:rPr>
        <w:t>[20]</w:t>
      </w:r>
      <w:r w:rsidRPr="00DC4C68">
        <w:rPr>
          <w:rFonts w:ascii="Times New Roman" w:hAnsi="Times New Roman"/>
          <w:sz w:val="20"/>
          <w:szCs w:val="24"/>
        </w:rPr>
        <w:fldChar w:fldCharType="end"/>
      </w:r>
      <w:r w:rsidRPr="00DC4C68">
        <w:rPr>
          <w:rFonts w:ascii="Times New Roman" w:hAnsi="Times New Roman"/>
          <w:sz w:val="20"/>
          <w:szCs w:val="24"/>
        </w:rPr>
        <w:t xml:space="preserve">. Upon subjected to the AA green reduction, the as-prepared rGO revealed a bathochromic shift absorption at wavelength of 259 nm indicated the successful restoration of electronic conjugation structure and removal of oxygenated group covalently bonded to the graphene oxide surface </w:t>
      </w:r>
      <w:r w:rsidRPr="00DC4C68">
        <w:rPr>
          <w:rFonts w:ascii="Times New Roman" w:hAnsi="Times New Roman"/>
          <w:sz w:val="20"/>
          <w:szCs w:val="24"/>
        </w:rPr>
        <w:fldChar w:fldCharType="begin" w:fldLock="1"/>
      </w:r>
      <w:r w:rsidRPr="00DC4C68">
        <w:rPr>
          <w:rFonts w:ascii="Times New Roman" w:hAnsi="Times New Roman"/>
          <w:sz w:val="20"/>
          <w:szCs w:val="24"/>
        </w:rPr>
        <w:instrText>ADDIN CSL_CITATION {"citationItems":[{"id":"ITEM-1","itemData":{"ISBN":"1452-3981","ISSN":"14523981","abstract":"The application of nanomaterials in water treatment has attracted significant attention recently. graphene/Fe3O4 nanocomposites (G/Fe3O4) with different ratios were prepared by solvothermal method and characterized using X-ray diffraction (XRD), high resolution transmission electron microscope (HR-TEM), vibrating sample magnetometer (VSM), and X-ray photoelectron spectroscopy (XPS), The effect of the composition ratios on the removal of methylene blue dye (MB) from aqueous solutions was investigated.","author":[{"dropping-particle":"","family":"Farghali","given":"Mohamed A","non-dropping-particle":"","parse-names":false,"suffix":""},{"dropping-particle":"","family":"Salah El-Din","given":"Taher A.","non-dropping-particle":"","parse-names":false,"suffix":""},{"dropping-particle":"","family":"Al-Enizi","given":"Abdullah M.","non-dropping-particle":"","parse-names":false,"suffix":""},{"dropping-particle":"","family":"Bahnasawy","given":"Ramadan M.","non-dropping-particle":"El","parse-names":false,"suffix":""}],"container-title":"International Journal of Electrochemical Science","id":"ITEM-1","issue":"1","issued":{"date-parts":[["2015"]]},"page":"529-537","title":"Graphene/magnetite nanocomposite for potential environmental application","type":"article-journal","volume":"10"},"uris":["http://www.mendeley.com/documents/?uuid=7024ff2c-28d4-4c41-9421-28348472fa43","http://www.mendeley.com/documents/?uuid=6f83d839-90ea-4d17-88c2-3d7c4b9024bd"]},{"id":"ITEM-2","itemData":{"DOI":"10.1039/c1cc14789g","ISBN":"1359-7345","ISSN":"13597345","PMID":"21952144","abstract":"Fe(2+) cations in FeCl(2) or FeSO(4) were oxidized by graphene oxide, leading to an in situ deposition of Fe(3)O(4) nanoparticles onto the self-reduced graphene oxide (rGO) sheets. The resultant Fe(3)O(4)/rGO sheets were demonstrated to possess interesting magnetic and electrochemical properties attractive for a large variety of potential applications.","author":[{"dropping-particle":"","family":"Xue","given":"Yuhua","non-dropping-particle":"","parse-names":false,"suffix":""},{"dropping-particle":"","family":"Chen","given":"Hao","non-dropping-particle":"","parse-names":false,"suffix":""},{"dropping-particle":"","family":"Yu","given":"Dingshan","non-dropping-particle":"","parse-names":false,"suffix":""},{"dropping-particle":"","family":"Wang","given":"Shuangyin","non-dropping-particle":"","parse-names":false,"suffix":""},{"dropping-particle":"","family":"Yardeni","given":"Michal","non-dropping-particle":"","parse-names":false,"suffix":""},{"dropping-particle":"","family":"Dai","given":"Quanbin","non-dropping-particle":"","parse-names":false,"suffix":""},{"dropping-particle":"","family":"Guo","given":"Mingming","non-dropping-particle":"","parse-names":false,"suffix":""},{"dropping-particle":"","family":"Liu","given":"Yong","non-dropping-particle":"","parse-names":false,"suffix":""},{"dropping-particle":"","family":"Lu","given":"Fan","non-dropping-particle":"","parse-names":false,"suffix":""},{"dropping-particle":"","family":"Qu","given":"Jia","non-dropping-particle":"","parse-names":false,"suffix":""},{"dropping-particle":"","family":"Dai","given":"Liming","non-dropping-particle":"","parse-names":false,"suffix":""}],"container-title":"Chemical Communications","id":"ITEM-2","issue":"42","issued":{"date-parts":[["2011"]]},"page":"11689-11691","title":"Oxidizing metal ions with graphene oxide: The in situ formation of magnetic nanoparticles on self-reduced graphene sheets for multifunctional applications","type":"article-journal","volume":"47"},"uris":["http://www.mendeley.com/documents/?uuid=1f511541-074a-4ac5-8bb5-6910f9a65297","http://www.mendeley.com/documents/?uuid=f8209c2c-f259-447d-9dd5-7054137142c4"]}],"mendeley":{"formattedCitation":"[21,22]","manualFormatting":"[21], [22]","plainTextFormattedCitation":"[21,22]","previouslyFormattedCitation":"[21,22]"},"properties":{"noteIndex":0},"schema":"https://github.com/citation-style-language/schema/raw/master/csl-citation.json"}</w:instrText>
      </w:r>
      <w:r w:rsidRPr="00DC4C68">
        <w:rPr>
          <w:rFonts w:ascii="Times New Roman" w:hAnsi="Times New Roman"/>
          <w:sz w:val="20"/>
          <w:szCs w:val="24"/>
        </w:rPr>
        <w:fldChar w:fldCharType="separate"/>
      </w:r>
      <w:r w:rsidRPr="00DC4C68">
        <w:rPr>
          <w:rFonts w:ascii="Times New Roman" w:hAnsi="Times New Roman"/>
          <w:noProof/>
          <w:sz w:val="20"/>
          <w:szCs w:val="24"/>
        </w:rPr>
        <w:t>[10, 21]</w:t>
      </w:r>
      <w:r w:rsidRPr="00DC4C68">
        <w:rPr>
          <w:rFonts w:ascii="Times New Roman" w:hAnsi="Times New Roman"/>
          <w:sz w:val="20"/>
          <w:szCs w:val="24"/>
        </w:rPr>
        <w:fldChar w:fldCharType="end"/>
      </w:r>
      <w:r w:rsidRPr="00DC4C68">
        <w:rPr>
          <w:rFonts w:ascii="Times New Roman" w:hAnsi="Times New Roman"/>
          <w:sz w:val="20"/>
          <w:szCs w:val="24"/>
        </w:rPr>
        <w:t>. The Fe</w:t>
      </w:r>
      <w:r w:rsidRPr="00DC4C68">
        <w:rPr>
          <w:rFonts w:ascii="Times New Roman" w:hAnsi="Times New Roman"/>
          <w:sz w:val="20"/>
          <w:szCs w:val="24"/>
          <w:vertAlign w:val="subscript"/>
        </w:rPr>
        <w:t>3</w:t>
      </w:r>
      <w:r w:rsidRPr="00DC4C68">
        <w:rPr>
          <w:rFonts w:ascii="Times New Roman" w:hAnsi="Times New Roman"/>
          <w:sz w:val="20"/>
          <w:szCs w:val="24"/>
        </w:rPr>
        <w:t>O</w:t>
      </w:r>
      <w:r w:rsidRPr="00DC4C68">
        <w:rPr>
          <w:rFonts w:ascii="Times New Roman" w:hAnsi="Times New Roman"/>
          <w:sz w:val="20"/>
          <w:szCs w:val="24"/>
          <w:vertAlign w:val="subscript"/>
        </w:rPr>
        <w:t>4</w:t>
      </w:r>
      <w:r w:rsidRPr="00DC4C68">
        <w:rPr>
          <w:rFonts w:ascii="Times New Roman" w:hAnsi="Times New Roman"/>
          <w:sz w:val="20"/>
          <w:szCs w:val="24"/>
        </w:rPr>
        <w:t xml:space="preserve"> nanoparticle shows continuous absorption throughout the ultraviolet-visible range of 200 nm to 80 0nm without any identifiable strong absorption peak. Similarly, the resultant Fe</w:t>
      </w:r>
      <w:r w:rsidRPr="00DC4C68">
        <w:rPr>
          <w:rFonts w:ascii="Times New Roman" w:hAnsi="Times New Roman"/>
          <w:sz w:val="20"/>
          <w:szCs w:val="24"/>
          <w:vertAlign w:val="subscript"/>
        </w:rPr>
        <w:t>3</w:t>
      </w:r>
      <w:r w:rsidRPr="00DC4C68">
        <w:rPr>
          <w:rFonts w:ascii="Times New Roman" w:hAnsi="Times New Roman"/>
          <w:sz w:val="20"/>
          <w:szCs w:val="24"/>
        </w:rPr>
        <w:t>O</w:t>
      </w:r>
      <w:r w:rsidRPr="00DC4C68">
        <w:rPr>
          <w:rFonts w:ascii="Times New Roman" w:hAnsi="Times New Roman"/>
          <w:sz w:val="20"/>
          <w:szCs w:val="24"/>
          <w:vertAlign w:val="subscript"/>
        </w:rPr>
        <w:t>4</w:t>
      </w:r>
      <w:r w:rsidRPr="00DC4C68">
        <w:rPr>
          <w:rFonts w:ascii="Times New Roman" w:hAnsi="Times New Roman"/>
          <w:sz w:val="20"/>
          <w:szCs w:val="24"/>
        </w:rPr>
        <w:t xml:space="preserve">/rGO demonstrated a sharp increment in the optical absorption particularly at near band edge followed by a steady state absorbance approximately at 268nm </w:t>
      </w:r>
      <w:r w:rsidRPr="00DC4C68">
        <w:rPr>
          <w:rFonts w:ascii="Times New Roman" w:hAnsi="Times New Roman"/>
          <w:sz w:val="20"/>
          <w:szCs w:val="24"/>
        </w:rPr>
        <w:fldChar w:fldCharType="begin" w:fldLock="1"/>
      </w:r>
      <w:r w:rsidRPr="00DC4C68">
        <w:rPr>
          <w:rFonts w:ascii="Times New Roman" w:hAnsi="Times New Roman"/>
          <w:sz w:val="20"/>
          <w:szCs w:val="24"/>
        </w:rPr>
        <w:instrText>ADDIN CSL_CITATION {"citationItems":[{"id":"ITEM-1","itemData":{"DOI":"10.31788/RJC.2018.1134003","ISSN":"09760083","author":[{"dropping-particle":"","family":"Kamakshi","given":"T.","non-dropping-particle":"","parse-names":false,"suffix":""},{"dropping-particle":"","family":"Sundari","given":"G. Sunita","non-dropping-particle":"","parse-names":false,"suffix":""},{"dropping-particle":"","family":"Erothu","given":"Harikrishna","non-dropping-particle":"","parse-names":false,"suffix":""},{"dropping-particle":"","family":"Rao","given":"T. P.","non-dropping-particle":"","parse-names":false,"suffix":""}],"container-title":"Rasayan Journal of Chemistry","id":"ITEM-1","issue":"3","issued":{"date-parts":[["2018","2"]]},"page":"1113-1119","title":"Synthesis and characterization ofgraphene based iron oxide (Fe3O4) nanocomposites","type":"article-journal","volume":"11"},"uris":["http://www.mendeley.com/documents/?uuid=7209e074-acc0-4e0e-aafb-99993652622a","http://www.mendeley.com/documents/?uuid=ffc11eb4-436b-4edc-802e-7ef0d5078cd6"]}],"mendeley":{"formattedCitation":"[19]","manualFormatting":"[18]","plainTextFormattedCitation":"[19]","previouslyFormattedCitation":"[19]"},"properties":{"noteIndex":0},"schema":"https://github.com/citation-style-language/schema/raw/master/csl-citation.json"}</w:instrText>
      </w:r>
      <w:r w:rsidRPr="00DC4C68">
        <w:rPr>
          <w:rFonts w:ascii="Times New Roman" w:hAnsi="Times New Roman"/>
          <w:sz w:val="20"/>
          <w:szCs w:val="24"/>
        </w:rPr>
        <w:fldChar w:fldCharType="separate"/>
      </w:r>
      <w:r w:rsidRPr="00DC4C68">
        <w:rPr>
          <w:rFonts w:ascii="Times New Roman" w:hAnsi="Times New Roman"/>
          <w:noProof/>
          <w:sz w:val="20"/>
          <w:szCs w:val="24"/>
        </w:rPr>
        <w:t>[18]</w:t>
      </w:r>
      <w:r w:rsidRPr="00DC4C68">
        <w:rPr>
          <w:rFonts w:ascii="Times New Roman" w:hAnsi="Times New Roman"/>
          <w:sz w:val="20"/>
          <w:szCs w:val="24"/>
        </w:rPr>
        <w:fldChar w:fldCharType="end"/>
      </w:r>
      <w:r w:rsidRPr="00DC4C68">
        <w:rPr>
          <w:rFonts w:ascii="Times New Roman" w:hAnsi="Times New Roman"/>
          <w:sz w:val="20"/>
          <w:szCs w:val="24"/>
        </w:rPr>
        <w:t>. The redshifted absorption pattern suggested the incorporation of Fe</w:t>
      </w:r>
      <w:r w:rsidRPr="00DC4C68">
        <w:rPr>
          <w:rFonts w:ascii="Times New Roman" w:hAnsi="Times New Roman"/>
          <w:sz w:val="20"/>
          <w:szCs w:val="24"/>
          <w:vertAlign w:val="subscript"/>
        </w:rPr>
        <w:t>3</w:t>
      </w:r>
      <w:r w:rsidRPr="00DC4C68">
        <w:rPr>
          <w:rFonts w:ascii="Times New Roman" w:hAnsi="Times New Roman"/>
          <w:sz w:val="20"/>
          <w:szCs w:val="24"/>
        </w:rPr>
        <w:t>O</w:t>
      </w:r>
      <w:r w:rsidRPr="00DC4C68">
        <w:rPr>
          <w:rFonts w:ascii="Times New Roman" w:hAnsi="Times New Roman"/>
          <w:sz w:val="20"/>
          <w:szCs w:val="24"/>
          <w:vertAlign w:val="subscript"/>
        </w:rPr>
        <w:t>4</w:t>
      </w:r>
      <w:r w:rsidRPr="00DC4C68">
        <w:rPr>
          <w:rFonts w:ascii="Times New Roman" w:hAnsi="Times New Roman"/>
          <w:sz w:val="20"/>
          <w:szCs w:val="24"/>
        </w:rPr>
        <w:t xml:space="preserve"> onto the surface of graphitic sp</w:t>
      </w:r>
      <w:r w:rsidRPr="00DC4C68">
        <w:rPr>
          <w:rFonts w:ascii="Times New Roman" w:hAnsi="Times New Roman"/>
          <w:sz w:val="20"/>
          <w:szCs w:val="24"/>
          <w:vertAlign w:val="superscript"/>
        </w:rPr>
        <w:t>2</w:t>
      </w:r>
      <w:r w:rsidRPr="00DC4C68">
        <w:rPr>
          <w:rFonts w:ascii="Times New Roman" w:hAnsi="Times New Roman"/>
          <w:sz w:val="20"/>
          <w:szCs w:val="24"/>
        </w:rPr>
        <w:t xml:space="preserve"> domain of rGO which underlying an enhanced photocatalytic performance. </w:t>
      </w:r>
    </w:p>
    <w:p w:rsidR="000F1DE8" w:rsidRDefault="000F1DE8" w:rsidP="006C5FBD">
      <w:pPr>
        <w:spacing w:after="0" w:line="240" w:lineRule="auto"/>
        <w:jc w:val="both"/>
        <w:rPr>
          <w:rFonts w:ascii="Times New Roman" w:hAnsi="Times New Roman"/>
          <w:sz w:val="20"/>
          <w:szCs w:val="24"/>
        </w:rPr>
      </w:pPr>
    </w:p>
    <w:p w:rsidR="000F1DE8" w:rsidRPr="00DC4C68" w:rsidRDefault="000F1DE8" w:rsidP="000F1DE8">
      <w:pPr>
        <w:spacing w:after="0" w:line="240" w:lineRule="auto"/>
        <w:jc w:val="both"/>
        <w:rPr>
          <w:rFonts w:ascii="Times New Roman" w:hAnsi="Times New Roman"/>
          <w:iCs/>
          <w:noProof/>
          <w:sz w:val="20"/>
          <w:szCs w:val="24"/>
        </w:rPr>
      </w:pPr>
      <w:r w:rsidRPr="00DC4C68">
        <w:rPr>
          <w:rFonts w:ascii="Times New Roman" w:hAnsi="Times New Roman"/>
          <w:iCs/>
          <w:sz w:val="20"/>
          <w:szCs w:val="24"/>
        </w:rPr>
        <w:t xml:space="preserve">The surface morphology and structural feature of each type of constituents and nanohybrids materials were elucidated through SEM imaging. In Figure 2, GO and rGO demonstrated units of </w:t>
      </w:r>
      <w:r w:rsidRPr="00DC4C68">
        <w:rPr>
          <w:rFonts w:ascii="Times New Roman" w:hAnsi="Times New Roman"/>
          <w:iCs/>
          <w:sz w:val="20"/>
          <w:szCs w:val="20"/>
        </w:rPr>
        <w:t>random aggregates with</w:t>
      </w:r>
      <w:r w:rsidRPr="00DC4C68">
        <w:rPr>
          <w:rFonts w:ascii="Times New Roman" w:hAnsi="Times New Roman"/>
          <w:iCs/>
          <w:sz w:val="24"/>
          <w:szCs w:val="24"/>
        </w:rPr>
        <w:t xml:space="preserve"> </w:t>
      </w:r>
      <w:r w:rsidRPr="00DC4C68">
        <w:rPr>
          <w:rFonts w:ascii="Times New Roman" w:hAnsi="Times New Roman"/>
          <w:iCs/>
          <w:sz w:val="20"/>
          <w:szCs w:val="24"/>
        </w:rPr>
        <w:t>corrugation nature extending over the carbon domain. This unique surface changes was attributed to the chemical destruction and restoration of graphitic sp</w:t>
      </w:r>
      <w:r w:rsidRPr="00DC4C68">
        <w:rPr>
          <w:rFonts w:ascii="Times New Roman" w:hAnsi="Times New Roman"/>
          <w:iCs/>
          <w:sz w:val="20"/>
          <w:szCs w:val="24"/>
          <w:vertAlign w:val="superscript"/>
        </w:rPr>
        <w:t>2</w:t>
      </w:r>
      <w:r w:rsidRPr="00DC4C68">
        <w:rPr>
          <w:rFonts w:ascii="Times New Roman" w:hAnsi="Times New Roman"/>
          <w:iCs/>
          <w:sz w:val="20"/>
          <w:szCs w:val="24"/>
        </w:rPr>
        <w:t xml:space="preserve"> hybridized network happened during intercalation stage and functionalization of graphitic surface </w:t>
      </w:r>
      <w:r w:rsidRPr="00DC4C68">
        <w:rPr>
          <w:rFonts w:ascii="Times New Roman" w:hAnsi="Times New Roman"/>
          <w:iCs/>
          <w:sz w:val="20"/>
          <w:szCs w:val="24"/>
        </w:rPr>
        <w:fldChar w:fldCharType="begin" w:fldLock="1"/>
      </w:r>
      <w:r w:rsidRPr="00DC4C68">
        <w:rPr>
          <w:rFonts w:ascii="Times New Roman" w:hAnsi="Times New Roman"/>
          <w:iCs/>
          <w:sz w:val="20"/>
          <w:szCs w:val="24"/>
        </w:rPr>
        <w:instrText>ADDIN CSL_CITATION {"citationItems":[{"id":"ITEM-1","itemData":{"DOI":"10.1021/nn500606a","ISBN":"1936-0851","ISSN":"1936086X","PMID":"24568241","abstract":"Despite intensive research, the mechanism of graphene oxide (GO) formation remains unclear. The role of interfacial interactions between solid graphite and the liquid reaction medium, and transport of the oxidizing agent into the graphite, has not been well-addressed. In this work, we show that formation of GO from graphite constitutes three distinct independent steps. The reaction can be stopped at each step, and the corresponding intermediate products can be isolated, characterized, and stored under appropriate conditions. The first step is conversion of graphite into a stage-1 graphite intercalation compound (GIC). The second step is conversion of the stage-1 GIC into oxidized graphite, which we define as pristine graphite oxide (PGO). This step involves diffusion of the oxidizing agent into the preoccupied graphite galleries. This rate-determining step makes the entire process diffusive-controlled. The third step is conversion of PGO into conventional GO after exposure to water, which involves hydrolysis of covalent sulfates and loss of all interlayer registry.","author":[{"dropping-particle":"","family":"Dimiev","given":"Ayrat M.","non-dropping-particle":"","parse-names":false,"suffix":""},{"dropping-particle":"","family":"Tour","given":"James M.","non-dropping-particle":"","parse-names":false,"suffix":""}],"container-title":"ACS Nano","id":"ITEM-1","issue":"3","issued":{"date-parts":[["2014"]]},"page":"3060-3068","title":"Mechanism of graphene oxide formation","type":"article-journal","volume":"8"},"uris":["http://www.mendeley.com/documents/?uuid=a6a77ab2-4eff-4b36-937c-c52a89ec09a7","http://www.mendeley.com/documents/?uuid=1af01bbd-db48-4b23-a2c7-91d77226d29d"]}],"mendeley":{"formattedCitation":"[23]","manualFormatting":"[23]","plainTextFormattedCitation":"[23]","previouslyFormattedCitation":"[23]"},"properties":{"noteIndex":0},"schema":"https://github.com/citation-style-language/schema/raw/master/csl-citation.json"}</w:instrText>
      </w:r>
      <w:r w:rsidRPr="00DC4C68">
        <w:rPr>
          <w:rFonts w:ascii="Times New Roman" w:hAnsi="Times New Roman"/>
          <w:iCs/>
          <w:sz w:val="20"/>
          <w:szCs w:val="24"/>
        </w:rPr>
        <w:fldChar w:fldCharType="separate"/>
      </w:r>
      <w:r w:rsidRPr="00DC4C68">
        <w:rPr>
          <w:rFonts w:ascii="Times New Roman" w:hAnsi="Times New Roman"/>
          <w:iCs/>
          <w:noProof/>
          <w:sz w:val="20"/>
          <w:szCs w:val="24"/>
        </w:rPr>
        <w:t>[22]</w:t>
      </w:r>
      <w:r w:rsidRPr="00DC4C68">
        <w:rPr>
          <w:rFonts w:ascii="Times New Roman" w:hAnsi="Times New Roman"/>
          <w:iCs/>
          <w:sz w:val="20"/>
          <w:szCs w:val="24"/>
        </w:rPr>
        <w:fldChar w:fldCharType="end"/>
      </w:r>
      <w:r w:rsidRPr="00DC4C68">
        <w:rPr>
          <w:rFonts w:ascii="Times New Roman" w:hAnsi="Times New Roman"/>
          <w:iCs/>
          <w:sz w:val="20"/>
          <w:szCs w:val="24"/>
        </w:rPr>
        <w:t xml:space="preserve">. The spontaneous graphitic sheet scrolling is thermodynamically favored, at which the irreversible wrinkle nature of rGO sustains a beneficial high ratio of total surface area to volume </w:t>
      </w:r>
      <w:r w:rsidRPr="00DC4C68">
        <w:rPr>
          <w:rFonts w:ascii="Times New Roman" w:hAnsi="Times New Roman"/>
          <w:iCs/>
          <w:sz w:val="20"/>
          <w:szCs w:val="24"/>
        </w:rPr>
        <w:fldChar w:fldCharType="begin" w:fldLock="1"/>
      </w:r>
      <w:r w:rsidRPr="00DC4C68">
        <w:rPr>
          <w:rFonts w:ascii="Times New Roman" w:hAnsi="Times New Roman"/>
          <w:iCs/>
          <w:sz w:val="20"/>
          <w:szCs w:val="24"/>
        </w:rPr>
        <w:instrText>ADDIN CSL_CITATION {"citationItems":[{"id":"ITEM-1","itemData":{"DOI":"10.1039/C4AY00043A","ISBN":"1759-9660","ISSN":"1759-9660","abstract":"An electrochemically reduced graphene oxide modified glassy carbon electrode with good sensitivity and selectivity was developed and applied for sensing AA, DA and UA.","author":[{"dropping-particle":"","family":"Aneesh","given":"Padamadathil K.","non-dropping-particle":"","parse-names":false,"suffix":""},{"dropping-particle":"","family":"Nambiar","given":"Sindhu R.","non-dropping-particle":"","parse-names":false,"suffix":""},{"dropping-particle":"","family":"Rao","given":"Talasila P.","non-dropping-particle":"","parse-names":false,"suffix":""},{"dropping-particle":"","family":"Ajayaghosh","given":"Ayyappanpillai","non-dropping-particle":"","parse-names":false,"suffix":""}],"container-title":"Anal. Methods","id":"ITEM-1","issue":"14","issued":{"date-parts":[["2014"]]},"page":"5322-5330","title":"Electrochemically synthesized partially reduced graphene oxide modified glassy carbon electrode for individual and simultaneous voltammetric determination of ascorbic acid, dopamine and uric acid","type":"article-journal","volume":"6"},"uris":["http://www.mendeley.com/documents/?uuid=c98bc278-0476-40f4-85a5-055d4c23d9cf","http://www.mendeley.com/documents/?uuid=d187bd16-7934-4915-8424-f8af2ab1ccd8"]}],"mendeley":{"formattedCitation":"[24]","manualFormatting":"[24]","plainTextFormattedCitation":"[24]","previouslyFormattedCitation":"[24]"},"properties":{"noteIndex":0},"schema":"https://github.com/citation-style-language/schema/raw/master/csl-citation.json"}</w:instrText>
      </w:r>
      <w:r w:rsidRPr="00DC4C68">
        <w:rPr>
          <w:rFonts w:ascii="Times New Roman" w:hAnsi="Times New Roman"/>
          <w:iCs/>
          <w:sz w:val="20"/>
          <w:szCs w:val="24"/>
        </w:rPr>
        <w:fldChar w:fldCharType="separate"/>
      </w:r>
      <w:r w:rsidRPr="00DC4C68">
        <w:rPr>
          <w:rFonts w:ascii="Times New Roman" w:hAnsi="Times New Roman"/>
          <w:iCs/>
          <w:noProof/>
          <w:sz w:val="20"/>
          <w:szCs w:val="24"/>
        </w:rPr>
        <w:t>[23]</w:t>
      </w:r>
      <w:r w:rsidRPr="00DC4C68">
        <w:rPr>
          <w:rFonts w:ascii="Times New Roman" w:hAnsi="Times New Roman"/>
          <w:iCs/>
          <w:sz w:val="20"/>
          <w:szCs w:val="24"/>
        </w:rPr>
        <w:fldChar w:fldCharType="end"/>
      </w:r>
      <w:r w:rsidRPr="00DC4C68">
        <w:rPr>
          <w:rFonts w:ascii="Times New Roman" w:hAnsi="Times New Roman"/>
          <w:iCs/>
          <w:sz w:val="20"/>
          <w:szCs w:val="24"/>
        </w:rPr>
        <w:t>. The existences of extra hole defects and vacancies spreading throughout the rGO sheets in comparison to GO is because of the introduction of sp</w:t>
      </w:r>
      <w:r w:rsidRPr="00DC4C68">
        <w:rPr>
          <w:rFonts w:ascii="Times New Roman" w:hAnsi="Times New Roman"/>
          <w:iCs/>
          <w:sz w:val="20"/>
          <w:szCs w:val="24"/>
          <w:vertAlign w:val="superscript"/>
        </w:rPr>
        <w:t>3</w:t>
      </w:r>
      <w:r w:rsidRPr="00DC4C68">
        <w:rPr>
          <w:rFonts w:ascii="Times New Roman" w:hAnsi="Times New Roman"/>
          <w:iCs/>
          <w:sz w:val="20"/>
          <w:szCs w:val="24"/>
        </w:rPr>
        <w:t xml:space="preserve"> oxygenated carbon population and discontinuation of the interplanar C-C bonding. This supported that GO was successfully reduced to rGO. The SEM image was obtained for magnetite nanoparticle as shown in Figure 2(d). The magnetite synthesized from co-precipitation appears as sphere-like </w:t>
      </w:r>
      <w:r w:rsidRPr="00DC4C68">
        <w:rPr>
          <w:rFonts w:ascii="Times New Roman" w:hAnsi="Times New Roman"/>
          <w:iCs/>
          <w:sz w:val="20"/>
          <w:szCs w:val="24"/>
        </w:rPr>
        <w:lastRenderedPageBreak/>
        <w:t xml:space="preserve">discrete particle with mean size differences in dimension of nanoparticle </w:t>
      </w:r>
      <w:r w:rsidRPr="00DC4C68">
        <w:rPr>
          <w:rFonts w:ascii="Times New Roman" w:hAnsi="Times New Roman"/>
          <w:iCs/>
          <w:sz w:val="20"/>
          <w:szCs w:val="24"/>
        </w:rPr>
        <w:fldChar w:fldCharType="begin" w:fldLock="1"/>
      </w:r>
      <w:r w:rsidRPr="00DC4C68">
        <w:rPr>
          <w:rFonts w:ascii="Times New Roman" w:hAnsi="Times New Roman"/>
          <w:iCs/>
          <w:sz w:val="20"/>
          <w:szCs w:val="24"/>
        </w:rPr>
        <w:instrText>ADDIN CSL_CITATION {"citationItems":[{"id":"ITEM-1","itemData":{"DOI":"10.7763/IJESD.2013.V4.366","ISBN":"20100264","ISSN":"20100264","abstract":"Abstract—Fe3O4 (magnetite) nanoparticles were synthesized by chemical co-precipitation method. The structure, morphology and magnetic properties of as-prepared were characterized by X Ray Diffraction (XRD), Scanning Electron Microscope-Energy Dispersive X Ray Spectrometry (SEM-EDS), Transmission Electron Microscope (TEM) and Vibrating Sample Magnetometer (VSM). The result of XRD characterization was indicated Fe3O4 as the product. SEM and TEM image of the Fe3O4 showed nanoparticles Fe3O4 have the mean diameter 5-20 nm. The EDS spectra showed strong peaks of Fe and O. Magnetic characteristic of Fe3O4 nanoparticles was indicated super paramagnetic properties. The saturation magnetic was 89.46 emu g-1. Therefore, the nanoparticles Fe3O4 is suitable to remove dye in the water by a simple magnetic separation process. The optimum adsorption occurred at initial concentration of procion dye 100 mg L-1, pH solution 6, dosage of Fe3O4 0.8 g L-1 and contact time 30 minutes under room temperature with color removal 24.40 % and adsorption capacity was 30.503 mg g-1. Index","author":[{"dropping-particle":"","family":"Hariani","given":"Poedji Loekitowati","non-dropping-particle":"","parse-names":false,"suffix":""},{"dropping-particle":"","family":"Faizal","given":"Muhammad","non-dropping-particle":"","parse-names":false,"suffix":""},{"dropping-particle":"","family":"Ridwan","given":"Ridwan","non-dropping-particle":"","parse-names":false,"suffix":""},{"dropping-particle":"","family":"Marsi","given":"Marsi","non-dropping-particle":"","parse-names":false,"suffix":""},{"dropping-particle":"","family":"Setiabudidaya","given":"Dedi","non-dropping-particle":"","parse-names":false,"suffix":""}],"container-title":"International Journal of Environmental Science and Development","id":"ITEM-1","issue":"3","issued":{"date-parts":[["2013"]]},"page":"336-340","title":"Synthesis and Properties of Fe3O4 Nanoparticles by Co-precipitation Method to Removal Procion Dye","type":"article-journal","volume":"4"},"uris":["http://www.mendeley.com/documents/?uuid=f1a9789c-a3da-4688-bbfa-1fa8cd444257","http://www.mendeley.com/documents/?uuid=53a2bd09-0a19-452e-8fdb-af0d31a143c6"]}],"mendeley":{"formattedCitation":"[25]","manualFormatting":"[25]","plainTextFormattedCitation":"[25]","previouslyFormattedCitation":"[25]"},"properties":{"noteIndex":0},"schema":"https://github.com/citation-style-language/schema/raw/master/csl-citation.json"}</w:instrText>
      </w:r>
      <w:r w:rsidRPr="00DC4C68">
        <w:rPr>
          <w:rFonts w:ascii="Times New Roman" w:hAnsi="Times New Roman"/>
          <w:iCs/>
          <w:sz w:val="20"/>
          <w:szCs w:val="24"/>
        </w:rPr>
        <w:fldChar w:fldCharType="separate"/>
      </w:r>
      <w:r w:rsidRPr="00DC4C68">
        <w:rPr>
          <w:rFonts w:ascii="Times New Roman" w:hAnsi="Times New Roman"/>
          <w:iCs/>
          <w:noProof/>
          <w:sz w:val="20"/>
          <w:szCs w:val="24"/>
        </w:rPr>
        <w:t>[24]</w:t>
      </w:r>
      <w:r w:rsidRPr="00DC4C68">
        <w:rPr>
          <w:rFonts w:ascii="Times New Roman" w:hAnsi="Times New Roman"/>
          <w:iCs/>
          <w:sz w:val="20"/>
          <w:szCs w:val="24"/>
        </w:rPr>
        <w:fldChar w:fldCharType="end"/>
      </w:r>
      <w:r w:rsidRPr="00DC4C68">
        <w:rPr>
          <w:rFonts w:ascii="Times New Roman" w:hAnsi="Times New Roman"/>
          <w:iCs/>
          <w:sz w:val="20"/>
          <w:szCs w:val="24"/>
        </w:rPr>
        <w:t>. The resultant Fe</w:t>
      </w:r>
      <w:r w:rsidRPr="00DC4C68">
        <w:rPr>
          <w:rFonts w:ascii="Times New Roman" w:hAnsi="Times New Roman"/>
          <w:iCs/>
          <w:sz w:val="20"/>
          <w:szCs w:val="24"/>
          <w:vertAlign w:val="subscript"/>
        </w:rPr>
        <w:t>3</w:t>
      </w:r>
      <w:r w:rsidRPr="00DC4C68">
        <w:rPr>
          <w:rFonts w:ascii="Times New Roman" w:hAnsi="Times New Roman"/>
          <w:iCs/>
          <w:sz w:val="20"/>
          <w:szCs w:val="24"/>
        </w:rPr>
        <w:t>O</w:t>
      </w:r>
      <w:r w:rsidRPr="00DC4C68">
        <w:rPr>
          <w:rFonts w:ascii="Times New Roman" w:hAnsi="Times New Roman"/>
          <w:iCs/>
          <w:sz w:val="20"/>
          <w:szCs w:val="24"/>
          <w:vertAlign w:val="subscript"/>
        </w:rPr>
        <w:t>4</w:t>
      </w:r>
      <w:r w:rsidRPr="00DC4C68">
        <w:rPr>
          <w:rFonts w:ascii="Times New Roman" w:hAnsi="Times New Roman"/>
          <w:iCs/>
          <w:sz w:val="20"/>
          <w:szCs w:val="24"/>
        </w:rPr>
        <w:t>/rGO nanocomposite was shown in Figure 2 (e) with visible discrete outline of both different rGO and MnP nanoparticles. The rGO film was densely anchored with spherical magnetite nanoparticle of uniform size. The crystal growth suppressive effect due interaction of GO sheet and Fe</w:t>
      </w:r>
      <w:r w:rsidRPr="00DC4C68">
        <w:rPr>
          <w:rFonts w:ascii="Times New Roman" w:hAnsi="Times New Roman"/>
          <w:iCs/>
          <w:sz w:val="20"/>
          <w:szCs w:val="24"/>
          <w:vertAlign w:val="subscript"/>
        </w:rPr>
        <w:t>3</w:t>
      </w:r>
      <w:r w:rsidRPr="00DC4C68">
        <w:rPr>
          <w:rFonts w:ascii="Times New Roman" w:hAnsi="Times New Roman"/>
          <w:iCs/>
          <w:sz w:val="20"/>
          <w:szCs w:val="24"/>
        </w:rPr>
        <w:t>O</w:t>
      </w:r>
      <w:r w:rsidRPr="00DC4C68">
        <w:rPr>
          <w:rFonts w:ascii="Times New Roman" w:hAnsi="Times New Roman"/>
          <w:iCs/>
          <w:sz w:val="20"/>
          <w:szCs w:val="24"/>
          <w:vertAlign w:val="subscript"/>
        </w:rPr>
        <w:t>4</w:t>
      </w:r>
      <w:r w:rsidRPr="00DC4C68">
        <w:rPr>
          <w:rFonts w:ascii="Times New Roman" w:hAnsi="Times New Roman"/>
          <w:iCs/>
          <w:sz w:val="20"/>
          <w:szCs w:val="24"/>
        </w:rPr>
        <w:t xml:space="preserve"> has restrained the extent of Fe</w:t>
      </w:r>
      <w:r w:rsidRPr="00DC4C68">
        <w:rPr>
          <w:rFonts w:ascii="Times New Roman" w:hAnsi="Times New Roman"/>
          <w:iCs/>
          <w:sz w:val="20"/>
          <w:szCs w:val="24"/>
          <w:vertAlign w:val="subscript"/>
        </w:rPr>
        <w:t>3</w:t>
      </w:r>
      <w:r w:rsidRPr="00DC4C68">
        <w:rPr>
          <w:rFonts w:ascii="Times New Roman" w:hAnsi="Times New Roman"/>
          <w:iCs/>
          <w:sz w:val="20"/>
          <w:szCs w:val="24"/>
        </w:rPr>
        <w:t>O</w:t>
      </w:r>
      <w:r w:rsidRPr="00DC4C68">
        <w:rPr>
          <w:rFonts w:ascii="Times New Roman" w:hAnsi="Times New Roman"/>
          <w:iCs/>
          <w:sz w:val="20"/>
          <w:szCs w:val="24"/>
          <w:vertAlign w:val="subscript"/>
        </w:rPr>
        <w:t>4</w:t>
      </w:r>
      <w:r w:rsidRPr="00DC4C68">
        <w:rPr>
          <w:rFonts w:ascii="Times New Roman" w:hAnsi="Times New Roman"/>
          <w:iCs/>
          <w:sz w:val="20"/>
          <w:szCs w:val="24"/>
        </w:rPr>
        <w:t xml:space="preserve"> agglomeration that could facilitate the electron transfer from Fe</w:t>
      </w:r>
      <w:r w:rsidRPr="00DC4C68">
        <w:rPr>
          <w:rFonts w:ascii="Times New Roman" w:hAnsi="Times New Roman"/>
          <w:iCs/>
          <w:sz w:val="20"/>
          <w:szCs w:val="24"/>
          <w:vertAlign w:val="subscript"/>
        </w:rPr>
        <w:t>3</w:t>
      </w:r>
      <w:r w:rsidRPr="00DC4C68">
        <w:rPr>
          <w:rFonts w:ascii="Times New Roman" w:hAnsi="Times New Roman"/>
          <w:iCs/>
          <w:sz w:val="20"/>
          <w:szCs w:val="24"/>
        </w:rPr>
        <w:t>O</w:t>
      </w:r>
      <w:r w:rsidRPr="00DC4C68">
        <w:rPr>
          <w:rFonts w:ascii="Times New Roman" w:hAnsi="Times New Roman"/>
          <w:iCs/>
          <w:sz w:val="20"/>
          <w:szCs w:val="24"/>
          <w:vertAlign w:val="subscript"/>
        </w:rPr>
        <w:t>4</w:t>
      </w:r>
      <w:r w:rsidRPr="00DC4C68">
        <w:rPr>
          <w:rFonts w:ascii="Times New Roman" w:hAnsi="Times New Roman"/>
          <w:iCs/>
          <w:sz w:val="20"/>
          <w:szCs w:val="24"/>
        </w:rPr>
        <w:t xml:space="preserve"> through the rGO sheet producing an enhanced electrochemical response. </w:t>
      </w:r>
    </w:p>
    <w:p w:rsidR="000F1DE8" w:rsidRPr="00DC4C68" w:rsidRDefault="000F1DE8" w:rsidP="000F1DE8">
      <w:pPr>
        <w:spacing w:after="120" w:line="240" w:lineRule="auto"/>
        <w:jc w:val="both"/>
        <w:rPr>
          <w:rFonts w:ascii="Times New Roman" w:hAnsi="Times New Roman"/>
          <w:sz w:val="20"/>
          <w:szCs w:val="24"/>
        </w:rPr>
      </w:pPr>
    </w:p>
    <w:p w:rsidR="006C5FBD" w:rsidRPr="000F1DE8" w:rsidRDefault="006C5FBD" w:rsidP="000F1DE8">
      <w:pPr>
        <w:spacing w:after="120" w:line="240" w:lineRule="auto"/>
        <w:jc w:val="center"/>
        <w:rPr>
          <w:rFonts w:ascii="Times New Roman" w:hAnsi="Times New Roman"/>
          <w:sz w:val="20"/>
          <w:szCs w:val="20"/>
        </w:rPr>
      </w:pPr>
      <w:r w:rsidRPr="00DC4C68">
        <w:rPr>
          <w:noProof/>
          <w:lang w:bidi="ar-SA"/>
        </w:rPr>
        <w:drawing>
          <wp:inline distT="0" distB="0" distL="0" distR="0" wp14:anchorId="7B4CEC20" wp14:editId="510B7266">
            <wp:extent cx="3197310" cy="4480560"/>
            <wp:effectExtent l="19050" t="19050" r="22225"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185"/>
                    <a:stretch/>
                  </pic:blipFill>
                  <pic:spPr bwMode="auto">
                    <a:xfrm>
                      <a:off x="0" y="0"/>
                      <a:ext cx="3197310" cy="4480560"/>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6C5FBD" w:rsidRPr="00DC4C68" w:rsidRDefault="006C5FBD" w:rsidP="000F1DE8">
      <w:pPr>
        <w:spacing w:after="0" w:line="240" w:lineRule="auto"/>
        <w:jc w:val="center"/>
        <w:rPr>
          <w:rFonts w:ascii="Times New Roman" w:hAnsi="Times New Roman"/>
          <w:iCs/>
          <w:sz w:val="20"/>
          <w:szCs w:val="24"/>
        </w:rPr>
      </w:pPr>
      <w:r w:rsidRPr="00DC4C68">
        <w:rPr>
          <w:rFonts w:ascii="Times New Roman" w:hAnsi="Times New Roman"/>
          <w:iCs/>
          <w:sz w:val="20"/>
          <w:szCs w:val="24"/>
        </w:rPr>
        <w:t xml:space="preserve">Figure 1. </w:t>
      </w:r>
      <w:r w:rsidR="000F1DE8">
        <w:rPr>
          <w:rFonts w:ascii="Times New Roman" w:hAnsi="Times New Roman"/>
          <w:iCs/>
          <w:sz w:val="20"/>
          <w:szCs w:val="24"/>
        </w:rPr>
        <w:t xml:space="preserve"> </w:t>
      </w:r>
      <w:r w:rsidRPr="00DC4C68">
        <w:rPr>
          <w:rFonts w:ascii="Times New Roman" w:hAnsi="Times New Roman"/>
          <w:iCs/>
          <w:sz w:val="20"/>
          <w:szCs w:val="24"/>
        </w:rPr>
        <w:t>(a)  FTIR spectrum and (b) UV-vis spectra of graphite, GO, rGO, Fe</w:t>
      </w:r>
      <w:r w:rsidRPr="00DC4C68">
        <w:rPr>
          <w:rFonts w:ascii="Times New Roman" w:hAnsi="Times New Roman"/>
          <w:iCs/>
          <w:sz w:val="20"/>
          <w:szCs w:val="24"/>
          <w:vertAlign w:val="subscript"/>
        </w:rPr>
        <w:t>3</w:t>
      </w:r>
      <w:r w:rsidRPr="00DC4C68">
        <w:rPr>
          <w:rFonts w:ascii="Times New Roman" w:hAnsi="Times New Roman"/>
          <w:iCs/>
          <w:sz w:val="20"/>
          <w:szCs w:val="24"/>
        </w:rPr>
        <w:t>O</w:t>
      </w:r>
      <w:r w:rsidRPr="00DC4C68">
        <w:rPr>
          <w:rFonts w:ascii="Times New Roman" w:hAnsi="Times New Roman"/>
          <w:iCs/>
          <w:sz w:val="20"/>
          <w:szCs w:val="24"/>
          <w:vertAlign w:val="subscript"/>
        </w:rPr>
        <w:t>4</w:t>
      </w:r>
      <w:r w:rsidRPr="00DC4C68">
        <w:rPr>
          <w:rFonts w:ascii="Times New Roman" w:hAnsi="Times New Roman"/>
          <w:iCs/>
          <w:sz w:val="20"/>
          <w:szCs w:val="24"/>
        </w:rPr>
        <w:t xml:space="preserve"> and Fe</w:t>
      </w:r>
      <w:r w:rsidRPr="00DC4C68">
        <w:rPr>
          <w:rFonts w:ascii="Times New Roman" w:hAnsi="Times New Roman"/>
          <w:iCs/>
          <w:sz w:val="20"/>
          <w:szCs w:val="24"/>
          <w:vertAlign w:val="subscript"/>
        </w:rPr>
        <w:t>3</w:t>
      </w:r>
      <w:r w:rsidRPr="00DC4C68">
        <w:rPr>
          <w:rFonts w:ascii="Times New Roman" w:hAnsi="Times New Roman"/>
          <w:iCs/>
          <w:sz w:val="20"/>
          <w:szCs w:val="24"/>
        </w:rPr>
        <w:t>O</w:t>
      </w:r>
      <w:r w:rsidRPr="00DC4C68">
        <w:rPr>
          <w:rFonts w:ascii="Times New Roman" w:hAnsi="Times New Roman"/>
          <w:iCs/>
          <w:sz w:val="20"/>
          <w:szCs w:val="24"/>
          <w:vertAlign w:val="subscript"/>
        </w:rPr>
        <w:t>4</w:t>
      </w:r>
      <w:r w:rsidRPr="00DC4C68">
        <w:rPr>
          <w:rFonts w:ascii="Times New Roman" w:hAnsi="Times New Roman"/>
          <w:iCs/>
          <w:sz w:val="20"/>
          <w:szCs w:val="24"/>
        </w:rPr>
        <w:t>/rGO nanocomposite</w:t>
      </w:r>
    </w:p>
    <w:p w:rsidR="006C5FBD" w:rsidRPr="00DC4C68" w:rsidRDefault="006C5FBD" w:rsidP="00032789">
      <w:pPr>
        <w:spacing w:after="120" w:line="240" w:lineRule="auto"/>
        <w:jc w:val="center"/>
        <w:rPr>
          <w:rFonts w:ascii="Times New Roman" w:hAnsi="Times New Roman"/>
          <w:sz w:val="24"/>
          <w:szCs w:val="24"/>
        </w:rPr>
      </w:pPr>
      <w:r w:rsidRPr="00DC4C68">
        <w:rPr>
          <w:noProof/>
          <w:lang w:bidi="ar-SA"/>
        </w:rPr>
        <w:lastRenderedPageBreak/>
        <w:drawing>
          <wp:inline distT="0" distB="0" distL="0" distR="0" wp14:anchorId="3F3086C0" wp14:editId="43AE4978">
            <wp:extent cx="5943600" cy="29531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953109"/>
                    </a:xfrm>
                    <a:prstGeom prst="rect">
                      <a:avLst/>
                    </a:prstGeom>
                    <a:noFill/>
                    <a:ln>
                      <a:noFill/>
                    </a:ln>
                  </pic:spPr>
                </pic:pic>
              </a:graphicData>
            </a:graphic>
          </wp:inline>
        </w:drawing>
      </w:r>
    </w:p>
    <w:p w:rsidR="006C5FBD" w:rsidRPr="00DC4C68" w:rsidRDefault="006C5FBD" w:rsidP="000F1DE8">
      <w:pPr>
        <w:spacing w:after="0" w:line="240" w:lineRule="auto"/>
        <w:ind w:left="900" w:hanging="900"/>
        <w:jc w:val="both"/>
        <w:rPr>
          <w:rFonts w:ascii="Times New Roman" w:hAnsi="Times New Roman"/>
          <w:iCs/>
          <w:sz w:val="20"/>
          <w:szCs w:val="24"/>
        </w:rPr>
      </w:pPr>
      <w:r w:rsidRPr="00DC4C68">
        <w:rPr>
          <w:rFonts w:ascii="Times New Roman" w:hAnsi="Times New Roman"/>
          <w:iCs/>
          <w:sz w:val="20"/>
          <w:szCs w:val="24"/>
        </w:rPr>
        <w:t xml:space="preserve">Figure 2. </w:t>
      </w:r>
      <w:r w:rsidR="000F1DE8">
        <w:rPr>
          <w:rFonts w:ascii="Times New Roman" w:hAnsi="Times New Roman"/>
          <w:iCs/>
          <w:sz w:val="20"/>
          <w:szCs w:val="24"/>
        </w:rPr>
        <w:tab/>
      </w:r>
      <w:r w:rsidRPr="00DC4C68">
        <w:rPr>
          <w:rFonts w:ascii="Times New Roman" w:hAnsi="Times New Roman"/>
          <w:iCs/>
          <w:sz w:val="20"/>
          <w:szCs w:val="24"/>
        </w:rPr>
        <w:t>SEM micrographs of (a) graphite, (b) GO, (c) rGO, (d) Fe</w:t>
      </w:r>
      <w:r w:rsidRPr="00DC4C68">
        <w:rPr>
          <w:rFonts w:ascii="Times New Roman" w:hAnsi="Times New Roman"/>
          <w:iCs/>
          <w:sz w:val="20"/>
          <w:szCs w:val="24"/>
          <w:vertAlign w:val="subscript"/>
        </w:rPr>
        <w:t>3</w:t>
      </w:r>
      <w:r w:rsidRPr="00DC4C68">
        <w:rPr>
          <w:rFonts w:ascii="Times New Roman" w:hAnsi="Times New Roman"/>
          <w:iCs/>
          <w:sz w:val="20"/>
          <w:szCs w:val="24"/>
        </w:rPr>
        <w:t>O</w:t>
      </w:r>
      <w:r w:rsidRPr="00DC4C68">
        <w:rPr>
          <w:rFonts w:ascii="Times New Roman" w:hAnsi="Times New Roman"/>
          <w:iCs/>
          <w:sz w:val="20"/>
          <w:szCs w:val="24"/>
          <w:vertAlign w:val="subscript"/>
        </w:rPr>
        <w:t>4</w:t>
      </w:r>
      <w:r w:rsidRPr="00DC4C68">
        <w:rPr>
          <w:rFonts w:ascii="Times New Roman" w:hAnsi="Times New Roman"/>
          <w:iCs/>
          <w:sz w:val="20"/>
          <w:szCs w:val="24"/>
        </w:rPr>
        <w:t>, and (e) Fe</w:t>
      </w:r>
      <w:r w:rsidRPr="00DC4C68">
        <w:rPr>
          <w:rFonts w:ascii="Times New Roman" w:hAnsi="Times New Roman"/>
          <w:iCs/>
          <w:sz w:val="20"/>
          <w:szCs w:val="24"/>
          <w:vertAlign w:val="subscript"/>
        </w:rPr>
        <w:t>3</w:t>
      </w:r>
      <w:r w:rsidRPr="00DC4C68">
        <w:rPr>
          <w:rFonts w:ascii="Times New Roman" w:hAnsi="Times New Roman"/>
          <w:iCs/>
          <w:sz w:val="20"/>
          <w:szCs w:val="24"/>
        </w:rPr>
        <w:t>O</w:t>
      </w:r>
      <w:r w:rsidRPr="00DC4C68">
        <w:rPr>
          <w:rFonts w:ascii="Times New Roman" w:hAnsi="Times New Roman"/>
          <w:iCs/>
          <w:sz w:val="20"/>
          <w:szCs w:val="24"/>
          <w:vertAlign w:val="subscript"/>
        </w:rPr>
        <w:t>4</w:t>
      </w:r>
      <w:r w:rsidRPr="00DC4C68">
        <w:rPr>
          <w:rFonts w:ascii="Times New Roman" w:hAnsi="Times New Roman"/>
          <w:iCs/>
          <w:sz w:val="20"/>
          <w:szCs w:val="24"/>
        </w:rPr>
        <w:t>/rGO with magnification of x5000 and the operational voltage of 10 kV</w:t>
      </w:r>
    </w:p>
    <w:p w:rsidR="00AC0033" w:rsidRDefault="00AC0033" w:rsidP="00CA209F">
      <w:pPr>
        <w:spacing w:after="120" w:line="240" w:lineRule="auto"/>
        <w:jc w:val="both"/>
        <w:rPr>
          <w:rFonts w:ascii="Times New Roman" w:hAnsi="Times New Roman"/>
          <w:noProof/>
          <w:sz w:val="20"/>
          <w:szCs w:val="20"/>
          <w:lang w:bidi="ar-SA"/>
        </w:rPr>
      </w:pPr>
    </w:p>
    <w:p w:rsidR="00CA209F" w:rsidRPr="00BC610C" w:rsidRDefault="00CA209F" w:rsidP="00CA209F">
      <w:pPr>
        <w:spacing w:after="0" w:line="240" w:lineRule="auto"/>
        <w:jc w:val="both"/>
        <w:rPr>
          <w:rFonts w:ascii="Times New Roman" w:hAnsi="Times New Roman"/>
          <w:b/>
          <w:sz w:val="20"/>
          <w:szCs w:val="20"/>
        </w:rPr>
      </w:pPr>
      <w:bookmarkStart w:id="6" w:name="_Toc532057330"/>
      <w:r w:rsidRPr="00BC610C">
        <w:rPr>
          <w:rFonts w:ascii="Times New Roman" w:hAnsi="Times New Roman"/>
          <w:b/>
          <w:sz w:val="20"/>
          <w:szCs w:val="20"/>
        </w:rPr>
        <w:t>Electrochemical characterization of Fe</w:t>
      </w:r>
      <w:r w:rsidRPr="00BC610C">
        <w:rPr>
          <w:rFonts w:ascii="Times New Roman" w:hAnsi="Times New Roman"/>
          <w:b/>
          <w:sz w:val="20"/>
          <w:szCs w:val="20"/>
          <w:vertAlign w:val="subscript"/>
        </w:rPr>
        <w:t>3</w:t>
      </w:r>
      <w:r w:rsidRPr="00BC610C">
        <w:rPr>
          <w:rFonts w:ascii="Times New Roman" w:hAnsi="Times New Roman"/>
          <w:b/>
          <w:sz w:val="20"/>
          <w:szCs w:val="20"/>
        </w:rPr>
        <w:t>O</w:t>
      </w:r>
      <w:r w:rsidRPr="00BC610C">
        <w:rPr>
          <w:rFonts w:ascii="Times New Roman" w:hAnsi="Times New Roman"/>
          <w:b/>
          <w:sz w:val="20"/>
          <w:szCs w:val="20"/>
          <w:vertAlign w:val="subscript"/>
        </w:rPr>
        <w:t>4</w:t>
      </w:r>
      <w:r w:rsidRPr="00BC610C">
        <w:rPr>
          <w:rFonts w:ascii="Times New Roman" w:hAnsi="Times New Roman"/>
          <w:b/>
          <w:sz w:val="20"/>
          <w:szCs w:val="20"/>
        </w:rPr>
        <w:t>/rGO</w:t>
      </w:r>
      <w:bookmarkEnd w:id="6"/>
    </w:p>
    <w:p w:rsidR="00CA209F" w:rsidRPr="00BC610C" w:rsidRDefault="00CA209F" w:rsidP="00CA209F">
      <w:pPr>
        <w:spacing w:after="0" w:line="240" w:lineRule="auto"/>
        <w:jc w:val="both"/>
        <w:rPr>
          <w:rFonts w:ascii="Times New Roman" w:hAnsi="Times New Roman"/>
          <w:sz w:val="20"/>
          <w:szCs w:val="20"/>
        </w:rPr>
      </w:pPr>
      <w:r w:rsidRPr="00BC610C">
        <w:rPr>
          <w:rFonts w:ascii="Times New Roman" w:hAnsi="Times New Roman"/>
          <w:sz w:val="20"/>
          <w:szCs w:val="20"/>
        </w:rPr>
        <w:t>The electrochemical performance of Fe</w:t>
      </w:r>
      <w:r w:rsidRPr="00BC610C">
        <w:rPr>
          <w:rFonts w:ascii="Times New Roman" w:hAnsi="Times New Roman"/>
          <w:sz w:val="20"/>
          <w:szCs w:val="20"/>
          <w:vertAlign w:val="subscript"/>
        </w:rPr>
        <w:t>3</w:t>
      </w:r>
      <w:r w:rsidRPr="00BC610C">
        <w:rPr>
          <w:rFonts w:ascii="Times New Roman" w:hAnsi="Times New Roman"/>
          <w:sz w:val="20"/>
          <w:szCs w:val="20"/>
        </w:rPr>
        <w:t>O</w:t>
      </w:r>
      <w:r w:rsidRPr="00BC610C">
        <w:rPr>
          <w:rFonts w:ascii="Times New Roman" w:hAnsi="Times New Roman"/>
          <w:sz w:val="20"/>
          <w:szCs w:val="20"/>
          <w:vertAlign w:val="subscript"/>
        </w:rPr>
        <w:t>4</w:t>
      </w:r>
      <w:r w:rsidRPr="00BC610C">
        <w:rPr>
          <w:rFonts w:ascii="Times New Roman" w:hAnsi="Times New Roman"/>
          <w:sz w:val="20"/>
          <w:szCs w:val="20"/>
        </w:rPr>
        <w:t>/rGO was studied using cyclic voltammetry as Fe</w:t>
      </w:r>
      <w:r w:rsidRPr="00BC610C">
        <w:rPr>
          <w:rFonts w:ascii="Times New Roman" w:hAnsi="Times New Roman"/>
          <w:sz w:val="20"/>
          <w:szCs w:val="20"/>
          <w:vertAlign w:val="subscript"/>
        </w:rPr>
        <w:t>3</w:t>
      </w:r>
      <w:r w:rsidRPr="00BC610C">
        <w:rPr>
          <w:rFonts w:ascii="Times New Roman" w:hAnsi="Times New Roman"/>
          <w:sz w:val="20"/>
          <w:szCs w:val="20"/>
        </w:rPr>
        <w:t>O</w:t>
      </w:r>
      <w:r w:rsidRPr="00BC610C">
        <w:rPr>
          <w:rFonts w:ascii="Times New Roman" w:hAnsi="Times New Roman"/>
          <w:sz w:val="20"/>
          <w:szCs w:val="20"/>
          <w:vertAlign w:val="subscript"/>
        </w:rPr>
        <w:t>4</w:t>
      </w:r>
      <w:r w:rsidRPr="00BC610C">
        <w:rPr>
          <w:rFonts w:ascii="Times New Roman" w:hAnsi="Times New Roman"/>
          <w:sz w:val="20"/>
          <w:szCs w:val="20"/>
        </w:rPr>
        <w:t>/rGO/GCE modified electrode. For comparison purpose, bare GCE, rGO/GCE and Fe</w:t>
      </w:r>
      <w:r w:rsidRPr="00BC610C">
        <w:rPr>
          <w:rFonts w:ascii="Times New Roman" w:hAnsi="Times New Roman"/>
          <w:sz w:val="20"/>
          <w:szCs w:val="20"/>
          <w:vertAlign w:val="subscript"/>
        </w:rPr>
        <w:t>3</w:t>
      </w:r>
      <w:r w:rsidRPr="00BC610C">
        <w:rPr>
          <w:rFonts w:ascii="Times New Roman" w:hAnsi="Times New Roman"/>
          <w:sz w:val="20"/>
          <w:szCs w:val="20"/>
        </w:rPr>
        <w:t>O</w:t>
      </w:r>
      <w:r w:rsidRPr="00BC610C">
        <w:rPr>
          <w:rFonts w:ascii="Times New Roman" w:hAnsi="Times New Roman"/>
          <w:sz w:val="20"/>
          <w:szCs w:val="20"/>
          <w:vertAlign w:val="subscript"/>
        </w:rPr>
        <w:t>4</w:t>
      </w:r>
      <w:r w:rsidRPr="00BC610C">
        <w:rPr>
          <w:rFonts w:ascii="Times New Roman" w:hAnsi="Times New Roman"/>
          <w:sz w:val="20"/>
          <w:szCs w:val="20"/>
        </w:rPr>
        <w:t>/GCE were also studied. Each individual contribution to the observed electrochemical responses were compared in the presence of supporting electrolyte, 1.0 M KCl and 5 mM of redox probe agent, K</w:t>
      </w:r>
      <w:r w:rsidRPr="00BC610C">
        <w:rPr>
          <w:rFonts w:ascii="Times New Roman" w:hAnsi="Times New Roman"/>
          <w:sz w:val="20"/>
          <w:szCs w:val="20"/>
          <w:vertAlign w:val="subscript"/>
        </w:rPr>
        <w:t>4</w:t>
      </w:r>
      <w:r w:rsidRPr="00BC610C">
        <w:rPr>
          <w:rFonts w:ascii="Times New Roman" w:hAnsi="Times New Roman"/>
          <w:sz w:val="20"/>
          <w:szCs w:val="20"/>
        </w:rPr>
        <w:t>[Fe(CN)</w:t>
      </w:r>
      <w:r w:rsidRPr="00BC610C">
        <w:rPr>
          <w:rFonts w:ascii="Times New Roman" w:hAnsi="Times New Roman"/>
          <w:sz w:val="20"/>
          <w:szCs w:val="20"/>
          <w:vertAlign w:val="subscript"/>
        </w:rPr>
        <w:t>6</w:t>
      </w:r>
      <w:r w:rsidRPr="00BC610C">
        <w:rPr>
          <w:rFonts w:ascii="Times New Roman" w:hAnsi="Times New Roman"/>
          <w:sz w:val="20"/>
          <w:szCs w:val="20"/>
        </w:rPr>
        <w:t>]. The peak potential separation (ΔE</w:t>
      </w:r>
      <w:r w:rsidRPr="00BC610C">
        <w:rPr>
          <w:rFonts w:ascii="Times New Roman" w:hAnsi="Times New Roman"/>
          <w:sz w:val="20"/>
          <w:szCs w:val="20"/>
          <w:vertAlign w:val="subscript"/>
        </w:rPr>
        <w:t>p</w:t>
      </w:r>
      <w:r w:rsidRPr="00BC610C">
        <w:rPr>
          <w:rFonts w:ascii="Times New Roman" w:hAnsi="Times New Roman"/>
          <w:sz w:val="20"/>
          <w:szCs w:val="20"/>
        </w:rPr>
        <w:t>) and the quasi-reversible behavior of the one-electron redox behavior of [Fe(CN)</w:t>
      </w:r>
      <w:r w:rsidRPr="00BC610C">
        <w:rPr>
          <w:rFonts w:ascii="Times New Roman" w:hAnsi="Times New Roman"/>
          <w:sz w:val="20"/>
          <w:szCs w:val="20"/>
          <w:vertAlign w:val="subscript"/>
        </w:rPr>
        <w:t>4</w:t>
      </w:r>
      <w:r w:rsidRPr="00BC610C">
        <w:rPr>
          <w:rFonts w:ascii="Times New Roman" w:hAnsi="Times New Roman"/>
          <w:sz w:val="20"/>
          <w:szCs w:val="20"/>
        </w:rPr>
        <w:t>]</w:t>
      </w:r>
      <w:r w:rsidRPr="00BC610C">
        <w:rPr>
          <w:rFonts w:ascii="Times New Roman" w:hAnsi="Times New Roman"/>
          <w:sz w:val="20"/>
          <w:szCs w:val="20"/>
          <w:vertAlign w:val="superscript"/>
        </w:rPr>
        <w:t>3-/4-</w:t>
      </w:r>
      <w:r w:rsidRPr="00BC610C">
        <w:rPr>
          <w:rFonts w:ascii="Times New Roman" w:hAnsi="Times New Roman"/>
          <w:sz w:val="20"/>
          <w:szCs w:val="20"/>
        </w:rPr>
        <w:t xml:space="preserve"> used as indicative measurement in determination of electrode surface improvement. From Figure 3(a), CV measurement on the bare GCE electrode in the presence of [Fe(CN)</w:t>
      </w:r>
      <w:r w:rsidRPr="00BC610C">
        <w:rPr>
          <w:rFonts w:ascii="Times New Roman" w:hAnsi="Times New Roman"/>
          <w:sz w:val="20"/>
          <w:szCs w:val="20"/>
          <w:vertAlign w:val="subscript"/>
        </w:rPr>
        <w:t>4</w:t>
      </w:r>
      <w:r w:rsidRPr="00BC610C">
        <w:rPr>
          <w:rFonts w:ascii="Times New Roman" w:hAnsi="Times New Roman"/>
          <w:sz w:val="20"/>
          <w:szCs w:val="20"/>
        </w:rPr>
        <w:t>]</w:t>
      </w:r>
      <w:r w:rsidRPr="00BC610C">
        <w:rPr>
          <w:rFonts w:ascii="Times New Roman" w:hAnsi="Times New Roman"/>
          <w:sz w:val="20"/>
          <w:szCs w:val="20"/>
          <w:vertAlign w:val="superscript"/>
        </w:rPr>
        <w:t xml:space="preserve">3-/4- </w:t>
      </w:r>
      <w:r w:rsidRPr="00BC610C">
        <w:rPr>
          <w:rFonts w:ascii="Times New Roman" w:hAnsi="Times New Roman"/>
          <w:sz w:val="20"/>
          <w:szCs w:val="20"/>
        </w:rPr>
        <w:t>couple resulted both anodic I</w:t>
      </w:r>
      <w:r w:rsidRPr="00BC610C">
        <w:rPr>
          <w:rFonts w:ascii="Times New Roman" w:hAnsi="Times New Roman"/>
          <w:sz w:val="20"/>
          <w:szCs w:val="20"/>
          <w:vertAlign w:val="subscript"/>
        </w:rPr>
        <w:t>pa</w:t>
      </w:r>
      <w:r w:rsidRPr="00BC610C">
        <w:rPr>
          <w:rFonts w:ascii="Times New Roman" w:hAnsi="Times New Roman"/>
          <w:sz w:val="20"/>
          <w:szCs w:val="20"/>
        </w:rPr>
        <w:t xml:space="preserve"> and cathodic peak current I</w:t>
      </w:r>
      <w:r w:rsidRPr="00BC610C">
        <w:rPr>
          <w:rFonts w:ascii="Times New Roman" w:hAnsi="Times New Roman"/>
          <w:sz w:val="20"/>
          <w:szCs w:val="20"/>
          <w:vertAlign w:val="subscript"/>
        </w:rPr>
        <w:t>pc</w:t>
      </w:r>
      <w:r w:rsidRPr="00BC610C">
        <w:rPr>
          <w:rFonts w:ascii="Times New Roman" w:hAnsi="Times New Roman"/>
          <w:sz w:val="20"/>
          <w:szCs w:val="20"/>
        </w:rPr>
        <w:t xml:space="preserve"> at 391.4 mA and -384.4 mA , respectively. The ΔE</w:t>
      </w:r>
      <w:r w:rsidRPr="00BC610C">
        <w:rPr>
          <w:rFonts w:ascii="Times New Roman" w:hAnsi="Times New Roman"/>
          <w:sz w:val="20"/>
          <w:szCs w:val="20"/>
          <w:vertAlign w:val="subscript"/>
        </w:rPr>
        <w:t>p</w:t>
      </w:r>
      <w:r w:rsidRPr="00BC610C">
        <w:rPr>
          <w:rFonts w:ascii="Times New Roman" w:hAnsi="Times New Roman"/>
          <w:sz w:val="20"/>
          <w:szCs w:val="20"/>
        </w:rPr>
        <w:t xml:space="preserve"> measured for the bare GCE is 237.6mV. After surface modification of GCE with rGO and Fe</w:t>
      </w:r>
      <w:r w:rsidRPr="00BC610C">
        <w:rPr>
          <w:rFonts w:ascii="Times New Roman" w:hAnsi="Times New Roman"/>
          <w:sz w:val="20"/>
          <w:szCs w:val="20"/>
          <w:vertAlign w:val="subscript"/>
        </w:rPr>
        <w:t>3</w:t>
      </w:r>
      <w:r w:rsidRPr="00BC610C">
        <w:rPr>
          <w:rFonts w:ascii="Times New Roman" w:hAnsi="Times New Roman"/>
          <w:sz w:val="20"/>
          <w:szCs w:val="20"/>
        </w:rPr>
        <w:t>O</w:t>
      </w:r>
      <w:r w:rsidRPr="00BC610C">
        <w:rPr>
          <w:rFonts w:ascii="Times New Roman" w:hAnsi="Times New Roman"/>
          <w:sz w:val="20"/>
          <w:szCs w:val="20"/>
          <w:vertAlign w:val="subscript"/>
        </w:rPr>
        <w:t>4</w:t>
      </w:r>
      <w:r w:rsidRPr="00BC610C">
        <w:rPr>
          <w:rFonts w:ascii="Times New Roman" w:hAnsi="Times New Roman"/>
          <w:sz w:val="20"/>
          <w:szCs w:val="20"/>
        </w:rPr>
        <w:t>, the voltammetric response generated from both single Fe</w:t>
      </w:r>
      <w:r w:rsidRPr="00BC610C">
        <w:rPr>
          <w:rFonts w:ascii="Times New Roman" w:hAnsi="Times New Roman"/>
          <w:sz w:val="20"/>
          <w:szCs w:val="20"/>
          <w:vertAlign w:val="subscript"/>
        </w:rPr>
        <w:t>3</w:t>
      </w:r>
      <w:r w:rsidRPr="00BC610C">
        <w:rPr>
          <w:rFonts w:ascii="Times New Roman" w:hAnsi="Times New Roman"/>
          <w:sz w:val="20"/>
          <w:szCs w:val="20"/>
        </w:rPr>
        <w:t>O</w:t>
      </w:r>
      <w:r w:rsidRPr="00BC610C">
        <w:rPr>
          <w:rFonts w:ascii="Times New Roman" w:hAnsi="Times New Roman"/>
          <w:sz w:val="20"/>
          <w:szCs w:val="20"/>
          <w:vertAlign w:val="subscript"/>
        </w:rPr>
        <w:t>4</w:t>
      </w:r>
      <w:r w:rsidRPr="00BC610C">
        <w:rPr>
          <w:rFonts w:ascii="Times New Roman" w:hAnsi="Times New Roman"/>
          <w:sz w:val="20"/>
          <w:szCs w:val="20"/>
        </w:rPr>
        <w:t xml:space="preserve"> (I</w:t>
      </w:r>
      <w:r w:rsidRPr="00BC610C">
        <w:rPr>
          <w:rFonts w:ascii="Times New Roman" w:hAnsi="Times New Roman"/>
          <w:sz w:val="20"/>
          <w:szCs w:val="20"/>
          <w:vertAlign w:val="subscript"/>
        </w:rPr>
        <w:t>pa</w:t>
      </w:r>
      <w:r w:rsidRPr="00BC610C">
        <w:rPr>
          <w:rFonts w:ascii="Times New Roman" w:hAnsi="Times New Roman"/>
          <w:sz w:val="20"/>
          <w:szCs w:val="20"/>
        </w:rPr>
        <w:t xml:space="preserve"> = 455.3 mA, I</w:t>
      </w:r>
      <w:r w:rsidRPr="00BC610C">
        <w:rPr>
          <w:rFonts w:ascii="Times New Roman" w:hAnsi="Times New Roman"/>
          <w:sz w:val="20"/>
          <w:szCs w:val="20"/>
          <w:vertAlign w:val="subscript"/>
        </w:rPr>
        <w:t>pc</w:t>
      </w:r>
      <w:r w:rsidRPr="00BC610C">
        <w:rPr>
          <w:rFonts w:ascii="Times New Roman" w:hAnsi="Times New Roman"/>
          <w:sz w:val="20"/>
          <w:szCs w:val="20"/>
        </w:rPr>
        <w:t xml:space="preserve"> = -433.3 mA) and rGO (I</w:t>
      </w:r>
      <w:r w:rsidRPr="00BC610C">
        <w:rPr>
          <w:rFonts w:ascii="Times New Roman" w:hAnsi="Times New Roman"/>
          <w:sz w:val="20"/>
          <w:szCs w:val="20"/>
          <w:vertAlign w:val="subscript"/>
        </w:rPr>
        <w:t>pa</w:t>
      </w:r>
      <w:r w:rsidRPr="00BC610C">
        <w:rPr>
          <w:rFonts w:ascii="Times New Roman" w:hAnsi="Times New Roman"/>
          <w:sz w:val="20"/>
          <w:szCs w:val="20"/>
        </w:rPr>
        <w:t xml:space="preserve"> 524.2 mA, I</w:t>
      </w:r>
      <w:r w:rsidRPr="00BC610C">
        <w:rPr>
          <w:rFonts w:ascii="Times New Roman" w:hAnsi="Times New Roman"/>
          <w:sz w:val="20"/>
          <w:szCs w:val="20"/>
          <w:vertAlign w:val="subscript"/>
        </w:rPr>
        <w:t>pc</w:t>
      </w:r>
      <w:r w:rsidRPr="00BC610C">
        <w:rPr>
          <w:rFonts w:ascii="Times New Roman" w:hAnsi="Times New Roman"/>
          <w:sz w:val="20"/>
          <w:szCs w:val="20"/>
        </w:rPr>
        <w:t xml:space="preserve"> = -531.2 mA) coating material which show remarkable peak current increment with a lower ΔE</w:t>
      </w:r>
      <w:r w:rsidRPr="00BC610C">
        <w:rPr>
          <w:rFonts w:ascii="Times New Roman" w:hAnsi="Times New Roman"/>
          <w:sz w:val="20"/>
          <w:szCs w:val="20"/>
          <w:vertAlign w:val="subscript"/>
        </w:rPr>
        <w:t xml:space="preserve">p </w:t>
      </w:r>
      <w:r w:rsidRPr="00BC610C">
        <w:rPr>
          <w:rFonts w:ascii="Times New Roman" w:hAnsi="Times New Roman"/>
          <w:sz w:val="20"/>
          <w:szCs w:val="20"/>
        </w:rPr>
        <w:t>profile as 219.8 mV and 184.8 mV respectively. The rGO supported Fe</w:t>
      </w:r>
      <w:r w:rsidRPr="00BC610C">
        <w:rPr>
          <w:rFonts w:ascii="Times New Roman" w:hAnsi="Times New Roman"/>
          <w:sz w:val="20"/>
          <w:szCs w:val="20"/>
          <w:vertAlign w:val="subscript"/>
        </w:rPr>
        <w:t>3</w:t>
      </w:r>
      <w:r w:rsidRPr="00BC610C">
        <w:rPr>
          <w:rFonts w:ascii="Times New Roman" w:hAnsi="Times New Roman"/>
          <w:sz w:val="20"/>
          <w:szCs w:val="20"/>
        </w:rPr>
        <w:t>O</w:t>
      </w:r>
      <w:r w:rsidRPr="00BC610C">
        <w:rPr>
          <w:rFonts w:ascii="Times New Roman" w:hAnsi="Times New Roman"/>
          <w:sz w:val="20"/>
          <w:szCs w:val="20"/>
          <w:vertAlign w:val="subscript"/>
        </w:rPr>
        <w:t>4</w:t>
      </w:r>
      <w:r w:rsidRPr="00BC610C">
        <w:rPr>
          <w:rFonts w:ascii="Times New Roman" w:hAnsi="Times New Roman"/>
          <w:sz w:val="20"/>
          <w:szCs w:val="20"/>
          <w:vertAlign w:val="superscript"/>
        </w:rPr>
        <w:t xml:space="preserve"> </w:t>
      </w:r>
      <w:r w:rsidRPr="00BC610C">
        <w:rPr>
          <w:rFonts w:ascii="Times New Roman" w:hAnsi="Times New Roman"/>
          <w:sz w:val="20"/>
          <w:szCs w:val="20"/>
        </w:rPr>
        <w:t>hybrid composite further enhanced the electrochemical activity, where the anodic and cathodic peak current increase to 629.6</w:t>
      </w:r>
      <w:r w:rsidRPr="00BC610C">
        <w:rPr>
          <w:rFonts w:ascii="Times New Roman" w:hAnsi="Times New Roman"/>
          <w:sz w:val="20"/>
          <w:szCs w:val="20"/>
          <w:vertAlign w:val="superscript"/>
        </w:rPr>
        <w:t xml:space="preserve"> </w:t>
      </w:r>
      <w:r w:rsidRPr="00BC610C">
        <w:rPr>
          <w:rFonts w:ascii="Times New Roman" w:hAnsi="Times New Roman"/>
          <w:sz w:val="20"/>
          <w:szCs w:val="20"/>
        </w:rPr>
        <w:t>mA and -627.4 mA, almost two folds increase compare to bare GCE. This integrated hybrid material dedicated as promising platform of superior conductivity and electrocatalytic performance in sharpening the electrochemical measurement response for electroactive species which describes the Fe</w:t>
      </w:r>
      <w:r w:rsidRPr="00BC610C">
        <w:rPr>
          <w:rFonts w:ascii="Times New Roman" w:hAnsi="Times New Roman"/>
          <w:sz w:val="20"/>
          <w:szCs w:val="20"/>
          <w:vertAlign w:val="subscript"/>
        </w:rPr>
        <w:t>3</w:t>
      </w:r>
      <w:r w:rsidRPr="00BC610C">
        <w:rPr>
          <w:rFonts w:ascii="Times New Roman" w:hAnsi="Times New Roman"/>
          <w:sz w:val="20"/>
          <w:szCs w:val="20"/>
        </w:rPr>
        <w:t>O</w:t>
      </w:r>
      <w:r w:rsidRPr="00BC610C">
        <w:rPr>
          <w:rFonts w:ascii="Times New Roman" w:hAnsi="Times New Roman"/>
          <w:sz w:val="20"/>
          <w:szCs w:val="20"/>
          <w:vertAlign w:val="subscript"/>
        </w:rPr>
        <w:t>4</w:t>
      </w:r>
      <w:r w:rsidRPr="00BC610C">
        <w:rPr>
          <w:rFonts w:ascii="Times New Roman" w:hAnsi="Times New Roman"/>
          <w:sz w:val="20"/>
          <w:szCs w:val="20"/>
        </w:rPr>
        <w:t>/rGO nanocomposites has the narrowest of ΔE</w:t>
      </w:r>
      <w:r w:rsidRPr="00BC610C">
        <w:rPr>
          <w:rFonts w:ascii="Times New Roman" w:hAnsi="Times New Roman"/>
          <w:sz w:val="20"/>
          <w:szCs w:val="20"/>
          <w:vertAlign w:val="subscript"/>
        </w:rPr>
        <w:t>p</w:t>
      </w:r>
      <w:r w:rsidRPr="00BC610C">
        <w:rPr>
          <w:rFonts w:ascii="Times New Roman" w:hAnsi="Times New Roman"/>
          <w:sz w:val="20"/>
          <w:szCs w:val="20"/>
        </w:rPr>
        <w:t xml:space="preserve"> (157.4 mV) among the other materials. The deviation from ideal ΔE</w:t>
      </w:r>
      <w:r w:rsidRPr="00BC610C">
        <w:rPr>
          <w:rFonts w:ascii="Times New Roman" w:hAnsi="Times New Roman"/>
          <w:sz w:val="20"/>
          <w:szCs w:val="20"/>
          <w:vertAlign w:val="subscript"/>
        </w:rPr>
        <w:t>p</w:t>
      </w:r>
      <w:r w:rsidRPr="00BC610C">
        <w:rPr>
          <w:rFonts w:ascii="Times New Roman" w:hAnsi="Times New Roman"/>
          <w:sz w:val="20"/>
          <w:szCs w:val="20"/>
        </w:rPr>
        <w:t xml:space="preserve"> value, 57 mV can be devoted to the incomplete chemical reversibility of redox couple, stability of analyte upon subjected to oxidation and subsequently reduced back to origin state, electron transfer kinetic rate, and existence of interfacial barrier </w:t>
      </w:r>
      <w:r w:rsidRPr="00BC610C">
        <w:rPr>
          <w:rFonts w:ascii="Times New Roman" w:hAnsi="Times New Roman"/>
          <w:sz w:val="20"/>
          <w:szCs w:val="20"/>
        </w:rPr>
        <w:fldChar w:fldCharType="begin" w:fldLock="1"/>
      </w:r>
      <w:r w:rsidRPr="00BC610C">
        <w:rPr>
          <w:rFonts w:ascii="Times New Roman" w:hAnsi="Times New Roman"/>
          <w:sz w:val="20"/>
          <w:szCs w:val="20"/>
        </w:rPr>
        <w:instrText>ADDIN CSL_CITATION {"citationItems":[{"id":"ITEM-1","itemData":{"DOI":"10.1021/acs.jchemed.7b00361","ISBN":"0021-9584","ISSN":"0021-9584","abstract":"Despite the growing popularity of cyclic voltammetry, many students do not receive formalized training in this technique as part of their coursework. Confronted with self-instruction, students can be left wondering where to start. Here, a short introduction to cyclic voltammetry is provided to help the reader with data acquisition and interpretation. Tips and common pitfalls are provided, and the reader is encouraged to apply what is learned in short, simple training modules provided in the Supporting Information. Armed with the basics, the motivated aspiring electrochemist will find existing resources more accessible and will progress much faster in the understanding of cyclic voltammetry.","author":[{"dropping-particle":"","family":"Elgrishi","given":"Noémie","non-dropping-particle":"","parse-names":false,"suffix":""},{"dropping-particle":"","family":"Rountree","given":"Kelley J.","non-dropping-particle":"","parse-names":false,"suffix":""},{"dropping-particle":"","family":"McCarthy","given":"Brian D.","non-dropping-particle":"","parse-names":false,"suffix":""},{"dropping-particle":"","family":"Rountree","given":"Eric S.","non-dropping-particle":"","parse-names":false,"suffix":""},{"dropping-particle":"","family":"Eisenhart","given":"Thomas T.","non-dropping-particle":"","parse-names":false,"suffix":""},{"dropping-particle":"","family":"Dempsey","given":"Jillian L.","non-dropping-particle":"","parse-names":false,"suffix":""}],"container-title":"Journal of Chemical Education","id":"ITEM-1","issue":"2","issued":{"date-parts":[["2018","2"]]},"page":"197-206","title":"A Practical Beginner’s Guide to Cyclic Voltammetry","type":"article-journal","volume":"95"},"uris":["http://www.mendeley.com/documents/?uuid=1fe4cf11-2046-4921-a7d7-a1b14e68b5f1","http://www.mendeley.com/documents/?uuid=d3733370-eb82-408e-b1ed-480ee78bb6f7"]}],"mendeley":{"formattedCitation":"[26]","manualFormatting":"[26]","plainTextFormattedCitation":"[26]","previouslyFormattedCitation":"[26]"},"properties":{"noteIndex":0},"schema":"https://github.com/citation-style-language/schema/raw/master/csl-citation.json"}</w:instrText>
      </w:r>
      <w:r w:rsidRPr="00BC610C">
        <w:rPr>
          <w:rFonts w:ascii="Times New Roman" w:hAnsi="Times New Roman"/>
          <w:sz w:val="20"/>
          <w:szCs w:val="20"/>
        </w:rPr>
        <w:fldChar w:fldCharType="separate"/>
      </w:r>
      <w:r w:rsidRPr="00BC610C">
        <w:rPr>
          <w:rFonts w:ascii="Times New Roman" w:hAnsi="Times New Roman"/>
          <w:noProof/>
          <w:sz w:val="20"/>
          <w:szCs w:val="20"/>
        </w:rPr>
        <w:t>[25]</w:t>
      </w:r>
      <w:r w:rsidRPr="00BC610C">
        <w:rPr>
          <w:rFonts w:ascii="Times New Roman" w:hAnsi="Times New Roman"/>
          <w:sz w:val="20"/>
          <w:szCs w:val="20"/>
        </w:rPr>
        <w:fldChar w:fldCharType="end"/>
      </w:r>
      <w:r w:rsidRPr="00BC610C">
        <w:rPr>
          <w:rFonts w:ascii="Times New Roman" w:hAnsi="Times New Roman"/>
          <w:sz w:val="20"/>
          <w:szCs w:val="20"/>
        </w:rPr>
        <w:t>. On the basis of the slope measurement from Randles-Sevcik plot for ferrocyanide oxidation, the linear dependence of peak current, I</w:t>
      </w:r>
      <w:r w:rsidRPr="00BC610C">
        <w:rPr>
          <w:rFonts w:ascii="Times New Roman" w:hAnsi="Times New Roman"/>
          <w:sz w:val="20"/>
          <w:szCs w:val="20"/>
          <w:vertAlign w:val="subscript"/>
        </w:rPr>
        <w:t>pa</w:t>
      </w:r>
      <w:r w:rsidRPr="00BC610C">
        <w:rPr>
          <w:rFonts w:ascii="Times New Roman" w:hAnsi="Times New Roman"/>
          <w:sz w:val="20"/>
          <w:szCs w:val="20"/>
        </w:rPr>
        <w:t xml:space="preserve"> on the square root of scan rate can offer quantitative information about the effective surface area (EASA) and diffusion coefficient of the electroactive species. The proportional of Randles-Sevcik slope to the EASA was observed in the order of GCE &gt; Fe</w:t>
      </w:r>
      <w:r w:rsidRPr="00BC610C">
        <w:rPr>
          <w:rFonts w:ascii="Times New Roman" w:hAnsi="Times New Roman"/>
          <w:sz w:val="20"/>
          <w:szCs w:val="20"/>
          <w:vertAlign w:val="subscript"/>
        </w:rPr>
        <w:t>3</w:t>
      </w:r>
      <w:r w:rsidRPr="00BC610C">
        <w:rPr>
          <w:rFonts w:ascii="Times New Roman" w:hAnsi="Times New Roman"/>
          <w:sz w:val="20"/>
          <w:szCs w:val="20"/>
        </w:rPr>
        <w:t>O</w:t>
      </w:r>
      <w:r w:rsidRPr="00BC610C">
        <w:rPr>
          <w:rFonts w:ascii="Times New Roman" w:hAnsi="Times New Roman"/>
          <w:sz w:val="20"/>
          <w:szCs w:val="20"/>
          <w:vertAlign w:val="subscript"/>
        </w:rPr>
        <w:t>4</w:t>
      </w:r>
      <w:r w:rsidRPr="00BC610C">
        <w:rPr>
          <w:rFonts w:ascii="Times New Roman" w:hAnsi="Times New Roman"/>
          <w:sz w:val="20"/>
          <w:szCs w:val="20"/>
        </w:rPr>
        <w:t>/GCE &gt; rGO/GCE &gt; Fe</w:t>
      </w:r>
      <w:r w:rsidRPr="00BC610C">
        <w:rPr>
          <w:rFonts w:ascii="Times New Roman" w:hAnsi="Times New Roman"/>
          <w:sz w:val="20"/>
          <w:szCs w:val="20"/>
          <w:vertAlign w:val="subscript"/>
        </w:rPr>
        <w:t>3</w:t>
      </w:r>
      <w:r w:rsidRPr="00BC610C">
        <w:rPr>
          <w:rFonts w:ascii="Times New Roman" w:hAnsi="Times New Roman"/>
          <w:sz w:val="20"/>
          <w:szCs w:val="20"/>
        </w:rPr>
        <w:t>O</w:t>
      </w:r>
      <w:r w:rsidRPr="00BC610C">
        <w:rPr>
          <w:rFonts w:ascii="Times New Roman" w:hAnsi="Times New Roman"/>
          <w:sz w:val="20"/>
          <w:szCs w:val="20"/>
          <w:vertAlign w:val="subscript"/>
        </w:rPr>
        <w:t>4</w:t>
      </w:r>
      <w:r w:rsidRPr="00BC610C">
        <w:rPr>
          <w:rFonts w:ascii="Times New Roman" w:hAnsi="Times New Roman"/>
          <w:sz w:val="20"/>
          <w:szCs w:val="20"/>
        </w:rPr>
        <w:t>/rGO/GCE as shown in Figure 3 (b). The improved electroactive surface areas of Fe</w:t>
      </w:r>
      <w:r w:rsidRPr="00BC610C">
        <w:rPr>
          <w:rFonts w:ascii="Times New Roman" w:hAnsi="Times New Roman"/>
          <w:sz w:val="20"/>
          <w:szCs w:val="20"/>
          <w:vertAlign w:val="subscript"/>
        </w:rPr>
        <w:t>3</w:t>
      </w:r>
      <w:r w:rsidRPr="00BC610C">
        <w:rPr>
          <w:rFonts w:ascii="Times New Roman" w:hAnsi="Times New Roman"/>
          <w:sz w:val="20"/>
          <w:szCs w:val="20"/>
        </w:rPr>
        <w:t>O</w:t>
      </w:r>
      <w:r w:rsidRPr="00BC610C">
        <w:rPr>
          <w:rFonts w:ascii="Times New Roman" w:hAnsi="Times New Roman"/>
          <w:sz w:val="20"/>
          <w:szCs w:val="20"/>
          <w:vertAlign w:val="subscript"/>
        </w:rPr>
        <w:t>4</w:t>
      </w:r>
      <w:r w:rsidRPr="00BC610C">
        <w:rPr>
          <w:rFonts w:ascii="Times New Roman" w:hAnsi="Times New Roman"/>
          <w:sz w:val="20"/>
          <w:szCs w:val="20"/>
        </w:rPr>
        <w:t>/rGO composite greatly highlights the excellent nature of surface layer deposited on GCE electrode overcome the performance achieved through rGO and Fe</w:t>
      </w:r>
      <w:r w:rsidRPr="00BC610C">
        <w:rPr>
          <w:rFonts w:ascii="Times New Roman" w:hAnsi="Times New Roman"/>
          <w:sz w:val="20"/>
          <w:szCs w:val="20"/>
          <w:vertAlign w:val="subscript"/>
        </w:rPr>
        <w:t>3</w:t>
      </w:r>
      <w:r w:rsidRPr="00BC610C">
        <w:rPr>
          <w:rFonts w:ascii="Times New Roman" w:hAnsi="Times New Roman"/>
          <w:sz w:val="20"/>
          <w:szCs w:val="20"/>
        </w:rPr>
        <w:t>O</w:t>
      </w:r>
      <w:r w:rsidRPr="00BC610C">
        <w:rPr>
          <w:rFonts w:ascii="Times New Roman" w:hAnsi="Times New Roman"/>
          <w:sz w:val="20"/>
          <w:szCs w:val="20"/>
          <w:vertAlign w:val="subscript"/>
        </w:rPr>
        <w:t>4</w:t>
      </w:r>
      <w:r w:rsidRPr="00BC610C">
        <w:rPr>
          <w:rFonts w:ascii="Times New Roman" w:hAnsi="Times New Roman"/>
          <w:sz w:val="20"/>
          <w:szCs w:val="20"/>
        </w:rPr>
        <w:t>, individually. Data obtained from CV information is simplified in Table 1.</w:t>
      </w:r>
    </w:p>
    <w:p w:rsidR="00CA209F" w:rsidRPr="00BC610C" w:rsidRDefault="00F329CE" w:rsidP="00CA209F">
      <w:pPr>
        <w:spacing w:after="120" w:line="240" w:lineRule="auto"/>
        <w:jc w:val="center"/>
        <w:rPr>
          <w:rFonts w:ascii="Times New Roman" w:hAnsi="Times New Roman"/>
          <w:sz w:val="20"/>
          <w:szCs w:val="20"/>
        </w:rPr>
      </w:pPr>
      <w:r>
        <w:rPr>
          <w:rFonts w:ascii="Times New Roman" w:hAnsi="Times New Roman"/>
          <w:noProof/>
          <w:sz w:val="20"/>
          <w:szCs w:val="20"/>
          <w:lang w:bidi="ar-SA"/>
        </w:rPr>
        <w:lastRenderedPageBreak/>
        <w:drawing>
          <wp:inline distT="0" distB="0" distL="0" distR="0">
            <wp:extent cx="5343525" cy="2705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png"/>
                    <pic:cNvPicPr/>
                  </pic:nvPicPr>
                  <pic:blipFill>
                    <a:blip r:embed="rId13">
                      <a:extLst>
                        <a:ext uri="{28A0092B-C50C-407E-A947-70E740481C1C}">
                          <a14:useLocalDpi xmlns:a14="http://schemas.microsoft.com/office/drawing/2010/main" val="0"/>
                        </a:ext>
                      </a:extLst>
                    </a:blip>
                    <a:stretch>
                      <a:fillRect/>
                    </a:stretch>
                  </pic:blipFill>
                  <pic:spPr>
                    <a:xfrm>
                      <a:off x="0" y="0"/>
                      <a:ext cx="5343525" cy="2705100"/>
                    </a:xfrm>
                    <a:prstGeom prst="rect">
                      <a:avLst/>
                    </a:prstGeom>
                  </pic:spPr>
                </pic:pic>
              </a:graphicData>
            </a:graphic>
          </wp:inline>
        </w:drawing>
      </w:r>
    </w:p>
    <w:p w:rsidR="00CA209F" w:rsidRPr="00BC610C" w:rsidRDefault="00CA209F" w:rsidP="00CA209F">
      <w:pPr>
        <w:spacing w:after="0" w:line="240" w:lineRule="auto"/>
        <w:ind w:left="900" w:hanging="900"/>
        <w:jc w:val="both"/>
        <w:rPr>
          <w:rFonts w:ascii="Times New Roman" w:hAnsi="Times New Roman"/>
          <w:iCs/>
          <w:sz w:val="20"/>
          <w:szCs w:val="20"/>
        </w:rPr>
      </w:pPr>
      <w:r w:rsidRPr="00BC610C">
        <w:rPr>
          <w:rFonts w:ascii="Times New Roman" w:hAnsi="Times New Roman"/>
          <w:iCs/>
          <w:sz w:val="20"/>
          <w:szCs w:val="20"/>
        </w:rPr>
        <w:t xml:space="preserve">Figure 3. </w:t>
      </w:r>
      <w:r>
        <w:rPr>
          <w:rFonts w:ascii="Times New Roman" w:hAnsi="Times New Roman"/>
          <w:iCs/>
          <w:sz w:val="20"/>
          <w:szCs w:val="20"/>
        </w:rPr>
        <w:tab/>
      </w:r>
      <w:r w:rsidRPr="00BC610C">
        <w:rPr>
          <w:rFonts w:ascii="Times New Roman" w:hAnsi="Times New Roman"/>
          <w:iCs/>
          <w:sz w:val="20"/>
          <w:szCs w:val="20"/>
        </w:rPr>
        <w:t xml:space="preserve">(a) Cyclic </w:t>
      </w:r>
      <w:r w:rsidR="002656B8">
        <w:rPr>
          <w:rFonts w:ascii="Times New Roman" w:hAnsi="Times New Roman"/>
          <w:iCs/>
          <w:sz w:val="20"/>
          <w:szCs w:val="20"/>
        </w:rPr>
        <w:t xml:space="preserve"> </w:t>
      </w:r>
      <w:r w:rsidRPr="00BC610C">
        <w:rPr>
          <w:rFonts w:ascii="Times New Roman" w:hAnsi="Times New Roman"/>
          <w:iCs/>
          <w:sz w:val="20"/>
          <w:szCs w:val="20"/>
        </w:rPr>
        <w:t xml:space="preserve">voltammogram </w:t>
      </w:r>
      <w:r w:rsidR="002656B8">
        <w:rPr>
          <w:rFonts w:ascii="Times New Roman" w:hAnsi="Times New Roman"/>
          <w:iCs/>
          <w:sz w:val="20"/>
          <w:szCs w:val="20"/>
        </w:rPr>
        <w:t xml:space="preserve"> </w:t>
      </w:r>
      <w:r w:rsidRPr="00BC610C">
        <w:rPr>
          <w:rFonts w:ascii="Times New Roman" w:hAnsi="Times New Roman"/>
          <w:iCs/>
          <w:sz w:val="20"/>
          <w:szCs w:val="20"/>
        </w:rPr>
        <w:t xml:space="preserve">of </w:t>
      </w:r>
      <w:r w:rsidR="002656B8">
        <w:rPr>
          <w:rFonts w:ascii="Times New Roman" w:hAnsi="Times New Roman"/>
          <w:iCs/>
          <w:sz w:val="20"/>
          <w:szCs w:val="20"/>
        </w:rPr>
        <w:t xml:space="preserve"> </w:t>
      </w:r>
      <w:r w:rsidRPr="00BC610C">
        <w:rPr>
          <w:rFonts w:ascii="Times New Roman" w:hAnsi="Times New Roman"/>
          <w:iCs/>
          <w:sz w:val="20"/>
          <w:szCs w:val="20"/>
        </w:rPr>
        <w:t xml:space="preserve">bare </w:t>
      </w:r>
      <w:r w:rsidR="002656B8">
        <w:rPr>
          <w:rFonts w:ascii="Times New Roman" w:hAnsi="Times New Roman"/>
          <w:iCs/>
          <w:sz w:val="20"/>
          <w:szCs w:val="20"/>
        </w:rPr>
        <w:t xml:space="preserve"> </w:t>
      </w:r>
      <w:r w:rsidRPr="00BC610C">
        <w:rPr>
          <w:rFonts w:ascii="Times New Roman" w:hAnsi="Times New Roman"/>
          <w:iCs/>
          <w:sz w:val="20"/>
          <w:szCs w:val="20"/>
        </w:rPr>
        <w:t xml:space="preserve">GCE, </w:t>
      </w:r>
      <w:r w:rsidR="002656B8">
        <w:rPr>
          <w:rFonts w:ascii="Times New Roman" w:hAnsi="Times New Roman"/>
          <w:iCs/>
          <w:sz w:val="20"/>
          <w:szCs w:val="20"/>
        </w:rPr>
        <w:t xml:space="preserve"> </w:t>
      </w:r>
      <w:r w:rsidRPr="00BC610C">
        <w:rPr>
          <w:rFonts w:ascii="Times New Roman" w:hAnsi="Times New Roman"/>
          <w:iCs/>
          <w:sz w:val="20"/>
          <w:szCs w:val="20"/>
        </w:rPr>
        <w:t>GO/GCE,</w:t>
      </w:r>
      <w:r w:rsidR="002656B8">
        <w:rPr>
          <w:rFonts w:ascii="Times New Roman" w:hAnsi="Times New Roman"/>
          <w:iCs/>
          <w:sz w:val="20"/>
          <w:szCs w:val="20"/>
        </w:rPr>
        <w:t xml:space="preserve"> </w:t>
      </w:r>
      <w:r w:rsidRPr="00BC610C">
        <w:rPr>
          <w:rFonts w:ascii="Times New Roman" w:hAnsi="Times New Roman"/>
          <w:iCs/>
          <w:sz w:val="20"/>
          <w:szCs w:val="20"/>
        </w:rPr>
        <w:t xml:space="preserve"> rGO/GCE, </w:t>
      </w:r>
      <w:r w:rsidR="002656B8">
        <w:rPr>
          <w:rFonts w:ascii="Times New Roman" w:hAnsi="Times New Roman"/>
          <w:iCs/>
          <w:sz w:val="20"/>
          <w:szCs w:val="20"/>
        </w:rPr>
        <w:t xml:space="preserve"> </w:t>
      </w:r>
      <w:r w:rsidRPr="00BC610C">
        <w:rPr>
          <w:rFonts w:ascii="Times New Roman" w:hAnsi="Times New Roman"/>
          <w:iCs/>
          <w:sz w:val="20"/>
          <w:szCs w:val="20"/>
        </w:rPr>
        <w:t>Fe</w:t>
      </w:r>
      <w:r w:rsidRPr="00BC610C">
        <w:rPr>
          <w:rFonts w:ascii="Times New Roman" w:hAnsi="Times New Roman"/>
          <w:iCs/>
          <w:sz w:val="20"/>
          <w:szCs w:val="20"/>
          <w:vertAlign w:val="subscript"/>
        </w:rPr>
        <w:t>3</w:t>
      </w:r>
      <w:r w:rsidRPr="00BC610C">
        <w:rPr>
          <w:rFonts w:ascii="Times New Roman" w:hAnsi="Times New Roman"/>
          <w:iCs/>
          <w:sz w:val="20"/>
          <w:szCs w:val="20"/>
        </w:rPr>
        <w:t>O</w:t>
      </w:r>
      <w:r w:rsidRPr="00BC610C">
        <w:rPr>
          <w:rFonts w:ascii="Times New Roman" w:hAnsi="Times New Roman"/>
          <w:iCs/>
          <w:sz w:val="20"/>
          <w:szCs w:val="20"/>
          <w:vertAlign w:val="subscript"/>
        </w:rPr>
        <w:t>4</w:t>
      </w:r>
      <w:r w:rsidRPr="00BC610C">
        <w:rPr>
          <w:rFonts w:ascii="Times New Roman" w:hAnsi="Times New Roman"/>
          <w:iCs/>
          <w:sz w:val="20"/>
          <w:szCs w:val="20"/>
        </w:rPr>
        <w:t xml:space="preserve">/GCE, </w:t>
      </w:r>
      <w:r w:rsidR="002656B8">
        <w:rPr>
          <w:rFonts w:ascii="Times New Roman" w:hAnsi="Times New Roman"/>
          <w:iCs/>
          <w:sz w:val="20"/>
          <w:szCs w:val="20"/>
        </w:rPr>
        <w:t xml:space="preserve"> </w:t>
      </w:r>
      <w:r w:rsidRPr="00BC610C">
        <w:rPr>
          <w:rFonts w:ascii="Times New Roman" w:hAnsi="Times New Roman"/>
          <w:iCs/>
          <w:sz w:val="20"/>
          <w:szCs w:val="20"/>
        </w:rPr>
        <w:t xml:space="preserve">and </w:t>
      </w:r>
      <w:r w:rsidR="002656B8">
        <w:rPr>
          <w:rFonts w:ascii="Times New Roman" w:hAnsi="Times New Roman"/>
          <w:iCs/>
          <w:sz w:val="20"/>
          <w:szCs w:val="20"/>
        </w:rPr>
        <w:t xml:space="preserve"> </w:t>
      </w:r>
      <w:r w:rsidRPr="00BC610C">
        <w:rPr>
          <w:rFonts w:ascii="Times New Roman" w:hAnsi="Times New Roman"/>
          <w:iCs/>
          <w:sz w:val="20"/>
          <w:szCs w:val="20"/>
        </w:rPr>
        <w:t>Fe</w:t>
      </w:r>
      <w:r w:rsidRPr="00BC610C">
        <w:rPr>
          <w:rFonts w:ascii="Times New Roman" w:hAnsi="Times New Roman"/>
          <w:iCs/>
          <w:sz w:val="20"/>
          <w:szCs w:val="20"/>
          <w:vertAlign w:val="subscript"/>
        </w:rPr>
        <w:t>3</w:t>
      </w:r>
      <w:r w:rsidRPr="00BC610C">
        <w:rPr>
          <w:rFonts w:ascii="Times New Roman" w:hAnsi="Times New Roman"/>
          <w:iCs/>
          <w:sz w:val="20"/>
          <w:szCs w:val="20"/>
        </w:rPr>
        <w:t>O</w:t>
      </w:r>
      <w:r w:rsidRPr="00BC610C">
        <w:rPr>
          <w:rFonts w:ascii="Times New Roman" w:hAnsi="Times New Roman"/>
          <w:iCs/>
          <w:sz w:val="20"/>
          <w:szCs w:val="20"/>
          <w:vertAlign w:val="subscript"/>
        </w:rPr>
        <w:t>4</w:t>
      </w:r>
      <w:r w:rsidRPr="00BC610C">
        <w:rPr>
          <w:rFonts w:ascii="Times New Roman" w:hAnsi="Times New Roman"/>
          <w:iCs/>
          <w:sz w:val="20"/>
          <w:szCs w:val="20"/>
        </w:rPr>
        <w:t xml:space="preserve">/rGO/GCE </w:t>
      </w:r>
      <w:r w:rsidR="002656B8">
        <w:rPr>
          <w:rFonts w:ascii="Times New Roman" w:hAnsi="Times New Roman"/>
          <w:iCs/>
          <w:sz w:val="20"/>
          <w:szCs w:val="20"/>
        </w:rPr>
        <w:t xml:space="preserve"> </w:t>
      </w:r>
      <w:r w:rsidRPr="00BC610C">
        <w:rPr>
          <w:rFonts w:ascii="Times New Roman" w:hAnsi="Times New Roman"/>
          <w:iCs/>
          <w:sz w:val="20"/>
          <w:szCs w:val="20"/>
        </w:rPr>
        <w:t>(b) Randles-Sevcik Plot of different modified electrodes for EASA determination</w:t>
      </w:r>
    </w:p>
    <w:p w:rsidR="00CA209F" w:rsidRDefault="00CA209F" w:rsidP="00CA209F">
      <w:pPr>
        <w:spacing w:after="120" w:line="240" w:lineRule="auto"/>
        <w:ind w:left="706" w:hanging="706"/>
        <w:jc w:val="both"/>
        <w:rPr>
          <w:rFonts w:ascii="Times New Roman" w:hAnsi="Times New Roman"/>
          <w:iCs/>
          <w:sz w:val="20"/>
          <w:szCs w:val="20"/>
        </w:rPr>
      </w:pPr>
    </w:p>
    <w:p w:rsidR="00CA209F" w:rsidRDefault="00CA209F" w:rsidP="00CA209F">
      <w:pPr>
        <w:spacing w:after="0" w:line="240" w:lineRule="auto"/>
        <w:ind w:left="709" w:hanging="709"/>
        <w:jc w:val="center"/>
        <w:rPr>
          <w:rFonts w:ascii="Times New Roman" w:hAnsi="Times New Roman"/>
          <w:iCs/>
          <w:sz w:val="20"/>
          <w:szCs w:val="20"/>
        </w:rPr>
      </w:pPr>
      <w:r w:rsidRPr="00BC610C">
        <w:rPr>
          <w:rFonts w:ascii="Times New Roman" w:hAnsi="Times New Roman"/>
          <w:iCs/>
          <w:sz w:val="20"/>
          <w:szCs w:val="20"/>
        </w:rPr>
        <w:t xml:space="preserve">Table 1. </w:t>
      </w:r>
      <w:r>
        <w:rPr>
          <w:rFonts w:ascii="Times New Roman" w:hAnsi="Times New Roman"/>
          <w:iCs/>
          <w:sz w:val="20"/>
          <w:szCs w:val="20"/>
        </w:rPr>
        <w:t xml:space="preserve"> </w:t>
      </w:r>
      <w:r w:rsidRPr="00BC610C">
        <w:rPr>
          <w:rFonts w:ascii="Times New Roman" w:hAnsi="Times New Roman"/>
          <w:iCs/>
          <w:sz w:val="20"/>
          <w:szCs w:val="20"/>
        </w:rPr>
        <w:t xml:space="preserve">Peak potential separation for bare GCE and modified electrode in the presence of 1.0 M KCl </w:t>
      </w:r>
    </w:p>
    <w:p w:rsidR="00CA209F" w:rsidRPr="00BC610C" w:rsidRDefault="00CA209F" w:rsidP="00CA209F">
      <w:pPr>
        <w:spacing w:after="120" w:line="240" w:lineRule="auto"/>
        <w:ind w:left="706" w:hanging="706"/>
        <w:jc w:val="center"/>
        <w:rPr>
          <w:rFonts w:ascii="Times New Roman" w:hAnsi="Times New Roman"/>
          <w:iCs/>
          <w:sz w:val="20"/>
          <w:szCs w:val="20"/>
        </w:rPr>
      </w:pPr>
      <w:r w:rsidRPr="00BC610C">
        <w:rPr>
          <w:rFonts w:ascii="Times New Roman" w:hAnsi="Times New Roman"/>
          <w:iCs/>
          <w:sz w:val="20"/>
          <w:szCs w:val="20"/>
        </w:rPr>
        <w:t>and 5 mM redox probe solution</w:t>
      </w:r>
    </w:p>
    <w:tbl>
      <w:tblPr>
        <w:tblW w:w="8070" w:type="dxa"/>
        <w:jc w:val="center"/>
        <w:tblLayout w:type="fixed"/>
        <w:tblLook w:val="04A0" w:firstRow="1" w:lastRow="0" w:firstColumn="1" w:lastColumn="0" w:noHBand="0" w:noVBand="1"/>
      </w:tblPr>
      <w:tblGrid>
        <w:gridCol w:w="1844"/>
        <w:gridCol w:w="921"/>
        <w:gridCol w:w="921"/>
        <w:gridCol w:w="827"/>
        <w:gridCol w:w="753"/>
        <w:gridCol w:w="836"/>
        <w:gridCol w:w="744"/>
        <w:gridCol w:w="1224"/>
      </w:tblGrid>
      <w:tr w:rsidR="00CA209F" w:rsidRPr="00BC610C" w:rsidTr="002656B8">
        <w:trPr>
          <w:trHeight w:val="436"/>
          <w:jc w:val="center"/>
        </w:trPr>
        <w:tc>
          <w:tcPr>
            <w:tcW w:w="1844" w:type="dxa"/>
            <w:tcBorders>
              <w:top w:val="single" w:sz="4" w:space="0" w:color="auto"/>
              <w:bottom w:val="single" w:sz="4" w:space="0" w:color="auto"/>
            </w:tcBorders>
            <w:shd w:val="clear" w:color="auto" w:fill="auto"/>
            <w:noWrap/>
            <w:vAlign w:val="center"/>
            <w:hideMark/>
          </w:tcPr>
          <w:p w:rsidR="00CA209F" w:rsidRPr="00BC610C" w:rsidRDefault="00CA209F" w:rsidP="002656B8">
            <w:pPr>
              <w:spacing w:after="0" w:line="240" w:lineRule="auto"/>
              <w:rPr>
                <w:rFonts w:ascii="Times New Roman" w:hAnsi="Times New Roman"/>
                <w:b/>
                <w:sz w:val="20"/>
                <w:szCs w:val="20"/>
              </w:rPr>
            </w:pPr>
            <w:r w:rsidRPr="00BC610C">
              <w:rPr>
                <w:rFonts w:ascii="Times New Roman" w:hAnsi="Times New Roman"/>
                <w:b/>
                <w:sz w:val="20"/>
                <w:szCs w:val="20"/>
              </w:rPr>
              <w:t>Electrodes</w:t>
            </w:r>
          </w:p>
        </w:tc>
        <w:tc>
          <w:tcPr>
            <w:tcW w:w="921" w:type="dxa"/>
            <w:tcBorders>
              <w:top w:val="single" w:sz="4" w:space="0" w:color="auto"/>
              <w:bottom w:val="single" w:sz="4" w:space="0" w:color="auto"/>
            </w:tcBorders>
            <w:shd w:val="clear" w:color="auto" w:fill="auto"/>
            <w:noWrap/>
            <w:vAlign w:val="center"/>
            <w:hideMark/>
          </w:tcPr>
          <w:p w:rsidR="00CA209F" w:rsidRPr="00BC610C" w:rsidRDefault="00CA209F" w:rsidP="002656B8">
            <w:pPr>
              <w:spacing w:before="60" w:after="0" w:line="240" w:lineRule="auto"/>
              <w:jc w:val="center"/>
              <w:rPr>
                <w:rFonts w:ascii="Times New Roman" w:hAnsi="Times New Roman"/>
                <w:b/>
                <w:sz w:val="20"/>
                <w:szCs w:val="20"/>
              </w:rPr>
            </w:pPr>
            <w:r w:rsidRPr="00BC610C">
              <w:rPr>
                <w:rFonts w:ascii="Times New Roman" w:hAnsi="Times New Roman"/>
                <w:b/>
                <w:sz w:val="20"/>
                <w:szCs w:val="20"/>
              </w:rPr>
              <w:t>I</w:t>
            </w:r>
            <w:r w:rsidRPr="00BC610C">
              <w:rPr>
                <w:rFonts w:ascii="Times New Roman" w:hAnsi="Times New Roman"/>
                <w:b/>
                <w:sz w:val="20"/>
                <w:szCs w:val="20"/>
                <w:vertAlign w:val="subscript"/>
              </w:rPr>
              <w:t>pa</w:t>
            </w:r>
            <w:r w:rsidRPr="00BC610C">
              <w:rPr>
                <w:rFonts w:ascii="Times New Roman" w:hAnsi="Times New Roman"/>
                <w:b/>
                <w:sz w:val="20"/>
                <w:szCs w:val="20"/>
              </w:rPr>
              <w:t>,</w:t>
            </w:r>
          </w:p>
          <w:p w:rsidR="00CA209F" w:rsidRPr="00BC610C" w:rsidRDefault="00CA209F" w:rsidP="002656B8">
            <w:pPr>
              <w:spacing w:after="60" w:line="240" w:lineRule="auto"/>
              <w:jc w:val="center"/>
              <w:rPr>
                <w:rFonts w:ascii="Times New Roman" w:hAnsi="Times New Roman"/>
                <w:b/>
                <w:sz w:val="20"/>
                <w:szCs w:val="20"/>
              </w:rPr>
            </w:pPr>
            <w:r w:rsidRPr="00BC610C">
              <w:rPr>
                <w:rFonts w:ascii="Times New Roman" w:hAnsi="Times New Roman"/>
                <w:b/>
                <w:sz w:val="20"/>
                <w:szCs w:val="20"/>
              </w:rPr>
              <w:t>μA</w:t>
            </w:r>
          </w:p>
        </w:tc>
        <w:tc>
          <w:tcPr>
            <w:tcW w:w="921" w:type="dxa"/>
            <w:tcBorders>
              <w:top w:val="single" w:sz="4" w:space="0" w:color="auto"/>
              <w:bottom w:val="single" w:sz="4" w:space="0" w:color="auto"/>
            </w:tcBorders>
            <w:shd w:val="clear" w:color="auto" w:fill="auto"/>
            <w:noWrap/>
            <w:vAlign w:val="center"/>
            <w:hideMark/>
          </w:tcPr>
          <w:p w:rsidR="00CA209F" w:rsidRPr="00BC610C" w:rsidRDefault="00CA209F" w:rsidP="002656B8">
            <w:pPr>
              <w:spacing w:before="60" w:after="0" w:line="240" w:lineRule="auto"/>
              <w:jc w:val="center"/>
              <w:rPr>
                <w:rFonts w:ascii="Times New Roman" w:hAnsi="Times New Roman"/>
                <w:b/>
                <w:sz w:val="20"/>
                <w:szCs w:val="20"/>
              </w:rPr>
            </w:pPr>
            <w:r w:rsidRPr="00BC610C">
              <w:rPr>
                <w:rFonts w:ascii="Times New Roman" w:hAnsi="Times New Roman"/>
                <w:b/>
                <w:sz w:val="20"/>
                <w:szCs w:val="20"/>
              </w:rPr>
              <w:t>I</w:t>
            </w:r>
            <w:r w:rsidRPr="00BC610C">
              <w:rPr>
                <w:rFonts w:ascii="Times New Roman" w:hAnsi="Times New Roman"/>
                <w:b/>
                <w:sz w:val="20"/>
                <w:szCs w:val="20"/>
                <w:vertAlign w:val="subscript"/>
              </w:rPr>
              <w:t>pc</w:t>
            </w:r>
            <w:r w:rsidRPr="00BC610C">
              <w:rPr>
                <w:rFonts w:ascii="Times New Roman" w:hAnsi="Times New Roman"/>
                <w:b/>
                <w:sz w:val="20"/>
                <w:szCs w:val="20"/>
              </w:rPr>
              <w:t>,</w:t>
            </w:r>
          </w:p>
          <w:p w:rsidR="00CA209F" w:rsidRPr="00BC610C" w:rsidRDefault="00CA209F" w:rsidP="002656B8">
            <w:pPr>
              <w:spacing w:after="60" w:line="240" w:lineRule="auto"/>
              <w:jc w:val="center"/>
              <w:rPr>
                <w:rFonts w:ascii="Times New Roman" w:hAnsi="Times New Roman"/>
                <w:b/>
                <w:sz w:val="20"/>
                <w:szCs w:val="20"/>
              </w:rPr>
            </w:pPr>
            <w:r w:rsidRPr="00BC610C">
              <w:rPr>
                <w:rFonts w:ascii="Times New Roman" w:hAnsi="Times New Roman"/>
                <w:b/>
                <w:sz w:val="20"/>
                <w:szCs w:val="20"/>
              </w:rPr>
              <w:t>μA</w:t>
            </w:r>
          </w:p>
        </w:tc>
        <w:tc>
          <w:tcPr>
            <w:tcW w:w="827" w:type="dxa"/>
            <w:tcBorders>
              <w:top w:val="single" w:sz="4" w:space="0" w:color="auto"/>
              <w:bottom w:val="single" w:sz="4" w:space="0" w:color="auto"/>
            </w:tcBorders>
            <w:shd w:val="clear" w:color="auto" w:fill="auto"/>
            <w:noWrap/>
            <w:vAlign w:val="center"/>
            <w:hideMark/>
          </w:tcPr>
          <w:p w:rsidR="00CA209F" w:rsidRPr="00BC610C" w:rsidRDefault="00CA209F" w:rsidP="002656B8">
            <w:pPr>
              <w:spacing w:before="60" w:after="0" w:line="240" w:lineRule="auto"/>
              <w:jc w:val="center"/>
              <w:rPr>
                <w:rFonts w:ascii="Times New Roman" w:hAnsi="Times New Roman"/>
                <w:b/>
                <w:sz w:val="20"/>
                <w:szCs w:val="20"/>
              </w:rPr>
            </w:pPr>
            <w:r w:rsidRPr="00BC610C">
              <w:rPr>
                <w:rFonts w:ascii="Times New Roman" w:hAnsi="Times New Roman"/>
                <w:b/>
                <w:sz w:val="20"/>
                <w:szCs w:val="20"/>
              </w:rPr>
              <w:t>E</w:t>
            </w:r>
            <w:r w:rsidRPr="00BC610C">
              <w:rPr>
                <w:rFonts w:ascii="Times New Roman" w:hAnsi="Times New Roman"/>
                <w:b/>
                <w:sz w:val="20"/>
                <w:szCs w:val="20"/>
                <w:vertAlign w:val="subscript"/>
              </w:rPr>
              <w:t>pa</w:t>
            </w:r>
            <w:r w:rsidRPr="00BC610C">
              <w:rPr>
                <w:rFonts w:ascii="Times New Roman" w:hAnsi="Times New Roman"/>
                <w:b/>
                <w:sz w:val="20"/>
                <w:szCs w:val="20"/>
              </w:rPr>
              <w:t>,</w:t>
            </w:r>
          </w:p>
          <w:p w:rsidR="00CA209F" w:rsidRPr="00BC610C" w:rsidRDefault="00CA209F" w:rsidP="002656B8">
            <w:pPr>
              <w:spacing w:after="60" w:line="240" w:lineRule="auto"/>
              <w:jc w:val="center"/>
              <w:rPr>
                <w:rFonts w:ascii="Times New Roman" w:hAnsi="Times New Roman"/>
                <w:b/>
                <w:sz w:val="20"/>
                <w:szCs w:val="20"/>
              </w:rPr>
            </w:pPr>
            <w:r w:rsidRPr="00BC610C">
              <w:rPr>
                <w:rFonts w:ascii="Times New Roman" w:hAnsi="Times New Roman"/>
                <w:b/>
                <w:sz w:val="20"/>
                <w:szCs w:val="20"/>
              </w:rPr>
              <w:t>mV</w:t>
            </w:r>
          </w:p>
        </w:tc>
        <w:tc>
          <w:tcPr>
            <w:tcW w:w="753" w:type="dxa"/>
            <w:tcBorders>
              <w:top w:val="single" w:sz="4" w:space="0" w:color="auto"/>
              <w:bottom w:val="single" w:sz="4" w:space="0" w:color="auto"/>
            </w:tcBorders>
            <w:shd w:val="clear" w:color="auto" w:fill="auto"/>
            <w:noWrap/>
            <w:vAlign w:val="center"/>
            <w:hideMark/>
          </w:tcPr>
          <w:p w:rsidR="00CA209F" w:rsidRPr="00BC610C" w:rsidRDefault="00CA209F" w:rsidP="002656B8">
            <w:pPr>
              <w:spacing w:before="60" w:after="0" w:line="240" w:lineRule="auto"/>
              <w:jc w:val="center"/>
              <w:rPr>
                <w:rFonts w:ascii="Times New Roman" w:hAnsi="Times New Roman"/>
                <w:b/>
                <w:sz w:val="20"/>
                <w:szCs w:val="20"/>
              </w:rPr>
            </w:pPr>
            <w:r w:rsidRPr="00BC610C">
              <w:rPr>
                <w:rFonts w:ascii="Times New Roman" w:hAnsi="Times New Roman"/>
                <w:b/>
                <w:sz w:val="20"/>
                <w:szCs w:val="20"/>
              </w:rPr>
              <w:t>E</w:t>
            </w:r>
            <w:r w:rsidRPr="00BC610C">
              <w:rPr>
                <w:rFonts w:ascii="Times New Roman" w:hAnsi="Times New Roman"/>
                <w:b/>
                <w:sz w:val="20"/>
                <w:szCs w:val="20"/>
                <w:vertAlign w:val="subscript"/>
              </w:rPr>
              <w:t>pc</w:t>
            </w:r>
            <w:r w:rsidRPr="00BC610C">
              <w:rPr>
                <w:rFonts w:ascii="Times New Roman" w:hAnsi="Times New Roman"/>
                <w:b/>
                <w:sz w:val="20"/>
                <w:szCs w:val="20"/>
              </w:rPr>
              <w:t>,</w:t>
            </w:r>
          </w:p>
          <w:p w:rsidR="00CA209F" w:rsidRPr="00BC610C" w:rsidRDefault="00CA209F" w:rsidP="002656B8">
            <w:pPr>
              <w:spacing w:after="60" w:line="240" w:lineRule="auto"/>
              <w:jc w:val="center"/>
              <w:rPr>
                <w:rFonts w:ascii="Times New Roman" w:hAnsi="Times New Roman"/>
                <w:b/>
                <w:sz w:val="20"/>
                <w:szCs w:val="20"/>
              </w:rPr>
            </w:pPr>
            <w:r w:rsidRPr="00BC610C">
              <w:rPr>
                <w:rFonts w:ascii="Times New Roman" w:hAnsi="Times New Roman"/>
                <w:b/>
                <w:sz w:val="20"/>
                <w:szCs w:val="20"/>
              </w:rPr>
              <w:t>mV</w:t>
            </w:r>
          </w:p>
        </w:tc>
        <w:tc>
          <w:tcPr>
            <w:tcW w:w="836" w:type="dxa"/>
            <w:tcBorders>
              <w:top w:val="single" w:sz="4" w:space="0" w:color="auto"/>
              <w:bottom w:val="single" w:sz="4" w:space="0" w:color="auto"/>
            </w:tcBorders>
            <w:shd w:val="clear" w:color="auto" w:fill="auto"/>
            <w:noWrap/>
            <w:vAlign w:val="center"/>
            <w:hideMark/>
          </w:tcPr>
          <w:p w:rsidR="00CA209F" w:rsidRPr="00BC610C" w:rsidRDefault="00CA209F" w:rsidP="002656B8">
            <w:pPr>
              <w:spacing w:before="60" w:after="0" w:line="240" w:lineRule="auto"/>
              <w:jc w:val="center"/>
              <w:rPr>
                <w:rFonts w:ascii="Times New Roman" w:hAnsi="Times New Roman"/>
                <w:b/>
                <w:sz w:val="20"/>
                <w:szCs w:val="20"/>
              </w:rPr>
            </w:pPr>
            <w:r w:rsidRPr="00BC610C">
              <w:rPr>
                <w:rFonts w:ascii="Times New Roman" w:hAnsi="Times New Roman"/>
                <w:b/>
                <w:sz w:val="20"/>
                <w:szCs w:val="20"/>
              </w:rPr>
              <w:t>ΔE</w:t>
            </w:r>
            <w:r w:rsidRPr="00BC610C">
              <w:rPr>
                <w:rFonts w:ascii="Times New Roman" w:hAnsi="Times New Roman"/>
                <w:b/>
                <w:sz w:val="20"/>
                <w:szCs w:val="20"/>
                <w:vertAlign w:val="subscript"/>
              </w:rPr>
              <w:t>p</w:t>
            </w:r>
            <w:r w:rsidRPr="00BC610C">
              <w:rPr>
                <w:rFonts w:ascii="Times New Roman" w:hAnsi="Times New Roman"/>
                <w:b/>
                <w:sz w:val="20"/>
                <w:szCs w:val="20"/>
              </w:rPr>
              <w:t>,</w:t>
            </w:r>
          </w:p>
          <w:p w:rsidR="00CA209F" w:rsidRPr="00BC610C" w:rsidRDefault="00CA209F" w:rsidP="002656B8">
            <w:pPr>
              <w:spacing w:after="60" w:line="240" w:lineRule="auto"/>
              <w:jc w:val="center"/>
              <w:rPr>
                <w:rFonts w:ascii="Times New Roman" w:hAnsi="Times New Roman"/>
                <w:b/>
                <w:sz w:val="20"/>
                <w:szCs w:val="20"/>
              </w:rPr>
            </w:pPr>
            <w:r w:rsidRPr="00BC610C">
              <w:rPr>
                <w:rFonts w:ascii="Times New Roman" w:hAnsi="Times New Roman"/>
                <w:b/>
                <w:sz w:val="20"/>
                <w:szCs w:val="20"/>
              </w:rPr>
              <w:t>mV</w:t>
            </w:r>
          </w:p>
        </w:tc>
        <w:tc>
          <w:tcPr>
            <w:tcW w:w="744" w:type="dxa"/>
            <w:tcBorders>
              <w:top w:val="single" w:sz="4" w:space="0" w:color="auto"/>
              <w:bottom w:val="single" w:sz="4" w:space="0" w:color="auto"/>
            </w:tcBorders>
            <w:vAlign w:val="center"/>
          </w:tcPr>
          <w:p w:rsidR="00CA209F" w:rsidRPr="00BC610C" w:rsidRDefault="00CA209F" w:rsidP="002656B8">
            <w:pPr>
              <w:spacing w:before="60" w:after="0" w:line="240" w:lineRule="auto"/>
              <w:jc w:val="center"/>
              <w:rPr>
                <w:rFonts w:ascii="Times New Roman" w:hAnsi="Times New Roman"/>
                <w:b/>
                <w:sz w:val="20"/>
                <w:szCs w:val="20"/>
              </w:rPr>
            </w:pPr>
            <w:r w:rsidRPr="00BC610C">
              <w:rPr>
                <w:rFonts w:ascii="Times New Roman" w:hAnsi="Times New Roman"/>
                <w:b/>
                <w:sz w:val="20"/>
                <w:szCs w:val="20"/>
              </w:rPr>
              <w:t>Slope</w:t>
            </w:r>
          </w:p>
          <w:p w:rsidR="00CA209F" w:rsidRPr="00BC610C" w:rsidRDefault="00CA209F" w:rsidP="002656B8">
            <w:pPr>
              <w:spacing w:after="60" w:line="240" w:lineRule="auto"/>
              <w:jc w:val="center"/>
              <w:rPr>
                <w:rFonts w:ascii="Times New Roman" w:hAnsi="Times New Roman"/>
                <w:b/>
                <w:sz w:val="20"/>
                <w:szCs w:val="20"/>
              </w:rPr>
            </w:pPr>
            <w:r w:rsidRPr="00BC610C">
              <w:rPr>
                <w:rFonts w:ascii="Times New Roman" w:hAnsi="Times New Roman"/>
                <w:b/>
                <w:sz w:val="20"/>
                <w:szCs w:val="20"/>
              </w:rPr>
              <w:t>(10</w:t>
            </w:r>
            <w:r w:rsidRPr="00BC610C">
              <w:rPr>
                <w:rFonts w:ascii="Times New Roman" w:hAnsi="Times New Roman"/>
                <w:b/>
                <w:sz w:val="20"/>
                <w:szCs w:val="20"/>
                <w:vertAlign w:val="superscript"/>
              </w:rPr>
              <w:t>-5</w:t>
            </w:r>
            <w:r w:rsidRPr="00BC610C">
              <w:rPr>
                <w:rFonts w:ascii="Times New Roman" w:hAnsi="Times New Roman"/>
                <w:b/>
                <w:sz w:val="20"/>
                <w:szCs w:val="20"/>
              </w:rPr>
              <w:t>)</w:t>
            </w:r>
          </w:p>
        </w:tc>
        <w:tc>
          <w:tcPr>
            <w:tcW w:w="1224" w:type="dxa"/>
            <w:tcBorders>
              <w:top w:val="single" w:sz="4" w:space="0" w:color="auto"/>
              <w:bottom w:val="single" w:sz="4" w:space="0" w:color="auto"/>
            </w:tcBorders>
            <w:vAlign w:val="center"/>
          </w:tcPr>
          <w:p w:rsidR="00CA209F" w:rsidRPr="00BC610C" w:rsidRDefault="00CA209F" w:rsidP="002656B8">
            <w:pPr>
              <w:spacing w:before="60" w:after="0" w:line="240" w:lineRule="auto"/>
              <w:jc w:val="center"/>
              <w:rPr>
                <w:rFonts w:ascii="Times New Roman" w:hAnsi="Times New Roman"/>
                <w:b/>
                <w:sz w:val="20"/>
                <w:szCs w:val="20"/>
                <w:vertAlign w:val="superscript"/>
              </w:rPr>
            </w:pPr>
            <w:r w:rsidRPr="00BC610C">
              <w:rPr>
                <w:rFonts w:ascii="Times New Roman" w:hAnsi="Times New Roman"/>
                <w:b/>
                <w:sz w:val="20"/>
                <w:szCs w:val="20"/>
              </w:rPr>
              <w:t>EASA, cm</w:t>
            </w:r>
            <w:r w:rsidRPr="00BC610C">
              <w:rPr>
                <w:rFonts w:ascii="Times New Roman" w:hAnsi="Times New Roman"/>
                <w:b/>
                <w:sz w:val="20"/>
                <w:szCs w:val="20"/>
                <w:vertAlign w:val="superscript"/>
              </w:rPr>
              <w:t>-2</w:t>
            </w:r>
          </w:p>
          <w:p w:rsidR="00CA209F" w:rsidRPr="00BC610C" w:rsidRDefault="00CA209F" w:rsidP="002656B8">
            <w:pPr>
              <w:spacing w:after="60" w:line="240" w:lineRule="auto"/>
              <w:jc w:val="center"/>
              <w:rPr>
                <w:rFonts w:ascii="Times New Roman" w:hAnsi="Times New Roman"/>
                <w:b/>
                <w:sz w:val="20"/>
                <w:szCs w:val="20"/>
              </w:rPr>
            </w:pPr>
            <w:r w:rsidRPr="00BC610C">
              <w:rPr>
                <w:rFonts w:ascii="Times New Roman" w:hAnsi="Times New Roman"/>
                <w:b/>
                <w:sz w:val="20"/>
                <w:szCs w:val="20"/>
              </w:rPr>
              <w:t>(10</w:t>
            </w:r>
            <w:r w:rsidRPr="00BC610C">
              <w:rPr>
                <w:rFonts w:ascii="Times New Roman" w:hAnsi="Times New Roman"/>
                <w:b/>
                <w:sz w:val="20"/>
                <w:szCs w:val="20"/>
                <w:vertAlign w:val="superscript"/>
              </w:rPr>
              <w:t>-6</w:t>
            </w:r>
            <w:r w:rsidRPr="00BC610C">
              <w:rPr>
                <w:rFonts w:ascii="Times New Roman" w:hAnsi="Times New Roman"/>
                <w:b/>
                <w:sz w:val="20"/>
                <w:szCs w:val="20"/>
              </w:rPr>
              <w:t>)</w:t>
            </w:r>
          </w:p>
        </w:tc>
      </w:tr>
      <w:tr w:rsidR="00CA209F" w:rsidRPr="00BC610C" w:rsidTr="002656B8">
        <w:trPr>
          <w:trHeight w:val="175"/>
          <w:jc w:val="center"/>
        </w:trPr>
        <w:tc>
          <w:tcPr>
            <w:tcW w:w="1844" w:type="dxa"/>
            <w:tcBorders>
              <w:top w:val="single" w:sz="4" w:space="0" w:color="auto"/>
            </w:tcBorders>
            <w:shd w:val="clear" w:color="auto" w:fill="auto"/>
            <w:noWrap/>
            <w:vAlign w:val="center"/>
            <w:hideMark/>
          </w:tcPr>
          <w:p w:rsidR="00CA209F" w:rsidRPr="00BC610C" w:rsidRDefault="00CA209F" w:rsidP="002656B8">
            <w:pPr>
              <w:spacing w:before="60" w:after="0" w:line="240" w:lineRule="auto"/>
              <w:rPr>
                <w:rFonts w:ascii="Times New Roman" w:hAnsi="Times New Roman"/>
                <w:sz w:val="20"/>
                <w:szCs w:val="20"/>
              </w:rPr>
            </w:pPr>
            <w:r w:rsidRPr="00BC610C">
              <w:rPr>
                <w:rFonts w:ascii="Times New Roman" w:hAnsi="Times New Roman"/>
                <w:sz w:val="20"/>
                <w:szCs w:val="20"/>
              </w:rPr>
              <w:t>GCE</w:t>
            </w:r>
          </w:p>
        </w:tc>
        <w:tc>
          <w:tcPr>
            <w:tcW w:w="921" w:type="dxa"/>
            <w:tcBorders>
              <w:top w:val="single" w:sz="4" w:space="0" w:color="auto"/>
            </w:tcBorders>
            <w:shd w:val="clear" w:color="auto" w:fill="auto"/>
            <w:noWrap/>
            <w:vAlign w:val="center"/>
            <w:hideMark/>
          </w:tcPr>
          <w:p w:rsidR="00CA209F" w:rsidRPr="00BC610C" w:rsidRDefault="00CA209F" w:rsidP="002656B8">
            <w:pPr>
              <w:spacing w:before="60" w:after="0" w:line="240" w:lineRule="auto"/>
              <w:jc w:val="center"/>
              <w:rPr>
                <w:rFonts w:ascii="Times New Roman" w:hAnsi="Times New Roman"/>
                <w:sz w:val="20"/>
                <w:szCs w:val="20"/>
              </w:rPr>
            </w:pPr>
            <w:r w:rsidRPr="00BC610C">
              <w:rPr>
                <w:rFonts w:ascii="Times New Roman" w:hAnsi="Times New Roman"/>
                <w:sz w:val="20"/>
                <w:szCs w:val="20"/>
              </w:rPr>
              <w:t>391.4</w:t>
            </w:r>
          </w:p>
        </w:tc>
        <w:tc>
          <w:tcPr>
            <w:tcW w:w="921" w:type="dxa"/>
            <w:tcBorders>
              <w:top w:val="single" w:sz="4" w:space="0" w:color="auto"/>
            </w:tcBorders>
            <w:shd w:val="clear" w:color="auto" w:fill="auto"/>
            <w:noWrap/>
            <w:vAlign w:val="center"/>
            <w:hideMark/>
          </w:tcPr>
          <w:p w:rsidR="00CA209F" w:rsidRPr="00BC610C" w:rsidRDefault="00CA209F" w:rsidP="002656B8">
            <w:pPr>
              <w:spacing w:before="60" w:after="0" w:line="240" w:lineRule="auto"/>
              <w:jc w:val="center"/>
              <w:rPr>
                <w:rFonts w:ascii="Times New Roman" w:hAnsi="Times New Roman"/>
                <w:sz w:val="20"/>
                <w:szCs w:val="20"/>
              </w:rPr>
            </w:pPr>
            <w:r w:rsidRPr="00BC610C">
              <w:rPr>
                <w:rFonts w:ascii="Times New Roman" w:hAnsi="Times New Roman"/>
                <w:sz w:val="20"/>
                <w:szCs w:val="20"/>
              </w:rPr>
              <w:t>-384.4</w:t>
            </w:r>
          </w:p>
        </w:tc>
        <w:tc>
          <w:tcPr>
            <w:tcW w:w="827" w:type="dxa"/>
            <w:tcBorders>
              <w:top w:val="single" w:sz="4" w:space="0" w:color="auto"/>
            </w:tcBorders>
            <w:shd w:val="clear" w:color="auto" w:fill="auto"/>
            <w:noWrap/>
            <w:vAlign w:val="center"/>
            <w:hideMark/>
          </w:tcPr>
          <w:p w:rsidR="00CA209F" w:rsidRPr="00BC610C" w:rsidRDefault="00CA209F" w:rsidP="002656B8">
            <w:pPr>
              <w:spacing w:before="60" w:after="0" w:line="240" w:lineRule="auto"/>
              <w:jc w:val="center"/>
              <w:rPr>
                <w:rFonts w:ascii="Times New Roman" w:hAnsi="Times New Roman"/>
                <w:sz w:val="20"/>
                <w:szCs w:val="20"/>
              </w:rPr>
            </w:pPr>
            <w:r w:rsidRPr="00BC610C">
              <w:rPr>
                <w:rFonts w:ascii="Times New Roman" w:hAnsi="Times New Roman"/>
                <w:sz w:val="20"/>
                <w:szCs w:val="20"/>
              </w:rPr>
              <w:t>409.9</w:t>
            </w:r>
          </w:p>
        </w:tc>
        <w:tc>
          <w:tcPr>
            <w:tcW w:w="753" w:type="dxa"/>
            <w:tcBorders>
              <w:top w:val="single" w:sz="4" w:space="0" w:color="auto"/>
            </w:tcBorders>
            <w:shd w:val="clear" w:color="auto" w:fill="auto"/>
            <w:noWrap/>
            <w:vAlign w:val="center"/>
            <w:hideMark/>
          </w:tcPr>
          <w:p w:rsidR="00CA209F" w:rsidRPr="00BC610C" w:rsidRDefault="00CA209F" w:rsidP="002656B8">
            <w:pPr>
              <w:spacing w:before="60" w:after="0" w:line="240" w:lineRule="auto"/>
              <w:jc w:val="center"/>
              <w:rPr>
                <w:rFonts w:ascii="Times New Roman" w:hAnsi="Times New Roman"/>
                <w:sz w:val="20"/>
                <w:szCs w:val="20"/>
              </w:rPr>
            </w:pPr>
            <w:r w:rsidRPr="00BC610C">
              <w:rPr>
                <w:rFonts w:ascii="Times New Roman" w:hAnsi="Times New Roman"/>
                <w:sz w:val="20"/>
                <w:szCs w:val="20"/>
              </w:rPr>
              <w:t>172.3</w:t>
            </w:r>
          </w:p>
        </w:tc>
        <w:tc>
          <w:tcPr>
            <w:tcW w:w="836" w:type="dxa"/>
            <w:tcBorders>
              <w:top w:val="single" w:sz="4" w:space="0" w:color="auto"/>
            </w:tcBorders>
            <w:shd w:val="clear" w:color="auto" w:fill="auto"/>
            <w:noWrap/>
            <w:vAlign w:val="center"/>
            <w:hideMark/>
          </w:tcPr>
          <w:p w:rsidR="00CA209F" w:rsidRPr="00BC610C" w:rsidRDefault="00CA209F" w:rsidP="002656B8">
            <w:pPr>
              <w:spacing w:before="60" w:after="0" w:line="240" w:lineRule="auto"/>
              <w:jc w:val="center"/>
              <w:rPr>
                <w:rFonts w:ascii="Times New Roman" w:hAnsi="Times New Roman"/>
                <w:sz w:val="20"/>
                <w:szCs w:val="20"/>
              </w:rPr>
            </w:pPr>
            <w:r w:rsidRPr="00BC610C">
              <w:rPr>
                <w:rFonts w:ascii="Times New Roman" w:hAnsi="Times New Roman"/>
                <w:sz w:val="20"/>
                <w:szCs w:val="20"/>
              </w:rPr>
              <w:t>237.6</w:t>
            </w:r>
          </w:p>
        </w:tc>
        <w:tc>
          <w:tcPr>
            <w:tcW w:w="744" w:type="dxa"/>
            <w:tcBorders>
              <w:top w:val="single" w:sz="4" w:space="0" w:color="auto"/>
            </w:tcBorders>
          </w:tcPr>
          <w:p w:rsidR="00CA209F" w:rsidRPr="00BC610C" w:rsidRDefault="00CA209F" w:rsidP="002656B8">
            <w:pPr>
              <w:spacing w:before="60" w:after="0" w:line="240" w:lineRule="auto"/>
              <w:jc w:val="center"/>
              <w:rPr>
                <w:rFonts w:ascii="Times New Roman" w:hAnsi="Times New Roman"/>
                <w:sz w:val="20"/>
                <w:szCs w:val="20"/>
              </w:rPr>
            </w:pPr>
            <w:r w:rsidRPr="00BC610C">
              <w:rPr>
                <w:rFonts w:ascii="Times New Roman" w:hAnsi="Times New Roman"/>
                <w:sz w:val="20"/>
                <w:szCs w:val="20"/>
              </w:rPr>
              <w:t>2.84</w:t>
            </w:r>
          </w:p>
        </w:tc>
        <w:tc>
          <w:tcPr>
            <w:tcW w:w="1224" w:type="dxa"/>
            <w:tcBorders>
              <w:top w:val="single" w:sz="4" w:space="0" w:color="auto"/>
            </w:tcBorders>
          </w:tcPr>
          <w:p w:rsidR="00CA209F" w:rsidRPr="00BC610C" w:rsidRDefault="00CA209F" w:rsidP="002656B8">
            <w:pPr>
              <w:spacing w:before="60" w:after="0" w:line="240" w:lineRule="auto"/>
              <w:jc w:val="center"/>
              <w:rPr>
                <w:rFonts w:ascii="Times New Roman" w:hAnsi="Times New Roman"/>
                <w:sz w:val="20"/>
                <w:szCs w:val="20"/>
              </w:rPr>
            </w:pPr>
            <w:r w:rsidRPr="00BC610C">
              <w:rPr>
                <w:rFonts w:ascii="Times New Roman" w:hAnsi="Times New Roman"/>
                <w:sz w:val="20"/>
                <w:szCs w:val="20"/>
              </w:rPr>
              <w:t>8.48</w:t>
            </w:r>
          </w:p>
        </w:tc>
      </w:tr>
      <w:tr w:rsidR="00CA209F" w:rsidRPr="00BC610C" w:rsidTr="00953256">
        <w:trPr>
          <w:trHeight w:val="66"/>
          <w:jc w:val="center"/>
        </w:trPr>
        <w:tc>
          <w:tcPr>
            <w:tcW w:w="1844" w:type="dxa"/>
            <w:shd w:val="clear" w:color="auto" w:fill="auto"/>
            <w:noWrap/>
            <w:vAlign w:val="center"/>
            <w:hideMark/>
          </w:tcPr>
          <w:p w:rsidR="00CA209F" w:rsidRPr="00BC610C" w:rsidRDefault="00CA209F" w:rsidP="002656B8">
            <w:pPr>
              <w:spacing w:before="60" w:after="0" w:line="240" w:lineRule="auto"/>
              <w:rPr>
                <w:rFonts w:ascii="Times New Roman" w:hAnsi="Times New Roman"/>
                <w:sz w:val="20"/>
                <w:szCs w:val="20"/>
              </w:rPr>
            </w:pPr>
            <w:r w:rsidRPr="00BC610C">
              <w:rPr>
                <w:rFonts w:ascii="Times New Roman" w:hAnsi="Times New Roman"/>
                <w:sz w:val="20"/>
                <w:szCs w:val="20"/>
              </w:rPr>
              <w:t>Fe</w:t>
            </w:r>
            <w:r w:rsidRPr="00BC610C">
              <w:rPr>
                <w:rFonts w:ascii="Times New Roman" w:hAnsi="Times New Roman"/>
                <w:sz w:val="20"/>
                <w:szCs w:val="20"/>
                <w:vertAlign w:val="subscript"/>
              </w:rPr>
              <w:t>3</w:t>
            </w:r>
            <w:r w:rsidRPr="00BC610C">
              <w:rPr>
                <w:rFonts w:ascii="Times New Roman" w:hAnsi="Times New Roman"/>
                <w:sz w:val="20"/>
                <w:szCs w:val="20"/>
              </w:rPr>
              <w:t>O</w:t>
            </w:r>
            <w:r w:rsidRPr="00BC610C">
              <w:rPr>
                <w:rFonts w:ascii="Times New Roman" w:hAnsi="Times New Roman"/>
                <w:sz w:val="20"/>
                <w:szCs w:val="20"/>
                <w:vertAlign w:val="subscript"/>
              </w:rPr>
              <w:t>4</w:t>
            </w:r>
            <w:r w:rsidRPr="00BC610C">
              <w:rPr>
                <w:rFonts w:ascii="Times New Roman" w:hAnsi="Times New Roman"/>
                <w:sz w:val="20"/>
                <w:szCs w:val="20"/>
              </w:rPr>
              <w:t>/GCE</w:t>
            </w:r>
          </w:p>
        </w:tc>
        <w:tc>
          <w:tcPr>
            <w:tcW w:w="921" w:type="dxa"/>
            <w:shd w:val="clear" w:color="auto" w:fill="auto"/>
            <w:noWrap/>
            <w:vAlign w:val="center"/>
            <w:hideMark/>
          </w:tcPr>
          <w:p w:rsidR="00CA209F" w:rsidRPr="00BC610C" w:rsidRDefault="00CA209F" w:rsidP="002656B8">
            <w:pPr>
              <w:spacing w:before="60" w:after="0" w:line="240" w:lineRule="auto"/>
              <w:jc w:val="center"/>
              <w:rPr>
                <w:rFonts w:ascii="Times New Roman" w:hAnsi="Times New Roman"/>
                <w:sz w:val="20"/>
                <w:szCs w:val="20"/>
              </w:rPr>
            </w:pPr>
            <w:r w:rsidRPr="00BC610C">
              <w:rPr>
                <w:rFonts w:ascii="Times New Roman" w:hAnsi="Times New Roman"/>
                <w:sz w:val="20"/>
                <w:szCs w:val="20"/>
              </w:rPr>
              <w:t>455.3</w:t>
            </w:r>
          </w:p>
        </w:tc>
        <w:tc>
          <w:tcPr>
            <w:tcW w:w="921" w:type="dxa"/>
            <w:shd w:val="clear" w:color="auto" w:fill="auto"/>
            <w:noWrap/>
            <w:vAlign w:val="center"/>
            <w:hideMark/>
          </w:tcPr>
          <w:p w:rsidR="00CA209F" w:rsidRPr="00BC610C" w:rsidRDefault="00CA209F" w:rsidP="002656B8">
            <w:pPr>
              <w:spacing w:before="60" w:after="0" w:line="240" w:lineRule="auto"/>
              <w:jc w:val="center"/>
              <w:rPr>
                <w:rFonts w:ascii="Times New Roman" w:hAnsi="Times New Roman"/>
                <w:sz w:val="20"/>
                <w:szCs w:val="20"/>
              </w:rPr>
            </w:pPr>
            <w:r w:rsidRPr="00BC610C">
              <w:rPr>
                <w:rFonts w:ascii="Times New Roman" w:hAnsi="Times New Roman"/>
                <w:sz w:val="20"/>
                <w:szCs w:val="20"/>
              </w:rPr>
              <w:t>-433.3</w:t>
            </w:r>
          </w:p>
        </w:tc>
        <w:tc>
          <w:tcPr>
            <w:tcW w:w="827" w:type="dxa"/>
            <w:shd w:val="clear" w:color="auto" w:fill="auto"/>
            <w:noWrap/>
            <w:vAlign w:val="center"/>
            <w:hideMark/>
          </w:tcPr>
          <w:p w:rsidR="00CA209F" w:rsidRPr="00BC610C" w:rsidRDefault="00CA209F" w:rsidP="002656B8">
            <w:pPr>
              <w:spacing w:before="60" w:after="0" w:line="240" w:lineRule="auto"/>
              <w:jc w:val="center"/>
              <w:rPr>
                <w:rFonts w:ascii="Times New Roman" w:hAnsi="Times New Roman"/>
                <w:sz w:val="20"/>
                <w:szCs w:val="20"/>
              </w:rPr>
            </w:pPr>
            <w:r w:rsidRPr="00BC610C">
              <w:rPr>
                <w:rFonts w:ascii="Times New Roman" w:hAnsi="Times New Roman"/>
                <w:sz w:val="20"/>
                <w:szCs w:val="20"/>
              </w:rPr>
              <w:t>394.8</w:t>
            </w:r>
          </w:p>
        </w:tc>
        <w:tc>
          <w:tcPr>
            <w:tcW w:w="753" w:type="dxa"/>
            <w:shd w:val="clear" w:color="auto" w:fill="auto"/>
            <w:noWrap/>
            <w:vAlign w:val="center"/>
            <w:hideMark/>
          </w:tcPr>
          <w:p w:rsidR="00CA209F" w:rsidRPr="00BC610C" w:rsidRDefault="00CA209F" w:rsidP="002656B8">
            <w:pPr>
              <w:spacing w:before="60" w:after="0" w:line="240" w:lineRule="auto"/>
              <w:jc w:val="center"/>
              <w:rPr>
                <w:rFonts w:ascii="Times New Roman" w:hAnsi="Times New Roman"/>
                <w:sz w:val="20"/>
                <w:szCs w:val="20"/>
              </w:rPr>
            </w:pPr>
            <w:r w:rsidRPr="00BC610C">
              <w:rPr>
                <w:rFonts w:ascii="Times New Roman" w:hAnsi="Times New Roman"/>
                <w:sz w:val="20"/>
                <w:szCs w:val="20"/>
              </w:rPr>
              <w:t>175.0</w:t>
            </w:r>
          </w:p>
        </w:tc>
        <w:tc>
          <w:tcPr>
            <w:tcW w:w="836" w:type="dxa"/>
            <w:shd w:val="clear" w:color="auto" w:fill="auto"/>
            <w:noWrap/>
            <w:hideMark/>
          </w:tcPr>
          <w:p w:rsidR="00CA209F" w:rsidRPr="00BC610C" w:rsidRDefault="00CA209F" w:rsidP="002656B8">
            <w:pPr>
              <w:spacing w:before="60" w:after="0" w:line="240" w:lineRule="auto"/>
              <w:jc w:val="center"/>
              <w:rPr>
                <w:rFonts w:ascii="Times New Roman" w:hAnsi="Times New Roman"/>
                <w:sz w:val="20"/>
                <w:szCs w:val="20"/>
              </w:rPr>
            </w:pPr>
            <w:r w:rsidRPr="00BC610C">
              <w:rPr>
                <w:rFonts w:ascii="Times New Roman" w:hAnsi="Times New Roman"/>
                <w:sz w:val="20"/>
                <w:szCs w:val="20"/>
              </w:rPr>
              <w:t>219.8</w:t>
            </w:r>
          </w:p>
        </w:tc>
        <w:tc>
          <w:tcPr>
            <w:tcW w:w="744" w:type="dxa"/>
            <w:vAlign w:val="center"/>
          </w:tcPr>
          <w:p w:rsidR="00CA209F" w:rsidRPr="00BC610C" w:rsidRDefault="00CA209F" w:rsidP="002656B8">
            <w:pPr>
              <w:spacing w:before="60" w:after="0" w:line="240" w:lineRule="auto"/>
              <w:jc w:val="center"/>
              <w:rPr>
                <w:rFonts w:ascii="Times New Roman" w:hAnsi="Times New Roman"/>
                <w:sz w:val="20"/>
                <w:szCs w:val="20"/>
              </w:rPr>
            </w:pPr>
            <w:r w:rsidRPr="00BC610C">
              <w:rPr>
                <w:rFonts w:ascii="Times New Roman" w:hAnsi="Times New Roman"/>
                <w:sz w:val="20"/>
                <w:szCs w:val="20"/>
              </w:rPr>
              <w:t>3.16</w:t>
            </w:r>
          </w:p>
        </w:tc>
        <w:tc>
          <w:tcPr>
            <w:tcW w:w="1224" w:type="dxa"/>
            <w:vAlign w:val="center"/>
          </w:tcPr>
          <w:p w:rsidR="00CA209F" w:rsidRPr="00BC610C" w:rsidRDefault="00CA209F" w:rsidP="002656B8">
            <w:pPr>
              <w:spacing w:before="60" w:after="0" w:line="240" w:lineRule="auto"/>
              <w:jc w:val="center"/>
              <w:rPr>
                <w:rFonts w:ascii="Times New Roman" w:hAnsi="Times New Roman"/>
                <w:sz w:val="20"/>
                <w:szCs w:val="20"/>
              </w:rPr>
            </w:pPr>
            <w:r w:rsidRPr="00BC610C">
              <w:rPr>
                <w:rFonts w:ascii="Times New Roman" w:hAnsi="Times New Roman"/>
                <w:sz w:val="20"/>
                <w:szCs w:val="20"/>
              </w:rPr>
              <w:t>9.42</w:t>
            </w:r>
          </w:p>
        </w:tc>
      </w:tr>
      <w:tr w:rsidR="00CA209F" w:rsidRPr="00BC610C" w:rsidTr="002656B8">
        <w:trPr>
          <w:trHeight w:val="66"/>
          <w:jc w:val="center"/>
        </w:trPr>
        <w:tc>
          <w:tcPr>
            <w:tcW w:w="1844" w:type="dxa"/>
            <w:shd w:val="clear" w:color="auto" w:fill="auto"/>
            <w:noWrap/>
            <w:vAlign w:val="center"/>
            <w:hideMark/>
          </w:tcPr>
          <w:p w:rsidR="00CA209F" w:rsidRPr="00BC610C" w:rsidRDefault="00CA209F" w:rsidP="002656B8">
            <w:pPr>
              <w:spacing w:before="60" w:after="0" w:line="240" w:lineRule="auto"/>
              <w:rPr>
                <w:rFonts w:ascii="Times New Roman" w:hAnsi="Times New Roman"/>
                <w:sz w:val="20"/>
                <w:szCs w:val="20"/>
              </w:rPr>
            </w:pPr>
            <w:r w:rsidRPr="00BC610C">
              <w:rPr>
                <w:rFonts w:ascii="Times New Roman" w:hAnsi="Times New Roman"/>
                <w:sz w:val="20"/>
                <w:szCs w:val="20"/>
              </w:rPr>
              <w:t>rGO/GCE</w:t>
            </w:r>
          </w:p>
        </w:tc>
        <w:tc>
          <w:tcPr>
            <w:tcW w:w="921" w:type="dxa"/>
            <w:shd w:val="clear" w:color="auto" w:fill="auto"/>
            <w:noWrap/>
            <w:vAlign w:val="center"/>
            <w:hideMark/>
          </w:tcPr>
          <w:p w:rsidR="00CA209F" w:rsidRPr="00BC610C" w:rsidRDefault="00CA209F" w:rsidP="002656B8">
            <w:pPr>
              <w:spacing w:before="60" w:after="0" w:line="240" w:lineRule="auto"/>
              <w:jc w:val="center"/>
              <w:rPr>
                <w:rFonts w:ascii="Times New Roman" w:hAnsi="Times New Roman"/>
                <w:sz w:val="20"/>
                <w:szCs w:val="20"/>
              </w:rPr>
            </w:pPr>
            <w:r w:rsidRPr="00BC610C">
              <w:rPr>
                <w:rFonts w:ascii="Times New Roman" w:hAnsi="Times New Roman"/>
                <w:sz w:val="20"/>
                <w:szCs w:val="20"/>
              </w:rPr>
              <w:t>524.2</w:t>
            </w:r>
          </w:p>
        </w:tc>
        <w:tc>
          <w:tcPr>
            <w:tcW w:w="921" w:type="dxa"/>
            <w:shd w:val="clear" w:color="auto" w:fill="auto"/>
            <w:noWrap/>
            <w:vAlign w:val="center"/>
            <w:hideMark/>
          </w:tcPr>
          <w:p w:rsidR="00CA209F" w:rsidRPr="00BC610C" w:rsidRDefault="00CA209F" w:rsidP="002656B8">
            <w:pPr>
              <w:spacing w:before="60" w:after="0" w:line="240" w:lineRule="auto"/>
              <w:jc w:val="center"/>
              <w:rPr>
                <w:rFonts w:ascii="Times New Roman" w:hAnsi="Times New Roman"/>
                <w:sz w:val="20"/>
                <w:szCs w:val="20"/>
              </w:rPr>
            </w:pPr>
            <w:r w:rsidRPr="00BC610C">
              <w:rPr>
                <w:rFonts w:ascii="Times New Roman" w:hAnsi="Times New Roman"/>
                <w:sz w:val="20"/>
                <w:szCs w:val="20"/>
              </w:rPr>
              <w:t>-531.2</w:t>
            </w:r>
          </w:p>
        </w:tc>
        <w:tc>
          <w:tcPr>
            <w:tcW w:w="827" w:type="dxa"/>
            <w:shd w:val="clear" w:color="auto" w:fill="auto"/>
            <w:noWrap/>
            <w:vAlign w:val="center"/>
            <w:hideMark/>
          </w:tcPr>
          <w:p w:rsidR="00CA209F" w:rsidRPr="00BC610C" w:rsidRDefault="00CA209F" w:rsidP="002656B8">
            <w:pPr>
              <w:spacing w:before="60" w:after="0" w:line="240" w:lineRule="auto"/>
              <w:jc w:val="center"/>
              <w:rPr>
                <w:rFonts w:ascii="Times New Roman" w:hAnsi="Times New Roman"/>
                <w:sz w:val="20"/>
                <w:szCs w:val="20"/>
              </w:rPr>
            </w:pPr>
            <w:r w:rsidRPr="00BC610C">
              <w:rPr>
                <w:rFonts w:ascii="Times New Roman" w:hAnsi="Times New Roman"/>
                <w:sz w:val="20"/>
                <w:szCs w:val="20"/>
              </w:rPr>
              <w:t>379.7</w:t>
            </w:r>
          </w:p>
        </w:tc>
        <w:tc>
          <w:tcPr>
            <w:tcW w:w="753" w:type="dxa"/>
            <w:shd w:val="clear" w:color="auto" w:fill="auto"/>
            <w:noWrap/>
            <w:vAlign w:val="center"/>
            <w:hideMark/>
          </w:tcPr>
          <w:p w:rsidR="00CA209F" w:rsidRPr="00BC610C" w:rsidRDefault="00CA209F" w:rsidP="002656B8">
            <w:pPr>
              <w:spacing w:before="60" w:after="0" w:line="240" w:lineRule="auto"/>
              <w:jc w:val="center"/>
              <w:rPr>
                <w:rFonts w:ascii="Times New Roman" w:hAnsi="Times New Roman"/>
                <w:sz w:val="20"/>
                <w:szCs w:val="20"/>
              </w:rPr>
            </w:pPr>
            <w:r w:rsidRPr="00BC610C">
              <w:rPr>
                <w:rFonts w:ascii="Times New Roman" w:hAnsi="Times New Roman"/>
                <w:sz w:val="20"/>
                <w:szCs w:val="20"/>
              </w:rPr>
              <w:t>194.9</w:t>
            </w:r>
          </w:p>
        </w:tc>
        <w:tc>
          <w:tcPr>
            <w:tcW w:w="836" w:type="dxa"/>
            <w:shd w:val="clear" w:color="auto" w:fill="auto"/>
            <w:noWrap/>
            <w:vAlign w:val="center"/>
            <w:hideMark/>
          </w:tcPr>
          <w:p w:rsidR="00CA209F" w:rsidRPr="00BC610C" w:rsidRDefault="00CA209F" w:rsidP="002656B8">
            <w:pPr>
              <w:spacing w:before="60" w:after="0" w:line="240" w:lineRule="auto"/>
              <w:jc w:val="center"/>
              <w:rPr>
                <w:rFonts w:ascii="Times New Roman" w:hAnsi="Times New Roman"/>
                <w:sz w:val="20"/>
                <w:szCs w:val="20"/>
              </w:rPr>
            </w:pPr>
            <w:r w:rsidRPr="00BC610C">
              <w:rPr>
                <w:rFonts w:ascii="Times New Roman" w:hAnsi="Times New Roman"/>
                <w:sz w:val="20"/>
                <w:szCs w:val="20"/>
              </w:rPr>
              <w:t>184.8</w:t>
            </w:r>
          </w:p>
        </w:tc>
        <w:tc>
          <w:tcPr>
            <w:tcW w:w="744" w:type="dxa"/>
            <w:vAlign w:val="center"/>
          </w:tcPr>
          <w:p w:rsidR="00CA209F" w:rsidRPr="00BC610C" w:rsidRDefault="00CA209F" w:rsidP="002656B8">
            <w:pPr>
              <w:spacing w:before="60" w:after="0" w:line="240" w:lineRule="auto"/>
              <w:jc w:val="center"/>
              <w:rPr>
                <w:rFonts w:ascii="Times New Roman" w:hAnsi="Times New Roman"/>
                <w:sz w:val="20"/>
                <w:szCs w:val="20"/>
              </w:rPr>
            </w:pPr>
            <w:r w:rsidRPr="00BC610C">
              <w:rPr>
                <w:rFonts w:ascii="Times New Roman" w:hAnsi="Times New Roman"/>
                <w:sz w:val="20"/>
                <w:szCs w:val="20"/>
              </w:rPr>
              <w:t>4.20</w:t>
            </w:r>
          </w:p>
        </w:tc>
        <w:tc>
          <w:tcPr>
            <w:tcW w:w="1224" w:type="dxa"/>
            <w:vAlign w:val="center"/>
          </w:tcPr>
          <w:p w:rsidR="00CA209F" w:rsidRPr="00BC610C" w:rsidRDefault="00CA209F" w:rsidP="002656B8">
            <w:pPr>
              <w:spacing w:before="60" w:after="0" w:line="240" w:lineRule="auto"/>
              <w:jc w:val="center"/>
              <w:rPr>
                <w:rFonts w:ascii="Times New Roman" w:hAnsi="Times New Roman"/>
                <w:sz w:val="20"/>
                <w:szCs w:val="20"/>
              </w:rPr>
            </w:pPr>
            <w:r w:rsidRPr="00BC610C">
              <w:rPr>
                <w:rFonts w:ascii="Times New Roman" w:hAnsi="Times New Roman"/>
                <w:sz w:val="20"/>
                <w:szCs w:val="20"/>
              </w:rPr>
              <w:t>12.5</w:t>
            </w:r>
          </w:p>
        </w:tc>
      </w:tr>
      <w:tr w:rsidR="00CA209F" w:rsidRPr="00BC610C" w:rsidTr="002656B8">
        <w:trPr>
          <w:trHeight w:val="66"/>
          <w:jc w:val="center"/>
        </w:trPr>
        <w:tc>
          <w:tcPr>
            <w:tcW w:w="1844" w:type="dxa"/>
            <w:tcBorders>
              <w:bottom w:val="single" w:sz="4" w:space="0" w:color="auto"/>
            </w:tcBorders>
            <w:shd w:val="clear" w:color="auto" w:fill="auto"/>
            <w:noWrap/>
            <w:vAlign w:val="center"/>
            <w:hideMark/>
          </w:tcPr>
          <w:p w:rsidR="00CA209F" w:rsidRPr="00BC610C" w:rsidRDefault="00CA209F" w:rsidP="002656B8">
            <w:pPr>
              <w:spacing w:before="60" w:after="60" w:line="240" w:lineRule="auto"/>
              <w:rPr>
                <w:rFonts w:ascii="Times New Roman" w:hAnsi="Times New Roman"/>
                <w:sz w:val="20"/>
                <w:szCs w:val="20"/>
              </w:rPr>
            </w:pPr>
            <w:r w:rsidRPr="00BC610C">
              <w:rPr>
                <w:rFonts w:ascii="Times New Roman" w:hAnsi="Times New Roman"/>
                <w:sz w:val="20"/>
                <w:szCs w:val="20"/>
              </w:rPr>
              <w:t>Fe</w:t>
            </w:r>
            <w:r w:rsidRPr="00BC610C">
              <w:rPr>
                <w:rFonts w:ascii="Times New Roman" w:hAnsi="Times New Roman"/>
                <w:sz w:val="20"/>
                <w:szCs w:val="20"/>
                <w:vertAlign w:val="subscript"/>
              </w:rPr>
              <w:t>3</w:t>
            </w:r>
            <w:r w:rsidRPr="00BC610C">
              <w:rPr>
                <w:rFonts w:ascii="Times New Roman" w:hAnsi="Times New Roman"/>
                <w:sz w:val="20"/>
                <w:szCs w:val="20"/>
              </w:rPr>
              <w:t>O</w:t>
            </w:r>
            <w:r w:rsidRPr="00BC610C">
              <w:rPr>
                <w:rFonts w:ascii="Times New Roman" w:hAnsi="Times New Roman"/>
                <w:sz w:val="20"/>
                <w:szCs w:val="20"/>
                <w:vertAlign w:val="subscript"/>
              </w:rPr>
              <w:t>4</w:t>
            </w:r>
            <w:r w:rsidRPr="00BC610C">
              <w:rPr>
                <w:rFonts w:ascii="Times New Roman" w:hAnsi="Times New Roman"/>
                <w:sz w:val="20"/>
                <w:szCs w:val="20"/>
              </w:rPr>
              <w:t>/rGO/GCE</w:t>
            </w:r>
          </w:p>
        </w:tc>
        <w:tc>
          <w:tcPr>
            <w:tcW w:w="921" w:type="dxa"/>
            <w:tcBorders>
              <w:bottom w:val="single" w:sz="4" w:space="0" w:color="auto"/>
            </w:tcBorders>
            <w:shd w:val="clear" w:color="auto" w:fill="auto"/>
            <w:noWrap/>
            <w:vAlign w:val="center"/>
            <w:hideMark/>
          </w:tcPr>
          <w:p w:rsidR="00CA209F" w:rsidRPr="00BC610C" w:rsidRDefault="00CA209F" w:rsidP="002656B8">
            <w:pPr>
              <w:spacing w:before="60" w:after="60" w:line="240" w:lineRule="auto"/>
              <w:jc w:val="center"/>
              <w:rPr>
                <w:rFonts w:ascii="Times New Roman" w:hAnsi="Times New Roman"/>
                <w:sz w:val="20"/>
                <w:szCs w:val="20"/>
              </w:rPr>
            </w:pPr>
            <w:r w:rsidRPr="00BC610C">
              <w:rPr>
                <w:rFonts w:ascii="Times New Roman" w:hAnsi="Times New Roman"/>
                <w:sz w:val="20"/>
                <w:szCs w:val="20"/>
              </w:rPr>
              <w:t>629.6</w:t>
            </w:r>
          </w:p>
        </w:tc>
        <w:tc>
          <w:tcPr>
            <w:tcW w:w="921" w:type="dxa"/>
            <w:tcBorders>
              <w:bottom w:val="single" w:sz="4" w:space="0" w:color="auto"/>
            </w:tcBorders>
            <w:shd w:val="clear" w:color="auto" w:fill="auto"/>
            <w:noWrap/>
            <w:vAlign w:val="center"/>
            <w:hideMark/>
          </w:tcPr>
          <w:p w:rsidR="00CA209F" w:rsidRPr="00BC610C" w:rsidRDefault="00CA209F" w:rsidP="002656B8">
            <w:pPr>
              <w:spacing w:before="60" w:after="60" w:line="240" w:lineRule="auto"/>
              <w:jc w:val="center"/>
              <w:rPr>
                <w:rFonts w:ascii="Times New Roman" w:hAnsi="Times New Roman"/>
                <w:sz w:val="20"/>
                <w:szCs w:val="20"/>
              </w:rPr>
            </w:pPr>
            <w:r w:rsidRPr="00BC610C">
              <w:rPr>
                <w:rFonts w:ascii="Times New Roman" w:hAnsi="Times New Roman"/>
                <w:sz w:val="20"/>
                <w:szCs w:val="20"/>
              </w:rPr>
              <w:t>-627.4</w:t>
            </w:r>
          </w:p>
        </w:tc>
        <w:tc>
          <w:tcPr>
            <w:tcW w:w="827" w:type="dxa"/>
            <w:tcBorders>
              <w:bottom w:val="single" w:sz="4" w:space="0" w:color="auto"/>
            </w:tcBorders>
            <w:shd w:val="clear" w:color="auto" w:fill="auto"/>
            <w:noWrap/>
            <w:vAlign w:val="center"/>
            <w:hideMark/>
          </w:tcPr>
          <w:p w:rsidR="00CA209F" w:rsidRPr="00BC610C" w:rsidRDefault="00CA209F" w:rsidP="002656B8">
            <w:pPr>
              <w:spacing w:before="60" w:after="60" w:line="240" w:lineRule="auto"/>
              <w:jc w:val="center"/>
              <w:rPr>
                <w:rFonts w:ascii="Times New Roman" w:hAnsi="Times New Roman"/>
                <w:sz w:val="20"/>
                <w:szCs w:val="20"/>
              </w:rPr>
            </w:pPr>
            <w:r w:rsidRPr="00BC610C">
              <w:rPr>
                <w:rFonts w:ascii="Times New Roman" w:hAnsi="Times New Roman"/>
                <w:sz w:val="20"/>
                <w:szCs w:val="20"/>
              </w:rPr>
              <w:t>359.8</w:t>
            </w:r>
          </w:p>
        </w:tc>
        <w:tc>
          <w:tcPr>
            <w:tcW w:w="753" w:type="dxa"/>
            <w:tcBorders>
              <w:bottom w:val="single" w:sz="4" w:space="0" w:color="auto"/>
            </w:tcBorders>
            <w:shd w:val="clear" w:color="auto" w:fill="auto"/>
            <w:noWrap/>
            <w:vAlign w:val="center"/>
            <w:hideMark/>
          </w:tcPr>
          <w:p w:rsidR="00CA209F" w:rsidRPr="00BC610C" w:rsidRDefault="00CA209F" w:rsidP="002656B8">
            <w:pPr>
              <w:spacing w:before="60" w:after="60" w:line="240" w:lineRule="auto"/>
              <w:jc w:val="center"/>
              <w:rPr>
                <w:rFonts w:ascii="Times New Roman" w:hAnsi="Times New Roman"/>
                <w:sz w:val="20"/>
                <w:szCs w:val="20"/>
              </w:rPr>
            </w:pPr>
            <w:r w:rsidRPr="00BC610C">
              <w:rPr>
                <w:rFonts w:ascii="Times New Roman" w:hAnsi="Times New Roman"/>
                <w:sz w:val="20"/>
                <w:szCs w:val="20"/>
              </w:rPr>
              <w:t>202.3</w:t>
            </w:r>
          </w:p>
        </w:tc>
        <w:tc>
          <w:tcPr>
            <w:tcW w:w="836" w:type="dxa"/>
            <w:tcBorders>
              <w:bottom w:val="single" w:sz="4" w:space="0" w:color="auto"/>
            </w:tcBorders>
            <w:shd w:val="clear" w:color="auto" w:fill="auto"/>
            <w:noWrap/>
            <w:vAlign w:val="center"/>
            <w:hideMark/>
          </w:tcPr>
          <w:p w:rsidR="00CA209F" w:rsidRPr="00BC610C" w:rsidRDefault="00CA209F" w:rsidP="002656B8">
            <w:pPr>
              <w:spacing w:before="60" w:after="60" w:line="240" w:lineRule="auto"/>
              <w:jc w:val="center"/>
              <w:rPr>
                <w:rFonts w:ascii="Times New Roman" w:hAnsi="Times New Roman"/>
                <w:sz w:val="20"/>
                <w:szCs w:val="20"/>
              </w:rPr>
            </w:pPr>
            <w:r w:rsidRPr="00BC610C">
              <w:rPr>
                <w:rFonts w:ascii="Times New Roman" w:hAnsi="Times New Roman"/>
                <w:sz w:val="20"/>
                <w:szCs w:val="20"/>
              </w:rPr>
              <w:t>157.4</w:t>
            </w:r>
          </w:p>
        </w:tc>
        <w:tc>
          <w:tcPr>
            <w:tcW w:w="744" w:type="dxa"/>
            <w:tcBorders>
              <w:bottom w:val="single" w:sz="4" w:space="0" w:color="auto"/>
            </w:tcBorders>
            <w:vAlign w:val="center"/>
          </w:tcPr>
          <w:p w:rsidR="00CA209F" w:rsidRPr="00BC610C" w:rsidRDefault="00CA209F" w:rsidP="002656B8">
            <w:pPr>
              <w:spacing w:before="60" w:after="60" w:line="240" w:lineRule="auto"/>
              <w:jc w:val="center"/>
              <w:rPr>
                <w:rFonts w:ascii="Times New Roman" w:hAnsi="Times New Roman"/>
                <w:sz w:val="20"/>
                <w:szCs w:val="20"/>
              </w:rPr>
            </w:pPr>
            <w:r w:rsidRPr="00BC610C">
              <w:rPr>
                <w:rFonts w:ascii="Times New Roman" w:hAnsi="Times New Roman"/>
                <w:sz w:val="20"/>
                <w:szCs w:val="20"/>
              </w:rPr>
              <w:t>5.69</w:t>
            </w:r>
          </w:p>
        </w:tc>
        <w:tc>
          <w:tcPr>
            <w:tcW w:w="1224" w:type="dxa"/>
            <w:tcBorders>
              <w:bottom w:val="single" w:sz="4" w:space="0" w:color="auto"/>
            </w:tcBorders>
            <w:vAlign w:val="center"/>
          </w:tcPr>
          <w:p w:rsidR="00CA209F" w:rsidRPr="00BC610C" w:rsidRDefault="00CA209F" w:rsidP="002656B8">
            <w:pPr>
              <w:spacing w:before="60" w:after="60" w:line="240" w:lineRule="auto"/>
              <w:jc w:val="center"/>
              <w:rPr>
                <w:rFonts w:ascii="Times New Roman" w:hAnsi="Times New Roman"/>
                <w:sz w:val="20"/>
                <w:szCs w:val="20"/>
              </w:rPr>
            </w:pPr>
            <w:r w:rsidRPr="00BC610C">
              <w:rPr>
                <w:rFonts w:ascii="Times New Roman" w:hAnsi="Times New Roman"/>
                <w:sz w:val="20"/>
                <w:szCs w:val="20"/>
              </w:rPr>
              <w:t>17.0</w:t>
            </w:r>
          </w:p>
        </w:tc>
      </w:tr>
    </w:tbl>
    <w:p w:rsidR="00CA209F" w:rsidRPr="00BC610C" w:rsidRDefault="00CA209F" w:rsidP="002656B8">
      <w:pPr>
        <w:spacing w:after="120" w:line="240" w:lineRule="auto"/>
        <w:jc w:val="both"/>
        <w:rPr>
          <w:rFonts w:ascii="Times New Roman" w:hAnsi="Times New Roman"/>
          <w:b/>
          <w:sz w:val="20"/>
          <w:szCs w:val="20"/>
        </w:rPr>
      </w:pPr>
    </w:p>
    <w:p w:rsidR="002656B8" w:rsidRPr="00DC4C68" w:rsidRDefault="002656B8" w:rsidP="002656B8">
      <w:pPr>
        <w:spacing w:after="0" w:line="240" w:lineRule="auto"/>
        <w:jc w:val="both"/>
        <w:rPr>
          <w:rFonts w:ascii="Times New Roman" w:hAnsi="Times New Roman"/>
          <w:b/>
          <w:sz w:val="20"/>
          <w:szCs w:val="24"/>
        </w:rPr>
      </w:pPr>
      <w:r w:rsidRPr="00DC4C68">
        <w:rPr>
          <w:rFonts w:ascii="Times New Roman" w:hAnsi="Times New Roman"/>
          <w:b/>
          <w:sz w:val="20"/>
          <w:szCs w:val="24"/>
        </w:rPr>
        <w:t>Electrochemical performance of Fe</w:t>
      </w:r>
      <w:r w:rsidRPr="00DC4C68">
        <w:rPr>
          <w:rFonts w:ascii="Times New Roman" w:hAnsi="Times New Roman"/>
          <w:b/>
          <w:sz w:val="20"/>
          <w:szCs w:val="24"/>
          <w:vertAlign w:val="subscript"/>
        </w:rPr>
        <w:t>3</w:t>
      </w:r>
      <w:r w:rsidRPr="00DC4C68">
        <w:rPr>
          <w:rFonts w:ascii="Times New Roman" w:hAnsi="Times New Roman"/>
          <w:b/>
          <w:sz w:val="20"/>
          <w:szCs w:val="24"/>
        </w:rPr>
        <w:t>O</w:t>
      </w:r>
      <w:r w:rsidRPr="00DC4C68">
        <w:rPr>
          <w:rFonts w:ascii="Times New Roman" w:hAnsi="Times New Roman"/>
          <w:b/>
          <w:sz w:val="20"/>
          <w:szCs w:val="24"/>
          <w:vertAlign w:val="subscript"/>
        </w:rPr>
        <w:t>4</w:t>
      </w:r>
      <w:r w:rsidRPr="00DC4C68">
        <w:rPr>
          <w:rFonts w:ascii="Times New Roman" w:hAnsi="Times New Roman"/>
          <w:b/>
          <w:sz w:val="20"/>
          <w:szCs w:val="24"/>
        </w:rPr>
        <w:t xml:space="preserve">/rGO/GCE in the presence of UA </w:t>
      </w:r>
    </w:p>
    <w:p w:rsidR="002656B8" w:rsidRPr="00DC4C68" w:rsidRDefault="002656B8" w:rsidP="002656B8">
      <w:pPr>
        <w:spacing w:after="180" w:line="240" w:lineRule="auto"/>
        <w:jc w:val="both"/>
        <w:rPr>
          <w:rFonts w:ascii="Times New Roman" w:hAnsi="Times New Roman"/>
          <w:sz w:val="20"/>
          <w:szCs w:val="24"/>
        </w:rPr>
      </w:pPr>
      <w:r w:rsidRPr="00DC4C68">
        <w:rPr>
          <w:rFonts w:ascii="Times New Roman" w:hAnsi="Times New Roman"/>
          <w:sz w:val="20"/>
          <w:szCs w:val="24"/>
        </w:rPr>
        <w:t>The voltammetric responses of the Fe</w:t>
      </w:r>
      <w:r w:rsidRPr="00DC4C68">
        <w:rPr>
          <w:rFonts w:ascii="Times New Roman" w:hAnsi="Times New Roman"/>
          <w:sz w:val="20"/>
          <w:szCs w:val="24"/>
          <w:vertAlign w:val="subscript"/>
        </w:rPr>
        <w:t>3</w:t>
      </w:r>
      <w:r w:rsidRPr="00DC4C68">
        <w:rPr>
          <w:rFonts w:ascii="Times New Roman" w:hAnsi="Times New Roman"/>
          <w:sz w:val="20"/>
          <w:szCs w:val="24"/>
        </w:rPr>
        <w:t>O</w:t>
      </w:r>
      <w:r w:rsidRPr="00DC4C68">
        <w:rPr>
          <w:rFonts w:ascii="Times New Roman" w:hAnsi="Times New Roman"/>
          <w:sz w:val="20"/>
          <w:szCs w:val="24"/>
          <w:vertAlign w:val="subscript"/>
        </w:rPr>
        <w:t>4</w:t>
      </w:r>
      <w:r w:rsidRPr="00DC4C68">
        <w:rPr>
          <w:rFonts w:ascii="Times New Roman" w:hAnsi="Times New Roman"/>
          <w:sz w:val="20"/>
          <w:szCs w:val="24"/>
        </w:rPr>
        <w:t>/rGO/GCE toward UA detection and its application in different sensing environment was studied in the 0.1M PBS buffer solution of pH 7 containing 400 μM UA analyte. The electron transfer behavior through different sensing interface of electrode was studied using the same instrument configuration and parameter setups. The cyclic voltammograms of various modified electrodes in Figure 4 revealed the electrocatalytic performance of Fe</w:t>
      </w:r>
      <w:r w:rsidRPr="00DC4C68">
        <w:rPr>
          <w:rFonts w:ascii="Times New Roman" w:hAnsi="Times New Roman"/>
          <w:sz w:val="20"/>
          <w:szCs w:val="24"/>
          <w:vertAlign w:val="subscript"/>
        </w:rPr>
        <w:t>3</w:t>
      </w:r>
      <w:r w:rsidRPr="00DC4C68">
        <w:rPr>
          <w:rFonts w:ascii="Times New Roman" w:hAnsi="Times New Roman"/>
          <w:sz w:val="20"/>
          <w:szCs w:val="24"/>
        </w:rPr>
        <w:t>O</w:t>
      </w:r>
      <w:r w:rsidRPr="00DC4C68">
        <w:rPr>
          <w:rFonts w:ascii="Times New Roman" w:hAnsi="Times New Roman"/>
          <w:sz w:val="20"/>
          <w:szCs w:val="24"/>
          <w:vertAlign w:val="subscript"/>
        </w:rPr>
        <w:t>4</w:t>
      </w:r>
      <w:r w:rsidRPr="00DC4C68">
        <w:rPr>
          <w:rFonts w:ascii="Times New Roman" w:hAnsi="Times New Roman"/>
          <w:sz w:val="20"/>
          <w:szCs w:val="24"/>
        </w:rPr>
        <w:t>/rGO nanocomposite coated GCE outstands the other surface-modifed electrode. There was a minor difference in the anodic peak potential for the UA oxidation on various surface modified electrode. However, the rGO/GCE shows a higher current background baseline at the end of forward scan. This baseline signals was refined on the proposed Fe</w:t>
      </w:r>
      <w:r w:rsidRPr="00DC4C68">
        <w:rPr>
          <w:rFonts w:ascii="Times New Roman" w:hAnsi="Times New Roman"/>
          <w:sz w:val="20"/>
          <w:szCs w:val="24"/>
          <w:vertAlign w:val="subscript"/>
        </w:rPr>
        <w:t>3</w:t>
      </w:r>
      <w:r w:rsidRPr="00DC4C68">
        <w:rPr>
          <w:rFonts w:ascii="Times New Roman" w:hAnsi="Times New Roman"/>
          <w:sz w:val="20"/>
          <w:szCs w:val="24"/>
        </w:rPr>
        <w:t>O</w:t>
      </w:r>
      <w:r w:rsidRPr="00DC4C68">
        <w:rPr>
          <w:rFonts w:ascii="Times New Roman" w:hAnsi="Times New Roman"/>
          <w:sz w:val="20"/>
          <w:szCs w:val="24"/>
          <w:vertAlign w:val="subscript"/>
        </w:rPr>
        <w:t>4</w:t>
      </w:r>
      <w:r w:rsidRPr="00DC4C68">
        <w:rPr>
          <w:rFonts w:ascii="Times New Roman" w:hAnsi="Times New Roman"/>
          <w:sz w:val="20"/>
          <w:szCs w:val="24"/>
        </w:rPr>
        <w:t>/rGO/GCE, which assumed due to the depleted electrical double layer (EDL), and capacitance current accumulated at the charged electrode. The anodic peak current has been improved as much as 1.65 μA (81.28%) compared to bare GCE under the same 50 mVs</w:t>
      </w:r>
      <w:r w:rsidRPr="00DC4C68">
        <w:rPr>
          <w:rFonts w:ascii="Times New Roman" w:hAnsi="Times New Roman"/>
          <w:sz w:val="20"/>
          <w:szCs w:val="24"/>
          <w:vertAlign w:val="superscript"/>
        </w:rPr>
        <w:t>-1</w:t>
      </w:r>
      <w:r w:rsidRPr="00DC4C68">
        <w:rPr>
          <w:rFonts w:ascii="Times New Roman" w:hAnsi="Times New Roman"/>
          <w:sz w:val="20"/>
          <w:szCs w:val="24"/>
        </w:rPr>
        <w:t xml:space="preserve"> scan rate. The increment in the anodic peak current, I</w:t>
      </w:r>
      <w:r w:rsidRPr="00DC4C68">
        <w:rPr>
          <w:rFonts w:ascii="Times New Roman" w:hAnsi="Times New Roman"/>
          <w:sz w:val="20"/>
          <w:szCs w:val="24"/>
          <w:vertAlign w:val="subscript"/>
        </w:rPr>
        <w:t>pa</w:t>
      </w:r>
      <w:r w:rsidRPr="00DC4C68">
        <w:rPr>
          <w:rFonts w:ascii="Times New Roman" w:hAnsi="Times New Roman"/>
          <w:sz w:val="20"/>
          <w:szCs w:val="24"/>
        </w:rPr>
        <w:t xml:space="preserve"> was parallel to the calculated diffusion coefficient using the Randles-Sevcik equation shown in equation 1. </w:t>
      </w:r>
    </w:p>
    <w:p w:rsidR="002656B8" w:rsidRPr="00DC4C68" w:rsidRDefault="002656B8" w:rsidP="002656B8">
      <w:pPr>
        <w:spacing w:after="180" w:line="240" w:lineRule="auto"/>
        <w:ind w:firstLine="720"/>
        <w:jc w:val="both"/>
        <w:rPr>
          <w:rFonts w:ascii="Times New Roman" w:hAnsi="Times New Roman"/>
          <w:sz w:val="20"/>
          <w:szCs w:val="24"/>
        </w:rPr>
      </w:pPr>
      <w:r w:rsidRPr="00DC4C68">
        <w:rPr>
          <w:rFonts w:ascii="Times New Roman" w:hAnsi="Times New Roman"/>
          <w:sz w:val="20"/>
          <w:szCs w:val="24"/>
        </w:rPr>
        <w:t>I</w:t>
      </w:r>
      <w:r w:rsidRPr="00DC4C68">
        <w:rPr>
          <w:rFonts w:ascii="Times New Roman" w:hAnsi="Times New Roman"/>
          <w:sz w:val="20"/>
          <w:szCs w:val="24"/>
          <w:vertAlign w:val="subscript"/>
        </w:rPr>
        <w:t>P</w:t>
      </w:r>
      <w:r w:rsidRPr="00DC4C68">
        <w:rPr>
          <w:rFonts w:ascii="Times New Roman" w:hAnsi="Times New Roman"/>
          <w:sz w:val="20"/>
          <w:szCs w:val="24"/>
        </w:rPr>
        <w:t xml:space="preserve"> = (2.69 X 10</w:t>
      </w:r>
      <w:r w:rsidRPr="00DC4C68">
        <w:rPr>
          <w:rFonts w:ascii="Times New Roman" w:hAnsi="Times New Roman"/>
          <w:sz w:val="20"/>
          <w:szCs w:val="24"/>
          <w:vertAlign w:val="superscript"/>
        </w:rPr>
        <w:t>5</w:t>
      </w:r>
      <w:r w:rsidRPr="00DC4C68">
        <w:rPr>
          <w:rFonts w:ascii="Times New Roman" w:hAnsi="Times New Roman"/>
          <w:sz w:val="20"/>
          <w:szCs w:val="24"/>
        </w:rPr>
        <w:t>) n</w:t>
      </w:r>
      <w:r w:rsidRPr="00DC4C68">
        <w:rPr>
          <w:rFonts w:ascii="Times New Roman" w:hAnsi="Times New Roman"/>
          <w:sz w:val="20"/>
          <w:szCs w:val="24"/>
          <w:vertAlign w:val="superscript"/>
        </w:rPr>
        <w:t>3/2</w:t>
      </w:r>
      <w:r w:rsidRPr="00DC4C68">
        <w:rPr>
          <w:rFonts w:ascii="Times New Roman" w:hAnsi="Times New Roman"/>
          <w:sz w:val="20"/>
          <w:szCs w:val="24"/>
        </w:rPr>
        <w:t xml:space="preserve"> A D</w:t>
      </w:r>
      <w:r w:rsidRPr="00DC4C68">
        <w:rPr>
          <w:rFonts w:ascii="Times New Roman" w:hAnsi="Times New Roman"/>
          <w:sz w:val="20"/>
          <w:szCs w:val="24"/>
          <w:vertAlign w:val="superscript"/>
        </w:rPr>
        <w:t xml:space="preserve">1/2 </w:t>
      </w:r>
      <w:r w:rsidRPr="00DC4C68">
        <w:rPr>
          <w:rFonts w:ascii="Times New Roman" w:hAnsi="Times New Roman"/>
          <w:sz w:val="20"/>
          <w:szCs w:val="24"/>
        </w:rPr>
        <w:t>C ѵ</w:t>
      </w:r>
      <w:r w:rsidRPr="00DC4C68">
        <w:rPr>
          <w:rFonts w:ascii="Times New Roman" w:hAnsi="Times New Roman"/>
          <w:sz w:val="20"/>
          <w:szCs w:val="24"/>
        </w:rPr>
        <w:tab/>
      </w:r>
      <w:r w:rsidRPr="00DC4C68">
        <w:rPr>
          <w:rFonts w:ascii="Times New Roman" w:hAnsi="Times New Roman"/>
          <w:sz w:val="20"/>
          <w:szCs w:val="24"/>
        </w:rPr>
        <w:tab/>
      </w:r>
      <w:r w:rsidRPr="00DC4C68">
        <w:rPr>
          <w:rFonts w:ascii="Times New Roman" w:hAnsi="Times New Roman"/>
          <w:sz w:val="20"/>
          <w:szCs w:val="24"/>
        </w:rPr>
        <w:tab/>
      </w:r>
      <w:r w:rsidRPr="00DC4C68">
        <w:rPr>
          <w:rFonts w:ascii="Times New Roman" w:hAnsi="Times New Roman"/>
          <w:sz w:val="20"/>
          <w:szCs w:val="24"/>
        </w:rPr>
        <w:tab/>
      </w:r>
      <w:r w:rsidRPr="00DC4C68">
        <w:rPr>
          <w:rFonts w:ascii="Times New Roman" w:hAnsi="Times New Roman"/>
          <w:sz w:val="20"/>
          <w:szCs w:val="24"/>
        </w:rPr>
        <w:tab/>
        <w:t xml:space="preserve">                                           </w:t>
      </w:r>
      <w:r w:rsidRPr="00DC4C68">
        <w:rPr>
          <w:rFonts w:ascii="Times New Roman" w:hAnsi="Times New Roman"/>
          <w:sz w:val="20"/>
          <w:szCs w:val="24"/>
        </w:rPr>
        <w:tab/>
        <w:t xml:space="preserve">  </w:t>
      </w:r>
      <w:r>
        <w:rPr>
          <w:rFonts w:ascii="Times New Roman" w:hAnsi="Times New Roman"/>
          <w:sz w:val="20"/>
          <w:szCs w:val="24"/>
        </w:rPr>
        <w:t xml:space="preserve">      </w:t>
      </w:r>
      <w:r w:rsidRPr="00DC4C68">
        <w:rPr>
          <w:rFonts w:ascii="Times New Roman" w:hAnsi="Times New Roman"/>
          <w:sz w:val="20"/>
          <w:szCs w:val="24"/>
        </w:rPr>
        <w:t xml:space="preserve"> (1)</w:t>
      </w:r>
    </w:p>
    <w:p w:rsidR="002656B8" w:rsidRPr="00DC4C68" w:rsidRDefault="002656B8" w:rsidP="002656B8">
      <w:pPr>
        <w:spacing w:after="0" w:line="240" w:lineRule="auto"/>
        <w:jc w:val="both"/>
        <w:rPr>
          <w:rFonts w:ascii="Times New Roman" w:hAnsi="Times New Roman"/>
          <w:sz w:val="20"/>
          <w:szCs w:val="24"/>
        </w:rPr>
      </w:pPr>
      <w:r w:rsidRPr="00DC4C68">
        <w:rPr>
          <w:rFonts w:ascii="Times New Roman" w:hAnsi="Times New Roman"/>
          <w:sz w:val="20"/>
          <w:szCs w:val="24"/>
        </w:rPr>
        <w:t>where n is the number of electron taking part in the redox reaction (n=2), A is the electroactive surface area, cm</w:t>
      </w:r>
      <w:r w:rsidRPr="00DC4C68">
        <w:rPr>
          <w:rFonts w:ascii="Times New Roman" w:hAnsi="Times New Roman"/>
          <w:sz w:val="20"/>
          <w:szCs w:val="24"/>
          <w:vertAlign w:val="superscript"/>
        </w:rPr>
        <w:t>2</w:t>
      </w:r>
      <w:r w:rsidRPr="00DC4C68">
        <w:rPr>
          <w:rFonts w:ascii="Times New Roman" w:hAnsi="Times New Roman"/>
          <w:sz w:val="20"/>
          <w:szCs w:val="24"/>
          <w:vertAlign w:val="subscript"/>
        </w:rPr>
        <w:t xml:space="preserve"> </w:t>
      </w:r>
      <w:r w:rsidRPr="00DC4C68">
        <w:rPr>
          <w:rFonts w:ascii="Times New Roman" w:hAnsi="Times New Roman"/>
          <w:sz w:val="20"/>
          <w:szCs w:val="24"/>
        </w:rPr>
        <w:t>(A = 0.08cm</w:t>
      </w:r>
      <w:r w:rsidRPr="00DC4C68">
        <w:rPr>
          <w:rFonts w:ascii="Times New Roman" w:hAnsi="Times New Roman"/>
          <w:sz w:val="20"/>
          <w:szCs w:val="24"/>
          <w:vertAlign w:val="superscript"/>
        </w:rPr>
        <w:t>2</w:t>
      </w:r>
      <w:r w:rsidRPr="00DC4C68">
        <w:rPr>
          <w:rFonts w:ascii="Times New Roman" w:hAnsi="Times New Roman"/>
          <w:sz w:val="20"/>
          <w:szCs w:val="24"/>
        </w:rPr>
        <w:t xml:space="preserve"> respect to GCE), D as the diffusion coefficient, c is the bulk concentration, mol cm</w:t>
      </w:r>
      <w:r w:rsidRPr="00DC4C68">
        <w:rPr>
          <w:rFonts w:ascii="Times New Roman" w:hAnsi="Times New Roman"/>
          <w:sz w:val="20"/>
          <w:szCs w:val="24"/>
          <w:vertAlign w:val="superscript"/>
        </w:rPr>
        <w:t>-3</w:t>
      </w:r>
      <w:r w:rsidRPr="00DC4C68">
        <w:rPr>
          <w:rFonts w:ascii="Times New Roman" w:hAnsi="Times New Roman"/>
          <w:sz w:val="20"/>
          <w:szCs w:val="24"/>
        </w:rPr>
        <w:t xml:space="preserve"> (c = 4 X 10</w:t>
      </w:r>
      <w:r w:rsidRPr="00DC4C68">
        <w:rPr>
          <w:rFonts w:ascii="Times New Roman" w:hAnsi="Times New Roman"/>
          <w:sz w:val="20"/>
          <w:szCs w:val="24"/>
          <w:vertAlign w:val="superscript"/>
        </w:rPr>
        <w:t>-4</w:t>
      </w:r>
      <w:r w:rsidRPr="00DC4C68">
        <w:rPr>
          <w:rFonts w:ascii="Times New Roman" w:hAnsi="Times New Roman"/>
          <w:sz w:val="20"/>
          <w:szCs w:val="24"/>
        </w:rPr>
        <w:t xml:space="preserve"> mol cm</w:t>
      </w:r>
      <w:r w:rsidRPr="00DC4C68">
        <w:rPr>
          <w:rFonts w:ascii="Times New Roman" w:hAnsi="Times New Roman"/>
          <w:sz w:val="20"/>
          <w:szCs w:val="24"/>
          <w:vertAlign w:val="superscript"/>
        </w:rPr>
        <w:t>-1</w:t>
      </w:r>
      <w:r w:rsidRPr="00DC4C68">
        <w:rPr>
          <w:rFonts w:ascii="Times New Roman" w:hAnsi="Times New Roman"/>
          <w:sz w:val="20"/>
          <w:szCs w:val="24"/>
        </w:rPr>
        <w:t>) and scan rate, V s</w:t>
      </w:r>
      <w:r w:rsidRPr="00DC4C68">
        <w:rPr>
          <w:rFonts w:ascii="Times New Roman" w:hAnsi="Times New Roman"/>
          <w:sz w:val="20"/>
          <w:szCs w:val="24"/>
          <w:vertAlign w:val="superscript"/>
        </w:rPr>
        <w:t>-1</w:t>
      </w:r>
      <w:r w:rsidRPr="00DC4C68">
        <w:rPr>
          <w:rFonts w:ascii="Times New Roman" w:hAnsi="Times New Roman"/>
          <w:sz w:val="20"/>
          <w:szCs w:val="24"/>
        </w:rPr>
        <w:t xml:space="preserve"> (ѵ = 0.05 V s</w:t>
      </w:r>
      <w:r w:rsidRPr="00DC4C68">
        <w:rPr>
          <w:rFonts w:ascii="Times New Roman" w:hAnsi="Times New Roman"/>
          <w:sz w:val="20"/>
          <w:szCs w:val="24"/>
          <w:vertAlign w:val="superscript"/>
        </w:rPr>
        <w:t>-1</w:t>
      </w:r>
      <w:r w:rsidRPr="00DC4C68">
        <w:rPr>
          <w:rFonts w:ascii="Times New Roman" w:hAnsi="Times New Roman"/>
          <w:sz w:val="20"/>
          <w:szCs w:val="24"/>
        </w:rPr>
        <w:t>) is denoted by v.</w:t>
      </w:r>
    </w:p>
    <w:p w:rsidR="002656B8" w:rsidRDefault="002656B8" w:rsidP="002656B8">
      <w:pPr>
        <w:spacing w:after="0" w:line="240" w:lineRule="auto"/>
        <w:jc w:val="both"/>
        <w:rPr>
          <w:rFonts w:ascii="Times New Roman" w:hAnsi="Times New Roman"/>
          <w:iCs/>
          <w:sz w:val="20"/>
          <w:szCs w:val="24"/>
        </w:rPr>
      </w:pPr>
      <w:r w:rsidRPr="00DC4C68">
        <w:rPr>
          <w:rFonts w:ascii="Times New Roman" w:hAnsi="Times New Roman"/>
          <w:sz w:val="20"/>
          <w:szCs w:val="24"/>
        </w:rPr>
        <w:lastRenderedPageBreak/>
        <w:t>The Fe</w:t>
      </w:r>
      <w:r w:rsidRPr="00DC4C68">
        <w:rPr>
          <w:rFonts w:ascii="Times New Roman" w:hAnsi="Times New Roman"/>
          <w:sz w:val="20"/>
          <w:szCs w:val="24"/>
          <w:vertAlign w:val="subscript"/>
        </w:rPr>
        <w:t>3</w:t>
      </w:r>
      <w:r w:rsidRPr="00DC4C68">
        <w:rPr>
          <w:rFonts w:ascii="Times New Roman" w:hAnsi="Times New Roman"/>
          <w:sz w:val="20"/>
          <w:szCs w:val="24"/>
        </w:rPr>
        <w:t>O</w:t>
      </w:r>
      <w:r w:rsidRPr="00DC4C68">
        <w:rPr>
          <w:rFonts w:ascii="Times New Roman" w:hAnsi="Times New Roman"/>
          <w:sz w:val="20"/>
          <w:szCs w:val="24"/>
          <w:vertAlign w:val="subscript"/>
        </w:rPr>
        <w:t>4</w:t>
      </w:r>
      <w:r w:rsidRPr="00DC4C68">
        <w:rPr>
          <w:rFonts w:ascii="Times New Roman" w:hAnsi="Times New Roman"/>
          <w:sz w:val="20"/>
          <w:szCs w:val="24"/>
        </w:rPr>
        <w:t>/rGO/GCE modified electrode stands a better diffusivity (D = 4.57 x 10</w:t>
      </w:r>
      <w:r w:rsidRPr="00DC4C68">
        <w:rPr>
          <w:rFonts w:ascii="Times New Roman" w:hAnsi="Times New Roman"/>
          <w:sz w:val="20"/>
          <w:szCs w:val="24"/>
          <w:vertAlign w:val="superscript"/>
        </w:rPr>
        <w:t>-13</w:t>
      </w:r>
      <w:r w:rsidRPr="00DC4C68">
        <w:rPr>
          <w:rFonts w:ascii="Times New Roman" w:hAnsi="Times New Roman"/>
          <w:sz w:val="20"/>
          <w:szCs w:val="24"/>
        </w:rPr>
        <w:t xml:space="preserve"> cm</w:t>
      </w:r>
      <w:r w:rsidRPr="00DC4C68">
        <w:rPr>
          <w:rFonts w:ascii="Times New Roman" w:hAnsi="Times New Roman"/>
          <w:sz w:val="20"/>
          <w:szCs w:val="24"/>
          <w:vertAlign w:val="superscript"/>
        </w:rPr>
        <w:t>2</w:t>
      </w:r>
      <w:r w:rsidRPr="00DC4C68">
        <w:rPr>
          <w:rFonts w:ascii="Times New Roman" w:hAnsi="Times New Roman"/>
          <w:sz w:val="20"/>
          <w:szCs w:val="24"/>
        </w:rPr>
        <w:t xml:space="preserve"> s</w:t>
      </w:r>
      <w:r w:rsidRPr="00DC4C68">
        <w:rPr>
          <w:rFonts w:ascii="Times New Roman" w:hAnsi="Times New Roman"/>
          <w:sz w:val="20"/>
          <w:szCs w:val="24"/>
          <w:vertAlign w:val="superscript"/>
        </w:rPr>
        <w:t>-1</w:t>
      </w:r>
      <w:r w:rsidRPr="00DC4C68">
        <w:rPr>
          <w:rFonts w:ascii="Times New Roman" w:hAnsi="Times New Roman"/>
          <w:sz w:val="20"/>
          <w:szCs w:val="24"/>
        </w:rPr>
        <w:t>) compared to another modified electrode. Thus, it do allows faster rate of mass transport for UA molecules diffuses across the concentration gradient and bulk solution molecules near the surface of electrode in a voltammetric detection. The cyclic voltammogram of UA in 0.1 M PBS buffer solution show a typical observation, where only one anodic peak was recognized. It expressing that the undergoing reaction is of irreversible for UA reduction. This can be attributed to the characteristic of UA and its possible alternative oxidation pathway of the electrode process demonstrated in the Figure 4 (inset)</w:t>
      </w:r>
      <w:r w:rsidRPr="00DC4C68">
        <w:rPr>
          <w:rFonts w:ascii="Times New Roman" w:hAnsi="Times New Roman"/>
          <w:iCs/>
          <w:sz w:val="20"/>
          <w:szCs w:val="24"/>
        </w:rPr>
        <w:t xml:space="preserve"> </w:t>
      </w:r>
      <w:r w:rsidRPr="00DC4C68">
        <w:rPr>
          <w:rFonts w:ascii="Times New Roman" w:hAnsi="Times New Roman"/>
          <w:iCs/>
          <w:sz w:val="20"/>
          <w:szCs w:val="24"/>
        </w:rPr>
        <w:fldChar w:fldCharType="begin" w:fldLock="1"/>
      </w:r>
      <w:r w:rsidRPr="00DC4C68">
        <w:rPr>
          <w:rFonts w:ascii="Times New Roman" w:hAnsi="Times New Roman"/>
          <w:iCs/>
          <w:sz w:val="20"/>
          <w:szCs w:val="24"/>
        </w:rPr>
        <w:instrText>ADDIN CSL_CITATION {"citationItems":[{"id":"ITEM-1","itemData":{"DOI":"10.1017/9781139245913.006","ISBN":"9781139245913","ISSN":"14523981","abstract":"A graphene-modified electrode for selective determination of uric acid was prepared. The electro-chemical behaviours of uric acid at the graphene-modified electrode was investigated by cyclic voltammetry and the results showed that the graphene film on electrode exhibited excellent electrocatalytic activity for the electrochemical oxidation of uric acid in phosphate buffer solution (pH 4.0). Using the graphene-modified electrode, uric acid under coexistence of dopamine and ascorbic acid was successfully determined with good peak separation. The values of linearity range, correlation coefficient and limit of detection for uric acid were 2.00×10 -6 to 1.20×10 -4 mol/L, 0.9975 and 6.00×10 -7 mol/L respectively. The graphene-modified electrode is of excellent sensitivity, selectivity and stability, and has been successfully used for determination of uric acid in human urine.","author":[{"dropping-particle":"","family":"Chao","given":"Mingyong","non-dropping-particle":"","parse-names":false,"suffix":""},{"dropping-particle":"","family":"Ma","given":"Xinying","non-dropping-particle":"","parse-names":false,"suffix":""},{"dropping-particle":"","family":"Li","given":"Xia","non-dropping-particle":"","parse-names":false,"suffix":""}],"container-title":"International Journal of Electrochemical Science","id":"ITEM-1","issue":"3","issued":{"date-parts":[["2012"]]},"page":"2201-2213","title":"Graphene-modified electrode for the selective determination of uric acid under coexistence of dopamine and ascorbic acid","type":"article-journal","volume":"7"},"uris":["http://www.mendeley.com/documents/?uuid=57ac3b9e-8fa9-4de4-a667-b1499c70db3a","http://www.mendeley.com/documents/?uuid=80123d5c-8696-4996-abde-0b240a902894"]}],"mendeley":{"formattedCitation":"[27]","manualFormatting":"[27]","plainTextFormattedCitation":"[27]","previouslyFormattedCitation":"[27]"},"properties":{"noteIndex":0},"schema":"https://github.com/citation-style-language/schema/raw/master/csl-citation.json"}</w:instrText>
      </w:r>
      <w:r w:rsidRPr="00DC4C68">
        <w:rPr>
          <w:rFonts w:ascii="Times New Roman" w:hAnsi="Times New Roman"/>
          <w:iCs/>
          <w:sz w:val="20"/>
          <w:szCs w:val="24"/>
        </w:rPr>
        <w:fldChar w:fldCharType="separate"/>
      </w:r>
      <w:r w:rsidRPr="00DC4C68">
        <w:rPr>
          <w:rFonts w:ascii="Times New Roman" w:hAnsi="Times New Roman"/>
          <w:iCs/>
          <w:noProof/>
          <w:sz w:val="20"/>
          <w:szCs w:val="24"/>
        </w:rPr>
        <w:t>[26]</w:t>
      </w:r>
      <w:r w:rsidRPr="00DC4C68">
        <w:rPr>
          <w:rFonts w:ascii="Times New Roman" w:hAnsi="Times New Roman"/>
          <w:iCs/>
          <w:sz w:val="20"/>
          <w:szCs w:val="24"/>
        </w:rPr>
        <w:fldChar w:fldCharType="end"/>
      </w:r>
      <w:r w:rsidRPr="00DC4C68">
        <w:rPr>
          <w:rFonts w:ascii="Times New Roman" w:hAnsi="Times New Roman"/>
          <w:iCs/>
          <w:sz w:val="20"/>
          <w:szCs w:val="24"/>
        </w:rPr>
        <w:t>.</w:t>
      </w:r>
      <w:r w:rsidRPr="00DC4C68">
        <w:rPr>
          <w:rFonts w:ascii="Times New Roman" w:hAnsi="Times New Roman"/>
          <w:sz w:val="20"/>
          <w:szCs w:val="24"/>
        </w:rPr>
        <w:t xml:space="preserve"> The primary partially oxidized UA product is composed of 4,5-dihydroxyluric acid, which is liable to oxidative degradation in favor the formation of chemically stable allantoin molecules. </w:t>
      </w:r>
      <w:r w:rsidRPr="00DC4C68">
        <w:rPr>
          <w:rFonts w:ascii="Times New Roman" w:hAnsi="Times New Roman"/>
          <w:iCs/>
          <w:sz w:val="20"/>
          <w:szCs w:val="24"/>
        </w:rPr>
        <w:t>The diffusion coefficient results from bare GCE and different surface-modified electrodes summarized in Table 2.</w:t>
      </w:r>
    </w:p>
    <w:p w:rsidR="002656B8" w:rsidRPr="00DC4C68" w:rsidRDefault="002656B8" w:rsidP="002656B8">
      <w:pPr>
        <w:spacing w:after="120" w:line="240" w:lineRule="auto"/>
        <w:jc w:val="both"/>
        <w:rPr>
          <w:rFonts w:ascii="Times New Roman" w:hAnsi="Times New Roman"/>
          <w:sz w:val="20"/>
          <w:szCs w:val="24"/>
        </w:rPr>
      </w:pPr>
    </w:p>
    <w:p w:rsidR="002656B8" w:rsidRPr="002656B8" w:rsidRDefault="002656B8" w:rsidP="002656B8">
      <w:pPr>
        <w:spacing w:after="120" w:line="240" w:lineRule="auto"/>
        <w:jc w:val="center"/>
        <w:rPr>
          <w:rFonts w:ascii="Times New Roman" w:hAnsi="Times New Roman"/>
          <w:sz w:val="20"/>
          <w:szCs w:val="20"/>
        </w:rPr>
      </w:pPr>
      <w:r w:rsidRPr="00DC4C68">
        <w:rPr>
          <w:noProof/>
          <w:lang w:bidi="ar-SA"/>
        </w:rPr>
        <w:drawing>
          <wp:inline distT="0" distB="0" distL="0" distR="0" wp14:anchorId="0E65F17E" wp14:editId="77EE1E5A">
            <wp:extent cx="3628339" cy="2181059"/>
            <wp:effectExtent l="19050" t="19050" r="1079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18" t="8414" b="6579"/>
                    <a:stretch/>
                  </pic:blipFill>
                  <pic:spPr bwMode="auto">
                    <a:xfrm>
                      <a:off x="0" y="0"/>
                      <a:ext cx="3709998" cy="2230146"/>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2656B8" w:rsidRDefault="002656B8" w:rsidP="002656B8">
      <w:pPr>
        <w:spacing w:after="0" w:line="240" w:lineRule="auto"/>
        <w:ind w:left="851" w:hanging="851"/>
        <w:jc w:val="both"/>
        <w:rPr>
          <w:rFonts w:ascii="Times New Roman" w:hAnsi="Times New Roman"/>
          <w:iCs/>
          <w:sz w:val="20"/>
          <w:szCs w:val="24"/>
        </w:rPr>
      </w:pPr>
      <w:bookmarkStart w:id="7" w:name="_Toc532037451"/>
      <w:r w:rsidRPr="00DC4C68">
        <w:rPr>
          <w:rFonts w:ascii="Times New Roman" w:hAnsi="Times New Roman"/>
          <w:iCs/>
          <w:sz w:val="20"/>
          <w:szCs w:val="24"/>
        </w:rPr>
        <w:t xml:space="preserve">Figure 4. </w:t>
      </w:r>
      <w:r>
        <w:rPr>
          <w:rFonts w:ascii="Times New Roman" w:hAnsi="Times New Roman"/>
          <w:iCs/>
          <w:sz w:val="20"/>
          <w:szCs w:val="24"/>
        </w:rPr>
        <w:tab/>
      </w:r>
      <w:r w:rsidRPr="00DC4C68">
        <w:rPr>
          <w:rFonts w:ascii="Times New Roman" w:hAnsi="Times New Roman"/>
          <w:iCs/>
          <w:sz w:val="20"/>
          <w:szCs w:val="24"/>
        </w:rPr>
        <w:t>Cyclic voltammetric response of different surface-modified electrode in 400uM UA containing 0.1M PBS buffer solution (pH 7)</w:t>
      </w:r>
      <w:bookmarkEnd w:id="7"/>
    </w:p>
    <w:p w:rsidR="002656B8" w:rsidRPr="00DC4C68" w:rsidRDefault="002656B8" w:rsidP="002656B8">
      <w:pPr>
        <w:spacing w:after="120" w:line="240" w:lineRule="auto"/>
        <w:ind w:left="850" w:hanging="850"/>
        <w:jc w:val="both"/>
        <w:rPr>
          <w:rFonts w:ascii="Times New Roman" w:hAnsi="Times New Roman"/>
          <w:iCs/>
          <w:sz w:val="20"/>
          <w:szCs w:val="24"/>
        </w:rPr>
      </w:pPr>
    </w:p>
    <w:p w:rsidR="002656B8" w:rsidRPr="00EE524E" w:rsidRDefault="002656B8" w:rsidP="002656B8">
      <w:pPr>
        <w:spacing w:after="120" w:line="240" w:lineRule="auto"/>
        <w:ind w:left="706" w:hanging="706"/>
        <w:jc w:val="center"/>
        <w:rPr>
          <w:rFonts w:ascii="Times New Roman" w:hAnsi="Times New Roman"/>
          <w:iCs/>
          <w:sz w:val="20"/>
          <w:szCs w:val="20"/>
        </w:rPr>
      </w:pPr>
      <w:bookmarkStart w:id="8" w:name="_Toc532052061"/>
      <w:r w:rsidRPr="00EE524E">
        <w:rPr>
          <w:rFonts w:ascii="Times New Roman" w:hAnsi="Times New Roman"/>
          <w:iCs/>
          <w:sz w:val="20"/>
          <w:szCs w:val="20"/>
        </w:rPr>
        <w:t>Table 2. The diffusion coefficient results from bare GCE and different surface-modified electrodes in 0.1M PBS solution (pH = 7) containing 400μM UA</w:t>
      </w:r>
      <w:bookmarkEnd w:id="8"/>
    </w:p>
    <w:tbl>
      <w:tblPr>
        <w:tblW w:w="0" w:type="auto"/>
        <w:jc w:val="center"/>
        <w:tblLook w:val="04A0" w:firstRow="1" w:lastRow="0" w:firstColumn="1" w:lastColumn="0" w:noHBand="0" w:noVBand="1"/>
      </w:tblPr>
      <w:tblGrid>
        <w:gridCol w:w="1222"/>
        <w:gridCol w:w="2166"/>
        <w:gridCol w:w="2044"/>
        <w:gridCol w:w="2038"/>
      </w:tblGrid>
      <w:tr w:rsidR="002656B8" w:rsidRPr="00EE524E" w:rsidTr="002656B8">
        <w:trPr>
          <w:trHeight w:val="298"/>
          <w:jc w:val="center"/>
        </w:trPr>
        <w:tc>
          <w:tcPr>
            <w:tcW w:w="0" w:type="auto"/>
            <w:tcBorders>
              <w:top w:val="single" w:sz="4" w:space="0" w:color="auto"/>
              <w:bottom w:val="single" w:sz="4" w:space="0" w:color="auto"/>
            </w:tcBorders>
            <w:shd w:val="clear" w:color="auto" w:fill="auto"/>
            <w:noWrap/>
            <w:hideMark/>
          </w:tcPr>
          <w:p w:rsidR="002656B8" w:rsidRPr="00EE524E" w:rsidRDefault="002656B8" w:rsidP="002656B8">
            <w:pPr>
              <w:spacing w:before="60" w:after="0" w:line="240" w:lineRule="auto"/>
              <w:rPr>
                <w:rFonts w:ascii="Times New Roman" w:hAnsi="Times New Roman"/>
                <w:b/>
                <w:sz w:val="20"/>
                <w:szCs w:val="20"/>
              </w:rPr>
            </w:pPr>
            <w:r w:rsidRPr="00EE524E">
              <w:rPr>
                <w:rFonts w:ascii="Times New Roman" w:hAnsi="Times New Roman"/>
                <w:b/>
                <w:sz w:val="20"/>
                <w:szCs w:val="20"/>
              </w:rPr>
              <w:t>Material (s)</w:t>
            </w:r>
          </w:p>
        </w:tc>
        <w:tc>
          <w:tcPr>
            <w:tcW w:w="0" w:type="auto"/>
            <w:tcBorders>
              <w:top w:val="single" w:sz="4" w:space="0" w:color="auto"/>
              <w:bottom w:val="single" w:sz="4" w:space="0" w:color="auto"/>
            </w:tcBorders>
            <w:shd w:val="clear" w:color="auto" w:fill="auto"/>
            <w:noWrap/>
            <w:hideMark/>
          </w:tcPr>
          <w:p w:rsidR="002656B8" w:rsidRPr="00EE524E" w:rsidRDefault="002656B8" w:rsidP="002656B8">
            <w:pPr>
              <w:spacing w:before="60" w:after="0" w:line="240" w:lineRule="auto"/>
              <w:jc w:val="center"/>
              <w:rPr>
                <w:rFonts w:ascii="Times New Roman" w:hAnsi="Times New Roman"/>
                <w:b/>
                <w:sz w:val="20"/>
                <w:szCs w:val="20"/>
              </w:rPr>
            </w:pPr>
            <w:r w:rsidRPr="00EE524E">
              <w:rPr>
                <w:rFonts w:ascii="Times New Roman" w:hAnsi="Times New Roman"/>
                <w:b/>
                <w:sz w:val="20"/>
                <w:szCs w:val="20"/>
              </w:rPr>
              <w:t>Anodic Peak Potential,</w:t>
            </w:r>
          </w:p>
          <w:p w:rsidR="002656B8" w:rsidRPr="00EE524E" w:rsidRDefault="002656B8" w:rsidP="002656B8">
            <w:pPr>
              <w:spacing w:after="60" w:line="240" w:lineRule="auto"/>
              <w:jc w:val="center"/>
              <w:rPr>
                <w:rFonts w:ascii="Times New Roman" w:hAnsi="Times New Roman"/>
                <w:b/>
                <w:sz w:val="20"/>
                <w:szCs w:val="20"/>
                <w:vertAlign w:val="subscript"/>
              </w:rPr>
            </w:pPr>
            <w:r w:rsidRPr="00EE524E">
              <w:rPr>
                <w:rFonts w:ascii="Times New Roman" w:hAnsi="Times New Roman"/>
                <w:b/>
                <w:sz w:val="20"/>
                <w:szCs w:val="20"/>
              </w:rPr>
              <w:t>E</w:t>
            </w:r>
            <w:r w:rsidRPr="00EE524E">
              <w:rPr>
                <w:rFonts w:ascii="Times New Roman" w:hAnsi="Times New Roman"/>
                <w:b/>
                <w:sz w:val="20"/>
                <w:szCs w:val="20"/>
                <w:vertAlign w:val="subscript"/>
              </w:rPr>
              <w:t xml:space="preserve">pa </w:t>
            </w:r>
            <w:r w:rsidRPr="00EE524E">
              <w:rPr>
                <w:rFonts w:ascii="Times New Roman" w:hAnsi="Times New Roman"/>
                <w:b/>
                <w:sz w:val="20"/>
                <w:szCs w:val="20"/>
              </w:rPr>
              <w:t>(V)</w:t>
            </w:r>
          </w:p>
        </w:tc>
        <w:tc>
          <w:tcPr>
            <w:tcW w:w="0" w:type="auto"/>
            <w:tcBorders>
              <w:top w:val="single" w:sz="4" w:space="0" w:color="auto"/>
              <w:bottom w:val="single" w:sz="4" w:space="0" w:color="auto"/>
            </w:tcBorders>
            <w:shd w:val="clear" w:color="auto" w:fill="auto"/>
            <w:noWrap/>
            <w:hideMark/>
          </w:tcPr>
          <w:p w:rsidR="002656B8" w:rsidRPr="00EE524E" w:rsidRDefault="002656B8" w:rsidP="002656B8">
            <w:pPr>
              <w:spacing w:before="60" w:after="0" w:line="240" w:lineRule="auto"/>
              <w:jc w:val="center"/>
              <w:rPr>
                <w:rFonts w:ascii="Times New Roman" w:hAnsi="Times New Roman"/>
                <w:b/>
                <w:sz w:val="20"/>
                <w:szCs w:val="20"/>
              </w:rPr>
            </w:pPr>
            <w:r w:rsidRPr="00EE524E">
              <w:rPr>
                <w:rFonts w:ascii="Times New Roman" w:hAnsi="Times New Roman"/>
                <w:b/>
                <w:sz w:val="20"/>
                <w:szCs w:val="20"/>
              </w:rPr>
              <w:t>Anodic Peak current,</w:t>
            </w:r>
          </w:p>
          <w:p w:rsidR="002656B8" w:rsidRPr="00EE524E" w:rsidRDefault="002656B8" w:rsidP="002656B8">
            <w:pPr>
              <w:spacing w:after="60" w:line="240" w:lineRule="auto"/>
              <w:jc w:val="center"/>
              <w:rPr>
                <w:rFonts w:ascii="Times New Roman" w:hAnsi="Times New Roman"/>
                <w:b/>
                <w:sz w:val="20"/>
                <w:szCs w:val="20"/>
                <w:vertAlign w:val="subscript"/>
              </w:rPr>
            </w:pPr>
            <w:r w:rsidRPr="00EE524E">
              <w:rPr>
                <w:rFonts w:ascii="Times New Roman" w:hAnsi="Times New Roman"/>
                <w:b/>
                <w:sz w:val="20"/>
                <w:szCs w:val="20"/>
              </w:rPr>
              <w:t>I</w:t>
            </w:r>
            <w:r w:rsidRPr="00EE524E">
              <w:rPr>
                <w:rFonts w:ascii="Times New Roman" w:hAnsi="Times New Roman"/>
                <w:b/>
                <w:sz w:val="20"/>
                <w:szCs w:val="20"/>
                <w:vertAlign w:val="subscript"/>
              </w:rPr>
              <w:t xml:space="preserve">pa </w:t>
            </w:r>
            <w:r w:rsidRPr="00EE524E">
              <w:rPr>
                <w:rFonts w:ascii="Times New Roman" w:hAnsi="Times New Roman"/>
                <w:b/>
                <w:sz w:val="20"/>
                <w:szCs w:val="20"/>
                <w:vertAlign w:val="superscript"/>
              </w:rPr>
              <w:t xml:space="preserve"> </w:t>
            </w:r>
            <w:r w:rsidRPr="00EE524E">
              <w:rPr>
                <w:rFonts w:ascii="Times New Roman" w:hAnsi="Times New Roman"/>
                <w:b/>
                <w:sz w:val="20"/>
                <w:szCs w:val="20"/>
              </w:rPr>
              <w:t>(µA)</w:t>
            </w:r>
          </w:p>
        </w:tc>
        <w:tc>
          <w:tcPr>
            <w:tcW w:w="0" w:type="auto"/>
            <w:tcBorders>
              <w:top w:val="single" w:sz="4" w:space="0" w:color="auto"/>
              <w:bottom w:val="single" w:sz="4" w:space="0" w:color="auto"/>
            </w:tcBorders>
            <w:shd w:val="clear" w:color="auto" w:fill="auto"/>
            <w:noWrap/>
            <w:vAlign w:val="center"/>
            <w:hideMark/>
          </w:tcPr>
          <w:p w:rsidR="002656B8" w:rsidRPr="00EE524E" w:rsidRDefault="002656B8" w:rsidP="002656B8">
            <w:pPr>
              <w:spacing w:before="60" w:after="0" w:line="240" w:lineRule="auto"/>
              <w:jc w:val="center"/>
              <w:rPr>
                <w:rFonts w:ascii="Times New Roman" w:hAnsi="Times New Roman"/>
                <w:b/>
                <w:sz w:val="20"/>
                <w:szCs w:val="20"/>
              </w:rPr>
            </w:pPr>
            <w:r w:rsidRPr="00EE524E">
              <w:rPr>
                <w:rFonts w:ascii="Times New Roman" w:hAnsi="Times New Roman"/>
                <w:b/>
                <w:sz w:val="20"/>
                <w:szCs w:val="20"/>
              </w:rPr>
              <w:t>Diffusion Coefficient,</w:t>
            </w:r>
          </w:p>
          <w:p w:rsidR="002656B8" w:rsidRPr="00EE524E" w:rsidRDefault="002656B8" w:rsidP="002656B8">
            <w:pPr>
              <w:spacing w:after="60" w:line="240" w:lineRule="auto"/>
              <w:jc w:val="center"/>
              <w:rPr>
                <w:rFonts w:ascii="Times New Roman" w:hAnsi="Times New Roman"/>
                <w:b/>
                <w:sz w:val="20"/>
                <w:szCs w:val="20"/>
              </w:rPr>
            </w:pPr>
            <w:r w:rsidRPr="00EE524E">
              <w:rPr>
                <w:rFonts w:ascii="Times New Roman" w:hAnsi="Times New Roman"/>
                <w:b/>
                <w:sz w:val="20"/>
                <w:szCs w:val="20"/>
              </w:rPr>
              <w:t>D (cm</w:t>
            </w:r>
            <w:r w:rsidRPr="00EE524E">
              <w:rPr>
                <w:rFonts w:ascii="Times New Roman" w:hAnsi="Times New Roman"/>
                <w:b/>
                <w:sz w:val="20"/>
                <w:szCs w:val="20"/>
                <w:vertAlign w:val="superscript"/>
              </w:rPr>
              <w:t>2</w:t>
            </w:r>
            <w:r w:rsidRPr="00EE524E">
              <w:rPr>
                <w:rFonts w:ascii="Times New Roman" w:hAnsi="Times New Roman"/>
                <w:b/>
                <w:sz w:val="20"/>
                <w:szCs w:val="20"/>
              </w:rPr>
              <w:t xml:space="preserve"> s</w:t>
            </w:r>
            <w:r w:rsidRPr="00EE524E">
              <w:rPr>
                <w:rFonts w:ascii="Times New Roman" w:hAnsi="Times New Roman"/>
                <w:b/>
                <w:sz w:val="20"/>
                <w:szCs w:val="20"/>
                <w:vertAlign w:val="superscript"/>
              </w:rPr>
              <w:t>-1</w:t>
            </w:r>
            <w:r w:rsidRPr="00EE524E">
              <w:rPr>
                <w:rFonts w:ascii="Times New Roman" w:hAnsi="Times New Roman"/>
                <w:b/>
                <w:sz w:val="20"/>
                <w:szCs w:val="20"/>
              </w:rPr>
              <w:t>)/(10</w:t>
            </w:r>
            <w:r w:rsidRPr="00EE524E">
              <w:rPr>
                <w:rFonts w:ascii="Times New Roman" w:hAnsi="Times New Roman"/>
                <w:b/>
                <w:sz w:val="20"/>
                <w:szCs w:val="20"/>
                <w:vertAlign w:val="superscript"/>
              </w:rPr>
              <w:t>-13</w:t>
            </w:r>
            <w:r w:rsidRPr="00EE524E">
              <w:rPr>
                <w:rFonts w:ascii="Times New Roman" w:hAnsi="Times New Roman"/>
                <w:b/>
                <w:sz w:val="20"/>
                <w:szCs w:val="20"/>
              </w:rPr>
              <w:t>)</w:t>
            </w:r>
          </w:p>
        </w:tc>
      </w:tr>
      <w:tr w:rsidR="002656B8" w:rsidRPr="00EE524E" w:rsidTr="002656B8">
        <w:trPr>
          <w:trHeight w:val="56"/>
          <w:jc w:val="center"/>
        </w:trPr>
        <w:tc>
          <w:tcPr>
            <w:tcW w:w="0" w:type="auto"/>
            <w:tcBorders>
              <w:top w:val="single" w:sz="4" w:space="0" w:color="auto"/>
            </w:tcBorders>
            <w:shd w:val="clear" w:color="auto" w:fill="auto"/>
            <w:noWrap/>
            <w:hideMark/>
          </w:tcPr>
          <w:p w:rsidR="002656B8" w:rsidRPr="00EE524E" w:rsidRDefault="002656B8" w:rsidP="002656B8">
            <w:pPr>
              <w:spacing w:before="60" w:after="0" w:line="240" w:lineRule="auto"/>
              <w:rPr>
                <w:rFonts w:ascii="Times New Roman" w:hAnsi="Times New Roman"/>
                <w:sz w:val="20"/>
                <w:szCs w:val="20"/>
              </w:rPr>
            </w:pPr>
            <w:r w:rsidRPr="00EE524E">
              <w:rPr>
                <w:rFonts w:ascii="Times New Roman" w:hAnsi="Times New Roman"/>
                <w:sz w:val="20"/>
                <w:szCs w:val="20"/>
              </w:rPr>
              <w:t>Bare GCE</w:t>
            </w:r>
          </w:p>
        </w:tc>
        <w:tc>
          <w:tcPr>
            <w:tcW w:w="0" w:type="auto"/>
            <w:tcBorders>
              <w:top w:val="single" w:sz="4" w:space="0" w:color="auto"/>
            </w:tcBorders>
            <w:shd w:val="clear" w:color="auto" w:fill="auto"/>
            <w:hideMark/>
          </w:tcPr>
          <w:p w:rsidR="002656B8" w:rsidRPr="00EE524E" w:rsidRDefault="002656B8" w:rsidP="002656B8">
            <w:pPr>
              <w:spacing w:before="60" w:after="0" w:line="240" w:lineRule="auto"/>
              <w:jc w:val="center"/>
              <w:rPr>
                <w:rFonts w:ascii="Times New Roman" w:hAnsi="Times New Roman"/>
                <w:sz w:val="20"/>
                <w:szCs w:val="20"/>
              </w:rPr>
            </w:pPr>
            <w:r w:rsidRPr="00EE524E">
              <w:rPr>
                <w:rFonts w:ascii="Times New Roman" w:hAnsi="Times New Roman"/>
                <w:sz w:val="20"/>
                <w:szCs w:val="20"/>
              </w:rPr>
              <w:t>0.35</w:t>
            </w:r>
          </w:p>
        </w:tc>
        <w:tc>
          <w:tcPr>
            <w:tcW w:w="0" w:type="auto"/>
            <w:tcBorders>
              <w:top w:val="single" w:sz="4" w:space="0" w:color="auto"/>
            </w:tcBorders>
            <w:shd w:val="clear" w:color="auto" w:fill="auto"/>
            <w:noWrap/>
            <w:hideMark/>
          </w:tcPr>
          <w:p w:rsidR="002656B8" w:rsidRPr="00EE524E" w:rsidRDefault="002656B8" w:rsidP="002656B8">
            <w:pPr>
              <w:spacing w:before="60" w:after="0" w:line="240" w:lineRule="auto"/>
              <w:jc w:val="center"/>
              <w:rPr>
                <w:rFonts w:ascii="Times New Roman" w:hAnsi="Times New Roman"/>
                <w:sz w:val="20"/>
                <w:szCs w:val="20"/>
              </w:rPr>
            </w:pPr>
            <w:r w:rsidRPr="00EE524E">
              <w:rPr>
                <w:rFonts w:ascii="Times New Roman" w:hAnsi="Times New Roman"/>
                <w:sz w:val="20"/>
                <w:szCs w:val="20"/>
              </w:rPr>
              <w:t>2.03</w:t>
            </w:r>
          </w:p>
        </w:tc>
        <w:tc>
          <w:tcPr>
            <w:tcW w:w="0" w:type="auto"/>
            <w:tcBorders>
              <w:top w:val="single" w:sz="4" w:space="0" w:color="auto"/>
            </w:tcBorders>
            <w:shd w:val="clear" w:color="auto" w:fill="auto"/>
            <w:noWrap/>
            <w:hideMark/>
          </w:tcPr>
          <w:p w:rsidR="002656B8" w:rsidRPr="00EE524E" w:rsidRDefault="002656B8" w:rsidP="002656B8">
            <w:pPr>
              <w:spacing w:before="60" w:after="0" w:line="240" w:lineRule="auto"/>
              <w:jc w:val="center"/>
              <w:rPr>
                <w:rFonts w:ascii="Times New Roman" w:hAnsi="Times New Roman"/>
                <w:sz w:val="20"/>
                <w:szCs w:val="20"/>
              </w:rPr>
            </w:pPr>
            <w:r w:rsidRPr="00EE524E">
              <w:rPr>
                <w:rFonts w:ascii="Times New Roman" w:hAnsi="Times New Roman"/>
                <w:sz w:val="20"/>
                <w:szCs w:val="20"/>
              </w:rPr>
              <w:t>1.39</w:t>
            </w:r>
          </w:p>
        </w:tc>
      </w:tr>
      <w:tr w:rsidR="002656B8" w:rsidRPr="00EE524E" w:rsidTr="00953256">
        <w:trPr>
          <w:trHeight w:val="66"/>
          <w:jc w:val="center"/>
        </w:trPr>
        <w:tc>
          <w:tcPr>
            <w:tcW w:w="0" w:type="auto"/>
            <w:shd w:val="clear" w:color="auto" w:fill="auto"/>
            <w:noWrap/>
            <w:hideMark/>
          </w:tcPr>
          <w:p w:rsidR="002656B8" w:rsidRPr="00EE524E" w:rsidRDefault="002656B8" w:rsidP="002656B8">
            <w:pPr>
              <w:spacing w:before="60" w:after="0" w:line="240" w:lineRule="auto"/>
              <w:rPr>
                <w:rFonts w:ascii="Times New Roman" w:hAnsi="Times New Roman"/>
                <w:sz w:val="20"/>
                <w:szCs w:val="20"/>
              </w:rPr>
            </w:pPr>
            <w:r w:rsidRPr="00EE524E">
              <w:rPr>
                <w:rFonts w:ascii="Times New Roman" w:hAnsi="Times New Roman"/>
                <w:sz w:val="20"/>
                <w:szCs w:val="20"/>
              </w:rPr>
              <w:t>rGO</w:t>
            </w:r>
          </w:p>
        </w:tc>
        <w:tc>
          <w:tcPr>
            <w:tcW w:w="0" w:type="auto"/>
            <w:shd w:val="clear" w:color="auto" w:fill="auto"/>
            <w:noWrap/>
            <w:hideMark/>
          </w:tcPr>
          <w:p w:rsidR="002656B8" w:rsidRPr="00EE524E" w:rsidRDefault="002656B8" w:rsidP="002656B8">
            <w:pPr>
              <w:spacing w:before="60" w:after="0" w:line="240" w:lineRule="auto"/>
              <w:jc w:val="center"/>
              <w:rPr>
                <w:rFonts w:ascii="Times New Roman" w:hAnsi="Times New Roman"/>
                <w:sz w:val="20"/>
                <w:szCs w:val="20"/>
              </w:rPr>
            </w:pPr>
            <w:r w:rsidRPr="00EE524E">
              <w:rPr>
                <w:rFonts w:ascii="Times New Roman" w:hAnsi="Times New Roman"/>
                <w:sz w:val="20"/>
                <w:szCs w:val="20"/>
              </w:rPr>
              <w:t>0.35</w:t>
            </w:r>
          </w:p>
        </w:tc>
        <w:tc>
          <w:tcPr>
            <w:tcW w:w="0" w:type="auto"/>
            <w:shd w:val="clear" w:color="auto" w:fill="auto"/>
            <w:noWrap/>
            <w:hideMark/>
          </w:tcPr>
          <w:p w:rsidR="002656B8" w:rsidRPr="00EE524E" w:rsidRDefault="002656B8" w:rsidP="002656B8">
            <w:pPr>
              <w:spacing w:before="60" w:after="0" w:line="240" w:lineRule="auto"/>
              <w:jc w:val="center"/>
              <w:rPr>
                <w:rFonts w:ascii="Times New Roman" w:hAnsi="Times New Roman"/>
                <w:sz w:val="20"/>
                <w:szCs w:val="20"/>
              </w:rPr>
            </w:pPr>
            <w:r w:rsidRPr="00EE524E">
              <w:rPr>
                <w:rFonts w:ascii="Times New Roman" w:hAnsi="Times New Roman"/>
                <w:sz w:val="20"/>
                <w:szCs w:val="20"/>
              </w:rPr>
              <w:t>3.18</w:t>
            </w:r>
          </w:p>
        </w:tc>
        <w:tc>
          <w:tcPr>
            <w:tcW w:w="0" w:type="auto"/>
            <w:shd w:val="clear" w:color="auto" w:fill="auto"/>
            <w:noWrap/>
            <w:hideMark/>
          </w:tcPr>
          <w:p w:rsidR="002656B8" w:rsidRPr="00EE524E" w:rsidRDefault="002656B8" w:rsidP="002656B8">
            <w:pPr>
              <w:spacing w:before="60" w:after="0" w:line="240" w:lineRule="auto"/>
              <w:jc w:val="center"/>
              <w:rPr>
                <w:rFonts w:ascii="Times New Roman" w:hAnsi="Times New Roman"/>
                <w:sz w:val="20"/>
                <w:szCs w:val="20"/>
              </w:rPr>
            </w:pPr>
            <w:r w:rsidRPr="00EE524E">
              <w:rPr>
                <w:rFonts w:ascii="Times New Roman" w:hAnsi="Times New Roman"/>
                <w:sz w:val="20"/>
                <w:szCs w:val="20"/>
              </w:rPr>
              <w:t>3.42</w:t>
            </w:r>
          </w:p>
        </w:tc>
      </w:tr>
      <w:tr w:rsidR="002656B8" w:rsidRPr="00EE524E" w:rsidTr="002656B8">
        <w:trPr>
          <w:trHeight w:val="66"/>
          <w:jc w:val="center"/>
        </w:trPr>
        <w:tc>
          <w:tcPr>
            <w:tcW w:w="0" w:type="auto"/>
            <w:shd w:val="clear" w:color="auto" w:fill="auto"/>
            <w:noWrap/>
            <w:hideMark/>
          </w:tcPr>
          <w:p w:rsidR="002656B8" w:rsidRPr="00EE524E" w:rsidRDefault="002656B8" w:rsidP="002656B8">
            <w:pPr>
              <w:spacing w:before="60" w:after="0" w:line="240" w:lineRule="auto"/>
              <w:rPr>
                <w:rFonts w:ascii="Times New Roman" w:hAnsi="Times New Roman"/>
                <w:sz w:val="20"/>
                <w:szCs w:val="20"/>
              </w:rPr>
            </w:pPr>
            <w:r w:rsidRPr="00EE524E">
              <w:rPr>
                <w:rFonts w:ascii="Times New Roman" w:hAnsi="Times New Roman"/>
                <w:sz w:val="20"/>
                <w:szCs w:val="20"/>
              </w:rPr>
              <w:t>Fe</w:t>
            </w:r>
            <w:r w:rsidRPr="00EE524E">
              <w:rPr>
                <w:rFonts w:ascii="Times New Roman" w:hAnsi="Times New Roman"/>
                <w:sz w:val="20"/>
                <w:szCs w:val="20"/>
                <w:vertAlign w:val="subscript"/>
              </w:rPr>
              <w:t>3</w:t>
            </w:r>
            <w:r w:rsidRPr="00EE524E">
              <w:rPr>
                <w:rFonts w:ascii="Times New Roman" w:hAnsi="Times New Roman"/>
                <w:sz w:val="20"/>
                <w:szCs w:val="20"/>
              </w:rPr>
              <w:t>O</w:t>
            </w:r>
            <w:r w:rsidRPr="00EE524E">
              <w:rPr>
                <w:rFonts w:ascii="Times New Roman" w:hAnsi="Times New Roman"/>
                <w:sz w:val="20"/>
                <w:szCs w:val="20"/>
                <w:vertAlign w:val="subscript"/>
              </w:rPr>
              <w:t>4</w:t>
            </w:r>
          </w:p>
        </w:tc>
        <w:tc>
          <w:tcPr>
            <w:tcW w:w="0" w:type="auto"/>
            <w:shd w:val="clear" w:color="auto" w:fill="auto"/>
            <w:noWrap/>
            <w:hideMark/>
          </w:tcPr>
          <w:p w:rsidR="002656B8" w:rsidRPr="00EE524E" w:rsidRDefault="002656B8" w:rsidP="002656B8">
            <w:pPr>
              <w:spacing w:before="60" w:after="0" w:line="240" w:lineRule="auto"/>
              <w:jc w:val="center"/>
              <w:rPr>
                <w:rFonts w:ascii="Times New Roman" w:hAnsi="Times New Roman"/>
                <w:sz w:val="20"/>
                <w:szCs w:val="20"/>
              </w:rPr>
            </w:pPr>
            <w:r w:rsidRPr="00EE524E">
              <w:rPr>
                <w:rFonts w:ascii="Times New Roman" w:hAnsi="Times New Roman"/>
                <w:sz w:val="20"/>
                <w:szCs w:val="20"/>
              </w:rPr>
              <w:t>0.35</w:t>
            </w:r>
          </w:p>
        </w:tc>
        <w:tc>
          <w:tcPr>
            <w:tcW w:w="0" w:type="auto"/>
            <w:shd w:val="clear" w:color="auto" w:fill="auto"/>
            <w:noWrap/>
            <w:hideMark/>
          </w:tcPr>
          <w:p w:rsidR="002656B8" w:rsidRPr="00EE524E" w:rsidRDefault="002656B8" w:rsidP="002656B8">
            <w:pPr>
              <w:spacing w:before="60" w:after="0" w:line="240" w:lineRule="auto"/>
              <w:jc w:val="center"/>
              <w:rPr>
                <w:rFonts w:ascii="Times New Roman" w:hAnsi="Times New Roman"/>
                <w:sz w:val="20"/>
                <w:szCs w:val="20"/>
              </w:rPr>
            </w:pPr>
            <w:r w:rsidRPr="00EE524E">
              <w:rPr>
                <w:rFonts w:ascii="Times New Roman" w:hAnsi="Times New Roman"/>
                <w:sz w:val="20"/>
                <w:szCs w:val="20"/>
              </w:rPr>
              <w:t>2.64</w:t>
            </w:r>
          </w:p>
        </w:tc>
        <w:tc>
          <w:tcPr>
            <w:tcW w:w="0" w:type="auto"/>
            <w:shd w:val="clear" w:color="auto" w:fill="auto"/>
            <w:noWrap/>
            <w:hideMark/>
          </w:tcPr>
          <w:p w:rsidR="002656B8" w:rsidRPr="00EE524E" w:rsidRDefault="002656B8" w:rsidP="002656B8">
            <w:pPr>
              <w:spacing w:before="60" w:after="0" w:line="240" w:lineRule="auto"/>
              <w:jc w:val="center"/>
              <w:rPr>
                <w:rFonts w:ascii="Times New Roman" w:hAnsi="Times New Roman"/>
                <w:sz w:val="20"/>
                <w:szCs w:val="20"/>
              </w:rPr>
            </w:pPr>
            <w:r w:rsidRPr="00EE524E">
              <w:rPr>
                <w:rFonts w:ascii="Times New Roman" w:hAnsi="Times New Roman"/>
                <w:sz w:val="20"/>
                <w:szCs w:val="20"/>
              </w:rPr>
              <w:t>2.35</w:t>
            </w:r>
          </w:p>
        </w:tc>
      </w:tr>
      <w:tr w:rsidR="002656B8" w:rsidRPr="00EE524E" w:rsidTr="002656B8">
        <w:trPr>
          <w:trHeight w:val="66"/>
          <w:jc w:val="center"/>
        </w:trPr>
        <w:tc>
          <w:tcPr>
            <w:tcW w:w="0" w:type="auto"/>
            <w:tcBorders>
              <w:bottom w:val="single" w:sz="4" w:space="0" w:color="auto"/>
            </w:tcBorders>
            <w:shd w:val="clear" w:color="auto" w:fill="auto"/>
            <w:noWrap/>
            <w:hideMark/>
          </w:tcPr>
          <w:p w:rsidR="002656B8" w:rsidRPr="00EE524E" w:rsidRDefault="002656B8" w:rsidP="002656B8">
            <w:pPr>
              <w:spacing w:before="60" w:after="60" w:line="240" w:lineRule="auto"/>
              <w:rPr>
                <w:rFonts w:ascii="Times New Roman" w:hAnsi="Times New Roman"/>
                <w:sz w:val="20"/>
                <w:szCs w:val="20"/>
              </w:rPr>
            </w:pPr>
            <w:r w:rsidRPr="00EE524E">
              <w:rPr>
                <w:rFonts w:ascii="Times New Roman" w:hAnsi="Times New Roman"/>
                <w:sz w:val="20"/>
                <w:szCs w:val="20"/>
              </w:rPr>
              <w:t>Fe</w:t>
            </w:r>
            <w:r w:rsidRPr="00EE524E">
              <w:rPr>
                <w:rFonts w:ascii="Times New Roman" w:hAnsi="Times New Roman"/>
                <w:sz w:val="20"/>
                <w:szCs w:val="20"/>
                <w:vertAlign w:val="subscript"/>
              </w:rPr>
              <w:t>3</w:t>
            </w:r>
            <w:r w:rsidRPr="00EE524E">
              <w:rPr>
                <w:rFonts w:ascii="Times New Roman" w:hAnsi="Times New Roman"/>
                <w:sz w:val="20"/>
                <w:szCs w:val="20"/>
              </w:rPr>
              <w:t>O</w:t>
            </w:r>
            <w:r w:rsidRPr="00EE524E">
              <w:rPr>
                <w:rFonts w:ascii="Times New Roman" w:hAnsi="Times New Roman"/>
                <w:sz w:val="20"/>
                <w:szCs w:val="20"/>
                <w:vertAlign w:val="subscript"/>
              </w:rPr>
              <w:t>4</w:t>
            </w:r>
            <w:r w:rsidRPr="00EE524E">
              <w:rPr>
                <w:rFonts w:ascii="Times New Roman" w:hAnsi="Times New Roman"/>
                <w:sz w:val="20"/>
                <w:szCs w:val="20"/>
              </w:rPr>
              <w:t>-rGO</w:t>
            </w:r>
          </w:p>
        </w:tc>
        <w:tc>
          <w:tcPr>
            <w:tcW w:w="0" w:type="auto"/>
            <w:tcBorders>
              <w:bottom w:val="single" w:sz="4" w:space="0" w:color="auto"/>
            </w:tcBorders>
            <w:shd w:val="clear" w:color="auto" w:fill="auto"/>
            <w:noWrap/>
            <w:hideMark/>
          </w:tcPr>
          <w:p w:rsidR="002656B8" w:rsidRPr="00EE524E" w:rsidRDefault="002656B8" w:rsidP="002656B8">
            <w:pPr>
              <w:spacing w:before="60" w:after="60" w:line="240" w:lineRule="auto"/>
              <w:jc w:val="center"/>
              <w:rPr>
                <w:rFonts w:ascii="Times New Roman" w:hAnsi="Times New Roman"/>
                <w:sz w:val="20"/>
                <w:szCs w:val="20"/>
              </w:rPr>
            </w:pPr>
            <w:r w:rsidRPr="00EE524E">
              <w:rPr>
                <w:rFonts w:ascii="Times New Roman" w:hAnsi="Times New Roman"/>
                <w:sz w:val="20"/>
                <w:szCs w:val="20"/>
              </w:rPr>
              <w:t>0.35</w:t>
            </w:r>
          </w:p>
        </w:tc>
        <w:tc>
          <w:tcPr>
            <w:tcW w:w="0" w:type="auto"/>
            <w:tcBorders>
              <w:bottom w:val="single" w:sz="4" w:space="0" w:color="auto"/>
            </w:tcBorders>
            <w:shd w:val="clear" w:color="auto" w:fill="auto"/>
            <w:noWrap/>
            <w:hideMark/>
          </w:tcPr>
          <w:p w:rsidR="002656B8" w:rsidRPr="00EE524E" w:rsidRDefault="002656B8" w:rsidP="002656B8">
            <w:pPr>
              <w:spacing w:before="60" w:after="60" w:line="240" w:lineRule="auto"/>
              <w:jc w:val="center"/>
              <w:rPr>
                <w:rFonts w:ascii="Times New Roman" w:hAnsi="Times New Roman"/>
                <w:sz w:val="20"/>
                <w:szCs w:val="20"/>
              </w:rPr>
            </w:pPr>
            <w:r w:rsidRPr="00EE524E">
              <w:rPr>
                <w:rFonts w:ascii="Times New Roman" w:hAnsi="Times New Roman"/>
                <w:sz w:val="20"/>
                <w:szCs w:val="20"/>
              </w:rPr>
              <w:t>3.68</w:t>
            </w:r>
          </w:p>
        </w:tc>
        <w:tc>
          <w:tcPr>
            <w:tcW w:w="0" w:type="auto"/>
            <w:tcBorders>
              <w:bottom w:val="single" w:sz="4" w:space="0" w:color="auto"/>
            </w:tcBorders>
            <w:shd w:val="clear" w:color="auto" w:fill="auto"/>
            <w:noWrap/>
            <w:hideMark/>
          </w:tcPr>
          <w:p w:rsidR="002656B8" w:rsidRPr="00EE524E" w:rsidRDefault="002656B8" w:rsidP="002656B8">
            <w:pPr>
              <w:spacing w:before="60" w:after="60" w:line="240" w:lineRule="auto"/>
              <w:jc w:val="center"/>
              <w:rPr>
                <w:rFonts w:ascii="Times New Roman" w:hAnsi="Times New Roman"/>
                <w:sz w:val="20"/>
                <w:szCs w:val="20"/>
              </w:rPr>
            </w:pPr>
            <w:r w:rsidRPr="00EE524E">
              <w:rPr>
                <w:rFonts w:ascii="Times New Roman" w:hAnsi="Times New Roman"/>
                <w:sz w:val="20"/>
                <w:szCs w:val="20"/>
              </w:rPr>
              <w:t>4.57</w:t>
            </w:r>
          </w:p>
        </w:tc>
      </w:tr>
    </w:tbl>
    <w:p w:rsidR="002656B8" w:rsidRPr="00EE524E" w:rsidRDefault="002656B8" w:rsidP="002656B8">
      <w:pPr>
        <w:spacing w:after="120" w:line="240" w:lineRule="auto"/>
        <w:jc w:val="both"/>
        <w:rPr>
          <w:rFonts w:ascii="Times New Roman" w:hAnsi="Times New Roman"/>
          <w:sz w:val="20"/>
          <w:szCs w:val="20"/>
        </w:rPr>
      </w:pPr>
    </w:p>
    <w:p w:rsidR="002656B8" w:rsidRPr="00EE524E" w:rsidRDefault="002656B8" w:rsidP="002656B8">
      <w:pPr>
        <w:spacing w:after="0" w:line="240" w:lineRule="auto"/>
        <w:jc w:val="both"/>
        <w:rPr>
          <w:rFonts w:ascii="Times New Roman" w:hAnsi="Times New Roman"/>
          <w:sz w:val="20"/>
          <w:szCs w:val="20"/>
        </w:rPr>
      </w:pPr>
      <w:r w:rsidRPr="00EE524E">
        <w:rPr>
          <w:rFonts w:ascii="Times New Roman" w:hAnsi="Times New Roman"/>
          <w:sz w:val="20"/>
          <w:szCs w:val="20"/>
        </w:rPr>
        <w:t>The optimum condition used to investigate the electrochemical behavior of UA was then performed based on the three parameters chosen for voltammetric detection purpose. The effect of scan rate, analyte concentration and pH of the supporting electrolyte were focused for any enhancement effect in the UA oxidation signal. The improved signal to noise ratio can be helpful in defining the UA content in the urine sample, which can be said equally important in recovery, precision and accuracy study that accounts for the repeatability as well as reproducibility. The conventional 3-electrode system was applied in parameter optimization with modified electrode Fe</w:t>
      </w:r>
      <w:r w:rsidRPr="00EE524E">
        <w:rPr>
          <w:rFonts w:ascii="Times New Roman" w:hAnsi="Times New Roman"/>
          <w:sz w:val="20"/>
          <w:szCs w:val="20"/>
          <w:vertAlign w:val="subscript"/>
        </w:rPr>
        <w:t>3</w:t>
      </w:r>
      <w:r w:rsidRPr="00EE524E">
        <w:rPr>
          <w:rFonts w:ascii="Times New Roman" w:hAnsi="Times New Roman"/>
          <w:sz w:val="20"/>
          <w:szCs w:val="20"/>
        </w:rPr>
        <w:t>O</w:t>
      </w:r>
      <w:r w:rsidRPr="00EE524E">
        <w:rPr>
          <w:rFonts w:ascii="Times New Roman" w:hAnsi="Times New Roman"/>
          <w:sz w:val="20"/>
          <w:szCs w:val="20"/>
          <w:vertAlign w:val="subscript"/>
        </w:rPr>
        <w:t>4</w:t>
      </w:r>
      <w:r w:rsidRPr="00EE524E">
        <w:rPr>
          <w:rFonts w:ascii="Times New Roman" w:hAnsi="Times New Roman"/>
          <w:sz w:val="20"/>
          <w:szCs w:val="20"/>
        </w:rPr>
        <w:t xml:space="preserve">/rGO/GCE as the working electrode and a 2 mm diameter platinum rod dedicated as counter electrode in complement to silver/silver chloride, Ag/AgCl (KCl=3.0M). </w:t>
      </w:r>
    </w:p>
    <w:p w:rsidR="002656B8" w:rsidRPr="00EE524E" w:rsidRDefault="002656B8" w:rsidP="002656B8">
      <w:pPr>
        <w:spacing w:after="0" w:line="240" w:lineRule="auto"/>
        <w:jc w:val="both"/>
        <w:rPr>
          <w:rFonts w:ascii="Times New Roman" w:hAnsi="Times New Roman"/>
          <w:sz w:val="20"/>
          <w:szCs w:val="20"/>
        </w:rPr>
      </w:pPr>
    </w:p>
    <w:p w:rsidR="002656B8" w:rsidRDefault="002656B8" w:rsidP="002656B8">
      <w:pPr>
        <w:spacing w:after="0" w:line="240" w:lineRule="auto"/>
        <w:jc w:val="both"/>
        <w:rPr>
          <w:rFonts w:ascii="Times New Roman" w:hAnsi="Times New Roman"/>
          <w:sz w:val="20"/>
          <w:szCs w:val="20"/>
        </w:rPr>
      </w:pPr>
      <w:r w:rsidRPr="00EE524E">
        <w:rPr>
          <w:rFonts w:ascii="Times New Roman" w:hAnsi="Times New Roman"/>
          <w:sz w:val="20"/>
          <w:szCs w:val="20"/>
        </w:rPr>
        <w:t>The scan rate selected for cyclic voltammetry detection of UA ranging from 50 mVs</w:t>
      </w:r>
      <w:r w:rsidRPr="00EE524E">
        <w:rPr>
          <w:rFonts w:ascii="Times New Roman" w:hAnsi="Times New Roman"/>
          <w:sz w:val="20"/>
          <w:szCs w:val="20"/>
          <w:vertAlign w:val="superscript"/>
        </w:rPr>
        <w:t>-1`</w:t>
      </w:r>
      <w:r w:rsidRPr="00EE524E">
        <w:rPr>
          <w:rFonts w:ascii="Times New Roman" w:hAnsi="Times New Roman"/>
          <w:sz w:val="20"/>
          <w:szCs w:val="20"/>
        </w:rPr>
        <w:t xml:space="preserve"> to 250 mVs</w:t>
      </w:r>
      <w:r w:rsidRPr="00EE524E">
        <w:rPr>
          <w:rFonts w:ascii="Times New Roman" w:hAnsi="Times New Roman"/>
          <w:sz w:val="20"/>
          <w:szCs w:val="20"/>
          <w:vertAlign w:val="superscript"/>
        </w:rPr>
        <w:t>-1</w:t>
      </w:r>
      <w:r w:rsidRPr="00EE524E">
        <w:rPr>
          <w:rFonts w:ascii="Times New Roman" w:hAnsi="Times New Roman"/>
          <w:sz w:val="20"/>
          <w:szCs w:val="20"/>
        </w:rPr>
        <w:t xml:space="preserve"> with a 50 mVs</w:t>
      </w:r>
      <w:r w:rsidRPr="00EE524E">
        <w:rPr>
          <w:rFonts w:ascii="Times New Roman" w:hAnsi="Times New Roman"/>
          <w:sz w:val="20"/>
          <w:szCs w:val="20"/>
          <w:vertAlign w:val="superscript"/>
        </w:rPr>
        <w:t>1</w:t>
      </w:r>
      <w:r w:rsidRPr="00EE524E">
        <w:rPr>
          <w:rFonts w:ascii="Times New Roman" w:hAnsi="Times New Roman"/>
          <w:sz w:val="20"/>
          <w:szCs w:val="20"/>
        </w:rPr>
        <w:t xml:space="preserve"> as the increment constant at each running cycles (n = 6). The instrument calibration factor and diagnostic test was </w:t>
      </w:r>
      <w:r w:rsidRPr="00EE524E">
        <w:rPr>
          <w:rFonts w:ascii="Times New Roman" w:hAnsi="Times New Roman"/>
          <w:sz w:val="20"/>
          <w:szCs w:val="20"/>
        </w:rPr>
        <w:lastRenderedPageBreak/>
        <w:t>performed before running the experiment. The electroanalysis profile selected in procedure and configuration was fixed with 5 mV step potential and starting potential of 0.15 V. The cyclic voltammogram displayed in Figure 5(a) revealed the effect of scan rate variation on the peak current recorded for the UA oxidation process. Table 3 depicted that increasing the scan rate from 50 mVs</w:t>
      </w:r>
      <w:r w:rsidRPr="00EE524E">
        <w:rPr>
          <w:rFonts w:ascii="Times New Roman" w:hAnsi="Times New Roman"/>
          <w:sz w:val="20"/>
          <w:szCs w:val="20"/>
          <w:vertAlign w:val="superscript"/>
        </w:rPr>
        <w:t>-1</w:t>
      </w:r>
      <w:r w:rsidRPr="00EE524E">
        <w:rPr>
          <w:rFonts w:ascii="Times New Roman" w:hAnsi="Times New Roman"/>
          <w:sz w:val="20"/>
          <w:szCs w:val="20"/>
        </w:rPr>
        <w:t xml:space="preserve"> to 250 mVs</w:t>
      </w:r>
      <w:r w:rsidRPr="00EE524E">
        <w:rPr>
          <w:rFonts w:ascii="Times New Roman" w:hAnsi="Times New Roman"/>
          <w:sz w:val="20"/>
          <w:szCs w:val="20"/>
          <w:vertAlign w:val="superscript"/>
        </w:rPr>
        <w:t>-1</w:t>
      </w:r>
      <w:r w:rsidRPr="00EE524E">
        <w:rPr>
          <w:rFonts w:ascii="Times New Roman" w:hAnsi="Times New Roman"/>
          <w:sz w:val="20"/>
          <w:szCs w:val="20"/>
        </w:rPr>
        <w:t xml:space="preserve"> positively shifts the peak potential from 0.356 V to 0.367 V. Correspondingly, the scan rate variation increases linearly with the diffusion coefficient, D calculated that facilitated the flux movement and diminishing of diffusion layer grow in an electrode process. This gradually shift in peak potential ascribed to UA oxidation implying the consequence of kinetic limitation happened between the active edges of the Fe</w:t>
      </w:r>
      <w:r w:rsidRPr="00EE524E">
        <w:rPr>
          <w:rFonts w:ascii="Times New Roman" w:hAnsi="Times New Roman"/>
          <w:sz w:val="20"/>
          <w:szCs w:val="20"/>
          <w:vertAlign w:val="subscript"/>
        </w:rPr>
        <w:t>3</w:t>
      </w:r>
      <w:r w:rsidRPr="00EE524E">
        <w:rPr>
          <w:rFonts w:ascii="Times New Roman" w:hAnsi="Times New Roman"/>
          <w:sz w:val="20"/>
          <w:szCs w:val="20"/>
        </w:rPr>
        <w:t>O</w:t>
      </w:r>
      <w:r w:rsidRPr="00EE524E">
        <w:rPr>
          <w:rFonts w:ascii="Times New Roman" w:hAnsi="Times New Roman"/>
          <w:sz w:val="20"/>
          <w:szCs w:val="20"/>
          <w:vertAlign w:val="subscript"/>
        </w:rPr>
        <w:t>4</w:t>
      </w:r>
      <w:r w:rsidRPr="00EE524E">
        <w:rPr>
          <w:rFonts w:ascii="Times New Roman" w:hAnsi="Times New Roman"/>
          <w:sz w:val="20"/>
          <w:szCs w:val="20"/>
        </w:rPr>
        <w:t xml:space="preserve">/rGO decorated on the GCE surface and UA molecules </w:t>
      </w:r>
      <w:r w:rsidRPr="00EE524E">
        <w:rPr>
          <w:rFonts w:ascii="Times New Roman" w:hAnsi="Times New Roman"/>
          <w:sz w:val="20"/>
          <w:szCs w:val="20"/>
        </w:rPr>
        <w:fldChar w:fldCharType="begin" w:fldLock="1"/>
      </w:r>
      <w:r w:rsidRPr="00EE524E">
        <w:rPr>
          <w:rFonts w:ascii="Times New Roman" w:hAnsi="Times New Roman"/>
          <w:sz w:val="20"/>
          <w:szCs w:val="20"/>
        </w:rPr>
        <w:instrText>ADDIN CSL_CITATION {"citationItems":[{"id":"ITEM-1","itemData":{"DOI":"10.1039/C4AY00043A","ISBN":"1759-9660","ISSN":"1759-9660","abstract":"An electrochemically reduced graphene oxide modified glassy carbon electrode with good sensitivity and selectivity was developed and applied for sensing AA, DA and UA.","author":[{"dropping-particle":"","family":"Aneesh","given":"Padamadathil K.","non-dropping-particle":"","parse-names":false,"suffix":""},{"dropping-particle":"","family":"Nambiar","given":"Sindhu R.","non-dropping-particle":"","parse-names":false,"suffix":""},{"dropping-particle":"","family":"Rao","given":"Talasila P.","non-dropping-particle":"","parse-names":false,"suffix":""},{"dropping-particle":"","family":"Ajayaghosh","given":"Ayyappanpillai","non-dropping-particle":"","parse-names":false,"suffix":""}],"container-title":"Anal. Methods","id":"ITEM-1","issue":"14","issued":{"date-parts":[["2014"]]},"page":"5322-5330","title":"Electrochemically synthesized partially reduced graphene oxide modified glassy carbon electrode for individual and simultaneous voltammetric determination of ascorbic acid, dopamine and uric acid","type":"article-journal","volume":"6"},"uris":["http://www.mendeley.com/documents/?uuid=d187bd16-7934-4915-8424-f8af2ab1ccd8","http://www.mendeley.com/documents/?uuid=c98bc278-0476-40f4-85a5-055d4c23d9cf"]}],"mendeley":{"formattedCitation":"[24]","manualFormatting":"[24]","plainTextFormattedCitation":"[24]","previouslyFormattedCitation":"[24]"},"properties":{"noteIndex":0},"schema":"https://github.com/citation-style-language/schema/raw/master/csl-citation.json"}</w:instrText>
      </w:r>
      <w:r w:rsidRPr="00EE524E">
        <w:rPr>
          <w:rFonts w:ascii="Times New Roman" w:hAnsi="Times New Roman"/>
          <w:sz w:val="20"/>
          <w:szCs w:val="20"/>
        </w:rPr>
        <w:fldChar w:fldCharType="separate"/>
      </w:r>
      <w:r w:rsidRPr="00EE524E">
        <w:rPr>
          <w:rFonts w:ascii="Times New Roman" w:hAnsi="Times New Roman"/>
          <w:noProof/>
          <w:sz w:val="20"/>
          <w:szCs w:val="20"/>
        </w:rPr>
        <w:t>[24]</w:t>
      </w:r>
      <w:r w:rsidRPr="00EE524E">
        <w:rPr>
          <w:rFonts w:ascii="Times New Roman" w:hAnsi="Times New Roman"/>
          <w:sz w:val="20"/>
          <w:szCs w:val="20"/>
        </w:rPr>
        <w:fldChar w:fldCharType="end"/>
      </w:r>
      <w:r w:rsidRPr="00EE524E">
        <w:rPr>
          <w:rFonts w:ascii="Times New Roman" w:hAnsi="Times New Roman"/>
          <w:sz w:val="20"/>
          <w:szCs w:val="20"/>
        </w:rPr>
        <w:t xml:space="preserve">. The linearity relationship between the peak current value recorded and variation of scan rate defined the characteristic of a surface adsorption-limiting process </w:t>
      </w:r>
      <w:r w:rsidRPr="00EE524E">
        <w:rPr>
          <w:rFonts w:ascii="Times New Roman" w:hAnsi="Times New Roman"/>
          <w:sz w:val="20"/>
          <w:szCs w:val="20"/>
        </w:rPr>
        <w:fldChar w:fldCharType="begin" w:fldLock="1"/>
      </w:r>
      <w:r w:rsidRPr="00EE524E">
        <w:rPr>
          <w:rFonts w:ascii="Times New Roman" w:hAnsi="Times New Roman"/>
          <w:sz w:val="20"/>
          <w:szCs w:val="20"/>
        </w:rPr>
        <w:instrText>ADDIN CSL_CITATION {"citationItems":[{"id":"ITEM-1","itemData":{"ISBN":"1452-3981","ISSN":"14523981","abstract":"The synthesis of Ba0.5Sr0.5Co0.8Fe0.2O3-delta (BSCF) using citrate-EDTA complexing method was carried out at pH 5, 7 and 9. Their suitability as cathode materials for intermediate temperature solid oxide fuel cells (SOFC) was investigated. The BSCF solutions was heated to 100 degrees C yielding a metal-citrate-nitrate gel complex precursor which was later calcined at 1000 degrees C for a period of 4 hours to produce the BSCF powder. The X-ray diffraction pattern of the calcined powder showed that it had undergone a complete phase formation. It was found that the pH value was crucial for the chelation process as well as for the purity of the phase obtained. The BSCF with a compact particle arrangement was obtained at pH 9. The nitrogen adsorption studies indicated that the BSCF powders had a mixture of microporous and mesoporous particles. Analysis by thermogravimetry revealed that the weight loss resulted from the oxygen-releasing capacity of the BSCF structure. The largest surface area was observed for BSCF powders prepared at pH 9. The BSCF at pH 9 prepared at various solution volumes was deposited on a glassy carbon electrode and characterized electrochemically. Cyclic voltammograms showed that the amount of BSCF deposited influenced the electron transfer, mass transport and capacitance behavior. Electrochemical impedance spectroscopy indicated that the electrode process was favorable.","author":[{"dropping-particle":"","family":"Yusoff","given":"Farhanini","non-dropping-particle":"","parse-names":false,"suffix":""},{"dropping-particle":"","family":"Aziz","given":"Azizan","non-dropping-particle":"","parse-names":false,"suffix":""},{"dropping-particle":"","family":"Mohamed","given":"Norita","non-dropping-particle":"","parse-names":false,"suffix":""},{"dropping-particle":"","family":"Ab Ghani","given":"Sulaiman","non-dropping-particle":"","parse-names":false,"suffix":""}],"container-title":"International Journal of Electrochemical Science","id":"ITEM-1","issue":"8","issued":{"date-parts":[["2013"]]},"page":"10672-10687","title":"Synthesis and characterizations of BSCF at different ph as future cathode materials for fuel cell","type":"article-journal","volume":"8"},"uris":["http://www.mendeley.com/documents/?uuid=88826443-78ea-4391-ba67-f1b4de0a739d"]}],"mendeley":{"formattedCitation":"[28]","manualFormatting":"[28]","plainTextFormattedCitation":"[28]","previouslyFormattedCitation":"[28]"},"properties":{"noteIndex":0},"schema":"https://github.com/citation-style-language/schema/raw/master/csl-citation.json"}</w:instrText>
      </w:r>
      <w:r w:rsidRPr="00EE524E">
        <w:rPr>
          <w:rFonts w:ascii="Times New Roman" w:hAnsi="Times New Roman"/>
          <w:sz w:val="20"/>
          <w:szCs w:val="20"/>
        </w:rPr>
        <w:fldChar w:fldCharType="separate"/>
      </w:r>
      <w:r w:rsidRPr="00EE524E">
        <w:rPr>
          <w:rFonts w:ascii="Times New Roman" w:hAnsi="Times New Roman"/>
          <w:noProof/>
          <w:sz w:val="20"/>
          <w:szCs w:val="20"/>
        </w:rPr>
        <w:t>[27]</w:t>
      </w:r>
      <w:r w:rsidRPr="00EE524E">
        <w:rPr>
          <w:rFonts w:ascii="Times New Roman" w:hAnsi="Times New Roman"/>
          <w:sz w:val="20"/>
          <w:szCs w:val="20"/>
        </w:rPr>
        <w:fldChar w:fldCharType="end"/>
      </w:r>
      <w:r w:rsidRPr="00EE524E">
        <w:rPr>
          <w:rFonts w:ascii="Times New Roman" w:hAnsi="Times New Roman"/>
          <w:sz w:val="20"/>
          <w:szCs w:val="20"/>
        </w:rPr>
        <w:t xml:space="preserve">. </w:t>
      </w:r>
    </w:p>
    <w:p w:rsidR="002656B8" w:rsidRDefault="002656B8" w:rsidP="00311C9B">
      <w:pPr>
        <w:spacing w:after="120" w:line="240" w:lineRule="auto"/>
        <w:jc w:val="both"/>
        <w:rPr>
          <w:rFonts w:ascii="Times New Roman" w:hAnsi="Times New Roman"/>
          <w:noProof/>
          <w:sz w:val="20"/>
          <w:szCs w:val="20"/>
          <w:lang w:bidi="ar-SA"/>
        </w:rPr>
      </w:pPr>
    </w:p>
    <w:p w:rsidR="00311C9B" w:rsidRDefault="00F329CE" w:rsidP="00032789">
      <w:pPr>
        <w:spacing w:after="120" w:line="240" w:lineRule="auto"/>
        <w:jc w:val="center"/>
        <w:rPr>
          <w:rFonts w:ascii="Times New Roman" w:hAnsi="Times New Roman"/>
          <w:noProof/>
          <w:sz w:val="20"/>
          <w:szCs w:val="20"/>
          <w:lang w:bidi="ar-SA"/>
        </w:rPr>
      </w:pPr>
      <w:r>
        <w:rPr>
          <w:rFonts w:ascii="Times New Roman" w:hAnsi="Times New Roman"/>
          <w:noProof/>
          <w:sz w:val="20"/>
          <w:szCs w:val="20"/>
          <w:lang w:bidi="ar-SA"/>
        </w:rPr>
        <w:drawing>
          <wp:inline distT="0" distB="0" distL="0" distR="0">
            <wp:extent cx="4410075" cy="3552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png"/>
                    <pic:cNvPicPr/>
                  </pic:nvPicPr>
                  <pic:blipFill>
                    <a:blip r:embed="rId15">
                      <a:extLst>
                        <a:ext uri="{28A0092B-C50C-407E-A947-70E740481C1C}">
                          <a14:useLocalDpi xmlns:a14="http://schemas.microsoft.com/office/drawing/2010/main" val="0"/>
                        </a:ext>
                      </a:extLst>
                    </a:blip>
                    <a:stretch>
                      <a:fillRect/>
                    </a:stretch>
                  </pic:blipFill>
                  <pic:spPr>
                    <a:xfrm>
                      <a:off x="0" y="0"/>
                      <a:ext cx="4410075" cy="3552825"/>
                    </a:xfrm>
                    <a:prstGeom prst="rect">
                      <a:avLst/>
                    </a:prstGeom>
                  </pic:spPr>
                </pic:pic>
              </a:graphicData>
            </a:graphic>
          </wp:inline>
        </w:drawing>
      </w:r>
    </w:p>
    <w:p w:rsidR="00032789" w:rsidRPr="00DC4C68" w:rsidRDefault="00032789" w:rsidP="00032789">
      <w:pPr>
        <w:spacing w:after="0" w:line="240" w:lineRule="auto"/>
        <w:ind w:left="900" w:hanging="900"/>
        <w:jc w:val="both"/>
        <w:rPr>
          <w:rFonts w:ascii="Times New Roman" w:hAnsi="Times New Roman"/>
          <w:iCs/>
          <w:sz w:val="20"/>
          <w:szCs w:val="24"/>
        </w:rPr>
      </w:pPr>
      <w:r w:rsidRPr="00DC4C68">
        <w:rPr>
          <w:rFonts w:ascii="Times New Roman" w:hAnsi="Times New Roman"/>
          <w:iCs/>
          <w:sz w:val="20"/>
          <w:szCs w:val="24"/>
        </w:rPr>
        <w:t xml:space="preserve">Figure 5. </w:t>
      </w:r>
      <w:r>
        <w:rPr>
          <w:rFonts w:ascii="Times New Roman" w:hAnsi="Times New Roman"/>
          <w:iCs/>
          <w:sz w:val="20"/>
          <w:szCs w:val="24"/>
        </w:rPr>
        <w:t xml:space="preserve">  </w:t>
      </w:r>
      <w:r>
        <w:rPr>
          <w:rFonts w:ascii="Times New Roman" w:hAnsi="Times New Roman"/>
          <w:iCs/>
          <w:sz w:val="20"/>
          <w:szCs w:val="24"/>
        </w:rPr>
        <w:tab/>
      </w:r>
      <w:r w:rsidRPr="00DC4C68">
        <w:rPr>
          <w:rFonts w:ascii="Times New Roman" w:hAnsi="Times New Roman"/>
          <w:iCs/>
          <w:sz w:val="20"/>
          <w:szCs w:val="24"/>
        </w:rPr>
        <w:t>(a) Cyclic voltammogram of 400μM UA standard measured at different scan rate (50- 250mVs-</w:t>
      </w:r>
      <w:r w:rsidRPr="00DC4C68">
        <w:rPr>
          <w:rFonts w:ascii="Times New Roman" w:hAnsi="Times New Roman"/>
          <w:iCs/>
          <w:sz w:val="20"/>
          <w:szCs w:val="24"/>
          <w:vertAlign w:val="superscript"/>
        </w:rPr>
        <w:t>1</w:t>
      </w:r>
      <w:r w:rsidRPr="00DC4C68">
        <w:rPr>
          <w:rFonts w:ascii="Times New Roman" w:hAnsi="Times New Roman"/>
          <w:iCs/>
          <w:sz w:val="20"/>
          <w:szCs w:val="24"/>
        </w:rPr>
        <w:t>) and (b) Plot of peak current against scan rate and (c) Randles-Sevcik plot for diffusion coeffient determination</w:t>
      </w:r>
    </w:p>
    <w:p w:rsidR="006C5FBD" w:rsidRDefault="006C5FBD" w:rsidP="006C5FBD">
      <w:pPr>
        <w:spacing w:after="0" w:line="240" w:lineRule="auto"/>
        <w:jc w:val="center"/>
        <w:rPr>
          <w:rFonts w:ascii="Times New Roman" w:hAnsi="Times New Roman"/>
          <w:noProof/>
          <w:sz w:val="20"/>
          <w:szCs w:val="20"/>
          <w:lang w:bidi="ar-SA"/>
        </w:rPr>
      </w:pPr>
    </w:p>
    <w:p w:rsidR="00311C9B" w:rsidRDefault="00311C9B" w:rsidP="006C5FBD">
      <w:pPr>
        <w:spacing w:after="0" w:line="240" w:lineRule="auto"/>
        <w:jc w:val="center"/>
        <w:rPr>
          <w:rFonts w:ascii="Times New Roman" w:hAnsi="Times New Roman"/>
          <w:noProof/>
          <w:sz w:val="20"/>
          <w:szCs w:val="20"/>
          <w:lang w:bidi="ar-SA"/>
        </w:rPr>
      </w:pPr>
    </w:p>
    <w:p w:rsidR="00311C9B" w:rsidRPr="00EE524E" w:rsidRDefault="00311C9B" w:rsidP="00311C9B">
      <w:pPr>
        <w:spacing w:after="120" w:line="240" w:lineRule="auto"/>
        <w:jc w:val="center"/>
        <w:rPr>
          <w:rFonts w:ascii="Times New Roman" w:hAnsi="Times New Roman"/>
          <w:iCs/>
          <w:sz w:val="20"/>
          <w:szCs w:val="20"/>
        </w:rPr>
      </w:pPr>
      <w:bookmarkStart w:id="9" w:name="_Toc532052062"/>
      <w:r w:rsidRPr="00EE524E">
        <w:rPr>
          <w:rFonts w:ascii="Times New Roman" w:hAnsi="Times New Roman"/>
          <w:iCs/>
          <w:sz w:val="20"/>
          <w:szCs w:val="20"/>
        </w:rPr>
        <w:t>Table 3.</w:t>
      </w:r>
      <w:r>
        <w:rPr>
          <w:rFonts w:ascii="Times New Roman" w:hAnsi="Times New Roman"/>
          <w:iCs/>
          <w:sz w:val="20"/>
          <w:szCs w:val="20"/>
        </w:rPr>
        <w:t xml:space="preserve"> </w:t>
      </w:r>
      <w:r w:rsidRPr="00EE524E">
        <w:rPr>
          <w:rFonts w:ascii="Times New Roman" w:hAnsi="Times New Roman"/>
          <w:iCs/>
          <w:sz w:val="20"/>
          <w:szCs w:val="20"/>
        </w:rPr>
        <w:t xml:space="preserve"> Scan rate variations and its related properties measurement result</w:t>
      </w:r>
      <w:bookmarkEnd w:id="9"/>
    </w:p>
    <w:tbl>
      <w:tblPr>
        <w:tblStyle w:val="ListTable6Colorful1"/>
        <w:tblW w:w="8291" w:type="dxa"/>
        <w:jc w:val="center"/>
        <w:tblLook w:val="04A0" w:firstRow="1" w:lastRow="0" w:firstColumn="1" w:lastColumn="0" w:noHBand="0" w:noVBand="1"/>
      </w:tblPr>
      <w:tblGrid>
        <w:gridCol w:w="1047"/>
        <w:gridCol w:w="1673"/>
        <w:gridCol w:w="1691"/>
        <w:gridCol w:w="1978"/>
        <w:gridCol w:w="1902"/>
      </w:tblGrid>
      <w:tr w:rsidR="00311C9B" w:rsidRPr="00EE524E" w:rsidTr="00953256">
        <w:trPr>
          <w:cnfStyle w:val="100000000000" w:firstRow="1" w:lastRow="0" w:firstColumn="0" w:lastColumn="0" w:oddVBand="0" w:evenVBand="0" w:oddHBand="0"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1047" w:type="dxa"/>
            <w:tcBorders>
              <w:top w:val="single" w:sz="4" w:space="0" w:color="auto"/>
              <w:bottom w:val="single" w:sz="4" w:space="0" w:color="auto"/>
            </w:tcBorders>
            <w:shd w:val="clear" w:color="auto" w:fill="auto"/>
            <w:noWrap/>
            <w:hideMark/>
          </w:tcPr>
          <w:p w:rsidR="00311C9B" w:rsidRPr="00EE524E" w:rsidRDefault="00311C9B" w:rsidP="00953256">
            <w:pPr>
              <w:spacing w:before="60" w:after="0" w:line="240" w:lineRule="auto"/>
              <w:rPr>
                <w:rFonts w:ascii="Times New Roman" w:hAnsi="Times New Roman" w:cs="Times New Roman"/>
                <w:b w:val="0"/>
                <w:bCs w:val="0"/>
                <w:color w:val="auto"/>
                <w:sz w:val="20"/>
                <w:szCs w:val="20"/>
              </w:rPr>
            </w:pPr>
            <w:r w:rsidRPr="00EE524E">
              <w:rPr>
                <w:rFonts w:ascii="Times New Roman" w:hAnsi="Times New Roman" w:cs="Times New Roman"/>
                <w:color w:val="auto"/>
                <w:sz w:val="20"/>
                <w:szCs w:val="20"/>
              </w:rPr>
              <w:t xml:space="preserve">Scan Rate </w:t>
            </w:r>
          </w:p>
          <w:p w:rsidR="00311C9B" w:rsidRPr="00EE524E" w:rsidRDefault="00311C9B" w:rsidP="00953256">
            <w:pPr>
              <w:spacing w:after="60" w:line="240" w:lineRule="auto"/>
              <w:rPr>
                <w:rFonts w:ascii="Times New Roman" w:hAnsi="Times New Roman" w:cs="Times New Roman"/>
                <w:color w:val="auto"/>
                <w:sz w:val="20"/>
                <w:szCs w:val="20"/>
              </w:rPr>
            </w:pPr>
            <w:r w:rsidRPr="00EE524E">
              <w:rPr>
                <w:rFonts w:ascii="Times New Roman" w:hAnsi="Times New Roman" w:cs="Times New Roman"/>
                <w:color w:val="auto"/>
                <w:sz w:val="20"/>
                <w:szCs w:val="20"/>
              </w:rPr>
              <w:t>(mV s</w:t>
            </w:r>
            <w:r w:rsidRPr="00EE524E">
              <w:rPr>
                <w:rFonts w:ascii="Times New Roman" w:hAnsi="Times New Roman" w:cs="Times New Roman"/>
                <w:color w:val="auto"/>
                <w:sz w:val="20"/>
                <w:szCs w:val="20"/>
                <w:vertAlign w:val="superscript"/>
              </w:rPr>
              <w:t>-1</w:t>
            </w:r>
            <w:r w:rsidRPr="00EE524E">
              <w:rPr>
                <w:rFonts w:ascii="Times New Roman" w:hAnsi="Times New Roman" w:cs="Times New Roman"/>
                <w:color w:val="auto"/>
                <w:sz w:val="20"/>
                <w:szCs w:val="20"/>
              </w:rPr>
              <w:t>)</w:t>
            </w:r>
          </w:p>
        </w:tc>
        <w:tc>
          <w:tcPr>
            <w:tcW w:w="1673" w:type="dxa"/>
            <w:tcBorders>
              <w:top w:val="single" w:sz="4" w:space="0" w:color="auto"/>
              <w:bottom w:val="single" w:sz="4" w:space="0" w:color="auto"/>
            </w:tcBorders>
            <w:shd w:val="clear" w:color="auto" w:fill="auto"/>
            <w:noWrap/>
            <w:hideMark/>
          </w:tcPr>
          <w:p w:rsidR="00311C9B" w:rsidRPr="00EE524E" w:rsidRDefault="00311C9B" w:rsidP="00953256">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EE524E">
              <w:rPr>
                <w:rFonts w:ascii="Times New Roman" w:hAnsi="Times New Roman" w:cs="Times New Roman"/>
                <w:color w:val="auto"/>
                <w:sz w:val="20"/>
                <w:szCs w:val="20"/>
              </w:rPr>
              <w:t>Anodic Peak Potential,</w:t>
            </w:r>
          </w:p>
          <w:p w:rsidR="00311C9B" w:rsidRPr="00EE524E" w:rsidRDefault="00311C9B" w:rsidP="00953256">
            <w:pPr>
              <w:spacing w:after="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E524E">
              <w:rPr>
                <w:rFonts w:ascii="Times New Roman" w:hAnsi="Times New Roman" w:cs="Times New Roman"/>
                <w:color w:val="auto"/>
                <w:sz w:val="20"/>
                <w:szCs w:val="20"/>
              </w:rPr>
              <w:t>E</w:t>
            </w:r>
            <w:r w:rsidRPr="00EE524E">
              <w:rPr>
                <w:rFonts w:ascii="Times New Roman" w:hAnsi="Times New Roman" w:cs="Times New Roman"/>
                <w:color w:val="auto"/>
                <w:sz w:val="20"/>
                <w:szCs w:val="20"/>
                <w:vertAlign w:val="subscript"/>
              </w:rPr>
              <w:t>pa</w:t>
            </w:r>
            <w:r w:rsidRPr="00EE524E">
              <w:rPr>
                <w:rFonts w:ascii="Times New Roman" w:hAnsi="Times New Roman" w:cs="Times New Roman"/>
                <w:color w:val="auto"/>
                <w:sz w:val="20"/>
                <w:szCs w:val="20"/>
              </w:rPr>
              <w:t xml:space="preserve"> (v)</w:t>
            </w:r>
          </w:p>
        </w:tc>
        <w:tc>
          <w:tcPr>
            <w:tcW w:w="1691" w:type="dxa"/>
            <w:tcBorders>
              <w:top w:val="single" w:sz="4" w:space="0" w:color="auto"/>
              <w:bottom w:val="single" w:sz="4" w:space="0" w:color="auto"/>
            </w:tcBorders>
            <w:shd w:val="clear" w:color="auto" w:fill="auto"/>
            <w:noWrap/>
            <w:hideMark/>
          </w:tcPr>
          <w:p w:rsidR="00311C9B" w:rsidRPr="00EE524E" w:rsidRDefault="00311C9B" w:rsidP="00953256">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EE524E">
              <w:rPr>
                <w:rFonts w:ascii="Times New Roman" w:hAnsi="Times New Roman" w:cs="Times New Roman"/>
                <w:color w:val="auto"/>
                <w:sz w:val="20"/>
                <w:szCs w:val="20"/>
              </w:rPr>
              <w:t>Anodic Peak Current,</w:t>
            </w:r>
          </w:p>
          <w:p w:rsidR="00311C9B" w:rsidRPr="00EE524E" w:rsidRDefault="00311C9B" w:rsidP="00953256">
            <w:pPr>
              <w:spacing w:after="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E524E">
              <w:rPr>
                <w:rFonts w:ascii="Times New Roman" w:hAnsi="Times New Roman" w:cs="Times New Roman"/>
                <w:color w:val="auto"/>
                <w:sz w:val="20"/>
                <w:szCs w:val="20"/>
              </w:rPr>
              <w:t>I</w:t>
            </w:r>
            <w:r w:rsidRPr="00EE524E">
              <w:rPr>
                <w:rFonts w:ascii="Times New Roman" w:hAnsi="Times New Roman" w:cs="Times New Roman"/>
                <w:color w:val="auto"/>
                <w:sz w:val="20"/>
                <w:szCs w:val="20"/>
                <w:vertAlign w:val="subscript"/>
              </w:rPr>
              <w:t>pa</w:t>
            </w:r>
            <w:r w:rsidRPr="00EE524E">
              <w:rPr>
                <w:rFonts w:ascii="Times New Roman" w:hAnsi="Times New Roman" w:cs="Times New Roman"/>
                <w:color w:val="auto"/>
                <w:sz w:val="20"/>
                <w:szCs w:val="20"/>
              </w:rPr>
              <w:t xml:space="preserve"> (A)/(10</w:t>
            </w:r>
            <w:r w:rsidRPr="00EE524E">
              <w:rPr>
                <w:rFonts w:ascii="Times New Roman" w:hAnsi="Times New Roman" w:cs="Times New Roman"/>
                <w:color w:val="auto"/>
                <w:sz w:val="20"/>
                <w:szCs w:val="20"/>
                <w:vertAlign w:val="superscript"/>
              </w:rPr>
              <w:t>-6</w:t>
            </w:r>
            <w:r w:rsidRPr="00EE524E">
              <w:rPr>
                <w:rFonts w:ascii="Times New Roman" w:hAnsi="Times New Roman" w:cs="Times New Roman"/>
                <w:color w:val="auto"/>
                <w:sz w:val="20"/>
                <w:szCs w:val="20"/>
              </w:rPr>
              <w:t>)</w:t>
            </w:r>
          </w:p>
        </w:tc>
        <w:tc>
          <w:tcPr>
            <w:tcW w:w="1978" w:type="dxa"/>
            <w:tcBorders>
              <w:top w:val="single" w:sz="4" w:space="0" w:color="auto"/>
              <w:bottom w:val="single" w:sz="4" w:space="0" w:color="auto"/>
            </w:tcBorders>
            <w:shd w:val="clear" w:color="auto" w:fill="auto"/>
            <w:noWrap/>
            <w:hideMark/>
          </w:tcPr>
          <w:p w:rsidR="00311C9B" w:rsidRDefault="00311C9B" w:rsidP="00953256">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E524E">
              <w:rPr>
                <w:rFonts w:ascii="Times New Roman" w:hAnsi="Times New Roman" w:cs="Times New Roman"/>
                <w:color w:val="auto"/>
                <w:sz w:val="20"/>
                <w:szCs w:val="20"/>
              </w:rPr>
              <w:t xml:space="preserve">Square Root of </w:t>
            </w:r>
          </w:p>
          <w:p w:rsidR="00311C9B" w:rsidRPr="00EE524E" w:rsidRDefault="00311C9B" w:rsidP="0095325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E524E">
              <w:rPr>
                <w:rFonts w:ascii="Times New Roman" w:hAnsi="Times New Roman" w:cs="Times New Roman"/>
                <w:color w:val="auto"/>
                <w:sz w:val="20"/>
                <w:szCs w:val="20"/>
              </w:rPr>
              <w:t>Scan Rate</w:t>
            </w:r>
          </w:p>
          <w:p w:rsidR="00311C9B" w:rsidRPr="00EE524E" w:rsidRDefault="00311C9B" w:rsidP="00953256">
            <w:pPr>
              <w:spacing w:after="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E524E">
              <w:rPr>
                <w:rFonts w:ascii="Times New Roman" w:hAnsi="Times New Roman" w:cs="Times New Roman"/>
                <w:color w:val="auto"/>
                <w:sz w:val="20"/>
                <w:szCs w:val="20"/>
              </w:rPr>
              <w:t>( V</w:t>
            </w:r>
            <w:r w:rsidRPr="00EE524E">
              <w:rPr>
                <w:rFonts w:ascii="Times New Roman" w:hAnsi="Times New Roman" w:cs="Times New Roman"/>
                <w:color w:val="auto"/>
                <w:sz w:val="20"/>
                <w:szCs w:val="20"/>
                <w:vertAlign w:val="superscript"/>
              </w:rPr>
              <w:t>1/2</w:t>
            </w:r>
            <w:r w:rsidRPr="00EE524E">
              <w:rPr>
                <w:rFonts w:ascii="Times New Roman" w:hAnsi="Times New Roman" w:cs="Times New Roman"/>
                <w:color w:val="auto"/>
                <w:sz w:val="20"/>
                <w:szCs w:val="20"/>
              </w:rPr>
              <w:t xml:space="preserve"> s</w:t>
            </w:r>
            <w:r w:rsidRPr="00EE524E">
              <w:rPr>
                <w:rFonts w:ascii="Times New Roman" w:hAnsi="Times New Roman" w:cs="Times New Roman"/>
                <w:color w:val="auto"/>
                <w:sz w:val="20"/>
                <w:szCs w:val="20"/>
                <w:vertAlign w:val="superscript"/>
              </w:rPr>
              <w:t>-1/2</w:t>
            </w:r>
            <w:r w:rsidRPr="00EE524E">
              <w:rPr>
                <w:rFonts w:ascii="Times New Roman" w:hAnsi="Times New Roman" w:cs="Times New Roman"/>
                <w:color w:val="auto"/>
                <w:sz w:val="20"/>
                <w:szCs w:val="20"/>
              </w:rPr>
              <w:t>)</w:t>
            </w:r>
          </w:p>
        </w:tc>
        <w:tc>
          <w:tcPr>
            <w:tcW w:w="1902" w:type="dxa"/>
            <w:tcBorders>
              <w:top w:val="single" w:sz="4" w:space="0" w:color="auto"/>
              <w:bottom w:val="single" w:sz="4" w:space="0" w:color="auto"/>
            </w:tcBorders>
            <w:shd w:val="clear" w:color="auto" w:fill="auto"/>
            <w:noWrap/>
            <w:hideMark/>
          </w:tcPr>
          <w:p w:rsidR="00311C9B" w:rsidRPr="00EE524E" w:rsidRDefault="00311C9B" w:rsidP="00953256">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E524E">
              <w:rPr>
                <w:rFonts w:ascii="Times New Roman" w:hAnsi="Times New Roman" w:cs="Times New Roman"/>
                <w:color w:val="auto"/>
                <w:sz w:val="20"/>
                <w:szCs w:val="20"/>
              </w:rPr>
              <w:t>Diffusion Coefficient</w:t>
            </w:r>
          </w:p>
          <w:p w:rsidR="00311C9B" w:rsidRPr="00EE524E" w:rsidRDefault="00311C9B" w:rsidP="00953256">
            <w:pPr>
              <w:spacing w:after="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E524E">
              <w:rPr>
                <w:rFonts w:ascii="Times New Roman" w:hAnsi="Times New Roman" w:cs="Times New Roman"/>
                <w:color w:val="auto"/>
                <w:sz w:val="20"/>
                <w:szCs w:val="20"/>
              </w:rPr>
              <w:t>(cm</w:t>
            </w:r>
            <w:r w:rsidRPr="00EE524E">
              <w:rPr>
                <w:rFonts w:ascii="Times New Roman" w:hAnsi="Times New Roman" w:cs="Times New Roman"/>
                <w:color w:val="auto"/>
                <w:sz w:val="20"/>
                <w:szCs w:val="20"/>
                <w:vertAlign w:val="superscript"/>
              </w:rPr>
              <w:t>2</w:t>
            </w:r>
            <w:r w:rsidRPr="00EE524E">
              <w:rPr>
                <w:rFonts w:ascii="Times New Roman" w:hAnsi="Times New Roman" w:cs="Times New Roman"/>
                <w:color w:val="auto"/>
                <w:sz w:val="20"/>
                <w:szCs w:val="20"/>
              </w:rPr>
              <w:t xml:space="preserve"> s</w:t>
            </w:r>
            <w:r w:rsidRPr="00EE524E">
              <w:rPr>
                <w:rFonts w:ascii="Times New Roman" w:hAnsi="Times New Roman" w:cs="Times New Roman"/>
                <w:color w:val="auto"/>
                <w:sz w:val="20"/>
                <w:szCs w:val="20"/>
                <w:vertAlign w:val="superscript"/>
              </w:rPr>
              <w:t>-1</w:t>
            </w:r>
            <w:r w:rsidRPr="00EE524E">
              <w:rPr>
                <w:rFonts w:ascii="Times New Roman" w:hAnsi="Times New Roman" w:cs="Times New Roman"/>
                <w:color w:val="auto"/>
                <w:sz w:val="20"/>
                <w:szCs w:val="20"/>
              </w:rPr>
              <w:t>)/(10</w:t>
            </w:r>
            <w:r w:rsidRPr="00EE524E">
              <w:rPr>
                <w:rFonts w:ascii="Times New Roman" w:hAnsi="Times New Roman" w:cs="Times New Roman"/>
                <w:color w:val="auto"/>
                <w:sz w:val="20"/>
                <w:szCs w:val="20"/>
                <w:vertAlign w:val="superscript"/>
              </w:rPr>
              <w:t>-13</w:t>
            </w:r>
            <w:r w:rsidRPr="00EE524E">
              <w:rPr>
                <w:rFonts w:ascii="Times New Roman" w:hAnsi="Times New Roman" w:cs="Times New Roman"/>
                <w:color w:val="auto"/>
                <w:sz w:val="20"/>
                <w:szCs w:val="20"/>
              </w:rPr>
              <w:t>)</w:t>
            </w:r>
          </w:p>
        </w:tc>
      </w:tr>
      <w:tr w:rsidR="00311C9B" w:rsidRPr="00EE524E" w:rsidTr="00953256">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1047" w:type="dxa"/>
            <w:tcBorders>
              <w:top w:val="single" w:sz="4" w:space="0" w:color="auto"/>
            </w:tcBorders>
            <w:shd w:val="clear" w:color="auto" w:fill="auto"/>
            <w:noWrap/>
            <w:hideMark/>
          </w:tcPr>
          <w:p w:rsidR="00311C9B" w:rsidRPr="00EE524E" w:rsidRDefault="00311C9B" w:rsidP="00953256">
            <w:pPr>
              <w:spacing w:before="60" w:after="0" w:line="240" w:lineRule="auto"/>
              <w:rPr>
                <w:rFonts w:ascii="Times New Roman" w:hAnsi="Times New Roman" w:cs="Times New Roman"/>
                <w:b w:val="0"/>
                <w:color w:val="auto"/>
                <w:sz w:val="20"/>
                <w:szCs w:val="20"/>
              </w:rPr>
            </w:pPr>
            <w:r w:rsidRPr="00EE524E">
              <w:rPr>
                <w:rFonts w:ascii="Times New Roman" w:hAnsi="Times New Roman" w:cs="Times New Roman"/>
                <w:b w:val="0"/>
                <w:color w:val="auto"/>
                <w:sz w:val="20"/>
                <w:szCs w:val="20"/>
              </w:rPr>
              <w:t>50</w:t>
            </w:r>
          </w:p>
        </w:tc>
        <w:tc>
          <w:tcPr>
            <w:tcW w:w="1673" w:type="dxa"/>
            <w:tcBorders>
              <w:top w:val="single" w:sz="4" w:space="0" w:color="auto"/>
            </w:tcBorders>
            <w:shd w:val="clear" w:color="auto" w:fill="auto"/>
            <w:hideMark/>
          </w:tcPr>
          <w:p w:rsidR="00311C9B" w:rsidRPr="00EE524E" w:rsidRDefault="00311C9B" w:rsidP="00953256">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E524E">
              <w:rPr>
                <w:rFonts w:ascii="Times New Roman" w:hAnsi="Times New Roman" w:cs="Times New Roman"/>
                <w:color w:val="auto"/>
                <w:sz w:val="20"/>
                <w:szCs w:val="20"/>
              </w:rPr>
              <w:t>0.356</w:t>
            </w:r>
          </w:p>
        </w:tc>
        <w:tc>
          <w:tcPr>
            <w:tcW w:w="1691" w:type="dxa"/>
            <w:tcBorders>
              <w:top w:val="single" w:sz="4" w:space="0" w:color="auto"/>
            </w:tcBorders>
            <w:shd w:val="clear" w:color="auto" w:fill="auto"/>
            <w:noWrap/>
            <w:hideMark/>
          </w:tcPr>
          <w:p w:rsidR="00311C9B" w:rsidRPr="00EE524E" w:rsidRDefault="00311C9B" w:rsidP="00953256">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E524E">
              <w:rPr>
                <w:rFonts w:ascii="Times New Roman" w:hAnsi="Times New Roman" w:cs="Times New Roman"/>
                <w:color w:val="auto"/>
                <w:sz w:val="20"/>
                <w:szCs w:val="20"/>
              </w:rPr>
              <w:t>2.65</w:t>
            </w:r>
          </w:p>
        </w:tc>
        <w:tc>
          <w:tcPr>
            <w:tcW w:w="1978" w:type="dxa"/>
            <w:tcBorders>
              <w:top w:val="single" w:sz="4" w:space="0" w:color="auto"/>
            </w:tcBorders>
            <w:shd w:val="clear" w:color="auto" w:fill="auto"/>
            <w:noWrap/>
            <w:hideMark/>
          </w:tcPr>
          <w:p w:rsidR="00311C9B" w:rsidRPr="00EE524E" w:rsidRDefault="00311C9B" w:rsidP="00953256">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E524E">
              <w:rPr>
                <w:rFonts w:ascii="Times New Roman" w:hAnsi="Times New Roman" w:cs="Times New Roman"/>
                <w:color w:val="auto"/>
                <w:sz w:val="20"/>
                <w:szCs w:val="20"/>
              </w:rPr>
              <w:t>0.224</w:t>
            </w:r>
          </w:p>
        </w:tc>
        <w:tc>
          <w:tcPr>
            <w:tcW w:w="1902" w:type="dxa"/>
            <w:tcBorders>
              <w:top w:val="single" w:sz="4" w:space="0" w:color="auto"/>
            </w:tcBorders>
            <w:shd w:val="clear" w:color="auto" w:fill="auto"/>
            <w:noWrap/>
            <w:hideMark/>
          </w:tcPr>
          <w:p w:rsidR="00311C9B" w:rsidRPr="00EE524E" w:rsidRDefault="00311C9B" w:rsidP="00953256">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E524E">
              <w:rPr>
                <w:rFonts w:ascii="Times New Roman" w:hAnsi="Times New Roman" w:cs="Times New Roman"/>
                <w:color w:val="auto"/>
                <w:sz w:val="20"/>
                <w:szCs w:val="20"/>
              </w:rPr>
              <w:t>2.378</w:t>
            </w:r>
          </w:p>
        </w:tc>
      </w:tr>
      <w:tr w:rsidR="00311C9B" w:rsidRPr="00EE524E" w:rsidTr="00953256">
        <w:trPr>
          <w:trHeight w:val="66"/>
          <w:jc w:val="center"/>
        </w:trPr>
        <w:tc>
          <w:tcPr>
            <w:cnfStyle w:val="001000000000" w:firstRow="0" w:lastRow="0" w:firstColumn="1" w:lastColumn="0" w:oddVBand="0" w:evenVBand="0" w:oddHBand="0" w:evenHBand="0" w:firstRowFirstColumn="0" w:firstRowLastColumn="0" w:lastRowFirstColumn="0" w:lastRowLastColumn="0"/>
            <w:tcW w:w="1047" w:type="dxa"/>
            <w:shd w:val="clear" w:color="auto" w:fill="auto"/>
            <w:noWrap/>
            <w:hideMark/>
          </w:tcPr>
          <w:p w:rsidR="00311C9B" w:rsidRPr="00EE524E" w:rsidRDefault="00311C9B" w:rsidP="00953256">
            <w:pPr>
              <w:spacing w:before="60" w:after="0" w:line="240" w:lineRule="auto"/>
              <w:rPr>
                <w:rFonts w:ascii="Times New Roman" w:hAnsi="Times New Roman" w:cs="Times New Roman"/>
                <w:b w:val="0"/>
                <w:color w:val="auto"/>
                <w:sz w:val="20"/>
                <w:szCs w:val="20"/>
              </w:rPr>
            </w:pPr>
            <w:r w:rsidRPr="00EE524E">
              <w:rPr>
                <w:rFonts w:ascii="Times New Roman" w:hAnsi="Times New Roman" w:cs="Times New Roman"/>
                <w:b w:val="0"/>
                <w:color w:val="auto"/>
                <w:sz w:val="20"/>
                <w:szCs w:val="20"/>
              </w:rPr>
              <w:t>100</w:t>
            </w:r>
          </w:p>
        </w:tc>
        <w:tc>
          <w:tcPr>
            <w:tcW w:w="1673" w:type="dxa"/>
            <w:shd w:val="clear" w:color="auto" w:fill="auto"/>
            <w:noWrap/>
            <w:hideMark/>
          </w:tcPr>
          <w:p w:rsidR="00311C9B" w:rsidRPr="00EE524E" w:rsidRDefault="00311C9B" w:rsidP="00953256">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E524E">
              <w:rPr>
                <w:rFonts w:ascii="Times New Roman" w:hAnsi="Times New Roman" w:cs="Times New Roman"/>
                <w:color w:val="auto"/>
                <w:sz w:val="20"/>
                <w:szCs w:val="20"/>
              </w:rPr>
              <w:t>0.359</w:t>
            </w:r>
          </w:p>
        </w:tc>
        <w:tc>
          <w:tcPr>
            <w:tcW w:w="1691" w:type="dxa"/>
            <w:shd w:val="clear" w:color="auto" w:fill="auto"/>
            <w:noWrap/>
            <w:hideMark/>
          </w:tcPr>
          <w:p w:rsidR="00311C9B" w:rsidRPr="00EE524E" w:rsidRDefault="00311C9B" w:rsidP="00953256">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E524E">
              <w:rPr>
                <w:rFonts w:ascii="Times New Roman" w:hAnsi="Times New Roman" w:cs="Times New Roman"/>
                <w:color w:val="auto"/>
                <w:sz w:val="20"/>
                <w:szCs w:val="20"/>
              </w:rPr>
              <w:t>4.32</w:t>
            </w:r>
          </w:p>
        </w:tc>
        <w:tc>
          <w:tcPr>
            <w:tcW w:w="1978" w:type="dxa"/>
            <w:shd w:val="clear" w:color="auto" w:fill="auto"/>
            <w:noWrap/>
            <w:hideMark/>
          </w:tcPr>
          <w:p w:rsidR="00311C9B" w:rsidRPr="00EE524E" w:rsidRDefault="00311C9B" w:rsidP="00953256">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E524E">
              <w:rPr>
                <w:rFonts w:ascii="Times New Roman" w:hAnsi="Times New Roman" w:cs="Times New Roman"/>
                <w:color w:val="auto"/>
                <w:sz w:val="20"/>
                <w:szCs w:val="20"/>
              </w:rPr>
              <w:t>0.316</w:t>
            </w:r>
          </w:p>
        </w:tc>
        <w:tc>
          <w:tcPr>
            <w:tcW w:w="1902" w:type="dxa"/>
            <w:shd w:val="clear" w:color="auto" w:fill="auto"/>
            <w:noWrap/>
            <w:hideMark/>
          </w:tcPr>
          <w:p w:rsidR="00311C9B" w:rsidRPr="00EE524E" w:rsidRDefault="00311C9B" w:rsidP="00953256">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E524E">
              <w:rPr>
                <w:rFonts w:ascii="Times New Roman" w:hAnsi="Times New Roman" w:cs="Times New Roman"/>
                <w:color w:val="auto"/>
                <w:sz w:val="20"/>
                <w:szCs w:val="20"/>
              </w:rPr>
              <w:t>6.290</w:t>
            </w:r>
          </w:p>
        </w:tc>
      </w:tr>
      <w:tr w:rsidR="00311C9B" w:rsidRPr="00EE524E" w:rsidTr="00953256">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1047" w:type="dxa"/>
            <w:shd w:val="clear" w:color="auto" w:fill="auto"/>
            <w:noWrap/>
            <w:hideMark/>
          </w:tcPr>
          <w:p w:rsidR="00311C9B" w:rsidRPr="00EE524E" w:rsidRDefault="00311C9B" w:rsidP="00953256">
            <w:pPr>
              <w:spacing w:before="60" w:after="0" w:line="240" w:lineRule="auto"/>
              <w:rPr>
                <w:rFonts w:ascii="Times New Roman" w:hAnsi="Times New Roman" w:cs="Times New Roman"/>
                <w:b w:val="0"/>
                <w:color w:val="auto"/>
                <w:sz w:val="20"/>
                <w:szCs w:val="20"/>
              </w:rPr>
            </w:pPr>
            <w:r w:rsidRPr="00EE524E">
              <w:rPr>
                <w:rFonts w:ascii="Times New Roman" w:hAnsi="Times New Roman" w:cs="Times New Roman"/>
                <w:b w:val="0"/>
                <w:color w:val="auto"/>
                <w:sz w:val="20"/>
                <w:szCs w:val="20"/>
              </w:rPr>
              <w:t>150</w:t>
            </w:r>
          </w:p>
        </w:tc>
        <w:tc>
          <w:tcPr>
            <w:tcW w:w="1673" w:type="dxa"/>
            <w:shd w:val="clear" w:color="auto" w:fill="auto"/>
            <w:noWrap/>
            <w:hideMark/>
          </w:tcPr>
          <w:p w:rsidR="00311C9B" w:rsidRPr="00EE524E" w:rsidRDefault="00311C9B" w:rsidP="00953256">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E524E">
              <w:rPr>
                <w:rFonts w:ascii="Times New Roman" w:hAnsi="Times New Roman" w:cs="Times New Roman"/>
                <w:color w:val="auto"/>
                <w:sz w:val="20"/>
                <w:szCs w:val="20"/>
              </w:rPr>
              <w:t>0.362</w:t>
            </w:r>
          </w:p>
        </w:tc>
        <w:tc>
          <w:tcPr>
            <w:tcW w:w="1691" w:type="dxa"/>
            <w:shd w:val="clear" w:color="auto" w:fill="auto"/>
            <w:noWrap/>
            <w:hideMark/>
          </w:tcPr>
          <w:p w:rsidR="00311C9B" w:rsidRPr="00EE524E" w:rsidRDefault="00311C9B" w:rsidP="00953256">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E524E">
              <w:rPr>
                <w:rFonts w:ascii="Times New Roman" w:hAnsi="Times New Roman" w:cs="Times New Roman"/>
                <w:color w:val="auto"/>
                <w:sz w:val="20"/>
                <w:szCs w:val="20"/>
              </w:rPr>
              <w:t>5.70</w:t>
            </w:r>
          </w:p>
        </w:tc>
        <w:tc>
          <w:tcPr>
            <w:tcW w:w="1978" w:type="dxa"/>
            <w:shd w:val="clear" w:color="auto" w:fill="auto"/>
            <w:noWrap/>
            <w:hideMark/>
          </w:tcPr>
          <w:p w:rsidR="00311C9B" w:rsidRPr="00EE524E" w:rsidRDefault="00311C9B" w:rsidP="00953256">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E524E">
              <w:rPr>
                <w:rFonts w:ascii="Times New Roman" w:hAnsi="Times New Roman" w:cs="Times New Roman"/>
                <w:color w:val="auto"/>
                <w:sz w:val="20"/>
                <w:szCs w:val="20"/>
              </w:rPr>
              <w:t>0.387</w:t>
            </w:r>
          </w:p>
        </w:tc>
        <w:tc>
          <w:tcPr>
            <w:tcW w:w="1902" w:type="dxa"/>
            <w:shd w:val="clear" w:color="auto" w:fill="auto"/>
            <w:noWrap/>
            <w:hideMark/>
          </w:tcPr>
          <w:p w:rsidR="00311C9B" w:rsidRPr="00EE524E" w:rsidRDefault="00311C9B" w:rsidP="00953256">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E524E">
              <w:rPr>
                <w:rFonts w:ascii="Times New Roman" w:hAnsi="Times New Roman" w:cs="Times New Roman"/>
                <w:color w:val="auto"/>
                <w:sz w:val="20"/>
                <w:szCs w:val="20"/>
              </w:rPr>
              <w:t>10.97</w:t>
            </w:r>
          </w:p>
        </w:tc>
      </w:tr>
      <w:tr w:rsidR="00311C9B" w:rsidRPr="00EE524E" w:rsidTr="00953256">
        <w:trPr>
          <w:trHeight w:val="66"/>
          <w:jc w:val="center"/>
        </w:trPr>
        <w:tc>
          <w:tcPr>
            <w:cnfStyle w:val="001000000000" w:firstRow="0" w:lastRow="0" w:firstColumn="1" w:lastColumn="0" w:oddVBand="0" w:evenVBand="0" w:oddHBand="0" w:evenHBand="0" w:firstRowFirstColumn="0" w:firstRowLastColumn="0" w:lastRowFirstColumn="0" w:lastRowLastColumn="0"/>
            <w:tcW w:w="1047" w:type="dxa"/>
            <w:tcBorders>
              <w:bottom w:val="nil"/>
            </w:tcBorders>
            <w:shd w:val="clear" w:color="auto" w:fill="auto"/>
            <w:noWrap/>
            <w:hideMark/>
          </w:tcPr>
          <w:p w:rsidR="00311C9B" w:rsidRPr="00EE524E" w:rsidRDefault="00311C9B" w:rsidP="00953256">
            <w:pPr>
              <w:spacing w:before="60" w:after="0" w:line="240" w:lineRule="auto"/>
              <w:rPr>
                <w:rFonts w:ascii="Times New Roman" w:hAnsi="Times New Roman" w:cs="Times New Roman"/>
                <w:b w:val="0"/>
                <w:color w:val="auto"/>
                <w:sz w:val="20"/>
                <w:szCs w:val="20"/>
              </w:rPr>
            </w:pPr>
            <w:r w:rsidRPr="00EE524E">
              <w:rPr>
                <w:rFonts w:ascii="Times New Roman" w:hAnsi="Times New Roman" w:cs="Times New Roman"/>
                <w:b w:val="0"/>
                <w:color w:val="auto"/>
                <w:sz w:val="20"/>
                <w:szCs w:val="20"/>
              </w:rPr>
              <w:t>200</w:t>
            </w:r>
          </w:p>
        </w:tc>
        <w:tc>
          <w:tcPr>
            <w:tcW w:w="1673" w:type="dxa"/>
            <w:tcBorders>
              <w:bottom w:val="nil"/>
            </w:tcBorders>
            <w:shd w:val="clear" w:color="auto" w:fill="auto"/>
            <w:noWrap/>
            <w:hideMark/>
          </w:tcPr>
          <w:p w:rsidR="00311C9B" w:rsidRPr="00EE524E" w:rsidRDefault="00311C9B" w:rsidP="00953256">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E524E">
              <w:rPr>
                <w:rFonts w:ascii="Times New Roman" w:hAnsi="Times New Roman" w:cs="Times New Roman"/>
                <w:color w:val="auto"/>
                <w:sz w:val="20"/>
                <w:szCs w:val="20"/>
              </w:rPr>
              <w:t>0.364</w:t>
            </w:r>
          </w:p>
        </w:tc>
        <w:tc>
          <w:tcPr>
            <w:tcW w:w="1691" w:type="dxa"/>
            <w:tcBorders>
              <w:bottom w:val="nil"/>
            </w:tcBorders>
            <w:shd w:val="clear" w:color="auto" w:fill="auto"/>
            <w:noWrap/>
            <w:hideMark/>
          </w:tcPr>
          <w:p w:rsidR="00311C9B" w:rsidRPr="00EE524E" w:rsidRDefault="00311C9B" w:rsidP="00953256">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E524E">
              <w:rPr>
                <w:rFonts w:ascii="Times New Roman" w:hAnsi="Times New Roman" w:cs="Times New Roman"/>
                <w:color w:val="auto"/>
                <w:sz w:val="20"/>
                <w:szCs w:val="20"/>
              </w:rPr>
              <w:t>6.81</w:t>
            </w:r>
          </w:p>
        </w:tc>
        <w:tc>
          <w:tcPr>
            <w:tcW w:w="1978" w:type="dxa"/>
            <w:tcBorders>
              <w:bottom w:val="nil"/>
            </w:tcBorders>
            <w:shd w:val="clear" w:color="auto" w:fill="auto"/>
            <w:noWrap/>
            <w:hideMark/>
          </w:tcPr>
          <w:p w:rsidR="00311C9B" w:rsidRPr="00EE524E" w:rsidRDefault="00311C9B" w:rsidP="00953256">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E524E">
              <w:rPr>
                <w:rFonts w:ascii="Times New Roman" w:hAnsi="Times New Roman" w:cs="Times New Roman"/>
                <w:color w:val="auto"/>
                <w:sz w:val="20"/>
                <w:szCs w:val="20"/>
              </w:rPr>
              <w:t>0.447</w:t>
            </w:r>
          </w:p>
        </w:tc>
        <w:tc>
          <w:tcPr>
            <w:tcW w:w="1902" w:type="dxa"/>
            <w:tcBorders>
              <w:bottom w:val="nil"/>
            </w:tcBorders>
            <w:shd w:val="clear" w:color="auto" w:fill="auto"/>
            <w:noWrap/>
            <w:hideMark/>
          </w:tcPr>
          <w:p w:rsidR="00311C9B" w:rsidRPr="00EE524E" w:rsidRDefault="00311C9B" w:rsidP="00953256">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EE524E">
              <w:rPr>
                <w:rFonts w:ascii="Times New Roman" w:hAnsi="Times New Roman" w:cs="Times New Roman"/>
                <w:color w:val="auto"/>
                <w:sz w:val="20"/>
                <w:szCs w:val="20"/>
              </w:rPr>
              <w:t>15.66</w:t>
            </w:r>
          </w:p>
        </w:tc>
      </w:tr>
      <w:tr w:rsidR="00311C9B" w:rsidRPr="00EE524E" w:rsidTr="00953256">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1047" w:type="dxa"/>
            <w:tcBorders>
              <w:top w:val="nil"/>
              <w:bottom w:val="single" w:sz="4" w:space="0" w:color="auto"/>
            </w:tcBorders>
            <w:shd w:val="clear" w:color="auto" w:fill="auto"/>
            <w:noWrap/>
            <w:hideMark/>
          </w:tcPr>
          <w:p w:rsidR="00311C9B" w:rsidRPr="00EE524E" w:rsidRDefault="00311C9B" w:rsidP="00953256">
            <w:pPr>
              <w:spacing w:before="60" w:after="60" w:line="240" w:lineRule="auto"/>
              <w:rPr>
                <w:rFonts w:ascii="Times New Roman" w:hAnsi="Times New Roman" w:cs="Times New Roman"/>
                <w:b w:val="0"/>
                <w:color w:val="auto"/>
                <w:sz w:val="20"/>
                <w:szCs w:val="20"/>
              </w:rPr>
            </w:pPr>
            <w:r w:rsidRPr="00EE524E">
              <w:rPr>
                <w:rFonts w:ascii="Times New Roman" w:hAnsi="Times New Roman" w:cs="Times New Roman"/>
                <w:b w:val="0"/>
                <w:color w:val="auto"/>
                <w:sz w:val="20"/>
                <w:szCs w:val="20"/>
              </w:rPr>
              <w:t>250</w:t>
            </w:r>
          </w:p>
        </w:tc>
        <w:tc>
          <w:tcPr>
            <w:tcW w:w="1673" w:type="dxa"/>
            <w:tcBorders>
              <w:top w:val="nil"/>
              <w:bottom w:val="single" w:sz="4" w:space="0" w:color="auto"/>
            </w:tcBorders>
            <w:shd w:val="clear" w:color="auto" w:fill="auto"/>
            <w:noWrap/>
            <w:hideMark/>
          </w:tcPr>
          <w:p w:rsidR="00311C9B" w:rsidRPr="00EE524E" w:rsidRDefault="00311C9B" w:rsidP="00953256">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E524E">
              <w:rPr>
                <w:rFonts w:ascii="Times New Roman" w:hAnsi="Times New Roman" w:cs="Times New Roman"/>
                <w:color w:val="auto"/>
                <w:sz w:val="20"/>
                <w:szCs w:val="20"/>
              </w:rPr>
              <w:t>0.367</w:t>
            </w:r>
          </w:p>
        </w:tc>
        <w:tc>
          <w:tcPr>
            <w:tcW w:w="1691" w:type="dxa"/>
            <w:tcBorders>
              <w:top w:val="nil"/>
              <w:bottom w:val="single" w:sz="4" w:space="0" w:color="auto"/>
            </w:tcBorders>
            <w:shd w:val="clear" w:color="auto" w:fill="auto"/>
            <w:noWrap/>
            <w:hideMark/>
          </w:tcPr>
          <w:p w:rsidR="00311C9B" w:rsidRPr="00EE524E" w:rsidRDefault="00311C9B" w:rsidP="00953256">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E524E">
              <w:rPr>
                <w:rFonts w:ascii="Times New Roman" w:hAnsi="Times New Roman" w:cs="Times New Roman"/>
                <w:color w:val="auto"/>
                <w:sz w:val="20"/>
                <w:szCs w:val="20"/>
              </w:rPr>
              <w:t>7.92</w:t>
            </w:r>
          </w:p>
        </w:tc>
        <w:tc>
          <w:tcPr>
            <w:tcW w:w="1978" w:type="dxa"/>
            <w:tcBorders>
              <w:top w:val="nil"/>
              <w:bottom w:val="single" w:sz="4" w:space="0" w:color="auto"/>
            </w:tcBorders>
            <w:shd w:val="clear" w:color="auto" w:fill="auto"/>
            <w:noWrap/>
            <w:hideMark/>
          </w:tcPr>
          <w:p w:rsidR="00311C9B" w:rsidRPr="00EE524E" w:rsidRDefault="00311C9B" w:rsidP="00953256">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E524E">
              <w:rPr>
                <w:rFonts w:ascii="Times New Roman" w:hAnsi="Times New Roman" w:cs="Times New Roman"/>
                <w:color w:val="auto"/>
                <w:sz w:val="20"/>
                <w:szCs w:val="20"/>
              </w:rPr>
              <w:t>0.500</w:t>
            </w:r>
          </w:p>
        </w:tc>
        <w:tc>
          <w:tcPr>
            <w:tcW w:w="1902" w:type="dxa"/>
            <w:tcBorders>
              <w:top w:val="nil"/>
              <w:bottom w:val="single" w:sz="4" w:space="0" w:color="auto"/>
            </w:tcBorders>
            <w:shd w:val="clear" w:color="auto" w:fill="auto"/>
            <w:noWrap/>
            <w:hideMark/>
          </w:tcPr>
          <w:p w:rsidR="00311C9B" w:rsidRPr="00EE524E" w:rsidRDefault="00311C9B" w:rsidP="00953256">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EE524E">
              <w:rPr>
                <w:rFonts w:ascii="Times New Roman" w:hAnsi="Times New Roman" w:cs="Times New Roman"/>
                <w:color w:val="auto"/>
                <w:sz w:val="20"/>
                <w:szCs w:val="20"/>
              </w:rPr>
              <w:t>21.17</w:t>
            </w:r>
          </w:p>
        </w:tc>
      </w:tr>
    </w:tbl>
    <w:p w:rsidR="00311C9B" w:rsidRPr="00EE524E" w:rsidRDefault="00311C9B" w:rsidP="00311C9B">
      <w:pPr>
        <w:spacing w:after="120" w:line="240" w:lineRule="auto"/>
        <w:jc w:val="both"/>
        <w:rPr>
          <w:rFonts w:ascii="Times New Roman" w:hAnsi="Times New Roman"/>
          <w:sz w:val="20"/>
          <w:szCs w:val="20"/>
        </w:rPr>
      </w:pPr>
    </w:p>
    <w:p w:rsidR="00311C9B" w:rsidRDefault="00311C9B" w:rsidP="00311C9B">
      <w:pPr>
        <w:spacing w:after="0" w:line="240" w:lineRule="auto"/>
        <w:jc w:val="both"/>
        <w:rPr>
          <w:rFonts w:ascii="Times New Roman" w:hAnsi="Times New Roman"/>
          <w:sz w:val="20"/>
          <w:szCs w:val="20"/>
        </w:rPr>
      </w:pPr>
      <w:r w:rsidRPr="00EE524E">
        <w:rPr>
          <w:rFonts w:ascii="Times New Roman" w:hAnsi="Times New Roman"/>
          <w:sz w:val="20"/>
          <w:szCs w:val="20"/>
        </w:rPr>
        <w:lastRenderedPageBreak/>
        <w:t>The Figure 5(b) displayed the peak current is directly proportional to the scan rate with a linear regression equation of I</w:t>
      </w:r>
      <w:r w:rsidRPr="00EE524E">
        <w:rPr>
          <w:rFonts w:ascii="Times New Roman" w:hAnsi="Times New Roman"/>
          <w:sz w:val="20"/>
          <w:szCs w:val="20"/>
          <w:vertAlign w:val="subscript"/>
        </w:rPr>
        <w:t>pa</w:t>
      </w:r>
      <w:r w:rsidRPr="00EE524E">
        <w:rPr>
          <w:rFonts w:ascii="Times New Roman" w:hAnsi="Times New Roman"/>
          <w:sz w:val="20"/>
          <w:szCs w:val="20"/>
        </w:rPr>
        <w:t xml:space="preserve"> (A) = 2.605 x10</w:t>
      </w:r>
      <w:r w:rsidRPr="00EE524E">
        <w:rPr>
          <w:rFonts w:ascii="Times New Roman" w:hAnsi="Times New Roman"/>
          <w:sz w:val="20"/>
          <w:szCs w:val="20"/>
          <w:vertAlign w:val="superscript"/>
        </w:rPr>
        <w:t xml:space="preserve">-8 </w:t>
      </w:r>
      <w:r w:rsidRPr="00EE524E">
        <w:rPr>
          <w:rFonts w:ascii="Times New Roman" w:hAnsi="Times New Roman"/>
          <w:sz w:val="20"/>
          <w:szCs w:val="20"/>
        </w:rPr>
        <w:t>ѵ + 1.574 x10</w:t>
      </w:r>
      <w:r w:rsidRPr="00EE524E">
        <w:rPr>
          <w:rFonts w:ascii="Times New Roman" w:hAnsi="Times New Roman"/>
          <w:sz w:val="20"/>
          <w:szCs w:val="20"/>
          <w:vertAlign w:val="superscript"/>
        </w:rPr>
        <w:t>-6</w:t>
      </w:r>
      <w:r w:rsidRPr="00EE524E">
        <w:rPr>
          <w:rFonts w:ascii="Times New Roman" w:hAnsi="Times New Roman"/>
          <w:sz w:val="20"/>
          <w:szCs w:val="20"/>
        </w:rPr>
        <w:t xml:space="preserve"> , R</w:t>
      </w:r>
      <w:r w:rsidRPr="00EE524E">
        <w:rPr>
          <w:rFonts w:ascii="Times New Roman" w:hAnsi="Times New Roman"/>
          <w:sz w:val="20"/>
          <w:szCs w:val="20"/>
          <w:vertAlign w:val="superscript"/>
        </w:rPr>
        <w:t>2</w:t>
      </w:r>
      <w:r w:rsidRPr="00EE524E">
        <w:rPr>
          <w:rFonts w:ascii="Times New Roman" w:hAnsi="Times New Roman"/>
          <w:sz w:val="20"/>
          <w:szCs w:val="20"/>
        </w:rPr>
        <w:t>= 0.99147. Meanwhile, another identical relationship was illustrated in Figure 5 (c) which is a Randles-Revcik plot useful in effective surface area (EASA) and diffusion coefficient, D of a substrate molecule.  A higher proportional linearity (R</w:t>
      </w:r>
      <w:r w:rsidRPr="00EE524E">
        <w:rPr>
          <w:rFonts w:ascii="Times New Roman" w:hAnsi="Times New Roman"/>
          <w:sz w:val="20"/>
          <w:szCs w:val="20"/>
          <w:vertAlign w:val="superscript"/>
        </w:rPr>
        <w:t>2</w:t>
      </w:r>
      <w:r w:rsidRPr="00EE524E">
        <w:rPr>
          <w:rFonts w:ascii="Times New Roman" w:hAnsi="Times New Roman"/>
          <w:sz w:val="20"/>
          <w:szCs w:val="20"/>
        </w:rPr>
        <w:t>=0.99938) relationship was identified in the plots of anodic peak current (I</w:t>
      </w:r>
      <w:r w:rsidRPr="00EE524E">
        <w:rPr>
          <w:rFonts w:ascii="Times New Roman" w:hAnsi="Times New Roman"/>
          <w:sz w:val="20"/>
          <w:szCs w:val="20"/>
          <w:vertAlign w:val="subscript"/>
        </w:rPr>
        <w:t>pa</w:t>
      </w:r>
      <w:r w:rsidRPr="00EE524E">
        <w:rPr>
          <w:rFonts w:ascii="Times New Roman" w:hAnsi="Times New Roman"/>
          <w:sz w:val="20"/>
          <w:szCs w:val="20"/>
        </w:rPr>
        <w:t>) against square root of scan rate variation (ѵ</w:t>
      </w:r>
      <w:r w:rsidRPr="00EE524E">
        <w:rPr>
          <w:rFonts w:ascii="Times New Roman" w:hAnsi="Times New Roman"/>
          <w:sz w:val="20"/>
          <w:szCs w:val="20"/>
          <w:vertAlign w:val="superscript"/>
        </w:rPr>
        <w:t>1/2</w:t>
      </w:r>
      <w:r w:rsidRPr="00EE524E">
        <w:rPr>
          <w:rFonts w:ascii="Times New Roman" w:hAnsi="Times New Roman"/>
          <w:sz w:val="20"/>
          <w:szCs w:val="20"/>
        </w:rPr>
        <w:t>) under the studied range of scan rate.  The obtained regression equation I</w:t>
      </w:r>
      <w:r w:rsidRPr="00EE524E">
        <w:rPr>
          <w:rFonts w:ascii="Times New Roman" w:hAnsi="Times New Roman"/>
          <w:sz w:val="20"/>
          <w:szCs w:val="20"/>
          <w:vertAlign w:val="subscript"/>
        </w:rPr>
        <w:t xml:space="preserve">pa </w:t>
      </w:r>
      <w:r w:rsidRPr="00EE524E">
        <w:rPr>
          <w:rFonts w:ascii="Times New Roman" w:hAnsi="Times New Roman"/>
          <w:sz w:val="20"/>
          <w:szCs w:val="20"/>
        </w:rPr>
        <w:t>(A) = 1.9 x10</w:t>
      </w:r>
      <w:r w:rsidRPr="00EE524E">
        <w:rPr>
          <w:rFonts w:ascii="Times New Roman" w:hAnsi="Times New Roman"/>
          <w:sz w:val="20"/>
          <w:szCs w:val="20"/>
          <w:vertAlign w:val="superscript"/>
        </w:rPr>
        <w:t>-5</w:t>
      </w:r>
      <w:r w:rsidRPr="00EE524E">
        <w:rPr>
          <w:rFonts w:ascii="Times New Roman" w:hAnsi="Times New Roman"/>
          <w:sz w:val="20"/>
          <w:szCs w:val="20"/>
        </w:rPr>
        <w:t xml:space="preserve"> ѵ</w:t>
      </w:r>
      <w:r w:rsidRPr="00EE524E">
        <w:rPr>
          <w:rFonts w:ascii="Times New Roman" w:hAnsi="Times New Roman"/>
          <w:sz w:val="20"/>
          <w:szCs w:val="20"/>
          <w:vertAlign w:val="superscript"/>
        </w:rPr>
        <w:t>1/2</w:t>
      </w:r>
      <w:r w:rsidRPr="00EE524E">
        <w:rPr>
          <w:rFonts w:ascii="Times New Roman" w:hAnsi="Times New Roman"/>
          <w:sz w:val="20"/>
          <w:szCs w:val="20"/>
        </w:rPr>
        <w:t xml:space="preserve"> – 1.641 x10</w:t>
      </w:r>
      <w:r w:rsidRPr="00EE524E">
        <w:rPr>
          <w:rFonts w:ascii="Times New Roman" w:hAnsi="Times New Roman"/>
          <w:sz w:val="20"/>
          <w:szCs w:val="20"/>
          <w:vertAlign w:val="superscript"/>
        </w:rPr>
        <w:t>-6</w:t>
      </w:r>
      <w:r w:rsidRPr="00EE524E">
        <w:rPr>
          <w:rFonts w:ascii="Times New Roman" w:hAnsi="Times New Roman"/>
          <w:sz w:val="20"/>
          <w:szCs w:val="20"/>
          <w:vertAlign w:val="subscript"/>
        </w:rPr>
        <w:t xml:space="preserve"> </w:t>
      </w:r>
      <w:r w:rsidRPr="00EE524E">
        <w:rPr>
          <w:rFonts w:ascii="Times New Roman" w:hAnsi="Times New Roman"/>
          <w:sz w:val="20"/>
          <w:szCs w:val="20"/>
        </w:rPr>
        <w:t>with correlation coefficient nearly to unity suggested the UA oxidation over the Fe</w:t>
      </w:r>
      <w:r w:rsidRPr="00EE524E">
        <w:rPr>
          <w:rFonts w:ascii="Times New Roman" w:hAnsi="Times New Roman"/>
          <w:sz w:val="20"/>
          <w:szCs w:val="20"/>
          <w:vertAlign w:val="subscript"/>
        </w:rPr>
        <w:t>3</w:t>
      </w:r>
      <w:r w:rsidRPr="00EE524E">
        <w:rPr>
          <w:rFonts w:ascii="Times New Roman" w:hAnsi="Times New Roman"/>
          <w:sz w:val="20"/>
          <w:szCs w:val="20"/>
        </w:rPr>
        <w:t>O</w:t>
      </w:r>
      <w:r w:rsidRPr="00EE524E">
        <w:rPr>
          <w:rFonts w:ascii="Times New Roman" w:hAnsi="Times New Roman"/>
          <w:sz w:val="20"/>
          <w:szCs w:val="20"/>
          <w:vertAlign w:val="subscript"/>
        </w:rPr>
        <w:t>4</w:t>
      </w:r>
      <w:r w:rsidRPr="00EE524E">
        <w:rPr>
          <w:rFonts w:ascii="Times New Roman" w:hAnsi="Times New Roman"/>
          <w:sz w:val="20"/>
          <w:szCs w:val="20"/>
        </w:rPr>
        <w:t xml:space="preserve">/rGO/GCE surface was diffusion-limiting dominated over the adsorption-controlled mechanism </w:t>
      </w:r>
      <w:r w:rsidRPr="00EE524E">
        <w:rPr>
          <w:rFonts w:ascii="Times New Roman" w:hAnsi="Times New Roman"/>
          <w:sz w:val="20"/>
          <w:szCs w:val="20"/>
        </w:rPr>
        <w:fldChar w:fldCharType="begin" w:fldLock="1"/>
      </w:r>
      <w:r w:rsidRPr="00EE524E">
        <w:rPr>
          <w:rFonts w:ascii="Times New Roman" w:hAnsi="Times New Roman"/>
          <w:sz w:val="20"/>
          <w:szCs w:val="20"/>
        </w:rPr>
        <w:instrText>ADDIN CSL_CITATION {"citationItems":[{"id":"ITEM-1","itemData":{"DOI":"10.20964/2016.07.41","ISSN":"14523981","abstract":"The modified glassy carbon electrodes (GCE) are prepared by chemical deposition of Ba0.5Sr0.5Co0.2Fe0.8O3 (BSCF), multi-walled carbon nanotube (MWCNT) and BSCF-MWCNT. The GCE, BSCF/GCE, MWCNT/GCE and BSCF-MWCNT/GCE electrodes are characterised by scanning electron microscopy (SEM), atomic force microscopy (AFM), cyclic voltammetry (CV) and electrochemical impedance spectroscopy (EIS). The surface morphology studies show that MWCNT is homogenously dispersed on the surface of BSCF. The N2 isotherm study indicates that surface area is improved by three fold than the BSCF alone. The EIS and CV show that the presence of MWCNT is significant in enhancing the electronic conductivity as well as kinetics. The reduction behaviours of these electrodes in 0.1 M KOH are compared using chroroamperometry, CV and hydrodynamic voltammetry. The BSCF-MWCNT/GCE shows a pronounced electrocatalytic activity towards oxygen reduction.","author":[{"dropping-particle":"","family":"Yusoff","given":"F.","non-dropping-particle":"","parse-names":false,"suffix":""},{"dropping-particle":"","family":"Mohamed","given":"N.","non-dropping-particle":"","parse-names":false,"suffix":""},{"dropping-particle":"","family":"Azizan","given":"A.","non-dropping-particle":"","parse-names":false,"suffix":""},{"dropping-particle":"","family":"Ab Ghani","given":"S.","non-dropping-particle":"","parse-names":false,"suffix":""}],"container-title":"International Journal of Electrochemical Science","id":"ITEM-1","issue":"7","issued":{"date-parts":[["2016"]]},"page":"5766-5780","title":"The perovskite Ba0.5Sr0.5Co0.2Fe0.8O3-MWCNT modified glassy carbon electrode - Its characterization and capacity in oxygen reduction reaction","type":"article-journal","volume":"11"},"uris":["http://www.mendeley.com/documents/?uuid=f9bc713f-260a-463d-a64f-d0a589359af6"]}],"mendeley":{"formattedCitation":"[29]","manualFormatting":"[29]","plainTextFormattedCitation":"[29]","previouslyFormattedCitation":"[29]"},"properties":{"noteIndex":0},"schema":"https://github.com/citation-style-language/schema/raw/master/csl-citation.json"}</w:instrText>
      </w:r>
      <w:r w:rsidRPr="00EE524E">
        <w:rPr>
          <w:rFonts w:ascii="Times New Roman" w:hAnsi="Times New Roman"/>
          <w:sz w:val="20"/>
          <w:szCs w:val="20"/>
        </w:rPr>
        <w:fldChar w:fldCharType="separate"/>
      </w:r>
      <w:r w:rsidRPr="00EE524E">
        <w:rPr>
          <w:rFonts w:ascii="Times New Roman" w:hAnsi="Times New Roman"/>
          <w:noProof/>
          <w:sz w:val="20"/>
          <w:szCs w:val="20"/>
        </w:rPr>
        <w:t>[28]</w:t>
      </w:r>
      <w:r w:rsidRPr="00EE524E">
        <w:rPr>
          <w:rFonts w:ascii="Times New Roman" w:hAnsi="Times New Roman"/>
          <w:sz w:val="20"/>
          <w:szCs w:val="20"/>
        </w:rPr>
        <w:fldChar w:fldCharType="end"/>
      </w:r>
      <w:r w:rsidRPr="00EE524E">
        <w:rPr>
          <w:rFonts w:ascii="Times New Roman" w:hAnsi="Times New Roman"/>
          <w:sz w:val="20"/>
          <w:szCs w:val="20"/>
        </w:rPr>
        <w:t xml:space="preserve">. These results provided that the mass transfer or absorption controlled process of UA oxidation take place at the low scan rate instead of diffusion-limiting dominated at high scan rate </w:t>
      </w:r>
      <w:r w:rsidRPr="00EE524E">
        <w:rPr>
          <w:rFonts w:ascii="Times New Roman" w:hAnsi="Times New Roman"/>
          <w:sz w:val="20"/>
          <w:szCs w:val="20"/>
        </w:rPr>
        <w:fldChar w:fldCharType="begin" w:fldLock="1"/>
      </w:r>
      <w:r w:rsidRPr="00EE524E">
        <w:rPr>
          <w:rFonts w:ascii="Times New Roman" w:hAnsi="Times New Roman"/>
          <w:sz w:val="20"/>
          <w:szCs w:val="20"/>
        </w:rPr>
        <w:instrText>ADDIN CSL_CITATION {"citationItems":[{"id":"ITEM-1","itemData":{"DOI":"10.3390/s17071539","ISSN":"14248220","abstract":"© 2017 by the authors. Licensee MDPI, Basel, Switzerland. An attractive electrochemical sensor of poly(3,4-ethylenedioxythiophene)/reduced graphene oxide electrode (PrGO) was developed for an electrochemical technique for uric acid (UA) detection in the presence of ascorbic acid (AA). PrGO composite film showed an improved electrocatalytic activity towards UA oxidation in pH 6.0 (0.1 M PBS). The PrGO composite exhibited a high current signal and low charge transfer resistance (Rct) compared to a reduced graphene oxide (rGO) electrode or a bare glassy carbon electrode (GCE). The limit of detection and sensitivity of PrGO for the detection of UA are 0.19 μM (S/N = 3) and 0.01 μA/μM, respectively, in the range of 1–300 μM of UA.","author":[{"dropping-particle":"","family":"Tukimin","given":"Nurulkhalilah","non-dropping-particle":"","parse-names":false,"suffix":""},{"dropping-particle":"","family":"Abdullah","given":"Jaafar","non-dropping-particle":"","parse-names":false,"suffix":""},{"dropping-particle":"","family":"Sulaiman","given":"Yusran","non-dropping-particle":"","parse-names":false,"suffix":""}],"container-title":"Sensors (Switzerland)","id":"ITEM-1","issue":"7","issued":{"date-parts":[["2017"]]},"title":"Development of a PrGo-modified electrode for uric acid determination in the presence of ascorbic acid by an electrochemical technique","type":"article-journal","volume":"17"},"uris":["http://www.mendeley.com/documents/?uuid=17892620-c10d-4f33-b421-15e94a039e33","http://www.mendeley.com/documents/?uuid=9e13a2a5-9b5c-442d-9eab-5b9a41235a2d"]}],"mendeley":{"formattedCitation":"[30]","manualFormatting":"[30]","plainTextFormattedCitation":"[30]","previouslyFormattedCitation":"[30]"},"properties":{"noteIndex":0},"schema":"https://github.com/citation-style-language/schema/raw/master/csl-citation.json"}</w:instrText>
      </w:r>
      <w:r w:rsidRPr="00EE524E">
        <w:rPr>
          <w:rFonts w:ascii="Times New Roman" w:hAnsi="Times New Roman"/>
          <w:sz w:val="20"/>
          <w:szCs w:val="20"/>
        </w:rPr>
        <w:fldChar w:fldCharType="separate"/>
      </w:r>
      <w:r w:rsidRPr="00EE524E">
        <w:rPr>
          <w:rFonts w:ascii="Times New Roman" w:hAnsi="Times New Roman"/>
          <w:noProof/>
          <w:sz w:val="20"/>
          <w:szCs w:val="20"/>
        </w:rPr>
        <w:t>[29]</w:t>
      </w:r>
      <w:r w:rsidRPr="00EE524E">
        <w:rPr>
          <w:rFonts w:ascii="Times New Roman" w:hAnsi="Times New Roman"/>
          <w:sz w:val="20"/>
          <w:szCs w:val="20"/>
        </w:rPr>
        <w:fldChar w:fldCharType="end"/>
      </w:r>
      <w:r w:rsidRPr="00EE524E">
        <w:rPr>
          <w:rFonts w:ascii="Times New Roman" w:hAnsi="Times New Roman"/>
          <w:sz w:val="20"/>
          <w:szCs w:val="20"/>
        </w:rPr>
        <w:t>. The scan rate 50 mVs</w:t>
      </w:r>
      <w:r w:rsidRPr="00EE524E">
        <w:rPr>
          <w:rFonts w:ascii="Times New Roman" w:hAnsi="Times New Roman"/>
          <w:sz w:val="20"/>
          <w:szCs w:val="20"/>
          <w:vertAlign w:val="superscript"/>
        </w:rPr>
        <w:t>-1</w:t>
      </w:r>
      <w:r w:rsidRPr="00EE524E">
        <w:rPr>
          <w:rFonts w:ascii="Times New Roman" w:hAnsi="Times New Roman"/>
          <w:sz w:val="20"/>
          <w:szCs w:val="20"/>
        </w:rPr>
        <w:t xml:space="preserve"> was selected for the further part of the optimization where its peak potential was nearly to the zero. In view of the current response of UA is being diffusion controlled, a slower scan rate will allow the UA molecules diffuses through the bulk electrolyte toward the electrode surface. Even though there will be growth in the diffusion layer, it provides certain degrees of sensitivity and stability about the variation in peak current and peak-to-peak separation especially in the study of pH parameter optimization.</w:t>
      </w:r>
    </w:p>
    <w:p w:rsidR="00311C9B" w:rsidRDefault="00311C9B" w:rsidP="00311C9B">
      <w:pPr>
        <w:spacing w:after="0" w:line="240" w:lineRule="auto"/>
        <w:jc w:val="both"/>
        <w:rPr>
          <w:rFonts w:ascii="Times New Roman" w:hAnsi="Times New Roman"/>
          <w:sz w:val="20"/>
          <w:szCs w:val="20"/>
        </w:rPr>
      </w:pPr>
    </w:p>
    <w:p w:rsidR="00311C9B" w:rsidRDefault="00311C9B" w:rsidP="00311C9B">
      <w:pPr>
        <w:spacing w:after="0" w:line="240" w:lineRule="auto"/>
        <w:jc w:val="both"/>
        <w:rPr>
          <w:rFonts w:ascii="Times New Roman" w:hAnsi="Times New Roman"/>
          <w:sz w:val="20"/>
          <w:szCs w:val="24"/>
        </w:rPr>
      </w:pPr>
      <w:r w:rsidRPr="00DC4C68">
        <w:rPr>
          <w:rFonts w:ascii="Times New Roman" w:hAnsi="Times New Roman"/>
          <w:sz w:val="20"/>
          <w:szCs w:val="24"/>
        </w:rPr>
        <w:t>A series of UA standard concentration was selected within range from 100 μM to 800 μM. The experiment was designed to run 6 cycles simultaneously at 50 mVs</w:t>
      </w:r>
      <w:r w:rsidRPr="00DC4C68">
        <w:rPr>
          <w:rFonts w:ascii="Times New Roman" w:hAnsi="Times New Roman"/>
          <w:sz w:val="20"/>
          <w:szCs w:val="24"/>
          <w:vertAlign w:val="superscript"/>
        </w:rPr>
        <w:t>-1</w:t>
      </w:r>
      <w:r w:rsidRPr="00DC4C68">
        <w:rPr>
          <w:rFonts w:ascii="Times New Roman" w:hAnsi="Times New Roman"/>
          <w:sz w:val="20"/>
          <w:szCs w:val="24"/>
        </w:rPr>
        <w:t xml:space="preserve"> scan rate with a magnitude of 0.05 V step potential sweeping from initial potential -0.2 V to end potential 0.8 V. The reagent and standard preparations were kept constant as described previously. The step up current responses obtained from the increasing concentration of UA show a corresponding contribution of faradaic current from higher electroactive species in an electrode process. The respectively current response and peak potential variation according to the amount of UA introduced was tabulated in Table 4.</w:t>
      </w:r>
    </w:p>
    <w:p w:rsidR="00311C9B" w:rsidRPr="00DC4C68" w:rsidRDefault="00311C9B" w:rsidP="00311C9B">
      <w:pPr>
        <w:spacing w:after="120" w:line="240" w:lineRule="auto"/>
        <w:jc w:val="both"/>
        <w:rPr>
          <w:rFonts w:ascii="Times New Roman" w:hAnsi="Times New Roman"/>
          <w:sz w:val="20"/>
          <w:szCs w:val="24"/>
        </w:rPr>
      </w:pPr>
      <w:r>
        <w:rPr>
          <w:rFonts w:ascii="Times New Roman" w:hAnsi="Times New Roman"/>
          <w:sz w:val="20"/>
          <w:szCs w:val="24"/>
        </w:rPr>
        <w:t xml:space="preserve"> </w:t>
      </w:r>
    </w:p>
    <w:p w:rsidR="00311C9B" w:rsidRPr="00DC4C68" w:rsidRDefault="00311C9B" w:rsidP="00311C9B">
      <w:pPr>
        <w:spacing w:after="120" w:line="240" w:lineRule="auto"/>
        <w:jc w:val="center"/>
        <w:rPr>
          <w:rFonts w:ascii="Times New Roman" w:hAnsi="Times New Roman"/>
          <w:iCs/>
          <w:sz w:val="20"/>
          <w:szCs w:val="24"/>
        </w:rPr>
      </w:pPr>
      <w:bookmarkStart w:id="10" w:name="_Toc532052063"/>
      <w:r w:rsidRPr="00DC4C68">
        <w:rPr>
          <w:rFonts w:ascii="Times New Roman" w:hAnsi="Times New Roman"/>
          <w:iCs/>
          <w:sz w:val="20"/>
          <w:szCs w:val="24"/>
        </w:rPr>
        <w:t>Table 4.</w:t>
      </w:r>
      <w:r>
        <w:rPr>
          <w:rFonts w:ascii="Times New Roman" w:hAnsi="Times New Roman"/>
          <w:iCs/>
          <w:sz w:val="20"/>
          <w:szCs w:val="24"/>
        </w:rPr>
        <w:t xml:space="preserve"> </w:t>
      </w:r>
      <w:r w:rsidRPr="00DC4C68">
        <w:rPr>
          <w:rFonts w:ascii="Times New Roman" w:hAnsi="Times New Roman"/>
          <w:iCs/>
          <w:sz w:val="20"/>
          <w:szCs w:val="24"/>
        </w:rPr>
        <w:t xml:space="preserve"> Result of anodic peak potentials and peak currents at various UA concentrations (100-800 µM)</w:t>
      </w:r>
      <w:bookmarkEnd w:id="10"/>
    </w:p>
    <w:tbl>
      <w:tblPr>
        <w:tblStyle w:val="ListTable6Colorful1"/>
        <w:tblW w:w="6530" w:type="dxa"/>
        <w:jc w:val="center"/>
        <w:tblLook w:val="04A0" w:firstRow="1" w:lastRow="0" w:firstColumn="1" w:lastColumn="0" w:noHBand="0" w:noVBand="1"/>
      </w:tblPr>
      <w:tblGrid>
        <w:gridCol w:w="1508"/>
        <w:gridCol w:w="2531"/>
        <w:gridCol w:w="2491"/>
      </w:tblGrid>
      <w:tr w:rsidR="00311C9B" w:rsidRPr="00DC4C68" w:rsidTr="0089573D">
        <w:trPr>
          <w:cnfStyle w:val="100000000000" w:firstRow="1" w:lastRow="0" w:firstColumn="0" w:lastColumn="0" w:oddVBand="0" w:evenVBand="0" w:oddHBand="0"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508" w:type="dxa"/>
            <w:tcBorders>
              <w:top w:val="single" w:sz="4" w:space="0" w:color="auto"/>
              <w:bottom w:val="single" w:sz="4" w:space="0" w:color="auto"/>
            </w:tcBorders>
            <w:shd w:val="clear" w:color="auto" w:fill="auto"/>
            <w:noWrap/>
            <w:hideMark/>
          </w:tcPr>
          <w:p w:rsidR="00311C9B" w:rsidRPr="00DC4C68" w:rsidRDefault="00311C9B" w:rsidP="0089573D">
            <w:pPr>
              <w:spacing w:before="60" w:after="0"/>
              <w:rPr>
                <w:rFonts w:ascii="Times New Roman" w:hAnsi="Times New Roman" w:cs="Times New Roman"/>
                <w:b w:val="0"/>
                <w:bCs w:val="0"/>
                <w:color w:val="auto"/>
                <w:sz w:val="20"/>
                <w:szCs w:val="24"/>
              </w:rPr>
            </w:pPr>
            <w:r w:rsidRPr="00DC4C68">
              <w:rPr>
                <w:rFonts w:ascii="Times New Roman" w:hAnsi="Times New Roman" w:cs="Times New Roman"/>
                <w:color w:val="auto"/>
                <w:sz w:val="20"/>
                <w:szCs w:val="24"/>
              </w:rPr>
              <w:t>Concentration</w:t>
            </w:r>
          </w:p>
          <w:p w:rsidR="00311C9B" w:rsidRPr="00DC4C68" w:rsidRDefault="00311C9B" w:rsidP="0089573D">
            <w:pPr>
              <w:spacing w:after="60"/>
              <w:rPr>
                <w:rFonts w:ascii="Times New Roman" w:hAnsi="Times New Roman" w:cs="Times New Roman"/>
                <w:color w:val="auto"/>
                <w:sz w:val="20"/>
                <w:szCs w:val="24"/>
              </w:rPr>
            </w:pPr>
            <w:r w:rsidRPr="00DC4C68">
              <w:rPr>
                <w:rFonts w:ascii="Times New Roman" w:hAnsi="Times New Roman" w:cs="Times New Roman"/>
                <w:color w:val="auto"/>
                <w:sz w:val="20"/>
                <w:szCs w:val="24"/>
              </w:rPr>
              <w:t>(s)</w:t>
            </w:r>
          </w:p>
        </w:tc>
        <w:tc>
          <w:tcPr>
            <w:tcW w:w="2531" w:type="dxa"/>
            <w:tcBorders>
              <w:top w:val="single" w:sz="4" w:space="0" w:color="auto"/>
              <w:bottom w:val="single" w:sz="4" w:space="0" w:color="auto"/>
            </w:tcBorders>
            <w:shd w:val="clear" w:color="auto" w:fill="auto"/>
            <w:noWrap/>
            <w:hideMark/>
          </w:tcPr>
          <w:p w:rsidR="00311C9B" w:rsidRPr="00DC4C68" w:rsidRDefault="00311C9B" w:rsidP="00311C9B">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4"/>
              </w:rPr>
            </w:pPr>
            <w:r w:rsidRPr="00DC4C68">
              <w:rPr>
                <w:rFonts w:ascii="Times New Roman" w:hAnsi="Times New Roman" w:cs="Times New Roman"/>
                <w:color w:val="auto"/>
                <w:sz w:val="20"/>
                <w:szCs w:val="24"/>
              </w:rPr>
              <w:t>Anodic Peak Potential,</w:t>
            </w:r>
          </w:p>
          <w:p w:rsidR="00311C9B" w:rsidRPr="00DC4C68" w:rsidRDefault="00311C9B" w:rsidP="00311C9B">
            <w:pPr>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DC4C68">
              <w:rPr>
                <w:rFonts w:ascii="Times New Roman" w:hAnsi="Times New Roman" w:cs="Times New Roman"/>
                <w:color w:val="auto"/>
                <w:sz w:val="20"/>
                <w:szCs w:val="24"/>
              </w:rPr>
              <w:t>I</w:t>
            </w:r>
            <w:r w:rsidRPr="00DC4C68">
              <w:rPr>
                <w:rFonts w:ascii="Times New Roman" w:hAnsi="Times New Roman" w:cs="Times New Roman"/>
                <w:color w:val="auto"/>
                <w:sz w:val="20"/>
                <w:szCs w:val="24"/>
                <w:vertAlign w:val="subscript"/>
              </w:rPr>
              <w:t>pa</w:t>
            </w:r>
            <w:r w:rsidRPr="00DC4C68">
              <w:rPr>
                <w:rFonts w:ascii="Times New Roman" w:hAnsi="Times New Roman" w:cs="Times New Roman"/>
                <w:color w:val="auto"/>
                <w:sz w:val="20"/>
                <w:szCs w:val="24"/>
              </w:rPr>
              <w:t xml:space="preserve"> (V)</w:t>
            </w:r>
          </w:p>
        </w:tc>
        <w:tc>
          <w:tcPr>
            <w:tcW w:w="2491" w:type="dxa"/>
            <w:tcBorders>
              <w:top w:val="single" w:sz="4" w:space="0" w:color="auto"/>
              <w:bottom w:val="single" w:sz="4" w:space="0" w:color="auto"/>
            </w:tcBorders>
            <w:shd w:val="clear" w:color="auto" w:fill="auto"/>
            <w:noWrap/>
            <w:hideMark/>
          </w:tcPr>
          <w:p w:rsidR="00311C9B" w:rsidRPr="00DC4C68" w:rsidRDefault="00311C9B" w:rsidP="00311C9B">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4"/>
              </w:rPr>
            </w:pPr>
            <w:r w:rsidRPr="00DC4C68">
              <w:rPr>
                <w:rFonts w:ascii="Times New Roman" w:hAnsi="Times New Roman" w:cs="Times New Roman"/>
                <w:color w:val="auto"/>
                <w:sz w:val="20"/>
                <w:szCs w:val="24"/>
              </w:rPr>
              <w:t>Anodic Peak Current,</w:t>
            </w:r>
          </w:p>
          <w:p w:rsidR="00311C9B" w:rsidRPr="00DC4C68" w:rsidRDefault="00311C9B" w:rsidP="00311C9B">
            <w:pPr>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DC4C68">
              <w:rPr>
                <w:rFonts w:ascii="Times New Roman" w:hAnsi="Times New Roman" w:cs="Times New Roman"/>
                <w:color w:val="auto"/>
                <w:sz w:val="20"/>
                <w:szCs w:val="24"/>
              </w:rPr>
              <w:t>I</w:t>
            </w:r>
            <w:r w:rsidRPr="00DC4C68">
              <w:rPr>
                <w:rFonts w:ascii="Times New Roman" w:hAnsi="Times New Roman" w:cs="Times New Roman"/>
                <w:color w:val="auto"/>
                <w:sz w:val="20"/>
                <w:szCs w:val="24"/>
                <w:vertAlign w:val="subscript"/>
              </w:rPr>
              <w:t>pc</w:t>
            </w:r>
            <w:r w:rsidRPr="00DC4C68">
              <w:rPr>
                <w:rFonts w:ascii="Times New Roman" w:hAnsi="Times New Roman" w:cs="Times New Roman"/>
                <w:color w:val="auto"/>
                <w:sz w:val="20"/>
                <w:szCs w:val="24"/>
              </w:rPr>
              <w:t xml:space="preserve"> (µA)</w:t>
            </w:r>
          </w:p>
        </w:tc>
      </w:tr>
      <w:tr w:rsidR="00311C9B" w:rsidRPr="00DC4C68" w:rsidTr="0089573D">
        <w:trPr>
          <w:cnfStyle w:val="000000100000" w:firstRow="0" w:lastRow="0" w:firstColumn="0" w:lastColumn="0" w:oddVBand="0" w:evenVBand="0" w:oddHBand="1" w:evenHBand="0" w:firstRowFirstColumn="0" w:firstRowLastColumn="0" w:lastRowFirstColumn="0" w:lastRowLastColumn="0"/>
          <w:trHeight w:val="149"/>
          <w:jc w:val="center"/>
        </w:trPr>
        <w:tc>
          <w:tcPr>
            <w:cnfStyle w:val="001000000000" w:firstRow="0" w:lastRow="0" w:firstColumn="1" w:lastColumn="0" w:oddVBand="0" w:evenVBand="0" w:oddHBand="0" w:evenHBand="0" w:firstRowFirstColumn="0" w:firstRowLastColumn="0" w:lastRowFirstColumn="0" w:lastRowLastColumn="0"/>
            <w:tcW w:w="1508" w:type="dxa"/>
            <w:tcBorders>
              <w:top w:val="single" w:sz="4" w:space="0" w:color="auto"/>
            </w:tcBorders>
            <w:shd w:val="clear" w:color="auto" w:fill="auto"/>
            <w:noWrap/>
            <w:hideMark/>
          </w:tcPr>
          <w:p w:rsidR="00311C9B" w:rsidRPr="00DC4C68" w:rsidRDefault="00311C9B" w:rsidP="0089573D">
            <w:pPr>
              <w:spacing w:before="60" w:after="0"/>
              <w:rPr>
                <w:rFonts w:ascii="Times New Roman" w:hAnsi="Times New Roman" w:cs="Times New Roman"/>
                <w:b w:val="0"/>
                <w:color w:val="auto"/>
                <w:sz w:val="20"/>
                <w:szCs w:val="24"/>
              </w:rPr>
            </w:pPr>
            <w:r w:rsidRPr="00DC4C68">
              <w:rPr>
                <w:rFonts w:ascii="Times New Roman" w:hAnsi="Times New Roman" w:cs="Times New Roman"/>
                <w:b w:val="0"/>
                <w:color w:val="auto"/>
                <w:sz w:val="20"/>
                <w:szCs w:val="24"/>
              </w:rPr>
              <w:t>100</w:t>
            </w:r>
          </w:p>
        </w:tc>
        <w:tc>
          <w:tcPr>
            <w:tcW w:w="2531" w:type="dxa"/>
            <w:tcBorders>
              <w:top w:val="single" w:sz="4" w:space="0" w:color="auto"/>
            </w:tcBorders>
            <w:shd w:val="clear" w:color="auto" w:fill="auto"/>
            <w:hideMark/>
          </w:tcPr>
          <w:p w:rsidR="00311C9B" w:rsidRPr="00DC4C68" w:rsidRDefault="00311C9B" w:rsidP="0089573D">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DC4C68">
              <w:rPr>
                <w:rFonts w:ascii="Times New Roman" w:hAnsi="Times New Roman" w:cs="Times New Roman"/>
                <w:color w:val="auto"/>
                <w:sz w:val="20"/>
                <w:szCs w:val="24"/>
              </w:rPr>
              <w:t>0.35</w:t>
            </w:r>
          </w:p>
        </w:tc>
        <w:tc>
          <w:tcPr>
            <w:tcW w:w="2491" w:type="dxa"/>
            <w:tcBorders>
              <w:top w:val="single" w:sz="4" w:space="0" w:color="auto"/>
            </w:tcBorders>
            <w:shd w:val="clear" w:color="auto" w:fill="auto"/>
            <w:hideMark/>
          </w:tcPr>
          <w:p w:rsidR="00311C9B" w:rsidRPr="00DC4C68" w:rsidRDefault="00311C9B" w:rsidP="0089573D">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DC4C68">
              <w:rPr>
                <w:rFonts w:ascii="Times New Roman" w:hAnsi="Times New Roman" w:cs="Times New Roman"/>
                <w:color w:val="auto"/>
                <w:sz w:val="20"/>
                <w:szCs w:val="24"/>
              </w:rPr>
              <w:t>1.23</w:t>
            </w:r>
          </w:p>
        </w:tc>
      </w:tr>
      <w:tr w:rsidR="00311C9B" w:rsidRPr="00DC4C68" w:rsidTr="00953256">
        <w:trPr>
          <w:trHeight w:val="65"/>
          <w:jc w:val="center"/>
        </w:trPr>
        <w:tc>
          <w:tcPr>
            <w:cnfStyle w:val="001000000000" w:firstRow="0" w:lastRow="0" w:firstColumn="1" w:lastColumn="0" w:oddVBand="0" w:evenVBand="0" w:oddHBand="0" w:evenHBand="0" w:firstRowFirstColumn="0" w:firstRowLastColumn="0" w:lastRowFirstColumn="0" w:lastRowLastColumn="0"/>
            <w:tcW w:w="1508" w:type="dxa"/>
            <w:shd w:val="clear" w:color="auto" w:fill="auto"/>
            <w:noWrap/>
            <w:hideMark/>
          </w:tcPr>
          <w:p w:rsidR="00311C9B" w:rsidRPr="00DC4C68" w:rsidRDefault="00311C9B" w:rsidP="0089573D">
            <w:pPr>
              <w:spacing w:before="60" w:after="0"/>
              <w:rPr>
                <w:rFonts w:ascii="Times New Roman" w:hAnsi="Times New Roman" w:cs="Times New Roman"/>
                <w:b w:val="0"/>
                <w:color w:val="auto"/>
                <w:sz w:val="20"/>
                <w:szCs w:val="24"/>
              </w:rPr>
            </w:pPr>
            <w:r w:rsidRPr="00DC4C68">
              <w:rPr>
                <w:rFonts w:ascii="Times New Roman" w:hAnsi="Times New Roman" w:cs="Times New Roman"/>
                <w:b w:val="0"/>
                <w:color w:val="auto"/>
                <w:sz w:val="20"/>
                <w:szCs w:val="24"/>
              </w:rPr>
              <w:t>200</w:t>
            </w:r>
          </w:p>
        </w:tc>
        <w:tc>
          <w:tcPr>
            <w:tcW w:w="2531" w:type="dxa"/>
            <w:shd w:val="clear" w:color="auto" w:fill="auto"/>
            <w:hideMark/>
          </w:tcPr>
          <w:p w:rsidR="00311C9B" w:rsidRPr="00DC4C68" w:rsidRDefault="00311C9B" w:rsidP="0089573D">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DC4C68">
              <w:rPr>
                <w:rFonts w:ascii="Times New Roman" w:hAnsi="Times New Roman" w:cs="Times New Roman"/>
                <w:color w:val="auto"/>
                <w:sz w:val="20"/>
                <w:szCs w:val="24"/>
              </w:rPr>
              <w:t>0.35</w:t>
            </w:r>
          </w:p>
        </w:tc>
        <w:tc>
          <w:tcPr>
            <w:tcW w:w="2491" w:type="dxa"/>
            <w:shd w:val="clear" w:color="auto" w:fill="auto"/>
            <w:hideMark/>
          </w:tcPr>
          <w:p w:rsidR="00311C9B" w:rsidRPr="00DC4C68" w:rsidRDefault="00311C9B" w:rsidP="0089573D">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DC4C68">
              <w:rPr>
                <w:rFonts w:ascii="Times New Roman" w:hAnsi="Times New Roman" w:cs="Times New Roman"/>
                <w:color w:val="auto"/>
                <w:sz w:val="20"/>
                <w:szCs w:val="24"/>
              </w:rPr>
              <w:t>1.65</w:t>
            </w:r>
          </w:p>
        </w:tc>
      </w:tr>
      <w:tr w:rsidR="00311C9B" w:rsidRPr="00DC4C68" w:rsidTr="0095325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508" w:type="dxa"/>
            <w:shd w:val="clear" w:color="auto" w:fill="auto"/>
            <w:noWrap/>
            <w:hideMark/>
          </w:tcPr>
          <w:p w:rsidR="00311C9B" w:rsidRPr="00DC4C68" w:rsidRDefault="00311C9B" w:rsidP="0089573D">
            <w:pPr>
              <w:spacing w:before="60" w:after="0"/>
              <w:rPr>
                <w:rFonts w:ascii="Times New Roman" w:hAnsi="Times New Roman" w:cs="Times New Roman"/>
                <w:b w:val="0"/>
                <w:color w:val="auto"/>
                <w:sz w:val="20"/>
                <w:szCs w:val="24"/>
              </w:rPr>
            </w:pPr>
            <w:r w:rsidRPr="00DC4C68">
              <w:rPr>
                <w:rFonts w:ascii="Times New Roman" w:hAnsi="Times New Roman" w:cs="Times New Roman"/>
                <w:b w:val="0"/>
                <w:color w:val="auto"/>
                <w:sz w:val="20"/>
                <w:szCs w:val="24"/>
              </w:rPr>
              <w:t>400</w:t>
            </w:r>
          </w:p>
        </w:tc>
        <w:tc>
          <w:tcPr>
            <w:tcW w:w="2531" w:type="dxa"/>
            <w:shd w:val="clear" w:color="auto" w:fill="auto"/>
            <w:hideMark/>
          </w:tcPr>
          <w:p w:rsidR="00311C9B" w:rsidRPr="00DC4C68" w:rsidRDefault="00311C9B" w:rsidP="0089573D">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DC4C68">
              <w:rPr>
                <w:rFonts w:ascii="Times New Roman" w:hAnsi="Times New Roman" w:cs="Times New Roman"/>
                <w:color w:val="auto"/>
                <w:sz w:val="20"/>
                <w:szCs w:val="24"/>
              </w:rPr>
              <w:t>0.35</w:t>
            </w:r>
          </w:p>
        </w:tc>
        <w:tc>
          <w:tcPr>
            <w:tcW w:w="2491" w:type="dxa"/>
            <w:shd w:val="clear" w:color="auto" w:fill="auto"/>
            <w:hideMark/>
          </w:tcPr>
          <w:p w:rsidR="00311C9B" w:rsidRPr="00DC4C68" w:rsidRDefault="00311C9B" w:rsidP="0089573D">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DC4C68">
              <w:rPr>
                <w:rFonts w:ascii="Times New Roman" w:hAnsi="Times New Roman" w:cs="Times New Roman"/>
                <w:color w:val="auto"/>
                <w:sz w:val="20"/>
                <w:szCs w:val="24"/>
              </w:rPr>
              <w:t>2.69</w:t>
            </w:r>
          </w:p>
        </w:tc>
      </w:tr>
      <w:tr w:rsidR="00311C9B" w:rsidRPr="00DC4C68" w:rsidTr="0089573D">
        <w:trPr>
          <w:trHeight w:val="64"/>
          <w:jc w:val="center"/>
        </w:trPr>
        <w:tc>
          <w:tcPr>
            <w:cnfStyle w:val="001000000000" w:firstRow="0" w:lastRow="0" w:firstColumn="1" w:lastColumn="0" w:oddVBand="0" w:evenVBand="0" w:oddHBand="0" w:evenHBand="0" w:firstRowFirstColumn="0" w:firstRowLastColumn="0" w:lastRowFirstColumn="0" w:lastRowLastColumn="0"/>
            <w:tcW w:w="1508" w:type="dxa"/>
            <w:tcBorders>
              <w:bottom w:val="nil"/>
            </w:tcBorders>
            <w:shd w:val="clear" w:color="auto" w:fill="auto"/>
            <w:noWrap/>
            <w:hideMark/>
          </w:tcPr>
          <w:p w:rsidR="00311C9B" w:rsidRPr="00DC4C68" w:rsidRDefault="00311C9B" w:rsidP="0089573D">
            <w:pPr>
              <w:spacing w:before="60" w:after="0"/>
              <w:rPr>
                <w:rFonts w:ascii="Times New Roman" w:hAnsi="Times New Roman" w:cs="Times New Roman"/>
                <w:b w:val="0"/>
                <w:color w:val="auto"/>
                <w:sz w:val="20"/>
                <w:szCs w:val="24"/>
              </w:rPr>
            </w:pPr>
            <w:r w:rsidRPr="00DC4C68">
              <w:rPr>
                <w:rFonts w:ascii="Times New Roman" w:hAnsi="Times New Roman" w:cs="Times New Roman"/>
                <w:b w:val="0"/>
                <w:color w:val="auto"/>
                <w:sz w:val="20"/>
                <w:szCs w:val="24"/>
              </w:rPr>
              <w:t>600</w:t>
            </w:r>
          </w:p>
        </w:tc>
        <w:tc>
          <w:tcPr>
            <w:tcW w:w="2531" w:type="dxa"/>
            <w:tcBorders>
              <w:bottom w:val="nil"/>
            </w:tcBorders>
            <w:shd w:val="clear" w:color="auto" w:fill="auto"/>
            <w:hideMark/>
          </w:tcPr>
          <w:p w:rsidR="00311C9B" w:rsidRPr="00DC4C68" w:rsidRDefault="00311C9B" w:rsidP="0089573D">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DC4C68">
              <w:rPr>
                <w:rFonts w:ascii="Times New Roman" w:hAnsi="Times New Roman" w:cs="Times New Roman"/>
                <w:color w:val="auto"/>
                <w:sz w:val="20"/>
                <w:szCs w:val="24"/>
              </w:rPr>
              <w:t>0.35</w:t>
            </w:r>
          </w:p>
        </w:tc>
        <w:tc>
          <w:tcPr>
            <w:tcW w:w="2491" w:type="dxa"/>
            <w:tcBorders>
              <w:bottom w:val="nil"/>
            </w:tcBorders>
            <w:shd w:val="clear" w:color="auto" w:fill="auto"/>
            <w:hideMark/>
          </w:tcPr>
          <w:p w:rsidR="00311C9B" w:rsidRPr="00DC4C68" w:rsidRDefault="00311C9B" w:rsidP="0089573D">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DC4C68">
              <w:rPr>
                <w:rFonts w:ascii="Times New Roman" w:hAnsi="Times New Roman" w:cs="Times New Roman"/>
                <w:color w:val="auto"/>
                <w:sz w:val="20"/>
                <w:szCs w:val="24"/>
              </w:rPr>
              <w:t>3.47</w:t>
            </w:r>
          </w:p>
        </w:tc>
      </w:tr>
      <w:tr w:rsidR="00311C9B" w:rsidRPr="00DC4C68" w:rsidTr="0089573D">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508" w:type="dxa"/>
            <w:tcBorders>
              <w:top w:val="nil"/>
              <w:bottom w:val="single" w:sz="4" w:space="0" w:color="auto"/>
            </w:tcBorders>
            <w:shd w:val="clear" w:color="auto" w:fill="auto"/>
            <w:noWrap/>
            <w:hideMark/>
          </w:tcPr>
          <w:p w:rsidR="00311C9B" w:rsidRPr="00DC4C68" w:rsidRDefault="00311C9B" w:rsidP="0089573D">
            <w:pPr>
              <w:spacing w:before="60" w:after="60"/>
              <w:rPr>
                <w:rFonts w:ascii="Times New Roman" w:hAnsi="Times New Roman" w:cs="Times New Roman"/>
                <w:b w:val="0"/>
                <w:color w:val="auto"/>
                <w:sz w:val="20"/>
                <w:szCs w:val="24"/>
              </w:rPr>
            </w:pPr>
            <w:r w:rsidRPr="00DC4C68">
              <w:rPr>
                <w:rFonts w:ascii="Times New Roman" w:hAnsi="Times New Roman" w:cs="Times New Roman"/>
                <w:b w:val="0"/>
                <w:color w:val="auto"/>
                <w:sz w:val="20"/>
                <w:szCs w:val="24"/>
              </w:rPr>
              <w:t>800</w:t>
            </w:r>
          </w:p>
        </w:tc>
        <w:tc>
          <w:tcPr>
            <w:tcW w:w="2531" w:type="dxa"/>
            <w:tcBorders>
              <w:top w:val="nil"/>
              <w:bottom w:val="single" w:sz="4" w:space="0" w:color="auto"/>
            </w:tcBorders>
            <w:shd w:val="clear" w:color="auto" w:fill="auto"/>
            <w:hideMark/>
          </w:tcPr>
          <w:p w:rsidR="00311C9B" w:rsidRPr="00DC4C68" w:rsidRDefault="00311C9B" w:rsidP="0089573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DC4C68">
              <w:rPr>
                <w:rFonts w:ascii="Times New Roman" w:hAnsi="Times New Roman" w:cs="Times New Roman"/>
                <w:color w:val="auto"/>
                <w:sz w:val="20"/>
                <w:szCs w:val="24"/>
              </w:rPr>
              <w:t>0.35</w:t>
            </w:r>
          </w:p>
        </w:tc>
        <w:tc>
          <w:tcPr>
            <w:tcW w:w="2491" w:type="dxa"/>
            <w:tcBorders>
              <w:top w:val="nil"/>
              <w:bottom w:val="single" w:sz="4" w:space="0" w:color="auto"/>
            </w:tcBorders>
            <w:shd w:val="clear" w:color="auto" w:fill="auto"/>
            <w:hideMark/>
          </w:tcPr>
          <w:p w:rsidR="00311C9B" w:rsidRPr="00DC4C68" w:rsidRDefault="00311C9B" w:rsidP="0089573D">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DC4C68">
              <w:rPr>
                <w:rFonts w:ascii="Times New Roman" w:hAnsi="Times New Roman" w:cs="Times New Roman"/>
                <w:color w:val="auto"/>
                <w:sz w:val="20"/>
                <w:szCs w:val="24"/>
              </w:rPr>
              <w:t>4.59</w:t>
            </w:r>
          </w:p>
        </w:tc>
      </w:tr>
    </w:tbl>
    <w:p w:rsidR="00311C9B" w:rsidRDefault="00311C9B" w:rsidP="0089573D">
      <w:pPr>
        <w:spacing w:after="120" w:line="240" w:lineRule="auto"/>
        <w:jc w:val="both"/>
        <w:rPr>
          <w:rFonts w:ascii="Times New Roman" w:hAnsi="Times New Roman"/>
          <w:sz w:val="20"/>
          <w:szCs w:val="24"/>
        </w:rPr>
      </w:pPr>
    </w:p>
    <w:p w:rsidR="00311C9B" w:rsidRPr="00DC4C68" w:rsidRDefault="00311C9B" w:rsidP="00311C9B">
      <w:pPr>
        <w:spacing w:after="0" w:line="240" w:lineRule="auto"/>
        <w:jc w:val="both"/>
        <w:rPr>
          <w:rFonts w:ascii="Times New Roman" w:hAnsi="Times New Roman"/>
          <w:sz w:val="20"/>
          <w:szCs w:val="24"/>
        </w:rPr>
      </w:pPr>
      <w:r w:rsidRPr="00DC4C68">
        <w:rPr>
          <w:rFonts w:ascii="Times New Roman" w:hAnsi="Times New Roman"/>
          <w:sz w:val="20"/>
          <w:szCs w:val="24"/>
        </w:rPr>
        <w:t>Based on the cyclic voltammogram result in Figure 6(a), the peak potential being unchanged for five successive different UA standard measurements at constant scan rate and experimental condition. This reflects good stability and accountability in measuring the current responses originated from various UA standard concentrations in suggested cyclic voltammetry technique. The calibration curve was plotted against the concentration of UA ranging from 100 μM to 800 μM provided a good fitting of data with correlation coefficient equal to 0.99711. The linearity behavior of UA concentration and anodic peak currents can be expressed as I</w:t>
      </w:r>
      <w:r w:rsidRPr="00DC4C68">
        <w:rPr>
          <w:rFonts w:ascii="Times New Roman" w:hAnsi="Times New Roman"/>
          <w:sz w:val="20"/>
          <w:szCs w:val="24"/>
          <w:vertAlign w:val="subscript"/>
        </w:rPr>
        <w:t>pa</w:t>
      </w:r>
      <w:r w:rsidRPr="00DC4C68">
        <w:rPr>
          <w:rFonts w:ascii="Times New Roman" w:hAnsi="Times New Roman"/>
          <w:sz w:val="20"/>
          <w:szCs w:val="24"/>
        </w:rPr>
        <w:t xml:space="preserve"> (A) = 4.757 x10</w:t>
      </w:r>
      <w:r w:rsidRPr="00DC4C68">
        <w:rPr>
          <w:rFonts w:ascii="Times New Roman" w:hAnsi="Times New Roman"/>
          <w:sz w:val="20"/>
          <w:szCs w:val="24"/>
          <w:vertAlign w:val="superscript"/>
        </w:rPr>
        <w:t>-9</w:t>
      </w:r>
      <w:r w:rsidRPr="00DC4C68">
        <w:rPr>
          <w:rFonts w:ascii="Times New Roman" w:hAnsi="Times New Roman"/>
          <w:sz w:val="20"/>
          <w:szCs w:val="24"/>
        </w:rPr>
        <w:t xml:space="preserve"> </w:t>
      </w:r>
      <w:r w:rsidRPr="00DC4C68">
        <w:rPr>
          <w:rFonts w:ascii="Times New Roman" w:hAnsi="Times New Roman"/>
          <w:i/>
          <w:sz w:val="20"/>
          <w:szCs w:val="24"/>
        </w:rPr>
        <w:t>c</w:t>
      </w:r>
      <w:r w:rsidRPr="00DC4C68">
        <w:rPr>
          <w:rFonts w:ascii="Times New Roman" w:hAnsi="Times New Roman"/>
          <w:sz w:val="20"/>
          <w:szCs w:val="24"/>
        </w:rPr>
        <w:t xml:space="preserve"> + 7.270 x10</w:t>
      </w:r>
      <w:r w:rsidRPr="00DC4C68">
        <w:rPr>
          <w:rFonts w:ascii="Times New Roman" w:hAnsi="Times New Roman"/>
          <w:sz w:val="20"/>
          <w:szCs w:val="24"/>
          <w:vertAlign w:val="superscript"/>
        </w:rPr>
        <w:t>-7</w:t>
      </w:r>
      <w:r w:rsidRPr="00DC4C68">
        <w:rPr>
          <w:rFonts w:ascii="Times New Roman" w:hAnsi="Times New Roman"/>
          <w:sz w:val="20"/>
          <w:szCs w:val="24"/>
        </w:rPr>
        <w:t>, as shown in the Figure 6 (b). The highest current achieved was 4.59 μA correspondingly to the highest upper limit of UA concentration, which is 80 0μM and the trend then followed in descending order of 600 μM (3.47 μA) &lt; 400 μM (2.69μA) &lt; 200 μM (1.65 μA) &lt; 100 μM (1.23 μA).  The result obtained implies that the Fe</w:t>
      </w:r>
      <w:r w:rsidRPr="00DC4C68">
        <w:rPr>
          <w:rFonts w:ascii="Times New Roman" w:hAnsi="Times New Roman"/>
          <w:sz w:val="20"/>
          <w:szCs w:val="24"/>
          <w:vertAlign w:val="subscript"/>
        </w:rPr>
        <w:t>3</w:t>
      </w:r>
      <w:r w:rsidRPr="00DC4C68">
        <w:rPr>
          <w:rFonts w:ascii="Times New Roman" w:hAnsi="Times New Roman"/>
          <w:sz w:val="20"/>
          <w:szCs w:val="24"/>
        </w:rPr>
        <w:t>O</w:t>
      </w:r>
      <w:r w:rsidRPr="00DC4C68">
        <w:rPr>
          <w:rFonts w:ascii="Times New Roman" w:hAnsi="Times New Roman"/>
          <w:sz w:val="20"/>
          <w:szCs w:val="24"/>
          <w:vertAlign w:val="subscript"/>
        </w:rPr>
        <w:t>4</w:t>
      </w:r>
      <w:r w:rsidRPr="00DC4C68">
        <w:rPr>
          <w:rFonts w:ascii="Times New Roman" w:hAnsi="Times New Roman"/>
          <w:sz w:val="20"/>
          <w:szCs w:val="24"/>
        </w:rPr>
        <w:t xml:space="preserve">/rGO nanocomposite manage to electrocatalyze the UA oxidation meanwhile current transport at the electrode surface facilitated by gapless conducting material of rGO due excellent electron conductivity </w:t>
      </w:r>
      <w:r w:rsidRPr="00DC4C68">
        <w:rPr>
          <w:rFonts w:ascii="Times New Roman" w:hAnsi="Times New Roman"/>
          <w:sz w:val="20"/>
          <w:szCs w:val="24"/>
        </w:rPr>
        <w:fldChar w:fldCharType="begin" w:fldLock="1"/>
      </w:r>
      <w:r w:rsidRPr="00DC4C68">
        <w:rPr>
          <w:rFonts w:ascii="Times New Roman" w:hAnsi="Times New Roman"/>
          <w:sz w:val="20"/>
          <w:szCs w:val="24"/>
        </w:rPr>
        <w:instrText>ADDIN CSL_CITATION {"citationItems":[{"id":"ITEM-1","itemData":{"DOI":"10.3390/s140815227","ISBN":"1424-8220","ISSN":"1424-8220","PMID":"25195850","abstract":"The fabrication of an electrochemical sensor based on an iron oxide/graphene modified glassy carbon electrode (Fe3O4/rGO/GCE) and its simultaneous detection of dopamine (DA) and ascorbic acid (AA) is described here. The Fe3O4/rGO nanocomposite was synthesized via a simple, one step in-situ wet chemical method and characterized by different techniques. The presence of Fe3O4 nanoparticles on the surface of rGO sheets was confirmed by FESEM and TEM images. The electrochemical behavior of Fe3O4/rGO/GCE towards electrocatalytic oxidation of DA was investigated by cyclic voltammetry (CV) and differential pulse voltammetry (DPV) analysis. The electrochemical studies revealed that the Fe3O4/rGO/GCE dramatically increased the current response against the DA, due to the synergistic effect emerged between Fe3O4 and rGO. This implies that Fe3O4/rGO/GCE could exhibit excellent electrocatalytic activity and remarkable electron transfer kinetics towards the oxidation of DA. Moreover, the modified sensor electrode portrayed sensitivity and selectivity for simultaneous determination of AA and DA. The observed DPVs response linearly depends on AA and DA concentration in the range of 1–9 mM and 0.5–100 µM, with correlation coefficients of 0.995 and 0.996, respectively. The detection limit of \\r\\n(S/N = 3) was found to be 0.42 and 0.12 µM for AA and DA, respectively.","author":[{"dropping-particle":"","family":"Peik-See","given":"Teo","non-dropping-particle":"","parse-names":false,"suffix":""},{"dropping-particle":"","family":"Pandikumar","given":"Alagarsamy","non-dropping-particle":"","parse-names":false,"suffix":""},{"dropping-particle":"","family":"Nay-Ming","given":"Huang","non-dropping-particle":"","parse-names":false,"suffix":""},{"dropping-particle":"","family":"Hong-Ngee","given":"Lim","non-dropping-particle":"","parse-names":false,"suffix":""},{"dropping-particle":"","family":"Sulaiman","given":"Yusran","non-dropping-particle":"","parse-names":false,"suffix":""}],"container-title":"Sensors","id":"ITEM-1","issue":"8","issued":{"date-parts":[["2014"]]},"page":"15227-15243","title":"Simultaneous Electrochemical Detection of Dopamine and Ascorbic Acid Using an Iron Oxide/Reduced Graphene Oxide Modified Glassy Carbon Electrode","type":"article-journal","volume":"14"},"uris":["http://www.mendeley.com/documents/?uuid=4f848652-62ba-4ba9-86a6-9222283aa68a","http://www.mendeley.com/documents/?uuid=b32a4046-e590-4947-bca3-23cbffab80d7"]},{"id":"ITEM-2","itemData":{"DOI":"10.1039/c4ra03148b","ISBN":"2046-2069","ISSN":"20462069","abstract":"A facile and cost-effective approach has been developed towards electrochemical fabrication of a reduced graphene oxide (RGO) modified glassy carbon electrode (RGO/GCE). Scanning electron microscopy (SEM) images show that RGO is covered completely on the surface of glassy carbon electrodes. The RGO/GCE is used to detect dopamine (DA), uric acid (UA) and ascorbic acid (AA) simultaneously via cyclic voltammetry (CV) and differential pulse voltammetry (DPV) methods. Compared with bare GCE, RGO/GCE exhibits much high electrocatalytic activities toward the oxidation of DA, UA and AA, and three well-defined fully resolved anodic peaks were found in the CV curve at RGO/GCE. The GCEs modified with different amounts of RGO have an obvious influence on the determination of DA, UA and AA. By changing the concentrations of DA, UA and AA in the three substances coexisting system, the linear response ranges for the determination of DA, UA and AA were 0.1-400 [small mu ]M, 2-600 [small mu ]M, and 0.7-100 [small mu ]M with the limit of detection (LOD) (S/N = 3) were estimated to be 0.1 [small mu ]M, 1 [small mu ]M and 0.7 [small mu ]M, respectively. Moreover, it is found that RGO/GCE displays high reproducibility and selectivity for the determination of DA, UA and AA.","author":[{"dropping-particle":"","family":"Wang","given":"Huiwen","non-dropping-particle":"","parse-names":false,"suffix":""},{"dropping-particle":"","family":"Ren","given":"Fangfang","non-dropping-particle":"","parse-names":false,"suffix":""},{"dropping-particle":"","family":"Wang","given":"Caiqin","non-dropping-particle":"","parse-names":false,"suffix":""},{"dropping-particle":"","family":"Yang","given":"Beibei","non-dropping-particle":"","parse-names":false,"suffix":""},{"dropping-particle":"","family":"Bin","given":"Duan","non-dropping-particle":"","parse-names":false,"suffix":""},{"dropping-particle":"","family":"Zhang","given":"Ke","non-dropping-particle":"","parse-names":false,"suffix":""},{"dropping-particle":"","family":"Du","given":"Yukou","non-dropping-particle":"","parse-names":false,"suffix":""}],"container-title":"RSC Advances","id":"ITEM-2","issue":"51","issued":{"date-parts":[["2014"]]},"page":"26895-26901","title":"Simultaneous determination of dopamine, uric acid and ascorbic acid using a glassy carbon electrode modified with reduced graphene oxide","type":"article-journal","volume":"4"},"uris":["http://www.mendeley.com/documents/?uuid=14f57793-1d1a-4ab4-8926-8d4f2175d96a","http://www.mendeley.com/documents/?uuid=c9d33ad5-37ec-4b52-913d-b80d364f7b99","http://www.mendeley.com/documents/?uuid=7228ffbe-46bf-41ff-a1a7-9c4272754eeb"]}],"mendeley":{"formattedCitation":"[1,7]","plainTextFormattedCitation":"[1,7]","previouslyFormattedCitation":"[1,7]"},"properties":{"noteIndex":0},"schema":"https://github.com/citation-style-language/schema/raw/master/csl-citation.json"}</w:instrText>
      </w:r>
      <w:r w:rsidRPr="00DC4C68">
        <w:rPr>
          <w:rFonts w:ascii="Times New Roman" w:hAnsi="Times New Roman"/>
          <w:sz w:val="20"/>
          <w:szCs w:val="24"/>
        </w:rPr>
        <w:fldChar w:fldCharType="separate"/>
      </w:r>
      <w:r w:rsidRPr="00DC4C68">
        <w:rPr>
          <w:rFonts w:ascii="Times New Roman" w:hAnsi="Times New Roman"/>
          <w:noProof/>
          <w:sz w:val="20"/>
          <w:szCs w:val="24"/>
        </w:rPr>
        <w:t>[1, 7]</w:t>
      </w:r>
      <w:r w:rsidRPr="00DC4C68">
        <w:rPr>
          <w:rFonts w:ascii="Times New Roman" w:hAnsi="Times New Roman"/>
          <w:sz w:val="20"/>
          <w:szCs w:val="24"/>
        </w:rPr>
        <w:fldChar w:fldCharType="end"/>
      </w:r>
      <w:r w:rsidRPr="00DC4C68">
        <w:rPr>
          <w:rFonts w:ascii="Times New Roman" w:hAnsi="Times New Roman"/>
          <w:sz w:val="20"/>
          <w:szCs w:val="24"/>
        </w:rPr>
        <w:t xml:space="preserve">.  The preferential concentration for the following research purpose was chosen 400μM, which is the intermediate value at full concentration range of UA studied. It gives sharp and well-defined oxidative current peak of considerable good sensitivity and peak resolution. </w:t>
      </w:r>
    </w:p>
    <w:p w:rsidR="00311C9B" w:rsidRDefault="00311C9B" w:rsidP="00311C9B">
      <w:pPr>
        <w:spacing w:after="0" w:line="240" w:lineRule="auto"/>
        <w:jc w:val="both"/>
        <w:rPr>
          <w:rFonts w:ascii="Times New Roman" w:hAnsi="Times New Roman"/>
          <w:noProof/>
          <w:sz w:val="20"/>
          <w:szCs w:val="20"/>
          <w:lang w:bidi="ar-SA"/>
        </w:rPr>
      </w:pPr>
    </w:p>
    <w:p w:rsidR="00311C9B" w:rsidRDefault="00F329CE" w:rsidP="0089573D">
      <w:pPr>
        <w:spacing w:after="120" w:line="240" w:lineRule="auto"/>
        <w:jc w:val="center"/>
        <w:rPr>
          <w:rFonts w:ascii="Times New Roman" w:hAnsi="Times New Roman"/>
          <w:noProof/>
          <w:sz w:val="20"/>
          <w:szCs w:val="20"/>
          <w:lang w:bidi="ar-SA"/>
        </w:rPr>
      </w:pPr>
      <w:r>
        <w:rPr>
          <w:rFonts w:ascii="Times New Roman" w:hAnsi="Times New Roman"/>
          <w:noProof/>
          <w:sz w:val="20"/>
          <w:szCs w:val="20"/>
          <w:lang w:bidi="ar-SA"/>
        </w:rPr>
        <w:lastRenderedPageBreak/>
        <w:drawing>
          <wp:inline distT="0" distB="0" distL="0" distR="0">
            <wp:extent cx="5200650" cy="2247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png"/>
                    <pic:cNvPicPr/>
                  </pic:nvPicPr>
                  <pic:blipFill>
                    <a:blip r:embed="rId16">
                      <a:extLst>
                        <a:ext uri="{28A0092B-C50C-407E-A947-70E740481C1C}">
                          <a14:useLocalDpi xmlns:a14="http://schemas.microsoft.com/office/drawing/2010/main" val="0"/>
                        </a:ext>
                      </a:extLst>
                    </a:blip>
                    <a:stretch>
                      <a:fillRect/>
                    </a:stretch>
                  </pic:blipFill>
                  <pic:spPr>
                    <a:xfrm>
                      <a:off x="0" y="0"/>
                      <a:ext cx="5200650" cy="2247900"/>
                    </a:xfrm>
                    <a:prstGeom prst="rect">
                      <a:avLst/>
                    </a:prstGeom>
                  </pic:spPr>
                </pic:pic>
              </a:graphicData>
            </a:graphic>
          </wp:inline>
        </w:drawing>
      </w:r>
    </w:p>
    <w:p w:rsidR="0089573D" w:rsidRPr="00DC4C68" w:rsidRDefault="0089573D" w:rsidP="0089573D">
      <w:pPr>
        <w:spacing w:after="0" w:line="240" w:lineRule="auto"/>
        <w:ind w:left="900" w:hanging="900"/>
        <w:jc w:val="both"/>
        <w:rPr>
          <w:rFonts w:ascii="Times New Roman" w:hAnsi="Times New Roman"/>
          <w:iCs/>
          <w:sz w:val="20"/>
          <w:szCs w:val="24"/>
        </w:rPr>
      </w:pPr>
      <w:r w:rsidRPr="00DC4C68">
        <w:rPr>
          <w:rFonts w:ascii="Times New Roman" w:hAnsi="Times New Roman"/>
          <w:iCs/>
          <w:sz w:val="20"/>
          <w:szCs w:val="24"/>
        </w:rPr>
        <w:t xml:space="preserve">Figure 6. </w:t>
      </w:r>
      <w:r>
        <w:rPr>
          <w:rFonts w:ascii="Times New Roman" w:hAnsi="Times New Roman"/>
          <w:iCs/>
          <w:sz w:val="20"/>
          <w:szCs w:val="24"/>
        </w:rPr>
        <w:tab/>
      </w:r>
      <w:r w:rsidRPr="00DC4C68">
        <w:rPr>
          <w:rFonts w:ascii="Times New Roman" w:hAnsi="Times New Roman"/>
          <w:iCs/>
          <w:sz w:val="20"/>
          <w:szCs w:val="24"/>
        </w:rPr>
        <w:t xml:space="preserve">(a) Cyclic voltammetry measurements </w:t>
      </w:r>
      <w:r>
        <w:rPr>
          <w:rFonts w:ascii="Times New Roman" w:hAnsi="Times New Roman"/>
          <w:iCs/>
          <w:sz w:val="20"/>
          <w:szCs w:val="24"/>
        </w:rPr>
        <w:t xml:space="preserve"> </w:t>
      </w:r>
      <w:r w:rsidRPr="00DC4C68">
        <w:rPr>
          <w:rFonts w:ascii="Times New Roman" w:hAnsi="Times New Roman"/>
          <w:iCs/>
          <w:sz w:val="20"/>
          <w:szCs w:val="24"/>
        </w:rPr>
        <w:t>at various</w:t>
      </w:r>
      <w:r>
        <w:rPr>
          <w:rFonts w:ascii="Times New Roman" w:hAnsi="Times New Roman"/>
          <w:iCs/>
          <w:sz w:val="20"/>
          <w:szCs w:val="24"/>
        </w:rPr>
        <w:t xml:space="preserve"> </w:t>
      </w:r>
      <w:r w:rsidRPr="00DC4C68">
        <w:rPr>
          <w:rFonts w:ascii="Times New Roman" w:hAnsi="Times New Roman"/>
          <w:iCs/>
          <w:sz w:val="20"/>
          <w:szCs w:val="24"/>
        </w:rPr>
        <w:t xml:space="preserve"> concentrations ranging from 100 μM to 500 μM of UA standard solution</w:t>
      </w:r>
      <w:bookmarkStart w:id="11" w:name="_Toc532037457"/>
      <w:r w:rsidRPr="00DC4C68">
        <w:rPr>
          <w:rFonts w:ascii="Times New Roman" w:hAnsi="Times New Roman"/>
          <w:iCs/>
          <w:sz w:val="20"/>
          <w:szCs w:val="24"/>
        </w:rPr>
        <w:t xml:space="preserve"> and</w:t>
      </w:r>
      <w:r>
        <w:rPr>
          <w:rFonts w:ascii="Times New Roman" w:hAnsi="Times New Roman"/>
          <w:iCs/>
          <w:sz w:val="20"/>
          <w:szCs w:val="24"/>
        </w:rPr>
        <w:t xml:space="preserve"> </w:t>
      </w:r>
      <w:r w:rsidRPr="00DC4C68">
        <w:rPr>
          <w:rFonts w:ascii="Times New Roman" w:hAnsi="Times New Roman"/>
          <w:iCs/>
          <w:sz w:val="20"/>
          <w:szCs w:val="24"/>
        </w:rPr>
        <w:t xml:space="preserve"> (b) Calibration </w:t>
      </w:r>
      <w:r>
        <w:rPr>
          <w:rFonts w:ascii="Times New Roman" w:hAnsi="Times New Roman"/>
          <w:iCs/>
          <w:sz w:val="20"/>
          <w:szCs w:val="24"/>
        </w:rPr>
        <w:t xml:space="preserve"> </w:t>
      </w:r>
      <w:r w:rsidRPr="00DC4C68">
        <w:rPr>
          <w:rFonts w:ascii="Times New Roman" w:hAnsi="Times New Roman"/>
          <w:iCs/>
          <w:sz w:val="20"/>
          <w:szCs w:val="24"/>
        </w:rPr>
        <w:t xml:space="preserve">curve </w:t>
      </w:r>
      <w:r>
        <w:rPr>
          <w:rFonts w:ascii="Times New Roman" w:hAnsi="Times New Roman"/>
          <w:iCs/>
          <w:sz w:val="20"/>
          <w:szCs w:val="24"/>
        </w:rPr>
        <w:t xml:space="preserve"> </w:t>
      </w:r>
      <w:r w:rsidRPr="00DC4C68">
        <w:rPr>
          <w:rFonts w:ascii="Times New Roman" w:hAnsi="Times New Roman"/>
          <w:iCs/>
          <w:sz w:val="20"/>
          <w:szCs w:val="24"/>
        </w:rPr>
        <w:t xml:space="preserve">of </w:t>
      </w:r>
      <w:r>
        <w:rPr>
          <w:rFonts w:ascii="Times New Roman" w:hAnsi="Times New Roman"/>
          <w:iCs/>
          <w:sz w:val="20"/>
          <w:szCs w:val="24"/>
        </w:rPr>
        <w:t xml:space="preserve"> </w:t>
      </w:r>
      <w:r w:rsidRPr="00DC4C68">
        <w:rPr>
          <w:rFonts w:ascii="Times New Roman" w:hAnsi="Times New Roman"/>
          <w:iCs/>
          <w:sz w:val="20"/>
          <w:szCs w:val="24"/>
        </w:rPr>
        <w:t xml:space="preserve">anodic </w:t>
      </w:r>
      <w:r>
        <w:rPr>
          <w:rFonts w:ascii="Times New Roman" w:hAnsi="Times New Roman"/>
          <w:iCs/>
          <w:sz w:val="20"/>
          <w:szCs w:val="24"/>
        </w:rPr>
        <w:t xml:space="preserve"> </w:t>
      </w:r>
      <w:r w:rsidRPr="00DC4C68">
        <w:rPr>
          <w:rFonts w:ascii="Times New Roman" w:hAnsi="Times New Roman"/>
          <w:iCs/>
          <w:sz w:val="20"/>
          <w:szCs w:val="24"/>
        </w:rPr>
        <w:t>peak current against UA concentration (100-800 μM)</w:t>
      </w:r>
      <w:bookmarkEnd w:id="11"/>
    </w:p>
    <w:p w:rsidR="00311C9B" w:rsidRDefault="00311C9B" w:rsidP="0089573D">
      <w:pPr>
        <w:spacing w:after="120" w:line="240" w:lineRule="auto"/>
        <w:jc w:val="both"/>
        <w:rPr>
          <w:rFonts w:ascii="Times New Roman" w:hAnsi="Times New Roman"/>
          <w:noProof/>
          <w:sz w:val="20"/>
          <w:szCs w:val="20"/>
          <w:lang w:bidi="ar-SA"/>
        </w:rPr>
      </w:pPr>
    </w:p>
    <w:p w:rsidR="0089573D" w:rsidRPr="00DC4C68" w:rsidRDefault="0089573D" w:rsidP="0089573D">
      <w:pPr>
        <w:spacing w:after="0" w:line="240" w:lineRule="auto"/>
        <w:jc w:val="both"/>
        <w:rPr>
          <w:rFonts w:ascii="Times New Roman" w:hAnsi="Times New Roman"/>
          <w:sz w:val="20"/>
          <w:szCs w:val="24"/>
        </w:rPr>
      </w:pPr>
      <w:r w:rsidRPr="00DC4C68">
        <w:rPr>
          <w:rFonts w:ascii="Times New Roman" w:hAnsi="Times New Roman"/>
          <w:sz w:val="20"/>
          <w:szCs w:val="24"/>
        </w:rPr>
        <w:t>The effect of supporting electrolyte (PBS buffer solution) pH on the CV and DPV response of 400 μM UA were conducted by varying the pH from 4.0 to 9.0. The changes to the chemical environment surrounding the UA molecules in reaction of electrochemical oxidation was investigated in term of peak current and potential as well as the charging effect due electrolyte properties. Refers to Figure 7(a) and (b), the anodic peak potential shifts negatively as pH varying from 4.0 to 9.0 in both CV and DPV measurement. The DPV displays even higher sensitivity and selectivity as compared to typical CV technique due slow decay rate of capacitance current and non-faradaic current corresponds to the background current. These profound negative shifts suggested that the redox reaction of UA involved proton transferred at the Fe</w:t>
      </w:r>
      <w:r w:rsidRPr="00DC4C68">
        <w:rPr>
          <w:rFonts w:ascii="Times New Roman" w:hAnsi="Times New Roman"/>
          <w:sz w:val="20"/>
          <w:szCs w:val="24"/>
          <w:vertAlign w:val="subscript"/>
        </w:rPr>
        <w:t>3</w:t>
      </w:r>
      <w:r w:rsidRPr="00DC4C68">
        <w:rPr>
          <w:rFonts w:ascii="Times New Roman" w:hAnsi="Times New Roman"/>
          <w:sz w:val="20"/>
          <w:szCs w:val="24"/>
        </w:rPr>
        <w:t>O</w:t>
      </w:r>
      <w:r w:rsidRPr="00DC4C68">
        <w:rPr>
          <w:rFonts w:ascii="Times New Roman" w:hAnsi="Times New Roman"/>
          <w:sz w:val="20"/>
          <w:szCs w:val="24"/>
          <w:vertAlign w:val="subscript"/>
        </w:rPr>
        <w:t>4</w:t>
      </w:r>
      <w:r w:rsidRPr="00DC4C68">
        <w:rPr>
          <w:rFonts w:ascii="Times New Roman" w:hAnsi="Times New Roman"/>
          <w:sz w:val="20"/>
          <w:szCs w:val="24"/>
        </w:rPr>
        <w:t>-rGO modified electrode. The pH changes will affects the adsorption performance of Fe</w:t>
      </w:r>
      <w:r w:rsidRPr="00DC4C68">
        <w:rPr>
          <w:rFonts w:ascii="Times New Roman" w:hAnsi="Times New Roman"/>
          <w:sz w:val="20"/>
          <w:szCs w:val="24"/>
          <w:vertAlign w:val="subscript"/>
        </w:rPr>
        <w:t>3</w:t>
      </w:r>
      <w:r w:rsidRPr="00DC4C68">
        <w:rPr>
          <w:rFonts w:ascii="Times New Roman" w:hAnsi="Times New Roman"/>
          <w:sz w:val="20"/>
          <w:szCs w:val="24"/>
        </w:rPr>
        <w:t>O</w:t>
      </w:r>
      <w:r w:rsidRPr="00DC4C68">
        <w:rPr>
          <w:rFonts w:ascii="Times New Roman" w:hAnsi="Times New Roman"/>
          <w:sz w:val="20"/>
          <w:szCs w:val="24"/>
          <w:vertAlign w:val="subscript"/>
        </w:rPr>
        <w:t>4</w:t>
      </w:r>
      <w:r w:rsidRPr="00DC4C68">
        <w:rPr>
          <w:rFonts w:ascii="Times New Roman" w:hAnsi="Times New Roman"/>
          <w:sz w:val="20"/>
          <w:szCs w:val="24"/>
        </w:rPr>
        <w:t xml:space="preserve">/rGO, which can be rationalized based on the charge accumulation on the electroactive surface sites, degree of ionization of analyte, electrostatic repulsion or attraction between analyte and functionalized electrode surface </w:t>
      </w:r>
      <w:r w:rsidRPr="00DC4C68">
        <w:rPr>
          <w:rFonts w:ascii="Times New Roman" w:hAnsi="Times New Roman"/>
          <w:sz w:val="20"/>
          <w:szCs w:val="24"/>
        </w:rPr>
        <w:fldChar w:fldCharType="begin" w:fldLock="1"/>
      </w:r>
      <w:r w:rsidRPr="00DC4C68">
        <w:rPr>
          <w:rFonts w:ascii="Times New Roman" w:hAnsi="Times New Roman"/>
          <w:sz w:val="20"/>
          <w:szCs w:val="24"/>
        </w:rPr>
        <w:instrText>ADDIN CSL_CITATION {"citationItems":[{"id":"ITEM-1","itemData":{"DOI":"10.1007/s12274-011-0111-3","ISBN":"1998-0124","ISSN":"19980124","PMID":"23158339","abstract":"A simple one step solvothermal strategy using non-toxic and cost-effective precursors has been developed to prepare magnetite/reduced graphene oxide (MRGO) nanocomposites for removal of dye pollutants. Taking advantage of the combined benefits of graphene and magnetic nanoparticles, these MRGO nanocomposites exhibit excellent removal efficiency (over 91% for rhodamine B and over 94% for malachite green) and rapid separation from aqueous solution by an external magnetic field. Interestingly, the performance of the MRGO composites is strongly dependent on both the loading of Fe(3)O(4) and the pH value. In addition, the adsorption behavior of this new adsorbent fits well with the Freundlich isotherm and the pseudo-second-order kinetic model. In further applications, real samples-including industrial waste water and lake water-have been treated using the MRGO composites. All the results demonstrate that the MRGO composites are effective adsorbents for removal of dye pollutants and thus could provide a new platform for dye decontamination.","author":[{"dropping-particle":"","family":"Sun","given":"Hongmei","non-dropping-particle":"","parse-names":false,"suffix":""},{"dropping-particle":"","family":"Cao","given":"Linyuan","non-dropping-particle":"","parse-names":false,"suffix":""},{"dropping-particle":"","family":"Lu","given":"Lehui","non-dropping-particle":"","parse-names":false,"suffix":""}],"container-title":"Nano Research","id":"ITEM-1","issue":"6","issued":{"date-parts":[["2011"]]},"page":"550-562","title":"Magnetite/reduced graphene oxide nanocomposites: One step solvothermal synthesis and use as a novel platform for removal of dye pollutants","type":"article-journal","volume":"4"},"uris":["http://www.mendeley.com/documents/?uuid=e5ed525c-ad8e-4f03-81a0-47bbc5a5c864","http://www.mendeley.com/documents/?uuid=8daae57d-6b11-401b-a8b2-3a29908c0f0c"]},{"id":"ITEM-2","itemData":{"DOI":"10.1155/2016/2418172","ISBN":"2013032102","ISSN":"20909071 20909063","abstract":"The synthesis of reduced graphene oxide modified by magnetic iron oxide (Fe 3 O 4 /rGO) and its application for heavy metals removal were demonstrated. The obtained samples were characterized by X-ray diffraction (XRD), nitrogen adsorption/desorption isotherms, X-ray photoelectron spectroscopy (XPS), Fourier transform infrared spectroscopy (FT-IR), and magnetic measurement. The results showed that the obtained graphene oxide (GO) contains a small part of initial graphite as well as reduced oxide graphene. GO exhibits very high surface area in comparison with initial graphite. The morphology of Fe 3 O 4 /rGO consists of very fine spherical iron nanooxide particles in nanoscale. The formal kinetics and adsorption isotherms of As(V), Ni(II), and Pb(II) over obtained Fe 3 O 4 /rGO have been investigated. Fe 3 O 4 /rGO exhibits excellent heavy metal ions adsorption indicating that it is a potential adsorbent for water sources contaminated by heavy metals.","author":[{"dropping-particle":"","family":"Thi","given":"Nguyen","non-dropping-particle":"","parse-names":false,"suffix":""},{"dropping-particle":"","family":"Hoan","given":"Vuong","non-dropping-particle":"","parse-names":false,"suffix":""},{"dropping-particle":"","family":"Thu","given":"Anh","non-dropping-particle":"","parse-names":false,"suffix":""},{"dropping-particle":"Van","family":"Duc","given":"Hoang","non-dropping-particle":"","parse-names":false,"suffix":""},{"dropping-particle":"","family":"Cuong","given":"Nguyen Duc","non-dropping-particle":"","parse-names":false,"suffix":""},{"dropping-particle":"","family":"Khieu","given":"Dinh Quang","non-dropping-particle":"","parse-names":false,"suffix":""},{"dropping-particle":"","family":"Vo","given":"Vien","non-dropping-particle":"","parse-names":false,"suffix":""},{"dropping-particle":"","family":"Vuong","given":"Nguyen Thi","non-dropping-particle":"","parse-names":false,"suffix":""},{"dropping-particle":"","family":"Vn","given":"Hoan","non-dropping-particle":"","parse-names":false,"suffix":""}],"container-title":"Journal of Chemistry","id":"ITEM-2","issued":{"date-parts":[["2016"]]},"page":"1-10","title":"Fe3O4/Reduced Graphene Oxide Nanocomposite: Synthesis and Its Application for Toxic Metal Ion Removal","type":"article-journal","volume":"2016"},"uris":["http://www.mendeley.com/documents/?uuid=250e1a44-f528-415c-bbf7-4e1c1d316c1a","http://www.mendeley.com/documents/?uuid=41ac8600-d284-48d5-b4a8-fa78ce2ab743"]}],"mendeley":{"formattedCitation":"[14,31]","manualFormatting":"[14], [31]","plainTextFormattedCitation":"[14,31]","previouslyFormattedCitation":"[14,31]"},"properties":{"noteIndex":0},"schema":"https://github.com/citation-style-language/schema/raw/master/csl-citation.json"}</w:instrText>
      </w:r>
      <w:r w:rsidRPr="00DC4C68">
        <w:rPr>
          <w:rFonts w:ascii="Times New Roman" w:hAnsi="Times New Roman"/>
          <w:sz w:val="20"/>
          <w:szCs w:val="24"/>
        </w:rPr>
        <w:fldChar w:fldCharType="separate"/>
      </w:r>
      <w:r w:rsidRPr="00DC4C68">
        <w:rPr>
          <w:rFonts w:ascii="Times New Roman" w:hAnsi="Times New Roman"/>
          <w:noProof/>
          <w:sz w:val="20"/>
          <w:szCs w:val="24"/>
        </w:rPr>
        <w:t>[14, 30]</w:t>
      </w:r>
      <w:r w:rsidRPr="00DC4C68">
        <w:rPr>
          <w:rFonts w:ascii="Times New Roman" w:hAnsi="Times New Roman"/>
          <w:sz w:val="20"/>
          <w:szCs w:val="24"/>
        </w:rPr>
        <w:fldChar w:fldCharType="end"/>
      </w:r>
      <w:r w:rsidRPr="00DC4C68">
        <w:rPr>
          <w:rFonts w:ascii="Times New Roman" w:hAnsi="Times New Roman"/>
          <w:sz w:val="20"/>
          <w:szCs w:val="24"/>
        </w:rPr>
        <w:t xml:space="preserve">. </w:t>
      </w:r>
    </w:p>
    <w:p w:rsidR="0089573D" w:rsidRPr="00DC4C68" w:rsidRDefault="0089573D" w:rsidP="0089573D">
      <w:pPr>
        <w:spacing w:after="0" w:line="240" w:lineRule="auto"/>
        <w:jc w:val="both"/>
        <w:rPr>
          <w:rFonts w:ascii="Times New Roman" w:hAnsi="Times New Roman"/>
          <w:sz w:val="20"/>
          <w:szCs w:val="24"/>
        </w:rPr>
      </w:pPr>
    </w:p>
    <w:p w:rsidR="0089573D" w:rsidRPr="00DC4C68" w:rsidRDefault="0089573D" w:rsidP="0089573D">
      <w:pPr>
        <w:spacing w:after="0" w:line="240" w:lineRule="auto"/>
        <w:jc w:val="both"/>
        <w:rPr>
          <w:rFonts w:ascii="Times New Roman" w:hAnsi="Times New Roman"/>
          <w:sz w:val="20"/>
          <w:szCs w:val="24"/>
        </w:rPr>
      </w:pPr>
      <w:r w:rsidRPr="00DC4C68">
        <w:rPr>
          <w:rFonts w:ascii="Times New Roman" w:hAnsi="Times New Roman"/>
          <w:sz w:val="20"/>
          <w:szCs w:val="24"/>
        </w:rPr>
        <w:t>The uric acid solubilized in alkalizing solution presented majorly as deprotonated urate bearing an overall negative charged surface was repelled from redox site dominated by hydroxyl groups. Similarly, changes the pH from alkaline to acidic will neutralized the negative charged urate as non-ionized uric acid and the electrostatic attraction between the UA and Fe</w:t>
      </w:r>
      <w:r w:rsidRPr="00DC4C68">
        <w:rPr>
          <w:rFonts w:ascii="Times New Roman" w:hAnsi="Times New Roman"/>
          <w:sz w:val="20"/>
          <w:szCs w:val="24"/>
          <w:vertAlign w:val="subscript"/>
        </w:rPr>
        <w:t>3</w:t>
      </w:r>
      <w:r w:rsidRPr="00DC4C68">
        <w:rPr>
          <w:rFonts w:ascii="Times New Roman" w:hAnsi="Times New Roman"/>
          <w:sz w:val="20"/>
          <w:szCs w:val="24"/>
        </w:rPr>
        <w:t>O</w:t>
      </w:r>
      <w:r w:rsidRPr="00DC4C68">
        <w:rPr>
          <w:rFonts w:ascii="Times New Roman" w:hAnsi="Times New Roman"/>
          <w:sz w:val="20"/>
          <w:szCs w:val="24"/>
          <w:vertAlign w:val="subscript"/>
        </w:rPr>
        <w:t>4</w:t>
      </w:r>
      <w:r w:rsidRPr="00DC4C68">
        <w:rPr>
          <w:rFonts w:ascii="Times New Roman" w:hAnsi="Times New Roman"/>
          <w:sz w:val="20"/>
          <w:szCs w:val="24"/>
        </w:rPr>
        <w:t xml:space="preserve">-rGO/GCE surface was strengthen </w:t>
      </w:r>
      <w:r w:rsidRPr="00DC4C68">
        <w:rPr>
          <w:rFonts w:ascii="Times New Roman" w:hAnsi="Times New Roman"/>
          <w:sz w:val="20"/>
          <w:szCs w:val="24"/>
        </w:rPr>
        <w:fldChar w:fldCharType="begin" w:fldLock="1"/>
      </w:r>
      <w:r w:rsidRPr="00DC4C68">
        <w:rPr>
          <w:rFonts w:ascii="Times New Roman" w:hAnsi="Times New Roman"/>
          <w:sz w:val="20"/>
          <w:szCs w:val="24"/>
        </w:rPr>
        <w:instrText>ADDIN CSL_CITATION {"citationItems":[{"id":"ITEM-1","itemData":{"DOI":"10.1039/c6ra26933h","ISBN":"00010782","ISSN":"20462069","PMID":"26803424","abstract":"&lt;p&gt; The UIO-66-NO &lt;sub&gt;2&lt;/sub&gt; @XC-72 sensor exhibited excellent linear responses to AA, DA and UA due to the synergistic effect of UIO-66-NO &lt;sub&gt;2&lt;/sub&gt; and XC-72, as well as the hydrogen bond effect. The detection ranges were 0.2–3.5 μM for AA, 0.03–2.0 μM for DA and 0.75–22 μM for UA. &lt;/p&gt;","author":[{"dropping-particle":"","family":"Zhang","given":"Wanqing","non-dropping-particle":"","parse-names":false,"suffix":""},{"dropping-particle":"","family":"Chen","given":"Jun","non-dropping-particle":"","parse-names":false,"suffix":""},{"dropping-particle":"","family":"Li","given":"Yuanchao","non-dropping-particle":"","parse-names":false,"suffix":""},{"dropping-particle":"","family":"Yang","given":"Wenxiang","non-dropping-particle":"","parse-names":false,"suffix":""},{"dropping-particle":"","family":"Zhang","given":"Yadong","non-dropping-particle":"","parse-names":false,"suffix":""},{"dropping-particle":"","family":"Zhang","given":"Yuping","non-dropping-particle":"","parse-names":false,"suffix":""}],"container-title":"RSC Advances","id":"ITEM-1","issue":"10","issued":{"date-parts":[["2017"]]},"page":"5628-5635","publisher":"Royal Society of Chemistry","title":"Novel UIO-66-NO2@XC-72 nanohybrid as an electrode material for simultaneous detection of ascorbic acid, dopamine and uric acid","type":"article-journal","volume":"7"},"uris":["http://www.mendeley.com/documents/?uuid=b4fe9123-b829-4442-9a77-28edec89119c","http://www.mendeley.com/documents/?uuid=6c6e233b-0abb-4784-8dad-45563a73690b"]}],"mendeley":{"formattedCitation":"[32]","manualFormatting":"[32]","plainTextFormattedCitation":"[32]","previouslyFormattedCitation":"[32]"},"properties":{"noteIndex":0},"schema":"https://github.com/citation-style-language/schema/raw/master/csl-citation.json"}</w:instrText>
      </w:r>
      <w:r w:rsidRPr="00DC4C68">
        <w:rPr>
          <w:rFonts w:ascii="Times New Roman" w:hAnsi="Times New Roman"/>
          <w:sz w:val="20"/>
          <w:szCs w:val="24"/>
        </w:rPr>
        <w:fldChar w:fldCharType="separate"/>
      </w:r>
      <w:r w:rsidRPr="00DC4C68">
        <w:rPr>
          <w:rFonts w:ascii="Times New Roman" w:hAnsi="Times New Roman"/>
          <w:noProof/>
          <w:sz w:val="20"/>
          <w:szCs w:val="24"/>
        </w:rPr>
        <w:t>[31]</w:t>
      </w:r>
      <w:r w:rsidRPr="00DC4C68">
        <w:rPr>
          <w:rFonts w:ascii="Times New Roman" w:hAnsi="Times New Roman"/>
          <w:sz w:val="20"/>
          <w:szCs w:val="24"/>
        </w:rPr>
        <w:fldChar w:fldCharType="end"/>
      </w:r>
      <w:r w:rsidRPr="00DC4C68">
        <w:rPr>
          <w:rFonts w:ascii="Times New Roman" w:hAnsi="Times New Roman"/>
          <w:sz w:val="20"/>
          <w:szCs w:val="24"/>
        </w:rPr>
        <w:t xml:space="preserve">. </w:t>
      </w:r>
      <w:r w:rsidRPr="00DC4C68">
        <w:rPr>
          <w:rFonts w:ascii="Times New Roman" w:hAnsi="Times New Roman"/>
          <w:iCs/>
          <w:sz w:val="20"/>
          <w:szCs w:val="24"/>
        </w:rPr>
        <w:t>Figure 7(c), the pH selected was 7.0, which is neutral and assembles to normal urine pH of 6.0 to 7.5. The peak current measured in both CV and DPV techniques revealed that the pH selected is stable and high sensitivity in view of high peak currents and negligible interference. The results obtained was summarized in Table 5. The plot of anodic peak potential versus pH in Figure 7(d) expressed linearity (R</w:t>
      </w:r>
      <w:r w:rsidRPr="00DC4C68">
        <w:rPr>
          <w:rFonts w:ascii="Times New Roman" w:hAnsi="Times New Roman"/>
          <w:iCs/>
          <w:sz w:val="20"/>
          <w:szCs w:val="24"/>
          <w:vertAlign w:val="superscript"/>
        </w:rPr>
        <w:t>2</w:t>
      </w:r>
      <w:r w:rsidRPr="00DC4C68">
        <w:rPr>
          <w:rFonts w:ascii="Times New Roman" w:hAnsi="Times New Roman"/>
          <w:iCs/>
          <w:sz w:val="20"/>
          <w:szCs w:val="24"/>
        </w:rPr>
        <w:t xml:space="preserve"> = 0.99509) in the pH range of 4 to 9 with a slope of -56 mV pH</w:t>
      </w:r>
      <w:r w:rsidRPr="00DC4C68">
        <w:rPr>
          <w:rFonts w:ascii="Times New Roman" w:hAnsi="Times New Roman"/>
          <w:iCs/>
          <w:sz w:val="20"/>
          <w:szCs w:val="24"/>
          <w:vertAlign w:val="superscript"/>
        </w:rPr>
        <w:t>-1</w:t>
      </w:r>
      <w:r w:rsidRPr="00DC4C68">
        <w:rPr>
          <w:rFonts w:ascii="Times New Roman" w:hAnsi="Times New Roman"/>
          <w:iCs/>
          <w:sz w:val="20"/>
          <w:szCs w:val="24"/>
        </w:rPr>
        <w:t>, which closely approximate to the theoretical Nernst equation value (-59mV pH</w:t>
      </w:r>
      <w:r w:rsidRPr="00DC4C68">
        <w:rPr>
          <w:rFonts w:ascii="Times New Roman" w:hAnsi="Times New Roman"/>
          <w:iCs/>
          <w:sz w:val="20"/>
          <w:szCs w:val="24"/>
          <w:vertAlign w:val="superscript"/>
        </w:rPr>
        <w:t>-1</w:t>
      </w:r>
      <w:r w:rsidRPr="00DC4C68">
        <w:rPr>
          <w:rFonts w:ascii="Times New Roman" w:hAnsi="Times New Roman"/>
          <w:iCs/>
          <w:sz w:val="20"/>
          <w:szCs w:val="24"/>
        </w:rPr>
        <w:t xml:space="preserve">). This again implies that the electrochemical oxidation of UA involves an equivalent number (n=2) of electron  and proton </w:t>
      </w:r>
      <w:r w:rsidRPr="00DC4C68">
        <w:rPr>
          <w:rFonts w:ascii="Times New Roman" w:hAnsi="Times New Roman"/>
          <w:iCs/>
          <w:sz w:val="20"/>
          <w:szCs w:val="24"/>
        </w:rPr>
        <w:fldChar w:fldCharType="begin" w:fldLock="1"/>
      </w:r>
      <w:r w:rsidRPr="00DC4C68">
        <w:rPr>
          <w:rFonts w:ascii="Times New Roman" w:hAnsi="Times New Roman"/>
          <w:iCs/>
          <w:sz w:val="20"/>
          <w:szCs w:val="24"/>
        </w:rPr>
        <w:instrText>ADDIN CSL_CITATION {"citationItems":[{"id":"ITEM-1","itemData":{"DOI":"10.1039/C4AY00043A","ISBN":"1759-9660","ISSN":"1759-9660","abstract":"An electrochemically reduced graphene oxide modified glassy carbon electrode with good sensitivity and selectivity was developed and applied for sensing AA, DA and UA.","author":[{"dropping-particle":"","family":"Aneesh","given":"Padamadathil K.","non-dropping-particle":"","parse-names":false,"suffix":""},{"dropping-particle":"","family":"Nambiar","given":"Sindhu R.","non-dropping-particle":"","parse-names":false,"suffix":""},{"dropping-particle":"","family":"Rao","given":"Talasila P.","non-dropping-particle":"","parse-names":false,"suffix":""},{"dropping-particle":"","family":"Ajayaghosh","given":"Ayyappanpillai","non-dropping-particle":"","parse-names":false,"suffix":""}],"container-title":"Anal. Methods","id":"ITEM-1","issue":"14","issued":{"date-parts":[["2014"]]},"page":"5322-5330","title":"Electrochemically synthesized partially reduced graphene oxide modified glassy carbon electrode for individual and simultaneous voltammetric determination of ascorbic acid, dopamine and uric acid","type":"article-journal","volume":"6"},"uris":["http://www.mendeley.com/documents/?uuid=d187bd16-7934-4915-8424-f8af2ab1ccd8","http://www.mendeley.com/documents/?uuid=c98bc278-0476-40f4-85a5-055d4c23d9cf"]},{"id":"ITEM-2","itemData":{"DOI":"10.1039/c6ra26933h","ISBN":"00010782","ISSN":"20462069","PMID":"26803424","abstract":"&lt;p&gt; The UIO-66-NO &lt;sub&gt;2&lt;/sub&gt; @XC-72 sensor exhibited excellent linear responses to AA, DA and UA due to the synergistic effect of UIO-66-NO &lt;sub&gt;2&lt;/sub&gt; and XC-72, as well as the hydrogen bond effect. The detection ranges were 0.2–3.5 μM for AA, 0.03–2.0 μM for DA and 0.75–22 μM for UA. &lt;/p&gt;","author":[{"dropping-particle":"","family":"Zhang","given":"Wanqing","non-dropping-particle":"","parse-names":false,"suffix":""},{"dropping-particle":"","family":"Chen","given":"Jun","non-dropping-particle":"","parse-names":false,"suffix":""},{"dropping-particle":"","family":"Li","given":"Yuanchao","non-dropping-particle":"","parse-names":false,"suffix":""},{"dropping-particle":"","family":"Yang","given":"Wenxiang","non-dropping-particle":"","parse-names":false,"suffix":""},{"dropping-particle":"","family":"Zhang","given":"Yadong","non-dropping-particle":"","parse-names":false,"suffix":""},{"dropping-particle":"","family":"Zhang","given":"Yuping","non-dropping-particle":"","parse-names":false,"suffix":""}],"container-title":"RSC Advances","id":"ITEM-2","issue":"10","issued":{"date-parts":[["2017"]]},"page":"5628-5635","publisher":"Royal Society of Chemistry","title":"Novel UIO-66-NO2@XC-72 nanohybrid as an electrode material for simultaneous detection of ascorbic acid, dopamine and uric acid","type":"article-journal","volume":"7"},"uris":["http://www.mendeley.com/documents/?uuid=6c6e233b-0abb-4784-8dad-45563a73690b","http://www.mendeley.com/documents/?uuid=b4fe9123-b829-4442-9a77-28edec89119c","http://www.mendeley.com/documents/?uuid=6e6f0cfa-910f-4f34-ba32-e3b2809b681f"]}],"mendeley":{"formattedCitation":"[24,32]","manualFormatting":"[24], [32]","plainTextFormattedCitation":"[24,32]","previouslyFormattedCitation":"[24,32]"},"properties":{"noteIndex":0},"schema":"https://github.com/citation-style-language/schema/raw/master/csl-citation.json"}</w:instrText>
      </w:r>
      <w:r w:rsidRPr="00DC4C68">
        <w:rPr>
          <w:rFonts w:ascii="Times New Roman" w:hAnsi="Times New Roman"/>
          <w:iCs/>
          <w:sz w:val="20"/>
          <w:szCs w:val="24"/>
        </w:rPr>
        <w:fldChar w:fldCharType="separate"/>
      </w:r>
      <w:r w:rsidRPr="00DC4C68">
        <w:rPr>
          <w:rFonts w:ascii="Times New Roman" w:hAnsi="Times New Roman"/>
          <w:iCs/>
          <w:noProof/>
          <w:sz w:val="20"/>
          <w:szCs w:val="24"/>
        </w:rPr>
        <w:t>[24, 31]</w:t>
      </w:r>
      <w:r w:rsidRPr="00DC4C68">
        <w:rPr>
          <w:rFonts w:ascii="Times New Roman" w:hAnsi="Times New Roman"/>
          <w:iCs/>
          <w:sz w:val="20"/>
          <w:szCs w:val="24"/>
        </w:rPr>
        <w:fldChar w:fldCharType="end"/>
      </w:r>
      <w:r w:rsidRPr="00DC4C68">
        <w:rPr>
          <w:rFonts w:ascii="Times New Roman" w:hAnsi="Times New Roman"/>
          <w:iCs/>
          <w:sz w:val="20"/>
          <w:szCs w:val="24"/>
        </w:rPr>
        <w:t xml:space="preserve">. </w:t>
      </w:r>
    </w:p>
    <w:p w:rsidR="0089573D" w:rsidRDefault="0089573D" w:rsidP="0089573D">
      <w:pPr>
        <w:spacing w:after="0" w:line="240" w:lineRule="auto"/>
        <w:jc w:val="both"/>
        <w:rPr>
          <w:rFonts w:ascii="Times New Roman" w:hAnsi="Times New Roman"/>
          <w:noProof/>
          <w:sz w:val="20"/>
          <w:szCs w:val="20"/>
          <w:lang w:bidi="ar-SA"/>
        </w:rPr>
      </w:pPr>
    </w:p>
    <w:p w:rsidR="0089573D" w:rsidRDefault="00F329CE" w:rsidP="0089573D">
      <w:pPr>
        <w:spacing w:after="120" w:line="240" w:lineRule="auto"/>
        <w:jc w:val="center"/>
        <w:rPr>
          <w:rFonts w:ascii="Times New Roman" w:hAnsi="Times New Roman"/>
          <w:noProof/>
          <w:sz w:val="20"/>
          <w:szCs w:val="20"/>
          <w:lang w:bidi="ar-SA"/>
        </w:rPr>
      </w:pPr>
      <w:r>
        <w:rPr>
          <w:rFonts w:ascii="Times New Roman" w:hAnsi="Times New Roman"/>
          <w:noProof/>
          <w:sz w:val="20"/>
          <w:szCs w:val="20"/>
          <w:lang w:bidi="ar-SA"/>
        </w:rPr>
        <w:lastRenderedPageBreak/>
        <w:drawing>
          <wp:inline distT="0" distB="0" distL="0" distR="0">
            <wp:extent cx="4791075" cy="37052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png"/>
                    <pic:cNvPicPr/>
                  </pic:nvPicPr>
                  <pic:blipFill>
                    <a:blip r:embed="rId17">
                      <a:extLst>
                        <a:ext uri="{28A0092B-C50C-407E-A947-70E740481C1C}">
                          <a14:useLocalDpi xmlns:a14="http://schemas.microsoft.com/office/drawing/2010/main" val="0"/>
                        </a:ext>
                      </a:extLst>
                    </a:blip>
                    <a:stretch>
                      <a:fillRect/>
                    </a:stretch>
                  </pic:blipFill>
                  <pic:spPr>
                    <a:xfrm>
                      <a:off x="0" y="0"/>
                      <a:ext cx="4791075" cy="3705225"/>
                    </a:xfrm>
                    <a:prstGeom prst="rect">
                      <a:avLst/>
                    </a:prstGeom>
                  </pic:spPr>
                </pic:pic>
              </a:graphicData>
            </a:graphic>
          </wp:inline>
        </w:drawing>
      </w:r>
      <w:bookmarkStart w:id="12" w:name="_GoBack"/>
      <w:bookmarkEnd w:id="12"/>
    </w:p>
    <w:p w:rsidR="0089573D" w:rsidRPr="00DC4C68" w:rsidRDefault="0089573D" w:rsidP="0089573D">
      <w:pPr>
        <w:spacing w:after="0" w:line="240" w:lineRule="auto"/>
        <w:ind w:left="850" w:hanging="850"/>
        <w:jc w:val="both"/>
        <w:rPr>
          <w:rFonts w:ascii="Times New Roman" w:hAnsi="Times New Roman"/>
          <w:iCs/>
          <w:sz w:val="20"/>
          <w:szCs w:val="24"/>
        </w:rPr>
      </w:pPr>
      <w:bookmarkStart w:id="13" w:name="_Toc532037461"/>
      <w:r w:rsidRPr="00DC4C68">
        <w:rPr>
          <w:rFonts w:ascii="Times New Roman" w:hAnsi="Times New Roman"/>
          <w:iCs/>
          <w:sz w:val="20"/>
          <w:szCs w:val="24"/>
        </w:rPr>
        <w:t xml:space="preserve">Figure 7. </w:t>
      </w:r>
      <w:r>
        <w:rPr>
          <w:rFonts w:ascii="Times New Roman" w:hAnsi="Times New Roman"/>
          <w:iCs/>
          <w:sz w:val="20"/>
          <w:szCs w:val="24"/>
        </w:rPr>
        <w:tab/>
      </w:r>
      <w:r w:rsidRPr="00DC4C68">
        <w:rPr>
          <w:rFonts w:ascii="Times New Roman" w:hAnsi="Times New Roman"/>
          <w:iCs/>
          <w:sz w:val="20"/>
          <w:szCs w:val="24"/>
        </w:rPr>
        <w:t>(a) Influences of electrolyte pH on the oxidative peak current of UA in cyclic voltammogram, (b) DPV response toward UA determination according to pH changes from 4.0 to 9.0, (c) Plot of peak current against pH value of the supporting electrolyte (0.1M PBS solution) and (d) Plot of anodic peak potential against pH value of the supporting electrolyte (0.1M PBS solution)</w:t>
      </w:r>
      <w:bookmarkEnd w:id="13"/>
    </w:p>
    <w:p w:rsidR="0089573D" w:rsidRDefault="0089573D" w:rsidP="0089573D">
      <w:pPr>
        <w:spacing w:after="120" w:line="240" w:lineRule="auto"/>
        <w:jc w:val="both"/>
        <w:rPr>
          <w:rFonts w:ascii="Times New Roman" w:hAnsi="Times New Roman"/>
          <w:noProof/>
          <w:sz w:val="20"/>
          <w:szCs w:val="20"/>
          <w:lang w:bidi="ar-SA"/>
        </w:rPr>
      </w:pPr>
    </w:p>
    <w:p w:rsidR="0089573D" w:rsidRPr="00DC4C68" w:rsidRDefault="0089573D" w:rsidP="0089573D">
      <w:pPr>
        <w:spacing w:after="120" w:line="240" w:lineRule="auto"/>
        <w:jc w:val="center"/>
        <w:rPr>
          <w:rFonts w:ascii="Times New Roman" w:hAnsi="Times New Roman"/>
          <w:iCs/>
          <w:sz w:val="20"/>
          <w:szCs w:val="24"/>
        </w:rPr>
      </w:pPr>
      <w:r w:rsidRPr="00DC4C68">
        <w:rPr>
          <w:rFonts w:ascii="Times New Roman" w:hAnsi="Times New Roman"/>
          <w:iCs/>
          <w:sz w:val="20"/>
          <w:szCs w:val="24"/>
        </w:rPr>
        <w:t xml:space="preserve">Table 5. </w:t>
      </w:r>
      <w:r>
        <w:rPr>
          <w:rFonts w:ascii="Times New Roman" w:hAnsi="Times New Roman"/>
          <w:iCs/>
          <w:sz w:val="20"/>
          <w:szCs w:val="24"/>
        </w:rPr>
        <w:t xml:space="preserve"> </w:t>
      </w:r>
      <w:r w:rsidRPr="00DC4C68">
        <w:rPr>
          <w:rFonts w:ascii="Times New Roman" w:hAnsi="Times New Roman"/>
          <w:iCs/>
          <w:sz w:val="20"/>
          <w:szCs w:val="24"/>
        </w:rPr>
        <w:t>Peak current and potential values correspond to the pH variation</w:t>
      </w:r>
    </w:p>
    <w:tbl>
      <w:tblPr>
        <w:tblStyle w:val="ListTable6Colorful1"/>
        <w:tblW w:w="8011" w:type="dxa"/>
        <w:jc w:val="center"/>
        <w:tblBorders>
          <w:top w:val="none" w:sz="0" w:space="0" w:color="auto"/>
          <w:bottom w:val="none" w:sz="0" w:space="0" w:color="auto"/>
        </w:tblBorders>
        <w:tblLook w:val="04A0" w:firstRow="1" w:lastRow="0" w:firstColumn="1" w:lastColumn="0" w:noHBand="0" w:noVBand="1"/>
      </w:tblPr>
      <w:tblGrid>
        <w:gridCol w:w="621"/>
        <w:gridCol w:w="1555"/>
        <w:gridCol w:w="1790"/>
        <w:gridCol w:w="1633"/>
        <w:gridCol w:w="2412"/>
      </w:tblGrid>
      <w:tr w:rsidR="0089573D" w:rsidRPr="00DC4C68" w:rsidTr="00CC2250">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1" w:type="dxa"/>
            <w:tcBorders>
              <w:top w:val="single" w:sz="4" w:space="0" w:color="auto"/>
              <w:bottom w:val="none" w:sz="0" w:space="0" w:color="auto"/>
            </w:tcBorders>
            <w:shd w:val="clear" w:color="auto" w:fill="auto"/>
            <w:noWrap/>
            <w:hideMark/>
          </w:tcPr>
          <w:p w:rsidR="0089573D" w:rsidRPr="00DC4C68" w:rsidRDefault="0089573D" w:rsidP="00953256">
            <w:pPr>
              <w:spacing w:after="0" w:line="240" w:lineRule="auto"/>
              <w:jc w:val="both"/>
              <w:rPr>
                <w:rFonts w:ascii="Times New Roman" w:hAnsi="Times New Roman" w:cs="Times New Roman"/>
                <w:color w:val="auto"/>
                <w:sz w:val="20"/>
                <w:szCs w:val="24"/>
              </w:rPr>
            </w:pPr>
          </w:p>
        </w:tc>
        <w:tc>
          <w:tcPr>
            <w:tcW w:w="3345" w:type="dxa"/>
            <w:gridSpan w:val="2"/>
            <w:tcBorders>
              <w:top w:val="single" w:sz="4" w:space="0" w:color="auto"/>
              <w:bottom w:val="single" w:sz="4" w:space="0" w:color="auto"/>
            </w:tcBorders>
            <w:shd w:val="clear" w:color="auto" w:fill="auto"/>
            <w:noWrap/>
            <w:hideMark/>
          </w:tcPr>
          <w:p w:rsidR="0089573D" w:rsidRPr="00DC4C68" w:rsidRDefault="0089573D" w:rsidP="00CC2250">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DC4C68">
              <w:rPr>
                <w:rFonts w:ascii="Times New Roman" w:hAnsi="Times New Roman" w:cs="Times New Roman"/>
                <w:color w:val="auto"/>
                <w:sz w:val="20"/>
                <w:szCs w:val="24"/>
              </w:rPr>
              <w:t>Cycic voltmammetric Response(s)</w:t>
            </w:r>
          </w:p>
        </w:tc>
        <w:tc>
          <w:tcPr>
            <w:tcW w:w="4045" w:type="dxa"/>
            <w:gridSpan w:val="2"/>
            <w:tcBorders>
              <w:top w:val="single" w:sz="4" w:space="0" w:color="auto"/>
              <w:bottom w:val="single" w:sz="4" w:space="0" w:color="auto"/>
            </w:tcBorders>
            <w:shd w:val="clear" w:color="auto" w:fill="auto"/>
            <w:noWrap/>
            <w:hideMark/>
          </w:tcPr>
          <w:p w:rsidR="0089573D" w:rsidRPr="00DC4C68" w:rsidRDefault="0089573D" w:rsidP="00CC2250">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DC4C68">
              <w:rPr>
                <w:rFonts w:ascii="Times New Roman" w:hAnsi="Times New Roman" w:cs="Times New Roman"/>
                <w:color w:val="auto"/>
                <w:sz w:val="20"/>
                <w:szCs w:val="24"/>
              </w:rPr>
              <w:t>Differential Pulse Voltammetric Response(s)</w:t>
            </w:r>
          </w:p>
        </w:tc>
      </w:tr>
      <w:tr w:rsidR="0089573D" w:rsidRPr="00DC4C68" w:rsidTr="00CC225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21" w:type="dxa"/>
            <w:tcBorders>
              <w:bottom w:val="single" w:sz="4" w:space="0" w:color="auto"/>
            </w:tcBorders>
            <w:shd w:val="clear" w:color="auto" w:fill="auto"/>
            <w:noWrap/>
            <w:hideMark/>
          </w:tcPr>
          <w:p w:rsidR="0089573D" w:rsidRPr="00DC4C68" w:rsidRDefault="0089573D" w:rsidP="00953256">
            <w:pPr>
              <w:spacing w:after="0" w:line="240" w:lineRule="auto"/>
              <w:jc w:val="center"/>
              <w:rPr>
                <w:rFonts w:ascii="Times New Roman" w:hAnsi="Times New Roman" w:cs="Times New Roman"/>
                <w:color w:val="auto"/>
                <w:sz w:val="20"/>
                <w:szCs w:val="24"/>
              </w:rPr>
            </w:pPr>
            <w:r w:rsidRPr="00DC4C68">
              <w:rPr>
                <w:rFonts w:ascii="Times New Roman" w:hAnsi="Times New Roman" w:cs="Times New Roman"/>
                <w:color w:val="auto"/>
                <w:sz w:val="20"/>
                <w:szCs w:val="24"/>
              </w:rPr>
              <w:t>pH</w:t>
            </w:r>
          </w:p>
        </w:tc>
        <w:tc>
          <w:tcPr>
            <w:tcW w:w="1555" w:type="dxa"/>
            <w:tcBorders>
              <w:top w:val="single" w:sz="4" w:space="0" w:color="auto"/>
              <w:bottom w:val="single" w:sz="4" w:space="0" w:color="auto"/>
            </w:tcBorders>
            <w:shd w:val="clear" w:color="auto" w:fill="auto"/>
            <w:noWrap/>
            <w:hideMark/>
          </w:tcPr>
          <w:p w:rsidR="0089573D" w:rsidRPr="00DC4C68" w:rsidRDefault="0089573D" w:rsidP="00CC2250">
            <w:pPr>
              <w:spacing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4"/>
              </w:rPr>
            </w:pPr>
            <w:r w:rsidRPr="00DC4C68">
              <w:rPr>
                <w:rFonts w:ascii="Times New Roman" w:hAnsi="Times New Roman" w:cs="Times New Roman"/>
                <w:b/>
                <w:color w:val="auto"/>
                <w:sz w:val="20"/>
                <w:szCs w:val="24"/>
              </w:rPr>
              <w:t>Peak Potential, E</w:t>
            </w:r>
            <w:r w:rsidRPr="00DC4C68">
              <w:rPr>
                <w:rFonts w:ascii="Times New Roman" w:hAnsi="Times New Roman" w:cs="Times New Roman"/>
                <w:b/>
                <w:color w:val="auto"/>
                <w:sz w:val="20"/>
                <w:szCs w:val="24"/>
                <w:vertAlign w:val="subscript"/>
              </w:rPr>
              <w:t>p</w:t>
            </w:r>
            <w:r w:rsidRPr="00DC4C68">
              <w:rPr>
                <w:rFonts w:ascii="Times New Roman" w:hAnsi="Times New Roman" w:cs="Times New Roman"/>
                <w:b/>
                <w:color w:val="auto"/>
                <w:sz w:val="20"/>
                <w:szCs w:val="24"/>
              </w:rPr>
              <w:t xml:space="preserve"> (V)</w:t>
            </w:r>
          </w:p>
        </w:tc>
        <w:tc>
          <w:tcPr>
            <w:tcW w:w="1789" w:type="dxa"/>
            <w:tcBorders>
              <w:top w:val="single" w:sz="4" w:space="0" w:color="auto"/>
              <w:bottom w:val="single" w:sz="4" w:space="0" w:color="auto"/>
            </w:tcBorders>
            <w:shd w:val="clear" w:color="auto" w:fill="auto"/>
            <w:noWrap/>
            <w:hideMark/>
          </w:tcPr>
          <w:p w:rsidR="0089573D" w:rsidRPr="00DC4C68" w:rsidRDefault="0089573D" w:rsidP="009532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4"/>
              </w:rPr>
            </w:pPr>
            <w:r w:rsidRPr="00DC4C68">
              <w:rPr>
                <w:rFonts w:ascii="Times New Roman" w:hAnsi="Times New Roman" w:cs="Times New Roman"/>
                <w:b/>
                <w:color w:val="auto"/>
                <w:sz w:val="20"/>
                <w:szCs w:val="24"/>
              </w:rPr>
              <w:t xml:space="preserve">Peak Current, </w:t>
            </w:r>
          </w:p>
          <w:p w:rsidR="0089573D" w:rsidRPr="00DC4C68" w:rsidRDefault="0089573D" w:rsidP="00CC2250">
            <w:pPr>
              <w:spacing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4"/>
              </w:rPr>
            </w:pPr>
            <w:r w:rsidRPr="00DC4C68">
              <w:rPr>
                <w:rFonts w:ascii="Times New Roman" w:hAnsi="Times New Roman" w:cs="Times New Roman"/>
                <w:b/>
                <w:color w:val="auto"/>
                <w:sz w:val="20"/>
                <w:szCs w:val="24"/>
              </w:rPr>
              <w:t>I</w:t>
            </w:r>
            <w:r w:rsidRPr="00DC4C68">
              <w:rPr>
                <w:rFonts w:ascii="Times New Roman" w:hAnsi="Times New Roman" w:cs="Times New Roman"/>
                <w:b/>
                <w:color w:val="auto"/>
                <w:sz w:val="20"/>
                <w:szCs w:val="24"/>
                <w:vertAlign w:val="subscript"/>
              </w:rPr>
              <w:t xml:space="preserve">p </w:t>
            </w:r>
            <w:r w:rsidRPr="00DC4C68">
              <w:rPr>
                <w:rFonts w:ascii="Times New Roman" w:hAnsi="Times New Roman" w:cs="Times New Roman"/>
                <w:b/>
                <w:color w:val="auto"/>
                <w:sz w:val="20"/>
                <w:szCs w:val="24"/>
              </w:rPr>
              <w:t>(µA)</w:t>
            </w:r>
          </w:p>
        </w:tc>
        <w:tc>
          <w:tcPr>
            <w:tcW w:w="1633" w:type="dxa"/>
            <w:tcBorders>
              <w:top w:val="single" w:sz="4" w:space="0" w:color="auto"/>
              <w:bottom w:val="single" w:sz="4" w:space="0" w:color="auto"/>
            </w:tcBorders>
            <w:shd w:val="clear" w:color="auto" w:fill="auto"/>
            <w:noWrap/>
            <w:hideMark/>
          </w:tcPr>
          <w:p w:rsidR="0089573D" w:rsidRPr="00DC4C68" w:rsidRDefault="0089573D" w:rsidP="00CC2250">
            <w:pPr>
              <w:spacing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4"/>
              </w:rPr>
            </w:pPr>
            <w:r w:rsidRPr="00DC4C68">
              <w:rPr>
                <w:rFonts w:ascii="Times New Roman" w:hAnsi="Times New Roman" w:cs="Times New Roman"/>
                <w:b/>
                <w:color w:val="auto"/>
                <w:sz w:val="20"/>
                <w:szCs w:val="24"/>
              </w:rPr>
              <w:t>Peak Potential, E</w:t>
            </w:r>
            <w:r w:rsidRPr="00DC4C68">
              <w:rPr>
                <w:rFonts w:ascii="Times New Roman" w:hAnsi="Times New Roman" w:cs="Times New Roman"/>
                <w:b/>
                <w:color w:val="auto"/>
                <w:sz w:val="20"/>
                <w:szCs w:val="24"/>
                <w:vertAlign w:val="subscript"/>
              </w:rPr>
              <w:t>p</w:t>
            </w:r>
            <w:r w:rsidRPr="00DC4C68">
              <w:rPr>
                <w:rFonts w:ascii="Times New Roman" w:hAnsi="Times New Roman" w:cs="Times New Roman"/>
                <w:b/>
                <w:color w:val="auto"/>
                <w:sz w:val="20"/>
                <w:szCs w:val="24"/>
              </w:rPr>
              <w:t xml:space="preserve"> (V)</w:t>
            </w:r>
          </w:p>
        </w:tc>
        <w:tc>
          <w:tcPr>
            <w:tcW w:w="2411" w:type="dxa"/>
            <w:tcBorders>
              <w:top w:val="single" w:sz="4" w:space="0" w:color="auto"/>
              <w:bottom w:val="single" w:sz="4" w:space="0" w:color="auto"/>
            </w:tcBorders>
            <w:shd w:val="clear" w:color="auto" w:fill="auto"/>
            <w:noWrap/>
            <w:hideMark/>
          </w:tcPr>
          <w:p w:rsidR="0089573D" w:rsidRPr="00DC4C68" w:rsidRDefault="0089573D" w:rsidP="009532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4"/>
              </w:rPr>
            </w:pPr>
            <w:r w:rsidRPr="00DC4C68">
              <w:rPr>
                <w:rFonts w:ascii="Times New Roman" w:hAnsi="Times New Roman" w:cs="Times New Roman"/>
                <w:b/>
                <w:color w:val="auto"/>
                <w:sz w:val="20"/>
                <w:szCs w:val="24"/>
              </w:rPr>
              <w:t xml:space="preserve">Peak Current, </w:t>
            </w:r>
          </w:p>
          <w:p w:rsidR="0089573D" w:rsidRPr="00DC4C68" w:rsidRDefault="0089573D" w:rsidP="00CC2250">
            <w:pPr>
              <w:spacing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4"/>
              </w:rPr>
            </w:pPr>
            <w:r w:rsidRPr="00DC4C68">
              <w:rPr>
                <w:rFonts w:ascii="Times New Roman" w:hAnsi="Times New Roman" w:cs="Times New Roman"/>
                <w:b/>
                <w:color w:val="auto"/>
                <w:sz w:val="20"/>
                <w:szCs w:val="24"/>
              </w:rPr>
              <w:t>I</w:t>
            </w:r>
            <w:r w:rsidRPr="00DC4C68">
              <w:rPr>
                <w:rFonts w:ascii="Times New Roman" w:hAnsi="Times New Roman" w:cs="Times New Roman"/>
                <w:b/>
                <w:color w:val="auto"/>
                <w:sz w:val="20"/>
                <w:szCs w:val="24"/>
                <w:vertAlign w:val="subscript"/>
              </w:rPr>
              <w:t xml:space="preserve">p </w:t>
            </w:r>
            <w:r w:rsidRPr="00DC4C68">
              <w:rPr>
                <w:rFonts w:ascii="Times New Roman" w:hAnsi="Times New Roman" w:cs="Times New Roman"/>
                <w:b/>
                <w:color w:val="auto"/>
                <w:sz w:val="20"/>
                <w:szCs w:val="24"/>
              </w:rPr>
              <w:t>(µA)</w:t>
            </w:r>
          </w:p>
        </w:tc>
      </w:tr>
      <w:tr w:rsidR="0089573D" w:rsidRPr="00DC4C68" w:rsidTr="00CC2250">
        <w:trPr>
          <w:trHeight w:val="56"/>
          <w:jc w:val="center"/>
        </w:trPr>
        <w:tc>
          <w:tcPr>
            <w:cnfStyle w:val="001000000000" w:firstRow="0" w:lastRow="0" w:firstColumn="1" w:lastColumn="0" w:oddVBand="0" w:evenVBand="0" w:oddHBand="0" w:evenHBand="0" w:firstRowFirstColumn="0" w:firstRowLastColumn="0" w:lastRowFirstColumn="0" w:lastRowLastColumn="0"/>
            <w:tcW w:w="621" w:type="dxa"/>
            <w:tcBorders>
              <w:top w:val="single" w:sz="4" w:space="0" w:color="auto"/>
            </w:tcBorders>
            <w:shd w:val="clear" w:color="auto" w:fill="auto"/>
            <w:noWrap/>
            <w:hideMark/>
          </w:tcPr>
          <w:p w:rsidR="0089573D" w:rsidRPr="00DC4C68" w:rsidRDefault="0089573D" w:rsidP="00CC2250">
            <w:pPr>
              <w:spacing w:before="60" w:after="0" w:line="240" w:lineRule="auto"/>
              <w:jc w:val="center"/>
              <w:rPr>
                <w:rFonts w:ascii="Times New Roman" w:hAnsi="Times New Roman" w:cs="Times New Roman"/>
                <w:b w:val="0"/>
                <w:color w:val="auto"/>
                <w:sz w:val="20"/>
                <w:szCs w:val="24"/>
              </w:rPr>
            </w:pPr>
            <w:r w:rsidRPr="00DC4C68">
              <w:rPr>
                <w:rFonts w:ascii="Times New Roman" w:hAnsi="Times New Roman" w:cs="Times New Roman"/>
                <w:b w:val="0"/>
                <w:color w:val="auto"/>
                <w:sz w:val="20"/>
                <w:szCs w:val="24"/>
              </w:rPr>
              <w:t>4</w:t>
            </w:r>
          </w:p>
        </w:tc>
        <w:tc>
          <w:tcPr>
            <w:tcW w:w="1555" w:type="dxa"/>
            <w:tcBorders>
              <w:top w:val="single" w:sz="4" w:space="0" w:color="auto"/>
            </w:tcBorders>
            <w:shd w:val="clear" w:color="auto" w:fill="auto"/>
            <w:noWrap/>
            <w:hideMark/>
          </w:tcPr>
          <w:p w:rsidR="0089573D" w:rsidRPr="00DC4C68" w:rsidRDefault="0089573D" w:rsidP="00CC2250">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DC4C68">
              <w:rPr>
                <w:rFonts w:ascii="Times New Roman" w:hAnsi="Times New Roman" w:cs="Times New Roman"/>
                <w:color w:val="auto"/>
                <w:sz w:val="20"/>
                <w:szCs w:val="24"/>
              </w:rPr>
              <w:t>0.553</w:t>
            </w:r>
          </w:p>
        </w:tc>
        <w:tc>
          <w:tcPr>
            <w:tcW w:w="1789" w:type="dxa"/>
            <w:tcBorders>
              <w:top w:val="single" w:sz="4" w:space="0" w:color="auto"/>
            </w:tcBorders>
            <w:shd w:val="clear" w:color="auto" w:fill="auto"/>
            <w:noWrap/>
            <w:hideMark/>
          </w:tcPr>
          <w:p w:rsidR="0089573D" w:rsidRPr="00DC4C68" w:rsidRDefault="0089573D" w:rsidP="00CC2250">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DC4C68">
              <w:rPr>
                <w:rFonts w:ascii="Times New Roman" w:hAnsi="Times New Roman" w:cs="Times New Roman"/>
                <w:color w:val="auto"/>
                <w:sz w:val="20"/>
                <w:szCs w:val="24"/>
              </w:rPr>
              <w:t>4.34</w:t>
            </w:r>
          </w:p>
        </w:tc>
        <w:tc>
          <w:tcPr>
            <w:tcW w:w="1633" w:type="dxa"/>
            <w:tcBorders>
              <w:top w:val="single" w:sz="4" w:space="0" w:color="auto"/>
            </w:tcBorders>
            <w:shd w:val="clear" w:color="auto" w:fill="auto"/>
            <w:noWrap/>
            <w:hideMark/>
          </w:tcPr>
          <w:p w:rsidR="0089573D" w:rsidRPr="00DC4C68" w:rsidRDefault="0089573D" w:rsidP="00CC2250">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DC4C68">
              <w:rPr>
                <w:rFonts w:ascii="Times New Roman" w:hAnsi="Times New Roman" w:cs="Times New Roman"/>
                <w:color w:val="auto"/>
                <w:sz w:val="20"/>
                <w:szCs w:val="24"/>
              </w:rPr>
              <w:t>0.515</w:t>
            </w:r>
          </w:p>
        </w:tc>
        <w:tc>
          <w:tcPr>
            <w:tcW w:w="2411" w:type="dxa"/>
            <w:tcBorders>
              <w:top w:val="single" w:sz="4" w:space="0" w:color="auto"/>
            </w:tcBorders>
            <w:shd w:val="clear" w:color="auto" w:fill="auto"/>
            <w:noWrap/>
            <w:hideMark/>
          </w:tcPr>
          <w:p w:rsidR="0089573D" w:rsidRPr="00DC4C68" w:rsidRDefault="0089573D" w:rsidP="00CC2250">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DC4C68">
              <w:rPr>
                <w:rFonts w:ascii="Times New Roman" w:hAnsi="Times New Roman" w:cs="Times New Roman"/>
                <w:color w:val="auto"/>
                <w:sz w:val="20"/>
                <w:szCs w:val="24"/>
              </w:rPr>
              <w:t>5.50</w:t>
            </w:r>
          </w:p>
        </w:tc>
      </w:tr>
      <w:tr w:rsidR="0089573D" w:rsidRPr="00DC4C68" w:rsidTr="00953256">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621" w:type="dxa"/>
            <w:shd w:val="clear" w:color="auto" w:fill="auto"/>
            <w:noWrap/>
            <w:hideMark/>
          </w:tcPr>
          <w:p w:rsidR="0089573D" w:rsidRPr="00DC4C68" w:rsidRDefault="0089573D" w:rsidP="00CC2250">
            <w:pPr>
              <w:spacing w:before="60" w:after="0" w:line="240" w:lineRule="auto"/>
              <w:jc w:val="center"/>
              <w:rPr>
                <w:rFonts w:ascii="Times New Roman" w:hAnsi="Times New Roman" w:cs="Times New Roman"/>
                <w:b w:val="0"/>
                <w:color w:val="auto"/>
                <w:sz w:val="20"/>
                <w:szCs w:val="24"/>
              </w:rPr>
            </w:pPr>
            <w:r w:rsidRPr="00DC4C68">
              <w:rPr>
                <w:rFonts w:ascii="Times New Roman" w:hAnsi="Times New Roman" w:cs="Times New Roman"/>
                <w:b w:val="0"/>
                <w:color w:val="auto"/>
                <w:sz w:val="20"/>
                <w:szCs w:val="24"/>
              </w:rPr>
              <w:t>5</w:t>
            </w:r>
          </w:p>
        </w:tc>
        <w:tc>
          <w:tcPr>
            <w:tcW w:w="1555" w:type="dxa"/>
            <w:shd w:val="clear" w:color="auto" w:fill="auto"/>
            <w:noWrap/>
            <w:hideMark/>
          </w:tcPr>
          <w:p w:rsidR="0089573D" w:rsidRPr="00DC4C68" w:rsidRDefault="0089573D" w:rsidP="00CC2250">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DC4C68">
              <w:rPr>
                <w:rFonts w:ascii="Times New Roman" w:hAnsi="Times New Roman" w:cs="Times New Roman"/>
                <w:color w:val="auto"/>
                <w:sz w:val="20"/>
                <w:szCs w:val="24"/>
              </w:rPr>
              <w:t>0.470</w:t>
            </w:r>
          </w:p>
        </w:tc>
        <w:tc>
          <w:tcPr>
            <w:tcW w:w="1789" w:type="dxa"/>
            <w:shd w:val="clear" w:color="auto" w:fill="auto"/>
            <w:noWrap/>
            <w:hideMark/>
          </w:tcPr>
          <w:p w:rsidR="0089573D" w:rsidRPr="00DC4C68" w:rsidRDefault="0089573D" w:rsidP="00CC2250">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DC4C68">
              <w:rPr>
                <w:rFonts w:ascii="Times New Roman" w:hAnsi="Times New Roman" w:cs="Times New Roman"/>
                <w:color w:val="auto"/>
                <w:sz w:val="20"/>
                <w:szCs w:val="24"/>
              </w:rPr>
              <w:t>3.03</w:t>
            </w:r>
          </w:p>
        </w:tc>
        <w:tc>
          <w:tcPr>
            <w:tcW w:w="1633" w:type="dxa"/>
            <w:shd w:val="clear" w:color="auto" w:fill="auto"/>
            <w:noWrap/>
            <w:hideMark/>
          </w:tcPr>
          <w:p w:rsidR="0089573D" w:rsidRPr="00DC4C68" w:rsidRDefault="0089573D" w:rsidP="00CC2250">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DC4C68">
              <w:rPr>
                <w:rFonts w:ascii="Times New Roman" w:hAnsi="Times New Roman" w:cs="Times New Roman"/>
                <w:color w:val="auto"/>
                <w:sz w:val="20"/>
                <w:szCs w:val="24"/>
              </w:rPr>
              <w:t>0.436</w:t>
            </w:r>
          </w:p>
        </w:tc>
        <w:tc>
          <w:tcPr>
            <w:tcW w:w="2411" w:type="dxa"/>
            <w:shd w:val="clear" w:color="auto" w:fill="auto"/>
            <w:noWrap/>
            <w:hideMark/>
          </w:tcPr>
          <w:p w:rsidR="0089573D" w:rsidRPr="00DC4C68" w:rsidRDefault="0089573D" w:rsidP="00CC2250">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DC4C68">
              <w:rPr>
                <w:rFonts w:ascii="Times New Roman" w:hAnsi="Times New Roman" w:cs="Times New Roman"/>
                <w:color w:val="auto"/>
                <w:sz w:val="20"/>
                <w:szCs w:val="24"/>
              </w:rPr>
              <w:t>5.68</w:t>
            </w:r>
          </w:p>
        </w:tc>
      </w:tr>
      <w:tr w:rsidR="0089573D" w:rsidRPr="00DC4C68" w:rsidTr="00953256">
        <w:trPr>
          <w:trHeight w:val="66"/>
          <w:jc w:val="center"/>
        </w:trPr>
        <w:tc>
          <w:tcPr>
            <w:cnfStyle w:val="001000000000" w:firstRow="0" w:lastRow="0" w:firstColumn="1" w:lastColumn="0" w:oddVBand="0" w:evenVBand="0" w:oddHBand="0" w:evenHBand="0" w:firstRowFirstColumn="0" w:firstRowLastColumn="0" w:lastRowFirstColumn="0" w:lastRowLastColumn="0"/>
            <w:tcW w:w="621" w:type="dxa"/>
            <w:shd w:val="clear" w:color="auto" w:fill="auto"/>
            <w:noWrap/>
            <w:hideMark/>
          </w:tcPr>
          <w:p w:rsidR="0089573D" w:rsidRPr="00DC4C68" w:rsidRDefault="0089573D" w:rsidP="00CC2250">
            <w:pPr>
              <w:spacing w:before="60" w:after="0" w:line="240" w:lineRule="auto"/>
              <w:jc w:val="center"/>
              <w:rPr>
                <w:rFonts w:ascii="Times New Roman" w:hAnsi="Times New Roman" w:cs="Times New Roman"/>
                <w:b w:val="0"/>
                <w:color w:val="auto"/>
                <w:sz w:val="20"/>
                <w:szCs w:val="24"/>
              </w:rPr>
            </w:pPr>
            <w:r w:rsidRPr="00DC4C68">
              <w:rPr>
                <w:rFonts w:ascii="Times New Roman" w:hAnsi="Times New Roman" w:cs="Times New Roman"/>
                <w:b w:val="0"/>
                <w:color w:val="auto"/>
                <w:sz w:val="20"/>
                <w:szCs w:val="24"/>
              </w:rPr>
              <w:t>6</w:t>
            </w:r>
          </w:p>
        </w:tc>
        <w:tc>
          <w:tcPr>
            <w:tcW w:w="1555" w:type="dxa"/>
            <w:shd w:val="clear" w:color="auto" w:fill="auto"/>
            <w:noWrap/>
            <w:hideMark/>
          </w:tcPr>
          <w:p w:rsidR="0089573D" w:rsidRPr="00DC4C68" w:rsidRDefault="0089573D" w:rsidP="00CC2250">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DC4C68">
              <w:rPr>
                <w:rFonts w:ascii="Times New Roman" w:hAnsi="Times New Roman" w:cs="Times New Roman"/>
                <w:color w:val="auto"/>
                <w:sz w:val="20"/>
                <w:szCs w:val="24"/>
              </w:rPr>
              <w:t>0.424</w:t>
            </w:r>
          </w:p>
        </w:tc>
        <w:tc>
          <w:tcPr>
            <w:tcW w:w="1789" w:type="dxa"/>
            <w:shd w:val="clear" w:color="auto" w:fill="auto"/>
            <w:noWrap/>
            <w:hideMark/>
          </w:tcPr>
          <w:p w:rsidR="0089573D" w:rsidRPr="00DC4C68" w:rsidRDefault="0089573D" w:rsidP="00CC2250">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DC4C68">
              <w:rPr>
                <w:rFonts w:ascii="Times New Roman" w:hAnsi="Times New Roman" w:cs="Times New Roman"/>
                <w:color w:val="auto"/>
                <w:sz w:val="20"/>
                <w:szCs w:val="24"/>
              </w:rPr>
              <w:t>3.64</w:t>
            </w:r>
          </w:p>
        </w:tc>
        <w:tc>
          <w:tcPr>
            <w:tcW w:w="1633" w:type="dxa"/>
            <w:shd w:val="clear" w:color="auto" w:fill="auto"/>
            <w:noWrap/>
            <w:hideMark/>
          </w:tcPr>
          <w:p w:rsidR="0089573D" w:rsidRPr="00DC4C68" w:rsidRDefault="0089573D" w:rsidP="00CC2250">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DC4C68">
              <w:rPr>
                <w:rFonts w:ascii="Times New Roman" w:hAnsi="Times New Roman" w:cs="Times New Roman"/>
                <w:color w:val="auto"/>
                <w:sz w:val="20"/>
                <w:szCs w:val="24"/>
              </w:rPr>
              <w:t>0.389</w:t>
            </w:r>
          </w:p>
        </w:tc>
        <w:tc>
          <w:tcPr>
            <w:tcW w:w="2411" w:type="dxa"/>
            <w:shd w:val="clear" w:color="auto" w:fill="auto"/>
            <w:noWrap/>
            <w:hideMark/>
          </w:tcPr>
          <w:p w:rsidR="0089573D" w:rsidRPr="00DC4C68" w:rsidRDefault="0089573D" w:rsidP="00CC2250">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DC4C68">
              <w:rPr>
                <w:rFonts w:ascii="Times New Roman" w:hAnsi="Times New Roman" w:cs="Times New Roman"/>
                <w:color w:val="auto"/>
                <w:sz w:val="20"/>
                <w:szCs w:val="24"/>
              </w:rPr>
              <w:t>5.59</w:t>
            </w:r>
          </w:p>
        </w:tc>
      </w:tr>
      <w:tr w:rsidR="0089573D" w:rsidRPr="00DC4C68" w:rsidTr="00953256">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621" w:type="dxa"/>
            <w:shd w:val="clear" w:color="auto" w:fill="auto"/>
            <w:noWrap/>
            <w:hideMark/>
          </w:tcPr>
          <w:p w:rsidR="0089573D" w:rsidRPr="00DC4C68" w:rsidRDefault="0089573D" w:rsidP="00CC2250">
            <w:pPr>
              <w:spacing w:before="60" w:after="0" w:line="240" w:lineRule="auto"/>
              <w:jc w:val="center"/>
              <w:rPr>
                <w:rFonts w:ascii="Times New Roman" w:hAnsi="Times New Roman" w:cs="Times New Roman"/>
                <w:b w:val="0"/>
                <w:color w:val="auto"/>
                <w:sz w:val="20"/>
                <w:szCs w:val="24"/>
              </w:rPr>
            </w:pPr>
            <w:r w:rsidRPr="00DC4C68">
              <w:rPr>
                <w:rFonts w:ascii="Times New Roman" w:hAnsi="Times New Roman" w:cs="Times New Roman"/>
                <w:b w:val="0"/>
                <w:color w:val="auto"/>
                <w:sz w:val="20"/>
                <w:szCs w:val="24"/>
              </w:rPr>
              <w:t>7</w:t>
            </w:r>
          </w:p>
        </w:tc>
        <w:tc>
          <w:tcPr>
            <w:tcW w:w="1555" w:type="dxa"/>
            <w:shd w:val="clear" w:color="auto" w:fill="auto"/>
            <w:noWrap/>
            <w:hideMark/>
          </w:tcPr>
          <w:p w:rsidR="0089573D" w:rsidRPr="00DC4C68" w:rsidRDefault="0089573D" w:rsidP="00CC2250">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DC4C68">
              <w:rPr>
                <w:rFonts w:ascii="Times New Roman" w:hAnsi="Times New Roman" w:cs="Times New Roman"/>
                <w:color w:val="auto"/>
                <w:sz w:val="20"/>
                <w:szCs w:val="24"/>
              </w:rPr>
              <w:t>0.373</w:t>
            </w:r>
          </w:p>
        </w:tc>
        <w:tc>
          <w:tcPr>
            <w:tcW w:w="1789" w:type="dxa"/>
            <w:shd w:val="clear" w:color="auto" w:fill="auto"/>
            <w:noWrap/>
            <w:hideMark/>
          </w:tcPr>
          <w:p w:rsidR="0089573D" w:rsidRPr="00DC4C68" w:rsidRDefault="0089573D" w:rsidP="00CC2250">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DC4C68">
              <w:rPr>
                <w:rFonts w:ascii="Times New Roman" w:hAnsi="Times New Roman" w:cs="Times New Roman"/>
                <w:color w:val="auto"/>
                <w:sz w:val="20"/>
                <w:szCs w:val="24"/>
              </w:rPr>
              <w:t>3.48</w:t>
            </w:r>
          </w:p>
        </w:tc>
        <w:tc>
          <w:tcPr>
            <w:tcW w:w="1633" w:type="dxa"/>
            <w:shd w:val="clear" w:color="auto" w:fill="auto"/>
            <w:noWrap/>
            <w:hideMark/>
          </w:tcPr>
          <w:p w:rsidR="0089573D" w:rsidRPr="00DC4C68" w:rsidRDefault="0089573D" w:rsidP="00CC2250">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DC4C68">
              <w:rPr>
                <w:rFonts w:ascii="Times New Roman" w:hAnsi="Times New Roman" w:cs="Times New Roman"/>
                <w:color w:val="auto"/>
                <w:sz w:val="20"/>
                <w:szCs w:val="24"/>
              </w:rPr>
              <w:t>0.337</w:t>
            </w:r>
          </w:p>
        </w:tc>
        <w:tc>
          <w:tcPr>
            <w:tcW w:w="2411" w:type="dxa"/>
            <w:shd w:val="clear" w:color="auto" w:fill="auto"/>
            <w:noWrap/>
            <w:hideMark/>
          </w:tcPr>
          <w:p w:rsidR="0089573D" w:rsidRPr="00DC4C68" w:rsidRDefault="0089573D" w:rsidP="00CC2250">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DC4C68">
              <w:rPr>
                <w:rFonts w:ascii="Times New Roman" w:hAnsi="Times New Roman" w:cs="Times New Roman"/>
                <w:color w:val="auto"/>
                <w:sz w:val="20"/>
                <w:szCs w:val="24"/>
              </w:rPr>
              <w:t>6.66</w:t>
            </w:r>
          </w:p>
        </w:tc>
      </w:tr>
      <w:tr w:rsidR="0089573D" w:rsidRPr="00DC4C68" w:rsidTr="00CC2250">
        <w:trPr>
          <w:trHeight w:val="66"/>
          <w:jc w:val="center"/>
        </w:trPr>
        <w:tc>
          <w:tcPr>
            <w:cnfStyle w:val="001000000000" w:firstRow="0" w:lastRow="0" w:firstColumn="1" w:lastColumn="0" w:oddVBand="0" w:evenVBand="0" w:oddHBand="0" w:evenHBand="0" w:firstRowFirstColumn="0" w:firstRowLastColumn="0" w:lastRowFirstColumn="0" w:lastRowLastColumn="0"/>
            <w:tcW w:w="621" w:type="dxa"/>
            <w:shd w:val="clear" w:color="auto" w:fill="auto"/>
            <w:noWrap/>
            <w:hideMark/>
          </w:tcPr>
          <w:p w:rsidR="0089573D" w:rsidRPr="00DC4C68" w:rsidRDefault="0089573D" w:rsidP="00CC2250">
            <w:pPr>
              <w:spacing w:before="60" w:after="0" w:line="240" w:lineRule="auto"/>
              <w:jc w:val="center"/>
              <w:rPr>
                <w:rFonts w:ascii="Times New Roman" w:hAnsi="Times New Roman" w:cs="Times New Roman"/>
                <w:b w:val="0"/>
                <w:color w:val="auto"/>
                <w:sz w:val="20"/>
                <w:szCs w:val="24"/>
              </w:rPr>
            </w:pPr>
            <w:r w:rsidRPr="00DC4C68">
              <w:rPr>
                <w:rFonts w:ascii="Times New Roman" w:hAnsi="Times New Roman" w:cs="Times New Roman"/>
                <w:b w:val="0"/>
                <w:color w:val="auto"/>
                <w:sz w:val="20"/>
                <w:szCs w:val="24"/>
              </w:rPr>
              <w:t>8</w:t>
            </w:r>
          </w:p>
        </w:tc>
        <w:tc>
          <w:tcPr>
            <w:tcW w:w="1555" w:type="dxa"/>
            <w:shd w:val="clear" w:color="auto" w:fill="auto"/>
            <w:noWrap/>
            <w:hideMark/>
          </w:tcPr>
          <w:p w:rsidR="0089573D" w:rsidRPr="00DC4C68" w:rsidRDefault="0089573D" w:rsidP="00CC2250">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DC4C68">
              <w:rPr>
                <w:rFonts w:ascii="Times New Roman" w:hAnsi="Times New Roman" w:cs="Times New Roman"/>
                <w:color w:val="auto"/>
                <w:sz w:val="20"/>
                <w:szCs w:val="24"/>
              </w:rPr>
              <w:t>0.337</w:t>
            </w:r>
          </w:p>
        </w:tc>
        <w:tc>
          <w:tcPr>
            <w:tcW w:w="1789" w:type="dxa"/>
            <w:shd w:val="clear" w:color="auto" w:fill="auto"/>
            <w:noWrap/>
            <w:hideMark/>
          </w:tcPr>
          <w:p w:rsidR="0089573D" w:rsidRPr="00DC4C68" w:rsidRDefault="0089573D" w:rsidP="00CC2250">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DC4C68">
              <w:rPr>
                <w:rFonts w:ascii="Times New Roman" w:hAnsi="Times New Roman" w:cs="Times New Roman"/>
                <w:color w:val="auto"/>
                <w:sz w:val="20"/>
                <w:szCs w:val="24"/>
              </w:rPr>
              <w:t>2.57</w:t>
            </w:r>
          </w:p>
        </w:tc>
        <w:tc>
          <w:tcPr>
            <w:tcW w:w="1633" w:type="dxa"/>
            <w:shd w:val="clear" w:color="auto" w:fill="auto"/>
            <w:noWrap/>
            <w:hideMark/>
          </w:tcPr>
          <w:p w:rsidR="0089573D" w:rsidRPr="00DC4C68" w:rsidRDefault="0089573D" w:rsidP="00CC2250">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DC4C68">
              <w:rPr>
                <w:rFonts w:ascii="Times New Roman" w:hAnsi="Times New Roman" w:cs="Times New Roman"/>
                <w:color w:val="auto"/>
                <w:sz w:val="20"/>
                <w:szCs w:val="24"/>
              </w:rPr>
              <w:t>0.282</w:t>
            </w:r>
          </w:p>
        </w:tc>
        <w:tc>
          <w:tcPr>
            <w:tcW w:w="2411" w:type="dxa"/>
            <w:shd w:val="clear" w:color="auto" w:fill="auto"/>
            <w:noWrap/>
            <w:hideMark/>
          </w:tcPr>
          <w:p w:rsidR="0089573D" w:rsidRPr="00DC4C68" w:rsidRDefault="0089573D" w:rsidP="00CC2250">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4"/>
              </w:rPr>
            </w:pPr>
            <w:r w:rsidRPr="00DC4C68">
              <w:rPr>
                <w:rFonts w:ascii="Times New Roman" w:hAnsi="Times New Roman" w:cs="Times New Roman"/>
                <w:color w:val="auto"/>
                <w:sz w:val="20"/>
                <w:szCs w:val="24"/>
              </w:rPr>
              <w:t>4.13</w:t>
            </w:r>
          </w:p>
        </w:tc>
      </w:tr>
      <w:tr w:rsidR="0089573D" w:rsidRPr="00DC4C68" w:rsidTr="00CC2250">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621" w:type="dxa"/>
            <w:tcBorders>
              <w:bottom w:val="single" w:sz="4" w:space="0" w:color="auto"/>
            </w:tcBorders>
            <w:shd w:val="clear" w:color="auto" w:fill="auto"/>
            <w:noWrap/>
            <w:hideMark/>
          </w:tcPr>
          <w:p w:rsidR="0089573D" w:rsidRPr="00DC4C68" w:rsidRDefault="0089573D" w:rsidP="00CC2250">
            <w:pPr>
              <w:spacing w:before="60" w:after="60" w:line="240" w:lineRule="auto"/>
              <w:jc w:val="center"/>
              <w:rPr>
                <w:rFonts w:ascii="Times New Roman" w:hAnsi="Times New Roman" w:cs="Times New Roman"/>
                <w:b w:val="0"/>
                <w:color w:val="auto"/>
                <w:sz w:val="20"/>
                <w:szCs w:val="24"/>
              </w:rPr>
            </w:pPr>
            <w:r w:rsidRPr="00DC4C68">
              <w:rPr>
                <w:rFonts w:ascii="Times New Roman" w:hAnsi="Times New Roman" w:cs="Times New Roman"/>
                <w:b w:val="0"/>
                <w:color w:val="auto"/>
                <w:sz w:val="20"/>
                <w:szCs w:val="24"/>
              </w:rPr>
              <w:t>9</w:t>
            </w:r>
          </w:p>
        </w:tc>
        <w:tc>
          <w:tcPr>
            <w:tcW w:w="1555" w:type="dxa"/>
            <w:tcBorders>
              <w:bottom w:val="single" w:sz="4" w:space="0" w:color="auto"/>
            </w:tcBorders>
            <w:shd w:val="clear" w:color="auto" w:fill="auto"/>
            <w:noWrap/>
            <w:hideMark/>
          </w:tcPr>
          <w:p w:rsidR="0089573D" w:rsidRPr="00DC4C68" w:rsidRDefault="0089573D" w:rsidP="00CC225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DC4C68">
              <w:rPr>
                <w:rFonts w:ascii="Times New Roman" w:hAnsi="Times New Roman" w:cs="Times New Roman"/>
                <w:color w:val="auto"/>
                <w:sz w:val="20"/>
                <w:szCs w:val="24"/>
              </w:rPr>
              <w:t>0.262</w:t>
            </w:r>
          </w:p>
        </w:tc>
        <w:tc>
          <w:tcPr>
            <w:tcW w:w="1789" w:type="dxa"/>
            <w:tcBorders>
              <w:bottom w:val="single" w:sz="4" w:space="0" w:color="auto"/>
            </w:tcBorders>
            <w:shd w:val="clear" w:color="auto" w:fill="auto"/>
            <w:noWrap/>
            <w:hideMark/>
          </w:tcPr>
          <w:p w:rsidR="0089573D" w:rsidRPr="00DC4C68" w:rsidRDefault="0089573D" w:rsidP="00CC225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DC4C68">
              <w:rPr>
                <w:rFonts w:ascii="Times New Roman" w:hAnsi="Times New Roman" w:cs="Times New Roman"/>
                <w:color w:val="auto"/>
                <w:sz w:val="20"/>
                <w:szCs w:val="24"/>
              </w:rPr>
              <w:t>1.79</w:t>
            </w:r>
          </w:p>
        </w:tc>
        <w:tc>
          <w:tcPr>
            <w:tcW w:w="1633" w:type="dxa"/>
            <w:tcBorders>
              <w:bottom w:val="single" w:sz="4" w:space="0" w:color="auto"/>
            </w:tcBorders>
            <w:shd w:val="clear" w:color="auto" w:fill="auto"/>
            <w:noWrap/>
            <w:hideMark/>
          </w:tcPr>
          <w:p w:rsidR="0089573D" w:rsidRPr="00DC4C68" w:rsidRDefault="0089573D" w:rsidP="00CC225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DC4C68">
              <w:rPr>
                <w:rFonts w:ascii="Times New Roman" w:hAnsi="Times New Roman" w:cs="Times New Roman"/>
                <w:color w:val="auto"/>
                <w:sz w:val="20"/>
                <w:szCs w:val="24"/>
              </w:rPr>
              <w:t>0.222</w:t>
            </w:r>
          </w:p>
        </w:tc>
        <w:tc>
          <w:tcPr>
            <w:tcW w:w="2411" w:type="dxa"/>
            <w:tcBorders>
              <w:bottom w:val="single" w:sz="4" w:space="0" w:color="auto"/>
            </w:tcBorders>
            <w:shd w:val="clear" w:color="auto" w:fill="auto"/>
            <w:noWrap/>
            <w:hideMark/>
          </w:tcPr>
          <w:p w:rsidR="0089573D" w:rsidRPr="00DC4C68" w:rsidRDefault="0089573D" w:rsidP="00CC225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4"/>
              </w:rPr>
            </w:pPr>
            <w:r w:rsidRPr="00DC4C68">
              <w:rPr>
                <w:rFonts w:ascii="Times New Roman" w:hAnsi="Times New Roman" w:cs="Times New Roman"/>
                <w:color w:val="auto"/>
                <w:sz w:val="20"/>
                <w:szCs w:val="24"/>
              </w:rPr>
              <w:t>2.50</w:t>
            </w:r>
          </w:p>
        </w:tc>
      </w:tr>
    </w:tbl>
    <w:p w:rsidR="0089573D" w:rsidRDefault="0089573D" w:rsidP="00CC2250">
      <w:pPr>
        <w:spacing w:after="120" w:line="240" w:lineRule="auto"/>
        <w:jc w:val="both"/>
        <w:rPr>
          <w:rFonts w:ascii="Times New Roman" w:hAnsi="Times New Roman"/>
          <w:noProof/>
          <w:sz w:val="20"/>
          <w:szCs w:val="20"/>
          <w:lang w:bidi="ar-SA"/>
        </w:rPr>
      </w:pPr>
    </w:p>
    <w:p w:rsidR="00CC2250" w:rsidRPr="00DC4C68" w:rsidRDefault="00CC2250" w:rsidP="00CC2250">
      <w:pPr>
        <w:spacing w:after="0" w:line="240" w:lineRule="auto"/>
        <w:jc w:val="both"/>
        <w:rPr>
          <w:rFonts w:ascii="Times New Roman" w:hAnsi="Times New Roman"/>
          <w:b/>
          <w:sz w:val="20"/>
          <w:szCs w:val="24"/>
        </w:rPr>
      </w:pPr>
      <w:r w:rsidRPr="00DC4C68">
        <w:rPr>
          <w:rFonts w:ascii="Times New Roman" w:hAnsi="Times New Roman"/>
          <w:b/>
          <w:sz w:val="20"/>
          <w:szCs w:val="24"/>
        </w:rPr>
        <w:t>Limit of detection (LOD) and Limit of Quantification (LOQ)</w:t>
      </w:r>
    </w:p>
    <w:p w:rsidR="00CC2250" w:rsidRDefault="00CC2250" w:rsidP="00CC2250">
      <w:pPr>
        <w:spacing w:after="0" w:line="240" w:lineRule="auto"/>
        <w:jc w:val="both"/>
        <w:rPr>
          <w:rFonts w:ascii="Times New Roman" w:hAnsi="Times New Roman"/>
          <w:sz w:val="20"/>
          <w:szCs w:val="24"/>
        </w:rPr>
      </w:pPr>
      <w:r w:rsidRPr="00DC4C68">
        <w:rPr>
          <w:rFonts w:ascii="Times New Roman" w:hAnsi="Times New Roman"/>
          <w:sz w:val="20"/>
          <w:szCs w:val="24"/>
        </w:rPr>
        <w:t xml:space="preserve">The LOD and LOQ calculated are 3.04 μM and 10.14 μM, respectively, which is comparable, excellent and suitable for UA content determination compared to the previous study tabulated in Table 6. </w:t>
      </w:r>
    </w:p>
    <w:p w:rsidR="00CC2250" w:rsidRDefault="00CC2250" w:rsidP="00CC2250">
      <w:pPr>
        <w:spacing w:after="0" w:line="240" w:lineRule="auto"/>
        <w:jc w:val="both"/>
        <w:rPr>
          <w:rFonts w:ascii="Times New Roman" w:hAnsi="Times New Roman"/>
          <w:sz w:val="20"/>
          <w:szCs w:val="24"/>
        </w:rPr>
      </w:pPr>
    </w:p>
    <w:p w:rsidR="00CC2250" w:rsidRDefault="00CC2250" w:rsidP="00CC2250">
      <w:pPr>
        <w:spacing w:after="0" w:line="240" w:lineRule="auto"/>
        <w:jc w:val="both"/>
        <w:rPr>
          <w:rFonts w:ascii="Times New Roman" w:hAnsi="Times New Roman"/>
          <w:sz w:val="20"/>
          <w:szCs w:val="24"/>
        </w:rPr>
      </w:pPr>
    </w:p>
    <w:p w:rsidR="00CC2250" w:rsidRDefault="00CC2250" w:rsidP="00CC2250">
      <w:pPr>
        <w:spacing w:after="0" w:line="240" w:lineRule="auto"/>
        <w:jc w:val="both"/>
        <w:rPr>
          <w:rFonts w:ascii="Times New Roman" w:hAnsi="Times New Roman"/>
          <w:sz w:val="20"/>
          <w:szCs w:val="24"/>
        </w:rPr>
      </w:pPr>
    </w:p>
    <w:p w:rsidR="00CC2250" w:rsidRPr="00DC4C68" w:rsidRDefault="00CC2250" w:rsidP="00CC2250">
      <w:pPr>
        <w:spacing w:after="0" w:line="240" w:lineRule="auto"/>
        <w:jc w:val="both"/>
        <w:rPr>
          <w:rFonts w:ascii="Times New Roman" w:hAnsi="Times New Roman"/>
          <w:sz w:val="20"/>
          <w:szCs w:val="24"/>
        </w:rPr>
      </w:pPr>
    </w:p>
    <w:p w:rsidR="00CC2250" w:rsidRPr="00DC4C68" w:rsidRDefault="00CC2250" w:rsidP="00CC2250">
      <w:pPr>
        <w:spacing w:after="120" w:line="240" w:lineRule="auto"/>
        <w:jc w:val="center"/>
        <w:rPr>
          <w:rFonts w:ascii="Times New Roman" w:hAnsi="Times New Roman"/>
          <w:sz w:val="20"/>
          <w:szCs w:val="24"/>
        </w:rPr>
      </w:pPr>
      <w:r w:rsidRPr="00DC4C68">
        <w:rPr>
          <w:rFonts w:ascii="Times New Roman" w:hAnsi="Times New Roman"/>
          <w:sz w:val="20"/>
          <w:szCs w:val="24"/>
        </w:rPr>
        <w:lastRenderedPageBreak/>
        <w:t xml:space="preserve">Table 6. </w:t>
      </w:r>
      <w:r>
        <w:rPr>
          <w:rFonts w:ascii="Times New Roman" w:hAnsi="Times New Roman"/>
          <w:sz w:val="20"/>
          <w:szCs w:val="24"/>
        </w:rPr>
        <w:t xml:space="preserve"> </w:t>
      </w:r>
      <w:r w:rsidRPr="00DC4C68">
        <w:rPr>
          <w:rFonts w:ascii="Times New Roman" w:hAnsi="Times New Roman"/>
          <w:sz w:val="20"/>
          <w:szCs w:val="24"/>
        </w:rPr>
        <w:t>Comparison of current work with the previous study of uric acid determination</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1027"/>
        <w:gridCol w:w="1555"/>
        <w:gridCol w:w="1288"/>
      </w:tblGrid>
      <w:tr w:rsidR="00CC2250" w:rsidRPr="00DC4C68" w:rsidTr="00CC2250">
        <w:trPr>
          <w:trHeight w:val="437"/>
          <w:jc w:val="center"/>
        </w:trPr>
        <w:tc>
          <w:tcPr>
            <w:tcW w:w="0" w:type="auto"/>
            <w:tcBorders>
              <w:top w:val="single" w:sz="4" w:space="0" w:color="auto"/>
              <w:bottom w:val="single" w:sz="4" w:space="0" w:color="auto"/>
            </w:tcBorders>
          </w:tcPr>
          <w:p w:rsidR="00CC2250" w:rsidRPr="00DC4C68" w:rsidRDefault="00CC2250" w:rsidP="00CC2250">
            <w:pPr>
              <w:spacing w:before="60" w:after="0"/>
              <w:rPr>
                <w:rFonts w:ascii="Times New Roman" w:hAnsi="Times New Roman" w:cs="Times New Roman"/>
                <w:b/>
                <w:sz w:val="20"/>
                <w:szCs w:val="24"/>
                <w:lang w:val="en-US"/>
              </w:rPr>
            </w:pPr>
            <w:r w:rsidRPr="00DC4C68">
              <w:rPr>
                <w:rFonts w:ascii="Times New Roman" w:hAnsi="Times New Roman" w:cs="Times New Roman"/>
                <w:b/>
                <w:sz w:val="20"/>
                <w:szCs w:val="24"/>
                <w:lang w:val="en-US"/>
              </w:rPr>
              <w:t>Electrode</w:t>
            </w:r>
          </w:p>
        </w:tc>
        <w:tc>
          <w:tcPr>
            <w:tcW w:w="0" w:type="auto"/>
            <w:tcBorders>
              <w:top w:val="single" w:sz="4" w:space="0" w:color="auto"/>
              <w:bottom w:val="single" w:sz="4" w:space="0" w:color="auto"/>
            </w:tcBorders>
          </w:tcPr>
          <w:p w:rsidR="00CC2250" w:rsidRPr="00DC4C68" w:rsidRDefault="00CC2250" w:rsidP="00CC2250">
            <w:pPr>
              <w:spacing w:before="60" w:after="0"/>
              <w:rPr>
                <w:rFonts w:ascii="Times New Roman" w:hAnsi="Times New Roman" w:cs="Times New Roman"/>
                <w:b/>
                <w:sz w:val="20"/>
                <w:szCs w:val="24"/>
                <w:lang w:val="en-US"/>
              </w:rPr>
            </w:pPr>
            <w:r w:rsidRPr="00DC4C68">
              <w:rPr>
                <w:rFonts w:ascii="Times New Roman" w:hAnsi="Times New Roman" w:cs="Times New Roman"/>
                <w:b/>
                <w:sz w:val="20"/>
                <w:szCs w:val="24"/>
                <w:lang w:val="en-US"/>
              </w:rPr>
              <w:t>Detection</w:t>
            </w:r>
          </w:p>
          <w:p w:rsidR="00CC2250" w:rsidRPr="00DC4C68" w:rsidRDefault="00CC2250" w:rsidP="00CC2250">
            <w:pPr>
              <w:spacing w:after="60"/>
              <w:rPr>
                <w:rFonts w:ascii="Times New Roman" w:hAnsi="Times New Roman" w:cs="Times New Roman"/>
                <w:b/>
                <w:sz w:val="20"/>
                <w:szCs w:val="24"/>
                <w:lang w:val="en-US"/>
              </w:rPr>
            </w:pPr>
            <w:r w:rsidRPr="00DC4C68">
              <w:rPr>
                <w:rFonts w:ascii="Times New Roman" w:hAnsi="Times New Roman" w:cs="Times New Roman"/>
                <w:b/>
                <w:sz w:val="20"/>
                <w:szCs w:val="24"/>
                <w:lang w:val="en-US"/>
              </w:rPr>
              <w:t>Method</w:t>
            </w:r>
          </w:p>
        </w:tc>
        <w:tc>
          <w:tcPr>
            <w:tcW w:w="0" w:type="auto"/>
            <w:tcBorders>
              <w:top w:val="single" w:sz="4" w:space="0" w:color="auto"/>
              <w:bottom w:val="single" w:sz="4" w:space="0" w:color="auto"/>
            </w:tcBorders>
          </w:tcPr>
          <w:p w:rsidR="00CC2250" w:rsidRPr="00DC4C68" w:rsidRDefault="00CC2250" w:rsidP="00CC2250">
            <w:pPr>
              <w:spacing w:before="60" w:after="0"/>
              <w:jc w:val="center"/>
              <w:rPr>
                <w:rFonts w:ascii="Times New Roman" w:hAnsi="Times New Roman" w:cs="Times New Roman"/>
                <w:b/>
                <w:sz w:val="20"/>
                <w:szCs w:val="24"/>
                <w:lang w:val="en-US"/>
              </w:rPr>
            </w:pPr>
            <w:r w:rsidRPr="00DC4C68">
              <w:rPr>
                <w:rFonts w:ascii="Times New Roman" w:hAnsi="Times New Roman" w:cs="Times New Roman"/>
                <w:b/>
                <w:sz w:val="20"/>
                <w:szCs w:val="24"/>
                <w:lang w:val="en-US"/>
              </w:rPr>
              <w:t>Detection Limit</w:t>
            </w:r>
          </w:p>
          <w:p w:rsidR="00CC2250" w:rsidRPr="00DC4C68" w:rsidRDefault="00CC2250" w:rsidP="00CC2250">
            <w:pPr>
              <w:spacing w:after="60"/>
              <w:jc w:val="center"/>
              <w:rPr>
                <w:rFonts w:ascii="Times New Roman" w:hAnsi="Times New Roman" w:cs="Times New Roman"/>
                <w:b/>
                <w:sz w:val="20"/>
                <w:szCs w:val="24"/>
                <w:lang w:val="en-US"/>
              </w:rPr>
            </w:pPr>
            <w:r w:rsidRPr="00DC4C68">
              <w:rPr>
                <w:rFonts w:ascii="Times New Roman" w:hAnsi="Times New Roman" w:cs="Times New Roman"/>
                <w:b/>
                <w:sz w:val="20"/>
                <w:szCs w:val="24"/>
                <w:lang w:val="en-US"/>
              </w:rPr>
              <w:t>(</w:t>
            </w:r>
            <w:r w:rsidRPr="00DC4C68">
              <w:rPr>
                <w:rFonts w:ascii="Times New Roman" w:hAnsi="Times New Roman" w:cs="Times New Roman"/>
                <w:b/>
                <w:sz w:val="20"/>
                <w:szCs w:val="24"/>
                <w:lang w:val="en-US"/>
              </w:rPr>
              <w:sym w:font="Symbol" w:char="F06D"/>
            </w:r>
            <w:r w:rsidRPr="00DC4C68">
              <w:rPr>
                <w:rFonts w:ascii="Times New Roman" w:hAnsi="Times New Roman" w:cs="Times New Roman"/>
                <w:b/>
                <w:sz w:val="20"/>
                <w:szCs w:val="24"/>
                <w:lang w:val="en-US"/>
              </w:rPr>
              <w:t>M)</w:t>
            </w:r>
          </w:p>
        </w:tc>
        <w:tc>
          <w:tcPr>
            <w:tcW w:w="0" w:type="auto"/>
            <w:tcBorders>
              <w:top w:val="single" w:sz="4" w:space="0" w:color="auto"/>
              <w:bottom w:val="single" w:sz="4" w:space="0" w:color="auto"/>
            </w:tcBorders>
          </w:tcPr>
          <w:p w:rsidR="00CC2250" w:rsidRPr="00DC4C68" w:rsidRDefault="00CC2250" w:rsidP="00CC2250">
            <w:pPr>
              <w:spacing w:before="60" w:after="0"/>
              <w:rPr>
                <w:rFonts w:ascii="Times New Roman" w:hAnsi="Times New Roman" w:cs="Times New Roman"/>
                <w:b/>
                <w:sz w:val="20"/>
                <w:szCs w:val="24"/>
                <w:lang w:val="en-US"/>
              </w:rPr>
            </w:pPr>
            <w:r w:rsidRPr="00DC4C68">
              <w:rPr>
                <w:rFonts w:ascii="Times New Roman" w:hAnsi="Times New Roman" w:cs="Times New Roman"/>
                <w:b/>
                <w:sz w:val="20"/>
                <w:szCs w:val="24"/>
                <w:lang w:val="en-US"/>
              </w:rPr>
              <w:t>References</w:t>
            </w:r>
          </w:p>
        </w:tc>
      </w:tr>
      <w:tr w:rsidR="00CC2250" w:rsidRPr="00DC4C68" w:rsidTr="00CC2250">
        <w:trPr>
          <w:trHeight w:val="56"/>
          <w:jc w:val="center"/>
        </w:trPr>
        <w:tc>
          <w:tcPr>
            <w:tcW w:w="0" w:type="auto"/>
            <w:tcBorders>
              <w:top w:val="single" w:sz="4" w:space="0" w:color="auto"/>
            </w:tcBorders>
          </w:tcPr>
          <w:p w:rsidR="00CC2250" w:rsidRPr="00DC4C68" w:rsidRDefault="00CC2250" w:rsidP="00CC2250">
            <w:pPr>
              <w:spacing w:before="60" w:after="0"/>
              <w:rPr>
                <w:rFonts w:ascii="Times New Roman" w:hAnsi="Times New Roman" w:cs="Times New Roman"/>
                <w:sz w:val="20"/>
                <w:szCs w:val="24"/>
                <w:lang w:val="en-US"/>
              </w:rPr>
            </w:pPr>
            <w:r w:rsidRPr="00DC4C68">
              <w:rPr>
                <w:rFonts w:ascii="Times New Roman" w:hAnsi="Times New Roman" w:cs="Times New Roman"/>
                <w:sz w:val="20"/>
                <w:szCs w:val="24"/>
                <w:lang w:val="en-US"/>
              </w:rPr>
              <w:t>Pani/AuNPs</w:t>
            </w:r>
          </w:p>
        </w:tc>
        <w:tc>
          <w:tcPr>
            <w:tcW w:w="0" w:type="auto"/>
            <w:tcBorders>
              <w:top w:val="single" w:sz="4" w:space="0" w:color="auto"/>
            </w:tcBorders>
          </w:tcPr>
          <w:p w:rsidR="00CC2250" w:rsidRPr="00DC4C68" w:rsidRDefault="00CC2250" w:rsidP="00CC2250">
            <w:pPr>
              <w:spacing w:before="60" w:after="0"/>
              <w:rPr>
                <w:rFonts w:ascii="Times New Roman" w:hAnsi="Times New Roman" w:cs="Times New Roman"/>
                <w:sz w:val="20"/>
                <w:szCs w:val="24"/>
                <w:lang w:val="en-US"/>
              </w:rPr>
            </w:pPr>
            <w:r w:rsidRPr="00DC4C68">
              <w:rPr>
                <w:rFonts w:ascii="Times New Roman" w:hAnsi="Times New Roman" w:cs="Times New Roman"/>
                <w:sz w:val="20"/>
                <w:szCs w:val="24"/>
                <w:lang w:val="en-US"/>
              </w:rPr>
              <w:t>DPV</w:t>
            </w:r>
          </w:p>
        </w:tc>
        <w:tc>
          <w:tcPr>
            <w:tcW w:w="0" w:type="auto"/>
            <w:tcBorders>
              <w:top w:val="single" w:sz="4" w:space="0" w:color="auto"/>
            </w:tcBorders>
          </w:tcPr>
          <w:p w:rsidR="00CC2250" w:rsidRPr="00DC4C68" w:rsidRDefault="00CC2250" w:rsidP="00CC2250">
            <w:pPr>
              <w:spacing w:before="60" w:after="0"/>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20.0</w:t>
            </w:r>
          </w:p>
        </w:tc>
        <w:tc>
          <w:tcPr>
            <w:tcW w:w="0" w:type="auto"/>
            <w:tcBorders>
              <w:top w:val="single" w:sz="4" w:space="0" w:color="auto"/>
            </w:tcBorders>
          </w:tcPr>
          <w:p w:rsidR="00CC2250" w:rsidRPr="00DC4C68" w:rsidRDefault="00CC2250" w:rsidP="00CC2250">
            <w:pPr>
              <w:spacing w:before="60" w:after="0"/>
              <w:rPr>
                <w:rFonts w:ascii="Times New Roman" w:hAnsi="Times New Roman" w:cs="Times New Roman"/>
                <w:sz w:val="20"/>
                <w:szCs w:val="24"/>
                <w:lang w:val="en-US"/>
              </w:rPr>
            </w:pPr>
            <w:r w:rsidRPr="00DC4C68">
              <w:rPr>
                <w:rFonts w:ascii="Times New Roman" w:hAnsi="Times New Roman" w:cs="Times New Roman"/>
                <w:sz w:val="20"/>
                <w:szCs w:val="24"/>
                <w:lang w:val="en-US"/>
              </w:rPr>
              <w:t>[32]</w:t>
            </w:r>
          </w:p>
        </w:tc>
      </w:tr>
      <w:tr w:rsidR="00CC2250" w:rsidRPr="00DC4C68" w:rsidTr="00953256">
        <w:trPr>
          <w:trHeight w:val="56"/>
          <w:jc w:val="center"/>
        </w:trPr>
        <w:tc>
          <w:tcPr>
            <w:tcW w:w="0" w:type="auto"/>
          </w:tcPr>
          <w:p w:rsidR="00CC2250" w:rsidRPr="00DC4C68" w:rsidRDefault="00CC2250" w:rsidP="00CC2250">
            <w:pPr>
              <w:spacing w:before="60" w:after="0"/>
              <w:rPr>
                <w:rFonts w:ascii="Times New Roman" w:hAnsi="Times New Roman" w:cs="Times New Roman"/>
                <w:sz w:val="20"/>
                <w:szCs w:val="24"/>
                <w:lang w:val="en-US"/>
              </w:rPr>
            </w:pPr>
            <w:r w:rsidRPr="00DC4C68">
              <w:rPr>
                <w:rFonts w:ascii="Times New Roman" w:hAnsi="Times New Roman" w:cs="Times New Roman"/>
                <w:sz w:val="20"/>
                <w:szCs w:val="24"/>
                <w:lang w:val="en-US"/>
              </w:rPr>
              <w:t>ZnO/rGO</w:t>
            </w:r>
          </w:p>
        </w:tc>
        <w:tc>
          <w:tcPr>
            <w:tcW w:w="0" w:type="auto"/>
          </w:tcPr>
          <w:p w:rsidR="00CC2250" w:rsidRPr="00DC4C68" w:rsidRDefault="00CC2250" w:rsidP="00CC2250">
            <w:pPr>
              <w:spacing w:before="60" w:after="0"/>
              <w:rPr>
                <w:rFonts w:ascii="Times New Roman" w:hAnsi="Times New Roman" w:cs="Times New Roman"/>
                <w:sz w:val="20"/>
                <w:szCs w:val="24"/>
                <w:lang w:val="en-US"/>
              </w:rPr>
            </w:pPr>
            <w:r w:rsidRPr="00DC4C68">
              <w:rPr>
                <w:rFonts w:ascii="Times New Roman" w:hAnsi="Times New Roman" w:cs="Times New Roman"/>
                <w:sz w:val="20"/>
                <w:szCs w:val="24"/>
                <w:lang w:val="en-US"/>
              </w:rPr>
              <w:t>DPV</w:t>
            </w:r>
          </w:p>
        </w:tc>
        <w:tc>
          <w:tcPr>
            <w:tcW w:w="0" w:type="auto"/>
          </w:tcPr>
          <w:p w:rsidR="00CC2250" w:rsidRPr="00DC4C68" w:rsidRDefault="00CC2250" w:rsidP="00CC2250">
            <w:pPr>
              <w:spacing w:before="60" w:after="0"/>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8.5</w:t>
            </w:r>
          </w:p>
        </w:tc>
        <w:tc>
          <w:tcPr>
            <w:tcW w:w="0" w:type="auto"/>
          </w:tcPr>
          <w:p w:rsidR="00CC2250" w:rsidRPr="00DC4C68" w:rsidRDefault="00CC2250" w:rsidP="00CC2250">
            <w:pPr>
              <w:spacing w:before="60" w:after="0"/>
              <w:rPr>
                <w:rFonts w:ascii="Times New Roman" w:hAnsi="Times New Roman" w:cs="Times New Roman"/>
                <w:sz w:val="20"/>
                <w:szCs w:val="24"/>
                <w:lang w:val="en-US"/>
              </w:rPr>
            </w:pPr>
            <w:r w:rsidRPr="00DC4C68">
              <w:rPr>
                <w:rFonts w:ascii="Times New Roman" w:hAnsi="Times New Roman" w:cs="Times New Roman"/>
                <w:sz w:val="20"/>
                <w:szCs w:val="24"/>
                <w:lang w:val="en-US"/>
              </w:rPr>
              <w:t>[33]</w:t>
            </w:r>
          </w:p>
        </w:tc>
      </w:tr>
      <w:tr w:rsidR="00CC2250" w:rsidRPr="00DC4C68" w:rsidTr="00953256">
        <w:trPr>
          <w:trHeight w:val="56"/>
          <w:jc w:val="center"/>
        </w:trPr>
        <w:tc>
          <w:tcPr>
            <w:tcW w:w="0" w:type="auto"/>
          </w:tcPr>
          <w:p w:rsidR="00CC2250" w:rsidRPr="00DC4C68" w:rsidRDefault="00CC2250" w:rsidP="00CC2250">
            <w:pPr>
              <w:spacing w:before="60" w:after="0"/>
              <w:rPr>
                <w:rFonts w:ascii="Times New Roman" w:hAnsi="Times New Roman" w:cs="Times New Roman"/>
                <w:sz w:val="20"/>
                <w:szCs w:val="24"/>
                <w:lang w:val="en-US"/>
              </w:rPr>
            </w:pPr>
            <w:r w:rsidRPr="00DC4C68">
              <w:rPr>
                <w:rFonts w:ascii="Times New Roman" w:hAnsi="Times New Roman" w:cs="Times New Roman"/>
                <w:sz w:val="20"/>
                <w:szCs w:val="24"/>
                <w:lang w:val="en-US"/>
              </w:rPr>
              <w:t>AgNPs/rGO</w:t>
            </w:r>
          </w:p>
        </w:tc>
        <w:tc>
          <w:tcPr>
            <w:tcW w:w="0" w:type="auto"/>
          </w:tcPr>
          <w:p w:rsidR="00CC2250" w:rsidRPr="00DC4C68" w:rsidRDefault="00CC2250" w:rsidP="00CC2250">
            <w:pPr>
              <w:spacing w:before="60" w:after="0"/>
              <w:rPr>
                <w:rFonts w:ascii="Times New Roman" w:hAnsi="Times New Roman" w:cs="Times New Roman"/>
                <w:sz w:val="20"/>
                <w:szCs w:val="24"/>
                <w:lang w:val="en-US"/>
              </w:rPr>
            </w:pPr>
            <w:r w:rsidRPr="00DC4C68">
              <w:rPr>
                <w:rFonts w:ascii="Times New Roman" w:hAnsi="Times New Roman" w:cs="Times New Roman"/>
                <w:sz w:val="20"/>
                <w:szCs w:val="24"/>
                <w:lang w:val="en-US"/>
              </w:rPr>
              <w:t>DPV</w:t>
            </w:r>
          </w:p>
        </w:tc>
        <w:tc>
          <w:tcPr>
            <w:tcW w:w="0" w:type="auto"/>
          </w:tcPr>
          <w:p w:rsidR="00CC2250" w:rsidRPr="00DC4C68" w:rsidRDefault="00CC2250" w:rsidP="00CC2250">
            <w:pPr>
              <w:spacing w:before="60" w:after="0"/>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8.2</w:t>
            </w:r>
          </w:p>
        </w:tc>
        <w:tc>
          <w:tcPr>
            <w:tcW w:w="0" w:type="auto"/>
          </w:tcPr>
          <w:p w:rsidR="00CC2250" w:rsidRPr="00DC4C68" w:rsidRDefault="00CC2250" w:rsidP="00CC2250">
            <w:pPr>
              <w:spacing w:before="60" w:after="0"/>
              <w:rPr>
                <w:rFonts w:ascii="Times New Roman" w:hAnsi="Times New Roman" w:cs="Times New Roman"/>
                <w:sz w:val="20"/>
                <w:szCs w:val="24"/>
                <w:lang w:val="en-US"/>
              </w:rPr>
            </w:pPr>
            <w:r w:rsidRPr="00DC4C68">
              <w:rPr>
                <w:rFonts w:ascii="Times New Roman" w:hAnsi="Times New Roman" w:cs="Times New Roman"/>
                <w:sz w:val="20"/>
                <w:szCs w:val="24"/>
                <w:lang w:val="en-US"/>
              </w:rPr>
              <w:t>[34]</w:t>
            </w:r>
          </w:p>
        </w:tc>
      </w:tr>
      <w:tr w:rsidR="00CC2250" w:rsidRPr="00DC4C68" w:rsidTr="00CC2250">
        <w:trPr>
          <w:trHeight w:val="61"/>
          <w:jc w:val="center"/>
        </w:trPr>
        <w:tc>
          <w:tcPr>
            <w:tcW w:w="0" w:type="auto"/>
            <w:tcBorders>
              <w:bottom w:val="nil"/>
            </w:tcBorders>
          </w:tcPr>
          <w:p w:rsidR="00CC2250" w:rsidRPr="00DC4C68" w:rsidRDefault="00CC2250" w:rsidP="00CC2250">
            <w:pPr>
              <w:spacing w:before="60" w:after="0"/>
              <w:rPr>
                <w:rFonts w:ascii="Times New Roman" w:hAnsi="Times New Roman" w:cs="Times New Roman"/>
                <w:sz w:val="20"/>
                <w:szCs w:val="24"/>
                <w:lang w:val="en-US"/>
              </w:rPr>
            </w:pPr>
            <w:r w:rsidRPr="00DC4C68">
              <w:rPr>
                <w:rFonts w:ascii="Times New Roman" w:hAnsi="Times New Roman" w:cs="Times New Roman"/>
                <w:sz w:val="20"/>
                <w:szCs w:val="24"/>
                <w:lang w:val="en-US"/>
              </w:rPr>
              <w:t>Modified GCE (0.5M NaOH solution)</w:t>
            </w:r>
          </w:p>
        </w:tc>
        <w:tc>
          <w:tcPr>
            <w:tcW w:w="0" w:type="auto"/>
            <w:tcBorders>
              <w:bottom w:val="nil"/>
            </w:tcBorders>
          </w:tcPr>
          <w:p w:rsidR="00CC2250" w:rsidRPr="00DC4C68" w:rsidRDefault="00CC2250" w:rsidP="00CC2250">
            <w:pPr>
              <w:spacing w:before="60" w:after="0"/>
              <w:rPr>
                <w:rFonts w:ascii="Times New Roman" w:hAnsi="Times New Roman" w:cs="Times New Roman"/>
                <w:sz w:val="20"/>
                <w:szCs w:val="24"/>
                <w:lang w:val="en-US"/>
              </w:rPr>
            </w:pPr>
            <w:r w:rsidRPr="00DC4C68">
              <w:rPr>
                <w:rFonts w:ascii="Times New Roman" w:hAnsi="Times New Roman" w:cs="Times New Roman"/>
                <w:sz w:val="20"/>
                <w:szCs w:val="24"/>
                <w:lang w:val="en-US"/>
              </w:rPr>
              <w:t>DPV</w:t>
            </w:r>
          </w:p>
        </w:tc>
        <w:tc>
          <w:tcPr>
            <w:tcW w:w="0" w:type="auto"/>
            <w:tcBorders>
              <w:bottom w:val="nil"/>
            </w:tcBorders>
          </w:tcPr>
          <w:p w:rsidR="00CC2250" w:rsidRPr="00DC4C68" w:rsidRDefault="00CC2250" w:rsidP="00CC2250">
            <w:pPr>
              <w:spacing w:before="60" w:after="0"/>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4.7</w:t>
            </w:r>
          </w:p>
        </w:tc>
        <w:tc>
          <w:tcPr>
            <w:tcW w:w="0" w:type="auto"/>
            <w:tcBorders>
              <w:bottom w:val="nil"/>
            </w:tcBorders>
          </w:tcPr>
          <w:p w:rsidR="00CC2250" w:rsidRPr="00DC4C68" w:rsidRDefault="00CC2250" w:rsidP="00CC2250">
            <w:pPr>
              <w:spacing w:before="60" w:after="0"/>
              <w:rPr>
                <w:rFonts w:ascii="Times New Roman" w:hAnsi="Times New Roman" w:cs="Times New Roman"/>
                <w:sz w:val="20"/>
                <w:szCs w:val="24"/>
                <w:lang w:val="en-US"/>
              </w:rPr>
            </w:pPr>
            <w:r w:rsidRPr="00DC4C68">
              <w:rPr>
                <w:rFonts w:ascii="Times New Roman" w:hAnsi="Times New Roman" w:cs="Times New Roman"/>
                <w:sz w:val="20"/>
                <w:szCs w:val="24"/>
                <w:lang w:val="en-US"/>
              </w:rPr>
              <w:t>[35]</w:t>
            </w:r>
          </w:p>
        </w:tc>
      </w:tr>
      <w:tr w:rsidR="00CC2250" w:rsidRPr="00DC4C68" w:rsidTr="00CC2250">
        <w:trPr>
          <w:trHeight w:val="82"/>
          <w:jc w:val="center"/>
        </w:trPr>
        <w:tc>
          <w:tcPr>
            <w:tcW w:w="0" w:type="auto"/>
            <w:tcBorders>
              <w:top w:val="nil"/>
              <w:bottom w:val="single" w:sz="4" w:space="0" w:color="auto"/>
            </w:tcBorders>
          </w:tcPr>
          <w:p w:rsidR="00CC2250" w:rsidRPr="00DC4C68" w:rsidRDefault="00CC2250" w:rsidP="00CC2250">
            <w:pPr>
              <w:spacing w:before="60" w:after="60"/>
              <w:rPr>
                <w:rFonts w:ascii="Times New Roman" w:hAnsi="Times New Roman" w:cs="Times New Roman"/>
                <w:sz w:val="20"/>
                <w:szCs w:val="24"/>
                <w:lang w:val="en-US"/>
              </w:rPr>
            </w:pPr>
            <w:r w:rsidRPr="00DC4C68">
              <w:rPr>
                <w:rFonts w:ascii="Times New Roman" w:hAnsi="Times New Roman" w:cs="Times New Roman"/>
                <w:sz w:val="20"/>
                <w:szCs w:val="24"/>
                <w:lang w:val="en-US"/>
              </w:rPr>
              <w:t>Fe</w:t>
            </w:r>
            <w:r w:rsidRPr="00DC4C68">
              <w:rPr>
                <w:rFonts w:ascii="Times New Roman" w:hAnsi="Times New Roman" w:cs="Times New Roman"/>
                <w:sz w:val="20"/>
                <w:szCs w:val="24"/>
                <w:vertAlign w:val="subscript"/>
                <w:lang w:val="en-US"/>
              </w:rPr>
              <w:t>3</w:t>
            </w:r>
            <w:r w:rsidRPr="00DC4C68">
              <w:rPr>
                <w:rFonts w:ascii="Times New Roman" w:hAnsi="Times New Roman" w:cs="Times New Roman"/>
                <w:sz w:val="20"/>
                <w:szCs w:val="24"/>
                <w:lang w:val="en-US"/>
              </w:rPr>
              <w:t>O</w:t>
            </w:r>
            <w:r w:rsidRPr="00DC4C68">
              <w:rPr>
                <w:rFonts w:ascii="Times New Roman" w:hAnsi="Times New Roman" w:cs="Times New Roman"/>
                <w:sz w:val="20"/>
                <w:szCs w:val="24"/>
                <w:vertAlign w:val="subscript"/>
                <w:lang w:val="en-US"/>
              </w:rPr>
              <w:t>4</w:t>
            </w:r>
            <w:r w:rsidRPr="00DC4C68">
              <w:rPr>
                <w:rFonts w:ascii="Times New Roman" w:hAnsi="Times New Roman" w:cs="Times New Roman"/>
                <w:sz w:val="20"/>
                <w:szCs w:val="24"/>
                <w:lang w:val="en-US"/>
              </w:rPr>
              <w:t>/rGO</w:t>
            </w:r>
          </w:p>
        </w:tc>
        <w:tc>
          <w:tcPr>
            <w:tcW w:w="0" w:type="auto"/>
            <w:tcBorders>
              <w:top w:val="nil"/>
              <w:bottom w:val="single" w:sz="4" w:space="0" w:color="auto"/>
            </w:tcBorders>
          </w:tcPr>
          <w:p w:rsidR="00CC2250" w:rsidRPr="00DC4C68" w:rsidRDefault="00CC2250" w:rsidP="00CC2250">
            <w:pPr>
              <w:spacing w:before="60" w:after="60"/>
              <w:rPr>
                <w:rFonts w:ascii="Times New Roman" w:hAnsi="Times New Roman" w:cs="Times New Roman"/>
                <w:sz w:val="20"/>
                <w:szCs w:val="24"/>
                <w:lang w:val="en-US"/>
              </w:rPr>
            </w:pPr>
            <w:r w:rsidRPr="00DC4C68">
              <w:rPr>
                <w:rFonts w:ascii="Times New Roman" w:hAnsi="Times New Roman" w:cs="Times New Roman"/>
                <w:sz w:val="20"/>
                <w:szCs w:val="24"/>
                <w:lang w:val="en-US"/>
              </w:rPr>
              <w:t>DPV</w:t>
            </w:r>
          </w:p>
        </w:tc>
        <w:tc>
          <w:tcPr>
            <w:tcW w:w="0" w:type="auto"/>
            <w:tcBorders>
              <w:top w:val="nil"/>
              <w:bottom w:val="single" w:sz="4" w:space="0" w:color="auto"/>
            </w:tcBorders>
          </w:tcPr>
          <w:p w:rsidR="00CC2250" w:rsidRPr="00DC4C68" w:rsidRDefault="00CC2250" w:rsidP="00CC2250">
            <w:pPr>
              <w:spacing w:before="60" w:after="60"/>
              <w:jc w:val="center"/>
              <w:rPr>
                <w:rFonts w:ascii="Times New Roman" w:hAnsi="Times New Roman" w:cs="Times New Roman"/>
                <w:sz w:val="20"/>
                <w:szCs w:val="24"/>
                <w:lang w:val="en-US"/>
              </w:rPr>
            </w:pPr>
            <w:r w:rsidRPr="00DC4C68">
              <w:rPr>
                <w:rFonts w:ascii="Times New Roman" w:hAnsi="Times New Roman" w:cs="Times New Roman"/>
                <w:sz w:val="20"/>
                <w:szCs w:val="24"/>
                <w:lang w:val="en-US"/>
              </w:rPr>
              <w:t>3.04</w:t>
            </w:r>
          </w:p>
        </w:tc>
        <w:tc>
          <w:tcPr>
            <w:tcW w:w="0" w:type="auto"/>
            <w:tcBorders>
              <w:top w:val="nil"/>
              <w:bottom w:val="single" w:sz="4" w:space="0" w:color="auto"/>
            </w:tcBorders>
          </w:tcPr>
          <w:p w:rsidR="00CC2250" w:rsidRPr="00DC4C68" w:rsidRDefault="00CC2250" w:rsidP="00CC2250">
            <w:pPr>
              <w:spacing w:before="60" w:after="60"/>
              <w:rPr>
                <w:rFonts w:ascii="Times New Roman" w:hAnsi="Times New Roman" w:cs="Times New Roman"/>
                <w:sz w:val="20"/>
                <w:szCs w:val="24"/>
                <w:lang w:val="en-US"/>
              </w:rPr>
            </w:pPr>
            <w:r w:rsidRPr="00DC4C68">
              <w:rPr>
                <w:rFonts w:ascii="Times New Roman" w:hAnsi="Times New Roman" w:cs="Times New Roman"/>
                <w:sz w:val="20"/>
                <w:szCs w:val="24"/>
                <w:lang w:val="en-US"/>
              </w:rPr>
              <w:t>Current work</w:t>
            </w:r>
          </w:p>
        </w:tc>
      </w:tr>
    </w:tbl>
    <w:p w:rsidR="00CC2250" w:rsidRPr="00DC4C68" w:rsidRDefault="00CC2250" w:rsidP="00CC2250">
      <w:pPr>
        <w:spacing w:after="120" w:line="240" w:lineRule="auto"/>
        <w:jc w:val="both"/>
        <w:rPr>
          <w:rFonts w:ascii="Times New Roman" w:hAnsi="Times New Roman"/>
          <w:sz w:val="20"/>
          <w:szCs w:val="24"/>
        </w:rPr>
      </w:pPr>
    </w:p>
    <w:p w:rsidR="00CC2250" w:rsidRDefault="00CC2250" w:rsidP="00CC2250">
      <w:pPr>
        <w:spacing w:after="0" w:line="240" w:lineRule="auto"/>
        <w:jc w:val="both"/>
        <w:rPr>
          <w:rFonts w:ascii="Times New Roman" w:hAnsi="Times New Roman"/>
          <w:sz w:val="20"/>
          <w:szCs w:val="24"/>
        </w:rPr>
      </w:pPr>
      <w:r w:rsidRPr="00DC4C68">
        <w:rPr>
          <w:rFonts w:ascii="Times New Roman" w:hAnsi="Times New Roman"/>
          <w:sz w:val="20"/>
          <w:szCs w:val="24"/>
        </w:rPr>
        <w:t>Additionally, the current response proportional increases with the UA concentration added into the phosphate buffer solution of pH 7. In the lower range of concentration, the linear regression equation obtained was I</w:t>
      </w:r>
      <w:r w:rsidRPr="00DC4C68">
        <w:rPr>
          <w:rFonts w:ascii="Times New Roman" w:hAnsi="Times New Roman"/>
          <w:sz w:val="20"/>
          <w:szCs w:val="24"/>
          <w:vertAlign w:val="subscript"/>
        </w:rPr>
        <w:t>pa</w:t>
      </w:r>
      <w:r w:rsidRPr="00DC4C68">
        <w:rPr>
          <w:rFonts w:ascii="Times New Roman" w:hAnsi="Times New Roman"/>
          <w:sz w:val="20"/>
          <w:szCs w:val="24"/>
        </w:rPr>
        <w:t>(A) = 8.477 x10</w:t>
      </w:r>
      <w:r w:rsidRPr="00DC4C68">
        <w:rPr>
          <w:rFonts w:ascii="Times New Roman" w:hAnsi="Times New Roman"/>
          <w:sz w:val="20"/>
          <w:szCs w:val="24"/>
          <w:vertAlign w:val="superscript"/>
        </w:rPr>
        <w:t>-8</w:t>
      </w:r>
      <w:r w:rsidRPr="00DC4C68">
        <w:rPr>
          <w:rFonts w:ascii="Times New Roman" w:hAnsi="Times New Roman"/>
          <w:sz w:val="20"/>
          <w:szCs w:val="24"/>
          <w:vertAlign w:val="subscript"/>
        </w:rPr>
        <w:t xml:space="preserve"> </w:t>
      </w:r>
      <w:r w:rsidRPr="00DC4C68">
        <w:rPr>
          <w:rFonts w:ascii="Times New Roman" w:hAnsi="Times New Roman"/>
          <w:i/>
          <w:sz w:val="20"/>
          <w:szCs w:val="24"/>
        </w:rPr>
        <w:t>c</w:t>
      </w:r>
      <w:r w:rsidRPr="00DC4C68">
        <w:rPr>
          <w:rFonts w:ascii="Times New Roman" w:hAnsi="Times New Roman"/>
          <w:sz w:val="20"/>
          <w:szCs w:val="24"/>
        </w:rPr>
        <w:t xml:space="preserve"> + 8.43743 x10</w:t>
      </w:r>
      <w:r w:rsidRPr="00DC4C68">
        <w:rPr>
          <w:rFonts w:ascii="Times New Roman" w:hAnsi="Times New Roman"/>
          <w:sz w:val="20"/>
          <w:szCs w:val="24"/>
          <w:vertAlign w:val="superscript"/>
        </w:rPr>
        <w:t>-6</w:t>
      </w:r>
      <w:r w:rsidRPr="00DC4C68">
        <w:rPr>
          <w:rFonts w:ascii="Times New Roman" w:hAnsi="Times New Roman"/>
          <w:sz w:val="20"/>
          <w:szCs w:val="24"/>
        </w:rPr>
        <w:t xml:space="preserve"> with a correlation coefficient of 0.989 and sensitivity of 0.08478 μA/μM. In the second linear dynamic segment, the linearity was expressed as I</w:t>
      </w:r>
      <w:r w:rsidRPr="00DC4C68">
        <w:rPr>
          <w:rFonts w:ascii="Times New Roman" w:hAnsi="Times New Roman"/>
          <w:sz w:val="20"/>
          <w:szCs w:val="24"/>
          <w:vertAlign w:val="subscript"/>
        </w:rPr>
        <w:t>pa</w:t>
      </w:r>
      <w:r w:rsidRPr="00DC4C68">
        <w:rPr>
          <w:rFonts w:ascii="Times New Roman" w:hAnsi="Times New Roman"/>
          <w:sz w:val="20"/>
          <w:szCs w:val="24"/>
        </w:rPr>
        <w:t>(A) = 6.631 x10</w:t>
      </w:r>
      <w:r w:rsidRPr="00DC4C68">
        <w:rPr>
          <w:rFonts w:ascii="Times New Roman" w:hAnsi="Times New Roman"/>
          <w:sz w:val="20"/>
          <w:szCs w:val="24"/>
          <w:vertAlign w:val="superscript"/>
        </w:rPr>
        <w:t>-9</w:t>
      </w:r>
      <w:r w:rsidRPr="00DC4C68">
        <w:rPr>
          <w:rFonts w:ascii="Times New Roman" w:hAnsi="Times New Roman"/>
          <w:sz w:val="20"/>
          <w:szCs w:val="24"/>
          <w:vertAlign w:val="subscript"/>
        </w:rPr>
        <w:t xml:space="preserve"> </w:t>
      </w:r>
      <w:r w:rsidRPr="00DC4C68">
        <w:rPr>
          <w:rFonts w:ascii="Times New Roman" w:hAnsi="Times New Roman"/>
          <w:i/>
          <w:sz w:val="20"/>
          <w:szCs w:val="24"/>
        </w:rPr>
        <w:t>c</w:t>
      </w:r>
      <w:r w:rsidRPr="00DC4C68">
        <w:rPr>
          <w:rFonts w:ascii="Times New Roman" w:hAnsi="Times New Roman"/>
          <w:sz w:val="20"/>
          <w:szCs w:val="24"/>
        </w:rPr>
        <w:t xml:space="preserve"> + 1.65937 x10</w:t>
      </w:r>
      <w:r w:rsidRPr="00DC4C68">
        <w:rPr>
          <w:rFonts w:ascii="Times New Roman" w:hAnsi="Times New Roman"/>
          <w:sz w:val="20"/>
          <w:szCs w:val="24"/>
          <w:vertAlign w:val="superscript"/>
        </w:rPr>
        <w:t>-5</w:t>
      </w:r>
      <w:r w:rsidRPr="00DC4C68">
        <w:rPr>
          <w:rFonts w:ascii="Times New Roman" w:hAnsi="Times New Roman"/>
          <w:sz w:val="20"/>
          <w:szCs w:val="24"/>
        </w:rPr>
        <w:t xml:space="preserve"> with a R</w:t>
      </w:r>
      <w:r w:rsidRPr="00DC4C68">
        <w:rPr>
          <w:rFonts w:ascii="Times New Roman" w:hAnsi="Times New Roman"/>
          <w:sz w:val="20"/>
          <w:szCs w:val="24"/>
          <w:vertAlign w:val="superscript"/>
        </w:rPr>
        <w:t>2</w:t>
      </w:r>
      <w:r w:rsidRPr="00DC4C68">
        <w:rPr>
          <w:rFonts w:ascii="Times New Roman" w:hAnsi="Times New Roman"/>
          <w:sz w:val="20"/>
          <w:szCs w:val="24"/>
          <w:vertAlign w:val="subscript"/>
        </w:rPr>
        <w:t xml:space="preserve"> </w:t>
      </w:r>
      <w:r w:rsidRPr="00DC4C68">
        <w:rPr>
          <w:rFonts w:ascii="Times New Roman" w:hAnsi="Times New Roman"/>
          <w:sz w:val="20"/>
          <w:szCs w:val="24"/>
        </w:rPr>
        <w:t>= 0.953 correspond to higher UA concentration ranging from 100 μM to 800 μM (Figure 8b). The declination in sensitivity (slope) at higher magnitude of concentration was described by the kinetic limitation of electroactive species toward the Fe</w:t>
      </w:r>
      <w:r w:rsidRPr="00DC4C68">
        <w:rPr>
          <w:rFonts w:ascii="Times New Roman" w:hAnsi="Times New Roman"/>
          <w:sz w:val="20"/>
          <w:szCs w:val="24"/>
          <w:vertAlign w:val="subscript"/>
        </w:rPr>
        <w:t>3</w:t>
      </w:r>
      <w:r w:rsidRPr="00DC4C68">
        <w:rPr>
          <w:rFonts w:ascii="Times New Roman" w:hAnsi="Times New Roman"/>
          <w:sz w:val="20"/>
          <w:szCs w:val="24"/>
        </w:rPr>
        <w:t>O</w:t>
      </w:r>
      <w:r w:rsidRPr="00DC4C68">
        <w:rPr>
          <w:rFonts w:ascii="Times New Roman" w:hAnsi="Times New Roman"/>
          <w:sz w:val="20"/>
          <w:szCs w:val="24"/>
          <w:vertAlign w:val="subscript"/>
        </w:rPr>
        <w:t>4</w:t>
      </w:r>
      <w:r w:rsidRPr="00DC4C68">
        <w:rPr>
          <w:rFonts w:ascii="Times New Roman" w:hAnsi="Times New Roman"/>
          <w:sz w:val="20"/>
          <w:szCs w:val="24"/>
        </w:rPr>
        <w:t xml:space="preserve">/rGO/GCE surface in a transport mechanism </w:t>
      </w:r>
      <w:r w:rsidRPr="00DC4C68">
        <w:rPr>
          <w:rFonts w:ascii="Times New Roman" w:hAnsi="Times New Roman"/>
          <w:sz w:val="20"/>
          <w:szCs w:val="24"/>
        </w:rPr>
        <w:fldChar w:fldCharType="begin" w:fldLock="1"/>
      </w:r>
      <w:r w:rsidRPr="00DC4C68">
        <w:rPr>
          <w:rFonts w:ascii="Times New Roman" w:hAnsi="Times New Roman"/>
          <w:sz w:val="20"/>
          <w:szCs w:val="24"/>
        </w:rPr>
        <w:instrText>ADDIN CSL_CITATION {"citationItems":[{"id":"ITEM-1","itemData":{"DOI":"10.1016/j.msec.2016.10.076","ISSN":"09284931","abstract":"Neuroblastoma is a pediatric neuroblastic tumor arising in the sympathetic nervous crest cells. A high grade of Neuroblastoma is characterized by a high urinary excretion of homovanillic acid and dopamine. In this work L-leucine modified Sol-Gel-Carbon electrode was used for a sensitive voltammetric determination of homovanillic acid and dopamine in urine. The electrochemical response characteristics were investigated by cyclic and differential pulse voltammetry; the modified electrode has shown an increase in the effective area of up to 40%, a well-separated oxidation peaks and an excellent electrocatalytic activity. High sensitivity and selectivity in the linear range of 0,4–100 μM L− 1 of homovanillic acid and 10–120 μM L− 1 of dopamine were also obtained. Moreover, a sub-micromolar limit of detection of 0.1 μM for homovanillic acid and 1.0 μM for the dopamine was achieved. Indeed, high reproducibility with simple preparation and regeneration of the electrode surface made this electrode very suitable for the determination of homovanillic acid and dopamine in pharmaceutical and clinical preparations. The mechanism of homovanillic acid and the electrochemical oxidation at L-leucine modified Sol-Gel-Carbon electrode is described out the B3P86/6-31 + G(d,p) level of theory as implemented in Gaussian software.","author":[{"dropping-particle":"El","family":"Khamlichi","given":"Redouan","non-dropping-particle":"","parse-names":false,"suffix":""},{"dropping-particle":"","family":"Bouchta","given":"Dounia","non-dropping-particle":"","parse-names":false,"suffix":""},{"dropping-particle":"","family":"Anouar","given":"El Hassane","non-dropping-particle":"","parse-names":false,"suffix":""},{"dropping-particle":"Ben","family":"Atia","given":"Mounia","non-dropping-particle":"","parse-names":false,"suffix":""},{"dropping-particle":"","family":"Attar","given":"Aisha","non-dropping-particle":"","parse-names":false,"suffix":""},{"dropping-particle":"","family":"Choukairi","given":"Mohamed","non-dropping-particle":"","parse-names":false,"suffix":""},{"dropping-particle":"","family":"Tazi","given":"Saloua","non-dropping-particle":"","parse-names":false,"suffix":""},{"dropping-particle":"","family":"Ihssane","given":"Raissouni","non-dropping-particle":"","parse-names":false,"suffix":""},{"dropping-particle":"","family":"Faiza","given":"Chaoukat","non-dropping-particle":"","parse-names":false,"suffix":""},{"dropping-particle":"","family":"Khalid","given":"Draoui","non-dropping-particle":"","parse-names":false,"suffix":""},{"dropping-particle":"","family":"Khalid","given":"Riffi Temsamani","non-dropping-particle":"","parse-names":false,"suffix":""}],"container-title":"Materials Science and Engineering C","id":"ITEM-1","issued":{"date-parts":[["2017"]]},"page":"870-878","title":"A novel L-leucine modified Sol-Gel-Carbon electrode for simultaneous electrochemical detection of homovanillic acid, dopamine and uric acid in neuroblastoma diagnosis","type":"article-journal","volume":"71"},"uris":["http://www.mendeley.com/documents/?uuid=fcf31d50-5a04-4786-bed1-0166b8505fdd","http://www.mendeley.com/documents/?uuid=302ccd08-5503-4eaa-b621-fe3053ad8536"]},{"id":"ITEM-2","itemData":{"DOI":"10.3390/s140815227","ISBN":"1424-8220","ISSN":"1424-8220","PMID":"25195850","abstract":"The fabrication of an electrochemical sensor based on an iron oxide/graphene modified glassy carbon electrode (Fe3O4/rGO/GCE) and its simultaneous detection of dopamine (DA) and ascorbic acid (AA) is described here. The Fe3O4/rGO nanocomposite was synthesized via a simple, one step in-situ wet chemical method and characterized by different techniques. The presence of Fe3O4 nanoparticles on the surface of rGO sheets was confirmed by FESEM and TEM images. The electrochemical behavior of Fe3O4/rGO/GCE towards electrocatalytic oxidation of DA was investigated by cyclic voltammetry (CV) and differential pulse voltammetry (DPV) analysis. The electrochemical studies revealed that the Fe3O4/rGO/GCE dramatically increased the current response against the DA, due to the synergistic effect emerged between Fe3O4 and rGO. This implies that Fe3O4/rGO/GCE could exhibit excellent electrocatalytic activity and remarkable electron transfer kinetics towards the oxidation of DA. Moreover, the modified sensor electrode portrayed sensitivity and selectivity for simultaneous determination of AA and DA. The observed DPVs response linearly depends on AA and DA concentration in the range of 1–9 mM and 0.5–100 µM, with correlation coefficients of 0.995 and 0.996, respectively. The detection limit of \\r\\n(S/N = 3) was found to be 0.42 and 0.12 µM for AA and DA, respectively.","author":[{"dropping-particle":"","family":"Peik-See","given":"Teo","non-dropping-particle":"","parse-names":false,"suffix":""},{"dropping-particle":"","family":"Pandikumar","given":"Alagarsamy","non-dropping-particle":"","parse-names":false,"suffix":""},{"dropping-particle":"","family":"Nay-Ming","given":"Huang","non-dropping-particle":"","parse-names":false,"suffix":""},{"dropping-particle":"","family":"Hong-Ngee","given":"Lim","non-dropping-particle":"","parse-names":false,"suffix":""},{"dropping-particle":"","family":"Sulaiman","given":"Yusran","non-dropping-particle":"","parse-names":false,"suffix":""}],"container-title":"Sensors","id":"ITEM-2","issue":"8","issued":{"date-parts":[["2014"]]},"page":"15227-15243","title":"Simultaneous Electrochemical Detection of Dopamine and Ascorbic Acid Using an Iron Oxide/Reduced Graphene Oxide Modified Glassy Carbon Electrode","type":"article-journal","volume":"14"},"uris":["http://www.mendeley.com/documents/?uuid=4f848652-62ba-4ba9-86a6-9222283aa68a","http://www.mendeley.com/documents/?uuid=b32a4046-e590-4947-bca3-23cbffab80d7"]}],"mendeley":{"formattedCitation":"[7,33]","manualFormatting":"[7], [33]","plainTextFormattedCitation":"[7,33]","previouslyFormattedCitation":"[7,33]"},"properties":{"noteIndex":0},"schema":"https://github.com/citation-style-language/schema/raw/master/csl-citation.json"}</w:instrText>
      </w:r>
      <w:r w:rsidRPr="00DC4C68">
        <w:rPr>
          <w:rFonts w:ascii="Times New Roman" w:hAnsi="Times New Roman"/>
          <w:sz w:val="20"/>
          <w:szCs w:val="24"/>
        </w:rPr>
        <w:fldChar w:fldCharType="separate"/>
      </w:r>
      <w:r w:rsidRPr="00DC4C68">
        <w:rPr>
          <w:rFonts w:ascii="Times New Roman" w:hAnsi="Times New Roman"/>
          <w:noProof/>
          <w:sz w:val="20"/>
          <w:szCs w:val="24"/>
        </w:rPr>
        <w:t>[7, 36]</w:t>
      </w:r>
      <w:r w:rsidRPr="00DC4C68">
        <w:rPr>
          <w:rFonts w:ascii="Times New Roman" w:hAnsi="Times New Roman"/>
          <w:sz w:val="20"/>
          <w:szCs w:val="24"/>
        </w:rPr>
        <w:fldChar w:fldCharType="end"/>
      </w:r>
      <w:r w:rsidRPr="00DC4C68">
        <w:rPr>
          <w:rFonts w:ascii="Times New Roman" w:hAnsi="Times New Roman"/>
          <w:sz w:val="20"/>
          <w:szCs w:val="24"/>
        </w:rPr>
        <w:t xml:space="preserve">.  A surge amount of oxidation products inhibits the adsorption site for electrocatalytic oxidation of UA, thereby resulting lower down the electrode response sensitivity to 0.00663 μA/μM. </w:t>
      </w:r>
    </w:p>
    <w:p w:rsidR="00CC2250" w:rsidRPr="00DC4C68" w:rsidRDefault="00CC2250" w:rsidP="00CC2250">
      <w:pPr>
        <w:spacing w:after="120" w:line="240" w:lineRule="auto"/>
        <w:jc w:val="both"/>
        <w:rPr>
          <w:rFonts w:ascii="Times New Roman" w:hAnsi="Times New Roman"/>
          <w:sz w:val="20"/>
          <w:szCs w:val="24"/>
        </w:rPr>
      </w:pPr>
    </w:p>
    <w:p w:rsidR="00CC2250" w:rsidRPr="00CC2250" w:rsidRDefault="00CC2250" w:rsidP="00CC2250">
      <w:pPr>
        <w:snapToGrid w:val="0"/>
        <w:spacing w:after="120" w:line="240" w:lineRule="auto"/>
        <w:jc w:val="center"/>
        <w:rPr>
          <w:rFonts w:ascii="Times New Roman" w:hAnsi="Times New Roman"/>
          <w:sz w:val="20"/>
          <w:szCs w:val="20"/>
        </w:rPr>
      </w:pPr>
      <w:r w:rsidRPr="00DC4C68">
        <w:rPr>
          <w:noProof/>
          <w:lang w:bidi="ar-SA"/>
        </w:rPr>
        <w:drawing>
          <wp:inline distT="0" distB="0" distL="0" distR="0" wp14:anchorId="46A6B3F2" wp14:editId="04521818">
            <wp:extent cx="5177983" cy="2173015"/>
            <wp:effectExtent l="19050" t="19050" r="22860"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44" t="6521" r="4146" b="4679"/>
                    <a:stretch/>
                  </pic:blipFill>
                  <pic:spPr bwMode="auto">
                    <a:xfrm>
                      <a:off x="0" y="0"/>
                      <a:ext cx="5198637" cy="2181683"/>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CC2250" w:rsidRPr="00DC4C68" w:rsidRDefault="00CC2250" w:rsidP="00CC2250">
      <w:pPr>
        <w:spacing w:after="0" w:line="240" w:lineRule="auto"/>
        <w:ind w:left="900" w:hanging="900"/>
        <w:jc w:val="both"/>
        <w:rPr>
          <w:rFonts w:ascii="Times New Roman" w:hAnsi="Times New Roman"/>
          <w:iCs/>
          <w:sz w:val="20"/>
          <w:szCs w:val="24"/>
        </w:rPr>
      </w:pPr>
      <w:bookmarkStart w:id="14" w:name="_Toc532037462"/>
      <w:r w:rsidRPr="00DC4C68">
        <w:rPr>
          <w:rFonts w:ascii="Times New Roman" w:hAnsi="Times New Roman"/>
          <w:iCs/>
          <w:sz w:val="20"/>
          <w:szCs w:val="24"/>
        </w:rPr>
        <w:t xml:space="preserve">Figure 8. </w:t>
      </w:r>
      <w:r>
        <w:rPr>
          <w:rFonts w:ascii="Times New Roman" w:hAnsi="Times New Roman"/>
          <w:iCs/>
          <w:sz w:val="20"/>
          <w:szCs w:val="24"/>
        </w:rPr>
        <w:tab/>
      </w:r>
      <w:r w:rsidRPr="00DC4C68">
        <w:rPr>
          <w:rFonts w:ascii="Times New Roman" w:hAnsi="Times New Roman"/>
          <w:iCs/>
          <w:sz w:val="20"/>
          <w:szCs w:val="24"/>
        </w:rPr>
        <w:t>(a) DPV response measured over a range of UA concentration from 0 μM to 800 μM</w:t>
      </w:r>
      <w:bookmarkStart w:id="15" w:name="_Toc532037463"/>
      <w:bookmarkEnd w:id="14"/>
      <w:r w:rsidRPr="00DC4C68">
        <w:rPr>
          <w:rFonts w:ascii="Times New Roman" w:hAnsi="Times New Roman"/>
          <w:iCs/>
          <w:sz w:val="20"/>
          <w:szCs w:val="24"/>
        </w:rPr>
        <w:t xml:space="preserve"> and (b) The relationship between the oxidation peaks current against UA concentration (4-800 μM)</w:t>
      </w:r>
      <w:bookmarkEnd w:id="15"/>
    </w:p>
    <w:p w:rsidR="00CC2250" w:rsidRDefault="00CC2250" w:rsidP="00CC2250">
      <w:pPr>
        <w:spacing w:after="0" w:line="240" w:lineRule="auto"/>
        <w:ind w:left="900" w:hanging="900"/>
        <w:jc w:val="both"/>
        <w:rPr>
          <w:rFonts w:ascii="Times New Roman" w:hAnsi="Times New Roman"/>
          <w:noProof/>
          <w:sz w:val="20"/>
          <w:szCs w:val="20"/>
          <w:lang w:bidi="ar-SA"/>
        </w:rPr>
      </w:pPr>
    </w:p>
    <w:p w:rsidR="0089573D" w:rsidRPr="00F447A7" w:rsidRDefault="0089573D" w:rsidP="006C5FBD">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CC2250" w:rsidRDefault="00CC2250" w:rsidP="00CC2250">
      <w:pPr>
        <w:spacing w:after="0" w:line="240" w:lineRule="auto"/>
        <w:jc w:val="both"/>
        <w:rPr>
          <w:rFonts w:ascii="Times New Roman" w:hAnsi="Times New Roman"/>
          <w:sz w:val="20"/>
          <w:szCs w:val="24"/>
        </w:rPr>
      </w:pPr>
      <w:r w:rsidRPr="00DC4C68">
        <w:rPr>
          <w:rFonts w:ascii="Times New Roman" w:hAnsi="Times New Roman"/>
          <w:sz w:val="20"/>
          <w:szCs w:val="24"/>
        </w:rPr>
        <w:t>The Fe</w:t>
      </w:r>
      <w:r w:rsidRPr="00DC4C68">
        <w:rPr>
          <w:rFonts w:ascii="Times New Roman" w:hAnsi="Times New Roman"/>
          <w:sz w:val="20"/>
          <w:szCs w:val="24"/>
          <w:vertAlign w:val="subscript"/>
        </w:rPr>
        <w:t>3</w:t>
      </w:r>
      <w:r w:rsidRPr="00DC4C68">
        <w:rPr>
          <w:rFonts w:ascii="Times New Roman" w:hAnsi="Times New Roman"/>
          <w:sz w:val="20"/>
          <w:szCs w:val="24"/>
        </w:rPr>
        <w:t>O</w:t>
      </w:r>
      <w:r w:rsidRPr="00DC4C68">
        <w:rPr>
          <w:rFonts w:ascii="Times New Roman" w:hAnsi="Times New Roman"/>
          <w:sz w:val="20"/>
          <w:szCs w:val="24"/>
          <w:vertAlign w:val="subscript"/>
        </w:rPr>
        <w:t>4</w:t>
      </w:r>
      <w:r w:rsidRPr="00DC4C68">
        <w:rPr>
          <w:rFonts w:ascii="Times New Roman" w:hAnsi="Times New Roman"/>
          <w:sz w:val="20"/>
          <w:szCs w:val="24"/>
        </w:rPr>
        <w:t>/rGO hybrid material had successfully synthesized through one facile reduction of GO and co-precipitation of Fe</w:t>
      </w:r>
      <w:r w:rsidRPr="00DC4C68">
        <w:rPr>
          <w:rFonts w:ascii="Times New Roman" w:hAnsi="Times New Roman"/>
          <w:sz w:val="20"/>
          <w:szCs w:val="24"/>
          <w:vertAlign w:val="subscript"/>
        </w:rPr>
        <w:t>3</w:t>
      </w:r>
      <w:r w:rsidRPr="00DC4C68">
        <w:rPr>
          <w:rFonts w:ascii="Times New Roman" w:hAnsi="Times New Roman"/>
          <w:sz w:val="20"/>
          <w:szCs w:val="24"/>
        </w:rPr>
        <w:t>O</w:t>
      </w:r>
      <w:r w:rsidRPr="00DC4C68">
        <w:rPr>
          <w:rFonts w:ascii="Times New Roman" w:hAnsi="Times New Roman"/>
          <w:sz w:val="20"/>
          <w:szCs w:val="24"/>
          <w:vertAlign w:val="subscript"/>
        </w:rPr>
        <w:t>4</w:t>
      </w:r>
      <w:r w:rsidRPr="00DC4C68">
        <w:rPr>
          <w:rFonts w:ascii="Times New Roman" w:hAnsi="Times New Roman"/>
          <w:sz w:val="20"/>
          <w:szCs w:val="24"/>
        </w:rPr>
        <w:t xml:space="preserve"> which accounts for high percentage yield of product, cost effectiveness and being environmental green catalytic composite. The enhanced electrocatalytic performance of the Fe</w:t>
      </w:r>
      <w:r w:rsidRPr="00DC4C68">
        <w:rPr>
          <w:rFonts w:ascii="Times New Roman" w:hAnsi="Times New Roman"/>
          <w:sz w:val="20"/>
          <w:szCs w:val="24"/>
          <w:vertAlign w:val="subscript"/>
        </w:rPr>
        <w:t>3</w:t>
      </w:r>
      <w:r w:rsidRPr="00DC4C68">
        <w:rPr>
          <w:rFonts w:ascii="Times New Roman" w:hAnsi="Times New Roman"/>
          <w:sz w:val="20"/>
          <w:szCs w:val="24"/>
        </w:rPr>
        <w:t>O</w:t>
      </w:r>
      <w:r w:rsidRPr="00DC4C68">
        <w:rPr>
          <w:rFonts w:ascii="Times New Roman" w:hAnsi="Times New Roman"/>
          <w:sz w:val="20"/>
          <w:szCs w:val="24"/>
          <w:vertAlign w:val="subscript"/>
        </w:rPr>
        <w:t>4</w:t>
      </w:r>
      <w:r w:rsidRPr="00DC4C68">
        <w:rPr>
          <w:rFonts w:ascii="Times New Roman" w:hAnsi="Times New Roman"/>
          <w:sz w:val="20"/>
          <w:szCs w:val="24"/>
        </w:rPr>
        <w:t>/rGO/GCE electrode provides a comprising potential in voltammetry determination of physiologically related molecules such as ascorbic acid and dopamine. The Cyclic Voltammetry (CV) result in the previous part has revealed the improved electronic properties of the resultant nanocomposite in term of the low resistivity, rapid electron transfer, and well defined peak resolution as well as peak separation. In additional, the physical properties of as-synthesized Fe</w:t>
      </w:r>
      <w:r w:rsidRPr="00DC4C68">
        <w:rPr>
          <w:rFonts w:ascii="Times New Roman" w:hAnsi="Times New Roman"/>
          <w:sz w:val="20"/>
          <w:szCs w:val="24"/>
          <w:vertAlign w:val="subscript"/>
        </w:rPr>
        <w:t>3</w:t>
      </w:r>
      <w:r w:rsidRPr="00DC4C68">
        <w:rPr>
          <w:rFonts w:ascii="Times New Roman" w:hAnsi="Times New Roman"/>
          <w:sz w:val="20"/>
          <w:szCs w:val="24"/>
        </w:rPr>
        <w:t>O</w:t>
      </w:r>
      <w:r w:rsidRPr="00DC4C68">
        <w:rPr>
          <w:rFonts w:ascii="Times New Roman" w:hAnsi="Times New Roman"/>
          <w:sz w:val="20"/>
          <w:szCs w:val="24"/>
          <w:vertAlign w:val="subscript"/>
        </w:rPr>
        <w:t>4</w:t>
      </w:r>
      <w:r w:rsidRPr="00DC4C68">
        <w:rPr>
          <w:rFonts w:ascii="Times New Roman" w:hAnsi="Times New Roman"/>
          <w:sz w:val="20"/>
          <w:szCs w:val="24"/>
        </w:rPr>
        <w:t xml:space="preserve">/rGO nanocomposite was successfully investigated by various characterization techniques, including Fourier Transform Infrared Spectroscopy (FTIR), Ultraviolet-visible Spectroscopy (UV-Vis), Scanning Electron </w:t>
      </w:r>
      <w:r w:rsidRPr="00DC4C68">
        <w:rPr>
          <w:rFonts w:ascii="Times New Roman" w:hAnsi="Times New Roman"/>
          <w:sz w:val="20"/>
          <w:szCs w:val="24"/>
        </w:rPr>
        <w:lastRenderedPageBreak/>
        <w:t>Microscopy (SEM). The Differential Pulse Voltammetry (DPV) was used in complementary to the application CV and EIS in electrochemically characterization of Fe</w:t>
      </w:r>
      <w:r w:rsidRPr="00DC4C68">
        <w:rPr>
          <w:rFonts w:ascii="Times New Roman" w:hAnsi="Times New Roman"/>
          <w:sz w:val="20"/>
          <w:szCs w:val="24"/>
          <w:vertAlign w:val="subscript"/>
        </w:rPr>
        <w:t>3</w:t>
      </w:r>
      <w:r w:rsidRPr="00DC4C68">
        <w:rPr>
          <w:rFonts w:ascii="Times New Roman" w:hAnsi="Times New Roman"/>
          <w:sz w:val="20"/>
          <w:szCs w:val="24"/>
        </w:rPr>
        <w:t>O</w:t>
      </w:r>
      <w:r w:rsidRPr="00DC4C68">
        <w:rPr>
          <w:rFonts w:ascii="Times New Roman" w:hAnsi="Times New Roman"/>
          <w:sz w:val="20"/>
          <w:szCs w:val="24"/>
          <w:vertAlign w:val="subscript"/>
        </w:rPr>
        <w:t>4</w:t>
      </w:r>
      <w:r w:rsidRPr="00DC4C68">
        <w:rPr>
          <w:rFonts w:ascii="Times New Roman" w:hAnsi="Times New Roman"/>
          <w:sz w:val="20"/>
          <w:szCs w:val="24"/>
        </w:rPr>
        <w:t>/rGO nanocomposite. The Fe</w:t>
      </w:r>
      <w:r w:rsidRPr="00DC4C68">
        <w:rPr>
          <w:rFonts w:ascii="Times New Roman" w:hAnsi="Times New Roman"/>
          <w:sz w:val="20"/>
          <w:szCs w:val="24"/>
          <w:vertAlign w:val="subscript"/>
        </w:rPr>
        <w:t>3</w:t>
      </w:r>
      <w:r w:rsidRPr="00DC4C68">
        <w:rPr>
          <w:rFonts w:ascii="Times New Roman" w:hAnsi="Times New Roman"/>
          <w:sz w:val="20"/>
          <w:szCs w:val="24"/>
        </w:rPr>
        <w:t>O</w:t>
      </w:r>
      <w:r w:rsidRPr="00DC4C68">
        <w:rPr>
          <w:rFonts w:ascii="Times New Roman" w:hAnsi="Times New Roman"/>
          <w:sz w:val="20"/>
          <w:szCs w:val="24"/>
          <w:vertAlign w:val="subscript"/>
        </w:rPr>
        <w:t>4</w:t>
      </w:r>
      <w:r w:rsidRPr="00DC4C68">
        <w:rPr>
          <w:rFonts w:ascii="Times New Roman" w:hAnsi="Times New Roman"/>
          <w:sz w:val="20"/>
          <w:szCs w:val="24"/>
        </w:rPr>
        <w:t>-rGO/GCE sensing electrode exhibits high selectivity and sensitivity in UA oxidation with low detection limit of 3.04 μM. The results suggested the great potential use of Fe</w:t>
      </w:r>
      <w:r w:rsidRPr="00DC4C68">
        <w:rPr>
          <w:rFonts w:ascii="Times New Roman" w:hAnsi="Times New Roman"/>
          <w:sz w:val="20"/>
          <w:szCs w:val="24"/>
          <w:vertAlign w:val="subscript"/>
        </w:rPr>
        <w:t>3</w:t>
      </w:r>
      <w:r w:rsidRPr="00DC4C68">
        <w:rPr>
          <w:rFonts w:ascii="Times New Roman" w:hAnsi="Times New Roman"/>
          <w:sz w:val="20"/>
          <w:szCs w:val="24"/>
        </w:rPr>
        <w:t>O</w:t>
      </w:r>
      <w:r w:rsidRPr="00DC4C68">
        <w:rPr>
          <w:rFonts w:ascii="Times New Roman" w:hAnsi="Times New Roman"/>
          <w:sz w:val="20"/>
          <w:szCs w:val="24"/>
          <w:vertAlign w:val="subscript"/>
        </w:rPr>
        <w:t>4</w:t>
      </w:r>
      <w:r w:rsidRPr="00DC4C68">
        <w:rPr>
          <w:rFonts w:ascii="Times New Roman" w:hAnsi="Times New Roman"/>
          <w:sz w:val="20"/>
          <w:szCs w:val="24"/>
        </w:rPr>
        <w:t>/rGO/GCE in selectively non-enzymatic sensing of UA as compared to conventional UA determination such as chromogen-dependent colorimetric method and enzymatic technique by uricase.</w:t>
      </w:r>
    </w:p>
    <w:p w:rsidR="00613B1C" w:rsidRPr="00DC4C68" w:rsidRDefault="00613B1C" w:rsidP="00613B1C">
      <w:pPr>
        <w:spacing w:after="0" w:line="240" w:lineRule="auto"/>
        <w:jc w:val="center"/>
        <w:rPr>
          <w:rFonts w:ascii="Times New Roman" w:hAnsi="Times New Roman"/>
          <w:sz w:val="20"/>
          <w:szCs w:val="24"/>
        </w:rPr>
      </w:pPr>
    </w:p>
    <w:p w:rsidR="00CC2250" w:rsidRPr="00DC4C68" w:rsidRDefault="00CC2250" w:rsidP="00613B1C">
      <w:pPr>
        <w:spacing w:after="0" w:line="240" w:lineRule="auto"/>
        <w:jc w:val="center"/>
        <w:rPr>
          <w:rFonts w:ascii="Times New Roman" w:hAnsi="Times New Roman"/>
          <w:b/>
          <w:sz w:val="20"/>
          <w:szCs w:val="24"/>
        </w:rPr>
      </w:pPr>
      <w:r w:rsidRPr="00DC4C68">
        <w:rPr>
          <w:rFonts w:ascii="Times New Roman" w:hAnsi="Times New Roman"/>
          <w:b/>
          <w:sz w:val="20"/>
          <w:szCs w:val="24"/>
        </w:rPr>
        <w:t>Acknowledgement</w:t>
      </w:r>
    </w:p>
    <w:p w:rsidR="00AC0033" w:rsidRPr="00613B1C" w:rsidRDefault="00CC2250" w:rsidP="00613B1C">
      <w:pPr>
        <w:spacing w:after="0" w:line="240" w:lineRule="auto"/>
        <w:jc w:val="both"/>
        <w:rPr>
          <w:rFonts w:ascii="Times New Roman" w:eastAsia="SimSun" w:hAnsi="Times New Roman"/>
          <w:kern w:val="2"/>
          <w:sz w:val="20"/>
          <w:szCs w:val="20"/>
          <w:lang w:eastAsia="ko-KR"/>
        </w:rPr>
      </w:pPr>
      <w:r w:rsidRPr="00DC4C68">
        <w:rPr>
          <w:rFonts w:ascii="Times New Roman" w:eastAsia="SimSun" w:hAnsi="Times New Roman"/>
          <w:kern w:val="2"/>
          <w:sz w:val="20"/>
          <w:szCs w:val="20"/>
          <w:lang w:eastAsia="ko-KR"/>
        </w:rPr>
        <w:t>The authors are grateful to Fundamental Research Grant Scheme (FRGS) FRGS/1/2017/STG01/UMT/02/2 for financial support as well as Universiti Malaysia Terengganu for providing facilities for undertaking this research.</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953256" w:rsidRDefault="00953256" w:rsidP="00953256">
      <w:pPr>
        <w:pStyle w:val="ListParagraph"/>
        <w:numPr>
          <w:ilvl w:val="0"/>
          <w:numId w:val="3"/>
        </w:numPr>
        <w:spacing w:after="0" w:line="240" w:lineRule="auto"/>
        <w:ind w:left="360"/>
        <w:contextualSpacing w:val="0"/>
        <w:jc w:val="both"/>
        <w:rPr>
          <w:rFonts w:ascii="Times New Roman" w:hAnsi="Times New Roman"/>
          <w:noProof/>
          <w:sz w:val="20"/>
          <w:szCs w:val="20"/>
        </w:rPr>
      </w:pPr>
      <w:r w:rsidRPr="00953256">
        <w:rPr>
          <w:rFonts w:ascii="Times New Roman" w:hAnsi="Times New Roman"/>
          <w:sz w:val="20"/>
          <w:szCs w:val="20"/>
        </w:rPr>
        <w:fldChar w:fldCharType="begin" w:fldLock="1"/>
      </w:r>
      <w:r w:rsidRPr="00953256">
        <w:rPr>
          <w:rFonts w:ascii="Times New Roman" w:hAnsi="Times New Roman"/>
          <w:sz w:val="20"/>
          <w:szCs w:val="20"/>
        </w:rPr>
        <w:instrText xml:space="preserve">ADDIN Mendeley Bibliography CSL_BIBLIOGRAPHY </w:instrText>
      </w:r>
      <w:r w:rsidRPr="00953256">
        <w:rPr>
          <w:rFonts w:ascii="Times New Roman" w:hAnsi="Times New Roman"/>
          <w:sz w:val="20"/>
          <w:szCs w:val="20"/>
        </w:rPr>
        <w:fldChar w:fldCharType="separate"/>
      </w:r>
      <w:r w:rsidRPr="00953256">
        <w:rPr>
          <w:rFonts w:ascii="Times New Roman" w:hAnsi="Times New Roman"/>
          <w:noProof/>
          <w:sz w:val="20"/>
          <w:szCs w:val="20"/>
        </w:rPr>
        <w:t xml:space="preserve">Wang, H., Ren, F., Wang, C., Yang, B., Bin, D., Zhang,  and Du, Y. (2014). Simultaneous determination of dopamine, uric acid and ascorbic acid using a glassy carbon electrode modified with reduced graphene oxide. </w:t>
      </w:r>
      <w:r w:rsidRPr="00953256">
        <w:rPr>
          <w:rFonts w:ascii="Times New Roman" w:hAnsi="Times New Roman"/>
          <w:i/>
          <w:iCs/>
          <w:noProof/>
          <w:sz w:val="20"/>
          <w:szCs w:val="20"/>
        </w:rPr>
        <w:t>RSC Advances</w:t>
      </w:r>
      <w:r w:rsidRPr="00953256">
        <w:rPr>
          <w:rFonts w:ascii="Times New Roman" w:hAnsi="Times New Roman"/>
          <w:noProof/>
          <w:sz w:val="20"/>
          <w:szCs w:val="20"/>
        </w:rPr>
        <w:t xml:space="preserve">, 4(51): 26895–26901. </w:t>
      </w:r>
    </w:p>
    <w:p w:rsidR="00953256" w:rsidRDefault="00953256" w:rsidP="00953256">
      <w:pPr>
        <w:pStyle w:val="ListParagraph"/>
        <w:numPr>
          <w:ilvl w:val="0"/>
          <w:numId w:val="3"/>
        </w:numPr>
        <w:spacing w:after="0" w:line="240" w:lineRule="auto"/>
        <w:ind w:left="360"/>
        <w:contextualSpacing w:val="0"/>
        <w:jc w:val="both"/>
        <w:rPr>
          <w:rFonts w:ascii="Times New Roman" w:hAnsi="Times New Roman"/>
          <w:noProof/>
          <w:sz w:val="20"/>
          <w:szCs w:val="20"/>
        </w:rPr>
      </w:pPr>
      <w:r w:rsidRPr="00953256">
        <w:rPr>
          <w:rFonts w:ascii="Times New Roman" w:hAnsi="Times New Roman"/>
          <w:noProof/>
          <w:sz w:val="20"/>
          <w:szCs w:val="20"/>
        </w:rPr>
        <w:t xml:space="preserve">So, A. and Thorens, B. (2010). Science in medicine uric acid transport and disease. </w:t>
      </w:r>
      <w:r w:rsidRPr="00953256">
        <w:rPr>
          <w:rFonts w:ascii="Times New Roman" w:hAnsi="Times New Roman"/>
          <w:i/>
          <w:iCs/>
          <w:noProof/>
          <w:sz w:val="20"/>
          <w:szCs w:val="20"/>
        </w:rPr>
        <w:t>The Journal of Clinical Investigation</w:t>
      </w:r>
      <w:r w:rsidRPr="00953256">
        <w:rPr>
          <w:rFonts w:ascii="Times New Roman" w:hAnsi="Times New Roman"/>
          <w:noProof/>
          <w:sz w:val="20"/>
          <w:szCs w:val="20"/>
        </w:rPr>
        <w:t xml:space="preserve">, 120(6): 1791–1799. </w:t>
      </w:r>
    </w:p>
    <w:p w:rsidR="00953256" w:rsidRDefault="00953256" w:rsidP="00953256">
      <w:pPr>
        <w:pStyle w:val="ListParagraph"/>
        <w:numPr>
          <w:ilvl w:val="0"/>
          <w:numId w:val="3"/>
        </w:numPr>
        <w:spacing w:after="0" w:line="240" w:lineRule="auto"/>
        <w:ind w:left="360"/>
        <w:contextualSpacing w:val="0"/>
        <w:jc w:val="both"/>
        <w:rPr>
          <w:rFonts w:ascii="Times New Roman" w:hAnsi="Times New Roman"/>
          <w:noProof/>
          <w:sz w:val="20"/>
          <w:szCs w:val="20"/>
        </w:rPr>
      </w:pPr>
      <w:r w:rsidRPr="00953256">
        <w:rPr>
          <w:rFonts w:ascii="Times New Roman" w:hAnsi="Times New Roman"/>
          <w:noProof/>
          <w:sz w:val="20"/>
          <w:szCs w:val="20"/>
        </w:rPr>
        <w:t xml:space="preserve">Muraoka, S. and Miura, T. (2003). Inhibition by uric acid of free radicals that damage biological molecules. </w:t>
      </w:r>
      <w:r w:rsidRPr="00953256">
        <w:rPr>
          <w:rFonts w:ascii="Times New Roman" w:hAnsi="Times New Roman"/>
          <w:i/>
          <w:iCs/>
          <w:noProof/>
          <w:sz w:val="20"/>
          <w:szCs w:val="20"/>
        </w:rPr>
        <w:t>Pharmacology and Toxicology</w:t>
      </w:r>
      <w:r w:rsidRPr="00953256">
        <w:rPr>
          <w:rFonts w:ascii="Times New Roman" w:hAnsi="Times New Roman"/>
          <w:noProof/>
          <w:sz w:val="20"/>
          <w:szCs w:val="20"/>
        </w:rPr>
        <w:t xml:space="preserve">. 93 (6): 284–289. </w:t>
      </w:r>
    </w:p>
    <w:p w:rsidR="00953256" w:rsidRDefault="00953256" w:rsidP="00953256">
      <w:pPr>
        <w:pStyle w:val="ListParagraph"/>
        <w:numPr>
          <w:ilvl w:val="0"/>
          <w:numId w:val="3"/>
        </w:numPr>
        <w:spacing w:after="0" w:line="240" w:lineRule="auto"/>
        <w:ind w:left="360"/>
        <w:contextualSpacing w:val="0"/>
        <w:jc w:val="both"/>
        <w:rPr>
          <w:rFonts w:ascii="Times New Roman" w:hAnsi="Times New Roman"/>
          <w:noProof/>
          <w:sz w:val="20"/>
          <w:szCs w:val="20"/>
        </w:rPr>
      </w:pPr>
      <w:r w:rsidRPr="00953256">
        <w:rPr>
          <w:rFonts w:ascii="Times New Roman" w:hAnsi="Times New Roman"/>
          <w:noProof/>
          <w:sz w:val="20"/>
          <w:szCs w:val="20"/>
        </w:rPr>
        <w:t>Lavanya, N., Fazio, E., Neri, F., Bonavita, A., Leonardi, S.G., Neri, G. and Sekar, C. (2015). Simultaneous electrochemical determination of epinephrine and uric acid in the presence of ascorbic acid using SnO</w:t>
      </w:r>
      <w:r w:rsidRPr="00953256">
        <w:rPr>
          <w:rFonts w:ascii="Times New Roman" w:hAnsi="Times New Roman"/>
          <w:noProof/>
          <w:sz w:val="20"/>
          <w:szCs w:val="20"/>
          <w:vertAlign w:val="subscript"/>
        </w:rPr>
        <w:t xml:space="preserve">2 </w:t>
      </w:r>
      <w:r w:rsidRPr="00953256">
        <w:rPr>
          <w:rFonts w:ascii="Times New Roman" w:hAnsi="Times New Roman"/>
          <w:noProof/>
          <w:sz w:val="20"/>
          <w:szCs w:val="20"/>
        </w:rPr>
        <w:t xml:space="preserve">graphene nanocomposite modified glassy carbon electrode. </w:t>
      </w:r>
      <w:r w:rsidRPr="00953256">
        <w:rPr>
          <w:rFonts w:ascii="Times New Roman" w:hAnsi="Times New Roman"/>
          <w:i/>
          <w:noProof/>
          <w:sz w:val="20"/>
          <w:szCs w:val="20"/>
        </w:rPr>
        <w:t xml:space="preserve">Sensors and Actuators B: Chemical, </w:t>
      </w:r>
      <w:r w:rsidRPr="00953256">
        <w:rPr>
          <w:rFonts w:ascii="Times New Roman" w:hAnsi="Times New Roman"/>
          <w:noProof/>
          <w:sz w:val="20"/>
          <w:szCs w:val="20"/>
        </w:rPr>
        <w:t xml:space="preserve">221: 1412–1422. </w:t>
      </w:r>
    </w:p>
    <w:p w:rsidR="00953256" w:rsidRDefault="00953256" w:rsidP="00953256">
      <w:pPr>
        <w:pStyle w:val="ListParagraph"/>
        <w:numPr>
          <w:ilvl w:val="0"/>
          <w:numId w:val="3"/>
        </w:numPr>
        <w:spacing w:after="0" w:line="240" w:lineRule="auto"/>
        <w:ind w:left="360"/>
        <w:contextualSpacing w:val="0"/>
        <w:jc w:val="both"/>
        <w:rPr>
          <w:rFonts w:ascii="Times New Roman" w:hAnsi="Times New Roman"/>
          <w:noProof/>
          <w:sz w:val="20"/>
          <w:szCs w:val="20"/>
        </w:rPr>
      </w:pPr>
      <w:r w:rsidRPr="00953256">
        <w:rPr>
          <w:rFonts w:ascii="Times New Roman" w:hAnsi="Times New Roman"/>
          <w:noProof/>
          <w:sz w:val="20"/>
          <w:szCs w:val="20"/>
        </w:rPr>
        <w:t xml:space="preserve">Jiang, J. and Du, X. (2014). Sensitive electrochemical sensors for simultaneous determination of ascorbic acid, dopamine, and uric acid based on Au@Pd-reduced graphene oxide nanocomposites. </w:t>
      </w:r>
      <w:r w:rsidRPr="00953256">
        <w:rPr>
          <w:rFonts w:ascii="Times New Roman" w:hAnsi="Times New Roman"/>
          <w:i/>
          <w:iCs/>
          <w:noProof/>
          <w:sz w:val="20"/>
          <w:szCs w:val="20"/>
        </w:rPr>
        <w:t>Nanoscale</w:t>
      </w:r>
      <w:r w:rsidRPr="00953256">
        <w:rPr>
          <w:rFonts w:ascii="Times New Roman" w:hAnsi="Times New Roman"/>
          <w:noProof/>
          <w:sz w:val="20"/>
          <w:szCs w:val="20"/>
        </w:rPr>
        <w:t xml:space="preserve">, 6 (19): 11303–11309. </w:t>
      </w:r>
    </w:p>
    <w:p w:rsidR="00953256" w:rsidRDefault="00953256" w:rsidP="00953256">
      <w:pPr>
        <w:pStyle w:val="ListParagraph"/>
        <w:numPr>
          <w:ilvl w:val="0"/>
          <w:numId w:val="3"/>
        </w:numPr>
        <w:spacing w:after="0" w:line="240" w:lineRule="auto"/>
        <w:ind w:left="360"/>
        <w:contextualSpacing w:val="0"/>
        <w:jc w:val="both"/>
        <w:rPr>
          <w:rFonts w:ascii="Times New Roman" w:hAnsi="Times New Roman"/>
          <w:noProof/>
          <w:sz w:val="20"/>
          <w:szCs w:val="20"/>
        </w:rPr>
      </w:pPr>
      <w:r w:rsidRPr="00953256">
        <w:rPr>
          <w:rFonts w:ascii="Times New Roman" w:hAnsi="Times New Roman"/>
          <w:noProof/>
          <w:sz w:val="20"/>
          <w:szCs w:val="20"/>
        </w:rPr>
        <w:t>Teymourian, H., Salimi, A. and Khezrian, S. (2013). Fe</w:t>
      </w:r>
      <w:r w:rsidRPr="00953256">
        <w:rPr>
          <w:rFonts w:ascii="Times New Roman" w:hAnsi="Times New Roman"/>
          <w:noProof/>
          <w:sz w:val="20"/>
          <w:szCs w:val="20"/>
          <w:vertAlign w:val="subscript"/>
        </w:rPr>
        <w:t>3</w:t>
      </w:r>
      <w:r w:rsidRPr="00953256">
        <w:rPr>
          <w:rFonts w:ascii="Times New Roman" w:hAnsi="Times New Roman"/>
          <w:noProof/>
          <w:sz w:val="20"/>
          <w:szCs w:val="20"/>
        </w:rPr>
        <w:t>O</w:t>
      </w:r>
      <w:r w:rsidRPr="00953256">
        <w:rPr>
          <w:rFonts w:ascii="Times New Roman" w:hAnsi="Times New Roman"/>
          <w:noProof/>
          <w:sz w:val="20"/>
          <w:szCs w:val="20"/>
          <w:vertAlign w:val="subscript"/>
        </w:rPr>
        <w:t>4</w:t>
      </w:r>
      <w:r w:rsidRPr="00953256">
        <w:rPr>
          <w:rFonts w:ascii="Times New Roman" w:hAnsi="Times New Roman"/>
          <w:noProof/>
          <w:sz w:val="20"/>
          <w:szCs w:val="20"/>
        </w:rPr>
        <w:t xml:space="preserve"> Magnetic nanoparticles/reduced graphene oxide nanosheets as a novel electrochemical and bioeletrochemical sensing platform. </w:t>
      </w:r>
      <w:r w:rsidRPr="00953256">
        <w:rPr>
          <w:rFonts w:ascii="Times New Roman" w:hAnsi="Times New Roman"/>
          <w:i/>
          <w:iCs/>
          <w:noProof/>
          <w:sz w:val="20"/>
          <w:szCs w:val="20"/>
        </w:rPr>
        <w:t>Biosensors and Bioelectronics</w:t>
      </w:r>
      <w:r w:rsidRPr="00953256">
        <w:rPr>
          <w:rFonts w:ascii="Times New Roman" w:hAnsi="Times New Roman"/>
          <w:noProof/>
          <w:sz w:val="20"/>
          <w:szCs w:val="20"/>
        </w:rPr>
        <w:t xml:space="preserve">, 49: 1–8. </w:t>
      </w:r>
    </w:p>
    <w:p w:rsidR="00953256" w:rsidRDefault="00953256" w:rsidP="00953256">
      <w:pPr>
        <w:pStyle w:val="ListParagraph"/>
        <w:numPr>
          <w:ilvl w:val="0"/>
          <w:numId w:val="3"/>
        </w:numPr>
        <w:spacing w:after="0" w:line="240" w:lineRule="auto"/>
        <w:ind w:left="360"/>
        <w:contextualSpacing w:val="0"/>
        <w:jc w:val="both"/>
        <w:rPr>
          <w:rFonts w:ascii="Times New Roman" w:hAnsi="Times New Roman"/>
          <w:noProof/>
          <w:sz w:val="20"/>
          <w:szCs w:val="20"/>
        </w:rPr>
      </w:pPr>
      <w:r w:rsidRPr="00953256">
        <w:rPr>
          <w:rFonts w:ascii="Times New Roman" w:hAnsi="Times New Roman"/>
          <w:noProof/>
          <w:sz w:val="20"/>
          <w:szCs w:val="20"/>
        </w:rPr>
        <w:t xml:space="preserve">Peik-See, T., Pandikumar, A., Nay-Ming, H., Hong-Ngee, L. and Sulaiman, Y. (2014). Simultaneous electrochemical detection of dopamine and ascorbic acid using an iron oxide/reduced graphene oxide modified glassy carbon electrode. </w:t>
      </w:r>
      <w:r w:rsidRPr="00953256">
        <w:rPr>
          <w:rFonts w:ascii="Times New Roman" w:hAnsi="Times New Roman"/>
          <w:i/>
          <w:iCs/>
          <w:noProof/>
          <w:sz w:val="20"/>
          <w:szCs w:val="20"/>
        </w:rPr>
        <w:t>Sensors</w:t>
      </w:r>
      <w:r w:rsidRPr="00953256">
        <w:rPr>
          <w:rFonts w:ascii="Times New Roman" w:hAnsi="Times New Roman"/>
          <w:noProof/>
          <w:sz w:val="20"/>
          <w:szCs w:val="20"/>
        </w:rPr>
        <w:t xml:space="preserve">, 14(8): 15227–15243. </w:t>
      </w:r>
    </w:p>
    <w:p w:rsidR="00953256" w:rsidRDefault="00953256" w:rsidP="00953256">
      <w:pPr>
        <w:pStyle w:val="ListParagraph"/>
        <w:numPr>
          <w:ilvl w:val="0"/>
          <w:numId w:val="3"/>
        </w:numPr>
        <w:spacing w:after="0" w:line="240" w:lineRule="auto"/>
        <w:ind w:left="360"/>
        <w:contextualSpacing w:val="0"/>
        <w:jc w:val="both"/>
        <w:rPr>
          <w:rFonts w:ascii="Times New Roman" w:hAnsi="Times New Roman"/>
          <w:noProof/>
          <w:sz w:val="20"/>
          <w:szCs w:val="20"/>
        </w:rPr>
      </w:pPr>
      <w:r w:rsidRPr="00953256">
        <w:rPr>
          <w:rFonts w:ascii="Times New Roman" w:hAnsi="Times New Roman"/>
          <w:noProof/>
          <w:sz w:val="20"/>
          <w:szCs w:val="20"/>
        </w:rPr>
        <w:t xml:space="preserve">Zheng, D., Hu, H., Liu, X. and Hu, S. (2015). Application of graphene in elctrochemical sensing. </w:t>
      </w:r>
      <w:r w:rsidRPr="00953256">
        <w:rPr>
          <w:rFonts w:ascii="Times New Roman" w:hAnsi="Times New Roman"/>
          <w:i/>
          <w:iCs/>
          <w:noProof/>
          <w:sz w:val="20"/>
          <w:szCs w:val="20"/>
        </w:rPr>
        <w:t>Current Opinion in Colloid and Interface Science</w:t>
      </w:r>
      <w:r w:rsidRPr="00953256">
        <w:rPr>
          <w:rFonts w:ascii="Times New Roman" w:hAnsi="Times New Roman"/>
          <w:noProof/>
          <w:sz w:val="20"/>
          <w:szCs w:val="20"/>
        </w:rPr>
        <w:t xml:space="preserve">, 20 (5–6): 383–405. </w:t>
      </w:r>
    </w:p>
    <w:p w:rsidR="00953256" w:rsidRDefault="00953256" w:rsidP="00953256">
      <w:pPr>
        <w:pStyle w:val="ListParagraph"/>
        <w:numPr>
          <w:ilvl w:val="0"/>
          <w:numId w:val="3"/>
        </w:numPr>
        <w:spacing w:after="0" w:line="240" w:lineRule="auto"/>
        <w:ind w:left="360"/>
        <w:contextualSpacing w:val="0"/>
        <w:jc w:val="both"/>
        <w:rPr>
          <w:rFonts w:ascii="Times New Roman" w:hAnsi="Times New Roman"/>
          <w:noProof/>
          <w:sz w:val="20"/>
          <w:szCs w:val="20"/>
        </w:rPr>
      </w:pPr>
      <w:r w:rsidRPr="00953256">
        <w:rPr>
          <w:rFonts w:ascii="Times New Roman" w:hAnsi="Times New Roman"/>
          <w:noProof/>
          <w:sz w:val="20"/>
          <w:szCs w:val="20"/>
        </w:rPr>
        <w:t xml:space="preserve">Chandra, V., Park, J., Chun, Y., Lee, J. W., Hwang, I. C. and Kim, K. S. (2010). Water-dispersible magnetite-reduced graphene oxide composites for arsenic removal. </w:t>
      </w:r>
      <w:r w:rsidRPr="00953256">
        <w:rPr>
          <w:rFonts w:ascii="Times New Roman" w:hAnsi="Times New Roman"/>
          <w:i/>
          <w:iCs/>
          <w:noProof/>
          <w:sz w:val="20"/>
          <w:szCs w:val="20"/>
        </w:rPr>
        <w:t>ACS Nano</w:t>
      </w:r>
      <w:r w:rsidRPr="00953256">
        <w:rPr>
          <w:rFonts w:ascii="Times New Roman" w:hAnsi="Times New Roman"/>
          <w:noProof/>
          <w:sz w:val="20"/>
          <w:szCs w:val="20"/>
        </w:rPr>
        <w:t xml:space="preserve">, 4(7): 3979–3986. </w:t>
      </w:r>
    </w:p>
    <w:p w:rsidR="00953256" w:rsidRDefault="00953256" w:rsidP="00953256">
      <w:pPr>
        <w:pStyle w:val="ListParagraph"/>
        <w:numPr>
          <w:ilvl w:val="0"/>
          <w:numId w:val="3"/>
        </w:numPr>
        <w:spacing w:after="0" w:line="240" w:lineRule="auto"/>
        <w:ind w:left="360"/>
        <w:contextualSpacing w:val="0"/>
        <w:jc w:val="both"/>
        <w:rPr>
          <w:rFonts w:ascii="Times New Roman" w:hAnsi="Times New Roman"/>
          <w:noProof/>
          <w:sz w:val="20"/>
          <w:szCs w:val="20"/>
        </w:rPr>
      </w:pPr>
      <w:r w:rsidRPr="00953256">
        <w:rPr>
          <w:rFonts w:ascii="Times New Roman" w:hAnsi="Times New Roman"/>
          <w:noProof/>
          <w:sz w:val="20"/>
          <w:szCs w:val="20"/>
        </w:rPr>
        <w:t xml:space="preserve">Farghali, M., Material, A., Salah, T. and Al-enizi, A. M. (2014). Graphene/magnetite nanocomposite for potential environmental application. </w:t>
      </w:r>
      <w:r w:rsidRPr="00953256">
        <w:rPr>
          <w:rFonts w:ascii="Times New Roman" w:hAnsi="Times New Roman"/>
          <w:i/>
          <w:noProof/>
          <w:sz w:val="20"/>
          <w:szCs w:val="20"/>
        </w:rPr>
        <w:t>International Journal of Electrochemical Sciences</w:t>
      </w:r>
      <w:r w:rsidRPr="00953256">
        <w:rPr>
          <w:rFonts w:ascii="Times New Roman" w:hAnsi="Times New Roman"/>
          <w:noProof/>
          <w:sz w:val="20"/>
          <w:szCs w:val="20"/>
        </w:rPr>
        <w:t xml:space="preserve">, 10: 529–537. </w:t>
      </w:r>
    </w:p>
    <w:p w:rsidR="00953256" w:rsidRDefault="00953256" w:rsidP="00953256">
      <w:pPr>
        <w:pStyle w:val="ListParagraph"/>
        <w:numPr>
          <w:ilvl w:val="0"/>
          <w:numId w:val="3"/>
        </w:numPr>
        <w:spacing w:after="0" w:line="240" w:lineRule="auto"/>
        <w:ind w:left="360"/>
        <w:contextualSpacing w:val="0"/>
        <w:jc w:val="both"/>
        <w:rPr>
          <w:rFonts w:ascii="Times New Roman" w:hAnsi="Times New Roman"/>
          <w:noProof/>
          <w:sz w:val="20"/>
          <w:szCs w:val="20"/>
        </w:rPr>
      </w:pPr>
      <w:r w:rsidRPr="00953256">
        <w:rPr>
          <w:rFonts w:ascii="Times New Roman" w:hAnsi="Times New Roman"/>
          <w:noProof/>
          <w:sz w:val="20"/>
          <w:szCs w:val="20"/>
        </w:rPr>
        <w:t xml:space="preserve">Yusoff, F., Ngai, T. Z., Chai, C. H. and Lee, P. S. (2018). The electrochemical behavior of zinc oxide/ reduced graphene oxide composite electrode in dopamine. </w:t>
      </w:r>
      <w:r w:rsidRPr="00953256">
        <w:rPr>
          <w:rFonts w:ascii="Times New Roman" w:hAnsi="Times New Roman"/>
          <w:i/>
          <w:iCs/>
          <w:noProof/>
          <w:sz w:val="20"/>
          <w:szCs w:val="20"/>
        </w:rPr>
        <w:t xml:space="preserve">Malaysian Journal of Analytical Sciences, </w:t>
      </w:r>
      <w:r w:rsidRPr="00953256">
        <w:rPr>
          <w:rFonts w:ascii="Times New Roman" w:hAnsi="Times New Roman"/>
          <w:noProof/>
          <w:sz w:val="20"/>
          <w:szCs w:val="20"/>
        </w:rPr>
        <w:t xml:space="preserve">22 (2): 227–237. </w:t>
      </w:r>
    </w:p>
    <w:p w:rsidR="00953256" w:rsidRDefault="00953256" w:rsidP="00953256">
      <w:pPr>
        <w:pStyle w:val="ListParagraph"/>
        <w:numPr>
          <w:ilvl w:val="0"/>
          <w:numId w:val="3"/>
        </w:numPr>
        <w:spacing w:after="0" w:line="240" w:lineRule="auto"/>
        <w:ind w:left="360"/>
        <w:contextualSpacing w:val="0"/>
        <w:jc w:val="both"/>
        <w:rPr>
          <w:rFonts w:ascii="Times New Roman" w:hAnsi="Times New Roman"/>
          <w:noProof/>
          <w:sz w:val="20"/>
          <w:szCs w:val="20"/>
        </w:rPr>
      </w:pPr>
      <w:r w:rsidRPr="00953256">
        <w:rPr>
          <w:rFonts w:ascii="Times New Roman" w:hAnsi="Times New Roman"/>
          <w:noProof/>
          <w:sz w:val="20"/>
          <w:szCs w:val="20"/>
        </w:rPr>
        <w:t xml:space="preserve">Andrijanto, E., Shoelarta, S., Subiyanto, G. and Rifki, S. (2016). Facile synthesis of graphene from graphite using ascorbic acid as reducing agent. </w:t>
      </w:r>
      <w:r w:rsidRPr="00953256">
        <w:rPr>
          <w:rFonts w:ascii="Times New Roman" w:hAnsi="Times New Roman"/>
          <w:i/>
          <w:iCs/>
          <w:noProof/>
          <w:sz w:val="20"/>
          <w:szCs w:val="20"/>
        </w:rPr>
        <w:t>AIP Conference Proceedings</w:t>
      </w:r>
      <w:r w:rsidRPr="00953256">
        <w:rPr>
          <w:rFonts w:ascii="Times New Roman" w:hAnsi="Times New Roman"/>
          <w:noProof/>
          <w:sz w:val="20"/>
          <w:szCs w:val="20"/>
        </w:rPr>
        <w:t xml:space="preserve">. 1725: 020003. </w:t>
      </w:r>
    </w:p>
    <w:p w:rsidR="00953256" w:rsidRDefault="00953256" w:rsidP="00953256">
      <w:pPr>
        <w:pStyle w:val="ListParagraph"/>
        <w:numPr>
          <w:ilvl w:val="0"/>
          <w:numId w:val="3"/>
        </w:numPr>
        <w:spacing w:after="0" w:line="240" w:lineRule="auto"/>
        <w:ind w:left="360"/>
        <w:contextualSpacing w:val="0"/>
        <w:jc w:val="both"/>
        <w:rPr>
          <w:rFonts w:ascii="Times New Roman" w:hAnsi="Times New Roman"/>
          <w:noProof/>
          <w:sz w:val="20"/>
          <w:szCs w:val="20"/>
        </w:rPr>
      </w:pPr>
      <w:r w:rsidRPr="00953256">
        <w:rPr>
          <w:rFonts w:ascii="Times New Roman" w:hAnsi="Times New Roman"/>
          <w:noProof/>
          <w:sz w:val="20"/>
          <w:szCs w:val="20"/>
        </w:rPr>
        <w:t xml:space="preserve">Yusoff, F. and Mohamed, N. B. (2018). The physical and electrochemical characteristic of gold nanoparticles supported pedot/graphene composite as potential cathode material in fuel cells. </w:t>
      </w:r>
      <w:r w:rsidRPr="00953256">
        <w:rPr>
          <w:rFonts w:ascii="Times New Roman" w:hAnsi="Times New Roman"/>
          <w:i/>
          <w:iCs/>
          <w:noProof/>
          <w:sz w:val="20"/>
          <w:szCs w:val="20"/>
        </w:rPr>
        <w:t>Malaysian Journal of Analytical Sciences</w:t>
      </w:r>
      <w:r w:rsidRPr="00953256">
        <w:rPr>
          <w:rFonts w:ascii="Times New Roman" w:hAnsi="Times New Roman"/>
          <w:noProof/>
          <w:sz w:val="20"/>
          <w:szCs w:val="20"/>
        </w:rPr>
        <w:t xml:space="preserve">, 22(6): 921–930. </w:t>
      </w:r>
    </w:p>
    <w:p w:rsidR="00953256" w:rsidRDefault="00953256" w:rsidP="00953256">
      <w:pPr>
        <w:pStyle w:val="ListParagraph"/>
        <w:numPr>
          <w:ilvl w:val="0"/>
          <w:numId w:val="3"/>
        </w:numPr>
        <w:spacing w:after="0" w:line="240" w:lineRule="auto"/>
        <w:ind w:left="360"/>
        <w:contextualSpacing w:val="0"/>
        <w:jc w:val="both"/>
        <w:rPr>
          <w:rFonts w:ascii="Times New Roman" w:hAnsi="Times New Roman"/>
          <w:noProof/>
          <w:sz w:val="20"/>
          <w:szCs w:val="20"/>
        </w:rPr>
      </w:pPr>
      <w:r w:rsidRPr="00953256">
        <w:rPr>
          <w:rFonts w:ascii="Times New Roman" w:hAnsi="Times New Roman"/>
          <w:noProof/>
          <w:sz w:val="20"/>
          <w:szCs w:val="20"/>
        </w:rPr>
        <w:t>Thi, N., Hoan, V., Thu, A., Duc, H. Van, Cuong, N. D., Khieu, D. Q.,Vo, V., Vuong, N. T. and  Vn, H. (2016). Fe</w:t>
      </w:r>
      <w:r w:rsidRPr="00953256">
        <w:rPr>
          <w:rFonts w:ascii="Times New Roman" w:hAnsi="Times New Roman"/>
          <w:noProof/>
          <w:sz w:val="20"/>
          <w:szCs w:val="20"/>
          <w:vertAlign w:val="subscript"/>
        </w:rPr>
        <w:t>3</w:t>
      </w:r>
      <w:r w:rsidRPr="00953256">
        <w:rPr>
          <w:rFonts w:ascii="Times New Roman" w:hAnsi="Times New Roman"/>
          <w:noProof/>
          <w:sz w:val="20"/>
          <w:szCs w:val="20"/>
        </w:rPr>
        <w:t>O</w:t>
      </w:r>
      <w:r w:rsidRPr="00953256">
        <w:rPr>
          <w:rFonts w:ascii="Times New Roman" w:hAnsi="Times New Roman"/>
          <w:noProof/>
          <w:sz w:val="20"/>
          <w:szCs w:val="20"/>
          <w:vertAlign w:val="subscript"/>
        </w:rPr>
        <w:t>4</w:t>
      </w:r>
      <w:r w:rsidRPr="00953256">
        <w:rPr>
          <w:rFonts w:ascii="Times New Roman" w:hAnsi="Times New Roman"/>
          <w:noProof/>
          <w:sz w:val="20"/>
          <w:szCs w:val="20"/>
        </w:rPr>
        <w:t xml:space="preserve">/reduced graphene oxide nanocomposite: Synthesis and its application for toxic metal ion removal. </w:t>
      </w:r>
      <w:r w:rsidRPr="00953256">
        <w:rPr>
          <w:rFonts w:ascii="Times New Roman" w:hAnsi="Times New Roman"/>
          <w:i/>
          <w:iCs/>
          <w:noProof/>
          <w:sz w:val="20"/>
          <w:szCs w:val="20"/>
        </w:rPr>
        <w:t>Journal of Chemistry</w:t>
      </w:r>
      <w:r w:rsidRPr="00953256">
        <w:rPr>
          <w:rFonts w:ascii="Times New Roman" w:hAnsi="Times New Roman"/>
          <w:noProof/>
          <w:sz w:val="20"/>
          <w:szCs w:val="20"/>
        </w:rPr>
        <w:t xml:space="preserve">, 2016: 1–10. </w:t>
      </w:r>
    </w:p>
    <w:p w:rsidR="00953256" w:rsidRDefault="00953256" w:rsidP="00953256">
      <w:pPr>
        <w:pStyle w:val="ListParagraph"/>
        <w:numPr>
          <w:ilvl w:val="0"/>
          <w:numId w:val="3"/>
        </w:numPr>
        <w:spacing w:after="0" w:line="240" w:lineRule="auto"/>
        <w:ind w:left="360"/>
        <w:contextualSpacing w:val="0"/>
        <w:jc w:val="both"/>
        <w:rPr>
          <w:rFonts w:ascii="Times New Roman" w:hAnsi="Times New Roman"/>
          <w:noProof/>
          <w:sz w:val="20"/>
          <w:szCs w:val="20"/>
        </w:rPr>
      </w:pPr>
      <w:r w:rsidRPr="00953256">
        <w:rPr>
          <w:rFonts w:ascii="Times New Roman" w:hAnsi="Times New Roman"/>
          <w:noProof/>
          <w:sz w:val="20"/>
          <w:szCs w:val="20"/>
        </w:rPr>
        <w:t xml:space="preserve">Mahmood, H., Habib, A., Mujahid, M., Tanveer, M., Javed, S. and Jamil, A. (2014). Band gap reduction of titania thin films using graphene nanosheets. </w:t>
      </w:r>
      <w:r w:rsidRPr="00953256">
        <w:rPr>
          <w:rFonts w:ascii="Times New Roman" w:hAnsi="Times New Roman"/>
          <w:i/>
          <w:iCs/>
          <w:noProof/>
          <w:sz w:val="20"/>
          <w:szCs w:val="20"/>
        </w:rPr>
        <w:t>Materials Science in Semiconductor Processing</w:t>
      </w:r>
      <w:r w:rsidRPr="00953256">
        <w:rPr>
          <w:rFonts w:ascii="Times New Roman" w:hAnsi="Times New Roman"/>
          <w:noProof/>
          <w:sz w:val="20"/>
          <w:szCs w:val="20"/>
        </w:rPr>
        <w:t xml:space="preserve">, 24(1): 193–199. </w:t>
      </w:r>
    </w:p>
    <w:p w:rsidR="00953256" w:rsidRDefault="00953256" w:rsidP="00953256">
      <w:pPr>
        <w:pStyle w:val="ListParagraph"/>
        <w:numPr>
          <w:ilvl w:val="0"/>
          <w:numId w:val="3"/>
        </w:numPr>
        <w:spacing w:after="0" w:line="240" w:lineRule="auto"/>
        <w:ind w:left="360"/>
        <w:contextualSpacing w:val="0"/>
        <w:jc w:val="both"/>
        <w:rPr>
          <w:rFonts w:ascii="Times New Roman" w:hAnsi="Times New Roman"/>
          <w:noProof/>
          <w:sz w:val="20"/>
          <w:szCs w:val="20"/>
        </w:rPr>
      </w:pPr>
      <w:r w:rsidRPr="00953256">
        <w:rPr>
          <w:rFonts w:ascii="Times New Roman" w:hAnsi="Times New Roman"/>
          <w:noProof/>
          <w:sz w:val="20"/>
          <w:szCs w:val="20"/>
        </w:rPr>
        <w:t xml:space="preserve">Wang, A., Yu, W., Huang, Z., Zhou, F., Song, J., Song, Y., Long, L., Cifuentes, M. P., Humphrey, M. G., Zhang, L., Shao, J. and Zhang, C. (2016). Covalent functionalization of reduced graphene oxide with porphyrin by means of diazonium chemistry for nonlinear optical performance. </w:t>
      </w:r>
      <w:r w:rsidRPr="00953256">
        <w:rPr>
          <w:rFonts w:ascii="Times New Roman" w:hAnsi="Times New Roman"/>
          <w:i/>
          <w:iCs/>
          <w:noProof/>
          <w:sz w:val="20"/>
          <w:szCs w:val="20"/>
        </w:rPr>
        <w:t>Scientific Reports</w:t>
      </w:r>
      <w:r w:rsidRPr="00953256">
        <w:rPr>
          <w:rFonts w:ascii="Times New Roman" w:hAnsi="Times New Roman"/>
          <w:noProof/>
          <w:sz w:val="20"/>
          <w:szCs w:val="20"/>
        </w:rPr>
        <w:t xml:space="preserve">, 6: 1–12. </w:t>
      </w:r>
    </w:p>
    <w:p w:rsidR="00953256" w:rsidRDefault="00953256" w:rsidP="00953256">
      <w:pPr>
        <w:pStyle w:val="ListParagraph"/>
        <w:numPr>
          <w:ilvl w:val="0"/>
          <w:numId w:val="3"/>
        </w:numPr>
        <w:spacing w:after="0" w:line="240" w:lineRule="auto"/>
        <w:ind w:left="360"/>
        <w:contextualSpacing w:val="0"/>
        <w:jc w:val="both"/>
        <w:rPr>
          <w:rFonts w:ascii="Times New Roman" w:hAnsi="Times New Roman"/>
          <w:noProof/>
          <w:sz w:val="20"/>
          <w:szCs w:val="20"/>
        </w:rPr>
      </w:pPr>
      <w:r w:rsidRPr="00953256">
        <w:rPr>
          <w:rFonts w:ascii="Times New Roman" w:hAnsi="Times New Roman"/>
          <w:noProof/>
          <w:sz w:val="20"/>
          <w:szCs w:val="20"/>
        </w:rPr>
        <w:lastRenderedPageBreak/>
        <w:t>Li, Q., Kartikowati, C. W., Horie, S., Ogi, T., Iwaki, T. and Okuyama, K. (2017). Correlation between particle size/domain structure and magnetic properties of highly crystalline Fe</w:t>
      </w:r>
      <w:r w:rsidRPr="00953256">
        <w:rPr>
          <w:rFonts w:ascii="Times New Roman" w:hAnsi="Times New Roman"/>
          <w:noProof/>
          <w:sz w:val="20"/>
          <w:szCs w:val="20"/>
          <w:vertAlign w:val="subscript"/>
        </w:rPr>
        <w:t>3</w:t>
      </w:r>
      <w:r w:rsidRPr="00953256">
        <w:rPr>
          <w:rFonts w:ascii="Times New Roman" w:hAnsi="Times New Roman"/>
          <w:noProof/>
          <w:sz w:val="20"/>
          <w:szCs w:val="20"/>
        </w:rPr>
        <w:t>O</w:t>
      </w:r>
      <w:r w:rsidRPr="00953256">
        <w:rPr>
          <w:rFonts w:ascii="Times New Roman" w:hAnsi="Times New Roman"/>
          <w:noProof/>
          <w:sz w:val="20"/>
          <w:szCs w:val="20"/>
          <w:vertAlign w:val="subscript"/>
        </w:rPr>
        <w:t xml:space="preserve">4 </w:t>
      </w:r>
      <w:r w:rsidRPr="00953256">
        <w:rPr>
          <w:rFonts w:ascii="Times New Roman" w:hAnsi="Times New Roman"/>
          <w:noProof/>
          <w:sz w:val="20"/>
          <w:szCs w:val="20"/>
        </w:rPr>
        <w:t xml:space="preserve">nanoparticles. </w:t>
      </w:r>
      <w:r w:rsidRPr="00953256">
        <w:rPr>
          <w:rFonts w:ascii="Times New Roman" w:hAnsi="Times New Roman"/>
          <w:i/>
          <w:iCs/>
          <w:noProof/>
          <w:sz w:val="20"/>
          <w:szCs w:val="20"/>
        </w:rPr>
        <w:t>Scientific Reports</w:t>
      </w:r>
      <w:r w:rsidRPr="00953256">
        <w:rPr>
          <w:rFonts w:ascii="Times New Roman" w:hAnsi="Times New Roman"/>
          <w:noProof/>
          <w:sz w:val="20"/>
          <w:szCs w:val="20"/>
        </w:rPr>
        <w:t xml:space="preserve">, 7(1): 1–4. </w:t>
      </w:r>
    </w:p>
    <w:p w:rsidR="00953256" w:rsidRDefault="00953256" w:rsidP="00953256">
      <w:pPr>
        <w:pStyle w:val="ListParagraph"/>
        <w:numPr>
          <w:ilvl w:val="0"/>
          <w:numId w:val="3"/>
        </w:numPr>
        <w:spacing w:after="0" w:line="240" w:lineRule="auto"/>
        <w:ind w:left="360"/>
        <w:contextualSpacing w:val="0"/>
        <w:jc w:val="both"/>
        <w:rPr>
          <w:rFonts w:ascii="Times New Roman" w:hAnsi="Times New Roman"/>
          <w:noProof/>
          <w:sz w:val="20"/>
          <w:szCs w:val="20"/>
        </w:rPr>
      </w:pPr>
      <w:r w:rsidRPr="00953256">
        <w:rPr>
          <w:rFonts w:ascii="Times New Roman" w:hAnsi="Times New Roman"/>
          <w:noProof/>
          <w:sz w:val="20"/>
          <w:szCs w:val="20"/>
        </w:rPr>
        <w:t>Rajput, S., Pittman, C. U., and Mohan, D. (2016). Magnetic magnetite (Fe</w:t>
      </w:r>
      <w:r w:rsidRPr="00953256">
        <w:rPr>
          <w:rFonts w:ascii="Times New Roman" w:hAnsi="Times New Roman"/>
          <w:noProof/>
          <w:sz w:val="20"/>
          <w:szCs w:val="20"/>
          <w:vertAlign w:val="subscript"/>
        </w:rPr>
        <w:t>3</w:t>
      </w:r>
      <w:r w:rsidRPr="00953256">
        <w:rPr>
          <w:rFonts w:ascii="Times New Roman" w:hAnsi="Times New Roman"/>
          <w:noProof/>
          <w:sz w:val="20"/>
          <w:szCs w:val="20"/>
        </w:rPr>
        <w:t>O</w:t>
      </w:r>
      <w:r w:rsidRPr="00953256">
        <w:rPr>
          <w:rFonts w:ascii="Times New Roman" w:hAnsi="Times New Roman"/>
          <w:noProof/>
          <w:sz w:val="20"/>
          <w:szCs w:val="20"/>
          <w:vertAlign w:val="subscript"/>
        </w:rPr>
        <w:t>4</w:t>
      </w:r>
      <w:r w:rsidRPr="00953256">
        <w:rPr>
          <w:rFonts w:ascii="Times New Roman" w:hAnsi="Times New Roman"/>
          <w:noProof/>
          <w:sz w:val="20"/>
          <w:szCs w:val="20"/>
        </w:rPr>
        <w:t>) nanoparticle synthesis and applications for lead (Pb</w:t>
      </w:r>
      <w:r w:rsidRPr="00953256">
        <w:rPr>
          <w:rFonts w:ascii="Times New Roman" w:hAnsi="Times New Roman"/>
          <w:noProof/>
          <w:sz w:val="20"/>
          <w:szCs w:val="20"/>
          <w:vertAlign w:val="superscript"/>
        </w:rPr>
        <w:t>2+</w:t>
      </w:r>
      <w:r w:rsidRPr="00953256">
        <w:rPr>
          <w:rFonts w:ascii="Times New Roman" w:hAnsi="Times New Roman"/>
          <w:noProof/>
          <w:sz w:val="20"/>
          <w:szCs w:val="20"/>
        </w:rPr>
        <w:t>) and chromium (Cr</w:t>
      </w:r>
      <w:r w:rsidRPr="00953256">
        <w:rPr>
          <w:rFonts w:ascii="Times New Roman" w:hAnsi="Times New Roman"/>
          <w:noProof/>
          <w:sz w:val="20"/>
          <w:szCs w:val="20"/>
          <w:vertAlign w:val="superscript"/>
        </w:rPr>
        <w:t>6+</w:t>
      </w:r>
      <w:r w:rsidRPr="00953256">
        <w:rPr>
          <w:rFonts w:ascii="Times New Roman" w:hAnsi="Times New Roman"/>
          <w:noProof/>
          <w:sz w:val="20"/>
          <w:szCs w:val="20"/>
        </w:rPr>
        <w:t xml:space="preserve">) removal from water. </w:t>
      </w:r>
      <w:r w:rsidRPr="00953256">
        <w:rPr>
          <w:rFonts w:ascii="Times New Roman" w:hAnsi="Times New Roman"/>
          <w:i/>
          <w:iCs/>
          <w:noProof/>
          <w:sz w:val="20"/>
          <w:szCs w:val="20"/>
        </w:rPr>
        <w:t>Journal of Colloid and Interface Science</w:t>
      </w:r>
      <w:r w:rsidRPr="00953256">
        <w:rPr>
          <w:rFonts w:ascii="Times New Roman" w:hAnsi="Times New Roman"/>
          <w:noProof/>
          <w:sz w:val="20"/>
          <w:szCs w:val="20"/>
        </w:rPr>
        <w:t xml:space="preserve">, 468: 334–346. </w:t>
      </w:r>
    </w:p>
    <w:p w:rsidR="00953256" w:rsidRDefault="00953256" w:rsidP="00953256">
      <w:pPr>
        <w:pStyle w:val="ListParagraph"/>
        <w:numPr>
          <w:ilvl w:val="0"/>
          <w:numId w:val="3"/>
        </w:numPr>
        <w:spacing w:after="0" w:line="240" w:lineRule="auto"/>
        <w:ind w:left="360"/>
        <w:contextualSpacing w:val="0"/>
        <w:jc w:val="both"/>
        <w:rPr>
          <w:rFonts w:ascii="Times New Roman" w:hAnsi="Times New Roman"/>
          <w:noProof/>
          <w:sz w:val="20"/>
          <w:szCs w:val="20"/>
        </w:rPr>
      </w:pPr>
      <w:r w:rsidRPr="00953256">
        <w:rPr>
          <w:rFonts w:ascii="Times New Roman" w:hAnsi="Times New Roman"/>
          <w:noProof/>
          <w:sz w:val="20"/>
          <w:szCs w:val="20"/>
        </w:rPr>
        <w:t>Kamakshi, T., Sundari, G. S., Erothu, H. and Rao, T. P. (2018). Synthesis and characterization of graphene based iron oxide (Fe</w:t>
      </w:r>
      <w:r w:rsidRPr="00953256">
        <w:rPr>
          <w:rFonts w:ascii="Times New Roman" w:hAnsi="Times New Roman"/>
          <w:noProof/>
          <w:sz w:val="20"/>
          <w:szCs w:val="20"/>
          <w:vertAlign w:val="subscript"/>
        </w:rPr>
        <w:t>3</w:t>
      </w:r>
      <w:r w:rsidRPr="00953256">
        <w:rPr>
          <w:rFonts w:ascii="Times New Roman" w:hAnsi="Times New Roman"/>
          <w:noProof/>
          <w:sz w:val="20"/>
          <w:szCs w:val="20"/>
        </w:rPr>
        <w:t>O</w:t>
      </w:r>
      <w:r w:rsidRPr="00953256">
        <w:rPr>
          <w:rFonts w:ascii="Times New Roman" w:hAnsi="Times New Roman"/>
          <w:noProof/>
          <w:sz w:val="20"/>
          <w:szCs w:val="20"/>
          <w:vertAlign w:val="subscript"/>
        </w:rPr>
        <w:t>4</w:t>
      </w:r>
      <w:r w:rsidRPr="00953256">
        <w:rPr>
          <w:rFonts w:ascii="Times New Roman" w:hAnsi="Times New Roman"/>
          <w:noProof/>
          <w:sz w:val="20"/>
          <w:szCs w:val="20"/>
        </w:rPr>
        <w:t xml:space="preserve">) nanocomposites. </w:t>
      </w:r>
      <w:r w:rsidRPr="00953256">
        <w:rPr>
          <w:rFonts w:ascii="Times New Roman" w:hAnsi="Times New Roman"/>
          <w:i/>
          <w:iCs/>
          <w:noProof/>
          <w:sz w:val="20"/>
          <w:szCs w:val="20"/>
        </w:rPr>
        <w:t>Rasayan Journal of Chemistry</w:t>
      </w:r>
      <w:r w:rsidRPr="00953256">
        <w:rPr>
          <w:rFonts w:ascii="Times New Roman" w:hAnsi="Times New Roman"/>
          <w:noProof/>
          <w:sz w:val="20"/>
          <w:szCs w:val="20"/>
        </w:rPr>
        <w:t xml:space="preserve">, 11(3): 1113–1119. </w:t>
      </w:r>
    </w:p>
    <w:p w:rsidR="00953256" w:rsidRDefault="00953256" w:rsidP="00953256">
      <w:pPr>
        <w:pStyle w:val="ListParagraph"/>
        <w:numPr>
          <w:ilvl w:val="0"/>
          <w:numId w:val="3"/>
        </w:numPr>
        <w:spacing w:after="0" w:line="240" w:lineRule="auto"/>
        <w:ind w:left="360"/>
        <w:contextualSpacing w:val="0"/>
        <w:jc w:val="both"/>
        <w:rPr>
          <w:rFonts w:ascii="Times New Roman" w:hAnsi="Times New Roman"/>
          <w:noProof/>
          <w:sz w:val="20"/>
          <w:szCs w:val="20"/>
        </w:rPr>
      </w:pPr>
      <w:r w:rsidRPr="00953256">
        <w:rPr>
          <w:rFonts w:ascii="Times New Roman" w:hAnsi="Times New Roman"/>
          <w:noProof/>
          <w:sz w:val="20"/>
          <w:szCs w:val="20"/>
        </w:rPr>
        <w:t xml:space="preserve">Yang, S., Yue, W., Huang, D., Chen, C., Lin, H. and Yang, X. (2012). A facile green strategy for rapid reduction of graphene oxide by metallic zinc. </w:t>
      </w:r>
      <w:r w:rsidRPr="00953256">
        <w:rPr>
          <w:rFonts w:ascii="Times New Roman" w:hAnsi="Times New Roman"/>
          <w:i/>
          <w:iCs/>
          <w:noProof/>
          <w:sz w:val="20"/>
          <w:szCs w:val="20"/>
        </w:rPr>
        <w:t>RSC Advances</w:t>
      </w:r>
      <w:r w:rsidRPr="00953256">
        <w:rPr>
          <w:rFonts w:ascii="Times New Roman" w:hAnsi="Times New Roman"/>
          <w:noProof/>
          <w:sz w:val="20"/>
          <w:szCs w:val="20"/>
        </w:rPr>
        <w:t xml:space="preserve">, 2(23): 8827-8832. </w:t>
      </w:r>
    </w:p>
    <w:p w:rsidR="00953256" w:rsidRDefault="00953256" w:rsidP="00953256">
      <w:pPr>
        <w:pStyle w:val="ListParagraph"/>
        <w:numPr>
          <w:ilvl w:val="0"/>
          <w:numId w:val="3"/>
        </w:numPr>
        <w:spacing w:after="0" w:line="240" w:lineRule="auto"/>
        <w:ind w:left="360"/>
        <w:contextualSpacing w:val="0"/>
        <w:jc w:val="both"/>
        <w:rPr>
          <w:rFonts w:ascii="Times New Roman" w:hAnsi="Times New Roman"/>
          <w:noProof/>
          <w:sz w:val="20"/>
          <w:szCs w:val="20"/>
        </w:rPr>
      </w:pPr>
      <w:r w:rsidRPr="00953256">
        <w:rPr>
          <w:rFonts w:ascii="Times New Roman" w:hAnsi="Times New Roman"/>
          <w:noProof/>
          <w:sz w:val="20"/>
          <w:szCs w:val="20"/>
        </w:rPr>
        <w:t xml:space="preserve">Xue, Y., Chen, H., Yu, D., Wang, S., Yardeni, M., Dai, Q., Guo, M., Liu Y., Lu, F., Qu, J. and  Dai, L. (2011). Oxidizing metal ions with graphene oxide: the in situ formation of magnetic nanoparticles on self-reduced graphene sheets for multifunctional applications. </w:t>
      </w:r>
      <w:r w:rsidRPr="00953256">
        <w:rPr>
          <w:rFonts w:ascii="Times New Roman" w:hAnsi="Times New Roman"/>
          <w:i/>
          <w:iCs/>
          <w:noProof/>
          <w:sz w:val="20"/>
          <w:szCs w:val="20"/>
        </w:rPr>
        <w:t>Chemical Communications</w:t>
      </w:r>
      <w:r w:rsidRPr="00953256">
        <w:rPr>
          <w:rFonts w:ascii="Times New Roman" w:hAnsi="Times New Roman"/>
          <w:noProof/>
          <w:sz w:val="20"/>
          <w:szCs w:val="20"/>
        </w:rPr>
        <w:t xml:space="preserve">, 47(42): 11689–11691. </w:t>
      </w:r>
    </w:p>
    <w:p w:rsidR="00953256" w:rsidRDefault="00953256" w:rsidP="00953256">
      <w:pPr>
        <w:pStyle w:val="ListParagraph"/>
        <w:numPr>
          <w:ilvl w:val="0"/>
          <w:numId w:val="3"/>
        </w:numPr>
        <w:spacing w:after="0" w:line="240" w:lineRule="auto"/>
        <w:ind w:left="360"/>
        <w:contextualSpacing w:val="0"/>
        <w:jc w:val="both"/>
        <w:rPr>
          <w:rFonts w:ascii="Times New Roman" w:hAnsi="Times New Roman"/>
          <w:noProof/>
          <w:sz w:val="20"/>
          <w:szCs w:val="20"/>
        </w:rPr>
      </w:pPr>
      <w:r w:rsidRPr="00953256">
        <w:rPr>
          <w:rFonts w:ascii="Times New Roman" w:hAnsi="Times New Roman"/>
          <w:noProof/>
          <w:sz w:val="20"/>
          <w:szCs w:val="20"/>
        </w:rPr>
        <w:t xml:space="preserve">Dimiev, A. M. and Tour, J. M. (2014). Mechanism of graphene oxide formation. </w:t>
      </w:r>
      <w:r w:rsidRPr="00953256">
        <w:rPr>
          <w:rFonts w:ascii="Times New Roman" w:hAnsi="Times New Roman"/>
          <w:i/>
          <w:iCs/>
          <w:noProof/>
          <w:sz w:val="20"/>
          <w:szCs w:val="20"/>
        </w:rPr>
        <w:t>ACS Nano</w:t>
      </w:r>
      <w:r w:rsidRPr="00953256">
        <w:rPr>
          <w:rFonts w:ascii="Times New Roman" w:hAnsi="Times New Roman"/>
          <w:noProof/>
          <w:sz w:val="20"/>
          <w:szCs w:val="20"/>
        </w:rPr>
        <w:t xml:space="preserve">, 8 (3): 3060–3068. </w:t>
      </w:r>
    </w:p>
    <w:p w:rsidR="00953256" w:rsidRDefault="00953256" w:rsidP="00953256">
      <w:pPr>
        <w:pStyle w:val="ListParagraph"/>
        <w:numPr>
          <w:ilvl w:val="0"/>
          <w:numId w:val="3"/>
        </w:numPr>
        <w:spacing w:after="0" w:line="240" w:lineRule="auto"/>
        <w:ind w:left="360"/>
        <w:contextualSpacing w:val="0"/>
        <w:jc w:val="both"/>
        <w:rPr>
          <w:rFonts w:ascii="Times New Roman" w:hAnsi="Times New Roman"/>
          <w:noProof/>
          <w:sz w:val="20"/>
          <w:szCs w:val="20"/>
        </w:rPr>
      </w:pPr>
      <w:r w:rsidRPr="00953256">
        <w:rPr>
          <w:rFonts w:ascii="Times New Roman" w:hAnsi="Times New Roman"/>
          <w:noProof/>
          <w:sz w:val="20"/>
          <w:szCs w:val="20"/>
        </w:rPr>
        <w:t xml:space="preserve">Aneesh, P. K., Nambiar, S. R., Rao, T. P. and Ajayaghosh, A. (2014). Electrochemically synthesized partially reduced graphene oxide modified glassy carbon electrode for individual and simultaneous voltammetric determination of ascorbic acid, dopamine and uric acid. </w:t>
      </w:r>
      <w:r w:rsidRPr="00953256">
        <w:rPr>
          <w:rFonts w:ascii="Times New Roman" w:hAnsi="Times New Roman"/>
          <w:i/>
          <w:iCs/>
          <w:noProof/>
          <w:sz w:val="20"/>
          <w:szCs w:val="20"/>
        </w:rPr>
        <w:t>Analytical Methods</w:t>
      </w:r>
      <w:r w:rsidRPr="00953256">
        <w:rPr>
          <w:rFonts w:ascii="Times New Roman" w:hAnsi="Times New Roman"/>
          <w:noProof/>
          <w:sz w:val="20"/>
          <w:szCs w:val="20"/>
        </w:rPr>
        <w:t xml:space="preserve">, 6(14): 5322–5330. </w:t>
      </w:r>
    </w:p>
    <w:p w:rsidR="00953256" w:rsidRDefault="00953256" w:rsidP="00953256">
      <w:pPr>
        <w:pStyle w:val="ListParagraph"/>
        <w:numPr>
          <w:ilvl w:val="0"/>
          <w:numId w:val="3"/>
        </w:numPr>
        <w:spacing w:after="0" w:line="240" w:lineRule="auto"/>
        <w:ind w:left="360"/>
        <w:contextualSpacing w:val="0"/>
        <w:jc w:val="both"/>
        <w:rPr>
          <w:rFonts w:ascii="Times New Roman" w:hAnsi="Times New Roman"/>
          <w:noProof/>
          <w:sz w:val="20"/>
          <w:szCs w:val="20"/>
        </w:rPr>
      </w:pPr>
      <w:r w:rsidRPr="00953256">
        <w:rPr>
          <w:rFonts w:ascii="Times New Roman" w:hAnsi="Times New Roman"/>
          <w:noProof/>
          <w:sz w:val="20"/>
          <w:szCs w:val="20"/>
        </w:rPr>
        <w:t>Hariani, P.L., Faizal, M., Ridwan, R., Marsi, M., and Setiabudidaya, D. (2013). Synthesis and Properties of Fe</w:t>
      </w:r>
      <w:r w:rsidRPr="00953256">
        <w:rPr>
          <w:rFonts w:ascii="Times New Roman" w:hAnsi="Times New Roman"/>
          <w:noProof/>
          <w:sz w:val="20"/>
          <w:szCs w:val="20"/>
          <w:vertAlign w:val="subscript"/>
        </w:rPr>
        <w:t>3</w:t>
      </w:r>
      <w:r w:rsidRPr="00953256">
        <w:rPr>
          <w:rFonts w:ascii="Times New Roman" w:hAnsi="Times New Roman"/>
          <w:noProof/>
          <w:sz w:val="20"/>
          <w:szCs w:val="20"/>
        </w:rPr>
        <w:t>O</w:t>
      </w:r>
      <w:r w:rsidRPr="00953256">
        <w:rPr>
          <w:rFonts w:ascii="Times New Roman" w:hAnsi="Times New Roman"/>
          <w:noProof/>
          <w:sz w:val="20"/>
          <w:szCs w:val="20"/>
          <w:vertAlign w:val="subscript"/>
        </w:rPr>
        <w:t>4</w:t>
      </w:r>
      <w:r w:rsidRPr="00953256">
        <w:rPr>
          <w:rFonts w:ascii="Times New Roman" w:hAnsi="Times New Roman"/>
          <w:noProof/>
          <w:sz w:val="20"/>
          <w:szCs w:val="20"/>
        </w:rPr>
        <w:t xml:space="preserve"> Nanoparticles by Co-precipitation Method to Removal Procion Dye. </w:t>
      </w:r>
      <w:r w:rsidRPr="00953256">
        <w:rPr>
          <w:rFonts w:ascii="Times New Roman" w:hAnsi="Times New Roman"/>
          <w:i/>
          <w:iCs/>
          <w:noProof/>
          <w:sz w:val="20"/>
          <w:szCs w:val="20"/>
        </w:rPr>
        <w:t>International Journal of Environmental Science and Development</w:t>
      </w:r>
      <w:r w:rsidRPr="00953256">
        <w:rPr>
          <w:rFonts w:ascii="Times New Roman" w:hAnsi="Times New Roman"/>
          <w:noProof/>
          <w:sz w:val="20"/>
          <w:szCs w:val="20"/>
        </w:rPr>
        <w:t xml:space="preserve">. 4 (3): 336–340. </w:t>
      </w:r>
    </w:p>
    <w:p w:rsidR="00953256" w:rsidRDefault="00953256" w:rsidP="00953256">
      <w:pPr>
        <w:pStyle w:val="ListParagraph"/>
        <w:numPr>
          <w:ilvl w:val="0"/>
          <w:numId w:val="3"/>
        </w:numPr>
        <w:spacing w:after="0" w:line="240" w:lineRule="auto"/>
        <w:ind w:left="360"/>
        <w:contextualSpacing w:val="0"/>
        <w:jc w:val="both"/>
        <w:rPr>
          <w:rFonts w:ascii="Times New Roman" w:hAnsi="Times New Roman"/>
          <w:noProof/>
          <w:sz w:val="20"/>
          <w:szCs w:val="20"/>
        </w:rPr>
      </w:pPr>
      <w:r w:rsidRPr="00953256">
        <w:rPr>
          <w:rFonts w:ascii="Times New Roman" w:hAnsi="Times New Roman"/>
          <w:noProof/>
          <w:sz w:val="20"/>
          <w:szCs w:val="20"/>
        </w:rPr>
        <w:t xml:space="preserve">Elgrishi, N., Rountree, K. J., McCarthy, B. D., Rountree, E. S., Eisenhart, T. T., and Dempsey, J. L. (2018). A practical beginner’s guide to cyclic voltammetry. </w:t>
      </w:r>
      <w:r w:rsidRPr="00953256">
        <w:rPr>
          <w:rFonts w:ascii="Times New Roman" w:hAnsi="Times New Roman"/>
          <w:i/>
          <w:iCs/>
          <w:noProof/>
          <w:sz w:val="20"/>
          <w:szCs w:val="20"/>
        </w:rPr>
        <w:t>Journal of Chemical Education</w:t>
      </w:r>
      <w:r w:rsidRPr="00953256">
        <w:rPr>
          <w:rFonts w:ascii="Times New Roman" w:hAnsi="Times New Roman"/>
          <w:noProof/>
          <w:sz w:val="20"/>
          <w:szCs w:val="20"/>
        </w:rPr>
        <w:t xml:space="preserve">, 95(2): 197–206. </w:t>
      </w:r>
    </w:p>
    <w:p w:rsidR="00953256" w:rsidRDefault="00953256" w:rsidP="00953256">
      <w:pPr>
        <w:pStyle w:val="ListParagraph"/>
        <w:numPr>
          <w:ilvl w:val="0"/>
          <w:numId w:val="3"/>
        </w:numPr>
        <w:spacing w:after="0" w:line="240" w:lineRule="auto"/>
        <w:ind w:left="360"/>
        <w:contextualSpacing w:val="0"/>
        <w:jc w:val="both"/>
        <w:rPr>
          <w:rFonts w:ascii="Times New Roman" w:hAnsi="Times New Roman"/>
          <w:noProof/>
          <w:sz w:val="20"/>
          <w:szCs w:val="20"/>
        </w:rPr>
      </w:pPr>
      <w:r w:rsidRPr="00953256">
        <w:rPr>
          <w:rFonts w:ascii="Times New Roman" w:hAnsi="Times New Roman"/>
          <w:noProof/>
          <w:sz w:val="20"/>
          <w:szCs w:val="20"/>
        </w:rPr>
        <w:t xml:space="preserve">Chao, M., Ma, X. and Li, X. (2012). Graphene-modified electrode for the selective determination of uric acid under coexistence of dopamine and ascorbic acid. </w:t>
      </w:r>
      <w:r w:rsidRPr="00953256">
        <w:rPr>
          <w:rFonts w:ascii="Times New Roman" w:hAnsi="Times New Roman"/>
          <w:i/>
          <w:iCs/>
          <w:noProof/>
          <w:sz w:val="20"/>
          <w:szCs w:val="20"/>
        </w:rPr>
        <w:t>International Journal of Electrochemical Science</w:t>
      </w:r>
      <w:r w:rsidRPr="00953256">
        <w:rPr>
          <w:rFonts w:ascii="Times New Roman" w:hAnsi="Times New Roman"/>
          <w:noProof/>
          <w:sz w:val="20"/>
          <w:szCs w:val="20"/>
        </w:rPr>
        <w:t xml:space="preserve">, 7(3): 2201–2213. </w:t>
      </w:r>
    </w:p>
    <w:p w:rsidR="00953256" w:rsidRDefault="00953256" w:rsidP="00953256">
      <w:pPr>
        <w:pStyle w:val="ListParagraph"/>
        <w:numPr>
          <w:ilvl w:val="0"/>
          <w:numId w:val="3"/>
        </w:numPr>
        <w:spacing w:after="0" w:line="240" w:lineRule="auto"/>
        <w:ind w:left="360"/>
        <w:contextualSpacing w:val="0"/>
        <w:jc w:val="both"/>
        <w:rPr>
          <w:rFonts w:ascii="Times New Roman" w:hAnsi="Times New Roman"/>
          <w:noProof/>
          <w:sz w:val="20"/>
          <w:szCs w:val="20"/>
        </w:rPr>
      </w:pPr>
      <w:r w:rsidRPr="00953256">
        <w:rPr>
          <w:rFonts w:ascii="Times New Roman" w:hAnsi="Times New Roman"/>
          <w:noProof/>
          <w:sz w:val="20"/>
          <w:szCs w:val="20"/>
        </w:rPr>
        <w:t xml:space="preserve">Yusoff, F., Aziz, A., Mohamed, N., and Ab Ghani, S. (2013). Synthesis and characterizations of BSCF at different pH as future cathode materials for fuel cell. </w:t>
      </w:r>
      <w:r w:rsidRPr="00953256">
        <w:rPr>
          <w:rFonts w:ascii="Times New Roman" w:hAnsi="Times New Roman"/>
          <w:i/>
          <w:iCs/>
          <w:noProof/>
          <w:sz w:val="20"/>
          <w:szCs w:val="20"/>
        </w:rPr>
        <w:t>International Journal of Electrochemical Science</w:t>
      </w:r>
      <w:r w:rsidRPr="00953256">
        <w:rPr>
          <w:rFonts w:ascii="Times New Roman" w:hAnsi="Times New Roman"/>
          <w:noProof/>
          <w:sz w:val="20"/>
          <w:szCs w:val="20"/>
        </w:rPr>
        <w:t xml:space="preserve">. 8 (8): 10672–10687. </w:t>
      </w:r>
    </w:p>
    <w:p w:rsidR="00953256" w:rsidRDefault="00953256" w:rsidP="00953256">
      <w:pPr>
        <w:pStyle w:val="ListParagraph"/>
        <w:numPr>
          <w:ilvl w:val="0"/>
          <w:numId w:val="3"/>
        </w:numPr>
        <w:spacing w:after="0" w:line="240" w:lineRule="auto"/>
        <w:ind w:left="360"/>
        <w:contextualSpacing w:val="0"/>
        <w:jc w:val="both"/>
        <w:rPr>
          <w:rFonts w:ascii="Times New Roman" w:hAnsi="Times New Roman"/>
          <w:noProof/>
          <w:sz w:val="20"/>
          <w:szCs w:val="20"/>
        </w:rPr>
      </w:pPr>
      <w:r w:rsidRPr="00953256">
        <w:rPr>
          <w:rFonts w:ascii="Times New Roman" w:hAnsi="Times New Roman"/>
          <w:noProof/>
          <w:sz w:val="20"/>
          <w:szCs w:val="20"/>
        </w:rPr>
        <w:t>Yusoff, F., Mohamed, N., Azizan, A. and Ab Ghani, S. (2016). The perovskite Ba</w:t>
      </w:r>
      <w:r w:rsidRPr="00953256">
        <w:rPr>
          <w:rFonts w:ascii="Times New Roman" w:hAnsi="Times New Roman"/>
          <w:noProof/>
          <w:sz w:val="20"/>
          <w:szCs w:val="20"/>
          <w:vertAlign w:val="subscript"/>
        </w:rPr>
        <w:t>0.5</w:t>
      </w:r>
      <w:r w:rsidRPr="00953256">
        <w:rPr>
          <w:rFonts w:ascii="Times New Roman" w:hAnsi="Times New Roman"/>
          <w:noProof/>
          <w:sz w:val="20"/>
          <w:szCs w:val="20"/>
        </w:rPr>
        <w:t>Sr</w:t>
      </w:r>
      <w:r w:rsidRPr="00953256">
        <w:rPr>
          <w:rFonts w:ascii="Times New Roman" w:hAnsi="Times New Roman"/>
          <w:noProof/>
          <w:sz w:val="20"/>
          <w:szCs w:val="20"/>
          <w:vertAlign w:val="subscript"/>
        </w:rPr>
        <w:t>0.5</w:t>
      </w:r>
      <w:r w:rsidRPr="00953256">
        <w:rPr>
          <w:rFonts w:ascii="Times New Roman" w:hAnsi="Times New Roman"/>
          <w:noProof/>
          <w:sz w:val="20"/>
          <w:szCs w:val="20"/>
        </w:rPr>
        <w:t>Co</w:t>
      </w:r>
      <w:r w:rsidRPr="00953256">
        <w:rPr>
          <w:rFonts w:ascii="Times New Roman" w:hAnsi="Times New Roman"/>
          <w:noProof/>
          <w:sz w:val="20"/>
          <w:szCs w:val="20"/>
          <w:vertAlign w:val="subscript"/>
        </w:rPr>
        <w:t>0.2</w:t>
      </w:r>
      <w:r w:rsidRPr="00953256">
        <w:rPr>
          <w:rFonts w:ascii="Times New Roman" w:hAnsi="Times New Roman"/>
          <w:noProof/>
          <w:sz w:val="20"/>
          <w:szCs w:val="20"/>
        </w:rPr>
        <w:t>Fe</w:t>
      </w:r>
      <w:r w:rsidRPr="00953256">
        <w:rPr>
          <w:rFonts w:ascii="Times New Roman" w:hAnsi="Times New Roman"/>
          <w:noProof/>
          <w:sz w:val="20"/>
          <w:szCs w:val="20"/>
          <w:vertAlign w:val="subscript"/>
        </w:rPr>
        <w:t>0.8</w:t>
      </w:r>
      <w:r w:rsidRPr="00953256">
        <w:rPr>
          <w:rFonts w:ascii="Times New Roman" w:hAnsi="Times New Roman"/>
          <w:noProof/>
          <w:sz w:val="20"/>
          <w:szCs w:val="20"/>
        </w:rPr>
        <w:t>O</w:t>
      </w:r>
      <w:r w:rsidRPr="00953256">
        <w:rPr>
          <w:rFonts w:ascii="Times New Roman" w:hAnsi="Times New Roman"/>
          <w:noProof/>
          <w:sz w:val="20"/>
          <w:szCs w:val="20"/>
          <w:vertAlign w:val="subscript"/>
        </w:rPr>
        <w:t>3-</w:t>
      </w:r>
      <w:r w:rsidRPr="00953256">
        <w:rPr>
          <w:rFonts w:ascii="Times New Roman" w:hAnsi="Times New Roman"/>
          <w:noProof/>
          <w:sz w:val="20"/>
          <w:szCs w:val="20"/>
        </w:rPr>
        <w:t xml:space="preserve">MWCNT modified glassy carbon electrode - its characterization and capacity in oxygen reduction reaction. </w:t>
      </w:r>
      <w:r w:rsidRPr="00953256">
        <w:rPr>
          <w:rFonts w:ascii="Times New Roman" w:hAnsi="Times New Roman"/>
          <w:i/>
          <w:iCs/>
          <w:noProof/>
          <w:sz w:val="20"/>
          <w:szCs w:val="20"/>
        </w:rPr>
        <w:t>International Journal of Electrochemical Science</w:t>
      </w:r>
      <w:r w:rsidRPr="00953256">
        <w:rPr>
          <w:rFonts w:ascii="Times New Roman" w:hAnsi="Times New Roman"/>
          <w:noProof/>
          <w:sz w:val="20"/>
          <w:szCs w:val="20"/>
        </w:rPr>
        <w:t xml:space="preserve">, 11(7): 5766–5780. </w:t>
      </w:r>
    </w:p>
    <w:p w:rsidR="00953256" w:rsidRDefault="00953256" w:rsidP="00953256">
      <w:pPr>
        <w:pStyle w:val="ListParagraph"/>
        <w:numPr>
          <w:ilvl w:val="0"/>
          <w:numId w:val="3"/>
        </w:numPr>
        <w:spacing w:after="0" w:line="240" w:lineRule="auto"/>
        <w:ind w:left="360"/>
        <w:contextualSpacing w:val="0"/>
        <w:jc w:val="both"/>
        <w:rPr>
          <w:rFonts w:ascii="Times New Roman" w:hAnsi="Times New Roman"/>
          <w:noProof/>
          <w:sz w:val="20"/>
          <w:szCs w:val="20"/>
        </w:rPr>
      </w:pPr>
      <w:r w:rsidRPr="00953256">
        <w:rPr>
          <w:rFonts w:ascii="Times New Roman" w:hAnsi="Times New Roman"/>
          <w:noProof/>
          <w:sz w:val="20"/>
          <w:szCs w:val="20"/>
        </w:rPr>
        <w:t xml:space="preserve">Tukimin, N., Abdullah, J. and Sulaiman, Y. (2017). Development of a PrGo-modified electrode for uric acid determination in the presence of ascorbic acid by an electrochemical technique. </w:t>
      </w:r>
      <w:r w:rsidRPr="00953256">
        <w:rPr>
          <w:rFonts w:ascii="Times New Roman" w:hAnsi="Times New Roman"/>
          <w:i/>
          <w:iCs/>
          <w:noProof/>
          <w:sz w:val="20"/>
          <w:szCs w:val="20"/>
        </w:rPr>
        <w:t>Sensors (Switzerland)</w:t>
      </w:r>
      <w:r w:rsidRPr="00953256">
        <w:rPr>
          <w:rFonts w:ascii="Times New Roman" w:hAnsi="Times New Roman"/>
          <w:noProof/>
          <w:sz w:val="20"/>
          <w:szCs w:val="20"/>
        </w:rPr>
        <w:t xml:space="preserve">. 17 (7): 1539. </w:t>
      </w:r>
    </w:p>
    <w:p w:rsidR="00953256" w:rsidRDefault="00953256" w:rsidP="00953256">
      <w:pPr>
        <w:pStyle w:val="ListParagraph"/>
        <w:numPr>
          <w:ilvl w:val="0"/>
          <w:numId w:val="3"/>
        </w:numPr>
        <w:spacing w:after="0" w:line="240" w:lineRule="auto"/>
        <w:ind w:left="360"/>
        <w:contextualSpacing w:val="0"/>
        <w:jc w:val="both"/>
        <w:rPr>
          <w:rFonts w:ascii="Times New Roman" w:hAnsi="Times New Roman"/>
          <w:noProof/>
          <w:sz w:val="20"/>
          <w:szCs w:val="20"/>
        </w:rPr>
      </w:pPr>
      <w:r w:rsidRPr="00953256">
        <w:rPr>
          <w:rFonts w:ascii="Times New Roman" w:hAnsi="Times New Roman"/>
          <w:noProof/>
          <w:sz w:val="20"/>
          <w:szCs w:val="20"/>
        </w:rPr>
        <w:t xml:space="preserve">Sun, H., Cao, L. and Lu, L. (2011). Magnetite/reduced graphene oxide nanocomposites: one step solvothermal synthesis and use as a novel platform for removal of dye pollutants. </w:t>
      </w:r>
      <w:r w:rsidRPr="00953256">
        <w:rPr>
          <w:rFonts w:ascii="Times New Roman" w:hAnsi="Times New Roman"/>
          <w:i/>
          <w:iCs/>
          <w:noProof/>
          <w:sz w:val="20"/>
          <w:szCs w:val="20"/>
        </w:rPr>
        <w:t>Nano Research</w:t>
      </w:r>
      <w:r w:rsidRPr="00953256">
        <w:rPr>
          <w:rFonts w:ascii="Times New Roman" w:hAnsi="Times New Roman"/>
          <w:noProof/>
          <w:sz w:val="20"/>
          <w:szCs w:val="20"/>
        </w:rPr>
        <w:t xml:space="preserve">, 4(6): 550–562. </w:t>
      </w:r>
    </w:p>
    <w:p w:rsidR="00953256" w:rsidRDefault="00953256" w:rsidP="00953256">
      <w:pPr>
        <w:pStyle w:val="ListParagraph"/>
        <w:numPr>
          <w:ilvl w:val="0"/>
          <w:numId w:val="3"/>
        </w:numPr>
        <w:spacing w:after="0" w:line="240" w:lineRule="auto"/>
        <w:ind w:left="360"/>
        <w:contextualSpacing w:val="0"/>
        <w:jc w:val="both"/>
        <w:rPr>
          <w:rFonts w:ascii="Times New Roman" w:hAnsi="Times New Roman"/>
          <w:noProof/>
          <w:sz w:val="20"/>
          <w:szCs w:val="20"/>
        </w:rPr>
      </w:pPr>
      <w:r w:rsidRPr="00953256">
        <w:rPr>
          <w:rFonts w:ascii="Times New Roman" w:hAnsi="Times New Roman"/>
          <w:noProof/>
          <w:sz w:val="20"/>
          <w:szCs w:val="20"/>
        </w:rPr>
        <w:t xml:space="preserve">Zhang, W., Chen, J., Li, Y., Yang, W., Zhang, Y. and Zhang, Y. (2017). Novel UIO-66-NO2@XC-72 nanohybrid as an electrode material for simultaneous detection of ascorbic acid, dopamine and uric acid. </w:t>
      </w:r>
      <w:r w:rsidRPr="00953256">
        <w:rPr>
          <w:rFonts w:ascii="Times New Roman" w:hAnsi="Times New Roman"/>
          <w:i/>
          <w:iCs/>
          <w:noProof/>
          <w:sz w:val="20"/>
          <w:szCs w:val="20"/>
        </w:rPr>
        <w:t>RSC Advances</w:t>
      </w:r>
      <w:r w:rsidRPr="00953256">
        <w:rPr>
          <w:rFonts w:ascii="Times New Roman" w:hAnsi="Times New Roman"/>
          <w:noProof/>
          <w:sz w:val="20"/>
          <w:szCs w:val="20"/>
        </w:rPr>
        <w:t xml:space="preserve">, 7(10): 5628–5635. </w:t>
      </w:r>
    </w:p>
    <w:p w:rsidR="00C70524" w:rsidRDefault="00953256" w:rsidP="00C70524">
      <w:pPr>
        <w:pStyle w:val="ListParagraph"/>
        <w:numPr>
          <w:ilvl w:val="0"/>
          <w:numId w:val="3"/>
        </w:numPr>
        <w:spacing w:after="0" w:line="240" w:lineRule="auto"/>
        <w:ind w:left="360"/>
        <w:contextualSpacing w:val="0"/>
        <w:jc w:val="both"/>
        <w:rPr>
          <w:rFonts w:ascii="Times New Roman" w:hAnsi="Times New Roman"/>
          <w:noProof/>
          <w:sz w:val="20"/>
          <w:szCs w:val="20"/>
        </w:rPr>
      </w:pPr>
      <w:r w:rsidRPr="00953256">
        <w:rPr>
          <w:rFonts w:ascii="Times New Roman" w:hAnsi="Times New Roman"/>
          <w:noProof/>
          <w:sz w:val="20"/>
          <w:szCs w:val="20"/>
        </w:rPr>
        <w:t xml:space="preserve">Stoyanova, A., Ivanov, S., Tsakova, V. and Bund, A. (2011). Au nanoparticle-polyaniline nanocomposite layers obtained through layer-by-layer adsorption for the simultaneous determination of dopamine and uric acid. </w:t>
      </w:r>
      <w:r w:rsidRPr="00953256">
        <w:rPr>
          <w:rFonts w:ascii="Times New Roman" w:hAnsi="Times New Roman"/>
          <w:i/>
          <w:iCs/>
          <w:noProof/>
          <w:sz w:val="20"/>
          <w:szCs w:val="20"/>
        </w:rPr>
        <w:t>Electrochimica Acta</w:t>
      </w:r>
      <w:r w:rsidRPr="00953256">
        <w:rPr>
          <w:rFonts w:ascii="Times New Roman" w:hAnsi="Times New Roman"/>
          <w:noProof/>
          <w:sz w:val="20"/>
          <w:szCs w:val="20"/>
        </w:rPr>
        <w:t xml:space="preserve">, </w:t>
      </w:r>
      <w:r w:rsidRPr="00953256">
        <w:rPr>
          <w:rFonts w:ascii="Times New Roman" w:hAnsi="Times New Roman"/>
          <w:iCs/>
          <w:noProof/>
          <w:sz w:val="20"/>
          <w:szCs w:val="20"/>
        </w:rPr>
        <w:t>56</w:t>
      </w:r>
      <w:r w:rsidRPr="00953256">
        <w:rPr>
          <w:rFonts w:ascii="Times New Roman" w:hAnsi="Times New Roman"/>
          <w:noProof/>
          <w:sz w:val="20"/>
          <w:szCs w:val="20"/>
        </w:rPr>
        <w:t>(10): 3693–3699.</w:t>
      </w:r>
    </w:p>
    <w:p w:rsidR="00C70524" w:rsidRDefault="00953256" w:rsidP="00C70524">
      <w:pPr>
        <w:pStyle w:val="ListParagraph"/>
        <w:numPr>
          <w:ilvl w:val="0"/>
          <w:numId w:val="3"/>
        </w:numPr>
        <w:spacing w:after="0" w:line="240" w:lineRule="auto"/>
        <w:ind w:left="360"/>
        <w:contextualSpacing w:val="0"/>
        <w:jc w:val="both"/>
        <w:rPr>
          <w:rFonts w:ascii="Times New Roman" w:hAnsi="Times New Roman"/>
          <w:noProof/>
          <w:sz w:val="20"/>
          <w:szCs w:val="20"/>
        </w:rPr>
      </w:pPr>
      <w:r w:rsidRPr="00C70524">
        <w:rPr>
          <w:rFonts w:ascii="Times New Roman" w:hAnsi="Times New Roman"/>
          <w:noProof/>
          <w:sz w:val="20"/>
          <w:szCs w:val="20"/>
        </w:rPr>
        <w:t xml:space="preserve">Yusoff, F., Lee, P.S, and Noorashikin, M.S. (2018). The electroxidation of uric acid at zinc oxide/reduced graphene oxide composites modified electrode. </w:t>
      </w:r>
      <w:r w:rsidRPr="00C70524">
        <w:rPr>
          <w:rFonts w:ascii="Times New Roman" w:hAnsi="Times New Roman"/>
          <w:i/>
          <w:noProof/>
          <w:sz w:val="20"/>
          <w:szCs w:val="20"/>
        </w:rPr>
        <w:t xml:space="preserve">AIP Conference Proceeding. </w:t>
      </w:r>
      <w:r w:rsidRPr="00C70524">
        <w:rPr>
          <w:rFonts w:ascii="Times New Roman" w:hAnsi="Times New Roman"/>
          <w:noProof/>
          <w:sz w:val="20"/>
          <w:szCs w:val="20"/>
        </w:rPr>
        <w:t xml:space="preserve">2031:1-6. Kaur, B., Pandiyan, T., Satpati, B. and Srivastava, R. (2013). </w:t>
      </w:r>
    </w:p>
    <w:p w:rsidR="00C70524" w:rsidRDefault="00953256" w:rsidP="00C70524">
      <w:pPr>
        <w:pStyle w:val="ListParagraph"/>
        <w:numPr>
          <w:ilvl w:val="0"/>
          <w:numId w:val="3"/>
        </w:numPr>
        <w:spacing w:after="0" w:line="240" w:lineRule="auto"/>
        <w:ind w:left="360"/>
        <w:contextualSpacing w:val="0"/>
        <w:jc w:val="both"/>
        <w:rPr>
          <w:rFonts w:ascii="Times New Roman" w:hAnsi="Times New Roman"/>
          <w:noProof/>
          <w:sz w:val="20"/>
          <w:szCs w:val="20"/>
        </w:rPr>
      </w:pPr>
      <w:r w:rsidRPr="00C70524">
        <w:rPr>
          <w:rFonts w:ascii="Times New Roman" w:hAnsi="Times New Roman"/>
          <w:noProof/>
          <w:sz w:val="20"/>
          <w:szCs w:val="20"/>
        </w:rPr>
        <w:t xml:space="preserve">Simultaneous and sensitive determination of ascorbic acid, dopamine, uric acid, and tryptophan with silver nanoparticles-decorated reduced graphene oxide modified electrode. </w:t>
      </w:r>
      <w:r w:rsidRPr="00C70524">
        <w:rPr>
          <w:rFonts w:ascii="Times New Roman" w:hAnsi="Times New Roman"/>
          <w:i/>
          <w:iCs/>
          <w:noProof/>
          <w:sz w:val="20"/>
          <w:szCs w:val="20"/>
        </w:rPr>
        <w:t>Colloids and Surfaces B: Biointerfaces</w:t>
      </w:r>
      <w:r w:rsidRPr="00C70524">
        <w:rPr>
          <w:rFonts w:ascii="Times New Roman" w:hAnsi="Times New Roman"/>
          <w:noProof/>
          <w:sz w:val="20"/>
          <w:szCs w:val="20"/>
        </w:rPr>
        <w:t xml:space="preserve">, </w:t>
      </w:r>
      <w:r w:rsidRPr="00C70524">
        <w:rPr>
          <w:rFonts w:ascii="Times New Roman" w:hAnsi="Times New Roman"/>
          <w:iCs/>
          <w:noProof/>
          <w:sz w:val="20"/>
          <w:szCs w:val="20"/>
        </w:rPr>
        <w:t>111</w:t>
      </w:r>
      <w:r w:rsidRPr="00C70524">
        <w:rPr>
          <w:rFonts w:ascii="Times New Roman" w:hAnsi="Times New Roman"/>
          <w:noProof/>
          <w:sz w:val="20"/>
          <w:szCs w:val="20"/>
        </w:rPr>
        <w:t>: 97–106.</w:t>
      </w:r>
      <w:r w:rsidR="00C70524" w:rsidRPr="00C70524">
        <w:rPr>
          <w:rFonts w:ascii="Times New Roman" w:hAnsi="Times New Roman"/>
          <w:sz w:val="20"/>
          <w:szCs w:val="20"/>
        </w:rPr>
        <w:t xml:space="preserve"> </w:t>
      </w:r>
    </w:p>
    <w:p w:rsidR="00C70524" w:rsidRDefault="00C70524" w:rsidP="00C70524">
      <w:pPr>
        <w:pStyle w:val="ListParagraph"/>
        <w:numPr>
          <w:ilvl w:val="0"/>
          <w:numId w:val="3"/>
        </w:numPr>
        <w:spacing w:after="0" w:line="240" w:lineRule="auto"/>
        <w:ind w:left="360"/>
        <w:contextualSpacing w:val="0"/>
        <w:jc w:val="both"/>
        <w:rPr>
          <w:rFonts w:ascii="Times New Roman" w:hAnsi="Times New Roman"/>
          <w:noProof/>
          <w:sz w:val="20"/>
          <w:szCs w:val="20"/>
        </w:rPr>
      </w:pPr>
      <w:r w:rsidRPr="00C70524">
        <w:rPr>
          <w:rFonts w:ascii="Times New Roman" w:hAnsi="Times New Roman"/>
          <w:sz w:val="20"/>
          <w:szCs w:val="20"/>
        </w:rPr>
        <w:t xml:space="preserve">Wang, Y. and Tong, L. L. (2010). Electrochemical sensor for simultaneous determination of uric acid, xanthine and hypoxanthine based on poly (bromocresol purple) modified glassy carbon electrode. </w:t>
      </w:r>
      <w:r w:rsidRPr="00C70524">
        <w:rPr>
          <w:rFonts w:ascii="Times New Roman" w:hAnsi="Times New Roman"/>
          <w:i/>
          <w:iCs/>
          <w:sz w:val="20"/>
          <w:szCs w:val="20"/>
        </w:rPr>
        <w:t>Sensors and Actuators, B: Chemical</w:t>
      </w:r>
      <w:r w:rsidRPr="00C70524">
        <w:rPr>
          <w:rFonts w:ascii="Times New Roman" w:hAnsi="Times New Roman"/>
          <w:sz w:val="20"/>
          <w:szCs w:val="20"/>
        </w:rPr>
        <w:t xml:space="preserve">, 150(1): 43-49. </w:t>
      </w:r>
    </w:p>
    <w:p w:rsidR="00C70524" w:rsidRPr="00C70524" w:rsidRDefault="00C70524" w:rsidP="00C70524">
      <w:pPr>
        <w:spacing w:after="0" w:line="240" w:lineRule="auto"/>
        <w:jc w:val="both"/>
        <w:rPr>
          <w:rFonts w:ascii="Times New Roman" w:hAnsi="Times New Roman"/>
          <w:noProof/>
          <w:sz w:val="20"/>
          <w:szCs w:val="20"/>
        </w:rPr>
      </w:pPr>
    </w:p>
    <w:p w:rsidR="00C70524" w:rsidRPr="00C70524" w:rsidRDefault="00C70524" w:rsidP="00C70524">
      <w:pPr>
        <w:pStyle w:val="ListParagraph"/>
        <w:numPr>
          <w:ilvl w:val="0"/>
          <w:numId w:val="3"/>
        </w:numPr>
        <w:spacing w:after="0" w:line="240" w:lineRule="auto"/>
        <w:ind w:left="360"/>
        <w:contextualSpacing w:val="0"/>
        <w:jc w:val="both"/>
        <w:rPr>
          <w:rFonts w:ascii="Times New Roman" w:hAnsi="Times New Roman"/>
          <w:noProof/>
          <w:sz w:val="20"/>
          <w:szCs w:val="20"/>
        </w:rPr>
      </w:pPr>
      <w:r w:rsidRPr="00C70524">
        <w:rPr>
          <w:rFonts w:ascii="Times New Roman" w:hAnsi="Times New Roman"/>
          <w:sz w:val="20"/>
          <w:szCs w:val="20"/>
        </w:rPr>
        <w:lastRenderedPageBreak/>
        <w:t xml:space="preserve">Khamlichi, R. El, Bouchta, D., Anouar, E. H., Atia, M. Ben, Attar, A., Choukairi, M., Tazi, S., Ihssane, R., Faiza, C., Khalid, D. and Khalid, R. T. (2017). A novel l-leucine modified sol-gel-carbon electrode for simultaneous electrochemical detection of homovanillic acid, dopamine and uric acid in neuroblastoma diagnosis. </w:t>
      </w:r>
      <w:r w:rsidRPr="00C70524">
        <w:rPr>
          <w:rFonts w:ascii="Times New Roman" w:hAnsi="Times New Roman"/>
          <w:i/>
          <w:iCs/>
          <w:sz w:val="20"/>
          <w:szCs w:val="20"/>
        </w:rPr>
        <w:t>Materials Science and Engineer</w:t>
      </w:r>
      <w:r w:rsidRPr="00C70524">
        <w:rPr>
          <w:rFonts w:ascii="Times New Roman" w:hAnsi="Times New Roman"/>
          <w:i/>
          <w:iCs/>
          <w:sz w:val="20"/>
        </w:rPr>
        <w:t>ing C</w:t>
      </w:r>
      <w:r w:rsidRPr="00C70524">
        <w:rPr>
          <w:rFonts w:ascii="Times New Roman" w:hAnsi="Times New Roman"/>
          <w:sz w:val="20"/>
        </w:rPr>
        <w:t>, 71: 870–878.</w:t>
      </w:r>
    </w:p>
    <w:p w:rsidR="00953256" w:rsidRPr="00C70524" w:rsidRDefault="00953256" w:rsidP="00C70524">
      <w:pPr>
        <w:spacing w:after="0" w:line="240" w:lineRule="auto"/>
        <w:ind w:left="360"/>
        <w:jc w:val="both"/>
        <w:rPr>
          <w:rFonts w:ascii="Times New Roman" w:hAnsi="Times New Roman"/>
          <w:noProof/>
          <w:sz w:val="20"/>
          <w:szCs w:val="20"/>
        </w:rPr>
      </w:pPr>
    </w:p>
    <w:p w:rsidR="00B9303B" w:rsidRPr="00953256" w:rsidRDefault="00953256" w:rsidP="00953256">
      <w:pPr>
        <w:widowControl w:val="0"/>
        <w:autoSpaceDE w:val="0"/>
        <w:autoSpaceDN w:val="0"/>
        <w:adjustRightInd w:val="0"/>
        <w:spacing w:after="0" w:line="240" w:lineRule="auto"/>
        <w:ind w:left="360" w:hanging="360"/>
        <w:jc w:val="both"/>
        <w:rPr>
          <w:rFonts w:ascii="Times New Roman" w:hAnsi="Times New Roman"/>
          <w:noProof/>
          <w:sz w:val="20"/>
          <w:szCs w:val="24"/>
        </w:rPr>
      </w:pPr>
      <w:r w:rsidRPr="00953256">
        <w:rPr>
          <w:rFonts w:ascii="Times New Roman" w:hAnsi="Times New Roman"/>
          <w:sz w:val="20"/>
          <w:szCs w:val="20"/>
        </w:rPr>
        <w:fldChar w:fldCharType="end"/>
      </w:r>
    </w:p>
    <w:sectPr w:rsidR="00B9303B" w:rsidRPr="00953256" w:rsidSect="00C263A6">
      <w:headerReference w:type="even" r:id="rId19"/>
      <w:headerReference w:type="default" r:id="rId20"/>
      <w:footerReference w:type="even" r:id="rId21"/>
      <w:footerReference w:type="default" r:id="rId22"/>
      <w:pgSz w:w="12240" w:h="15840" w:code="1"/>
      <w:pgMar w:top="1800" w:right="1469" w:bottom="1699" w:left="1440" w:header="706" w:footer="706" w:gutter="0"/>
      <w:pgNumType w:start="40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3256" w:rsidRDefault="00953256" w:rsidP="00FB4C59">
      <w:pPr>
        <w:spacing w:after="0" w:line="240" w:lineRule="auto"/>
      </w:pPr>
      <w:r>
        <w:separator/>
      </w:r>
    </w:p>
  </w:endnote>
  <w:endnote w:type="continuationSeparator" w:id="0">
    <w:p w:rsidR="00953256" w:rsidRDefault="00953256"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56" w:rsidRPr="00B9303B" w:rsidRDefault="00953256" w:rsidP="00B9303B">
    <w:pPr>
      <w:pStyle w:val="Footer"/>
      <w:rPr>
        <w:rFonts w:ascii="Times New Roman" w:hAnsi="Times New Roman"/>
        <w:lang w:val="en-US"/>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4E0227">
      <w:rPr>
        <w:rFonts w:ascii="Times New Roman" w:hAnsi="Times New Roman"/>
        <w:noProof/>
      </w:rPr>
      <w:t>422</w:t>
    </w:r>
    <w:r w:rsidRPr="008B5904">
      <w:rPr>
        <w:rFonts w:ascii="Times New Roman" w:hAnsi="Times New Roman"/>
        <w:noProof/>
      </w:rPr>
      <w:fldChar w:fldCharType="end"/>
    </w:r>
  </w:p>
  <w:p w:rsidR="00953256" w:rsidRDefault="0095325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56" w:rsidRPr="00613B1C" w:rsidRDefault="00953256" w:rsidP="00613B1C">
    <w:pPr>
      <w:pStyle w:val="Footer"/>
      <w:jc w:val="right"/>
      <w:rPr>
        <w:rFonts w:ascii="Times New Roman" w:hAnsi="Times New Roman"/>
        <w:lang w:val="en-US"/>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4E0227">
      <w:rPr>
        <w:rFonts w:ascii="Times New Roman" w:hAnsi="Times New Roman"/>
        <w:noProof/>
      </w:rPr>
      <w:t>421</w:t>
    </w:r>
    <w:r w:rsidRPr="008B5904">
      <w:rPr>
        <w:rFonts w:ascii="Times New Roman" w:hAnsi="Times New Roman"/>
        <w:noProof/>
      </w:rPr>
      <w:fldChar w:fldCharType="end"/>
    </w:r>
  </w:p>
  <w:p w:rsidR="00953256" w:rsidRDefault="0095325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3256" w:rsidRDefault="00953256" w:rsidP="00FB4C59">
      <w:pPr>
        <w:spacing w:after="0" w:line="240" w:lineRule="auto"/>
      </w:pPr>
      <w:r>
        <w:separator/>
      </w:r>
    </w:p>
  </w:footnote>
  <w:footnote w:type="continuationSeparator" w:id="0">
    <w:p w:rsidR="00953256" w:rsidRDefault="00953256"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56" w:rsidRPr="006C5FBD" w:rsidRDefault="00953256" w:rsidP="006C5FBD">
    <w:pPr>
      <w:spacing w:after="0" w:line="240" w:lineRule="auto"/>
      <w:rPr>
        <w:rFonts w:ascii="Times New Roman" w:hAnsi="Times New Roman"/>
        <w:sz w:val="20"/>
        <w:szCs w:val="20"/>
      </w:rPr>
    </w:pPr>
    <w:r>
      <w:rPr>
        <w:rFonts w:ascii="Times New Roman" w:hAnsi="Times New Roman"/>
        <w:sz w:val="20"/>
        <w:szCs w:val="20"/>
      </w:rPr>
      <w:t>Yee et al</w:t>
    </w:r>
    <w:r w:rsidRPr="006C5FBD">
      <w:rPr>
        <w:rFonts w:ascii="Times New Roman" w:hAnsi="Times New Roman"/>
        <w:sz w:val="20"/>
        <w:szCs w:val="20"/>
      </w:rPr>
      <w:t>:   MAGNETITE GRAPHENE FOR ELECTROCHEMICAL DETERMINATION OF URIC ACID</w:t>
    </w:r>
  </w:p>
  <w:p w:rsidR="00953256" w:rsidRDefault="0095325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56" w:rsidRDefault="00953256" w:rsidP="006B72B0">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23</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(201</w:t>
    </w:r>
    <w:r>
      <w:rPr>
        <w:rFonts w:ascii="Times New Roman" w:hAnsi="Times New Roman"/>
        <w:i/>
        <w:lang w:val="en-US"/>
      </w:rPr>
      <w:t>9</w:t>
    </w:r>
    <w:r w:rsidRPr="00D75B35">
      <w:rPr>
        <w:rFonts w:ascii="Times New Roman" w:hAnsi="Times New Roman"/>
        <w:i/>
      </w:rPr>
      <w:t xml:space="preserve">): </w:t>
    </w:r>
    <w:r w:rsidR="00C263A6">
      <w:rPr>
        <w:rFonts w:ascii="Times New Roman" w:hAnsi="Times New Roman"/>
        <w:i/>
        <w:lang w:val="en-US"/>
      </w:rPr>
      <w:t>407 - 422</w:t>
    </w:r>
  </w:p>
  <w:p w:rsidR="00953256" w:rsidRPr="00613B1C" w:rsidRDefault="00953256" w:rsidP="00613B1C">
    <w:pPr>
      <w:pStyle w:val="Header"/>
      <w:jc w:val="right"/>
      <w:rPr>
        <w:rFonts w:ascii="Times New Roman" w:hAnsi="Times New Roman"/>
        <w:i/>
        <w:lang w:val="en-US"/>
      </w:rPr>
    </w:pPr>
    <w:r>
      <w:rPr>
        <w:rFonts w:ascii="Times New Roman" w:hAnsi="Times New Roman"/>
        <w:i/>
        <w:lang w:val="en-US"/>
      </w:rPr>
      <w:t>DOI: https://do</w:t>
    </w:r>
    <w:r w:rsidR="00C263A6">
      <w:rPr>
        <w:rFonts w:ascii="Times New Roman" w:hAnsi="Times New Roman"/>
        <w:i/>
        <w:lang w:val="en-US"/>
      </w:rPr>
      <w:t>i.org/10.17576/mjas-2019-2303-05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7408167D"/>
    <w:multiLevelType w:val="hybridMultilevel"/>
    <w:tmpl w:val="E18E8D9C"/>
    <w:lvl w:ilvl="0" w:tplc="5F36083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32789"/>
    <w:rsid w:val="0003330A"/>
    <w:rsid w:val="00067E6B"/>
    <w:rsid w:val="00070F31"/>
    <w:rsid w:val="00084936"/>
    <w:rsid w:val="000875CD"/>
    <w:rsid w:val="000C49FF"/>
    <w:rsid w:val="000D16A1"/>
    <w:rsid w:val="000D2B0C"/>
    <w:rsid w:val="000F1DE8"/>
    <w:rsid w:val="000F77DA"/>
    <w:rsid w:val="001068E8"/>
    <w:rsid w:val="001106D8"/>
    <w:rsid w:val="00117BCD"/>
    <w:rsid w:val="001D035A"/>
    <w:rsid w:val="001D3855"/>
    <w:rsid w:val="001D6F2C"/>
    <w:rsid w:val="001E1592"/>
    <w:rsid w:val="001F27E8"/>
    <w:rsid w:val="002656B8"/>
    <w:rsid w:val="00277498"/>
    <w:rsid w:val="0028007D"/>
    <w:rsid w:val="002860B7"/>
    <w:rsid w:val="00290F4D"/>
    <w:rsid w:val="002A2FC0"/>
    <w:rsid w:val="002B188F"/>
    <w:rsid w:val="002B3BD8"/>
    <w:rsid w:val="002F3F91"/>
    <w:rsid w:val="00304767"/>
    <w:rsid w:val="00304B34"/>
    <w:rsid w:val="00311C9B"/>
    <w:rsid w:val="00361BAF"/>
    <w:rsid w:val="00362FCE"/>
    <w:rsid w:val="00367D1F"/>
    <w:rsid w:val="003B6019"/>
    <w:rsid w:val="003D4CDD"/>
    <w:rsid w:val="003D585B"/>
    <w:rsid w:val="003E7DA6"/>
    <w:rsid w:val="003F12FF"/>
    <w:rsid w:val="00401EB9"/>
    <w:rsid w:val="0043729D"/>
    <w:rsid w:val="0047088F"/>
    <w:rsid w:val="004760D4"/>
    <w:rsid w:val="00494C46"/>
    <w:rsid w:val="004B43FF"/>
    <w:rsid w:val="004D7E25"/>
    <w:rsid w:val="004E0227"/>
    <w:rsid w:val="00502641"/>
    <w:rsid w:val="005C6768"/>
    <w:rsid w:val="005E4871"/>
    <w:rsid w:val="00601C8A"/>
    <w:rsid w:val="00613B1C"/>
    <w:rsid w:val="00623CB8"/>
    <w:rsid w:val="006257E5"/>
    <w:rsid w:val="00634C25"/>
    <w:rsid w:val="006416AB"/>
    <w:rsid w:val="0065447F"/>
    <w:rsid w:val="006768E9"/>
    <w:rsid w:val="00687982"/>
    <w:rsid w:val="0069647A"/>
    <w:rsid w:val="006B3EC8"/>
    <w:rsid w:val="006B72B0"/>
    <w:rsid w:val="006C5FBD"/>
    <w:rsid w:val="006D286E"/>
    <w:rsid w:val="006D695E"/>
    <w:rsid w:val="00725A6A"/>
    <w:rsid w:val="007943F3"/>
    <w:rsid w:val="007964D6"/>
    <w:rsid w:val="007A0583"/>
    <w:rsid w:val="007A738C"/>
    <w:rsid w:val="007B1349"/>
    <w:rsid w:val="007C28A9"/>
    <w:rsid w:val="007D45AC"/>
    <w:rsid w:val="007E25BD"/>
    <w:rsid w:val="00802C35"/>
    <w:rsid w:val="0082181A"/>
    <w:rsid w:val="00825624"/>
    <w:rsid w:val="0083587A"/>
    <w:rsid w:val="00883CC3"/>
    <w:rsid w:val="0089573D"/>
    <w:rsid w:val="008B470E"/>
    <w:rsid w:val="008B5904"/>
    <w:rsid w:val="008D29BF"/>
    <w:rsid w:val="008E1211"/>
    <w:rsid w:val="008E5BBF"/>
    <w:rsid w:val="008E6968"/>
    <w:rsid w:val="009211AF"/>
    <w:rsid w:val="009357B8"/>
    <w:rsid w:val="00953256"/>
    <w:rsid w:val="009866F6"/>
    <w:rsid w:val="009A066C"/>
    <w:rsid w:val="009D030D"/>
    <w:rsid w:val="00A14DB9"/>
    <w:rsid w:val="00A4762A"/>
    <w:rsid w:val="00A74A7E"/>
    <w:rsid w:val="00A91EFF"/>
    <w:rsid w:val="00AC0033"/>
    <w:rsid w:val="00AD1B8A"/>
    <w:rsid w:val="00AE713F"/>
    <w:rsid w:val="00AF2305"/>
    <w:rsid w:val="00AF2821"/>
    <w:rsid w:val="00B1121C"/>
    <w:rsid w:val="00B169E8"/>
    <w:rsid w:val="00B25B65"/>
    <w:rsid w:val="00B2770A"/>
    <w:rsid w:val="00B314AD"/>
    <w:rsid w:val="00B64F4F"/>
    <w:rsid w:val="00B75BF6"/>
    <w:rsid w:val="00B7735A"/>
    <w:rsid w:val="00B91DE7"/>
    <w:rsid w:val="00B9303B"/>
    <w:rsid w:val="00B97650"/>
    <w:rsid w:val="00BA1595"/>
    <w:rsid w:val="00BA1F7B"/>
    <w:rsid w:val="00BA7D4B"/>
    <w:rsid w:val="00BB58AF"/>
    <w:rsid w:val="00BE7C30"/>
    <w:rsid w:val="00C055BF"/>
    <w:rsid w:val="00C2226A"/>
    <w:rsid w:val="00C234BA"/>
    <w:rsid w:val="00C263A6"/>
    <w:rsid w:val="00C455FA"/>
    <w:rsid w:val="00C70524"/>
    <w:rsid w:val="00C75ADB"/>
    <w:rsid w:val="00C94D92"/>
    <w:rsid w:val="00C97340"/>
    <w:rsid w:val="00CA209F"/>
    <w:rsid w:val="00CA513F"/>
    <w:rsid w:val="00CB3AA6"/>
    <w:rsid w:val="00CC20C2"/>
    <w:rsid w:val="00CC2250"/>
    <w:rsid w:val="00CF05FF"/>
    <w:rsid w:val="00D340BB"/>
    <w:rsid w:val="00D505D5"/>
    <w:rsid w:val="00D75B35"/>
    <w:rsid w:val="00D76E09"/>
    <w:rsid w:val="00D9736F"/>
    <w:rsid w:val="00D9792A"/>
    <w:rsid w:val="00DD377F"/>
    <w:rsid w:val="00E16130"/>
    <w:rsid w:val="00E25547"/>
    <w:rsid w:val="00E3287E"/>
    <w:rsid w:val="00E54D12"/>
    <w:rsid w:val="00E66197"/>
    <w:rsid w:val="00F31093"/>
    <w:rsid w:val="00F329CE"/>
    <w:rsid w:val="00F412AF"/>
    <w:rsid w:val="00F43667"/>
    <w:rsid w:val="00F447A7"/>
    <w:rsid w:val="00F4760B"/>
    <w:rsid w:val="00FB4C59"/>
    <w:rsid w:val="00FB6730"/>
    <w:rsid w:val="00FE0572"/>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table" w:customStyle="1" w:styleId="ListTable6Colorful1">
    <w:name w:val="List Table 6 Colorful1"/>
    <w:basedOn w:val="TableNormal"/>
    <w:uiPriority w:val="51"/>
    <w:rsid w:val="002656B8"/>
    <w:rPr>
      <w:rFonts w:asciiTheme="minorHAnsi" w:eastAsiaTheme="minorEastAsia" w:hAnsiTheme="minorHAnsi" w:cstheme="minorBidi"/>
      <w:color w:val="000000" w:themeColor="text1"/>
      <w:sz w:val="22"/>
      <w:szCs w:val="22"/>
      <w:lang w:eastAsia="zh-CN"/>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qFormat/>
    <w:rsid w:val="00CC2250"/>
    <w:rPr>
      <w:rFonts w:asciiTheme="minorHAnsi" w:eastAsiaTheme="minorHAnsi" w:hAnsiTheme="minorHAnsi" w:cstheme="minorBidi"/>
      <w:sz w:val="22"/>
      <w:szCs w:val="22"/>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table" w:customStyle="1" w:styleId="ListTable6Colorful1">
    <w:name w:val="List Table 6 Colorful1"/>
    <w:basedOn w:val="TableNormal"/>
    <w:uiPriority w:val="51"/>
    <w:rsid w:val="002656B8"/>
    <w:rPr>
      <w:rFonts w:asciiTheme="minorHAnsi" w:eastAsiaTheme="minorEastAsia" w:hAnsiTheme="minorHAnsi" w:cstheme="minorBidi"/>
      <w:color w:val="000000" w:themeColor="text1"/>
      <w:sz w:val="22"/>
      <w:szCs w:val="22"/>
      <w:lang w:eastAsia="zh-CN"/>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qFormat/>
    <w:rsid w:val="00CC2250"/>
    <w:rPr>
      <w:rFonts w:asciiTheme="minorHAnsi" w:eastAsiaTheme="minorHAnsi" w:hAnsiTheme="minorHAnsi" w:cstheme="minorBidi"/>
      <w:sz w:val="22"/>
      <w:szCs w:val="22"/>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645BF-C0AD-4EF0-84F3-AE745C8B5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16</Pages>
  <Words>7053</Words>
  <Characters>40151</Characters>
  <Application>Microsoft Office Word</Application>
  <DocSecurity>0</DocSecurity>
  <Lines>742</Lines>
  <Paragraphs>304</Paragraphs>
  <ScaleCrop>false</ScaleCrop>
  <HeadingPairs>
    <vt:vector size="2" baseType="variant">
      <vt:variant>
        <vt:lpstr>Title</vt:lpstr>
      </vt:variant>
      <vt:variant>
        <vt:i4>1</vt:i4>
      </vt:variant>
    </vt:vector>
  </HeadingPairs>
  <TitlesOfParts>
    <vt:vector size="1" baseType="lpstr">
      <vt:lpstr>MJAS Vol 23 No 3 (2019)</vt:lpstr>
    </vt:vector>
  </TitlesOfParts>
  <Company>UKM</Company>
  <LinksUpToDate>false</LinksUpToDate>
  <CharactersWithSpaces>47038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23 No 3 (2019)</dc:title>
  <dc:creator>Harun Hj Hamzah</dc:creator>
  <cp:lastModifiedBy>Harun Hamzah</cp:lastModifiedBy>
  <cp:revision>17</cp:revision>
  <cp:lastPrinted>2019-06-18T08:01:00Z</cp:lastPrinted>
  <dcterms:created xsi:type="dcterms:W3CDTF">2019-05-30T10:58:00Z</dcterms:created>
  <dcterms:modified xsi:type="dcterms:W3CDTF">2019-06-18T08:01:00Z</dcterms:modified>
</cp:coreProperties>
</file>