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441F60" w:rsidRPr="00BB3D92" w:rsidRDefault="00441F60" w:rsidP="00441F60">
      <w:pPr>
        <w:pStyle w:val="NoSpacing"/>
        <w:jc w:val="center"/>
        <w:rPr>
          <w:rFonts w:ascii="Times New Roman" w:hAnsi="Times New Roman"/>
          <w:bCs/>
          <w:caps/>
          <w:sz w:val="28"/>
          <w:szCs w:val="28"/>
          <w:lang w:val="en-GB"/>
        </w:rPr>
      </w:pPr>
      <w:r w:rsidRPr="00BB3D92">
        <w:rPr>
          <w:rFonts w:ascii="Times New Roman" w:hAnsi="Times New Roman"/>
          <w:bCs/>
          <w:caps/>
          <w:sz w:val="28"/>
          <w:szCs w:val="28"/>
          <w:lang w:val="en-GB"/>
        </w:rPr>
        <w:t xml:space="preserve">Nutrient Distribution in the </w:t>
      </w:r>
      <w:r>
        <w:rPr>
          <w:rFonts w:ascii="Times New Roman" w:hAnsi="Times New Roman"/>
          <w:bCs/>
          <w:caps/>
          <w:sz w:val="28"/>
          <w:szCs w:val="28"/>
          <w:lang w:val="en-GB"/>
        </w:rPr>
        <w:t xml:space="preserve">Besut River Basin, </w:t>
      </w:r>
      <w:r w:rsidRPr="00BB3D92">
        <w:rPr>
          <w:rFonts w:ascii="Times New Roman" w:hAnsi="Times New Roman"/>
          <w:bCs/>
          <w:caps/>
          <w:sz w:val="28"/>
          <w:szCs w:val="28"/>
          <w:lang w:val="en-GB"/>
        </w:rPr>
        <w:t>Terengganu, Malaysia (SOUTH CHINA SEA)</w:t>
      </w:r>
    </w:p>
    <w:p w:rsidR="00441F60" w:rsidRPr="005D0552" w:rsidRDefault="00441F60" w:rsidP="00441F60">
      <w:pPr>
        <w:pStyle w:val="NoSpacing"/>
        <w:jc w:val="center"/>
        <w:rPr>
          <w:rFonts w:ascii="Times New Roman" w:hAnsi="Times New Roman"/>
          <w:b/>
          <w:bCs/>
          <w:caps/>
          <w:sz w:val="24"/>
          <w:szCs w:val="24"/>
          <w:lang w:val="en-GB"/>
        </w:rPr>
      </w:pPr>
    </w:p>
    <w:p w:rsidR="00441F60" w:rsidRPr="00BB3D92" w:rsidRDefault="00441F60" w:rsidP="00441F60">
      <w:pPr>
        <w:pStyle w:val="NoSpacing"/>
        <w:jc w:val="center"/>
        <w:rPr>
          <w:rFonts w:ascii="Times New Roman" w:hAnsi="Times New Roman"/>
          <w:sz w:val="24"/>
          <w:szCs w:val="24"/>
          <w:lang w:val="en-GB"/>
        </w:rPr>
      </w:pPr>
      <w:r w:rsidRPr="00BB3D92">
        <w:rPr>
          <w:rFonts w:ascii="Times New Roman" w:hAnsi="Times New Roman"/>
          <w:bCs/>
          <w:caps/>
          <w:sz w:val="24"/>
          <w:szCs w:val="24"/>
          <w:lang w:val="en-GB"/>
        </w:rPr>
        <w:t>(T</w:t>
      </w:r>
      <w:r w:rsidRPr="00BB3D92">
        <w:rPr>
          <w:rFonts w:ascii="Times New Roman" w:hAnsi="Times New Roman"/>
          <w:bCs/>
          <w:sz w:val="24"/>
          <w:szCs w:val="24"/>
          <w:lang w:val="en-GB"/>
        </w:rPr>
        <w:t>aburan Nutrien di Lembangan Sungai Besut, Terengganu, Malaysia (Laut China Selatan))</w:t>
      </w:r>
    </w:p>
    <w:p w:rsidR="00441F60" w:rsidRPr="00BB3D92" w:rsidRDefault="00441F60" w:rsidP="00441F60">
      <w:pPr>
        <w:pStyle w:val="NoSpacing"/>
        <w:jc w:val="center"/>
        <w:rPr>
          <w:rFonts w:ascii="Times New Roman" w:hAnsi="Times New Roman"/>
          <w:sz w:val="20"/>
          <w:szCs w:val="20"/>
          <w:lang w:val="en-GB"/>
        </w:rPr>
      </w:pPr>
    </w:p>
    <w:p w:rsidR="00441F60" w:rsidRPr="00BB3D92" w:rsidRDefault="00441F60" w:rsidP="00441F60">
      <w:pPr>
        <w:pStyle w:val="NoSpacing"/>
        <w:jc w:val="center"/>
        <w:rPr>
          <w:rFonts w:ascii="Times New Roman" w:hAnsi="Times New Roman"/>
          <w:sz w:val="20"/>
          <w:szCs w:val="20"/>
          <w:lang w:val="en-GB"/>
        </w:rPr>
      </w:pPr>
      <w:r w:rsidRPr="00BB3D92">
        <w:rPr>
          <w:rFonts w:ascii="Times New Roman" w:hAnsi="Times New Roman"/>
          <w:sz w:val="20"/>
          <w:szCs w:val="20"/>
          <w:lang w:val="en-GB"/>
        </w:rPr>
        <w:t>Suhaimi Suratman</w:t>
      </w:r>
      <w:r w:rsidRPr="00BB3D92">
        <w:rPr>
          <w:rFonts w:ascii="Times New Roman" w:hAnsi="Times New Roman"/>
          <w:sz w:val="20"/>
          <w:szCs w:val="20"/>
          <w:vertAlign w:val="superscript"/>
          <w:lang w:val="en-GB"/>
        </w:rPr>
        <w:t>1,2</w:t>
      </w:r>
      <w:r w:rsidRPr="005D0552">
        <w:rPr>
          <w:rFonts w:ascii="Times New Roman" w:hAnsi="Times New Roman"/>
          <w:sz w:val="20"/>
          <w:szCs w:val="20"/>
          <w:lang w:val="en-GB"/>
        </w:rPr>
        <w:t>*</w:t>
      </w:r>
      <w:r w:rsidRPr="00BB3D92">
        <w:rPr>
          <w:rFonts w:ascii="Times New Roman" w:hAnsi="Times New Roman"/>
          <w:sz w:val="20"/>
          <w:szCs w:val="20"/>
          <w:lang w:val="en-GB"/>
        </w:rPr>
        <w:t>, Azyyati Abdul Aziz</w:t>
      </w:r>
      <w:r w:rsidRPr="00BB3D92">
        <w:rPr>
          <w:rFonts w:ascii="Times New Roman" w:hAnsi="Times New Roman"/>
          <w:sz w:val="20"/>
          <w:szCs w:val="20"/>
          <w:vertAlign w:val="superscript"/>
          <w:lang w:val="en-GB"/>
        </w:rPr>
        <w:t>1</w:t>
      </w:r>
      <w:r w:rsidRPr="00BB3D92">
        <w:rPr>
          <w:rFonts w:ascii="Times New Roman" w:hAnsi="Times New Roman"/>
          <w:sz w:val="20"/>
          <w:szCs w:val="20"/>
          <w:lang w:val="en-GB"/>
        </w:rPr>
        <w:t>, Tan Hock Seng</w:t>
      </w:r>
      <w:r w:rsidRPr="00BB3D92">
        <w:rPr>
          <w:rFonts w:ascii="Times New Roman" w:hAnsi="Times New Roman"/>
          <w:sz w:val="20"/>
          <w:szCs w:val="20"/>
          <w:vertAlign w:val="superscript"/>
          <w:lang w:val="en-GB"/>
        </w:rPr>
        <w:t>1</w:t>
      </w:r>
      <w:r w:rsidRPr="00BB3D92">
        <w:rPr>
          <w:rFonts w:ascii="Times New Roman" w:hAnsi="Times New Roman"/>
          <w:sz w:val="20"/>
          <w:szCs w:val="20"/>
          <w:lang w:val="en-GB"/>
        </w:rPr>
        <w:t>, Hee Yet Yin</w:t>
      </w:r>
      <w:r w:rsidRPr="00BB3D92">
        <w:rPr>
          <w:rFonts w:ascii="Times New Roman" w:hAnsi="Times New Roman"/>
          <w:sz w:val="20"/>
          <w:szCs w:val="20"/>
          <w:vertAlign w:val="superscript"/>
          <w:lang w:val="en-GB"/>
        </w:rPr>
        <w:t>1</w:t>
      </w:r>
      <w:r w:rsidRPr="00BB3D92">
        <w:rPr>
          <w:rFonts w:ascii="Times New Roman" w:hAnsi="Times New Roman"/>
          <w:sz w:val="20"/>
          <w:szCs w:val="20"/>
          <w:lang w:val="en-GB"/>
        </w:rPr>
        <w:t>, Fatin Adlina Md Nasir</w:t>
      </w:r>
      <w:r w:rsidRPr="00BB3D92">
        <w:rPr>
          <w:rFonts w:ascii="Times New Roman" w:hAnsi="Times New Roman"/>
          <w:sz w:val="20"/>
          <w:szCs w:val="20"/>
          <w:vertAlign w:val="superscript"/>
          <w:lang w:val="en-GB"/>
        </w:rPr>
        <w:t>1</w:t>
      </w:r>
      <w:r w:rsidRPr="00BB3D92">
        <w:rPr>
          <w:rFonts w:ascii="Times New Roman" w:hAnsi="Times New Roman"/>
          <w:sz w:val="20"/>
          <w:szCs w:val="20"/>
          <w:lang w:val="en-GB"/>
        </w:rPr>
        <w:t>,</w:t>
      </w:r>
    </w:p>
    <w:p w:rsidR="00441F60" w:rsidRPr="00BB3D92" w:rsidRDefault="00441F60" w:rsidP="00441F60">
      <w:pPr>
        <w:pStyle w:val="NoSpacing"/>
        <w:jc w:val="center"/>
        <w:rPr>
          <w:rFonts w:ascii="Times New Roman" w:hAnsi="Times New Roman"/>
          <w:sz w:val="20"/>
          <w:szCs w:val="20"/>
          <w:lang w:val="en-GB"/>
        </w:rPr>
      </w:pPr>
      <w:r w:rsidRPr="00BB3D92">
        <w:rPr>
          <w:rFonts w:ascii="Times New Roman" w:hAnsi="Times New Roman"/>
          <w:sz w:val="20"/>
          <w:szCs w:val="20"/>
          <w:lang w:val="en-GB"/>
        </w:rPr>
        <w:t>Dung Quang Le</w:t>
      </w:r>
      <w:r w:rsidRPr="00BB3D92">
        <w:rPr>
          <w:rFonts w:ascii="Times New Roman" w:hAnsi="Times New Roman"/>
          <w:sz w:val="20"/>
          <w:szCs w:val="20"/>
          <w:vertAlign w:val="superscript"/>
          <w:lang w:val="en-GB"/>
        </w:rPr>
        <w:t>3</w:t>
      </w:r>
      <w:r w:rsidRPr="00BB3D92">
        <w:rPr>
          <w:rFonts w:ascii="Times New Roman" w:hAnsi="Times New Roman"/>
          <w:sz w:val="20"/>
          <w:szCs w:val="20"/>
          <w:lang w:val="en-GB"/>
        </w:rPr>
        <w:t>, Norhayati Mohd Tahir</w:t>
      </w:r>
      <w:r w:rsidRPr="00BB3D92">
        <w:rPr>
          <w:rFonts w:ascii="Times New Roman" w:hAnsi="Times New Roman"/>
          <w:sz w:val="20"/>
          <w:szCs w:val="20"/>
          <w:vertAlign w:val="superscript"/>
          <w:lang w:val="en-GB"/>
        </w:rPr>
        <w:t>1</w:t>
      </w:r>
    </w:p>
    <w:p w:rsidR="00441F60" w:rsidRPr="005D0552" w:rsidRDefault="00441F60" w:rsidP="00441F60">
      <w:pPr>
        <w:pStyle w:val="NoSpacing"/>
        <w:jc w:val="center"/>
        <w:rPr>
          <w:rFonts w:ascii="Times New Roman" w:hAnsi="Times New Roman"/>
          <w:sz w:val="18"/>
          <w:szCs w:val="18"/>
          <w:lang w:val="en-GB"/>
        </w:rPr>
      </w:pPr>
    </w:p>
    <w:p w:rsidR="00441F60" w:rsidRPr="005D0552" w:rsidRDefault="00441F60" w:rsidP="00441F60">
      <w:pPr>
        <w:spacing w:after="0" w:line="240" w:lineRule="auto"/>
        <w:jc w:val="center"/>
        <w:rPr>
          <w:rFonts w:ascii="Times New Roman" w:hAnsi="Times New Roman"/>
          <w:i/>
          <w:sz w:val="18"/>
          <w:szCs w:val="18"/>
        </w:rPr>
      </w:pPr>
      <w:r w:rsidRPr="005D0552">
        <w:rPr>
          <w:rFonts w:ascii="Times New Roman" w:hAnsi="Times New Roman"/>
          <w:i/>
          <w:sz w:val="18"/>
          <w:szCs w:val="18"/>
          <w:vertAlign w:val="superscript"/>
        </w:rPr>
        <w:t>1</w:t>
      </w:r>
      <w:r w:rsidRPr="005D0552">
        <w:rPr>
          <w:rFonts w:ascii="Times New Roman" w:hAnsi="Times New Roman"/>
          <w:i/>
          <w:sz w:val="18"/>
          <w:szCs w:val="18"/>
        </w:rPr>
        <w:t xml:space="preserve">Institute </w:t>
      </w:r>
      <w:r>
        <w:rPr>
          <w:rFonts w:ascii="Times New Roman" w:hAnsi="Times New Roman"/>
          <w:i/>
          <w:sz w:val="18"/>
          <w:szCs w:val="18"/>
        </w:rPr>
        <w:t>of Oceanography and Environment</w:t>
      </w:r>
    </w:p>
    <w:p w:rsidR="00441F60" w:rsidRPr="005D0552" w:rsidRDefault="00441F60" w:rsidP="00441F60">
      <w:pPr>
        <w:spacing w:after="0" w:line="240" w:lineRule="auto"/>
        <w:jc w:val="center"/>
        <w:rPr>
          <w:rFonts w:ascii="Times New Roman" w:hAnsi="Times New Roman"/>
          <w:i/>
          <w:sz w:val="18"/>
          <w:szCs w:val="18"/>
        </w:rPr>
      </w:pPr>
      <w:r w:rsidRPr="005D0552">
        <w:rPr>
          <w:rFonts w:ascii="Times New Roman" w:hAnsi="Times New Roman"/>
          <w:i/>
          <w:sz w:val="18"/>
          <w:szCs w:val="18"/>
          <w:vertAlign w:val="superscript"/>
        </w:rPr>
        <w:t>2</w:t>
      </w:r>
      <w:r w:rsidRPr="005D0552">
        <w:rPr>
          <w:rFonts w:ascii="Times New Roman" w:hAnsi="Times New Roman"/>
          <w:i/>
          <w:sz w:val="18"/>
          <w:szCs w:val="18"/>
        </w:rPr>
        <w:t xml:space="preserve">Institute </w:t>
      </w:r>
      <w:r w:rsidRPr="005D0552">
        <w:rPr>
          <w:rFonts w:ascii="Times New Roman" w:eastAsia="Calibri" w:hAnsi="Times New Roman"/>
          <w:i/>
          <w:sz w:val="18"/>
          <w:szCs w:val="18"/>
          <w:lang w:val="en-MY"/>
        </w:rPr>
        <w:t>of Tropical Biodiversity and Sustainable Development</w:t>
      </w:r>
    </w:p>
    <w:p w:rsidR="00441F60" w:rsidRPr="005D0552" w:rsidRDefault="00441F60" w:rsidP="00441F60">
      <w:pPr>
        <w:spacing w:after="0" w:line="240" w:lineRule="auto"/>
        <w:jc w:val="center"/>
        <w:rPr>
          <w:rFonts w:ascii="Times New Roman" w:hAnsi="Times New Roman"/>
          <w:i/>
          <w:sz w:val="18"/>
          <w:szCs w:val="18"/>
        </w:rPr>
      </w:pPr>
      <w:r w:rsidRPr="005D0552">
        <w:rPr>
          <w:rFonts w:ascii="Times New Roman" w:hAnsi="Times New Roman"/>
          <w:i/>
          <w:sz w:val="18"/>
          <w:szCs w:val="18"/>
          <w:lang w:val="ms-MY"/>
        </w:rPr>
        <w:t>Universiti Malaysia Terengganu, 21030 Kuala Nerus, Terengganu, Malaysia</w:t>
      </w:r>
    </w:p>
    <w:p w:rsidR="00441F60" w:rsidRPr="005D0552" w:rsidRDefault="00441F60" w:rsidP="00441F60">
      <w:pPr>
        <w:spacing w:after="0" w:line="240" w:lineRule="auto"/>
        <w:jc w:val="center"/>
        <w:rPr>
          <w:rFonts w:ascii="Times New Roman" w:hAnsi="Times New Roman"/>
          <w:i/>
          <w:sz w:val="18"/>
          <w:szCs w:val="18"/>
        </w:rPr>
      </w:pPr>
      <w:r w:rsidRPr="005D0552">
        <w:rPr>
          <w:rFonts w:ascii="Times New Roman" w:hAnsi="Times New Roman"/>
          <w:i/>
          <w:sz w:val="18"/>
          <w:szCs w:val="18"/>
          <w:vertAlign w:val="superscript"/>
        </w:rPr>
        <w:t>3</w:t>
      </w:r>
      <w:r w:rsidRPr="005D0552">
        <w:rPr>
          <w:rFonts w:ascii="Times New Roman" w:hAnsi="Times New Roman"/>
          <w:i/>
          <w:sz w:val="18"/>
          <w:szCs w:val="18"/>
        </w:rPr>
        <w:t>PETRONAS Twin Towers,</w:t>
      </w:r>
    </w:p>
    <w:p w:rsidR="00441F60" w:rsidRPr="005D0552" w:rsidRDefault="00441F60" w:rsidP="00441F60">
      <w:pPr>
        <w:spacing w:after="0" w:line="240" w:lineRule="auto"/>
        <w:jc w:val="center"/>
        <w:rPr>
          <w:rFonts w:ascii="Times New Roman" w:hAnsi="Times New Roman"/>
          <w:i/>
          <w:sz w:val="18"/>
          <w:szCs w:val="18"/>
        </w:rPr>
      </w:pPr>
      <w:r w:rsidRPr="005D0552">
        <w:rPr>
          <w:rFonts w:ascii="Times New Roman" w:hAnsi="Times New Roman"/>
          <w:i/>
          <w:sz w:val="18"/>
          <w:szCs w:val="18"/>
        </w:rPr>
        <w:t>Kuala Lumpur City Centre, 50088 Kuala Lumpur, Malaysia</w:t>
      </w:r>
    </w:p>
    <w:p w:rsidR="00441F60" w:rsidRPr="005D0552" w:rsidRDefault="00441F60" w:rsidP="00441F60">
      <w:pPr>
        <w:spacing w:after="0" w:line="240" w:lineRule="auto"/>
        <w:jc w:val="center"/>
        <w:rPr>
          <w:rFonts w:ascii="Times New Roman" w:hAnsi="Times New Roman"/>
          <w:b/>
          <w:sz w:val="18"/>
          <w:szCs w:val="18"/>
        </w:rPr>
      </w:pPr>
    </w:p>
    <w:p w:rsidR="00441F60" w:rsidRPr="005D0552" w:rsidRDefault="00441F60" w:rsidP="00441F60">
      <w:pPr>
        <w:pStyle w:val="NoSpacing"/>
        <w:jc w:val="center"/>
        <w:rPr>
          <w:rFonts w:ascii="Times New Roman" w:hAnsi="Times New Roman"/>
          <w:i/>
          <w:sz w:val="18"/>
          <w:szCs w:val="18"/>
          <w:lang w:val="en-GB"/>
        </w:rPr>
      </w:pPr>
      <w:r w:rsidRPr="005D0552">
        <w:rPr>
          <w:rFonts w:ascii="Times New Roman" w:hAnsi="Times New Roman"/>
          <w:i/>
          <w:sz w:val="18"/>
          <w:szCs w:val="18"/>
          <w:lang w:val="en-GB"/>
        </w:rPr>
        <w:t xml:space="preserve">*Corresponding author: </w:t>
      </w:r>
      <w:r>
        <w:rPr>
          <w:rFonts w:ascii="Times New Roman" w:hAnsi="Times New Roman"/>
          <w:i/>
          <w:sz w:val="18"/>
          <w:szCs w:val="18"/>
          <w:lang w:val="en-GB"/>
        </w:rPr>
        <w:t xml:space="preserve"> </w:t>
      </w:r>
      <w:r w:rsidRPr="005D0552">
        <w:rPr>
          <w:rFonts w:ascii="Times New Roman" w:hAnsi="Times New Roman"/>
          <w:i/>
          <w:sz w:val="18"/>
          <w:szCs w:val="18"/>
          <w:lang w:val="en-GB"/>
        </w:rPr>
        <w:t>miman@umt.edu.my</w:t>
      </w:r>
    </w:p>
    <w:p w:rsidR="00441F60" w:rsidRPr="00F447A7" w:rsidRDefault="00441F60" w:rsidP="00441F60">
      <w:pPr>
        <w:spacing w:after="0" w:line="240" w:lineRule="auto"/>
        <w:jc w:val="center"/>
        <w:rPr>
          <w:rFonts w:ascii="Times New Roman" w:hAnsi="Times New Roman"/>
          <w:noProof/>
          <w:sz w:val="18"/>
          <w:szCs w:val="18"/>
          <w:lang w:bidi="ar-SA"/>
        </w:rPr>
      </w:pPr>
    </w:p>
    <w:p w:rsidR="00441F60" w:rsidRDefault="00441F60" w:rsidP="00441F60">
      <w:pPr>
        <w:spacing w:after="0" w:line="240" w:lineRule="auto"/>
        <w:jc w:val="center"/>
        <w:rPr>
          <w:rFonts w:ascii="Times New Roman" w:hAnsi="Times New Roman"/>
          <w:noProof/>
          <w:sz w:val="18"/>
          <w:szCs w:val="18"/>
          <w:lang w:bidi="ar-SA"/>
        </w:rPr>
      </w:pPr>
    </w:p>
    <w:p w:rsidR="00441F60" w:rsidRDefault="00441F60" w:rsidP="00441F60">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19 August 2018; Accepted: 11 May 2019</w:t>
      </w:r>
    </w:p>
    <w:p w:rsidR="00441F60" w:rsidRDefault="00441F60" w:rsidP="00441F60">
      <w:pPr>
        <w:spacing w:after="0" w:line="240" w:lineRule="auto"/>
        <w:jc w:val="center"/>
        <w:rPr>
          <w:rFonts w:ascii="Times New Roman" w:hAnsi="Times New Roman"/>
          <w:noProof/>
          <w:sz w:val="18"/>
          <w:szCs w:val="18"/>
          <w:lang w:bidi="ar-SA"/>
        </w:rPr>
      </w:pPr>
    </w:p>
    <w:p w:rsidR="00441F60" w:rsidRPr="00F447A7" w:rsidRDefault="00441F60" w:rsidP="00441F60">
      <w:pPr>
        <w:spacing w:after="0" w:line="240" w:lineRule="auto"/>
        <w:jc w:val="center"/>
        <w:rPr>
          <w:rFonts w:ascii="Times New Roman" w:hAnsi="Times New Roman"/>
          <w:noProof/>
          <w:sz w:val="18"/>
          <w:szCs w:val="18"/>
          <w:lang w:bidi="ar-SA"/>
        </w:rPr>
      </w:pPr>
    </w:p>
    <w:p w:rsidR="00441F60" w:rsidRPr="00F447A7" w:rsidRDefault="00441F60" w:rsidP="00441F60">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41F60" w:rsidRPr="00BB3D92" w:rsidRDefault="00441F60" w:rsidP="00441F60">
      <w:pPr>
        <w:pStyle w:val="BodyText"/>
        <w:rPr>
          <w:bCs/>
          <w:szCs w:val="20"/>
        </w:rPr>
      </w:pPr>
      <w:r w:rsidRPr="00BB3D92">
        <w:rPr>
          <w:bCs/>
          <w:szCs w:val="20"/>
        </w:rPr>
        <w:t>The aim of this study was to determine the distribution of nitrogen (N)- and phosphorus (P)-based nutrients in the Besut River basin, Malaysia (</w:t>
      </w:r>
      <w:r w:rsidRPr="00BB3D92">
        <w:rPr>
          <w:szCs w:val="20"/>
        </w:rPr>
        <w:t>South China Sea</w:t>
      </w:r>
      <w:r w:rsidRPr="00BB3D92">
        <w:rPr>
          <w:bCs/>
          <w:szCs w:val="20"/>
        </w:rPr>
        <w:t>). The mean concentrations of ammonia, nitrate, total dissolved N and total particulate N were 43 µg/L N, 195 µg/L N, 485 µg/L N, 431 µg/L N, respectively. In contrast to N, lower mean concentrations of P were recorded with values of 2.30 µg/L P (dissolved inorganic P), 4.84 µg/L P (total dissolved P) and 8.35 µg/L P (total particulate P). In general, higher concentrations of nutrients were recorded in the middle and lower reaches of the river basin due to human activities. Elevated levels of both forms of nutrients were present during the wet season due to terrestrial run-off to the water column. The molar ratio of dissolved inorganic N:P (nitrate + ammonia: inorganic P) was extremely high (72:1), much higher than the Redfield ratio (16:1), suggesting the nutrient-limiting factor for phytoplankton growth in this river basin was P. The results from this study can be used as a baseline comparison for future monitoring of this river basin.</w:t>
      </w:r>
    </w:p>
    <w:p w:rsidR="00441F60" w:rsidRPr="00BB3D92" w:rsidRDefault="00441F60" w:rsidP="00441F60">
      <w:pPr>
        <w:pStyle w:val="BodyText"/>
        <w:rPr>
          <w:bCs/>
          <w:szCs w:val="20"/>
        </w:rPr>
      </w:pPr>
    </w:p>
    <w:p w:rsidR="00441F60" w:rsidRPr="00BB3D92" w:rsidRDefault="00441F60" w:rsidP="00441F60">
      <w:pPr>
        <w:spacing w:after="0" w:line="240" w:lineRule="auto"/>
        <w:jc w:val="both"/>
        <w:rPr>
          <w:rFonts w:ascii="Times New Roman" w:hAnsi="Times New Roman"/>
          <w:iCs/>
          <w:sz w:val="18"/>
          <w:szCs w:val="20"/>
        </w:rPr>
      </w:pPr>
      <w:r w:rsidRPr="00BB3D92">
        <w:rPr>
          <w:rFonts w:ascii="Times New Roman" w:hAnsi="Times New Roman"/>
          <w:b/>
          <w:iCs/>
          <w:sz w:val="18"/>
          <w:szCs w:val="20"/>
        </w:rPr>
        <w:t>Keywords:</w:t>
      </w:r>
      <w:r w:rsidRPr="00BB3D92">
        <w:rPr>
          <w:rFonts w:ascii="Times New Roman" w:hAnsi="Times New Roman"/>
          <w:iCs/>
          <w:sz w:val="18"/>
          <w:szCs w:val="20"/>
        </w:rPr>
        <w:t xml:space="preserve"> </w:t>
      </w:r>
      <w:r>
        <w:rPr>
          <w:rFonts w:ascii="Times New Roman" w:hAnsi="Times New Roman"/>
          <w:iCs/>
          <w:sz w:val="18"/>
          <w:szCs w:val="20"/>
        </w:rPr>
        <w:t xml:space="preserve"> </w:t>
      </w:r>
      <w:r w:rsidRPr="00BB3D92">
        <w:rPr>
          <w:rFonts w:ascii="Times New Roman" w:hAnsi="Times New Roman"/>
          <w:iCs/>
          <w:sz w:val="18"/>
          <w:szCs w:val="20"/>
        </w:rPr>
        <w:t>surface water, nutrients, N:P ratio, Besut River basin</w:t>
      </w:r>
    </w:p>
    <w:p w:rsidR="00441F60" w:rsidRPr="00BB3D92" w:rsidRDefault="00441F60" w:rsidP="00441F60">
      <w:pPr>
        <w:spacing w:after="0" w:line="240" w:lineRule="auto"/>
        <w:jc w:val="center"/>
        <w:rPr>
          <w:rFonts w:ascii="Times New Roman" w:hAnsi="Times New Roman"/>
          <w:sz w:val="20"/>
          <w:szCs w:val="20"/>
        </w:rPr>
      </w:pPr>
    </w:p>
    <w:p w:rsidR="00441F60" w:rsidRPr="00BB3D92" w:rsidRDefault="00441F60" w:rsidP="00441F60">
      <w:pPr>
        <w:spacing w:after="0" w:line="240" w:lineRule="auto"/>
        <w:jc w:val="center"/>
        <w:rPr>
          <w:rFonts w:ascii="Times New Roman" w:hAnsi="Times New Roman"/>
          <w:b/>
          <w:sz w:val="18"/>
          <w:szCs w:val="20"/>
        </w:rPr>
      </w:pPr>
      <w:r w:rsidRPr="00BB3D92">
        <w:rPr>
          <w:rFonts w:ascii="Times New Roman" w:hAnsi="Times New Roman"/>
          <w:b/>
          <w:sz w:val="18"/>
          <w:szCs w:val="20"/>
        </w:rPr>
        <w:t>Abstrak</w:t>
      </w:r>
    </w:p>
    <w:p w:rsidR="00441F60" w:rsidRPr="00BB3D92" w:rsidRDefault="00441F60" w:rsidP="00441F60">
      <w:pPr>
        <w:spacing w:after="0" w:line="240" w:lineRule="auto"/>
        <w:jc w:val="both"/>
        <w:rPr>
          <w:rFonts w:ascii="Times New Roman" w:hAnsi="Times New Roman"/>
          <w:bCs/>
          <w:sz w:val="18"/>
          <w:szCs w:val="20"/>
        </w:rPr>
      </w:pPr>
      <w:r w:rsidRPr="00BB3D92">
        <w:rPr>
          <w:rFonts w:ascii="Times New Roman" w:hAnsi="Times New Roman"/>
          <w:sz w:val="18"/>
          <w:szCs w:val="20"/>
        </w:rPr>
        <w:t>Tujuan kajian ini adalah untuk menentukan taburan nutrien berasaskan nitrogen (N) dan fosforus (P) di lembangan Sungai Besut, Malaysia (</w:t>
      </w:r>
      <w:r w:rsidRPr="00BB3D92">
        <w:rPr>
          <w:rFonts w:ascii="Times New Roman" w:hAnsi="Times New Roman"/>
          <w:bCs/>
          <w:sz w:val="18"/>
          <w:szCs w:val="20"/>
        </w:rPr>
        <w:t>Laut China Selatan</w:t>
      </w:r>
      <w:r w:rsidRPr="00BB3D92">
        <w:rPr>
          <w:rFonts w:ascii="Times New Roman" w:hAnsi="Times New Roman"/>
          <w:sz w:val="18"/>
          <w:szCs w:val="20"/>
        </w:rPr>
        <w:t xml:space="preserve">). Purata kepekatan ammonia, nitrat, jumlah N terlarut dan jumlah N partikulat masing-masing adalah </w:t>
      </w:r>
      <w:r w:rsidRPr="00BB3D92">
        <w:rPr>
          <w:rFonts w:ascii="Times New Roman" w:hAnsi="Times New Roman"/>
          <w:bCs/>
          <w:sz w:val="18"/>
          <w:szCs w:val="20"/>
        </w:rPr>
        <w:t>43 µg/L N, 195 µg/L N, 485 µg/L N, 431 µg/L N. Jika dibandingkan dengan N, purata kepekatan P yang direkodkan adalah rendah dengan nilai 2.30 µg/L P (tak organik P terlarut), 4.84 µg/L P (jumlah terlarut P) and 8.35 µg/L P (jumlah partikulat P). Umumnya, kepekatan nutrien adalah tinggi di kawasan pertengahan dan hilir lembangan sungai yang disebabkan oleh aktiviti manusia. Aras kepekatan adalah bertambah untuk kedua-dua jenis nutrien di musim basah hasil daripada larut lesap dari daratan ke kolum air. Nisbah molar takorganik terlarut N:P (nitrat + ammonia: tak organik P) adalah sangat tinggi (72:1) berbanding nisbah Redfield (16:1) yang mencadangkan faktor penghad nutrien untuk pertumbuhan fitoplankton di sungai ini adalah P. Hasil daripada kajian ini boleh digunakan sebagai perbandingan dasar pemantauan seterusnya untuk lembangan sungai ini.</w:t>
      </w:r>
    </w:p>
    <w:p w:rsidR="00441F60" w:rsidRPr="00BB3D92" w:rsidRDefault="00441F60" w:rsidP="00441F60">
      <w:pPr>
        <w:spacing w:after="0" w:line="240" w:lineRule="auto"/>
        <w:jc w:val="both"/>
        <w:rPr>
          <w:rFonts w:ascii="Times New Roman" w:hAnsi="Times New Roman"/>
          <w:bCs/>
          <w:sz w:val="18"/>
          <w:szCs w:val="20"/>
        </w:rPr>
      </w:pPr>
    </w:p>
    <w:p w:rsidR="00441F60" w:rsidRPr="00BB3D92" w:rsidRDefault="00441F60" w:rsidP="00441F60">
      <w:pPr>
        <w:spacing w:after="0" w:line="240" w:lineRule="auto"/>
        <w:jc w:val="both"/>
        <w:rPr>
          <w:rFonts w:ascii="Times New Roman" w:hAnsi="Times New Roman"/>
          <w:sz w:val="18"/>
          <w:szCs w:val="20"/>
        </w:rPr>
      </w:pPr>
      <w:r w:rsidRPr="00BB3D92">
        <w:rPr>
          <w:rFonts w:ascii="Times New Roman" w:hAnsi="Times New Roman"/>
          <w:b/>
          <w:bCs/>
          <w:sz w:val="18"/>
          <w:szCs w:val="20"/>
        </w:rPr>
        <w:t>Kata kunci:</w:t>
      </w:r>
      <w:r w:rsidRPr="00BB3D92">
        <w:rPr>
          <w:rFonts w:ascii="Times New Roman" w:hAnsi="Times New Roman"/>
          <w:bCs/>
          <w:sz w:val="18"/>
          <w:szCs w:val="20"/>
        </w:rPr>
        <w:t xml:space="preserve"> </w:t>
      </w:r>
      <w:r>
        <w:rPr>
          <w:rFonts w:ascii="Times New Roman" w:hAnsi="Times New Roman"/>
          <w:bCs/>
          <w:sz w:val="18"/>
          <w:szCs w:val="20"/>
        </w:rPr>
        <w:t xml:space="preserve"> </w:t>
      </w:r>
      <w:r w:rsidRPr="00BB3D92">
        <w:rPr>
          <w:rFonts w:ascii="Times New Roman" w:hAnsi="Times New Roman"/>
          <w:bCs/>
          <w:sz w:val="18"/>
          <w:szCs w:val="20"/>
        </w:rPr>
        <w:t xml:space="preserve">air permukaan, nutrien, nisbah N:P, lembangan Sungai Besut  </w:t>
      </w:r>
    </w:p>
    <w:p w:rsidR="00441F60" w:rsidRDefault="00441F60" w:rsidP="00441F60">
      <w:pPr>
        <w:spacing w:after="0" w:line="240" w:lineRule="auto"/>
        <w:jc w:val="center"/>
        <w:rPr>
          <w:rFonts w:ascii="Times New Roman" w:hAnsi="Times New Roman"/>
          <w:noProof/>
          <w:sz w:val="20"/>
          <w:szCs w:val="20"/>
          <w:lang w:bidi="ar-SA"/>
        </w:rPr>
      </w:pPr>
    </w:p>
    <w:p w:rsidR="00441F60" w:rsidRDefault="00441F60" w:rsidP="00441F60">
      <w:pPr>
        <w:spacing w:after="0" w:line="240" w:lineRule="auto"/>
        <w:jc w:val="center"/>
        <w:rPr>
          <w:rFonts w:ascii="Times New Roman" w:hAnsi="Times New Roman"/>
          <w:noProof/>
          <w:sz w:val="20"/>
          <w:szCs w:val="20"/>
          <w:lang w:bidi="ar-SA"/>
        </w:rPr>
      </w:pPr>
    </w:p>
    <w:p w:rsidR="00441F60" w:rsidRPr="00BE7C30" w:rsidRDefault="00441F60" w:rsidP="00441F60">
      <w:pPr>
        <w:spacing w:after="0" w:line="240" w:lineRule="auto"/>
        <w:jc w:val="center"/>
        <w:rPr>
          <w:rFonts w:ascii="Times New Roman" w:hAnsi="Times New Roman"/>
          <w:noProof/>
          <w:sz w:val="20"/>
          <w:szCs w:val="20"/>
          <w:lang w:bidi="ar-SA"/>
        </w:rPr>
      </w:pPr>
    </w:p>
    <w:p w:rsidR="00441F60" w:rsidRPr="00F447A7" w:rsidRDefault="00441F60" w:rsidP="00441F6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441F60" w:rsidRPr="00BB3D92" w:rsidRDefault="00441F60" w:rsidP="00441F60">
      <w:pPr>
        <w:spacing w:after="0" w:line="240" w:lineRule="auto"/>
        <w:jc w:val="both"/>
        <w:rPr>
          <w:rFonts w:ascii="Times New Roman" w:hAnsi="Times New Roman"/>
          <w:bCs/>
          <w:sz w:val="20"/>
          <w:szCs w:val="20"/>
        </w:rPr>
      </w:pPr>
      <w:r w:rsidRPr="00BB3D92">
        <w:rPr>
          <w:rFonts w:ascii="Times New Roman" w:hAnsi="Times New Roman"/>
          <w:sz w:val="20"/>
          <w:szCs w:val="20"/>
        </w:rPr>
        <w:t xml:space="preserve">Nutrient input to surface water has increased dramatically in recent decades and anthropogenic activities are the major sources [1]. These anthropogenic sources include both domestic and industrial wastewater discharge, agricultural practices, mining and atmospheric deposition. Nitrogen (N)- and phosphorus (P)-based nutrients are important for primary productivity and also the most threatening pollutants for most aquatic systems [2, 3]. Excessive levels of both nutrients in the surface water </w:t>
      </w:r>
      <w:r w:rsidRPr="00BB3D92">
        <w:rPr>
          <w:rFonts w:ascii="Times New Roman" w:hAnsi="Times New Roman"/>
          <w:iCs/>
          <w:sz w:val="20"/>
          <w:szCs w:val="20"/>
        </w:rPr>
        <w:t xml:space="preserve">contribute to the deterioration of water quality through processes such as </w:t>
      </w:r>
      <w:r w:rsidRPr="00BB3D92">
        <w:rPr>
          <w:rFonts w:ascii="Times New Roman" w:hAnsi="Times New Roman"/>
          <w:bCs/>
          <w:sz w:val="20"/>
          <w:szCs w:val="20"/>
        </w:rPr>
        <w:t>eutrophication, and hence contribute to hypoxic events</w:t>
      </w:r>
      <w:r w:rsidRPr="00BB3D92">
        <w:rPr>
          <w:rFonts w:ascii="Times New Roman" w:hAnsi="Times New Roman"/>
          <w:bCs/>
          <w:sz w:val="20"/>
          <w:szCs w:val="20"/>
          <w:vertAlign w:val="superscript"/>
        </w:rPr>
        <w:t xml:space="preserve"> </w:t>
      </w:r>
      <w:r w:rsidRPr="00BB3D92">
        <w:rPr>
          <w:rFonts w:ascii="Times New Roman" w:hAnsi="Times New Roman"/>
          <w:bCs/>
          <w:sz w:val="20"/>
          <w:szCs w:val="20"/>
        </w:rPr>
        <w:t xml:space="preserve">[4, 5]. Besides light, nutrients are the major factor controlling the growth of phytoplankton and most studies have shown that N and P are the limiting nutrients for marine and freshwater systems, respectively [6, 7]. </w:t>
      </w:r>
    </w:p>
    <w:p w:rsidR="00441F60" w:rsidRPr="00BB3D92" w:rsidRDefault="00441F60" w:rsidP="00441F60">
      <w:pPr>
        <w:spacing w:after="0" w:line="240" w:lineRule="auto"/>
        <w:jc w:val="both"/>
        <w:rPr>
          <w:rFonts w:ascii="Times New Roman" w:hAnsi="Times New Roman"/>
          <w:bCs/>
          <w:sz w:val="20"/>
          <w:szCs w:val="20"/>
        </w:rPr>
      </w:pPr>
    </w:p>
    <w:p w:rsidR="00441F60" w:rsidRPr="00BB3D92" w:rsidRDefault="00441F60" w:rsidP="00441F60">
      <w:pPr>
        <w:spacing w:after="0" w:line="240" w:lineRule="auto"/>
        <w:jc w:val="both"/>
        <w:rPr>
          <w:rFonts w:ascii="Times New Roman" w:hAnsi="Times New Roman"/>
          <w:sz w:val="20"/>
          <w:szCs w:val="20"/>
        </w:rPr>
      </w:pPr>
      <w:r w:rsidRPr="00BB3D92">
        <w:rPr>
          <w:rFonts w:ascii="Times New Roman" w:hAnsi="Times New Roman"/>
          <w:sz w:val="20"/>
          <w:szCs w:val="20"/>
        </w:rPr>
        <w:t xml:space="preserve">The Besut River basin is situated on the east coast of Peninsular Malaysia. The Besut River is the largest river in the district of Besut, Terengganu, is approximately 40 km in length and flows from Besut to the mouth of the river at Kuala Besut and discharges into the southern part of the South China Sea. The Besut River basin comprises the Besut River and its main tributaries such as the Pelagat, Jertih, Tenang, Angga, Peda, La and Keruak Rivers. This area experiences a tropical climate and is strongly influenced by the Northeast (NE) monsoon from November to February and Southwest (SW) monsoon from March to September. The NE monsoon season brings heavy rains to this area and is known as the wet season, while the SW monsoon is referred to as the dry season [8]. The main anthropogenic activities in this basin are agriculture and residential. The residential areas are concentrated in three major towns, namely Jertih, Kampung Raja and Kuala Besut. There are no major industrial activities in this basin. This river basin is important since it provides water for irrigation as well as water supplies for the surrounding areas and also provides waste water dilution [9]. </w:t>
      </w:r>
    </w:p>
    <w:p w:rsidR="00441F60" w:rsidRPr="00BB3D92" w:rsidRDefault="00441F60" w:rsidP="00441F60">
      <w:pPr>
        <w:spacing w:after="0" w:line="240" w:lineRule="auto"/>
        <w:jc w:val="both"/>
        <w:rPr>
          <w:rFonts w:ascii="Times New Roman" w:hAnsi="Times New Roman"/>
          <w:sz w:val="20"/>
          <w:szCs w:val="20"/>
        </w:rPr>
      </w:pPr>
    </w:p>
    <w:p w:rsidR="00441F60" w:rsidRPr="00BB3D92" w:rsidRDefault="00441F60" w:rsidP="00441F60">
      <w:pPr>
        <w:spacing w:after="0" w:line="240" w:lineRule="auto"/>
        <w:jc w:val="both"/>
        <w:rPr>
          <w:rFonts w:ascii="Times New Roman" w:hAnsi="Times New Roman"/>
          <w:iCs/>
          <w:sz w:val="20"/>
          <w:szCs w:val="20"/>
        </w:rPr>
      </w:pPr>
      <w:r w:rsidRPr="00BB3D92">
        <w:rPr>
          <w:rFonts w:ascii="Times New Roman" w:hAnsi="Times New Roman"/>
          <w:iCs/>
          <w:sz w:val="20"/>
          <w:szCs w:val="20"/>
        </w:rPr>
        <w:t>This study focused on the distribution of N-based nutrients (nitrate, ammonia, total dissolved N (TDN) and total particulate N (TPN)) and P-based nutrients (dissolved inorganic P (DIP), total dissolved P (TDP) and total particulate P (TPP)) during the dry and wet seasons. The concentration of chlorophyll-a (chl-a) as an indicator of phytoplankton biomass was also determined. The molar ratio of dissolved inorganic N:P was calculated in order to know the limiting nutrient in this basin.</w:t>
      </w:r>
    </w:p>
    <w:p w:rsidR="00441F60" w:rsidRPr="00BB3D92" w:rsidRDefault="00441F60" w:rsidP="00441F60">
      <w:pPr>
        <w:spacing w:after="0" w:line="240" w:lineRule="auto"/>
        <w:jc w:val="center"/>
        <w:rPr>
          <w:rFonts w:ascii="Times New Roman" w:hAnsi="Times New Roman"/>
          <w:sz w:val="20"/>
          <w:szCs w:val="20"/>
        </w:rPr>
      </w:pPr>
    </w:p>
    <w:p w:rsidR="00441F60" w:rsidRPr="005D0552" w:rsidRDefault="00441F60" w:rsidP="00441F60">
      <w:pPr>
        <w:pStyle w:val="Heading1"/>
        <w:spacing w:before="0" w:line="240" w:lineRule="auto"/>
        <w:contextualSpacing w:val="0"/>
        <w:jc w:val="center"/>
        <w:rPr>
          <w:rFonts w:ascii="Times New Roman" w:hAnsi="Times New Roman"/>
          <w:b/>
          <w:smallCaps w:val="0"/>
          <w:sz w:val="20"/>
          <w:szCs w:val="20"/>
        </w:rPr>
      </w:pPr>
      <w:r w:rsidRPr="005D0552">
        <w:rPr>
          <w:rFonts w:ascii="Times New Roman" w:hAnsi="Times New Roman"/>
          <w:b/>
          <w:smallCaps w:val="0"/>
          <w:sz w:val="20"/>
          <w:szCs w:val="20"/>
        </w:rPr>
        <w:t>Materials and Methods</w:t>
      </w:r>
    </w:p>
    <w:p w:rsidR="00441F60" w:rsidRPr="00BB3D92" w:rsidRDefault="00441F60" w:rsidP="00441F60">
      <w:pPr>
        <w:spacing w:after="0" w:line="240" w:lineRule="auto"/>
        <w:jc w:val="both"/>
        <w:rPr>
          <w:rFonts w:ascii="Times New Roman" w:hAnsi="Times New Roman"/>
          <w:b/>
          <w:iCs/>
          <w:sz w:val="20"/>
          <w:szCs w:val="20"/>
        </w:rPr>
      </w:pPr>
      <w:r w:rsidRPr="00BB3D92">
        <w:rPr>
          <w:rFonts w:ascii="Times New Roman" w:hAnsi="Times New Roman"/>
          <w:iCs/>
          <w:sz w:val="20"/>
          <w:szCs w:val="20"/>
        </w:rPr>
        <w:t>Sampling was carried out during dry pre-monsoon (2/6/2002, 4/8/2002 and 26/10/2002) and wet monsoon (23/11/2002) periods at eight sampling stations (B1, B2, B3, B4, B5, B6, B7 and B8) as shown in Figure 1. All stations were located in the freshwater area. Only one sampling was performed during the wet monsoon period due to rough weather conditions which most of the stations were flooded and could not be accessed. Due to the water shallow (&lt;2 m), water</w:t>
      </w:r>
      <w:r w:rsidRPr="00BB3D92">
        <w:rPr>
          <w:rFonts w:ascii="Times New Roman" w:hAnsi="Times New Roman"/>
          <w:sz w:val="20"/>
          <w:szCs w:val="20"/>
        </w:rPr>
        <w:t xml:space="preserve"> samples were only collected by hand-dipping the bottles beneath the water surface and stored in acid-washed </w:t>
      </w:r>
      <w:r w:rsidRPr="00BB3D92">
        <w:rPr>
          <w:rFonts w:ascii="Times New Roman" w:hAnsi="Times New Roman"/>
          <w:iCs/>
          <w:sz w:val="20"/>
          <w:szCs w:val="20"/>
        </w:rPr>
        <w:t xml:space="preserve">polyethylene bottles. </w:t>
      </w:r>
      <w:r w:rsidRPr="00BB3D92">
        <w:rPr>
          <w:rFonts w:ascii="Times New Roman" w:hAnsi="Times New Roman"/>
          <w:sz w:val="20"/>
          <w:szCs w:val="20"/>
        </w:rPr>
        <w:t xml:space="preserve">The samples were temporarily placed in an ice cooler and transported to the laboratory. At the laboratory, 500 mL samples were vacuum-filtered through </w:t>
      </w:r>
      <w:r w:rsidRPr="00BB3D92">
        <w:rPr>
          <w:rFonts w:ascii="Times New Roman" w:hAnsi="Times New Roman"/>
          <w:iCs/>
          <w:sz w:val="20"/>
          <w:szCs w:val="20"/>
        </w:rPr>
        <w:t xml:space="preserve">0.45 µm cellulose membrane filters and the dissolved samples were stored frozen at -20 </w:t>
      </w:r>
      <w:r w:rsidRPr="00BB3D92">
        <w:rPr>
          <w:rFonts w:ascii="Times New Roman" w:hAnsi="Times New Roman"/>
          <w:sz w:val="20"/>
          <w:szCs w:val="20"/>
        </w:rPr>
        <w:t xml:space="preserve">ᵒC </w:t>
      </w:r>
      <w:r w:rsidRPr="00BB3D92">
        <w:rPr>
          <w:rFonts w:ascii="Times New Roman" w:hAnsi="Times New Roman"/>
          <w:iCs/>
          <w:sz w:val="20"/>
          <w:szCs w:val="20"/>
        </w:rPr>
        <w:t>until analysis. The dissolved and particulate forms of the nutrients were analysed based on the standard colourimetric method [10]. The chl-a was determined spectrophotometrically [11]. The data obtained were then tested by two-way analysis of variance (ANOVA) at the 95% significance level to show differences between sampling dates and sampling stations.</w:t>
      </w:r>
      <w:r w:rsidRPr="00BB3D92">
        <w:rPr>
          <w:rFonts w:ascii="Times New Roman" w:hAnsi="Times New Roman"/>
          <w:b/>
          <w:iCs/>
          <w:sz w:val="20"/>
          <w:szCs w:val="20"/>
        </w:rPr>
        <w:t xml:space="preserve"> </w:t>
      </w:r>
    </w:p>
    <w:p w:rsidR="00441F60" w:rsidRPr="00BB3D92" w:rsidRDefault="00441F60" w:rsidP="00441F60">
      <w:pPr>
        <w:spacing w:after="120" w:line="240" w:lineRule="auto"/>
        <w:jc w:val="both"/>
        <w:rPr>
          <w:rFonts w:ascii="Times New Roman" w:hAnsi="Times New Roman"/>
          <w:b/>
          <w:iCs/>
          <w:sz w:val="20"/>
          <w:szCs w:val="20"/>
        </w:rPr>
      </w:pPr>
    </w:p>
    <w:p w:rsidR="00441F60" w:rsidRPr="00BB3D92" w:rsidRDefault="00441F60" w:rsidP="00441F60">
      <w:pPr>
        <w:widowControl w:val="0"/>
        <w:autoSpaceDE w:val="0"/>
        <w:autoSpaceDN w:val="0"/>
        <w:adjustRightInd w:val="0"/>
        <w:spacing w:after="120" w:line="240" w:lineRule="auto"/>
        <w:ind w:left="475" w:hanging="475"/>
        <w:jc w:val="center"/>
        <w:rPr>
          <w:rFonts w:ascii="Times New Roman" w:hAnsi="Times New Roman"/>
          <w:noProof/>
        </w:rPr>
      </w:pPr>
      <w:r w:rsidRPr="00BB3D92">
        <w:rPr>
          <w:rFonts w:ascii="Times New Roman" w:hAnsi="Times New Roman"/>
          <w:noProof/>
          <w:lang w:bidi="ar-SA"/>
        </w:rPr>
        <w:lastRenderedPageBreak/>
        <w:drawing>
          <wp:inline distT="0" distB="0" distL="0" distR="0" wp14:anchorId="154B43DB" wp14:editId="0376EEB2">
            <wp:extent cx="3790950" cy="3343275"/>
            <wp:effectExtent l="19050" t="19050" r="19050" b="28575"/>
            <wp:docPr id="3" name="Picture 3" descr="Besut River Ba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ut River Bas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0950" cy="3343275"/>
                    </a:xfrm>
                    <a:prstGeom prst="rect">
                      <a:avLst/>
                    </a:prstGeom>
                    <a:noFill/>
                    <a:ln w="6350" cmpd="sng">
                      <a:solidFill>
                        <a:srgbClr val="000000"/>
                      </a:solidFill>
                      <a:miter lim="800000"/>
                      <a:headEnd/>
                      <a:tailEnd/>
                    </a:ln>
                    <a:effectLst/>
                  </pic:spPr>
                </pic:pic>
              </a:graphicData>
            </a:graphic>
          </wp:inline>
        </w:drawing>
      </w:r>
    </w:p>
    <w:p w:rsidR="00441F60" w:rsidRPr="00BB3D92" w:rsidRDefault="00441F60" w:rsidP="00441F60">
      <w:pPr>
        <w:spacing w:after="0" w:line="240" w:lineRule="auto"/>
        <w:jc w:val="center"/>
        <w:rPr>
          <w:rFonts w:ascii="Times New Roman" w:hAnsi="Times New Roman"/>
          <w:sz w:val="20"/>
          <w:szCs w:val="20"/>
        </w:rPr>
      </w:pPr>
      <w:r w:rsidRPr="00BB3D92">
        <w:rPr>
          <w:rFonts w:ascii="Times New Roman" w:hAnsi="Times New Roman"/>
          <w:sz w:val="20"/>
          <w:szCs w:val="20"/>
        </w:rPr>
        <w:t xml:space="preserve">Figure 1. </w:t>
      </w:r>
      <w:r>
        <w:rPr>
          <w:rFonts w:ascii="Times New Roman" w:hAnsi="Times New Roman"/>
          <w:sz w:val="20"/>
          <w:szCs w:val="20"/>
        </w:rPr>
        <w:t xml:space="preserve"> </w:t>
      </w:r>
      <w:r w:rsidRPr="00BB3D92">
        <w:rPr>
          <w:rFonts w:ascii="Times New Roman" w:hAnsi="Times New Roman"/>
          <w:sz w:val="20"/>
          <w:szCs w:val="20"/>
        </w:rPr>
        <w:t>Location of sampling stations in the Besut River basin</w:t>
      </w:r>
    </w:p>
    <w:p w:rsidR="00441F60" w:rsidRDefault="00441F60" w:rsidP="00441F60">
      <w:pPr>
        <w:spacing w:after="0" w:line="240" w:lineRule="auto"/>
        <w:jc w:val="center"/>
        <w:rPr>
          <w:rFonts w:ascii="Times New Roman" w:hAnsi="Times New Roman"/>
          <w:noProof/>
          <w:sz w:val="20"/>
          <w:szCs w:val="20"/>
          <w:lang w:bidi="ar-SA"/>
        </w:rPr>
      </w:pPr>
    </w:p>
    <w:p w:rsidR="00313E3C" w:rsidRPr="00F447A7" w:rsidRDefault="00313E3C" w:rsidP="00441F60">
      <w:pPr>
        <w:spacing w:after="0" w:line="240" w:lineRule="auto"/>
        <w:jc w:val="center"/>
        <w:rPr>
          <w:rFonts w:ascii="Times New Roman" w:hAnsi="Times New Roman"/>
          <w:noProof/>
          <w:sz w:val="20"/>
          <w:szCs w:val="20"/>
          <w:lang w:bidi="ar-SA"/>
        </w:rPr>
      </w:pPr>
    </w:p>
    <w:p w:rsidR="00441F60" w:rsidRPr="00F447A7" w:rsidRDefault="00441F60" w:rsidP="00441F6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41F60" w:rsidRPr="005D0552" w:rsidRDefault="00441F60" w:rsidP="00441F60">
      <w:pPr>
        <w:spacing w:after="0" w:line="240" w:lineRule="auto"/>
        <w:jc w:val="both"/>
        <w:rPr>
          <w:rFonts w:ascii="Times New Roman" w:hAnsi="Times New Roman"/>
          <w:b/>
          <w:iCs/>
          <w:sz w:val="20"/>
          <w:szCs w:val="20"/>
        </w:rPr>
      </w:pPr>
      <w:r w:rsidRPr="005D0552">
        <w:rPr>
          <w:rFonts w:ascii="Times New Roman" w:hAnsi="Times New Roman"/>
          <w:b/>
          <w:iCs/>
          <w:sz w:val="20"/>
          <w:szCs w:val="20"/>
        </w:rPr>
        <w:t>Nutrients and chl-a distribution</w:t>
      </w:r>
    </w:p>
    <w:p w:rsidR="00B80619" w:rsidRDefault="00441F60" w:rsidP="00441F60">
      <w:pPr>
        <w:spacing w:after="0" w:line="240" w:lineRule="auto"/>
        <w:jc w:val="both"/>
        <w:rPr>
          <w:rFonts w:ascii="Times New Roman" w:hAnsi="Times New Roman"/>
          <w:iCs/>
          <w:sz w:val="20"/>
          <w:szCs w:val="20"/>
        </w:rPr>
      </w:pPr>
      <w:r w:rsidRPr="005D0552">
        <w:rPr>
          <w:rFonts w:ascii="Times New Roman" w:hAnsi="Times New Roman"/>
          <w:iCs/>
          <w:sz w:val="20"/>
          <w:szCs w:val="20"/>
        </w:rPr>
        <w:t xml:space="preserve">Figures 2 and 3 show the distribution of N- and P-based nutrients in the Besut River basin. Based on the ANOVA test, in general all nutrients showed no significant difference (p&gt; 0.05) between sampling stations, but did show significantly differences (p&lt; 0.05) between sampling dates. Among the N-based nutrients, TDN recorded higher concentrations ranging from 130 to 1099 (mean 485±230) µg/L. This was followed by TPN, nitrate and ammonia with the values of 50–1033 (mean 431±288) µg/L, 88–323 (mean 195±68) µg/L and 26–81 (mean 43±16) µg/L, respectively. For the P-based nutrients, higher ranges of concentrations were observed for TPP: 2.28–19.32 (mean 8.35±4.32) µg/L. The concentrations of TDP and DIP varied from 1.54 to 12.21 (mean 4.84±2.67) µg/L and from 0.28 to 7.28 (mean 2.30±1.83) µg/L, respectively. </w:t>
      </w:r>
    </w:p>
    <w:p w:rsidR="00B922C8" w:rsidRDefault="00B922C8" w:rsidP="00B80619">
      <w:pPr>
        <w:spacing w:after="120" w:line="240" w:lineRule="auto"/>
        <w:jc w:val="both"/>
        <w:rPr>
          <w:rFonts w:ascii="Times New Roman" w:hAnsi="Times New Roman"/>
          <w:iCs/>
          <w:sz w:val="20"/>
          <w:szCs w:val="20"/>
        </w:rPr>
      </w:pPr>
    </w:p>
    <w:p w:rsidR="00B922C8" w:rsidRDefault="00B80619" w:rsidP="00441F60">
      <w:pPr>
        <w:spacing w:after="0" w:line="240" w:lineRule="auto"/>
        <w:jc w:val="both"/>
        <w:rPr>
          <w:rFonts w:ascii="Times New Roman" w:hAnsi="Times New Roman"/>
          <w:iCs/>
          <w:sz w:val="20"/>
          <w:szCs w:val="20"/>
        </w:rPr>
      </w:pPr>
      <w:r>
        <w:rPr>
          <w:rFonts w:ascii="Times New Roman" w:hAnsi="Times New Roman"/>
          <w:iCs/>
          <w:noProof/>
          <w:sz w:val="20"/>
          <w:szCs w:val="20"/>
          <w:lang w:bidi="ar-SA"/>
        </w:rPr>
        <w:drawing>
          <wp:anchor distT="0" distB="0" distL="114300" distR="114300" simplePos="0" relativeHeight="251662848" behindDoc="0" locked="0" layoutInCell="1" allowOverlap="1" wp14:anchorId="025AAC6D" wp14:editId="6B95727D">
            <wp:simplePos x="0" y="0"/>
            <wp:positionH relativeFrom="column">
              <wp:posOffset>3150235</wp:posOffset>
            </wp:positionH>
            <wp:positionV relativeFrom="paragraph">
              <wp:posOffset>47625</wp:posOffset>
            </wp:positionV>
            <wp:extent cx="2435225" cy="1671320"/>
            <wp:effectExtent l="0" t="0" r="3175" b="508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6"/>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5225" cy="16713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iCs/>
          <w:noProof/>
          <w:sz w:val="20"/>
          <w:szCs w:val="20"/>
          <w:lang w:bidi="ar-SA"/>
        </w:rPr>
        <w:drawing>
          <wp:anchor distT="0" distB="0" distL="114300" distR="114300" simplePos="0" relativeHeight="251661824" behindDoc="0" locked="0" layoutInCell="1" allowOverlap="1" wp14:anchorId="5ABB4FFA" wp14:editId="5EF8174A">
            <wp:simplePos x="0" y="0"/>
            <wp:positionH relativeFrom="column">
              <wp:posOffset>337185</wp:posOffset>
            </wp:positionH>
            <wp:positionV relativeFrom="paragraph">
              <wp:posOffset>47625</wp:posOffset>
            </wp:positionV>
            <wp:extent cx="2381250" cy="1671320"/>
            <wp:effectExtent l="0" t="0" r="0" b="508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1671320"/>
                    </a:xfrm>
                    <a:prstGeom prst="rect">
                      <a:avLst/>
                    </a:prstGeom>
                    <a:noFill/>
                  </pic:spPr>
                </pic:pic>
              </a:graphicData>
            </a:graphic>
            <wp14:sizeRelH relativeFrom="page">
              <wp14:pctWidth>0</wp14:pctWidth>
            </wp14:sizeRelH>
            <wp14:sizeRelV relativeFrom="page">
              <wp14:pctHeight>0</wp14:pctHeight>
            </wp14:sizeRelV>
          </wp:anchor>
        </w:drawing>
      </w:r>
    </w:p>
    <w:p w:rsidR="00B922C8" w:rsidRDefault="00B922C8" w:rsidP="00441F60">
      <w:pPr>
        <w:spacing w:after="0" w:line="240" w:lineRule="auto"/>
        <w:jc w:val="both"/>
        <w:rPr>
          <w:rFonts w:ascii="Times New Roman" w:hAnsi="Times New Roman"/>
          <w:iCs/>
          <w:sz w:val="20"/>
          <w:szCs w:val="20"/>
        </w:rPr>
      </w:pPr>
    </w:p>
    <w:p w:rsidR="00B922C8" w:rsidRDefault="00B922C8" w:rsidP="00441F60">
      <w:pPr>
        <w:spacing w:after="0" w:line="240" w:lineRule="auto"/>
        <w:jc w:val="both"/>
        <w:rPr>
          <w:rFonts w:ascii="Times New Roman" w:hAnsi="Times New Roman"/>
          <w:iCs/>
          <w:sz w:val="20"/>
          <w:szCs w:val="20"/>
        </w:rPr>
      </w:pPr>
    </w:p>
    <w:p w:rsidR="00B922C8" w:rsidRDefault="00B922C8" w:rsidP="00441F60">
      <w:pPr>
        <w:spacing w:after="0" w:line="240" w:lineRule="auto"/>
        <w:jc w:val="both"/>
        <w:rPr>
          <w:rFonts w:ascii="Times New Roman" w:hAnsi="Times New Roman"/>
          <w:iCs/>
          <w:sz w:val="20"/>
          <w:szCs w:val="20"/>
        </w:rPr>
      </w:pPr>
    </w:p>
    <w:p w:rsidR="00B922C8" w:rsidRDefault="00B922C8" w:rsidP="00441F60">
      <w:pPr>
        <w:spacing w:after="0" w:line="240" w:lineRule="auto"/>
        <w:jc w:val="both"/>
        <w:rPr>
          <w:rFonts w:ascii="Times New Roman" w:hAnsi="Times New Roman"/>
          <w:iCs/>
          <w:sz w:val="20"/>
          <w:szCs w:val="20"/>
        </w:rPr>
      </w:pPr>
    </w:p>
    <w:p w:rsidR="00B922C8" w:rsidRDefault="00B922C8" w:rsidP="00441F60">
      <w:pPr>
        <w:spacing w:after="0" w:line="240" w:lineRule="auto"/>
        <w:jc w:val="both"/>
        <w:rPr>
          <w:rFonts w:ascii="Times New Roman" w:hAnsi="Times New Roman"/>
          <w:iCs/>
          <w:sz w:val="20"/>
          <w:szCs w:val="20"/>
        </w:rPr>
      </w:pPr>
    </w:p>
    <w:p w:rsidR="00B922C8" w:rsidRDefault="00B922C8" w:rsidP="00441F60">
      <w:pPr>
        <w:spacing w:after="0" w:line="240" w:lineRule="auto"/>
        <w:jc w:val="both"/>
        <w:rPr>
          <w:rFonts w:ascii="Times New Roman" w:hAnsi="Times New Roman"/>
          <w:iCs/>
          <w:sz w:val="20"/>
          <w:szCs w:val="20"/>
        </w:rPr>
      </w:pPr>
    </w:p>
    <w:p w:rsidR="00B922C8" w:rsidRDefault="00B922C8" w:rsidP="00441F60">
      <w:pPr>
        <w:spacing w:after="0" w:line="240" w:lineRule="auto"/>
        <w:jc w:val="both"/>
        <w:rPr>
          <w:rFonts w:ascii="Times New Roman" w:hAnsi="Times New Roman"/>
          <w:iCs/>
          <w:sz w:val="20"/>
          <w:szCs w:val="20"/>
        </w:rPr>
      </w:pPr>
    </w:p>
    <w:p w:rsidR="00B80619" w:rsidRDefault="00B80619" w:rsidP="00441F60">
      <w:pPr>
        <w:spacing w:after="0" w:line="240" w:lineRule="auto"/>
        <w:jc w:val="both"/>
        <w:rPr>
          <w:rFonts w:ascii="Times New Roman" w:hAnsi="Times New Roman"/>
          <w:iCs/>
          <w:sz w:val="20"/>
          <w:szCs w:val="20"/>
        </w:rPr>
      </w:pPr>
    </w:p>
    <w:p w:rsidR="00B80619" w:rsidRDefault="00B80619" w:rsidP="00441F60">
      <w:pPr>
        <w:spacing w:after="0" w:line="240" w:lineRule="auto"/>
        <w:jc w:val="both"/>
        <w:rPr>
          <w:rFonts w:ascii="Times New Roman" w:hAnsi="Times New Roman"/>
          <w:iCs/>
          <w:sz w:val="20"/>
          <w:szCs w:val="20"/>
        </w:rPr>
      </w:pPr>
    </w:p>
    <w:p w:rsidR="00B80619" w:rsidRDefault="00B80619" w:rsidP="00441F60">
      <w:pPr>
        <w:spacing w:after="0" w:line="240" w:lineRule="auto"/>
        <w:jc w:val="both"/>
        <w:rPr>
          <w:rFonts w:ascii="Times New Roman" w:hAnsi="Times New Roman"/>
          <w:iCs/>
          <w:sz w:val="20"/>
          <w:szCs w:val="20"/>
        </w:rPr>
      </w:pPr>
    </w:p>
    <w:p w:rsidR="00B80619" w:rsidRDefault="00B80619" w:rsidP="00441F60">
      <w:pPr>
        <w:spacing w:after="0" w:line="240" w:lineRule="auto"/>
        <w:jc w:val="both"/>
        <w:rPr>
          <w:rFonts w:ascii="Times New Roman" w:hAnsi="Times New Roman"/>
          <w:iCs/>
          <w:sz w:val="20"/>
          <w:szCs w:val="20"/>
        </w:rPr>
      </w:pPr>
    </w:p>
    <w:p w:rsidR="00B80619" w:rsidRDefault="00B80619" w:rsidP="00441F60">
      <w:pPr>
        <w:spacing w:after="0" w:line="240" w:lineRule="auto"/>
        <w:jc w:val="both"/>
        <w:rPr>
          <w:rFonts w:ascii="Times New Roman" w:hAnsi="Times New Roman"/>
          <w:iCs/>
          <w:sz w:val="20"/>
          <w:szCs w:val="20"/>
        </w:rPr>
      </w:pPr>
    </w:p>
    <w:p w:rsidR="00B80619" w:rsidRDefault="00B80619" w:rsidP="00441F60">
      <w:pPr>
        <w:spacing w:after="0" w:line="240" w:lineRule="auto"/>
        <w:jc w:val="both"/>
        <w:rPr>
          <w:rFonts w:ascii="Times New Roman" w:hAnsi="Times New Roman"/>
          <w:iCs/>
          <w:sz w:val="20"/>
          <w:szCs w:val="20"/>
        </w:rPr>
      </w:pPr>
    </w:p>
    <w:p w:rsidR="00B80619" w:rsidRDefault="00B80619" w:rsidP="00441F60">
      <w:pPr>
        <w:spacing w:after="0" w:line="240" w:lineRule="auto"/>
        <w:jc w:val="both"/>
        <w:rPr>
          <w:rFonts w:ascii="Times New Roman" w:hAnsi="Times New Roman"/>
          <w:iCs/>
          <w:sz w:val="20"/>
          <w:szCs w:val="20"/>
        </w:rPr>
      </w:pPr>
    </w:p>
    <w:p w:rsidR="001450F8" w:rsidRDefault="00B80619" w:rsidP="00441F60">
      <w:pPr>
        <w:spacing w:after="0" w:line="240" w:lineRule="auto"/>
        <w:jc w:val="both"/>
        <w:rPr>
          <w:rFonts w:ascii="Times New Roman" w:hAnsi="Times New Roman"/>
          <w:iCs/>
          <w:noProof/>
          <w:sz w:val="20"/>
          <w:szCs w:val="20"/>
          <w:lang w:bidi="ar-SA"/>
        </w:rPr>
      </w:pPr>
      <w:r>
        <w:rPr>
          <w:rFonts w:ascii="Times New Roman" w:hAnsi="Times New Roman"/>
          <w:iCs/>
          <w:noProof/>
          <w:sz w:val="20"/>
          <w:szCs w:val="20"/>
          <w:lang w:bidi="ar-SA"/>
        </w:rPr>
        <w:lastRenderedPageBreak/>
        <w:drawing>
          <wp:anchor distT="0" distB="0" distL="114300" distR="114300" simplePos="0" relativeHeight="251664896" behindDoc="0" locked="0" layoutInCell="1" allowOverlap="1" wp14:anchorId="5122B892" wp14:editId="3C0FAC94">
            <wp:simplePos x="0" y="0"/>
            <wp:positionH relativeFrom="column">
              <wp:posOffset>3102610</wp:posOffset>
            </wp:positionH>
            <wp:positionV relativeFrom="paragraph">
              <wp:posOffset>40005</wp:posOffset>
            </wp:positionV>
            <wp:extent cx="2437765" cy="1772920"/>
            <wp:effectExtent l="0" t="0" r="635" b="0"/>
            <wp:wrapNone/>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7765" cy="17729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iCs/>
          <w:noProof/>
          <w:sz w:val="20"/>
          <w:szCs w:val="20"/>
          <w:lang w:bidi="ar-SA"/>
        </w:rPr>
        <w:drawing>
          <wp:anchor distT="0" distB="0" distL="114300" distR="114300" simplePos="0" relativeHeight="251663872" behindDoc="0" locked="0" layoutInCell="1" allowOverlap="1" wp14:anchorId="74CDFE34" wp14:editId="1D9DFDEA">
            <wp:simplePos x="0" y="0"/>
            <wp:positionH relativeFrom="column">
              <wp:posOffset>346710</wp:posOffset>
            </wp:positionH>
            <wp:positionV relativeFrom="paragraph">
              <wp:posOffset>36195</wp:posOffset>
            </wp:positionV>
            <wp:extent cx="2381250" cy="1805305"/>
            <wp:effectExtent l="0" t="0" r="0" b="4445"/>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8"/>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1805305"/>
                    </a:xfrm>
                    <a:prstGeom prst="rect">
                      <a:avLst/>
                    </a:prstGeom>
                    <a:noFill/>
                  </pic:spPr>
                </pic:pic>
              </a:graphicData>
            </a:graphic>
            <wp14:sizeRelH relativeFrom="page">
              <wp14:pctWidth>0</wp14:pctWidth>
            </wp14:sizeRelH>
            <wp14:sizeRelV relativeFrom="page">
              <wp14:pctHeight>0</wp14:pctHeight>
            </wp14:sizeRelV>
          </wp:anchor>
        </w:drawing>
      </w:r>
    </w:p>
    <w:p w:rsidR="00B80619" w:rsidRDefault="00B80619" w:rsidP="00441F60">
      <w:pPr>
        <w:spacing w:after="0" w:line="240" w:lineRule="auto"/>
        <w:jc w:val="both"/>
        <w:rPr>
          <w:rFonts w:ascii="Times New Roman" w:hAnsi="Times New Roman"/>
          <w:iCs/>
          <w:noProof/>
          <w:sz w:val="20"/>
          <w:szCs w:val="20"/>
          <w:lang w:bidi="ar-SA"/>
        </w:rPr>
      </w:pPr>
    </w:p>
    <w:p w:rsidR="00B80619" w:rsidRDefault="00B80619" w:rsidP="00441F60">
      <w:pPr>
        <w:spacing w:after="0" w:line="240" w:lineRule="auto"/>
        <w:jc w:val="both"/>
        <w:rPr>
          <w:rFonts w:ascii="Times New Roman" w:hAnsi="Times New Roman"/>
          <w:iCs/>
          <w:noProof/>
          <w:sz w:val="20"/>
          <w:szCs w:val="20"/>
          <w:lang w:bidi="ar-SA"/>
        </w:rPr>
      </w:pPr>
    </w:p>
    <w:p w:rsidR="00B80619" w:rsidRDefault="00B80619" w:rsidP="00441F60">
      <w:pPr>
        <w:spacing w:after="0" w:line="240" w:lineRule="auto"/>
        <w:jc w:val="both"/>
        <w:rPr>
          <w:rFonts w:ascii="Times New Roman" w:hAnsi="Times New Roman"/>
          <w:iCs/>
          <w:noProof/>
          <w:sz w:val="20"/>
          <w:szCs w:val="20"/>
          <w:lang w:bidi="ar-SA"/>
        </w:rPr>
      </w:pPr>
    </w:p>
    <w:p w:rsidR="00B80619" w:rsidRDefault="00B80619" w:rsidP="00441F60">
      <w:pPr>
        <w:spacing w:after="0" w:line="240" w:lineRule="auto"/>
        <w:jc w:val="both"/>
        <w:rPr>
          <w:rFonts w:ascii="Times New Roman" w:hAnsi="Times New Roman"/>
          <w:iCs/>
          <w:noProof/>
          <w:sz w:val="20"/>
          <w:szCs w:val="20"/>
          <w:lang w:bidi="ar-SA"/>
        </w:rPr>
      </w:pPr>
    </w:p>
    <w:p w:rsidR="00B80619" w:rsidRDefault="00B80619" w:rsidP="00441F60">
      <w:pPr>
        <w:spacing w:after="0" w:line="240" w:lineRule="auto"/>
        <w:jc w:val="both"/>
        <w:rPr>
          <w:rFonts w:ascii="Times New Roman" w:hAnsi="Times New Roman"/>
          <w:iCs/>
          <w:noProof/>
          <w:sz w:val="20"/>
          <w:szCs w:val="20"/>
          <w:lang w:bidi="ar-SA"/>
        </w:rPr>
      </w:pPr>
    </w:p>
    <w:p w:rsidR="00B80619" w:rsidRDefault="00B80619" w:rsidP="00441F60">
      <w:pPr>
        <w:spacing w:after="0" w:line="240" w:lineRule="auto"/>
        <w:jc w:val="both"/>
        <w:rPr>
          <w:rFonts w:ascii="Times New Roman" w:hAnsi="Times New Roman"/>
          <w:iCs/>
          <w:noProof/>
          <w:sz w:val="20"/>
          <w:szCs w:val="20"/>
          <w:lang w:bidi="ar-SA"/>
        </w:rPr>
      </w:pPr>
    </w:p>
    <w:p w:rsidR="00B80619" w:rsidRDefault="00B80619" w:rsidP="00441F60">
      <w:pPr>
        <w:spacing w:after="0" w:line="240" w:lineRule="auto"/>
        <w:jc w:val="both"/>
        <w:rPr>
          <w:rFonts w:ascii="Times New Roman" w:hAnsi="Times New Roman"/>
          <w:iCs/>
          <w:noProof/>
          <w:sz w:val="20"/>
          <w:szCs w:val="20"/>
          <w:lang w:bidi="ar-SA"/>
        </w:rPr>
      </w:pPr>
    </w:p>
    <w:p w:rsidR="00B80619" w:rsidRDefault="00B80619" w:rsidP="00441F60">
      <w:pPr>
        <w:spacing w:after="0" w:line="240" w:lineRule="auto"/>
        <w:jc w:val="both"/>
        <w:rPr>
          <w:rFonts w:ascii="Times New Roman" w:hAnsi="Times New Roman"/>
          <w:iCs/>
          <w:noProof/>
          <w:sz w:val="20"/>
          <w:szCs w:val="20"/>
          <w:lang w:bidi="ar-SA"/>
        </w:rPr>
      </w:pPr>
    </w:p>
    <w:p w:rsidR="00B80619" w:rsidRDefault="00B80619" w:rsidP="00441F60">
      <w:pPr>
        <w:spacing w:after="0" w:line="240" w:lineRule="auto"/>
        <w:jc w:val="both"/>
        <w:rPr>
          <w:rFonts w:ascii="Times New Roman" w:hAnsi="Times New Roman"/>
          <w:iCs/>
          <w:noProof/>
          <w:sz w:val="20"/>
          <w:szCs w:val="20"/>
          <w:lang w:bidi="ar-SA"/>
        </w:rPr>
      </w:pPr>
    </w:p>
    <w:p w:rsidR="00B80619" w:rsidRDefault="00B80619" w:rsidP="00441F60">
      <w:pPr>
        <w:spacing w:after="0" w:line="240" w:lineRule="auto"/>
        <w:jc w:val="both"/>
        <w:rPr>
          <w:rFonts w:ascii="Times New Roman" w:hAnsi="Times New Roman"/>
          <w:iCs/>
          <w:noProof/>
          <w:sz w:val="20"/>
          <w:szCs w:val="20"/>
          <w:lang w:bidi="ar-SA"/>
        </w:rPr>
      </w:pPr>
    </w:p>
    <w:p w:rsidR="00B80619" w:rsidRDefault="00B80619" w:rsidP="00441F60">
      <w:pPr>
        <w:spacing w:after="0" w:line="240" w:lineRule="auto"/>
        <w:jc w:val="both"/>
        <w:rPr>
          <w:rFonts w:ascii="Times New Roman" w:hAnsi="Times New Roman"/>
          <w:iCs/>
          <w:noProof/>
          <w:sz w:val="20"/>
          <w:szCs w:val="20"/>
          <w:lang w:bidi="ar-SA"/>
        </w:rPr>
      </w:pPr>
    </w:p>
    <w:p w:rsidR="00B80619" w:rsidRDefault="00B80619" w:rsidP="00441F60">
      <w:pPr>
        <w:spacing w:after="0" w:line="240" w:lineRule="auto"/>
        <w:jc w:val="both"/>
        <w:rPr>
          <w:rFonts w:ascii="Times New Roman" w:hAnsi="Times New Roman"/>
          <w:iCs/>
          <w:noProof/>
          <w:sz w:val="20"/>
          <w:szCs w:val="20"/>
          <w:lang w:bidi="ar-SA"/>
        </w:rPr>
      </w:pPr>
    </w:p>
    <w:p w:rsidR="00B80619" w:rsidRPr="00745DD7" w:rsidRDefault="00745DD7" w:rsidP="00745DD7">
      <w:pPr>
        <w:spacing w:after="0" w:line="240" w:lineRule="auto"/>
        <w:jc w:val="center"/>
        <w:rPr>
          <w:rFonts w:ascii="Times New Roman" w:hAnsi="Times New Roman"/>
          <w:iCs/>
          <w:sz w:val="20"/>
          <w:szCs w:val="20"/>
        </w:rPr>
      </w:pPr>
      <w:r w:rsidRPr="00745DD7">
        <w:rPr>
          <w:rFonts w:ascii="Times New Roman" w:hAnsi="Times New Roman"/>
          <w:iCs/>
          <w:sz w:val="20"/>
          <w:szCs w:val="20"/>
        </w:rPr>
        <w:t xml:space="preserve">Figure 2. </w:t>
      </w:r>
      <w:r>
        <w:rPr>
          <w:rFonts w:ascii="Times New Roman" w:hAnsi="Times New Roman"/>
          <w:iCs/>
          <w:sz w:val="20"/>
          <w:szCs w:val="20"/>
        </w:rPr>
        <w:t xml:space="preserve"> </w:t>
      </w:r>
      <w:r w:rsidRPr="00745DD7">
        <w:rPr>
          <w:rFonts w:ascii="Times New Roman" w:hAnsi="Times New Roman"/>
          <w:iCs/>
          <w:sz w:val="20"/>
          <w:szCs w:val="20"/>
        </w:rPr>
        <w:t>Variation of N-based nutrient concentrations in the Besut River basin</w:t>
      </w:r>
    </w:p>
    <w:p w:rsidR="00B80619" w:rsidRDefault="00B80619" w:rsidP="00441F60">
      <w:pPr>
        <w:spacing w:after="0" w:line="240" w:lineRule="auto"/>
        <w:jc w:val="both"/>
        <w:rPr>
          <w:rFonts w:ascii="Times New Roman" w:hAnsi="Times New Roman"/>
          <w:iCs/>
          <w:noProof/>
          <w:sz w:val="20"/>
          <w:szCs w:val="20"/>
          <w:lang w:bidi="ar-SA"/>
        </w:rPr>
      </w:pPr>
    </w:p>
    <w:p w:rsidR="00B80619" w:rsidRDefault="00745DD7" w:rsidP="00441F60">
      <w:pPr>
        <w:spacing w:after="0" w:line="240" w:lineRule="auto"/>
        <w:jc w:val="both"/>
        <w:rPr>
          <w:rFonts w:ascii="Times New Roman" w:hAnsi="Times New Roman"/>
          <w:iCs/>
          <w:sz w:val="20"/>
          <w:szCs w:val="20"/>
        </w:rPr>
      </w:pPr>
      <w:r>
        <w:rPr>
          <w:rFonts w:ascii="Calibri" w:hAnsi="Calibri"/>
          <w:noProof/>
          <w:lang w:bidi="ar-SA"/>
        </w:rPr>
        <w:drawing>
          <wp:anchor distT="0" distB="0" distL="114300" distR="114300" simplePos="0" relativeHeight="251680256" behindDoc="0" locked="0" layoutInCell="1" allowOverlap="1" wp14:anchorId="1B32F9C8" wp14:editId="0DA53478">
            <wp:simplePos x="0" y="0"/>
            <wp:positionH relativeFrom="column">
              <wp:posOffset>3108960</wp:posOffset>
            </wp:positionH>
            <wp:positionV relativeFrom="paragraph">
              <wp:posOffset>48260</wp:posOffset>
            </wp:positionV>
            <wp:extent cx="2383155" cy="1670685"/>
            <wp:effectExtent l="0" t="0" r="0" b="5715"/>
            <wp:wrapNone/>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3155" cy="16706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lang w:bidi="ar-SA"/>
        </w:rPr>
        <w:drawing>
          <wp:anchor distT="0" distB="0" distL="114300" distR="114300" simplePos="0" relativeHeight="251679232" behindDoc="0" locked="0" layoutInCell="1" allowOverlap="1" wp14:anchorId="4F17A4EE" wp14:editId="591F2749">
            <wp:simplePos x="0" y="0"/>
            <wp:positionH relativeFrom="column">
              <wp:posOffset>341630</wp:posOffset>
            </wp:positionH>
            <wp:positionV relativeFrom="paragraph">
              <wp:posOffset>41275</wp:posOffset>
            </wp:positionV>
            <wp:extent cx="2383155" cy="1670685"/>
            <wp:effectExtent l="0" t="0" r="0" b="5715"/>
            <wp:wrapNone/>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0"/>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3155" cy="1670685"/>
                    </a:xfrm>
                    <a:prstGeom prst="rect">
                      <a:avLst/>
                    </a:prstGeom>
                    <a:noFill/>
                  </pic:spPr>
                </pic:pic>
              </a:graphicData>
            </a:graphic>
            <wp14:sizeRelH relativeFrom="page">
              <wp14:pctWidth>0</wp14:pctWidth>
            </wp14:sizeRelH>
            <wp14:sizeRelV relativeFrom="page">
              <wp14:pctHeight>0</wp14:pctHeight>
            </wp14:sizeRelV>
          </wp:anchor>
        </w:drawing>
      </w:r>
    </w:p>
    <w:tbl>
      <w:tblPr>
        <w:tblW w:w="9134" w:type="dxa"/>
        <w:jc w:val="center"/>
        <w:tblInd w:w="108" w:type="dxa"/>
        <w:tblLook w:val="04A0" w:firstRow="1" w:lastRow="0" w:firstColumn="1" w:lastColumn="0" w:noHBand="0" w:noVBand="1"/>
      </w:tblPr>
      <w:tblGrid>
        <w:gridCol w:w="1337"/>
        <w:gridCol w:w="246"/>
        <w:gridCol w:w="1229"/>
        <w:gridCol w:w="247"/>
        <w:gridCol w:w="805"/>
        <w:gridCol w:w="246"/>
        <w:gridCol w:w="802"/>
        <w:gridCol w:w="246"/>
        <w:gridCol w:w="802"/>
        <w:gridCol w:w="246"/>
        <w:gridCol w:w="802"/>
        <w:gridCol w:w="246"/>
        <w:gridCol w:w="246"/>
        <w:gridCol w:w="586"/>
        <w:gridCol w:w="246"/>
        <w:gridCol w:w="802"/>
      </w:tblGrid>
      <w:tr w:rsidR="00745DD7" w:rsidRPr="009B0025" w:rsidTr="00745DD7">
        <w:trPr>
          <w:trHeight w:val="300"/>
          <w:jc w:val="center"/>
        </w:trPr>
        <w:tc>
          <w:tcPr>
            <w:tcW w:w="1583"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476"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51"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83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r>
      <w:tr w:rsidR="00745DD7" w:rsidRPr="009B0025" w:rsidTr="00745DD7">
        <w:trPr>
          <w:trHeight w:val="300"/>
          <w:jc w:val="center"/>
        </w:trPr>
        <w:tc>
          <w:tcPr>
            <w:tcW w:w="1583"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476"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51"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83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r>
      <w:tr w:rsidR="00745DD7" w:rsidRPr="009B0025" w:rsidTr="00745DD7">
        <w:trPr>
          <w:trHeight w:val="300"/>
          <w:jc w:val="center"/>
        </w:trPr>
        <w:tc>
          <w:tcPr>
            <w:tcW w:w="1583"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476"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51"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83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r>
      <w:tr w:rsidR="00745DD7" w:rsidRPr="009B0025" w:rsidTr="00745DD7">
        <w:trPr>
          <w:trHeight w:val="300"/>
          <w:jc w:val="center"/>
        </w:trPr>
        <w:tc>
          <w:tcPr>
            <w:tcW w:w="1583"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476"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51"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83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r>
      <w:tr w:rsidR="00745DD7" w:rsidRPr="009B0025" w:rsidTr="00745DD7">
        <w:trPr>
          <w:gridAfter w:val="1"/>
          <w:wAfter w:w="802" w:type="dxa"/>
          <w:trHeight w:val="300"/>
          <w:jc w:val="center"/>
        </w:trPr>
        <w:tc>
          <w:tcPr>
            <w:tcW w:w="1337"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960"/>
            </w:tblGrid>
            <w:tr w:rsidR="00745DD7" w:rsidRPr="009B0025" w:rsidTr="00692B38">
              <w:trPr>
                <w:trHeight w:val="300"/>
                <w:tblCellSpacing w:w="0" w:type="dxa"/>
              </w:trPr>
              <w:tc>
                <w:tcPr>
                  <w:tcW w:w="960" w:type="dxa"/>
                  <w:tcBorders>
                    <w:top w:val="nil"/>
                    <w:left w:val="nil"/>
                    <w:bottom w:val="nil"/>
                    <w:right w:val="nil"/>
                  </w:tcBorders>
                  <w:shd w:val="clear" w:color="auto" w:fill="auto"/>
                  <w:noWrap/>
                  <w:vAlign w:val="bottom"/>
                  <w:hideMark/>
                </w:tcPr>
                <w:p w:rsidR="00745DD7" w:rsidRPr="009B0025" w:rsidRDefault="00745DD7" w:rsidP="00692B38">
                  <w:pPr>
                    <w:rPr>
                      <w:rFonts w:ascii="Calibri" w:hAnsi="Calibri"/>
                    </w:rPr>
                  </w:pPr>
                </w:p>
              </w:tc>
            </w:tr>
          </w:tbl>
          <w:p w:rsidR="00745DD7" w:rsidRPr="009B0025" w:rsidRDefault="00745DD7" w:rsidP="00692B38">
            <w:pPr>
              <w:rPr>
                <w:rFonts w:ascii="Calibri" w:hAnsi="Calibri"/>
              </w:rPr>
            </w:pPr>
          </w:p>
        </w:tc>
        <w:tc>
          <w:tcPr>
            <w:tcW w:w="1475"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5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492" w:type="dxa"/>
            <w:gridSpan w:val="2"/>
            <w:tcBorders>
              <w:top w:val="nil"/>
              <w:left w:val="nil"/>
              <w:bottom w:val="nil"/>
              <w:right w:val="nil"/>
            </w:tcBorders>
          </w:tcPr>
          <w:p w:rsidR="00745DD7" w:rsidRPr="009B0025" w:rsidRDefault="00745DD7" w:rsidP="00692B38">
            <w:pPr>
              <w:rPr>
                <w:sz w:val="20"/>
                <w:szCs w:val="20"/>
              </w:rPr>
            </w:pPr>
          </w:p>
        </w:tc>
        <w:tc>
          <w:tcPr>
            <w:tcW w:w="83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r>
      <w:tr w:rsidR="00745DD7" w:rsidRPr="009B0025" w:rsidTr="00745DD7">
        <w:trPr>
          <w:gridAfter w:val="1"/>
          <w:wAfter w:w="802" w:type="dxa"/>
          <w:trHeight w:val="300"/>
          <w:jc w:val="center"/>
        </w:trPr>
        <w:tc>
          <w:tcPr>
            <w:tcW w:w="1337" w:type="dxa"/>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475"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5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492" w:type="dxa"/>
            <w:gridSpan w:val="2"/>
            <w:tcBorders>
              <w:top w:val="nil"/>
              <w:left w:val="nil"/>
              <w:bottom w:val="nil"/>
              <w:right w:val="nil"/>
            </w:tcBorders>
          </w:tcPr>
          <w:p w:rsidR="00745DD7" w:rsidRPr="009B0025" w:rsidRDefault="00745DD7" w:rsidP="00692B38">
            <w:pPr>
              <w:rPr>
                <w:sz w:val="20"/>
                <w:szCs w:val="20"/>
              </w:rPr>
            </w:pPr>
          </w:p>
        </w:tc>
        <w:tc>
          <w:tcPr>
            <w:tcW w:w="83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r>
      <w:tr w:rsidR="00745DD7" w:rsidRPr="009B0025" w:rsidTr="00745DD7">
        <w:trPr>
          <w:gridAfter w:val="1"/>
          <w:wAfter w:w="802" w:type="dxa"/>
          <w:trHeight w:val="300"/>
          <w:jc w:val="center"/>
        </w:trPr>
        <w:tc>
          <w:tcPr>
            <w:tcW w:w="1337" w:type="dxa"/>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475"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5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492" w:type="dxa"/>
            <w:gridSpan w:val="2"/>
            <w:tcBorders>
              <w:top w:val="nil"/>
              <w:left w:val="nil"/>
              <w:bottom w:val="nil"/>
              <w:right w:val="nil"/>
            </w:tcBorders>
          </w:tcPr>
          <w:p w:rsidR="00745DD7" w:rsidRPr="009B0025" w:rsidRDefault="00745DD7" w:rsidP="00692B38">
            <w:pPr>
              <w:rPr>
                <w:sz w:val="20"/>
                <w:szCs w:val="20"/>
              </w:rPr>
            </w:pPr>
          </w:p>
        </w:tc>
        <w:tc>
          <w:tcPr>
            <w:tcW w:w="83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r>
      <w:tr w:rsidR="00745DD7" w:rsidRPr="009B0025" w:rsidTr="00745DD7">
        <w:trPr>
          <w:gridAfter w:val="1"/>
          <w:wAfter w:w="802" w:type="dxa"/>
          <w:trHeight w:val="300"/>
          <w:jc w:val="center"/>
        </w:trPr>
        <w:tc>
          <w:tcPr>
            <w:tcW w:w="1337" w:type="dxa"/>
            <w:tcBorders>
              <w:top w:val="nil"/>
              <w:left w:val="nil"/>
              <w:bottom w:val="nil"/>
              <w:right w:val="nil"/>
            </w:tcBorders>
            <w:shd w:val="clear" w:color="auto" w:fill="auto"/>
            <w:noWrap/>
            <w:vAlign w:val="bottom"/>
            <w:hideMark/>
          </w:tcPr>
          <w:p w:rsidR="00745DD7" w:rsidRPr="009B0025" w:rsidRDefault="00745DD7" w:rsidP="00692B38">
            <w:pPr>
              <w:rPr>
                <w:sz w:val="20"/>
                <w:szCs w:val="20"/>
              </w:rPr>
            </w:pPr>
            <w:r>
              <w:rPr>
                <w:rFonts w:ascii="Calibri" w:hAnsi="Calibri"/>
                <w:noProof/>
                <w:lang w:bidi="ar-SA"/>
              </w:rPr>
              <w:drawing>
                <wp:anchor distT="0" distB="0" distL="114300" distR="114300" simplePos="0" relativeHeight="251681280" behindDoc="0" locked="0" layoutInCell="1" allowOverlap="1" wp14:anchorId="192B67C7" wp14:editId="3138FA5C">
                  <wp:simplePos x="0" y="0"/>
                  <wp:positionH relativeFrom="column">
                    <wp:posOffset>208280</wp:posOffset>
                  </wp:positionH>
                  <wp:positionV relativeFrom="paragraph">
                    <wp:posOffset>16510</wp:posOffset>
                  </wp:positionV>
                  <wp:extent cx="2383155" cy="1670685"/>
                  <wp:effectExtent l="0" t="0" r="0" b="5715"/>
                  <wp:wrapNone/>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3155" cy="1670685"/>
                          </a:xfrm>
                          <a:prstGeom prst="rect">
                            <a:avLst/>
                          </a:prstGeom>
                          <a:noFill/>
                        </pic:spPr>
                      </pic:pic>
                    </a:graphicData>
                  </a:graphic>
                  <wp14:sizeRelH relativeFrom="page">
                    <wp14:pctWidth>0</wp14:pctWidth>
                  </wp14:sizeRelH>
                  <wp14:sizeRelV relativeFrom="page">
                    <wp14:pctHeight>0</wp14:pctHeight>
                  </wp14:sizeRelV>
                </wp:anchor>
              </w:drawing>
            </w:r>
          </w:p>
        </w:tc>
        <w:tc>
          <w:tcPr>
            <w:tcW w:w="1475"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5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r>
              <w:rPr>
                <w:rFonts w:ascii="Calibri" w:hAnsi="Calibri"/>
                <w:noProof/>
                <w:lang w:bidi="ar-SA"/>
              </w:rPr>
              <w:drawing>
                <wp:anchor distT="0" distB="0" distL="114300" distR="114300" simplePos="0" relativeHeight="251682304" behindDoc="0" locked="0" layoutInCell="1" allowOverlap="1" wp14:anchorId="71E976AF" wp14:editId="247AFA8E">
                  <wp:simplePos x="0" y="0"/>
                  <wp:positionH relativeFrom="column">
                    <wp:posOffset>528955</wp:posOffset>
                  </wp:positionH>
                  <wp:positionV relativeFrom="paragraph">
                    <wp:posOffset>8890</wp:posOffset>
                  </wp:positionV>
                  <wp:extent cx="2383155" cy="1670685"/>
                  <wp:effectExtent l="0" t="0" r="0" b="5715"/>
                  <wp:wrapNone/>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3"/>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3155" cy="1670685"/>
                          </a:xfrm>
                          <a:prstGeom prst="rect">
                            <a:avLst/>
                          </a:prstGeom>
                          <a:noFill/>
                        </pic:spPr>
                      </pic:pic>
                    </a:graphicData>
                  </a:graphic>
                  <wp14:sizeRelH relativeFrom="page">
                    <wp14:pctWidth>0</wp14:pctWidth>
                  </wp14:sizeRelH>
                  <wp14:sizeRelV relativeFrom="page">
                    <wp14:pctHeight>0</wp14:pctHeight>
                  </wp14:sizeRelV>
                </wp:anchor>
              </w:drawing>
            </w: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492" w:type="dxa"/>
            <w:gridSpan w:val="2"/>
            <w:tcBorders>
              <w:top w:val="nil"/>
              <w:left w:val="nil"/>
              <w:bottom w:val="nil"/>
              <w:right w:val="nil"/>
            </w:tcBorders>
          </w:tcPr>
          <w:p w:rsidR="00745DD7" w:rsidRPr="009B0025" w:rsidRDefault="00745DD7" w:rsidP="00692B38">
            <w:pPr>
              <w:rPr>
                <w:sz w:val="20"/>
                <w:szCs w:val="20"/>
              </w:rPr>
            </w:pPr>
          </w:p>
        </w:tc>
        <w:tc>
          <w:tcPr>
            <w:tcW w:w="83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r>
      <w:tr w:rsidR="00745DD7" w:rsidRPr="009B0025" w:rsidTr="00745DD7">
        <w:trPr>
          <w:gridAfter w:val="1"/>
          <w:wAfter w:w="802" w:type="dxa"/>
          <w:trHeight w:val="300"/>
          <w:jc w:val="center"/>
        </w:trPr>
        <w:tc>
          <w:tcPr>
            <w:tcW w:w="1337" w:type="dxa"/>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475"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5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492" w:type="dxa"/>
            <w:gridSpan w:val="2"/>
            <w:tcBorders>
              <w:top w:val="nil"/>
              <w:left w:val="nil"/>
              <w:bottom w:val="nil"/>
              <w:right w:val="nil"/>
            </w:tcBorders>
          </w:tcPr>
          <w:p w:rsidR="00745DD7" w:rsidRPr="009B0025" w:rsidRDefault="00745DD7" w:rsidP="00692B38">
            <w:pPr>
              <w:rPr>
                <w:sz w:val="20"/>
                <w:szCs w:val="20"/>
              </w:rPr>
            </w:pPr>
          </w:p>
        </w:tc>
        <w:tc>
          <w:tcPr>
            <w:tcW w:w="83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r>
      <w:tr w:rsidR="00745DD7" w:rsidRPr="009B0025" w:rsidTr="00745DD7">
        <w:trPr>
          <w:gridAfter w:val="1"/>
          <w:wAfter w:w="802" w:type="dxa"/>
          <w:trHeight w:val="300"/>
          <w:jc w:val="center"/>
        </w:trPr>
        <w:tc>
          <w:tcPr>
            <w:tcW w:w="1337" w:type="dxa"/>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475"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5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492" w:type="dxa"/>
            <w:gridSpan w:val="2"/>
            <w:tcBorders>
              <w:top w:val="nil"/>
              <w:left w:val="nil"/>
              <w:bottom w:val="nil"/>
              <w:right w:val="nil"/>
            </w:tcBorders>
          </w:tcPr>
          <w:p w:rsidR="00745DD7" w:rsidRPr="009B0025" w:rsidRDefault="00745DD7" w:rsidP="00692B38">
            <w:pPr>
              <w:rPr>
                <w:sz w:val="20"/>
                <w:szCs w:val="20"/>
              </w:rPr>
            </w:pPr>
          </w:p>
        </w:tc>
        <w:tc>
          <w:tcPr>
            <w:tcW w:w="83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r>
      <w:tr w:rsidR="00745DD7" w:rsidRPr="009B0025" w:rsidTr="00745DD7">
        <w:trPr>
          <w:gridAfter w:val="1"/>
          <w:wAfter w:w="802" w:type="dxa"/>
          <w:trHeight w:val="300"/>
          <w:jc w:val="center"/>
        </w:trPr>
        <w:tc>
          <w:tcPr>
            <w:tcW w:w="1337" w:type="dxa"/>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475"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5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492" w:type="dxa"/>
            <w:gridSpan w:val="2"/>
            <w:tcBorders>
              <w:top w:val="nil"/>
              <w:left w:val="nil"/>
              <w:bottom w:val="nil"/>
              <w:right w:val="nil"/>
            </w:tcBorders>
          </w:tcPr>
          <w:p w:rsidR="00745DD7" w:rsidRPr="009B0025" w:rsidRDefault="00745DD7" w:rsidP="00692B38">
            <w:pPr>
              <w:rPr>
                <w:sz w:val="20"/>
                <w:szCs w:val="20"/>
              </w:rPr>
            </w:pPr>
          </w:p>
        </w:tc>
        <w:tc>
          <w:tcPr>
            <w:tcW w:w="83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r>
      <w:tr w:rsidR="00745DD7" w:rsidRPr="009B0025" w:rsidTr="00745DD7">
        <w:trPr>
          <w:gridAfter w:val="1"/>
          <w:wAfter w:w="802" w:type="dxa"/>
          <w:trHeight w:val="300"/>
          <w:jc w:val="center"/>
        </w:trPr>
        <w:tc>
          <w:tcPr>
            <w:tcW w:w="1337" w:type="dxa"/>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475"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5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492" w:type="dxa"/>
            <w:gridSpan w:val="2"/>
            <w:tcBorders>
              <w:top w:val="nil"/>
              <w:left w:val="nil"/>
              <w:bottom w:val="nil"/>
              <w:right w:val="nil"/>
            </w:tcBorders>
          </w:tcPr>
          <w:p w:rsidR="00745DD7" w:rsidRPr="009B0025" w:rsidRDefault="00745DD7" w:rsidP="00692B38">
            <w:pPr>
              <w:rPr>
                <w:sz w:val="20"/>
                <w:szCs w:val="20"/>
              </w:rPr>
            </w:pPr>
          </w:p>
        </w:tc>
        <w:tc>
          <w:tcPr>
            <w:tcW w:w="83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r>
      <w:tr w:rsidR="00745DD7" w:rsidRPr="009B0025" w:rsidTr="00745DD7">
        <w:trPr>
          <w:gridAfter w:val="1"/>
          <w:wAfter w:w="802" w:type="dxa"/>
          <w:trHeight w:val="300"/>
          <w:jc w:val="center"/>
        </w:trPr>
        <w:tc>
          <w:tcPr>
            <w:tcW w:w="1337" w:type="dxa"/>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475"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5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1048"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c>
          <w:tcPr>
            <w:tcW w:w="492" w:type="dxa"/>
            <w:gridSpan w:val="2"/>
            <w:tcBorders>
              <w:top w:val="nil"/>
              <w:left w:val="nil"/>
              <w:bottom w:val="nil"/>
              <w:right w:val="nil"/>
            </w:tcBorders>
          </w:tcPr>
          <w:p w:rsidR="00745DD7" w:rsidRPr="009B0025" w:rsidRDefault="00745DD7" w:rsidP="00692B38">
            <w:pPr>
              <w:rPr>
                <w:sz w:val="20"/>
                <w:szCs w:val="20"/>
              </w:rPr>
            </w:pPr>
          </w:p>
        </w:tc>
        <w:tc>
          <w:tcPr>
            <w:tcW w:w="832" w:type="dxa"/>
            <w:gridSpan w:val="2"/>
            <w:tcBorders>
              <w:top w:val="nil"/>
              <w:left w:val="nil"/>
              <w:bottom w:val="nil"/>
              <w:right w:val="nil"/>
            </w:tcBorders>
            <w:shd w:val="clear" w:color="auto" w:fill="auto"/>
            <w:noWrap/>
            <w:vAlign w:val="bottom"/>
            <w:hideMark/>
          </w:tcPr>
          <w:p w:rsidR="00745DD7" w:rsidRPr="009B0025" w:rsidRDefault="00745DD7" w:rsidP="00692B38">
            <w:pPr>
              <w:rPr>
                <w:sz w:val="20"/>
                <w:szCs w:val="20"/>
              </w:rPr>
            </w:pPr>
          </w:p>
        </w:tc>
      </w:tr>
    </w:tbl>
    <w:p w:rsidR="00745DD7" w:rsidRPr="00745DD7" w:rsidRDefault="00745DD7" w:rsidP="00745DD7">
      <w:pPr>
        <w:spacing w:after="0" w:line="240" w:lineRule="auto"/>
        <w:jc w:val="center"/>
        <w:rPr>
          <w:rFonts w:ascii="Times New Roman" w:hAnsi="Times New Roman"/>
          <w:iCs/>
          <w:sz w:val="20"/>
          <w:szCs w:val="20"/>
        </w:rPr>
      </w:pPr>
      <w:r w:rsidRPr="00745DD7">
        <w:rPr>
          <w:rFonts w:ascii="Times New Roman" w:hAnsi="Times New Roman"/>
          <w:iCs/>
          <w:sz w:val="20"/>
          <w:szCs w:val="20"/>
        </w:rPr>
        <w:t xml:space="preserve">Figure 3. </w:t>
      </w:r>
      <w:r>
        <w:rPr>
          <w:rFonts w:ascii="Times New Roman" w:hAnsi="Times New Roman"/>
          <w:iCs/>
          <w:sz w:val="20"/>
          <w:szCs w:val="20"/>
        </w:rPr>
        <w:t xml:space="preserve"> </w:t>
      </w:r>
      <w:r w:rsidRPr="00745DD7">
        <w:rPr>
          <w:rFonts w:ascii="Times New Roman" w:hAnsi="Times New Roman"/>
          <w:iCs/>
          <w:sz w:val="20"/>
          <w:szCs w:val="20"/>
        </w:rPr>
        <w:t>Variation of P-based nutrient concentrations in the Besut River basin</w:t>
      </w:r>
    </w:p>
    <w:p w:rsidR="00745DD7" w:rsidRDefault="00745DD7" w:rsidP="00235756">
      <w:pPr>
        <w:spacing w:after="0" w:line="240" w:lineRule="auto"/>
        <w:jc w:val="both"/>
        <w:rPr>
          <w:rFonts w:ascii="Times New Roman" w:hAnsi="Times New Roman"/>
          <w:iCs/>
          <w:sz w:val="20"/>
          <w:szCs w:val="20"/>
        </w:rPr>
      </w:pPr>
      <w:r>
        <w:rPr>
          <w:rFonts w:ascii="Times New Roman" w:hAnsi="Times New Roman"/>
          <w:iCs/>
          <w:noProof/>
          <w:sz w:val="20"/>
          <w:szCs w:val="20"/>
          <w:lang w:bidi="ar-SA"/>
        </w:rPr>
        <w:drawing>
          <wp:anchor distT="0" distB="0" distL="114300" distR="114300" simplePos="0" relativeHeight="251687424" behindDoc="0" locked="0" layoutInCell="1" allowOverlap="1" wp14:anchorId="1056AFA3" wp14:editId="689CC73F">
            <wp:simplePos x="0" y="0"/>
            <wp:positionH relativeFrom="column">
              <wp:posOffset>3697605</wp:posOffset>
            </wp:positionH>
            <wp:positionV relativeFrom="paragraph">
              <wp:posOffset>8730615</wp:posOffset>
            </wp:positionV>
            <wp:extent cx="2383155" cy="1670685"/>
            <wp:effectExtent l="0" t="0" r="0" b="5715"/>
            <wp:wrapNone/>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3"/>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3155" cy="167068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iCs/>
          <w:noProof/>
          <w:sz w:val="20"/>
          <w:szCs w:val="20"/>
          <w:lang w:bidi="ar-SA"/>
        </w:rPr>
        <w:drawing>
          <wp:anchor distT="0" distB="0" distL="114300" distR="114300" simplePos="0" relativeHeight="251686400" behindDoc="0" locked="0" layoutInCell="1" allowOverlap="1" wp14:anchorId="61949D38" wp14:editId="1D604550">
            <wp:simplePos x="0" y="0"/>
            <wp:positionH relativeFrom="column">
              <wp:posOffset>1240155</wp:posOffset>
            </wp:positionH>
            <wp:positionV relativeFrom="paragraph">
              <wp:posOffset>8730615</wp:posOffset>
            </wp:positionV>
            <wp:extent cx="2383155" cy="1670685"/>
            <wp:effectExtent l="0" t="0" r="0" b="5715"/>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3155" cy="167068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iCs/>
          <w:noProof/>
          <w:sz w:val="20"/>
          <w:szCs w:val="20"/>
          <w:lang w:bidi="ar-SA"/>
        </w:rPr>
        <w:drawing>
          <wp:anchor distT="0" distB="0" distL="114300" distR="114300" simplePos="0" relativeHeight="251685376" behindDoc="0" locked="0" layoutInCell="1" allowOverlap="1" wp14:anchorId="114FCAFB" wp14:editId="3D2ACC83">
            <wp:simplePos x="0" y="0"/>
            <wp:positionH relativeFrom="column">
              <wp:posOffset>3694430</wp:posOffset>
            </wp:positionH>
            <wp:positionV relativeFrom="paragraph">
              <wp:posOffset>6965315</wp:posOffset>
            </wp:positionV>
            <wp:extent cx="2383155" cy="1670685"/>
            <wp:effectExtent l="0" t="0" r="0" b="5715"/>
            <wp:wrapNone/>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3155" cy="167068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iCs/>
          <w:noProof/>
          <w:sz w:val="20"/>
          <w:szCs w:val="20"/>
          <w:lang w:bidi="ar-SA"/>
        </w:rPr>
        <w:drawing>
          <wp:anchor distT="0" distB="0" distL="114300" distR="114300" simplePos="0" relativeHeight="251684352" behindDoc="0" locked="0" layoutInCell="1" allowOverlap="1" wp14:anchorId="2DF48273" wp14:editId="183D4CD9">
            <wp:simplePos x="0" y="0"/>
            <wp:positionH relativeFrom="column">
              <wp:posOffset>1242060</wp:posOffset>
            </wp:positionH>
            <wp:positionV relativeFrom="paragraph">
              <wp:posOffset>6967855</wp:posOffset>
            </wp:positionV>
            <wp:extent cx="2383155" cy="1670685"/>
            <wp:effectExtent l="0" t="0" r="0" b="5715"/>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0"/>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3155" cy="1670685"/>
                    </a:xfrm>
                    <a:prstGeom prst="rect">
                      <a:avLst/>
                    </a:prstGeom>
                    <a:noFill/>
                  </pic:spPr>
                </pic:pic>
              </a:graphicData>
            </a:graphic>
            <wp14:sizeRelH relativeFrom="page">
              <wp14:pctWidth>0</wp14:pctWidth>
            </wp14:sizeRelH>
            <wp14:sizeRelV relativeFrom="page">
              <wp14:pctHeight>0</wp14:pctHeight>
            </wp14:sizeRelV>
          </wp:anchor>
        </w:drawing>
      </w:r>
    </w:p>
    <w:p w:rsidR="00235756" w:rsidRDefault="00322D6A" w:rsidP="00235756">
      <w:pPr>
        <w:spacing w:after="0" w:line="240" w:lineRule="auto"/>
        <w:jc w:val="both"/>
        <w:rPr>
          <w:rFonts w:ascii="Times New Roman" w:hAnsi="Times New Roman"/>
          <w:iCs/>
          <w:sz w:val="20"/>
          <w:szCs w:val="20"/>
        </w:rPr>
      </w:pPr>
      <w:r w:rsidRPr="005D0552">
        <w:rPr>
          <w:rFonts w:ascii="Times New Roman" w:hAnsi="Times New Roman"/>
          <w:iCs/>
          <w:sz w:val="20"/>
          <w:szCs w:val="20"/>
        </w:rPr>
        <w:t xml:space="preserve">An increasing trend of nutrient concentrations was found going from the upstream to the downstream stations, especially at stations B6, B7 and B8 at which recorded among the highest concentrations. As mentioned earlier, the main activities </w:t>
      </w:r>
      <w:r w:rsidRPr="005D0552">
        <w:rPr>
          <w:rFonts w:ascii="Times New Roman" w:hAnsi="Times New Roman"/>
          <w:sz w:val="20"/>
          <w:szCs w:val="20"/>
        </w:rPr>
        <w:t xml:space="preserve">in this river basin are agriculture and residential areas, which concentrated in the three towns Jertih, Kampung Raja and Kuala Besut. These towns are located in the middle and downstream areas of this river basin. It is believed that there is no proper waste management in these towns as most of the </w:t>
      </w:r>
      <w:r w:rsidRPr="005D0552">
        <w:rPr>
          <w:rFonts w:ascii="Times New Roman" w:hAnsi="Times New Roman"/>
          <w:iCs/>
          <w:sz w:val="20"/>
          <w:szCs w:val="20"/>
        </w:rPr>
        <w:t xml:space="preserve">sewage effluent </w:t>
      </w:r>
      <w:r w:rsidRPr="005D0552">
        <w:rPr>
          <w:rFonts w:ascii="Times New Roman" w:hAnsi="Times New Roman"/>
          <w:sz w:val="20"/>
          <w:szCs w:val="20"/>
        </w:rPr>
        <w:t xml:space="preserve">flows straight into the river. </w:t>
      </w:r>
      <w:r w:rsidRPr="005D0552">
        <w:rPr>
          <w:rFonts w:ascii="Times New Roman" w:hAnsi="Times New Roman"/>
          <w:iCs/>
          <w:sz w:val="20"/>
          <w:szCs w:val="20"/>
        </w:rPr>
        <w:t>These effluent sources include domestic sewage and municipal waste water. Numerous studies have revealed domestic and municipal effluents as an important source of nutrients to river systems [12-14]. Run-off from agricultural activities can also contribute to enhanced nutrient contents through the diffusion process, especially when excessive fertilizers are used [15, 16]. Even though agricultural activities (palm oil plantation) are practised at the upper reaches of this river, the nutrient concentrations here were relatively low compared to downstream stations which implies that agricultural activities have a minimal influence on nutrient concentrations in this river basin.</w:t>
      </w:r>
    </w:p>
    <w:p w:rsidR="002951B3" w:rsidRPr="0092485D" w:rsidRDefault="002951B3" w:rsidP="002951B3">
      <w:pPr>
        <w:spacing w:after="0" w:line="240" w:lineRule="auto"/>
        <w:jc w:val="both"/>
        <w:rPr>
          <w:rFonts w:ascii="Times New Roman" w:hAnsi="Times New Roman"/>
          <w:iCs/>
          <w:sz w:val="20"/>
          <w:szCs w:val="20"/>
        </w:rPr>
      </w:pPr>
      <w:r w:rsidRPr="0092485D">
        <w:rPr>
          <w:rFonts w:ascii="Times New Roman" w:hAnsi="Times New Roman"/>
          <w:iCs/>
          <w:sz w:val="20"/>
          <w:szCs w:val="20"/>
        </w:rPr>
        <w:lastRenderedPageBreak/>
        <w:t xml:space="preserve">In general, the nutrient distributions were high during the wet monsoon period compared to the dry pre-monsoon period. Many studies also recorded the same observation in their study area [17-19]. An observed increase in the nutrients measured during the wet monsoon period was associated with heavy rainfall </w:t>
      </w:r>
      <w:r w:rsidRPr="0092485D">
        <w:rPr>
          <w:rFonts w:ascii="Times New Roman" w:hAnsi="Times New Roman"/>
          <w:sz w:val="20"/>
          <w:szCs w:val="20"/>
        </w:rPr>
        <w:t xml:space="preserve">that leads to peak river discharge and </w:t>
      </w:r>
      <w:r w:rsidRPr="0092485D">
        <w:rPr>
          <w:rFonts w:ascii="Times New Roman" w:hAnsi="Times New Roman"/>
          <w:iCs/>
          <w:sz w:val="20"/>
          <w:szCs w:val="20"/>
        </w:rPr>
        <w:t xml:space="preserve">high terrestrial run-off. The run-off component from the land includes agricultural and municipal wastes from the surrounding area and is responsible for high concentrations of nutrients along the surface of the Besut River basin. Conversely, during the dry season period, lower nutrient concentrations were recorded. This is possibly due to little rainfall causing weakened river flow and diminished the flushing from upstream during the dry season, therefore the waste water drainage and nutrient inputs to the water column were also low. </w:t>
      </w:r>
    </w:p>
    <w:p w:rsidR="002951B3" w:rsidRPr="0092485D" w:rsidRDefault="002951B3" w:rsidP="002951B3">
      <w:pPr>
        <w:spacing w:after="0" w:line="240" w:lineRule="auto"/>
        <w:jc w:val="both"/>
        <w:rPr>
          <w:rFonts w:ascii="Times New Roman" w:hAnsi="Times New Roman"/>
          <w:b/>
          <w:iCs/>
          <w:sz w:val="20"/>
          <w:szCs w:val="20"/>
        </w:rPr>
      </w:pPr>
    </w:p>
    <w:p w:rsidR="002951B3" w:rsidRPr="0092485D" w:rsidRDefault="002951B3" w:rsidP="002951B3">
      <w:pPr>
        <w:spacing w:after="0" w:line="240" w:lineRule="auto"/>
        <w:jc w:val="both"/>
        <w:rPr>
          <w:rFonts w:ascii="Times New Roman" w:hAnsi="Times New Roman"/>
          <w:sz w:val="20"/>
          <w:szCs w:val="20"/>
        </w:rPr>
      </w:pPr>
      <w:r w:rsidRPr="0092485D">
        <w:rPr>
          <w:rFonts w:ascii="Times New Roman" w:hAnsi="Times New Roman"/>
          <w:sz w:val="20"/>
          <w:szCs w:val="20"/>
        </w:rPr>
        <w:t xml:space="preserve">The chl-a concentrations were in the range 2.9–8.0 </w:t>
      </w:r>
      <w:r w:rsidRPr="0092485D">
        <w:rPr>
          <w:rFonts w:ascii="Times New Roman" w:hAnsi="Times New Roman"/>
          <w:iCs/>
          <w:sz w:val="20"/>
          <w:szCs w:val="20"/>
        </w:rPr>
        <w:t xml:space="preserve">(mean 5.1±1.4) </w:t>
      </w:r>
      <w:r w:rsidRPr="0092485D">
        <w:rPr>
          <w:rFonts w:ascii="Times New Roman" w:hAnsi="Times New Roman"/>
          <w:sz w:val="20"/>
          <w:szCs w:val="20"/>
        </w:rPr>
        <w:t xml:space="preserve">µg/L. The distribution of chl-a </w:t>
      </w:r>
      <w:r w:rsidRPr="0092485D">
        <w:rPr>
          <w:rFonts w:ascii="Times New Roman" w:hAnsi="Times New Roman"/>
          <w:iCs/>
          <w:sz w:val="20"/>
          <w:szCs w:val="20"/>
        </w:rPr>
        <w:t xml:space="preserve">showed no significant difference (p&gt; 0.05) between sampling stations, but again significant differences (p&lt; 0.05) between sampling dates based on the ANOVA test. In general, </w:t>
      </w:r>
      <w:r w:rsidRPr="0092485D">
        <w:rPr>
          <w:rFonts w:ascii="Times New Roman" w:hAnsi="Times New Roman"/>
          <w:sz w:val="20"/>
          <w:szCs w:val="20"/>
        </w:rPr>
        <w:t xml:space="preserve">higher chl-a concentrations were recorded at the middle and upstream stations which may be due to high nutrient input in these particular areas. </w:t>
      </w:r>
    </w:p>
    <w:p w:rsidR="002951B3" w:rsidRPr="0092485D" w:rsidRDefault="002951B3" w:rsidP="002951B3">
      <w:pPr>
        <w:spacing w:after="0" w:line="240" w:lineRule="auto"/>
        <w:jc w:val="both"/>
        <w:rPr>
          <w:rFonts w:ascii="Times New Roman" w:hAnsi="Times New Roman"/>
          <w:sz w:val="20"/>
          <w:szCs w:val="20"/>
        </w:rPr>
      </w:pPr>
    </w:p>
    <w:p w:rsidR="002951B3" w:rsidRPr="0092485D" w:rsidRDefault="002951B3" w:rsidP="002951B3">
      <w:pPr>
        <w:spacing w:after="0" w:line="240" w:lineRule="auto"/>
        <w:jc w:val="both"/>
        <w:rPr>
          <w:rFonts w:ascii="Times New Roman" w:hAnsi="Times New Roman"/>
          <w:iCs/>
          <w:sz w:val="20"/>
          <w:szCs w:val="20"/>
        </w:rPr>
      </w:pPr>
      <w:r w:rsidRPr="0092485D">
        <w:rPr>
          <w:rFonts w:ascii="Times New Roman" w:hAnsi="Times New Roman"/>
          <w:iCs/>
          <w:sz w:val="20"/>
          <w:szCs w:val="20"/>
        </w:rPr>
        <w:t xml:space="preserve">A comparison of data obtained from the present study has been made with selected previous data from river basins in Malaysia (Table 1). In general, the Besut River basin recorded lower concentrations of nutrients. This is probably due to the fact that there are no major anthropogenic activities within the basin; most activities are related to </w:t>
      </w:r>
      <w:r w:rsidRPr="0092485D">
        <w:rPr>
          <w:rFonts w:ascii="Times New Roman" w:hAnsi="Times New Roman"/>
          <w:sz w:val="20"/>
          <w:szCs w:val="20"/>
        </w:rPr>
        <w:t xml:space="preserve">agriculture and residential areas. The Marang, Kemaman and Nerus River basins recorded relatively higher values of nutrients in Terengganu due to large scale agriculture and plantation activities in these areas. In addition, a few big towns are located in these three river basins such as Marang, Chukai and Kuala Terengganu. The </w:t>
      </w:r>
      <w:r w:rsidRPr="0092485D">
        <w:rPr>
          <w:rFonts w:ascii="Times New Roman" w:hAnsi="Times New Roman"/>
          <w:iCs/>
          <w:sz w:val="20"/>
          <w:szCs w:val="20"/>
        </w:rPr>
        <w:t xml:space="preserve">Selangor River basin recorded higher concentrations for most of the nutrients which could be attributed to input from municipal waste, aquaculture farms and ex-mining ponds. As reported for the Bertam River, </w:t>
      </w:r>
      <w:r w:rsidRPr="0092485D">
        <w:rPr>
          <w:rFonts w:ascii="Times New Roman" w:hAnsi="Times New Roman"/>
          <w:sz w:val="20"/>
          <w:szCs w:val="20"/>
        </w:rPr>
        <w:t xml:space="preserve">discharge of waste </w:t>
      </w:r>
      <w:r w:rsidRPr="0092485D">
        <w:rPr>
          <w:rFonts w:ascii="Times New Roman" w:hAnsi="Times New Roman"/>
          <w:iCs/>
          <w:sz w:val="20"/>
          <w:szCs w:val="20"/>
        </w:rPr>
        <w:t>and use of fertilizers in farming areas were the main sources of nutrients. Sand mining in the river can also increase the nutrient concentrations as this activity could result in the resuspension of sediment, which could release a significant amount of nutrients attached to the sediment into the river water as observed in the Kelantan River.</w:t>
      </w:r>
    </w:p>
    <w:p w:rsidR="00745DD7" w:rsidRDefault="00745DD7" w:rsidP="002951B3">
      <w:pPr>
        <w:spacing w:after="120" w:line="240" w:lineRule="auto"/>
        <w:jc w:val="both"/>
        <w:rPr>
          <w:rFonts w:ascii="Times New Roman" w:hAnsi="Times New Roman"/>
          <w:iCs/>
          <w:sz w:val="20"/>
          <w:szCs w:val="20"/>
        </w:rPr>
      </w:pPr>
    </w:p>
    <w:p w:rsidR="002951B3" w:rsidRPr="0092485D" w:rsidRDefault="002951B3" w:rsidP="002951B3">
      <w:pPr>
        <w:spacing w:after="120" w:line="240" w:lineRule="auto"/>
        <w:jc w:val="center"/>
        <w:rPr>
          <w:rFonts w:ascii="Times New Roman" w:hAnsi="Times New Roman"/>
          <w:sz w:val="20"/>
          <w:szCs w:val="20"/>
        </w:rPr>
      </w:pPr>
      <w:r w:rsidRPr="0092485D">
        <w:rPr>
          <w:rFonts w:ascii="Times New Roman" w:hAnsi="Times New Roman"/>
          <w:sz w:val="20"/>
          <w:szCs w:val="20"/>
        </w:rPr>
        <w:t xml:space="preserve">Table 1. </w:t>
      </w:r>
      <w:r>
        <w:rPr>
          <w:rFonts w:ascii="Times New Roman" w:hAnsi="Times New Roman"/>
          <w:sz w:val="20"/>
          <w:szCs w:val="20"/>
        </w:rPr>
        <w:t xml:space="preserve"> </w:t>
      </w:r>
      <w:r w:rsidRPr="0092485D">
        <w:rPr>
          <w:rFonts w:ascii="Times New Roman" w:hAnsi="Times New Roman"/>
          <w:sz w:val="20"/>
          <w:szCs w:val="20"/>
        </w:rPr>
        <w:t>Comparison of nurients within selected area in Malaysia river basin</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2044"/>
        <w:gridCol w:w="1061"/>
        <w:gridCol w:w="944"/>
        <w:gridCol w:w="957"/>
        <w:gridCol w:w="857"/>
        <w:gridCol w:w="880"/>
        <w:gridCol w:w="880"/>
        <w:gridCol w:w="980"/>
        <w:gridCol w:w="836"/>
      </w:tblGrid>
      <w:tr w:rsidR="002951B3" w:rsidRPr="0092485D" w:rsidTr="00DD656E">
        <w:tc>
          <w:tcPr>
            <w:tcW w:w="0" w:type="auto"/>
            <w:vMerge w:val="restart"/>
            <w:tcBorders>
              <w:top w:val="single" w:sz="4" w:space="0" w:color="auto"/>
              <w:bottom w:val="nil"/>
            </w:tcBorders>
            <w:shd w:val="clear" w:color="auto" w:fill="auto"/>
          </w:tcPr>
          <w:p w:rsidR="002951B3" w:rsidRPr="0092485D" w:rsidRDefault="002951B3" w:rsidP="00860DDD">
            <w:pPr>
              <w:spacing w:before="180" w:after="0" w:line="240" w:lineRule="auto"/>
              <w:rPr>
                <w:rFonts w:ascii="Times New Roman" w:hAnsi="Times New Roman"/>
                <w:b/>
                <w:iCs/>
                <w:sz w:val="20"/>
                <w:szCs w:val="20"/>
              </w:rPr>
            </w:pPr>
            <w:r w:rsidRPr="0092485D">
              <w:rPr>
                <w:rFonts w:ascii="Times New Roman" w:hAnsi="Times New Roman"/>
                <w:b/>
                <w:iCs/>
                <w:sz w:val="20"/>
                <w:szCs w:val="20"/>
              </w:rPr>
              <w:t>River</w:t>
            </w:r>
          </w:p>
        </w:tc>
        <w:tc>
          <w:tcPr>
            <w:tcW w:w="0" w:type="auto"/>
            <w:gridSpan w:val="4"/>
            <w:tcBorders>
              <w:top w:val="single" w:sz="4" w:space="0" w:color="auto"/>
              <w:bottom w:val="single" w:sz="4" w:space="0" w:color="auto"/>
            </w:tcBorders>
            <w:shd w:val="clear" w:color="auto" w:fill="auto"/>
          </w:tcPr>
          <w:p w:rsidR="002951B3" w:rsidRPr="0092485D" w:rsidRDefault="002951B3" w:rsidP="00860DDD">
            <w:pPr>
              <w:spacing w:before="60" w:after="0" w:line="240" w:lineRule="auto"/>
              <w:jc w:val="center"/>
              <w:rPr>
                <w:rFonts w:ascii="Times New Roman" w:hAnsi="Times New Roman"/>
                <w:b/>
                <w:iCs/>
                <w:sz w:val="20"/>
                <w:szCs w:val="20"/>
              </w:rPr>
            </w:pPr>
            <w:r w:rsidRPr="0092485D">
              <w:rPr>
                <w:rFonts w:ascii="Times New Roman" w:hAnsi="Times New Roman"/>
                <w:b/>
                <w:iCs/>
                <w:sz w:val="20"/>
                <w:szCs w:val="20"/>
              </w:rPr>
              <w:t>Nitrogen (µg/L N)</w:t>
            </w:r>
          </w:p>
        </w:tc>
        <w:tc>
          <w:tcPr>
            <w:tcW w:w="0" w:type="auto"/>
            <w:gridSpan w:val="3"/>
            <w:tcBorders>
              <w:top w:val="single" w:sz="4" w:space="0" w:color="auto"/>
              <w:bottom w:val="single" w:sz="4" w:space="0" w:color="auto"/>
            </w:tcBorders>
          </w:tcPr>
          <w:p w:rsidR="002951B3" w:rsidRPr="0092485D" w:rsidRDefault="002951B3" w:rsidP="00860DDD">
            <w:pPr>
              <w:spacing w:before="60" w:after="0" w:line="240" w:lineRule="auto"/>
              <w:jc w:val="center"/>
              <w:rPr>
                <w:rFonts w:ascii="Times New Roman" w:hAnsi="Times New Roman"/>
                <w:b/>
                <w:iCs/>
                <w:sz w:val="20"/>
                <w:szCs w:val="20"/>
              </w:rPr>
            </w:pPr>
            <w:r w:rsidRPr="0092485D">
              <w:rPr>
                <w:rFonts w:ascii="Times New Roman" w:hAnsi="Times New Roman"/>
                <w:b/>
                <w:iCs/>
                <w:sz w:val="20"/>
                <w:szCs w:val="20"/>
              </w:rPr>
              <w:t>Phosphorus (µg/L P)</w:t>
            </w:r>
          </w:p>
        </w:tc>
        <w:tc>
          <w:tcPr>
            <w:tcW w:w="0" w:type="auto"/>
            <w:vMerge w:val="restart"/>
            <w:tcBorders>
              <w:top w:val="single" w:sz="4" w:space="0" w:color="auto"/>
              <w:bottom w:val="single" w:sz="4" w:space="0" w:color="auto"/>
            </w:tcBorders>
            <w:shd w:val="clear" w:color="auto" w:fill="auto"/>
          </w:tcPr>
          <w:p w:rsidR="002951B3" w:rsidRPr="0092485D" w:rsidRDefault="002951B3" w:rsidP="00860DDD">
            <w:pPr>
              <w:spacing w:before="180" w:after="0" w:line="240" w:lineRule="auto"/>
              <w:rPr>
                <w:rFonts w:ascii="Times New Roman" w:hAnsi="Times New Roman"/>
                <w:b/>
                <w:iCs/>
                <w:sz w:val="20"/>
                <w:szCs w:val="20"/>
              </w:rPr>
            </w:pPr>
            <w:r w:rsidRPr="0092485D">
              <w:rPr>
                <w:rFonts w:ascii="Times New Roman" w:hAnsi="Times New Roman"/>
                <w:b/>
                <w:iCs/>
                <w:sz w:val="20"/>
                <w:szCs w:val="20"/>
              </w:rPr>
              <w:t>Ref.</w:t>
            </w:r>
          </w:p>
        </w:tc>
      </w:tr>
      <w:tr w:rsidR="002951B3" w:rsidRPr="0092485D" w:rsidTr="00DD656E">
        <w:tc>
          <w:tcPr>
            <w:tcW w:w="0" w:type="auto"/>
            <w:vMerge/>
            <w:tcBorders>
              <w:top w:val="nil"/>
              <w:bottom w:val="single" w:sz="4" w:space="0" w:color="auto"/>
            </w:tcBorders>
            <w:shd w:val="clear" w:color="auto" w:fill="auto"/>
          </w:tcPr>
          <w:p w:rsidR="002951B3" w:rsidRPr="0092485D" w:rsidRDefault="002951B3" w:rsidP="00860DDD">
            <w:pPr>
              <w:spacing w:after="0" w:line="240" w:lineRule="auto"/>
              <w:rPr>
                <w:rFonts w:ascii="Times New Roman" w:hAnsi="Times New Roman"/>
                <w:iCs/>
                <w:sz w:val="20"/>
                <w:szCs w:val="20"/>
              </w:rPr>
            </w:pPr>
          </w:p>
        </w:tc>
        <w:tc>
          <w:tcPr>
            <w:tcW w:w="0" w:type="auto"/>
            <w:tcBorders>
              <w:top w:val="single" w:sz="4" w:space="0" w:color="auto"/>
              <w:bottom w:val="single" w:sz="4" w:space="0" w:color="auto"/>
            </w:tcBorders>
            <w:shd w:val="clear" w:color="auto" w:fill="auto"/>
          </w:tcPr>
          <w:p w:rsidR="002951B3" w:rsidRPr="0092485D" w:rsidRDefault="002951B3" w:rsidP="00DD656E">
            <w:pPr>
              <w:spacing w:after="60" w:line="240" w:lineRule="auto"/>
              <w:jc w:val="center"/>
              <w:rPr>
                <w:rFonts w:ascii="Times New Roman" w:hAnsi="Times New Roman"/>
                <w:b/>
                <w:iCs/>
                <w:sz w:val="20"/>
                <w:szCs w:val="20"/>
              </w:rPr>
            </w:pPr>
            <w:r w:rsidRPr="0092485D">
              <w:rPr>
                <w:rFonts w:ascii="Times New Roman" w:hAnsi="Times New Roman"/>
                <w:b/>
                <w:iCs/>
                <w:sz w:val="20"/>
                <w:szCs w:val="20"/>
              </w:rPr>
              <w:t>Ammonia</w:t>
            </w:r>
          </w:p>
        </w:tc>
        <w:tc>
          <w:tcPr>
            <w:tcW w:w="0" w:type="auto"/>
            <w:tcBorders>
              <w:top w:val="single" w:sz="4" w:space="0" w:color="auto"/>
              <w:bottom w:val="single" w:sz="4" w:space="0" w:color="auto"/>
            </w:tcBorders>
            <w:shd w:val="clear" w:color="auto" w:fill="auto"/>
          </w:tcPr>
          <w:p w:rsidR="002951B3" w:rsidRPr="0092485D" w:rsidRDefault="002951B3" w:rsidP="00860DDD">
            <w:pPr>
              <w:spacing w:after="0" w:line="240" w:lineRule="auto"/>
              <w:jc w:val="center"/>
              <w:rPr>
                <w:rFonts w:ascii="Times New Roman" w:hAnsi="Times New Roman"/>
                <w:b/>
                <w:iCs/>
                <w:sz w:val="20"/>
                <w:szCs w:val="20"/>
              </w:rPr>
            </w:pPr>
            <w:r w:rsidRPr="0092485D">
              <w:rPr>
                <w:rFonts w:ascii="Times New Roman" w:hAnsi="Times New Roman"/>
                <w:b/>
                <w:iCs/>
                <w:sz w:val="20"/>
                <w:szCs w:val="20"/>
              </w:rPr>
              <w:t>Nitrate</w:t>
            </w:r>
          </w:p>
        </w:tc>
        <w:tc>
          <w:tcPr>
            <w:tcW w:w="0" w:type="auto"/>
            <w:tcBorders>
              <w:top w:val="single" w:sz="4" w:space="0" w:color="auto"/>
              <w:bottom w:val="single" w:sz="4" w:space="0" w:color="auto"/>
            </w:tcBorders>
            <w:shd w:val="clear" w:color="auto" w:fill="auto"/>
          </w:tcPr>
          <w:p w:rsidR="002951B3" w:rsidRPr="0092485D" w:rsidRDefault="002951B3" w:rsidP="00DD656E">
            <w:pPr>
              <w:spacing w:after="0" w:line="240" w:lineRule="auto"/>
              <w:rPr>
                <w:rFonts w:ascii="Times New Roman" w:hAnsi="Times New Roman"/>
                <w:b/>
                <w:iCs/>
                <w:sz w:val="20"/>
                <w:szCs w:val="20"/>
              </w:rPr>
            </w:pPr>
            <w:r w:rsidRPr="0092485D">
              <w:rPr>
                <w:rFonts w:ascii="Times New Roman" w:hAnsi="Times New Roman"/>
                <w:b/>
                <w:iCs/>
                <w:sz w:val="20"/>
                <w:szCs w:val="20"/>
              </w:rPr>
              <w:t>TDN</w:t>
            </w:r>
          </w:p>
        </w:tc>
        <w:tc>
          <w:tcPr>
            <w:tcW w:w="0" w:type="auto"/>
            <w:tcBorders>
              <w:top w:val="single" w:sz="4" w:space="0" w:color="auto"/>
              <w:bottom w:val="single" w:sz="4" w:space="0" w:color="auto"/>
            </w:tcBorders>
            <w:shd w:val="clear" w:color="auto" w:fill="auto"/>
          </w:tcPr>
          <w:p w:rsidR="002951B3" w:rsidRPr="0092485D" w:rsidRDefault="002951B3" w:rsidP="00860DDD">
            <w:pPr>
              <w:spacing w:after="0" w:line="240" w:lineRule="auto"/>
              <w:jc w:val="center"/>
              <w:rPr>
                <w:rFonts w:ascii="Times New Roman" w:hAnsi="Times New Roman"/>
                <w:b/>
                <w:iCs/>
                <w:sz w:val="20"/>
                <w:szCs w:val="20"/>
              </w:rPr>
            </w:pPr>
            <w:r w:rsidRPr="0092485D">
              <w:rPr>
                <w:rFonts w:ascii="Times New Roman" w:hAnsi="Times New Roman"/>
                <w:b/>
                <w:iCs/>
                <w:sz w:val="20"/>
                <w:szCs w:val="20"/>
              </w:rPr>
              <w:t>TPN</w:t>
            </w:r>
          </w:p>
        </w:tc>
        <w:tc>
          <w:tcPr>
            <w:tcW w:w="0" w:type="auto"/>
            <w:tcBorders>
              <w:top w:val="single" w:sz="4" w:space="0" w:color="auto"/>
              <w:bottom w:val="single" w:sz="4" w:space="0" w:color="auto"/>
            </w:tcBorders>
          </w:tcPr>
          <w:p w:rsidR="002951B3" w:rsidRPr="0092485D" w:rsidRDefault="002951B3" w:rsidP="00860DDD">
            <w:pPr>
              <w:spacing w:after="0" w:line="240" w:lineRule="auto"/>
              <w:jc w:val="center"/>
              <w:rPr>
                <w:rFonts w:ascii="Times New Roman" w:hAnsi="Times New Roman"/>
                <w:b/>
                <w:iCs/>
                <w:sz w:val="20"/>
                <w:szCs w:val="20"/>
              </w:rPr>
            </w:pPr>
            <w:r w:rsidRPr="0092485D">
              <w:rPr>
                <w:rFonts w:ascii="Times New Roman" w:hAnsi="Times New Roman"/>
                <w:b/>
                <w:iCs/>
                <w:sz w:val="20"/>
                <w:szCs w:val="20"/>
              </w:rPr>
              <w:t>DIP</w:t>
            </w:r>
          </w:p>
        </w:tc>
        <w:tc>
          <w:tcPr>
            <w:tcW w:w="0" w:type="auto"/>
            <w:tcBorders>
              <w:top w:val="single" w:sz="4" w:space="0" w:color="auto"/>
              <w:bottom w:val="single" w:sz="4" w:space="0" w:color="auto"/>
            </w:tcBorders>
          </w:tcPr>
          <w:p w:rsidR="002951B3" w:rsidRPr="0092485D" w:rsidRDefault="002951B3" w:rsidP="00860DDD">
            <w:pPr>
              <w:spacing w:after="0" w:line="240" w:lineRule="auto"/>
              <w:jc w:val="center"/>
              <w:rPr>
                <w:rFonts w:ascii="Times New Roman" w:hAnsi="Times New Roman"/>
                <w:b/>
                <w:iCs/>
                <w:sz w:val="20"/>
                <w:szCs w:val="20"/>
              </w:rPr>
            </w:pPr>
            <w:r w:rsidRPr="0092485D">
              <w:rPr>
                <w:rFonts w:ascii="Times New Roman" w:hAnsi="Times New Roman"/>
                <w:b/>
                <w:iCs/>
                <w:sz w:val="20"/>
                <w:szCs w:val="20"/>
              </w:rPr>
              <w:t>TDP</w:t>
            </w:r>
          </w:p>
        </w:tc>
        <w:tc>
          <w:tcPr>
            <w:tcW w:w="0" w:type="auto"/>
            <w:tcBorders>
              <w:top w:val="single" w:sz="4" w:space="0" w:color="auto"/>
              <w:bottom w:val="single" w:sz="4" w:space="0" w:color="auto"/>
            </w:tcBorders>
          </w:tcPr>
          <w:p w:rsidR="002951B3" w:rsidRPr="0092485D" w:rsidRDefault="002951B3" w:rsidP="00860DDD">
            <w:pPr>
              <w:spacing w:after="0" w:line="240" w:lineRule="auto"/>
              <w:jc w:val="center"/>
              <w:rPr>
                <w:rFonts w:ascii="Times New Roman" w:hAnsi="Times New Roman"/>
                <w:b/>
                <w:iCs/>
                <w:sz w:val="20"/>
                <w:szCs w:val="20"/>
              </w:rPr>
            </w:pPr>
            <w:r w:rsidRPr="0092485D">
              <w:rPr>
                <w:rFonts w:ascii="Times New Roman" w:hAnsi="Times New Roman"/>
                <w:b/>
                <w:iCs/>
                <w:sz w:val="20"/>
                <w:szCs w:val="20"/>
              </w:rPr>
              <w:t>TPP</w:t>
            </w:r>
          </w:p>
        </w:tc>
        <w:tc>
          <w:tcPr>
            <w:tcW w:w="0" w:type="auto"/>
            <w:vMerge/>
            <w:tcBorders>
              <w:top w:val="nil"/>
              <w:bottom w:val="single" w:sz="4" w:space="0" w:color="auto"/>
            </w:tcBorders>
            <w:shd w:val="clear" w:color="auto" w:fill="auto"/>
          </w:tcPr>
          <w:p w:rsidR="002951B3" w:rsidRPr="0092485D" w:rsidRDefault="002951B3" w:rsidP="00860DDD">
            <w:pPr>
              <w:spacing w:after="0" w:line="240" w:lineRule="auto"/>
              <w:rPr>
                <w:rFonts w:ascii="Times New Roman" w:hAnsi="Times New Roman"/>
                <w:iCs/>
                <w:sz w:val="20"/>
                <w:szCs w:val="20"/>
              </w:rPr>
            </w:pPr>
          </w:p>
        </w:tc>
      </w:tr>
      <w:tr w:rsidR="002951B3" w:rsidRPr="0092485D" w:rsidTr="00DD656E">
        <w:tc>
          <w:tcPr>
            <w:tcW w:w="0" w:type="auto"/>
            <w:tcBorders>
              <w:top w:val="single" w:sz="4" w:space="0" w:color="auto"/>
              <w:bottom w:val="nil"/>
            </w:tcBorders>
            <w:shd w:val="clear" w:color="auto" w:fill="auto"/>
          </w:tcPr>
          <w:p w:rsidR="002951B3" w:rsidRPr="0092485D" w:rsidRDefault="002951B3" w:rsidP="00DD656E">
            <w:pPr>
              <w:spacing w:before="60" w:after="0" w:line="240" w:lineRule="auto"/>
              <w:rPr>
                <w:rFonts w:ascii="Times New Roman" w:hAnsi="Times New Roman"/>
                <w:iCs/>
                <w:sz w:val="20"/>
                <w:szCs w:val="20"/>
              </w:rPr>
            </w:pPr>
            <w:r w:rsidRPr="0092485D">
              <w:rPr>
                <w:rFonts w:ascii="Times New Roman" w:hAnsi="Times New Roman"/>
                <w:iCs/>
                <w:sz w:val="20"/>
                <w:szCs w:val="20"/>
              </w:rPr>
              <w:t>Besut, Terengganu</w:t>
            </w:r>
          </w:p>
        </w:tc>
        <w:tc>
          <w:tcPr>
            <w:tcW w:w="0" w:type="auto"/>
            <w:tcBorders>
              <w:top w:val="single" w:sz="4" w:space="0" w:color="auto"/>
              <w:bottom w:val="nil"/>
            </w:tcBorders>
            <w:shd w:val="clear" w:color="auto" w:fill="auto"/>
          </w:tcPr>
          <w:p w:rsidR="002951B3" w:rsidRPr="0092485D" w:rsidRDefault="002951B3" w:rsidP="00DD656E">
            <w:pPr>
              <w:spacing w:before="60" w:after="0" w:line="240" w:lineRule="auto"/>
              <w:jc w:val="center"/>
              <w:rPr>
                <w:rFonts w:ascii="Times New Roman" w:hAnsi="Times New Roman"/>
                <w:iCs/>
                <w:sz w:val="20"/>
                <w:szCs w:val="20"/>
              </w:rPr>
            </w:pPr>
            <w:r w:rsidRPr="0092485D">
              <w:rPr>
                <w:rFonts w:ascii="Times New Roman" w:hAnsi="Times New Roman"/>
                <w:iCs/>
                <w:sz w:val="20"/>
                <w:szCs w:val="20"/>
              </w:rPr>
              <w:t>26</w:t>
            </w:r>
            <w:r w:rsidR="00313E3C">
              <w:rPr>
                <w:rFonts w:ascii="Times New Roman" w:hAnsi="Times New Roman"/>
                <w:iCs/>
                <w:sz w:val="20"/>
                <w:szCs w:val="20"/>
              </w:rPr>
              <w:t xml:space="preserve"> </w:t>
            </w:r>
            <w:r w:rsidRPr="0092485D">
              <w:rPr>
                <w:rFonts w:ascii="Times New Roman" w:hAnsi="Times New Roman"/>
                <w:iCs/>
                <w:sz w:val="20"/>
                <w:szCs w:val="20"/>
              </w:rPr>
              <w:t>-</w:t>
            </w:r>
            <w:r w:rsidR="00313E3C">
              <w:rPr>
                <w:rFonts w:ascii="Times New Roman" w:hAnsi="Times New Roman"/>
                <w:iCs/>
                <w:sz w:val="20"/>
                <w:szCs w:val="20"/>
              </w:rPr>
              <w:t xml:space="preserve"> </w:t>
            </w:r>
            <w:r w:rsidRPr="0092485D">
              <w:rPr>
                <w:rFonts w:ascii="Times New Roman" w:hAnsi="Times New Roman"/>
                <w:iCs/>
                <w:sz w:val="20"/>
                <w:szCs w:val="20"/>
              </w:rPr>
              <w:t>81</w:t>
            </w:r>
          </w:p>
        </w:tc>
        <w:tc>
          <w:tcPr>
            <w:tcW w:w="0" w:type="auto"/>
            <w:tcBorders>
              <w:top w:val="single" w:sz="4" w:space="0" w:color="auto"/>
              <w:bottom w:val="nil"/>
            </w:tcBorders>
            <w:shd w:val="clear" w:color="auto" w:fill="auto"/>
          </w:tcPr>
          <w:p w:rsidR="002951B3" w:rsidRPr="0092485D" w:rsidRDefault="002951B3" w:rsidP="00DD656E">
            <w:pPr>
              <w:spacing w:before="60" w:after="0" w:line="240" w:lineRule="auto"/>
              <w:rPr>
                <w:rFonts w:ascii="Times New Roman" w:hAnsi="Times New Roman"/>
                <w:iCs/>
                <w:sz w:val="20"/>
                <w:szCs w:val="20"/>
              </w:rPr>
            </w:pPr>
            <w:r w:rsidRPr="0092485D">
              <w:rPr>
                <w:rFonts w:ascii="Times New Roman" w:hAnsi="Times New Roman"/>
                <w:iCs/>
                <w:sz w:val="20"/>
                <w:szCs w:val="20"/>
              </w:rPr>
              <w:t>88</w:t>
            </w:r>
            <w:r w:rsidR="00313E3C">
              <w:rPr>
                <w:rFonts w:ascii="Times New Roman" w:hAnsi="Times New Roman"/>
                <w:iCs/>
                <w:sz w:val="20"/>
                <w:szCs w:val="20"/>
              </w:rPr>
              <w:t xml:space="preserve"> </w:t>
            </w:r>
            <w:r w:rsidRPr="0092485D">
              <w:rPr>
                <w:rFonts w:ascii="Times New Roman" w:hAnsi="Times New Roman"/>
                <w:iCs/>
                <w:sz w:val="20"/>
                <w:szCs w:val="20"/>
              </w:rPr>
              <w:t>-</w:t>
            </w:r>
            <w:r w:rsidR="00313E3C">
              <w:rPr>
                <w:rFonts w:ascii="Times New Roman" w:hAnsi="Times New Roman"/>
                <w:iCs/>
                <w:sz w:val="20"/>
                <w:szCs w:val="20"/>
              </w:rPr>
              <w:t xml:space="preserve"> </w:t>
            </w:r>
            <w:r w:rsidRPr="0092485D">
              <w:rPr>
                <w:rFonts w:ascii="Times New Roman" w:hAnsi="Times New Roman"/>
                <w:iCs/>
                <w:sz w:val="20"/>
                <w:szCs w:val="20"/>
              </w:rPr>
              <w:t>323</w:t>
            </w:r>
          </w:p>
        </w:tc>
        <w:tc>
          <w:tcPr>
            <w:tcW w:w="0" w:type="auto"/>
            <w:tcBorders>
              <w:top w:val="single" w:sz="4" w:space="0" w:color="auto"/>
              <w:bottom w:val="nil"/>
            </w:tcBorders>
            <w:shd w:val="clear" w:color="auto" w:fill="auto"/>
          </w:tcPr>
          <w:p w:rsidR="002951B3" w:rsidRPr="0092485D" w:rsidRDefault="002951B3" w:rsidP="00DD656E">
            <w:pPr>
              <w:spacing w:before="60" w:after="60" w:line="240" w:lineRule="auto"/>
              <w:rPr>
                <w:rFonts w:ascii="Times New Roman" w:hAnsi="Times New Roman"/>
                <w:iCs/>
                <w:sz w:val="20"/>
                <w:szCs w:val="20"/>
              </w:rPr>
            </w:pPr>
            <w:r w:rsidRPr="0092485D">
              <w:rPr>
                <w:rFonts w:ascii="Times New Roman" w:hAnsi="Times New Roman"/>
                <w:iCs/>
                <w:sz w:val="20"/>
                <w:szCs w:val="20"/>
              </w:rPr>
              <w:t>130</w:t>
            </w:r>
            <w:r w:rsidR="00313E3C">
              <w:rPr>
                <w:rFonts w:ascii="Times New Roman" w:hAnsi="Times New Roman"/>
                <w:iCs/>
                <w:sz w:val="20"/>
                <w:szCs w:val="20"/>
              </w:rPr>
              <w:t xml:space="preserve"> </w:t>
            </w:r>
            <w:r w:rsidRPr="0092485D">
              <w:rPr>
                <w:rFonts w:ascii="Times New Roman" w:hAnsi="Times New Roman"/>
                <w:iCs/>
                <w:sz w:val="20"/>
                <w:szCs w:val="20"/>
              </w:rPr>
              <w:t>-1,099</w:t>
            </w:r>
          </w:p>
        </w:tc>
        <w:tc>
          <w:tcPr>
            <w:tcW w:w="0" w:type="auto"/>
            <w:tcBorders>
              <w:top w:val="single" w:sz="4" w:space="0" w:color="auto"/>
              <w:bottom w:val="nil"/>
            </w:tcBorders>
            <w:shd w:val="clear" w:color="auto" w:fill="auto"/>
          </w:tcPr>
          <w:p w:rsidR="002951B3" w:rsidRPr="0092485D" w:rsidRDefault="002951B3" w:rsidP="00DD656E">
            <w:pPr>
              <w:spacing w:before="60" w:after="0" w:line="240" w:lineRule="auto"/>
              <w:rPr>
                <w:rFonts w:ascii="Times New Roman" w:hAnsi="Times New Roman"/>
                <w:iCs/>
                <w:sz w:val="20"/>
                <w:szCs w:val="20"/>
              </w:rPr>
            </w:pPr>
            <w:r w:rsidRPr="0092485D">
              <w:rPr>
                <w:rFonts w:ascii="Times New Roman" w:hAnsi="Times New Roman"/>
                <w:iCs/>
                <w:sz w:val="20"/>
                <w:szCs w:val="20"/>
              </w:rPr>
              <w:t>50</w:t>
            </w:r>
            <w:r w:rsidR="00313E3C">
              <w:rPr>
                <w:rFonts w:ascii="Times New Roman" w:hAnsi="Times New Roman"/>
                <w:iCs/>
                <w:sz w:val="20"/>
                <w:szCs w:val="20"/>
              </w:rPr>
              <w:t xml:space="preserve"> </w:t>
            </w:r>
            <w:r w:rsidRPr="0092485D">
              <w:rPr>
                <w:rFonts w:ascii="Times New Roman" w:hAnsi="Times New Roman"/>
                <w:iCs/>
                <w:sz w:val="20"/>
                <w:szCs w:val="20"/>
              </w:rPr>
              <w:t>-1,033</w:t>
            </w:r>
          </w:p>
        </w:tc>
        <w:tc>
          <w:tcPr>
            <w:tcW w:w="0" w:type="auto"/>
            <w:tcBorders>
              <w:top w:val="single" w:sz="4" w:space="0" w:color="auto"/>
              <w:bottom w:val="nil"/>
            </w:tcBorders>
          </w:tcPr>
          <w:p w:rsidR="002951B3" w:rsidRPr="0092485D" w:rsidRDefault="002951B3" w:rsidP="00DD656E">
            <w:pPr>
              <w:spacing w:before="60" w:after="0" w:line="240" w:lineRule="auto"/>
              <w:rPr>
                <w:rFonts w:ascii="Times New Roman" w:hAnsi="Times New Roman"/>
                <w:iCs/>
                <w:sz w:val="20"/>
                <w:szCs w:val="20"/>
              </w:rPr>
            </w:pPr>
            <w:r w:rsidRPr="0092485D">
              <w:rPr>
                <w:rFonts w:ascii="Times New Roman" w:hAnsi="Times New Roman"/>
                <w:iCs/>
                <w:sz w:val="20"/>
                <w:szCs w:val="20"/>
              </w:rPr>
              <w:t>0.28</w:t>
            </w:r>
            <w:r w:rsidR="00313E3C">
              <w:rPr>
                <w:rFonts w:ascii="Times New Roman" w:hAnsi="Times New Roman"/>
                <w:iCs/>
                <w:sz w:val="20"/>
                <w:szCs w:val="20"/>
              </w:rPr>
              <w:t xml:space="preserve"> </w:t>
            </w:r>
            <w:r w:rsidRPr="0092485D">
              <w:rPr>
                <w:rFonts w:ascii="Times New Roman" w:hAnsi="Times New Roman"/>
                <w:iCs/>
                <w:sz w:val="20"/>
                <w:szCs w:val="20"/>
              </w:rPr>
              <w:t>-7.28</w:t>
            </w:r>
          </w:p>
        </w:tc>
        <w:tc>
          <w:tcPr>
            <w:tcW w:w="0" w:type="auto"/>
            <w:tcBorders>
              <w:top w:val="single" w:sz="4" w:space="0" w:color="auto"/>
              <w:bottom w:val="nil"/>
            </w:tcBorders>
          </w:tcPr>
          <w:p w:rsidR="002951B3" w:rsidRPr="0092485D" w:rsidRDefault="002951B3" w:rsidP="00DD656E">
            <w:pPr>
              <w:spacing w:before="60" w:after="0" w:line="240" w:lineRule="auto"/>
              <w:rPr>
                <w:rFonts w:ascii="Times New Roman" w:hAnsi="Times New Roman"/>
                <w:iCs/>
                <w:sz w:val="20"/>
                <w:szCs w:val="20"/>
              </w:rPr>
            </w:pPr>
            <w:r w:rsidRPr="0092485D">
              <w:rPr>
                <w:rFonts w:ascii="Times New Roman" w:hAnsi="Times New Roman"/>
                <w:iCs/>
                <w:sz w:val="20"/>
                <w:szCs w:val="20"/>
              </w:rPr>
              <w:t>1.54</w:t>
            </w:r>
            <w:r w:rsidR="00313E3C">
              <w:rPr>
                <w:rFonts w:ascii="Times New Roman" w:hAnsi="Times New Roman"/>
                <w:iCs/>
                <w:sz w:val="20"/>
                <w:szCs w:val="20"/>
              </w:rPr>
              <w:t xml:space="preserve"> </w:t>
            </w:r>
            <w:r w:rsidRPr="0092485D">
              <w:rPr>
                <w:rFonts w:ascii="Times New Roman" w:hAnsi="Times New Roman"/>
                <w:iCs/>
                <w:sz w:val="20"/>
                <w:szCs w:val="20"/>
              </w:rPr>
              <w:t>-12.21</w:t>
            </w:r>
          </w:p>
        </w:tc>
        <w:tc>
          <w:tcPr>
            <w:tcW w:w="0" w:type="auto"/>
            <w:tcBorders>
              <w:top w:val="single" w:sz="4" w:space="0" w:color="auto"/>
              <w:bottom w:val="nil"/>
            </w:tcBorders>
          </w:tcPr>
          <w:p w:rsidR="002951B3" w:rsidRPr="0092485D" w:rsidRDefault="002951B3" w:rsidP="00DD656E">
            <w:pPr>
              <w:spacing w:before="60" w:after="0" w:line="240" w:lineRule="auto"/>
              <w:rPr>
                <w:rFonts w:ascii="Times New Roman" w:hAnsi="Times New Roman"/>
                <w:iCs/>
                <w:sz w:val="20"/>
                <w:szCs w:val="20"/>
              </w:rPr>
            </w:pPr>
            <w:r w:rsidRPr="0092485D">
              <w:rPr>
                <w:rFonts w:ascii="Times New Roman" w:hAnsi="Times New Roman"/>
                <w:iCs/>
                <w:sz w:val="20"/>
                <w:szCs w:val="20"/>
              </w:rPr>
              <w:t>2.28</w:t>
            </w:r>
            <w:r w:rsidR="00313E3C">
              <w:rPr>
                <w:rFonts w:ascii="Times New Roman" w:hAnsi="Times New Roman"/>
                <w:iCs/>
                <w:sz w:val="20"/>
                <w:szCs w:val="20"/>
              </w:rPr>
              <w:t xml:space="preserve"> </w:t>
            </w:r>
            <w:r w:rsidRPr="0092485D">
              <w:rPr>
                <w:rFonts w:ascii="Times New Roman" w:hAnsi="Times New Roman"/>
                <w:iCs/>
                <w:sz w:val="20"/>
                <w:szCs w:val="20"/>
              </w:rPr>
              <w:t>-19.32</w:t>
            </w:r>
          </w:p>
        </w:tc>
        <w:tc>
          <w:tcPr>
            <w:tcW w:w="0" w:type="auto"/>
            <w:tcBorders>
              <w:top w:val="single" w:sz="4" w:space="0" w:color="auto"/>
              <w:bottom w:val="nil"/>
            </w:tcBorders>
            <w:shd w:val="clear" w:color="auto" w:fill="auto"/>
          </w:tcPr>
          <w:p w:rsidR="002951B3" w:rsidRPr="0092485D" w:rsidRDefault="002951B3" w:rsidP="00DD656E">
            <w:pPr>
              <w:spacing w:before="60" w:after="0" w:line="240" w:lineRule="auto"/>
              <w:rPr>
                <w:rFonts w:ascii="Times New Roman" w:hAnsi="Times New Roman"/>
                <w:iCs/>
                <w:sz w:val="20"/>
                <w:szCs w:val="20"/>
              </w:rPr>
            </w:pPr>
            <w:r w:rsidRPr="0092485D">
              <w:rPr>
                <w:rFonts w:ascii="Times New Roman" w:hAnsi="Times New Roman"/>
                <w:iCs/>
                <w:sz w:val="20"/>
                <w:szCs w:val="20"/>
              </w:rPr>
              <w:t>This study</w:t>
            </w:r>
          </w:p>
        </w:tc>
      </w:tr>
      <w:tr w:rsidR="002951B3" w:rsidRPr="0092485D" w:rsidTr="00692B38">
        <w:tc>
          <w:tcPr>
            <w:tcW w:w="0" w:type="auto"/>
            <w:tcBorders>
              <w:top w:val="nil"/>
            </w:tcBorders>
            <w:shd w:val="clear" w:color="auto" w:fill="auto"/>
          </w:tcPr>
          <w:p w:rsidR="002951B3" w:rsidRPr="0092485D" w:rsidRDefault="002951B3" w:rsidP="00860DDD">
            <w:pPr>
              <w:spacing w:after="0" w:line="240" w:lineRule="auto"/>
              <w:rPr>
                <w:rFonts w:ascii="Times New Roman" w:hAnsi="Times New Roman"/>
                <w:iCs/>
                <w:sz w:val="20"/>
                <w:szCs w:val="20"/>
              </w:rPr>
            </w:pPr>
            <w:r w:rsidRPr="0092485D">
              <w:rPr>
                <w:rFonts w:ascii="Times New Roman" w:hAnsi="Times New Roman"/>
                <w:iCs/>
                <w:sz w:val="20"/>
                <w:szCs w:val="20"/>
              </w:rPr>
              <w:t>Marang, Terengganu</w:t>
            </w:r>
          </w:p>
        </w:tc>
        <w:tc>
          <w:tcPr>
            <w:tcW w:w="0" w:type="auto"/>
            <w:tcBorders>
              <w:top w:val="nil"/>
            </w:tcBorders>
            <w:shd w:val="clear" w:color="auto" w:fill="auto"/>
          </w:tcPr>
          <w:p w:rsidR="002951B3" w:rsidRPr="0092485D" w:rsidRDefault="002951B3" w:rsidP="00860DDD">
            <w:pPr>
              <w:spacing w:after="0" w:line="240" w:lineRule="auto"/>
              <w:jc w:val="center"/>
              <w:rPr>
                <w:rFonts w:ascii="Times New Roman" w:hAnsi="Times New Roman"/>
                <w:iCs/>
                <w:sz w:val="20"/>
                <w:szCs w:val="20"/>
              </w:rPr>
            </w:pPr>
            <w:r w:rsidRPr="0092485D">
              <w:rPr>
                <w:rFonts w:ascii="Times New Roman" w:hAnsi="Times New Roman"/>
                <w:iCs/>
                <w:sz w:val="20"/>
                <w:szCs w:val="20"/>
              </w:rPr>
              <w:t>16</w:t>
            </w:r>
            <w:r w:rsidR="00313E3C">
              <w:rPr>
                <w:rFonts w:ascii="Times New Roman" w:hAnsi="Times New Roman"/>
                <w:iCs/>
                <w:sz w:val="20"/>
                <w:szCs w:val="20"/>
              </w:rPr>
              <w:t xml:space="preserve"> </w:t>
            </w:r>
            <w:r w:rsidRPr="0092485D">
              <w:rPr>
                <w:rFonts w:ascii="Times New Roman" w:hAnsi="Times New Roman"/>
                <w:iCs/>
                <w:sz w:val="20"/>
                <w:szCs w:val="20"/>
              </w:rPr>
              <w:t>-</w:t>
            </w:r>
            <w:r w:rsidR="00313E3C">
              <w:rPr>
                <w:rFonts w:ascii="Times New Roman" w:hAnsi="Times New Roman"/>
                <w:iCs/>
                <w:sz w:val="20"/>
                <w:szCs w:val="20"/>
              </w:rPr>
              <w:t xml:space="preserve"> </w:t>
            </w:r>
            <w:r w:rsidRPr="0092485D">
              <w:rPr>
                <w:rFonts w:ascii="Times New Roman" w:hAnsi="Times New Roman"/>
                <w:iCs/>
                <w:sz w:val="20"/>
                <w:szCs w:val="20"/>
              </w:rPr>
              <w:t>161</w:t>
            </w:r>
          </w:p>
        </w:tc>
        <w:tc>
          <w:tcPr>
            <w:tcW w:w="0" w:type="auto"/>
            <w:tcBorders>
              <w:top w:val="nil"/>
            </w:tcBorders>
            <w:shd w:val="clear" w:color="auto" w:fill="auto"/>
          </w:tcPr>
          <w:p w:rsidR="002951B3" w:rsidRPr="0092485D" w:rsidRDefault="002951B3" w:rsidP="00313E3C">
            <w:pPr>
              <w:spacing w:after="0" w:line="240" w:lineRule="auto"/>
              <w:rPr>
                <w:rFonts w:ascii="Times New Roman" w:hAnsi="Times New Roman"/>
                <w:iCs/>
                <w:sz w:val="20"/>
                <w:szCs w:val="20"/>
              </w:rPr>
            </w:pPr>
            <w:r w:rsidRPr="0092485D">
              <w:rPr>
                <w:rFonts w:ascii="Times New Roman" w:hAnsi="Times New Roman"/>
                <w:iCs/>
                <w:sz w:val="20"/>
                <w:szCs w:val="20"/>
              </w:rPr>
              <w:t>65</w:t>
            </w:r>
            <w:r w:rsidR="00313E3C">
              <w:rPr>
                <w:rFonts w:ascii="Times New Roman" w:hAnsi="Times New Roman"/>
                <w:iCs/>
                <w:sz w:val="20"/>
                <w:szCs w:val="20"/>
              </w:rPr>
              <w:t xml:space="preserve"> </w:t>
            </w:r>
            <w:r w:rsidRPr="0092485D">
              <w:rPr>
                <w:rFonts w:ascii="Times New Roman" w:hAnsi="Times New Roman"/>
                <w:iCs/>
                <w:sz w:val="20"/>
                <w:szCs w:val="20"/>
              </w:rPr>
              <w:t>-</w:t>
            </w:r>
            <w:r w:rsidR="00313E3C">
              <w:rPr>
                <w:rFonts w:ascii="Times New Roman" w:hAnsi="Times New Roman"/>
                <w:iCs/>
                <w:sz w:val="20"/>
                <w:szCs w:val="20"/>
              </w:rPr>
              <w:t xml:space="preserve"> </w:t>
            </w:r>
            <w:r w:rsidRPr="0092485D">
              <w:rPr>
                <w:rFonts w:ascii="Times New Roman" w:hAnsi="Times New Roman"/>
                <w:iCs/>
                <w:sz w:val="20"/>
                <w:szCs w:val="20"/>
              </w:rPr>
              <w:t>426</w:t>
            </w:r>
          </w:p>
        </w:tc>
        <w:tc>
          <w:tcPr>
            <w:tcW w:w="0" w:type="auto"/>
            <w:tcBorders>
              <w:top w:val="nil"/>
            </w:tcBorders>
            <w:shd w:val="clear" w:color="auto" w:fill="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Borders>
              <w:top w:val="nil"/>
            </w:tcBorders>
            <w:shd w:val="clear" w:color="auto" w:fill="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Borders>
              <w:top w:val="nil"/>
            </w:tcBorders>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27</w:t>
            </w:r>
            <w:r w:rsidR="00DD656E">
              <w:rPr>
                <w:rFonts w:ascii="Times New Roman" w:hAnsi="Times New Roman"/>
                <w:iCs/>
                <w:sz w:val="20"/>
                <w:szCs w:val="20"/>
              </w:rPr>
              <w:t xml:space="preserve"> </w:t>
            </w:r>
            <w:r w:rsidRPr="0092485D">
              <w:rPr>
                <w:rFonts w:ascii="Times New Roman" w:hAnsi="Times New Roman"/>
                <w:iCs/>
                <w:sz w:val="20"/>
                <w:szCs w:val="20"/>
              </w:rPr>
              <w:t>-</w:t>
            </w:r>
            <w:r w:rsidR="00DD656E">
              <w:rPr>
                <w:rFonts w:ascii="Times New Roman" w:hAnsi="Times New Roman"/>
                <w:iCs/>
                <w:sz w:val="20"/>
                <w:szCs w:val="20"/>
              </w:rPr>
              <w:t xml:space="preserve"> </w:t>
            </w:r>
            <w:r w:rsidRPr="0092485D">
              <w:rPr>
                <w:rFonts w:ascii="Times New Roman" w:hAnsi="Times New Roman"/>
                <w:iCs/>
                <w:sz w:val="20"/>
                <w:szCs w:val="20"/>
              </w:rPr>
              <w:t>62</w:t>
            </w:r>
          </w:p>
        </w:tc>
        <w:tc>
          <w:tcPr>
            <w:tcW w:w="0" w:type="auto"/>
            <w:tcBorders>
              <w:top w:val="nil"/>
            </w:tcBorders>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Borders>
              <w:top w:val="nil"/>
            </w:tcBorders>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Borders>
              <w:top w:val="nil"/>
            </w:tcBorders>
            <w:shd w:val="clear" w:color="auto" w:fill="auto"/>
          </w:tcPr>
          <w:p w:rsidR="002951B3" w:rsidRPr="0092485D" w:rsidRDefault="002951B3" w:rsidP="00860DDD">
            <w:pPr>
              <w:spacing w:after="0" w:line="240" w:lineRule="auto"/>
              <w:rPr>
                <w:rFonts w:ascii="Times New Roman" w:hAnsi="Times New Roman"/>
                <w:iCs/>
                <w:sz w:val="20"/>
                <w:szCs w:val="20"/>
              </w:rPr>
            </w:pPr>
            <w:r w:rsidRPr="0092485D">
              <w:rPr>
                <w:rFonts w:ascii="Times New Roman" w:hAnsi="Times New Roman"/>
                <w:iCs/>
                <w:sz w:val="20"/>
                <w:szCs w:val="20"/>
              </w:rPr>
              <w:t>[12]</w:t>
            </w:r>
          </w:p>
        </w:tc>
      </w:tr>
      <w:tr w:rsidR="002951B3" w:rsidRPr="0092485D" w:rsidTr="00692B38">
        <w:tc>
          <w:tcPr>
            <w:tcW w:w="0" w:type="auto"/>
            <w:shd w:val="clear" w:color="auto" w:fill="auto"/>
          </w:tcPr>
          <w:p w:rsidR="002951B3" w:rsidRPr="0092485D" w:rsidRDefault="002951B3" w:rsidP="00860DDD">
            <w:pPr>
              <w:spacing w:after="0" w:line="240" w:lineRule="auto"/>
              <w:rPr>
                <w:rFonts w:ascii="Times New Roman" w:hAnsi="Times New Roman"/>
                <w:iCs/>
                <w:sz w:val="20"/>
                <w:szCs w:val="20"/>
              </w:rPr>
            </w:pPr>
            <w:r w:rsidRPr="0092485D">
              <w:rPr>
                <w:rFonts w:ascii="Times New Roman" w:hAnsi="Times New Roman"/>
                <w:iCs/>
                <w:sz w:val="20"/>
                <w:szCs w:val="20"/>
              </w:rPr>
              <w:t>Kemaman,Terengganu</w:t>
            </w:r>
          </w:p>
        </w:tc>
        <w:tc>
          <w:tcPr>
            <w:tcW w:w="0" w:type="auto"/>
            <w:shd w:val="clear" w:color="auto" w:fill="auto"/>
          </w:tcPr>
          <w:p w:rsidR="002951B3" w:rsidRPr="0092485D" w:rsidRDefault="002951B3" w:rsidP="00860DDD">
            <w:pPr>
              <w:spacing w:after="0" w:line="240" w:lineRule="auto"/>
              <w:jc w:val="center"/>
              <w:rPr>
                <w:rFonts w:ascii="Times New Roman" w:hAnsi="Times New Roman"/>
                <w:iCs/>
                <w:sz w:val="20"/>
                <w:szCs w:val="20"/>
              </w:rPr>
            </w:pPr>
            <w:r w:rsidRPr="0092485D">
              <w:rPr>
                <w:rFonts w:ascii="Times New Roman" w:hAnsi="Times New Roman"/>
                <w:iCs/>
                <w:sz w:val="20"/>
                <w:szCs w:val="20"/>
              </w:rPr>
              <w:t>-</w:t>
            </w:r>
          </w:p>
        </w:tc>
        <w:tc>
          <w:tcPr>
            <w:tcW w:w="0" w:type="auto"/>
            <w:shd w:val="clear" w:color="auto" w:fill="auto"/>
          </w:tcPr>
          <w:p w:rsidR="002951B3" w:rsidRPr="0092485D" w:rsidRDefault="002951B3" w:rsidP="00313E3C">
            <w:pPr>
              <w:spacing w:after="0" w:line="240" w:lineRule="auto"/>
              <w:rPr>
                <w:rFonts w:ascii="Times New Roman" w:hAnsi="Times New Roman"/>
                <w:iCs/>
                <w:sz w:val="20"/>
                <w:szCs w:val="20"/>
              </w:rPr>
            </w:pPr>
            <w:r w:rsidRPr="0092485D">
              <w:rPr>
                <w:rFonts w:ascii="Times New Roman" w:hAnsi="Times New Roman"/>
                <w:iCs/>
                <w:sz w:val="20"/>
                <w:szCs w:val="20"/>
              </w:rPr>
              <w:t>31-</w:t>
            </w:r>
            <w:r w:rsidR="00313E3C">
              <w:rPr>
                <w:rFonts w:ascii="Times New Roman" w:hAnsi="Times New Roman"/>
                <w:iCs/>
                <w:sz w:val="20"/>
                <w:szCs w:val="20"/>
              </w:rPr>
              <w:t xml:space="preserve"> </w:t>
            </w:r>
            <w:r w:rsidRPr="0092485D">
              <w:rPr>
                <w:rFonts w:ascii="Times New Roman" w:hAnsi="Times New Roman"/>
                <w:iCs/>
                <w:sz w:val="20"/>
                <w:szCs w:val="20"/>
              </w:rPr>
              <w:t>496</w:t>
            </w:r>
          </w:p>
        </w:tc>
        <w:tc>
          <w:tcPr>
            <w:tcW w:w="0" w:type="auto"/>
            <w:shd w:val="clear" w:color="auto" w:fill="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shd w:val="clear" w:color="auto" w:fill="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143</w:t>
            </w:r>
            <w:r w:rsidR="00DD656E">
              <w:rPr>
                <w:rFonts w:ascii="Times New Roman" w:hAnsi="Times New Roman"/>
                <w:iCs/>
                <w:sz w:val="20"/>
                <w:szCs w:val="20"/>
              </w:rPr>
              <w:t xml:space="preserve"> </w:t>
            </w:r>
            <w:r w:rsidRPr="0092485D">
              <w:rPr>
                <w:rFonts w:ascii="Times New Roman" w:hAnsi="Times New Roman"/>
                <w:iCs/>
                <w:sz w:val="20"/>
                <w:szCs w:val="20"/>
              </w:rPr>
              <w:t>-</w:t>
            </w:r>
            <w:r w:rsidR="00DD656E">
              <w:rPr>
                <w:rFonts w:ascii="Times New Roman" w:hAnsi="Times New Roman"/>
                <w:iCs/>
                <w:sz w:val="20"/>
                <w:szCs w:val="20"/>
              </w:rPr>
              <w:t xml:space="preserve"> </w:t>
            </w:r>
            <w:r w:rsidRPr="0092485D">
              <w:rPr>
                <w:rFonts w:ascii="Times New Roman" w:hAnsi="Times New Roman"/>
                <w:iCs/>
                <w:sz w:val="20"/>
                <w:szCs w:val="20"/>
              </w:rPr>
              <w:t>1652</w:t>
            </w:r>
          </w:p>
        </w:tc>
        <w:tc>
          <w:tcPr>
            <w:tcW w:w="0" w:type="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1.28</w:t>
            </w:r>
            <w:r w:rsidR="00DD656E">
              <w:rPr>
                <w:rFonts w:ascii="Times New Roman" w:hAnsi="Times New Roman"/>
                <w:iCs/>
                <w:sz w:val="20"/>
                <w:szCs w:val="20"/>
              </w:rPr>
              <w:t xml:space="preserve"> </w:t>
            </w:r>
            <w:r w:rsidRPr="0092485D">
              <w:rPr>
                <w:rFonts w:ascii="Times New Roman" w:hAnsi="Times New Roman"/>
                <w:iCs/>
                <w:sz w:val="20"/>
                <w:szCs w:val="20"/>
              </w:rPr>
              <w:t>-26.12</w:t>
            </w:r>
          </w:p>
        </w:tc>
        <w:tc>
          <w:tcPr>
            <w:tcW w:w="0" w:type="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Pr>
          <w:p w:rsidR="002951B3" w:rsidRPr="0092485D" w:rsidRDefault="002951B3" w:rsidP="00DD656E">
            <w:pPr>
              <w:spacing w:after="60" w:line="240" w:lineRule="auto"/>
              <w:rPr>
                <w:rFonts w:ascii="Times New Roman" w:hAnsi="Times New Roman"/>
                <w:iCs/>
                <w:sz w:val="20"/>
                <w:szCs w:val="20"/>
              </w:rPr>
            </w:pPr>
            <w:r w:rsidRPr="0092485D">
              <w:rPr>
                <w:rFonts w:ascii="Times New Roman" w:hAnsi="Times New Roman"/>
                <w:iCs/>
                <w:sz w:val="20"/>
                <w:szCs w:val="20"/>
              </w:rPr>
              <w:t>4.89</w:t>
            </w:r>
            <w:r w:rsidR="00DD656E">
              <w:rPr>
                <w:rFonts w:ascii="Times New Roman" w:hAnsi="Times New Roman"/>
                <w:iCs/>
                <w:sz w:val="20"/>
                <w:szCs w:val="20"/>
              </w:rPr>
              <w:t xml:space="preserve"> </w:t>
            </w:r>
            <w:r w:rsidRPr="0092485D">
              <w:rPr>
                <w:rFonts w:ascii="Times New Roman" w:hAnsi="Times New Roman"/>
                <w:iCs/>
                <w:sz w:val="20"/>
                <w:szCs w:val="20"/>
              </w:rPr>
              <w:t>-468.30</w:t>
            </w:r>
          </w:p>
        </w:tc>
        <w:tc>
          <w:tcPr>
            <w:tcW w:w="0" w:type="auto"/>
            <w:shd w:val="clear" w:color="auto" w:fill="auto"/>
          </w:tcPr>
          <w:p w:rsidR="002951B3" w:rsidRPr="0092485D" w:rsidRDefault="002951B3" w:rsidP="00860DDD">
            <w:pPr>
              <w:spacing w:after="0" w:line="240" w:lineRule="auto"/>
              <w:rPr>
                <w:rFonts w:ascii="Times New Roman" w:hAnsi="Times New Roman"/>
                <w:iCs/>
                <w:sz w:val="20"/>
                <w:szCs w:val="20"/>
              </w:rPr>
            </w:pPr>
            <w:r w:rsidRPr="0092485D">
              <w:rPr>
                <w:rFonts w:ascii="Times New Roman" w:hAnsi="Times New Roman"/>
                <w:iCs/>
                <w:sz w:val="20"/>
                <w:szCs w:val="20"/>
              </w:rPr>
              <w:t>[20]</w:t>
            </w:r>
          </w:p>
        </w:tc>
      </w:tr>
      <w:tr w:rsidR="002951B3" w:rsidRPr="0092485D" w:rsidTr="00692B38">
        <w:tc>
          <w:tcPr>
            <w:tcW w:w="0" w:type="auto"/>
            <w:shd w:val="clear" w:color="auto" w:fill="auto"/>
          </w:tcPr>
          <w:p w:rsidR="002951B3" w:rsidRPr="0092485D" w:rsidRDefault="002951B3" w:rsidP="00860DDD">
            <w:pPr>
              <w:spacing w:after="0" w:line="240" w:lineRule="auto"/>
              <w:rPr>
                <w:rFonts w:ascii="Times New Roman" w:hAnsi="Times New Roman"/>
                <w:iCs/>
                <w:sz w:val="20"/>
                <w:szCs w:val="20"/>
              </w:rPr>
            </w:pPr>
            <w:r w:rsidRPr="0092485D">
              <w:rPr>
                <w:rFonts w:ascii="Times New Roman" w:hAnsi="Times New Roman"/>
                <w:iCs/>
                <w:sz w:val="20"/>
                <w:szCs w:val="20"/>
              </w:rPr>
              <w:t>Nerus, Terengganu</w:t>
            </w:r>
          </w:p>
        </w:tc>
        <w:tc>
          <w:tcPr>
            <w:tcW w:w="0" w:type="auto"/>
            <w:shd w:val="clear" w:color="auto" w:fill="auto"/>
          </w:tcPr>
          <w:p w:rsidR="002951B3" w:rsidRPr="0092485D" w:rsidRDefault="002951B3" w:rsidP="00860DDD">
            <w:pPr>
              <w:spacing w:after="0" w:line="240" w:lineRule="auto"/>
              <w:jc w:val="center"/>
              <w:rPr>
                <w:rFonts w:ascii="Times New Roman" w:hAnsi="Times New Roman"/>
                <w:iCs/>
                <w:sz w:val="20"/>
                <w:szCs w:val="20"/>
              </w:rPr>
            </w:pPr>
            <w:r w:rsidRPr="0092485D">
              <w:rPr>
                <w:rFonts w:ascii="Times New Roman" w:hAnsi="Times New Roman"/>
                <w:iCs/>
                <w:sz w:val="20"/>
                <w:szCs w:val="20"/>
              </w:rPr>
              <w:t>1</w:t>
            </w:r>
            <w:r w:rsidR="00313E3C">
              <w:rPr>
                <w:rFonts w:ascii="Times New Roman" w:hAnsi="Times New Roman"/>
                <w:iCs/>
                <w:sz w:val="20"/>
                <w:szCs w:val="20"/>
              </w:rPr>
              <w:t xml:space="preserve"> </w:t>
            </w:r>
            <w:r w:rsidRPr="0092485D">
              <w:rPr>
                <w:rFonts w:ascii="Times New Roman" w:hAnsi="Times New Roman"/>
                <w:iCs/>
                <w:sz w:val="20"/>
                <w:szCs w:val="20"/>
              </w:rPr>
              <w:t>-</w:t>
            </w:r>
            <w:r w:rsidR="00313E3C">
              <w:rPr>
                <w:rFonts w:ascii="Times New Roman" w:hAnsi="Times New Roman"/>
                <w:iCs/>
                <w:sz w:val="20"/>
                <w:szCs w:val="20"/>
              </w:rPr>
              <w:t xml:space="preserve"> </w:t>
            </w:r>
            <w:r w:rsidRPr="0092485D">
              <w:rPr>
                <w:rFonts w:ascii="Times New Roman" w:hAnsi="Times New Roman"/>
                <w:iCs/>
                <w:sz w:val="20"/>
                <w:szCs w:val="20"/>
              </w:rPr>
              <w:t>35</w:t>
            </w:r>
          </w:p>
        </w:tc>
        <w:tc>
          <w:tcPr>
            <w:tcW w:w="0" w:type="auto"/>
            <w:shd w:val="clear" w:color="auto" w:fill="auto"/>
          </w:tcPr>
          <w:p w:rsidR="002951B3" w:rsidRPr="0092485D" w:rsidRDefault="002951B3" w:rsidP="00313E3C">
            <w:pPr>
              <w:spacing w:after="0" w:line="240" w:lineRule="auto"/>
              <w:rPr>
                <w:rFonts w:ascii="Times New Roman" w:hAnsi="Times New Roman"/>
                <w:iCs/>
                <w:sz w:val="20"/>
                <w:szCs w:val="20"/>
              </w:rPr>
            </w:pPr>
            <w:r w:rsidRPr="0092485D">
              <w:rPr>
                <w:rFonts w:ascii="Times New Roman" w:hAnsi="Times New Roman"/>
                <w:iCs/>
                <w:sz w:val="20"/>
                <w:szCs w:val="20"/>
              </w:rPr>
              <w:t>174</w:t>
            </w:r>
            <w:r w:rsidR="00313E3C">
              <w:rPr>
                <w:rFonts w:ascii="Times New Roman" w:hAnsi="Times New Roman"/>
                <w:iCs/>
                <w:sz w:val="20"/>
                <w:szCs w:val="20"/>
              </w:rPr>
              <w:t xml:space="preserve"> </w:t>
            </w:r>
            <w:r w:rsidRPr="0092485D">
              <w:rPr>
                <w:rFonts w:ascii="Times New Roman" w:hAnsi="Times New Roman"/>
                <w:iCs/>
                <w:sz w:val="20"/>
                <w:szCs w:val="20"/>
              </w:rPr>
              <w:t>-743</w:t>
            </w:r>
          </w:p>
        </w:tc>
        <w:tc>
          <w:tcPr>
            <w:tcW w:w="0" w:type="auto"/>
            <w:shd w:val="clear" w:color="auto" w:fill="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shd w:val="clear" w:color="auto" w:fill="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Pr>
          <w:p w:rsidR="002951B3" w:rsidRPr="0092485D" w:rsidRDefault="002951B3" w:rsidP="00DD656E">
            <w:pPr>
              <w:spacing w:after="60" w:line="240" w:lineRule="auto"/>
              <w:rPr>
                <w:rFonts w:ascii="Times New Roman" w:hAnsi="Times New Roman"/>
                <w:iCs/>
                <w:sz w:val="20"/>
                <w:szCs w:val="20"/>
              </w:rPr>
            </w:pPr>
            <w:r w:rsidRPr="0092485D">
              <w:rPr>
                <w:rFonts w:ascii="Times New Roman" w:hAnsi="Times New Roman"/>
                <w:iCs/>
                <w:sz w:val="20"/>
                <w:szCs w:val="20"/>
              </w:rPr>
              <w:t>4</w:t>
            </w:r>
            <w:r w:rsidR="00DD656E">
              <w:rPr>
                <w:rFonts w:ascii="Times New Roman" w:hAnsi="Times New Roman"/>
                <w:iCs/>
                <w:sz w:val="20"/>
                <w:szCs w:val="20"/>
              </w:rPr>
              <w:t xml:space="preserve"> </w:t>
            </w:r>
            <w:r w:rsidRPr="0092485D">
              <w:rPr>
                <w:rFonts w:ascii="Times New Roman" w:hAnsi="Times New Roman"/>
                <w:iCs/>
                <w:sz w:val="20"/>
                <w:szCs w:val="20"/>
              </w:rPr>
              <w:t>-</w:t>
            </w:r>
            <w:r w:rsidR="00DD656E">
              <w:rPr>
                <w:rFonts w:ascii="Times New Roman" w:hAnsi="Times New Roman"/>
                <w:iCs/>
                <w:sz w:val="20"/>
                <w:szCs w:val="20"/>
              </w:rPr>
              <w:t xml:space="preserve"> </w:t>
            </w:r>
            <w:r w:rsidRPr="0092485D">
              <w:rPr>
                <w:rFonts w:ascii="Times New Roman" w:hAnsi="Times New Roman"/>
                <w:iCs/>
                <w:sz w:val="20"/>
                <w:szCs w:val="20"/>
              </w:rPr>
              <w:t>29</w:t>
            </w:r>
          </w:p>
        </w:tc>
        <w:tc>
          <w:tcPr>
            <w:tcW w:w="0" w:type="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shd w:val="clear" w:color="auto" w:fill="auto"/>
          </w:tcPr>
          <w:p w:rsidR="002951B3" w:rsidRPr="0092485D" w:rsidRDefault="002951B3" w:rsidP="00860DDD">
            <w:pPr>
              <w:spacing w:after="0" w:line="240" w:lineRule="auto"/>
              <w:rPr>
                <w:rFonts w:ascii="Times New Roman" w:hAnsi="Times New Roman"/>
                <w:iCs/>
                <w:sz w:val="20"/>
                <w:szCs w:val="20"/>
              </w:rPr>
            </w:pPr>
            <w:r w:rsidRPr="0092485D">
              <w:rPr>
                <w:rFonts w:ascii="Times New Roman" w:hAnsi="Times New Roman"/>
                <w:iCs/>
                <w:sz w:val="20"/>
                <w:szCs w:val="20"/>
              </w:rPr>
              <w:t>[21]</w:t>
            </w:r>
          </w:p>
        </w:tc>
      </w:tr>
      <w:tr w:rsidR="002951B3" w:rsidRPr="0092485D" w:rsidTr="00692B38">
        <w:tc>
          <w:tcPr>
            <w:tcW w:w="0" w:type="auto"/>
            <w:shd w:val="clear" w:color="auto" w:fill="auto"/>
          </w:tcPr>
          <w:p w:rsidR="002951B3" w:rsidRPr="0092485D" w:rsidRDefault="002951B3" w:rsidP="00860DDD">
            <w:pPr>
              <w:spacing w:after="0" w:line="240" w:lineRule="auto"/>
              <w:rPr>
                <w:rFonts w:ascii="Times New Roman" w:hAnsi="Times New Roman"/>
                <w:iCs/>
                <w:sz w:val="20"/>
                <w:szCs w:val="20"/>
              </w:rPr>
            </w:pPr>
            <w:r w:rsidRPr="0092485D">
              <w:rPr>
                <w:rFonts w:ascii="Times New Roman" w:hAnsi="Times New Roman"/>
                <w:iCs/>
                <w:sz w:val="20"/>
                <w:szCs w:val="20"/>
              </w:rPr>
              <w:t>Selangor, Selangor</w:t>
            </w:r>
          </w:p>
        </w:tc>
        <w:tc>
          <w:tcPr>
            <w:tcW w:w="0" w:type="auto"/>
            <w:shd w:val="clear" w:color="auto" w:fill="auto"/>
          </w:tcPr>
          <w:p w:rsidR="002951B3" w:rsidRPr="0092485D" w:rsidRDefault="002951B3" w:rsidP="00860DDD">
            <w:pPr>
              <w:spacing w:after="0" w:line="240" w:lineRule="auto"/>
              <w:jc w:val="center"/>
              <w:rPr>
                <w:rFonts w:ascii="Times New Roman" w:hAnsi="Times New Roman"/>
                <w:iCs/>
                <w:sz w:val="20"/>
                <w:szCs w:val="20"/>
              </w:rPr>
            </w:pPr>
            <w:r w:rsidRPr="0092485D">
              <w:rPr>
                <w:rFonts w:ascii="Times New Roman" w:hAnsi="Times New Roman"/>
                <w:iCs/>
                <w:sz w:val="20"/>
                <w:szCs w:val="20"/>
              </w:rPr>
              <w:t>10</w:t>
            </w:r>
            <w:r w:rsidR="00313E3C">
              <w:rPr>
                <w:rFonts w:ascii="Times New Roman" w:hAnsi="Times New Roman"/>
                <w:iCs/>
                <w:sz w:val="20"/>
                <w:szCs w:val="20"/>
              </w:rPr>
              <w:t xml:space="preserve"> </w:t>
            </w:r>
            <w:r w:rsidRPr="0092485D">
              <w:rPr>
                <w:rFonts w:ascii="Times New Roman" w:hAnsi="Times New Roman"/>
                <w:iCs/>
                <w:sz w:val="20"/>
                <w:szCs w:val="20"/>
              </w:rPr>
              <w:t>-</w:t>
            </w:r>
            <w:r w:rsidR="00313E3C">
              <w:rPr>
                <w:rFonts w:ascii="Times New Roman" w:hAnsi="Times New Roman"/>
                <w:iCs/>
                <w:sz w:val="20"/>
                <w:szCs w:val="20"/>
              </w:rPr>
              <w:t xml:space="preserve"> </w:t>
            </w:r>
            <w:r w:rsidRPr="0092485D">
              <w:rPr>
                <w:rFonts w:ascii="Times New Roman" w:hAnsi="Times New Roman"/>
                <w:iCs/>
                <w:sz w:val="20"/>
                <w:szCs w:val="20"/>
              </w:rPr>
              <w:t>980</w:t>
            </w:r>
          </w:p>
        </w:tc>
        <w:tc>
          <w:tcPr>
            <w:tcW w:w="0" w:type="auto"/>
            <w:shd w:val="clear" w:color="auto" w:fill="auto"/>
          </w:tcPr>
          <w:p w:rsidR="002951B3" w:rsidRPr="0092485D" w:rsidRDefault="002951B3" w:rsidP="00313E3C">
            <w:pPr>
              <w:spacing w:after="0" w:line="240" w:lineRule="auto"/>
              <w:rPr>
                <w:rFonts w:ascii="Times New Roman" w:hAnsi="Times New Roman"/>
                <w:iCs/>
                <w:sz w:val="20"/>
                <w:szCs w:val="20"/>
              </w:rPr>
            </w:pPr>
            <w:r w:rsidRPr="0092485D">
              <w:rPr>
                <w:rFonts w:ascii="Times New Roman" w:hAnsi="Times New Roman"/>
                <w:iCs/>
                <w:sz w:val="20"/>
                <w:szCs w:val="20"/>
              </w:rPr>
              <w:t>50</w:t>
            </w:r>
            <w:r w:rsidR="00313E3C">
              <w:rPr>
                <w:rFonts w:ascii="Times New Roman" w:hAnsi="Times New Roman"/>
                <w:iCs/>
                <w:sz w:val="20"/>
                <w:szCs w:val="20"/>
              </w:rPr>
              <w:t xml:space="preserve"> </w:t>
            </w:r>
            <w:r w:rsidRPr="0092485D">
              <w:rPr>
                <w:rFonts w:ascii="Times New Roman" w:hAnsi="Times New Roman"/>
                <w:iCs/>
                <w:sz w:val="20"/>
                <w:szCs w:val="20"/>
              </w:rPr>
              <w:t>-4300</w:t>
            </w:r>
          </w:p>
        </w:tc>
        <w:tc>
          <w:tcPr>
            <w:tcW w:w="0" w:type="auto"/>
            <w:shd w:val="clear" w:color="auto" w:fill="auto"/>
          </w:tcPr>
          <w:p w:rsidR="002951B3" w:rsidRPr="0092485D" w:rsidRDefault="002951B3" w:rsidP="00DD656E">
            <w:pPr>
              <w:spacing w:after="60" w:line="240" w:lineRule="auto"/>
              <w:rPr>
                <w:rFonts w:ascii="Times New Roman" w:hAnsi="Times New Roman"/>
                <w:iCs/>
                <w:sz w:val="20"/>
                <w:szCs w:val="20"/>
              </w:rPr>
            </w:pPr>
            <w:r w:rsidRPr="0092485D">
              <w:rPr>
                <w:rFonts w:ascii="Times New Roman" w:hAnsi="Times New Roman"/>
                <w:iCs/>
                <w:sz w:val="20"/>
                <w:szCs w:val="20"/>
              </w:rPr>
              <w:t>510</w:t>
            </w:r>
            <w:r w:rsidR="00DD656E">
              <w:rPr>
                <w:rFonts w:ascii="Times New Roman" w:hAnsi="Times New Roman"/>
                <w:iCs/>
                <w:sz w:val="20"/>
                <w:szCs w:val="20"/>
              </w:rPr>
              <w:t xml:space="preserve"> </w:t>
            </w:r>
            <w:r w:rsidRPr="0092485D">
              <w:rPr>
                <w:rFonts w:ascii="Times New Roman" w:hAnsi="Times New Roman"/>
                <w:iCs/>
                <w:sz w:val="20"/>
                <w:szCs w:val="20"/>
              </w:rPr>
              <w:t>-13,400</w:t>
            </w:r>
          </w:p>
        </w:tc>
        <w:tc>
          <w:tcPr>
            <w:tcW w:w="0" w:type="auto"/>
            <w:shd w:val="clear" w:color="auto" w:fill="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1</w:t>
            </w:r>
            <w:r w:rsidR="00DD656E">
              <w:rPr>
                <w:rFonts w:ascii="Times New Roman" w:hAnsi="Times New Roman"/>
                <w:iCs/>
                <w:sz w:val="20"/>
                <w:szCs w:val="20"/>
              </w:rPr>
              <w:t xml:space="preserve"> </w:t>
            </w:r>
            <w:r w:rsidRPr="0092485D">
              <w:rPr>
                <w:rFonts w:ascii="Times New Roman" w:hAnsi="Times New Roman"/>
                <w:iCs/>
                <w:sz w:val="20"/>
                <w:szCs w:val="20"/>
              </w:rPr>
              <w:t>-</w:t>
            </w:r>
            <w:r w:rsidR="00DD656E">
              <w:rPr>
                <w:rFonts w:ascii="Times New Roman" w:hAnsi="Times New Roman"/>
                <w:iCs/>
                <w:sz w:val="20"/>
                <w:szCs w:val="20"/>
              </w:rPr>
              <w:t xml:space="preserve"> </w:t>
            </w:r>
            <w:r w:rsidRPr="0092485D">
              <w:rPr>
                <w:rFonts w:ascii="Times New Roman" w:hAnsi="Times New Roman"/>
                <w:iCs/>
                <w:sz w:val="20"/>
                <w:szCs w:val="20"/>
              </w:rPr>
              <w:t>123</w:t>
            </w:r>
          </w:p>
        </w:tc>
        <w:tc>
          <w:tcPr>
            <w:tcW w:w="0" w:type="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4</w:t>
            </w:r>
            <w:r w:rsidR="00DD656E">
              <w:rPr>
                <w:rFonts w:ascii="Times New Roman" w:hAnsi="Times New Roman"/>
                <w:iCs/>
                <w:sz w:val="20"/>
                <w:szCs w:val="20"/>
              </w:rPr>
              <w:t xml:space="preserve"> </w:t>
            </w:r>
            <w:r w:rsidRPr="0092485D">
              <w:rPr>
                <w:rFonts w:ascii="Times New Roman" w:hAnsi="Times New Roman"/>
                <w:iCs/>
                <w:sz w:val="20"/>
                <w:szCs w:val="20"/>
              </w:rPr>
              <w:t>-</w:t>
            </w:r>
            <w:r w:rsidR="00DD656E">
              <w:rPr>
                <w:rFonts w:ascii="Times New Roman" w:hAnsi="Times New Roman"/>
                <w:iCs/>
                <w:sz w:val="20"/>
                <w:szCs w:val="20"/>
              </w:rPr>
              <w:t xml:space="preserve"> </w:t>
            </w:r>
            <w:r w:rsidRPr="0092485D">
              <w:rPr>
                <w:rFonts w:ascii="Times New Roman" w:hAnsi="Times New Roman"/>
                <w:iCs/>
                <w:sz w:val="20"/>
                <w:szCs w:val="20"/>
              </w:rPr>
              <w:t>370</w:t>
            </w:r>
          </w:p>
        </w:tc>
        <w:tc>
          <w:tcPr>
            <w:tcW w:w="0" w:type="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shd w:val="clear" w:color="auto" w:fill="auto"/>
          </w:tcPr>
          <w:p w:rsidR="002951B3" w:rsidRPr="0092485D" w:rsidRDefault="002951B3" w:rsidP="00860DDD">
            <w:pPr>
              <w:spacing w:after="0" w:line="240" w:lineRule="auto"/>
              <w:rPr>
                <w:rFonts w:ascii="Times New Roman" w:hAnsi="Times New Roman"/>
                <w:iCs/>
                <w:sz w:val="20"/>
                <w:szCs w:val="20"/>
              </w:rPr>
            </w:pPr>
            <w:r w:rsidRPr="0092485D">
              <w:rPr>
                <w:rFonts w:ascii="Times New Roman" w:hAnsi="Times New Roman"/>
                <w:iCs/>
                <w:sz w:val="20"/>
                <w:szCs w:val="20"/>
              </w:rPr>
              <w:t>[22]</w:t>
            </w:r>
          </w:p>
        </w:tc>
      </w:tr>
      <w:tr w:rsidR="002951B3" w:rsidRPr="0092485D" w:rsidTr="00692B38">
        <w:tc>
          <w:tcPr>
            <w:tcW w:w="0" w:type="auto"/>
            <w:shd w:val="clear" w:color="auto" w:fill="auto"/>
          </w:tcPr>
          <w:p w:rsidR="002951B3" w:rsidRPr="0092485D" w:rsidRDefault="002951B3" w:rsidP="00860DDD">
            <w:pPr>
              <w:spacing w:after="0" w:line="240" w:lineRule="auto"/>
              <w:rPr>
                <w:rFonts w:ascii="Times New Roman" w:hAnsi="Times New Roman"/>
                <w:iCs/>
                <w:sz w:val="20"/>
                <w:szCs w:val="20"/>
              </w:rPr>
            </w:pPr>
            <w:r w:rsidRPr="0092485D">
              <w:rPr>
                <w:rFonts w:ascii="Times New Roman" w:hAnsi="Times New Roman"/>
                <w:iCs/>
                <w:sz w:val="20"/>
                <w:szCs w:val="20"/>
              </w:rPr>
              <w:t>Sarawak, Sarawak</w:t>
            </w:r>
          </w:p>
        </w:tc>
        <w:tc>
          <w:tcPr>
            <w:tcW w:w="0" w:type="auto"/>
            <w:shd w:val="clear" w:color="auto" w:fill="auto"/>
          </w:tcPr>
          <w:p w:rsidR="002951B3" w:rsidRPr="0092485D" w:rsidRDefault="002951B3" w:rsidP="00860DDD">
            <w:pPr>
              <w:spacing w:after="0" w:line="240" w:lineRule="auto"/>
              <w:jc w:val="center"/>
              <w:rPr>
                <w:rFonts w:ascii="Times New Roman" w:hAnsi="Times New Roman"/>
                <w:iCs/>
                <w:sz w:val="20"/>
                <w:szCs w:val="20"/>
              </w:rPr>
            </w:pPr>
            <w:r w:rsidRPr="0092485D">
              <w:rPr>
                <w:rFonts w:ascii="Times New Roman" w:hAnsi="Times New Roman"/>
                <w:iCs/>
                <w:sz w:val="20"/>
                <w:szCs w:val="20"/>
              </w:rPr>
              <w:t>30</w:t>
            </w:r>
            <w:r w:rsidR="00313E3C">
              <w:rPr>
                <w:rFonts w:ascii="Times New Roman" w:hAnsi="Times New Roman"/>
                <w:iCs/>
                <w:sz w:val="20"/>
                <w:szCs w:val="20"/>
              </w:rPr>
              <w:t xml:space="preserve"> </w:t>
            </w:r>
            <w:r w:rsidRPr="0092485D">
              <w:rPr>
                <w:rFonts w:ascii="Times New Roman" w:hAnsi="Times New Roman"/>
                <w:iCs/>
                <w:sz w:val="20"/>
                <w:szCs w:val="20"/>
              </w:rPr>
              <w:t>-</w:t>
            </w:r>
            <w:r w:rsidR="00313E3C">
              <w:rPr>
                <w:rFonts w:ascii="Times New Roman" w:hAnsi="Times New Roman"/>
                <w:iCs/>
                <w:sz w:val="20"/>
                <w:szCs w:val="20"/>
              </w:rPr>
              <w:t xml:space="preserve"> </w:t>
            </w:r>
            <w:r w:rsidRPr="0092485D">
              <w:rPr>
                <w:rFonts w:ascii="Times New Roman" w:hAnsi="Times New Roman"/>
                <w:iCs/>
                <w:sz w:val="20"/>
                <w:szCs w:val="20"/>
              </w:rPr>
              <w:t>670</w:t>
            </w:r>
          </w:p>
        </w:tc>
        <w:tc>
          <w:tcPr>
            <w:tcW w:w="0" w:type="auto"/>
            <w:shd w:val="clear" w:color="auto" w:fill="auto"/>
          </w:tcPr>
          <w:p w:rsidR="002951B3" w:rsidRPr="0092485D" w:rsidRDefault="002951B3" w:rsidP="00860DDD">
            <w:pPr>
              <w:spacing w:after="0" w:line="240" w:lineRule="auto"/>
              <w:jc w:val="center"/>
              <w:rPr>
                <w:rFonts w:ascii="Times New Roman" w:hAnsi="Times New Roman"/>
                <w:iCs/>
                <w:sz w:val="20"/>
                <w:szCs w:val="20"/>
              </w:rPr>
            </w:pPr>
            <w:r w:rsidRPr="0092485D">
              <w:rPr>
                <w:rFonts w:ascii="Times New Roman" w:hAnsi="Times New Roman"/>
                <w:iCs/>
                <w:sz w:val="20"/>
                <w:szCs w:val="20"/>
              </w:rPr>
              <w:t>30</w:t>
            </w:r>
            <w:r w:rsidR="00313E3C">
              <w:rPr>
                <w:rFonts w:ascii="Times New Roman" w:hAnsi="Times New Roman"/>
                <w:iCs/>
                <w:sz w:val="20"/>
                <w:szCs w:val="20"/>
              </w:rPr>
              <w:t xml:space="preserve"> </w:t>
            </w:r>
            <w:r w:rsidRPr="0092485D">
              <w:rPr>
                <w:rFonts w:ascii="Times New Roman" w:hAnsi="Times New Roman"/>
                <w:iCs/>
                <w:sz w:val="20"/>
                <w:szCs w:val="20"/>
              </w:rPr>
              <w:t>-</w:t>
            </w:r>
            <w:r w:rsidR="00313E3C">
              <w:rPr>
                <w:rFonts w:ascii="Times New Roman" w:hAnsi="Times New Roman"/>
                <w:iCs/>
                <w:sz w:val="20"/>
                <w:szCs w:val="20"/>
              </w:rPr>
              <w:t xml:space="preserve"> </w:t>
            </w:r>
            <w:r w:rsidRPr="0092485D">
              <w:rPr>
                <w:rFonts w:ascii="Times New Roman" w:hAnsi="Times New Roman"/>
                <w:iCs/>
                <w:sz w:val="20"/>
                <w:szCs w:val="20"/>
              </w:rPr>
              <w:t>140</w:t>
            </w:r>
          </w:p>
        </w:tc>
        <w:tc>
          <w:tcPr>
            <w:tcW w:w="0" w:type="auto"/>
            <w:shd w:val="clear" w:color="auto" w:fill="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shd w:val="clear" w:color="auto" w:fill="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Pr>
          <w:p w:rsidR="002951B3" w:rsidRPr="0092485D" w:rsidRDefault="002951B3" w:rsidP="00DD656E">
            <w:pPr>
              <w:spacing w:after="60" w:line="240" w:lineRule="auto"/>
              <w:rPr>
                <w:rFonts w:ascii="Times New Roman" w:hAnsi="Times New Roman"/>
                <w:iCs/>
                <w:sz w:val="20"/>
                <w:szCs w:val="20"/>
              </w:rPr>
            </w:pPr>
            <w:r w:rsidRPr="0092485D">
              <w:rPr>
                <w:rFonts w:ascii="Times New Roman" w:hAnsi="Times New Roman"/>
                <w:iCs/>
                <w:sz w:val="20"/>
                <w:szCs w:val="20"/>
              </w:rPr>
              <w:t>30</w:t>
            </w:r>
            <w:r w:rsidR="00DD656E">
              <w:rPr>
                <w:rFonts w:ascii="Times New Roman" w:hAnsi="Times New Roman"/>
                <w:iCs/>
                <w:sz w:val="20"/>
                <w:szCs w:val="20"/>
              </w:rPr>
              <w:t xml:space="preserve"> </w:t>
            </w:r>
            <w:r w:rsidRPr="0092485D">
              <w:rPr>
                <w:rFonts w:ascii="Times New Roman" w:hAnsi="Times New Roman"/>
                <w:iCs/>
                <w:sz w:val="20"/>
                <w:szCs w:val="20"/>
              </w:rPr>
              <w:t>-</w:t>
            </w:r>
            <w:r w:rsidR="00DD656E">
              <w:rPr>
                <w:rFonts w:ascii="Times New Roman" w:hAnsi="Times New Roman"/>
                <w:iCs/>
                <w:sz w:val="20"/>
                <w:szCs w:val="20"/>
              </w:rPr>
              <w:t xml:space="preserve"> </w:t>
            </w:r>
            <w:r w:rsidRPr="0092485D">
              <w:rPr>
                <w:rFonts w:ascii="Times New Roman" w:hAnsi="Times New Roman"/>
                <w:iCs/>
                <w:sz w:val="20"/>
                <w:szCs w:val="20"/>
              </w:rPr>
              <w:t>740</w:t>
            </w:r>
          </w:p>
        </w:tc>
        <w:tc>
          <w:tcPr>
            <w:tcW w:w="0" w:type="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shd w:val="clear" w:color="auto" w:fill="auto"/>
          </w:tcPr>
          <w:p w:rsidR="002951B3" w:rsidRPr="0092485D" w:rsidRDefault="002951B3" w:rsidP="00860DDD">
            <w:pPr>
              <w:spacing w:after="0" w:line="240" w:lineRule="auto"/>
              <w:rPr>
                <w:rFonts w:ascii="Times New Roman" w:hAnsi="Times New Roman"/>
                <w:iCs/>
                <w:sz w:val="20"/>
                <w:szCs w:val="20"/>
              </w:rPr>
            </w:pPr>
            <w:r w:rsidRPr="0092485D">
              <w:rPr>
                <w:rFonts w:ascii="Times New Roman" w:hAnsi="Times New Roman"/>
                <w:iCs/>
                <w:sz w:val="20"/>
                <w:szCs w:val="20"/>
              </w:rPr>
              <w:t>[23]</w:t>
            </w:r>
          </w:p>
        </w:tc>
      </w:tr>
      <w:tr w:rsidR="002951B3" w:rsidRPr="0092485D" w:rsidTr="00692B38">
        <w:tc>
          <w:tcPr>
            <w:tcW w:w="0" w:type="auto"/>
            <w:shd w:val="clear" w:color="auto" w:fill="auto"/>
          </w:tcPr>
          <w:p w:rsidR="002951B3" w:rsidRPr="0092485D" w:rsidRDefault="002951B3" w:rsidP="00860DDD">
            <w:pPr>
              <w:spacing w:after="0" w:line="240" w:lineRule="auto"/>
              <w:rPr>
                <w:rFonts w:ascii="Times New Roman" w:hAnsi="Times New Roman"/>
                <w:iCs/>
                <w:sz w:val="20"/>
                <w:szCs w:val="20"/>
              </w:rPr>
            </w:pPr>
            <w:r w:rsidRPr="0092485D">
              <w:rPr>
                <w:rFonts w:ascii="Times New Roman" w:hAnsi="Times New Roman"/>
                <w:iCs/>
                <w:sz w:val="20"/>
                <w:szCs w:val="20"/>
              </w:rPr>
              <w:t>Kelantan, Kelantan</w:t>
            </w:r>
          </w:p>
        </w:tc>
        <w:tc>
          <w:tcPr>
            <w:tcW w:w="0" w:type="auto"/>
            <w:shd w:val="clear" w:color="auto" w:fill="auto"/>
          </w:tcPr>
          <w:p w:rsidR="002951B3" w:rsidRPr="0092485D" w:rsidRDefault="002951B3" w:rsidP="00860DDD">
            <w:pPr>
              <w:spacing w:after="0" w:line="240" w:lineRule="auto"/>
              <w:jc w:val="center"/>
              <w:rPr>
                <w:rFonts w:ascii="Times New Roman" w:hAnsi="Times New Roman"/>
                <w:iCs/>
                <w:sz w:val="20"/>
                <w:szCs w:val="20"/>
              </w:rPr>
            </w:pPr>
            <w:r w:rsidRPr="0092485D">
              <w:rPr>
                <w:rFonts w:ascii="Times New Roman" w:hAnsi="Times New Roman"/>
                <w:iCs/>
                <w:sz w:val="20"/>
                <w:szCs w:val="20"/>
              </w:rPr>
              <w:t>260</w:t>
            </w:r>
            <w:r w:rsidR="00313E3C">
              <w:rPr>
                <w:rFonts w:ascii="Times New Roman" w:hAnsi="Times New Roman"/>
                <w:iCs/>
                <w:sz w:val="20"/>
                <w:szCs w:val="20"/>
              </w:rPr>
              <w:t xml:space="preserve"> </w:t>
            </w:r>
            <w:r w:rsidRPr="0092485D">
              <w:rPr>
                <w:rFonts w:ascii="Times New Roman" w:hAnsi="Times New Roman"/>
                <w:iCs/>
                <w:sz w:val="20"/>
                <w:szCs w:val="20"/>
              </w:rPr>
              <w:t>-</w:t>
            </w:r>
            <w:r w:rsidR="00313E3C">
              <w:rPr>
                <w:rFonts w:ascii="Times New Roman" w:hAnsi="Times New Roman"/>
                <w:iCs/>
                <w:sz w:val="20"/>
                <w:szCs w:val="20"/>
              </w:rPr>
              <w:t xml:space="preserve"> </w:t>
            </w:r>
            <w:r w:rsidRPr="0092485D">
              <w:rPr>
                <w:rFonts w:ascii="Times New Roman" w:hAnsi="Times New Roman"/>
                <w:iCs/>
                <w:sz w:val="20"/>
                <w:szCs w:val="20"/>
              </w:rPr>
              <w:t>410</w:t>
            </w:r>
          </w:p>
        </w:tc>
        <w:tc>
          <w:tcPr>
            <w:tcW w:w="0" w:type="auto"/>
            <w:gridSpan w:val="2"/>
            <w:shd w:val="clear" w:color="auto" w:fill="auto"/>
          </w:tcPr>
          <w:p w:rsidR="00860DDD" w:rsidRDefault="002951B3" w:rsidP="00313E3C">
            <w:pPr>
              <w:spacing w:after="0" w:line="240" w:lineRule="auto"/>
              <w:rPr>
                <w:rFonts w:ascii="Times New Roman" w:hAnsi="Times New Roman"/>
                <w:iCs/>
                <w:sz w:val="20"/>
                <w:szCs w:val="20"/>
              </w:rPr>
            </w:pPr>
            <w:r w:rsidRPr="0092485D">
              <w:rPr>
                <w:rFonts w:ascii="Times New Roman" w:hAnsi="Times New Roman"/>
                <w:iCs/>
                <w:sz w:val="20"/>
                <w:szCs w:val="20"/>
              </w:rPr>
              <w:t>13,300</w:t>
            </w:r>
            <w:r w:rsidR="00313E3C">
              <w:rPr>
                <w:rFonts w:ascii="Times New Roman" w:hAnsi="Times New Roman"/>
                <w:iCs/>
                <w:sz w:val="20"/>
                <w:szCs w:val="20"/>
              </w:rPr>
              <w:t xml:space="preserve"> </w:t>
            </w:r>
            <w:r w:rsidRPr="0092485D">
              <w:rPr>
                <w:rFonts w:ascii="Times New Roman" w:hAnsi="Times New Roman"/>
                <w:iCs/>
                <w:sz w:val="20"/>
                <w:szCs w:val="20"/>
              </w:rPr>
              <w:t>-</w:t>
            </w:r>
          </w:p>
          <w:p w:rsidR="002951B3" w:rsidRPr="0092485D" w:rsidRDefault="00313E3C" w:rsidP="00DD656E">
            <w:pPr>
              <w:spacing w:after="60" w:line="240" w:lineRule="auto"/>
              <w:rPr>
                <w:rFonts w:ascii="Times New Roman" w:hAnsi="Times New Roman"/>
                <w:iCs/>
                <w:sz w:val="20"/>
                <w:szCs w:val="20"/>
              </w:rPr>
            </w:pPr>
            <w:r>
              <w:rPr>
                <w:rFonts w:ascii="Times New Roman" w:hAnsi="Times New Roman"/>
                <w:iCs/>
                <w:sz w:val="20"/>
                <w:szCs w:val="20"/>
              </w:rPr>
              <w:t xml:space="preserve">21,700    </w:t>
            </w:r>
          </w:p>
        </w:tc>
        <w:tc>
          <w:tcPr>
            <w:tcW w:w="0" w:type="auto"/>
            <w:shd w:val="clear" w:color="auto" w:fill="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shd w:val="clear" w:color="auto" w:fill="auto"/>
          </w:tcPr>
          <w:p w:rsidR="002951B3" w:rsidRPr="0092485D" w:rsidRDefault="002951B3" w:rsidP="00860DDD">
            <w:pPr>
              <w:spacing w:after="0" w:line="240" w:lineRule="auto"/>
              <w:rPr>
                <w:rFonts w:ascii="Times New Roman" w:hAnsi="Times New Roman"/>
                <w:iCs/>
                <w:sz w:val="20"/>
                <w:szCs w:val="20"/>
              </w:rPr>
            </w:pPr>
            <w:r w:rsidRPr="0092485D">
              <w:rPr>
                <w:rFonts w:ascii="Times New Roman" w:hAnsi="Times New Roman"/>
                <w:iCs/>
                <w:sz w:val="20"/>
                <w:szCs w:val="20"/>
              </w:rPr>
              <w:t>[24]</w:t>
            </w:r>
          </w:p>
        </w:tc>
      </w:tr>
      <w:tr w:rsidR="002951B3" w:rsidRPr="0092485D" w:rsidTr="00692B38">
        <w:tc>
          <w:tcPr>
            <w:tcW w:w="0" w:type="auto"/>
            <w:shd w:val="clear" w:color="auto" w:fill="auto"/>
          </w:tcPr>
          <w:p w:rsidR="002951B3" w:rsidRPr="0092485D" w:rsidRDefault="002951B3" w:rsidP="00860DDD">
            <w:pPr>
              <w:spacing w:after="0" w:line="240" w:lineRule="auto"/>
              <w:rPr>
                <w:rFonts w:ascii="Times New Roman" w:hAnsi="Times New Roman"/>
                <w:iCs/>
                <w:sz w:val="20"/>
                <w:szCs w:val="20"/>
              </w:rPr>
            </w:pPr>
            <w:r w:rsidRPr="0092485D">
              <w:rPr>
                <w:rFonts w:ascii="Times New Roman" w:hAnsi="Times New Roman"/>
                <w:iCs/>
                <w:sz w:val="20"/>
                <w:szCs w:val="20"/>
              </w:rPr>
              <w:t>Liwagu, Sabah</w:t>
            </w:r>
          </w:p>
        </w:tc>
        <w:tc>
          <w:tcPr>
            <w:tcW w:w="0" w:type="auto"/>
            <w:shd w:val="clear" w:color="auto" w:fill="auto"/>
          </w:tcPr>
          <w:p w:rsidR="002951B3" w:rsidRPr="0092485D" w:rsidRDefault="002951B3" w:rsidP="00860DDD">
            <w:pPr>
              <w:spacing w:after="0" w:line="240" w:lineRule="auto"/>
              <w:jc w:val="center"/>
              <w:rPr>
                <w:rFonts w:ascii="Times New Roman" w:hAnsi="Times New Roman"/>
                <w:iCs/>
                <w:sz w:val="20"/>
                <w:szCs w:val="20"/>
              </w:rPr>
            </w:pPr>
            <w:r w:rsidRPr="0092485D">
              <w:rPr>
                <w:rFonts w:ascii="Times New Roman" w:hAnsi="Times New Roman"/>
                <w:iCs/>
                <w:sz w:val="20"/>
                <w:szCs w:val="20"/>
              </w:rPr>
              <w:t>50</w:t>
            </w:r>
            <w:r w:rsidR="00313E3C">
              <w:rPr>
                <w:rFonts w:ascii="Times New Roman" w:hAnsi="Times New Roman"/>
                <w:iCs/>
                <w:sz w:val="20"/>
                <w:szCs w:val="20"/>
              </w:rPr>
              <w:t xml:space="preserve"> </w:t>
            </w:r>
            <w:r w:rsidRPr="0092485D">
              <w:rPr>
                <w:rFonts w:ascii="Times New Roman" w:hAnsi="Times New Roman"/>
                <w:iCs/>
                <w:sz w:val="20"/>
                <w:szCs w:val="20"/>
              </w:rPr>
              <w:t>-</w:t>
            </w:r>
            <w:r w:rsidR="00313E3C">
              <w:rPr>
                <w:rFonts w:ascii="Times New Roman" w:hAnsi="Times New Roman"/>
                <w:iCs/>
                <w:sz w:val="20"/>
                <w:szCs w:val="20"/>
              </w:rPr>
              <w:t xml:space="preserve"> </w:t>
            </w:r>
            <w:r w:rsidRPr="0092485D">
              <w:rPr>
                <w:rFonts w:ascii="Times New Roman" w:hAnsi="Times New Roman"/>
                <w:iCs/>
                <w:sz w:val="20"/>
                <w:szCs w:val="20"/>
              </w:rPr>
              <w:t>300</w:t>
            </w:r>
          </w:p>
        </w:tc>
        <w:tc>
          <w:tcPr>
            <w:tcW w:w="0" w:type="auto"/>
            <w:shd w:val="clear" w:color="auto" w:fill="auto"/>
          </w:tcPr>
          <w:p w:rsidR="002951B3" w:rsidRPr="0092485D" w:rsidRDefault="002951B3" w:rsidP="00DD656E">
            <w:pPr>
              <w:spacing w:after="60" w:line="240" w:lineRule="auto"/>
              <w:rPr>
                <w:rFonts w:ascii="Times New Roman" w:hAnsi="Times New Roman"/>
                <w:iCs/>
                <w:sz w:val="20"/>
                <w:szCs w:val="20"/>
              </w:rPr>
            </w:pPr>
            <w:r w:rsidRPr="0092485D">
              <w:rPr>
                <w:rFonts w:ascii="Times New Roman" w:hAnsi="Times New Roman"/>
                <w:iCs/>
                <w:sz w:val="20"/>
                <w:szCs w:val="20"/>
              </w:rPr>
              <w:t>700</w:t>
            </w:r>
            <w:r w:rsidR="00313E3C">
              <w:rPr>
                <w:rFonts w:ascii="Times New Roman" w:hAnsi="Times New Roman"/>
                <w:iCs/>
                <w:sz w:val="20"/>
                <w:szCs w:val="20"/>
              </w:rPr>
              <w:t xml:space="preserve"> </w:t>
            </w:r>
            <w:r w:rsidRPr="0092485D">
              <w:rPr>
                <w:rFonts w:ascii="Times New Roman" w:hAnsi="Times New Roman"/>
                <w:iCs/>
                <w:sz w:val="20"/>
                <w:szCs w:val="20"/>
              </w:rPr>
              <w:t>-3,500</w:t>
            </w:r>
          </w:p>
        </w:tc>
        <w:tc>
          <w:tcPr>
            <w:tcW w:w="0" w:type="auto"/>
            <w:shd w:val="clear" w:color="auto" w:fill="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shd w:val="clear" w:color="auto" w:fill="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60</w:t>
            </w:r>
            <w:r w:rsidR="00DD656E">
              <w:rPr>
                <w:rFonts w:ascii="Times New Roman" w:hAnsi="Times New Roman"/>
                <w:iCs/>
                <w:sz w:val="20"/>
                <w:szCs w:val="20"/>
              </w:rPr>
              <w:t xml:space="preserve"> </w:t>
            </w:r>
            <w:r w:rsidRPr="0092485D">
              <w:rPr>
                <w:rFonts w:ascii="Times New Roman" w:hAnsi="Times New Roman"/>
                <w:iCs/>
                <w:sz w:val="20"/>
                <w:szCs w:val="20"/>
              </w:rPr>
              <w:t>-</w:t>
            </w:r>
            <w:r w:rsidR="00DD656E">
              <w:rPr>
                <w:rFonts w:ascii="Times New Roman" w:hAnsi="Times New Roman"/>
                <w:iCs/>
                <w:sz w:val="20"/>
                <w:szCs w:val="20"/>
              </w:rPr>
              <w:t xml:space="preserve"> </w:t>
            </w:r>
            <w:r w:rsidRPr="0092485D">
              <w:rPr>
                <w:rFonts w:ascii="Times New Roman" w:hAnsi="Times New Roman"/>
                <w:iCs/>
                <w:sz w:val="20"/>
                <w:szCs w:val="20"/>
              </w:rPr>
              <w:t>480</w:t>
            </w:r>
          </w:p>
        </w:tc>
        <w:tc>
          <w:tcPr>
            <w:tcW w:w="0" w:type="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shd w:val="clear" w:color="auto" w:fill="auto"/>
          </w:tcPr>
          <w:p w:rsidR="002951B3" w:rsidRPr="0092485D" w:rsidRDefault="002951B3" w:rsidP="00860DDD">
            <w:pPr>
              <w:spacing w:after="0" w:line="240" w:lineRule="auto"/>
              <w:rPr>
                <w:rFonts w:ascii="Times New Roman" w:hAnsi="Times New Roman"/>
                <w:iCs/>
                <w:sz w:val="20"/>
                <w:szCs w:val="20"/>
              </w:rPr>
            </w:pPr>
            <w:r w:rsidRPr="0092485D">
              <w:rPr>
                <w:rFonts w:ascii="Times New Roman" w:hAnsi="Times New Roman"/>
                <w:iCs/>
                <w:sz w:val="20"/>
                <w:szCs w:val="20"/>
              </w:rPr>
              <w:t>[25]</w:t>
            </w:r>
          </w:p>
        </w:tc>
      </w:tr>
      <w:tr w:rsidR="002951B3" w:rsidRPr="0092485D" w:rsidTr="00DD656E">
        <w:tc>
          <w:tcPr>
            <w:tcW w:w="0" w:type="auto"/>
            <w:tcBorders>
              <w:bottom w:val="nil"/>
            </w:tcBorders>
            <w:shd w:val="clear" w:color="auto" w:fill="auto"/>
          </w:tcPr>
          <w:p w:rsidR="002951B3" w:rsidRPr="0092485D" w:rsidRDefault="002951B3" w:rsidP="00860DDD">
            <w:pPr>
              <w:spacing w:after="0" w:line="240" w:lineRule="auto"/>
              <w:rPr>
                <w:rFonts w:ascii="Times New Roman" w:hAnsi="Times New Roman"/>
                <w:iCs/>
                <w:sz w:val="20"/>
                <w:szCs w:val="20"/>
              </w:rPr>
            </w:pPr>
            <w:r w:rsidRPr="0092485D">
              <w:rPr>
                <w:rFonts w:ascii="Times New Roman" w:hAnsi="Times New Roman"/>
                <w:iCs/>
                <w:sz w:val="20"/>
                <w:szCs w:val="20"/>
              </w:rPr>
              <w:t>Merbok, Kedah</w:t>
            </w:r>
          </w:p>
        </w:tc>
        <w:tc>
          <w:tcPr>
            <w:tcW w:w="0" w:type="auto"/>
            <w:tcBorders>
              <w:bottom w:val="nil"/>
            </w:tcBorders>
            <w:shd w:val="clear" w:color="auto" w:fill="auto"/>
          </w:tcPr>
          <w:p w:rsidR="002951B3" w:rsidRPr="0092485D" w:rsidRDefault="002951B3" w:rsidP="00860DDD">
            <w:pPr>
              <w:spacing w:after="0" w:line="240" w:lineRule="auto"/>
              <w:jc w:val="center"/>
              <w:rPr>
                <w:rFonts w:ascii="Times New Roman" w:hAnsi="Times New Roman"/>
                <w:iCs/>
                <w:sz w:val="20"/>
                <w:szCs w:val="20"/>
              </w:rPr>
            </w:pPr>
            <w:r w:rsidRPr="0092485D">
              <w:rPr>
                <w:rFonts w:ascii="Times New Roman" w:hAnsi="Times New Roman"/>
                <w:iCs/>
                <w:sz w:val="20"/>
                <w:szCs w:val="20"/>
              </w:rPr>
              <w:t>10</w:t>
            </w:r>
            <w:r w:rsidR="00313E3C">
              <w:rPr>
                <w:rFonts w:ascii="Times New Roman" w:hAnsi="Times New Roman"/>
                <w:iCs/>
                <w:sz w:val="20"/>
                <w:szCs w:val="20"/>
              </w:rPr>
              <w:t xml:space="preserve"> </w:t>
            </w:r>
            <w:r w:rsidRPr="0092485D">
              <w:rPr>
                <w:rFonts w:ascii="Times New Roman" w:hAnsi="Times New Roman"/>
                <w:iCs/>
                <w:sz w:val="20"/>
                <w:szCs w:val="20"/>
              </w:rPr>
              <w:t>-</w:t>
            </w:r>
            <w:r w:rsidR="00313E3C">
              <w:rPr>
                <w:rFonts w:ascii="Times New Roman" w:hAnsi="Times New Roman"/>
                <w:iCs/>
                <w:sz w:val="20"/>
                <w:szCs w:val="20"/>
              </w:rPr>
              <w:t xml:space="preserve"> </w:t>
            </w:r>
            <w:r w:rsidRPr="0092485D">
              <w:rPr>
                <w:rFonts w:ascii="Times New Roman" w:hAnsi="Times New Roman"/>
                <w:iCs/>
                <w:sz w:val="20"/>
                <w:szCs w:val="20"/>
              </w:rPr>
              <w:t>3,410</w:t>
            </w:r>
          </w:p>
        </w:tc>
        <w:tc>
          <w:tcPr>
            <w:tcW w:w="0" w:type="auto"/>
            <w:tcBorders>
              <w:bottom w:val="nil"/>
            </w:tcBorders>
            <w:shd w:val="clear" w:color="auto" w:fill="auto"/>
          </w:tcPr>
          <w:p w:rsidR="002951B3" w:rsidRPr="0092485D" w:rsidRDefault="002951B3" w:rsidP="00860DDD">
            <w:pPr>
              <w:spacing w:after="0" w:line="240" w:lineRule="auto"/>
              <w:jc w:val="center"/>
              <w:rPr>
                <w:rFonts w:ascii="Times New Roman" w:hAnsi="Times New Roman"/>
                <w:iCs/>
                <w:sz w:val="20"/>
                <w:szCs w:val="20"/>
              </w:rPr>
            </w:pPr>
            <w:r w:rsidRPr="0092485D">
              <w:rPr>
                <w:rFonts w:ascii="Times New Roman" w:hAnsi="Times New Roman"/>
                <w:iCs/>
                <w:sz w:val="20"/>
                <w:szCs w:val="20"/>
              </w:rPr>
              <w:t>10</w:t>
            </w:r>
            <w:r w:rsidR="00313E3C">
              <w:rPr>
                <w:rFonts w:ascii="Times New Roman" w:hAnsi="Times New Roman"/>
                <w:iCs/>
                <w:sz w:val="20"/>
                <w:szCs w:val="20"/>
              </w:rPr>
              <w:t xml:space="preserve"> </w:t>
            </w:r>
            <w:r w:rsidRPr="0092485D">
              <w:rPr>
                <w:rFonts w:ascii="Times New Roman" w:hAnsi="Times New Roman"/>
                <w:iCs/>
                <w:sz w:val="20"/>
                <w:szCs w:val="20"/>
              </w:rPr>
              <w:t>-</w:t>
            </w:r>
            <w:r w:rsidR="00313E3C">
              <w:rPr>
                <w:rFonts w:ascii="Times New Roman" w:hAnsi="Times New Roman"/>
                <w:iCs/>
                <w:sz w:val="20"/>
                <w:szCs w:val="20"/>
              </w:rPr>
              <w:t xml:space="preserve"> </w:t>
            </w:r>
            <w:r w:rsidRPr="0092485D">
              <w:rPr>
                <w:rFonts w:ascii="Times New Roman" w:hAnsi="Times New Roman"/>
                <w:iCs/>
                <w:sz w:val="20"/>
                <w:szCs w:val="20"/>
              </w:rPr>
              <w:t>410</w:t>
            </w:r>
          </w:p>
        </w:tc>
        <w:tc>
          <w:tcPr>
            <w:tcW w:w="0" w:type="auto"/>
            <w:tcBorders>
              <w:bottom w:val="nil"/>
            </w:tcBorders>
            <w:shd w:val="clear" w:color="auto" w:fill="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Borders>
              <w:bottom w:val="nil"/>
            </w:tcBorders>
            <w:shd w:val="clear" w:color="auto" w:fill="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Borders>
              <w:bottom w:val="nil"/>
            </w:tcBorders>
          </w:tcPr>
          <w:p w:rsidR="002951B3" w:rsidRPr="0092485D" w:rsidRDefault="002951B3" w:rsidP="00DD656E">
            <w:pPr>
              <w:spacing w:after="60" w:line="240" w:lineRule="auto"/>
              <w:rPr>
                <w:rFonts w:ascii="Times New Roman" w:hAnsi="Times New Roman"/>
                <w:iCs/>
                <w:sz w:val="20"/>
                <w:szCs w:val="20"/>
              </w:rPr>
            </w:pPr>
            <w:r w:rsidRPr="0092485D">
              <w:rPr>
                <w:rFonts w:ascii="Times New Roman" w:hAnsi="Times New Roman"/>
                <w:iCs/>
                <w:sz w:val="20"/>
                <w:szCs w:val="20"/>
              </w:rPr>
              <w:t>20</w:t>
            </w:r>
            <w:r w:rsidR="00DD656E">
              <w:rPr>
                <w:rFonts w:ascii="Times New Roman" w:hAnsi="Times New Roman"/>
                <w:iCs/>
                <w:sz w:val="20"/>
                <w:szCs w:val="20"/>
              </w:rPr>
              <w:t xml:space="preserve"> </w:t>
            </w:r>
            <w:r w:rsidRPr="0092485D">
              <w:rPr>
                <w:rFonts w:ascii="Times New Roman" w:hAnsi="Times New Roman"/>
                <w:iCs/>
                <w:sz w:val="20"/>
                <w:szCs w:val="20"/>
              </w:rPr>
              <w:t>-</w:t>
            </w:r>
            <w:r w:rsidR="00DD656E">
              <w:rPr>
                <w:rFonts w:ascii="Times New Roman" w:hAnsi="Times New Roman"/>
                <w:iCs/>
                <w:sz w:val="20"/>
                <w:szCs w:val="20"/>
              </w:rPr>
              <w:t xml:space="preserve"> </w:t>
            </w:r>
            <w:r w:rsidRPr="0092485D">
              <w:rPr>
                <w:rFonts w:ascii="Times New Roman" w:hAnsi="Times New Roman"/>
                <w:iCs/>
                <w:sz w:val="20"/>
                <w:szCs w:val="20"/>
              </w:rPr>
              <w:t>160</w:t>
            </w:r>
          </w:p>
        </w:tc>
        <w:tc>
          <w:tcPr>
            <w:tcW w:w="0" w:type="auto"/>
            <w:tcBorders>
              <w:bottom w:val="nil"/>
            </w:tcBorders>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Borders>
              <w:bottom w:val="nil"/>
            </w:tcBorders>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Borders>
              <w:bottom w:val="nil"/>
            </w:tcBorders>
            <w:shd w:val="clear" w:color="auto" w:fill="auto"/>
          </w:tcPr>
          <w:p w:rsidR="002951B3" w:rsidRPr="0092485D" w:rsidRDefault="002951B3" w:rsidP="00860DDD">
            <w:pPr>
              <w:spacing w:after="0" w:line="240" w:lineRule="auto"/>
              <w:rPr>
                <w:rFonts w:ascii="Times New Roman" w:hAnsi="Times New Roman"/>
                <w:iCs/>
                <w:sz w:val="20"/>
                <w:szCs w:val="20"/>
              </w:rPr>
            </w:pPr>
            <w:r w:rsidRPr="0092485D">
              <w:rPr>
                <w:rFonts w:ascii="Times New Roman" w:hAnsi="Times New Roman"/>
                <w:iCs/>
                <w:sz w:val="20"/>
                <w:szCs w:val="20"/>
              </w:rPr>
              <w:t>[26]</w:t>
            </w:r>
          </w:p>
        </w:tc>
      </w:tr>
      <w:tr w:rsidR="002951B3" w:rsidRPr="0092485D" w:rsidTr="00DD656E">
        <w:tc>
          <w:tcPr>
            <w:tcW w:w="0" w:type="auto"/>
            <w:tcBorders>
              <w:top w:val="nil"/>
              <w:bottom w:val="single" w:sz="4" w:space="0" w:color="auto"/>
            </w:tcBorders>
            <w:shd w:val="clear" w:color="auto" w:fill="auto"/>
          </w:tcPr>
          <w:p w:rsidR="002951B3" w:rsidRPr="0092485D" w:rsidRDefault="002951B3" w:rsidP="00860DDD">
            <w:pPr>
              <w:spacing w:after="0" w:line="240" w:lineRule="auto"/>
              <w:rPr>
                <w:rFonts w:ascii="Times New Roman" w:hAnsi="Times New Roman"/>
                <w:iCs/>
                <w:sz w:val="20"/>
                <w:szCs w:val="20"/>
              </w:rPr>
            </w:pPr>
            <w:r w:rsidRPr="0092485D">
              <w:rPr>
                <w:rFonts w:ascii="Times New Roman" w:hAnsi="Times New Roman"/>
                <w:iCs/>
                <w:sz w:val="20"/>
                <w:szCs w:val="20"/>
              </w:rPr>
              <w:t>Bertam, Pahang</w:t>
            </w:r>
          </w:p>
        </w:tc>
        <w:tc>
          <w:tcPr>
            <w:tcW w:w="0" w:type="auto"/>
            <w:tcBorders>
              <w:top w:val="nil"/>
              <w:bottom w:val="single" w:sz="4" w:space="0" w:color="auto"/>
            </w:tcBorders>
            <w:shd w:val="clear" w:color="auto" w:fill="auto"/>
          </w:tcPr>
          <w:p w:rsidR="002951B3" w:rsidRPr="0092485D" w:rsidRDefault="002951B3" w:rsidP="00860DDD">
            <w:pPr>
              <w:spacing w:after="0" w:line="240" w:lineRule="auto"/>
              <w:jc w:val="center"/>
              <w:rPr>
                <w:rFonts w:ascii="Times New Roman" w:hAnsi="Times New Roman"/>
                <w:iCs/>
                <w:sz w:val="20"/>
                <w:szCs w:val="20"/>
              </w:rPr>
            </w:pPr>
            <w:r w:rsidRPr="0092485D">
              <w:rPr>
                <w:rFonts w:ascii="Times New Roman" w:hAnsi="Times New Roman"/>
                <w:iCs/>
                <w:sz w:val="20"/>
                <w:szCs w:val="20"/>
              </w:rPr>
              <w:t>70</w:t>
            </w:r>
            <w:r w:rsidR="00313E3C">
              <w:rPr>
                <w:rFonts w:ascii="Times New Roman" w:hAnsi="Times New Roman"/>
                <w:iCs/>
                <w:sz w:val="20"/>
                <w:szCs w:val="20"/>
              </w:rPr>
              <w:t xml:space="preserve"> </w:t>
            </w:r>
            <w:r w:rsidRPr="0092485D">
              <w:rPr>
                <w:rFonts w:ascii="Times New Roman" w:hAnsi="Times New Roman"/>
                <w:iCs/>
                <w:sz w:val="20"/>
                <w:szCs w:val="20"/>
              </w:rPr>
              <w:t>-</w:t>
            </w:r>
            <w:r w:rsidR="00313E3C">
              <w:rPr>
                <w:rFonts w:ascii="Times New Roman" w:hAnsi="Times New Roman"/>
                <w:iCs/>
                <w:sz w:val="20"/>
                <w:szCs w:val="20"/>
              </w:rPr>
              <w:t xml:space="preserve"> </w:t>
            </w:r>
            <w:r w:rsidRPr="0092485D">
              <w:rPr>
                <w:rFonts w:ascii="Times New Roman" w:hAnsi="Times New Roman"/>
                <w:iCs/>
                <w:sz w:val="20"/>
                <w:szCs w:val="20"/>
              </w:rPr>
              <w:t>190</w:t>
            </w:r>
          </w:p>
        </w:tc>
        <w:tc>
          <w:tcPr>
            <w:tcW w:w="0" w:type="auto"/>
            <w:tcBorders>
              <w:top w:val="nil"/>
              <w:bottom w:val="single" w:sz="4" w:space="0" w:color="auto"/>
            </w:tcBorders>
            <w:shd w:val="clear" w:color="auto" w:fill="auto"/>
          </w:tcPr>
          <w:p w:rsidR="002951B3" w:rsidRPr="0092485D" w:rsidRDefault="002951B3" w:rsidP="00313E3C">
            <w:pPr>
              <w:spacing w:after="0" w:line="240" w:lineRule="auto"/>
              <w:rPr>
                <w:rFonts w:ascii="Times New Roman" w:hAnsi="Times New Roman"/>
                <w:iCs/>
                <w:sz w:val="20"/>
                <w:szCs w:val="20"/>
              </w:rPr>
            </w:pPr>
            <w:r w:rsidRPr="0092485D">
              <w:rPr>
                <w:rFonts w:ascii="Times New Roman" w:hAnsi="Times New Roman"/>
                <w:iCs/>
                <w:sz w:val="20"/>
                <w:szCs w:val="20"/>
              </w:rPr>
              <w:t>720</w:t>
            </w:r>
            <w:r w:rsidR="00313E3C">
              <w:rPr>
                <w:rFonts w:ascii="Times New Roman" w:hAnsi="Times New Roman"/>
                <w:iCs/>
                <w:sz w:val="20"/>
                <w:szCs w:val="20"/>
              </w:rPr>
              <w:t xml:space="preserve"> </w:t>
            </w:r>
            <w:r w:rsidRPr="0092485D">
              <w:rPr>
                <w:rFonts w:ascii="Times New Roman" w:hAnsi="Times New Roman"/>
                <w:iCs/>
                <w:sz w:val="20"/>
                <w:szCs w:val="20"/>
              </w:rPr>
              <w:t>-3,410</w:t>
            </w:r>
          </w:p>
        </w:tc>
        <w:tc>
          <w:tcPr>
            <w:tcW w:w="0" w:type="auto"/>
            <w:tcBorders>
              <w:top w:val="nil"/>
              <w:bottom w:val="single" w:sz="4" w:space="0" w:color="auto"/>
            </w:tcBorders>
            <w:shd w:val="clear" w:color="auto" w:fill="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Borders>
              <w:top w:val="nil"/>
              <w:bottom w:val="single" w:sz="4" w:space="0" w:color="auto"/>
            </w:tcBorders>
            <w:shd w:val="clear" w:color="auto" w:fill="auto"/>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Borders>
              <w:top w:val="nil"/>
              <w:bottom w:val="single" w:sz="4" w:space="0" w:color="auto"/>
            </w:tcBorders>
          </w:tcPr>
          <w:p w:rsidR="002951B3" w:rsidRPr="0092485D" w:rsidRDefault="002951B3" w:rsidP="00DD656E">
            <w:pPr>
              <w:spacing w:after="60" w:line="240" w:lineRule="auto"/>
              <w:rPr>
                <w:rFonts w:ascii="Times New Roman" w:hAnsi="Times New Roman"/>
                <w:iCs/>
                <w:sz w:val="20"/>
                <w:szCs w:val="20"/>
              </w:rPr>
            </w:pPr>
            <w:r w:rsidRPr="0092485D">
              <w:rPr>
                <w:rFonts w:ascii="Times New Roman" w:hAnsi="Times New Roman"/>
                <w:iCs/>
                <w:sz w:val="20"/>
                <w:szCs w:val="20"/>
              </w:rPr>
              <w:t>800</w:t>
            </w:r>
            <w:r w:rsidR="00DD656E">
              <w:rPr>
                <w:rFonts w:ascii="Times New Roman" w:hAnsi="Times New Roman"/>
                <w:iCs/>
                <w:sz w:val="20"/>
                <w:szCs w:val="20"/>
              </w:rPr>
              <w:t xml:space="preserve"> </w:t>
            </w:r>
            <w:r w:rsidRPr="0092485D">
              <w:rPr>
                <w:rFonts w:ascii="Times New Roman" w:hAnsi="Times New Roman"/>
                <w:iCs/>
                <w:sz w:val="20"/>
                <w:szCs w:val="20"/>
              </w:rPr>
              <w:t>-1,350</w:t>
            </w:r>
          </w:p>
        </w:tc>
        <w:tc>
          <w:tcPr>
            <w:tcW w:w="0" w:type="auto"/>
            <w:tcBorders>
              <w:top w:val="nil"/>
              <w:bottom w:val="single" w:sz="4" w:space="0" w:color="auto"/>
            </w:tcBorders>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Borders>
              <w:top w:val="nil"/>
              <w:bottom w:val="single" w:sz="4" w:space="0" w:color="auto"/>
            </w:tcBorders>
          </w:tcPr>
          <w:p w:rsidR="002951B3" w:rsidRPr="0092485D" w:rsidRDefault="002951B3" w:rsidP="00DD656E">
            <w:pPr>
              <w:spacing w:after="0" w:line="240" w:lineRule="auto"/>
              <w:rPr>
                <w:rFonts w:ascii="Times New Roman" w:hAnsi="Times New Roman"/>
                <w:iCs/>
                <w:sz w:val="20"/>
                <w:szCs w:val="20"/>
              </w:rPr>
            </w:pPr>
            <w:r w:rsidRPr="0092485D">
              <w:rPr>
                <w:rFonts w:ascii="Times New Roman" w:hAnsi="Times New Roman"/>
                <w:iCs/>
                <w:sz w:val="20"/>
                <w:szCs w:val="20"/>
              </w:rPr>
              <w:t>-</w:t>
            </w:r>
          </w:p>
        </w:tc>
        <w:tc>
          <w:tcPr>
            <w:tcW w:w="0" w:type="auto"/>
            <w:tcBorders>
              <w:top w:val="nil"/>
              <w:bottom w:val="single" w:sz="4" w:space="0" w:color="auto"/>
            </w:tcBorders>
            <w:shd w:val="clear" w:color="auto" w:fill="auto"/>
          </w:tcPr>
          <w:p w:rsidR="002951B3" w:rsidRPr="0092485D" w:rsidRDefault="002951B3" w:rsidP="00860DDD">
            <w:pPr>
              <w:spacing w:after="0" w:line="240" w:lineRule="auto"/>
              <w:rPr>
                <w:rFonts w:ascii="Times New Roman" w:hAnsi="Times New Roman"/>
                <w:iCs/>
                <w:sz w:val="20"/>
                <w:szCs w:val="20"/>
              </w:rPr>
            </w:pPr>
            <w:r w:rsidRPr="0092485D">
              <w:rPr>
                <w:rFonts w:ascii="Times New Roman" w:hAnsi="Times New Roman"/>
                <w:iCs/>
                <w:sz w:val="20"/>
                <w:szCs w:val="20"/>
              </w:rPr>
              <w:t>[27]</w:t>
            </w:r>
          </w:p>
        </w:tc>
      </w:tr>
    </w:tbl>
    <w:p w:rsidR="00745DD7" w:rsidRPr="00227152" w:rsidRDefault="00860DDD" w:rsidP="00227152">
      <w:pPr>
        <w:spacing w:before="60" w:after="0" w:line="240" w:lineRule="auto"/>
        <w:rPr>
          <w:rFonts w:ascii="Times New Roman" w:hAnsi="Times New Roman"/>
          <w:sz w:val="18"/>
          <w:szCs w:val="18"/>
        </w:rPr>
      </w:pPr>
      <w:r>
        <w:rPr>
          <w:rFonts w:ascii="Times New Roman" w:hAnsi="Times New Roman"/>
          <w:sz w:val="18"/>
          <w:szCs w:val="18"/>
        </w:rPr>
        <w:t xml:space="preserve">  </w:t>
      </w:r>
      <w:r w:rsidR="002951B3" w:rsidRPr="00860DDD">
        <w:rPr>
          <w:rFonts w:ascii="Times New Roman" w:hAnsi="Times New Roman"/>
          <w:sz w:val="18"/>
          <w:szCs w:val="18"/>
        </w:rPr>
        <w:t>- = not analysed</w:t>
      </w:r>
      <w:r w:rsidR="00745DD7">
        <w:rPr>
          <w:rFonts w:ascii="Times New Roman" w:hAnsi="Times New Roman"/>
          <w:iCs/>
          <w:noProof/>
          <w:sz w:val="20"/>
          <w:szCs w:val="20"/>
          <w:lang w:bidi="ar-SA"/>
        </w:rPr>
        <w:drawing>
          <wp:anchor distT="0" distB="0" distL="114300" distR="114300" simplePos="0" relativeHeight="251677184" behindDoc="0" locked="0" layoutInCell="1" allowOverlap="1" wp14:anchorId="06495D54" wp14:editId="478E2580">
            <wp:simplePos x="0" y="0"/>
            <wp:positionH relativeFrom="column">
              <wp:posOffset>3697605</wp:posOffset>
            </wp:positionH>
            <wp:positionV relativeFrom="paragraph">
              <wp:posOffset>8730615</wp:posOffset>
            </wp:positionV>
            <wp:extent cx="2383155" cy="1670685"/>
            <wp:effectExtent l="0" t="0" r="0" b="5715"/>
            <wp:wrapNone/>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3"/>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3155" cy="1670685"/>
                    </a:xfrm>
                    <a:prstGeom prst="rect">
                      <a:avLst/>
                    </a:prstGeom>
                    <a:noFill/>
                  </pic:spPr>
                </pic:pic>
              </a:graphicData>
            </a:graphic>
            <wp14:sizeRelH relativeFrom="page">
              <wp14:pctWidth>0</wp14:pctWidth>
            </wp14:sizeRelH>
            <wp14:sizeRelV relativeFrom="page">
              <wp14:pctHeight>0</wp14:pctHeight>
            </wp14:sizeRelV>
          </wp:anchor>
        </w:drawing>
      </w:r>
      <w:r w:rsidR="00745DD7">
        <w:rPr>
          <w:rFonts w:ascii="Times New Roman" w:hAnsi="Times New Roman"/>
          <w:iCs/>
          <w:noProof/>
          <w:sz w:val="20"/>
          <w:szCs w:val="20"/>
          <w:lang w:bidi="ar-SA"/>
        </w:rPr>
        <w:drawing>
          <wp:anchor distT="0" distB="0" distL="114300" distR="114300" simplePos="0" relativeHeight="251676160" behindDoc="0" locked="0" layoutInCell="1" allowOverlap="1" wp14:anchorId="33416C01" wp14:editId="6FD9274B">
            <wp:simplePos x="0" y="0"/>
            <wp:positionH relativeFrom="column">
              <wp:posOffset>1240155</wp:posOffset>
            </wp:positionH>
            <wp:positionV relativeFrom="paragraph">
              <wp:posOffset>8730615</wp:posOffset>
            </wp:positionV>
            <wp:extent cx="2383155" cy="1670685"/>
            <wp:effectExtent l="0" t="0" r="0" b="5715"/>
            <wp:wrapNone/>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3155" cy="1670685"/>
                    </a:xfrm>
                    <a:prstGeom prst="rect">
                      <a:avLst/>
                    </a:prstGeom>
                    <a:noFill/>
                  </pic:spPr>
                </pic:pic>
              </a:graphicData>
            </a:graphic>
            <wp14:sizeRelH relativeFrom="page">
              <wp14:pctWidth>0</wp14:pctWidth>
            </wp14:sizeRelH>
            <wp14:sizeRelV relativeFrom="page">
              <wp14:pctHeight>0</wp14:pctHeight>
            </wp14:sizeRelV>
          </wp:anchor>
        </w:drawing>
      </w:r>
      <w:r w:rsidR="00745DD7">
        <w:rPr>
          <w:rFonts w:ascii="Times New Roman" w:hAnsi="Times New Roman"/>
          <w:iCs/>
          <w:noProof/>
          <w:sz w:val="20"/>
          <w:szCs w:val="20"/>
          <w:lang w:bidi="ar-SA"/>
        </w:rPr>
        <w:drawing>
          <wp:anchor distT="0" distB="0" distL="114300" distR="114300" simplePos="0" relativeHeight="251675136" behindDoc="0" locked="0" layoutInCell="1" allowOverlap="1" wp14:anchorId="78C56CA4" wp14:editId="48E5CE48">
            <wp:simplePos x="0" y="0"/>
            <wp:positionH relativeFrom="column">
              <wp:posOffset>3694430</wp:posOffset>
            </wp:positionH>
            <wp:positionV relativeFrom="paragraph">
              <wp:posOffset>6965315</wp:posOffset>
            </wp:positionV>
            <wp:extent cx="2383155" cy="1670685"/>
            <wp:effectExtent l="0" t="0" r="0" b="5715"/>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3155" cy="1670685"/>
                    </a:xfrm>
                    <a:prstGeom prst="rect">
                      <a:avLst/>
                    </a:prstGeom>
                    <a:noFill/>
                  </pic:spPr>
                </pic:pic>
              </a:graphicData>
            </a:graphic>
            <wp14:sizeRelH relativeFrom="page">
              <wp14:pctWidth>0</wp14:pctWidth>
            </wp14:sizeRelH>
            <wp14:sizeRelV relativeFrom="page">
              <wp14:pctHeight>0</wp14:pctHeight>
            </wp14:sizeRelV>
          </wp:anchor>
        </w:drawing>
      </w:r>
      <w:r w:rsidR="00745DD7">
        <w:rPr>
          <w:rFonts w:ascii="Times New Roman" w:hAnsi="Times New Roman"/>
          <w:iCs/>
          <w:noProof/>
          <w:sz w:val="20"/>
          <w:szCs w:val="20"/>
          <w:lang w:bidi="ar-SA"/>
        </w:rPr>
        <w:drawing>
          <wp:anchor distT="0" distB="0" distL="114300" distR="114300" simplePos="0" relativeHeight="251674112" behindDoc="0" locked="0" layoutInCell="1" allowOverlap="1" wp14:anchorId="33277FFE" wp14:editId="0D65F2F7">
            <wp:simplePos x="0" y="0"/>
            <wp:positionH relativeFrom="column">
              <wp:posOffset>1242060</wp:posOffset>
            </wp:positionH>
            <wp:positionV relativeFrom="paragraph">
              <wp:posOffset>6967855</wp:posOffset>
            </wp:positionV>
            <wp:extent cx="2383155" cy="1670685"/>
            <wp:effectExtent l="0" t="0" r="0" b="5715"/>
            <wp:wrapNone/>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0"/>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3155" cy="1670685"/>
                    </a:xfrm>
                    <a:prstGeom prst="rect">
                      <a:avLst/>
                    </a:prstGeom>
                    <a:noFill/>
                  </pic:spPr>
                </pic:pic>
              </a:graphicData>
            </a:graphic>
            <wp14:sizeRelH relativeFrom="page">
              <wp14:pctWidth>0</wp14:pctWidth>
            </wp14:sizeRelH>
            <wp14:sizeRelV relativeFrom="page">
              <wp14:pctHeight>0</wp14:pctHeight>
            </wp14:sizeRelV>
          </wp:anchor>
        </w:drawing>
      </w:r>
      <w:r w:rsidR="00745DD7">
        <w:rPr>
          <w:rFonts w:ascii="Times New Roman" w:hAnsi="Times New Roman"/>
          <w:iCs/>
          <w:noProof/>
          <w:sz w:val="20"/>
          <w:szCs w:val="20"/>
          <w:lang w:bidi="ar-SA"/>
        </w:rPr>
        <w:drawing>
          <wp:anchor distT="0" distB="0" distL="114300" distR="114300" simplePos="0" relativeHeight="251673088" behindDoc="0" locked="0" layoutInCell="1" allowOverlap="1" wp14:anchorId="1B26B058" wp14:editId="3647E5CE">
            <wp:simplePos x="0" y="0"/>
            <wp:positionH relativeFrom="column">
              <wp:posOffset>3697605</wp:posOffset>
            </wp:positionH>
            <wp:positionV relativeFrom="paragraph">
              <wp:posOffset>8730615</wp:posOffset>
            </wp:positionV>
            <wp:extent cx="2383155" cy="1670685"/>
            <wp:effectExtent l="0" t="0" r="0" b="5715"/>
            <wp:wrapNone/>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3"/>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3155" cy="1670685"/>
                    </a:xfrm>
                    <a:prstGeom prst="rect">
                      <a:avLst/>
                    </a:prstGeom>
                    <a:noFill/>
                  </pic:spPr>
                </pic:pic>
              </a:graphicData>
            </a:graphic>
            <wp14:sizeRelH relativeFrom="page">
              <wp14:pctWidth>0</wp14:pctWidth>
            </wp14:sizeRelH>
            <wp14:sizeRelV relativeFrom="page">
              <wp14:pctHeight>0</wp14:pctHeight>
            </wp14:sizeRelV>
          </wp:anchor>
        </w:drawing>
      </w:r>
      <w:r w:rsidR="00745DD7">
        <w:rPr>
          <w:rFonts w:ascii="Times New Roman" w:hAnsi="Times New Roman"/>
          <w:iCs/>
          <w:noProof/>
          <w:sz w:val="20"/>
          <w:szCs w:val="20"/>
          <w:lang w:bidi="ar-SA"/>
        </w:rPr>
        <w:drawing>
          <wp:anchor distT="0" distB="0" distL="114300" distR="114300" simplePos="0" relativeHeight="251672064" behindDoc="0" locked="0" layoutInCell="1" allowOverlap="1" wp14:anchorId="7F47CE66" wp14:editId="00C61299">
            <wp:simplePos x="0" y="0"/>
            <wp:positionH relativeFrom="column">
              <wp:posOffset>1240155</wp:posOffset>
            </wp:positionH>
            <wp:positionV relativeFrom="paragraph">
              <wp:posOffset>8730615</wp:posOffset>
            </wp:positionV>
            <wp:extent cx="2383155" cy="1670685"/>
            <wp:effectExtent l="0" t="0" r="0" b="571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3155" cy="1670685"/>
                    </a:xfrm>
                    <a:prstGeom prst="rect">
                      <a:avLst/>
                    </a:prstGeom>
                    <a:noFill/>
                  </pic:spPr>
                </pic:pic>
              </a:graphicData>
            </a:graphic>
            <wp14:sizeRelH relativeFrom="page">
              <wp14:pctWidth>0</wp14:pctWidth>
            </wp14:sizeRelH>
            <wp14:sizeRelV relativeFrom="page">
              <wp14:pctHeight>0</wp14:pctHeight>
            </wp14:sizeRelV>
          </wp:anchor>
        </w:drawing>
      </w:r>
      <w:r w:rsidR="00745DD7">
        <w:rPr>
          <w:rFonts w:ascii="Times New Roman" w:hAnsi="Times New Roman"/>
          <w:iCs/>
          <w:noProof/>
          <w:sz w:val="20"/>
          <w:szCs w:val="20"/>
          <w:lang w:bidi="ar-SA"/>
        </w:rPr>
        <w:drawing>
          <wp:anchor distT="0" distB="0" distL="114300" distR="114300" simplePos="0" relativeHeight="251671040" behindDoc="0" locked="0" layoutInCell="1" allowOverlap="1" wp14:anchorId="49C42E81" wp14:editId="0638EA2D">
            <wp:simplePos x="0" y="0"/>
            <wp:positionH relativeFrom="column">
              <wp:posOffset>3694430</wp:posOffset>
            </wp:positionH>
            <wp:positionV relativeFrom="paragraph">
              <wp:posOffset>6965315</wp:posOffset>
            </wp:positionV>
            <wp:extent cx="2383155" cy="1670685"/>
            <wp:effectExtent l="0" t="0" r="0" b="5715"/>
            <wp:wrapNone/>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3155" cy="1670685"/>
                    </a:xfrm>
                    <a:prstGeom prst="rect">
                      <a:avLst/>
                    </a:prstGeom>
                    <a:noFill/>
                  </pic:spPr>
                </pic:pic>
              </a:graphicData>
            </a:graphic>
            <wp14:sizeRelH relativeFrom="page">
              <wp14:pctWidth>0</wp14:pctWidth>
            </wp14:sizeRelH>
            <wp14:sizeRelV relativeFrom="page">
              <wp14:pctHeight>0</wp14:pctHeight>
            </wp14:sizeRelV>
          </wp:anchor>
        </w:drawing>
      </w:r>
      <w:r w:rsidR="00745DD7">
        <w:rPr>
          <w:rFonts w:ascii="Times New Roman" w:hAnsi="Times New Roman"/>
          <w:iCs/>
          <w:noProof/>
          <w:sz w:val="20"/>
          <w:szCs w:val="20"/>
          <w:lang w:bidi="ar-SA"/>
        </w:rPr>
        <w:drawing>
          <wp:anchor distT="0" distB="0" distL="114300" distR="114300" simplePos="0" relativeHeight="251670016" behindDoc="0" locked="0" layoutInCell="1" allowOverlap="1" wp14:anchorId="507C8116" wp14:editId="5371006F">
            <wp:simplePos x="0" y="0"/>
            <wp:positionH relativeFrom="column">
              <wp:posOffset>1242060</wp:posOffset>
            </wp:positionH>
            <wp:positionV relativeFrom="paragraph">
              <wp:posOffset>6967855</wp:posOffset>
            </wp:positionV>
            <wp:extent cx="2383155" cy="1670685"/>
            <wp:effectExtent l="0" t="0" r="0" b="5715"/>
            <wp:wrapNone/>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0"/>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3155" cy="1670685"/>
                    </a:xfrm>
                    <a:prstGeom prst="rect">
                      <a:avLst/>
                    </a:prstGeom>
                    <a:noFill/>
                  </pic:spPr>
                </pic:pic>
              </a:graphicData>
            </a:graphic>
            <wp14:sizeRelH relativeFrom="page">
              <wp14:pctWidth>0</wp14:pctWidth>
            </wp14:sizeRelH>
            <wp14:sizeRelV relativeFrom="page">
              <wp14:pctHeight>0</wp14:pctHeight>
            </wp14:sizeRelV>
          </wp:anchor>
        </w:drawing>
      </w:r>
    </w:p>
    <w:p w:rsidR="00894C00" w:rsidRDefault="00894C00" w:rsidP="00441F60">
      <w:pPr>
        <w:spacing w:after="0" w:line="240" w:lineRule="auto"/>
        <w:jc w:val="both"/>
        <w:rPr>
          <w:rFonts w:ascii="Times New Roman" w:hAnsi="Times New Roman"/>
          <w:iCs/>
          <w:sz w:val="20"/>
          <w:szCs w:val="20"/>
        </w:rPr>
      </w:pPr>
    </w:p>
    <w:p w:rsidR="00235756" w:rsidRPr="00235756" w:rsidRDefault="00235756" w:rsidP="00235756">
      <w:pPr>
        <w:spacing w:after="0" w:line="240" w:lineRule="auto"/>
        <w:jc w:val="both"/>
        <w:rPr>
          <w:rFonts w:ascii="Times New Roman" w:hAnsi="Times New Roman"/>
          <w:b/>
          <w:iCs/>
          <w:sz w:val="20"/>
          <w:szCs w:val="20"/>
        </w:rPr>
      </w:pPr>
      <w:r w:rsidRPr="00235756">
        <w:rPr>
          <w:rFonts w:ascii="Times New Roman" w:hAnsi="Times New Roman"/>
          <w:b/>
          <w:iCs/>
          <w:sz w:val="20"/>
          <w:szCs w:val="20"/>
        </w:rPr>
        <w:lastRenderedPageBreak/>
        <w:t>N:P ratio</w:t>
      </w:r>
    </w:p>
    <w:p w:rsidR="00235756" w:rsidRPr="00235756" w:rsidRDefault="00235756" w:rsidP="00235756">
      <w:pPr>
        <w:spacing w:after="0" w:line="240" w:lineRule="auto"/>
        <w:jc w:val="both"/>
        <w:rPr>
          <w:rFonts w:ascii="Times New Roman" w:hAnsi="Times New Roman"/>
          <w:sz w:val="20"/>
          <w:szCs w:val="20"/>
        </w:rPr>
      </w:pPr>
      <w:r w:rsidRPr="00235756">
        <w:rPr>
          <w:rFonts w:ascii="Times New Roman" w:hAnsi="Times New Roman"/>
          <w:sz w:val="20"/>
          <w:szCs w:val="20"/>
        </w:rPr>
        <w:t>The relationship between two parameters can be obtained via plot regressions of one parameter against another. This technique requires sufficient variability in the various parameters for the slope of the line to be determined. By using the whole data, the regressions between the concentrations of chl-a versus DIN (nitrate + ammonia) and chl-a versus DIP were determined as shown in Figure 4 (note that the concentrations of DIN and DIP have been changed from µg/L to µM). It appears that the chl-a concentrations of all samples were highly correlated with DIN (R</w:t>
      </w:r>
      <w:r w:rsidRPr="00235756">
        <w:rPr>
          <w:rFonts w:ascii="Times New Roman" w:hAnsi="Times New Roman"/>
          <w:sz w:val="20"/>
          <w:szCs w:val="20"/>
          <w:vertAlign w:val="superscript"/>
        </w:rPr>
        <w:t>2</w:t>
      </w:r>
      <w:r w:rsidRPr="00235756">
        <w:rPr>
          <w:rFonts w:ascii="Times New Roman" w:hAnsi="Times New Roman"/>
          <w:sz w:val="20"/>
          <w:szCs w:val="20"/>
        </w:rPr>
        <w:t>=0.31; R=0.56) and DIP (R</w:t>
      </w:r>
      <w:r w:rsidRPr="00235756">
        <w:rPr>
          <w:rFonts w:ascii="Times New Roman" w:hAnsi="Times New Roman"/>
          <w:sz w:val="20"/>
          <w:szCs w:val="20"/>
          <w:vertAlign w:val="superscript"/>
        </w:rPr>
        <w:t>2</w:t>
      </w:r>
      <w:r w:rsidRPr="00235756">
        <w:rPr>
          <w:rFonts w:ascii="Times New Roman" w:hAnsi="Times New Roman"/>
          <w:sz w:val="20"/>
          <w:szCs w:val="20"/>
        </w:rPr>
        <w:t>=0.53; R=0.73). This means that the distribution patterns of chl-a (as an indicator for phytoplankton) were influenced by the inorganic nutrients. This result is consistent with other studies and further supports the argument that inorganic nutrients are the major nutrients for phytoplankton growth [6, 28, 29].</w:t>
      </w:r>
    </w:p>
    <w:p w:rsidR="00235756" w:rsidRPr="004641D6" w:rsidRDefault="00235756" w:rsidP="00235756">
      <w:pPr>
        <w:spacing w:after="0" w:line="240" w:lineRule="auto"/>
        <w:jc w:val="both"/>
        <w:rPr>
          <w:rFonts w:ascii="Times New Roman" w:hAnsi="Times New Roman"/>
          <w:noProof/>
          <w:sz w:val="20"/>
          <w:szCs w:val="20"/>
          <w:lang w:val="ms-MY" w:eastAsia="ms-MY"/>
        </w:rPr>
      </w:pPr>
      <w:r>
        <w:rPr>
          <w:rFonts w:ascii="Times New Roman" w:hAnsi="Times New Roman"/>
          <w:noProof/>
          <w:sz w:val="20"/>
          <w:szCs w:val="20"/>
          <w:lang w:bidi="ar-SA"/>
        </w:rPr>
        <w:drawing>
          <wp:anchor distT="0" distB="0" distL="114300" distR="114300" simplePos="0" relativeHeight="251689472" behindDoc="0" locked="0" layoutInCell="1" allowOverlap="1" wp14:anchorId="74654352" wp14:editId="6BD49872">
            <wp:simplePos x="0" y="0"/>
            <wp:positionH relativeFrom="column">
              <wp:posOffset>523240</wp:posOffset>
            </wp:positionH>
            <wp:positionV relativeFrom="paragraph">
              <wp:posOffset>118110</wp:posOffset>
            </wp:positionV>
            <wp:extent cx="2383155" cy="1670685"/>
            <wp:effectExtent l="0" t="0" r="0" b="5715"/>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4"/>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3155" cy="167068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0"/>
          <w:szCs w:val="20"/>
          <w:lang w:bidi="ar-SA"/>
        </w:rPr>
        <w:drawing>
          <wp:anchor distT="0" distB="0" distL="114300" distR="114300" simplePos="0" relativeHeight="251690496" behindDoc="0" locked="0" layoutInCell="1" allowOverlap="1" wp14:anchorId="55E950C3" wp14:editId="72CC32B6">
            <wp:simplePos x="0" y="0"/>
            <wp:positionH relativeFrom="column">
              <wp:posOffset>3173730</wp:posOffset>
            </wp:positionH>
            <wp:positionV relativeFrom="paragraph">
              <wp:posOffset>118110</wp:posOffset>
            </wp:positionV>
            <wp:extent cx="2383155" cy="1670685"/>
            <wp:effectExtent l="0" t="0" r="0" b="571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5"/>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3155" cy="1670685"/>
                    </a:xfrm>
                    <a:prstGeom prst="rect">
                      <a:avLst/>
                    </a:prstGeom>
                    <a:noFill/>
                  </pic:spPr>
                </pic:pic>
              </a:graphicData>
            </a:graphic>
            <wp14:sizeRelH relativeFrom="page">
              <wp14:pctWidth>0</wp14:pctWidth>
            </wp14:sizeRelH>
            <wp14:sizeRelV relativeFrom="page">
              <wp14:pctHeight>0</wp14:pctHeight>
            </wp14:sizeRelV>
          </wp:anchor>
        </w:drawing>
      </w:r>
    </w:p>
    <w:p w:rsidR="00235756" w:rsidRDefault="00235756" w:rsidP="00235756">
      <w:pPr>
        <w:spacing w:after="0" w:line="240" w:lineRule="auto"/>
        <w:jc w:val="both"/>
        <w:rPr>
          <w:rFonts w:ascii="Times New Roman" w:hAnsi="Times New Roman"/>
          <w:noProof/>
          <w:sz w:val="20"/>
          <w:szCs w:val="20"/>
          <w:lang w:val="ms-MY" w:eastAsia="ms-MY"/>
        </w:rPr>
      </w:pPr>
    </w:p>
    <w:p w:rsidR="00235756" w:rsidRDefault="00235756" w:rsidP="00235756">
      <w:pPr>
        <w:spacing w:after="0" w:line="240" w:lineRule="auto"/>
        <w:jc w:val="both"/>
        <w:rPr>
          <w:rFonts w:ascii="Times New Roman" w:hAnsi="Times New Roman"/>
          <w:noProof/>
          <w:sz w:val="20"/>
          <w:szCs w:val="20"/>
          <w:lang w:val="ms-MY" w:eastAsia="ms-MY"/>
        </w:rPr>
      </w:pPr>
    </w:p>
    <w:p w:rsidR="00235756" w:rsidRDefault="00235756" w:rsidP="00235756">
      <w:pPr>
        <w:spacing w:after="0" w:line="240" w:lineRule="auto"/>
        <w:jc w:val="both"/>
        <w:rPr>
          <w:rFonts w:ascii="Times New Roman" w:hAnsi="Times New Roman"/>
          <w:noProof/>
          <w:sz w:val="20"/>
          <w:szCs w:val="20"/>
          <w:lang w:val="ms-MY" w:eastAsia="ms-MY"/>
        </w:rPr>
      </w:pPr>
    </w:p>
    <w:p w:rsidR="00235756" w:rsidRDefault="00235756" w:rsidP="00235756">
      <w:pPr>
        <w:spacing w:after="0" w:line="240" w:lineRule="auto"/>
        <w:jc w:val="both"/>
        <w:rPr>
          <w:rFonts w:ascii="Times New Roman" w:hAnsi="Times New Roman"/>
          <w:noProof/>
          <w:sz w:val="20"/>
          <w:szCs w:val="20"/>
          <w:lang w:val="ms-MY" w:eastAsia="ms-MY"/>
        </w:rPr>
      </w:pPr>
    </w:p>
    <w:p w:rsidR="00235756" w:rsidRDefault="00235756" w:rsidP="00235756">
      <w:pPr>
        <w:spacing w:after="0" w:line="240" w:lineRule="auto"/>
        <w:jc w:val="both"/>
        <w:rPr>
          <w:rFonts w:ascii="Times New Roman" w:hAnsi="Times New Roman"/>
          <w:noProof/>
          <w:sz w:val="20"/>
          <w:szCs w:val="20"/>
          <w:lang w:val="ms-MY" w:eastAsia="ms-MY"/>
        </w:rPr>
      </w:pPr>
    </w:p>
    <w:p w:rsidR="00235756" w:rsidRDefault="00235756" w:rsidP="00235756">
      <w:pPr>
        <w:spacing w:after="0" w:line="240" w:lineRule="auto"/>
        <w:jc w:val="both"/>
        <w:rPr>
          <w:rFonts w:ascii="Times New Roman" w:hAnsi="Times New Roman"/>
          <w:noProof/>
          <w:sz w:val="20"/>
          <w:szCs w:val="20"/>
          <w:lang w:val="ms-MY" w:eastAsia="ms-MY"/>
        </w:rPr>
      </w:pPr>
    </w:p>
    <w:p w:rsidR="00235756" w:rsidRDefault="00235756" w:rsidP="00235756">
      <w:pPr>
        <w:spacing w:after="0" w:line="240" w:lineRule="auto"/>
        <w:jc w:val="both"/>
        <w:rPr>
          <w:rFonts w:ascii="Times New Roman" w:hAnsi="Times New Roman"/>
          <w:noProof/>
          <w:sz w:val="20"/>
          <w:szCs w:val="20"/>
          <w:lang w:val="ms-MY" w:eastAsia="ms-MY"/>
        </w:rPr>
      </w:pPr>
    </w:p>
    <w:p w:rsidR="00235756" w:rsidRDefault="00235756" w:rsidP="00235756">
      <w:pPr>
        <w:spacing w:after="0" w:line="240" w:lineRule="auto"/>
        <w:jc w:val="both"/>
        <w:rPr>
          <w:rFonts w:ascii="Times New Roman" w:hAnsi="Times New Roman"/>
          <w:noProof/>
          <w:sz w:val="20"/>
          <w:szCs w:val="20"/>
          <w:lang w:val="ms-MY" w:eastAsia="ms-MY"/>
        </w:rPr>
      </w:pPr>
    </w:p>
    <w:p w:rsidR="00235756" w:rsidRDefault="00235756" w:rsidP="00235756">
      <w:pPr>
        <w:spacing w:after="0" w:line="240" w:lineRule="auto"/>
        <w:jc w:val="both"/>
        <w:rPr>
          <w:rFonts w:ascii="Times New Roman" w:hAnsi="Times New Roman"/>
          <w:noProof/>
          <w:sz w:val="20"/>
          <w:szCs w:val="20"/>
          <w:lang w:val="ms-MY" w:eastAsia="ms-MY"/>
        </w:rPr>
      </w:pPr>
    </w:p>
    <w:p w:rsidR="00235756" w:rsidRDefault="00235756" w:rsidP="00235756">
      <w:pPr>
        <w:spacing w:after="0" w:line="240" w:lineRule="auto"/>
        <w:jc w:val="both"/>
        <w:rPr>
          <w:rFonts w:ascii="Times New Roman" w:hAnsi="Times New Roman"/>
          <w:noProof/>
          <w:sz w:val="20"/>
          <w:szCs w:val="20"/>
          <w:lang w:val="ms-MY" w:eastAsia="ms-MY"/>
        </w:rPr>
      </w:pPr>
    </w:p>
    <w:p w:rsidR="00235756" w:rsidRDefault="00235756" w:rsidP="00235756">
      <w:pPr>
        <w:spacing w:after="180" w:line="240" w:lineRule="auto"/>
        <w:jc w:val="both"/>
        <w:rPr>
          <w:rFonts w:ascii="Times New Roman" w:hAnsi="Times New Roman"/>
          <w:noProof/>
          <w:sz w:val="20"/>
          <w:szCs w:val="20"/>
          <w:lang w:val="ms-MY" w:eastAsia="ms-MY"/>
        </w:rPr>
      </w:pPr>
    </w:p>
    <w:p w:rsidR="00235756" w:rsidRPr="004641D6" w:rsidRDefault="00235756" w:rsidP="00235756">
      <w:pPr>
        <w:spacing w:after="0" w:line="240" w:lineRule="auto"/>
        <w:jc w:val="center"/>
        <w:rPr>
          <w:rFonts w:ascii="Times New Roman" w:hAnsi="Times New Roman"/>
          <w:noProof/>
          <w:sz w:val="20"/>
          <w:szCs w:val="20"/>
          <w:lang w:val="ms-MY" w:eastAsia="ms-MY"/>
        </w:rPr>
      </w:pPr>
      <w:r w:rsidRPr="004641D6">
        <w:rPr>
          <w:rFonts w:ascii="Times New Roman" w:hAnsi="Times New Roman"/>
          <w:noProof/>
          <w:sz w:val="20"/>
          <w:szCs w:val="20"/>
          <w:lang w:val="ms-MY" w:eastAsia="ms-MY"/>
        </w:rPr>
        <w:t xml:space="preserve">Figure 4. </w:t>
      </w:r>
      <w:r>
        <w:rPr>
          <w:rFonts w:ascii="Times New Roman" w:hAnsi="Times New Roman"/>
          <w:noProof/>
          <w:sz w:val="20"/>
          <w:szCs w:val="20"/>
          <w:lang w:val="ms-MY" w:eastAsia="ms-MY"/>
        </w:rPr>
        <w:t xml:space="preserve"> </w:t>
      </w:r>
      <w:r w:rsidRPr="004641D6">
        <w:rPr>
          <w:rFonts w:ascii="Times New Roman" w:hAnsi="Times New Roman"/>
          <w:noProof/>
          <w:sz w:val="20"/>
          <w:szCs w:val="20"/>
          <w:lang w:val="ms-MY" w:eastAsia="ms-MY"/>
        </w:rPr>
        <w:t>Molar concentrations of DIN and DIP versus chl-a</w:t>
      </w:r>
    </w:p>
    <w:p w:rsidR="00235756" w:rsidRPr="004641D6" w:rsidRDefault="00235756" w:rsidP="00235756">
      <w:pPr>
        <w:spacing w:after="120" w:line="240" w:lineRule="auto"/>
        <w:jc w:val="both"/>
        <w:rPr>
          <w:rFonts w:ascii="Times New Roman" w:hAnsi="Times New Roman"/>
          <w:b/>
          <w:iCs/>
          <w:sz w:val="20"/>
          <w:szCs w:val="20"/>
        </w:rPr>
      </w:pPr>
    </w:p>
    <w:p w:rsidR="00235756" w:rsidRPr="004641D6" w:rsidRDefault="00235756" w:rsidP="00235756">
      <w:pPr>
        <w:spacing w:after="0" w:line="240" w:lineRule="auto"/>
        <w:jc w:val="both"/>
        <w:rPr>
          <w:rFonts w:ascii="Times New Roman" w:hAnsi="Times New Roman"/>
          <w:sz w:val="20"/>
          <w:szCs w:val="20"/>
        </w:rPr>
      </w:pPr>
      <w:r w:rsidRPr="004641D6">
        <w:rPr>
          <w:rFonts w:ascii="Times New Roman" w:hAnsi="Times New Roman"/>
          <w:iCs/>
          <w:sz w:val="20"/>
          <w:szCs w:val="20"/>
        </w:rPr>
        <w:t xml:space="preserve">The regression graph of DIN versus DIP was plotted in order to determine the molar ratio of N:P in the Besut River basin (Figure 5). Although some studies have used the total concentrations of N and P in order to calculate the N:P molar ratio [16, 29], the inorganic forms of N- and P-based nutrients are the major nutrients used for phytoplankton growth [28, 29, 31], hence DIN and DIP were used here. The slope of the graph indicated that the </w:t>
      </w:r>
      <w:r w:rsidRPr="004641D6">
        <w:rPr>
          <w:rFonts w:ascii="Times New Roman" w:hAnsi="Times New Roman"/>
          <w:sz w:val="20"/>
          <w:szCs w:val="20"/>
        </w:rPr>
        <w:t>N:P mean molar ratios of all samples was about 72:1</w:t>
      </w:r>
      <w:bookmarkStart w:id="1" w:name="OLE_LINK3"/>
      <w:r w:rsidRPr="004641D6">
        <w:rPr>
          <w:rFonts w:ascii="Times New Roman" w:hAnsi="Times New Roman"/>
          <w:sz w:val="20"/>
          <w:szCs w:val="20"/>
        </w:rPr>
        <w:t xml:space="preserve"> (R</w:t>
      </w:r>
      <w:r w:rsidRPr="004641D6">
        <w:rPr>
          <w:rFonts w:ascii="Times New Roman" w:hAnsi="Times New Roman"/>
          <w:sz w:val="20"/>
          <w:szCs w:val="20"/>
          <w:vertAlign w:val="superscript"/>
        </w:rPr>
        <w:t>2</w:t>
      </w:r>
      <w:r w:rsidRPr="004641D6">
        <w:rPr>
          <w:rFonts w:ascii="Times New Roman" w:hAnsi="Times New Roman"/>
          <w:sz w:val="20"/>
          <w:szCs w:val="20"/>
        </w:rPr>
        <w:t xml:space="preserve">=0.57; R=0.76). </w:t>
      </w:r>
      <w:bookmarkEnd w:id="1"/>
      <w:r w:rsidRPr="004641D6">
        <w:rPr>
          <w:rFonts w:ascii="Times New Roman" w:hAnsi="Times New Roman"/>
          <w:sz w:val="20"/>
          <w:szCs w:val="20"/>
        </w:rPr>
        <w:t xml:space="preserve">This value is much higher than the value proposed by Redfield ratio (16:1), which is probably due to high DIN input from agriculture and residential areas in the Besut River basin. The calculated N:P molar ratio showed that DIP is the limiting nutrient in the Besut River basin, i.e. the primary production of phytoplankton is controlled by the availability of DIP. Many studies of surface freshwater systems have also observed the same trends of P-limiting nutrients in their area such as </w:t>
      </w:r>
      <w:r w:rsidRPr="004641D6">
        <w:rPr>
          <w:rFonts w:ascii="Times New Roman" w:hAnsi="Times New Roman"/>
          <w:noProof/>
          <w:sz w:val="20"/>
          <w:szCs w:val="20"/>
        </w:rPr>
        <w:t>Colorado</w:t>
      </w:r>
      <w:r w:rsidRPr="004641D6">
        <w:rPr>
          <w:rFonts w:ascii="Times New Roman" w:hAnsi="Times New Roman"/>
          <w:sz w:val="20"/>
          <w:szCs w:val="20"/>
        </w:rPr>
        <w:t xml:space="preserve"> Lakes, U.S [29], Setiu River, Malaysia [32], Lake Michigan, U.S. [33] and Lake Baringo, Kenya [34]. For the freshwater system, the main input of nutrients is from point and non-point sources which are mainly from agriculture, industrial and domestic wastes. In going from the terrestrial to the aquatic system (e.g. run-off from land), the movement of P is more limited compared to the N due to the process of P binding to the soils [7]. As a result, N is more likely to flow to the freshwater, making P relatively very low in concentration and more limiting than N. </w:t>
      </w:r>
    </w:p>
    <w:p w:rsidR="00235756" w:rsidRPr="004641D6" w:rsidRDefault="00235756" w:rsidP="00235756">
      <w:pPr>
        <w:spacing w:after="0" w:line="240" w:lineRule="auto"/>
        <w:jc w:val="both"/>
        <w:rPr>
          <w:rFonts w:ascii="Times New Roman" w:hAnsi="Times New Roman"/>
          <w:sz w:val="20"/>
          <w:szCs w:val="20"/>
        </w:rPr>
      </w:pPr>
    </w:p>
    <w:p w:rsidR="00235756" w:rsidRPr="004641D6" w:rsidRDefault="00235756" w:rsidP="00235756">
      <w:pPr>
        <w:spacing w:after="120" w:line="240" w:lineRule="auto"/>
        <w:jc w:val="center"/>
        <w:rPr>
          <w:rFonts w:ascii="Times New Roman" w:hAnsi="Times New Roman"/>
          <w:noProof/>
          <w:sz w:val="20"/>
          <w:szCs w:val="20"/>
          <w:lang w:val="ms-MY" w:eastAsia="ms-MY"/>
        </w:rPr>
      </w:pPr>
      <w:r>
        <w:rPr>
          <w:rFonts w:ascii="Times New Roman" w:hAnsi="Times New Roman"/>
          <w:noProof/>
          <w:sz w:val="20"/>
          <w:szCs w:val="20"/>
          <w:lang w:bidi="ar-SA"/>
        </w:rPr>
        <w:drawing>
          <wp:inline distT="0" distB="0" distL="0" distR="0">
            <wp:extent cx="2552700" cy="1838325"/>
            <wp:effectExtent l="0" t="0" r="0" b="952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52700" cy="1838325"/>
                    </a:xfrm>
                    <a:prstGeom prst="rect">
                      <a:avLst/>
                    </a:prstGeom>
                    <a:noFill/>
                    <a:ln>
                      <a:noFill/>
                    </a:ln>
                  </pic:spPr>
                </pic:pic>
              </a:graphicData>
            </a:graphic>
          </wp:inline>
        </w:drawing>
      </w:r>
    </w:p>
    <w:p w:rsidR="006768E9" w:rsidRPr="00031F97" w:rsidRDefault="00235756" w:rsidP="00441F60">
      <w:pPr>
        <w:spacing w:after="0" w:line="240" w:lineRule="auto"/>
        <w:jc w:val="center"/>
        <w:rPr>
          <w:rFonts w:ascii="Times New Roman" w:hAnsi="Times New Roman"/>
          <w:b/>
          <w:iCs/>
          <w:sz w:val="20"/>
          <w:szCs w:val="20"/>
        </w:rPr>
      </w:pPr>
      <w:r w:rsidRPr="004641D6">
        <w:rPr>
          <w:rFonts w:ascii="Times New Roman" w:hAnsi="Times New Roman"/>
          <w:noProof/>
          <w:sz w:val="20"/>
          <w:szCs w:val="20"/>
          <w:lang w:val="ms-MY" w:eastAsia="ms-MY"/>
        </w:rPr>
        <w:t xml:space="preserve">Figure 5. </w:t>
      </w:r>
      <w:r>
        <w:rPr>
          <w:rFonts w:ascii="Times New Roman" w:hAnsi="Times New Roman"/>
          <w:noProof/>
          <w:sz w:val="20"/>
          <w:szCs w:val="20"/>
          <w:lang w:val="ms-MY" w:eastAsia="ms-MY"/>
        </w:rPr>
        <w:t xml:space="preserve"> </w:t>
      </w:r>
      <w:r w:rsidRPr="004641D6">
        <w:rPr>
          <w:rFonts w:ascii="Times New Roman" w:hAnsi="Times New Roman"/>
          <w:noProof/>
          <w:sz w:val="20"/>
          <w:szCs w:val="20"/>
          <w:lang w:val="ms-MY" w:eastAsia="ms-MY"/>
        </w:rPr>
        <w:t>The molar ratio of DIN versus DIP</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31F97" w:rsidRPr="00031F97" w:rsidRDefault="00031F97" w:rsidP="00031F97">
      <w:pPr>
        <w:spacing w:after="0" w:line="240" w:lineRule="auto"/>
        <w:jc w:val="both"/>
        <w:rPr>
          <w:rFonts w:ascii="Times New Roman" w:hAnsi="Times New Roman"/>
          <w:iCs/>
          <w:sz w:val="20"/>
          <w:szCs w:val="20"/>
        </w:rPr>
      </w:pPr>
      <w:r w:rsidRPr="00031F97">
        <w:rPr>
          <w:rFonts w:ascii="Times New Roman" w:hAnsi="Times New Roman"/>
          <w:iCs/>
          <w:sz w:val="20"/>
          <w:szCs w:val="20"/>
        </w:rPr>
        <w:t xml:space="preserve">The present study shows that nutrients in both dissolved and particulate forms were higher downstream compared to upstream of the Besut River basin. This situation </w:t>
      </w:r>
      <w:r w:rsidRPr="00031F97">
        <w:rPr>
          <w:rFonts w:ascii="Times New Roman" w:eastAsia="Calibri" w:hAnsi="Times New Roman"/>
          <w:sz w:val="20"/>
          <w:szCs w:val="20"/>
        </w:rPr>
        <w:t xml:space="preserve">revealed the influence of </w:t>
      </w:r>
      <w:r w:rsidRPr="00031F97">
        <w:rPr>
          <w:rFonts w:ascii="Times New Roman" w:hAnsi="Times New Roman"/>
          <w:iCs/>
          <w:sz w:val="20"/>
          <w:szCs w:val="20"/>
        </w:rPr>
        <w:t>continuous input from domestic and municipal discharges from three major towns in the Besut River basin. The high concentrations of the nutrients observed during the wet monsoon period were possibly due to the run-off process from the land into the river. Comparisons with other study areas showed that nutrient concentrations in the Besut River basin were still low. Based on the calculated N:P molar ratio, the limiting nutrient in this study area was DIP</w:t>
      </w:r>
      <w:r w:rsidRPr="00031F97">
        <w:rPr>
          <w:rFonts w:ascii="Times New Roman" w:hAnsi="Times New Roman"/>
          <w:sz w:val="20"/>
          <w:szCs w:val="20"/>
        </w:rPr>
        <w:t>. The results obtained were based on the short term sampling. It is suggested to prolong the sampling in order to get more data of nutrients input, their loading and model it. This further assessment should provide a better understanding of nutrients distribution and related process for future prediction and comparison study.</w:t>
      </w:r>
    </w:p>
    <w:p w:rsidR="00031F97" w:rsidRPr="00031F97" w:rsidRDefault="00031F97" w:rsidP="00031F97">
      <w:pPr>
        <w:spacing w:after="0" w:line="240" w:lineRule="auto"/>
        <w:jc w:val="center"/>
        <w:rPr>
          <w:rFonts w:ascii="Times New Roman" w:hAnsi="Times New Roman"/>
          <w:iCs/>
          <w:sz w:val="20"/>
          <w:szCs w:val="20"/>
        </w:rPr>
      </w:pPr>
    </w:p>
    <w:p w:rsidR="00031F97" w:rsidRPr="00031F97" w:rsidRDefault="00031F97" w:rsidP="00031F97">
      <w:pPr>
        <w:spacing w:after="0" w:line="240" w:lineRule="auto"/>
        <w:jc w:val="center"/>
        <w:rPr>
          <w:rFonts w:ascii="Times New Roman" w:hAnsi="Times New Roman"/>
          <w:b/>
          <w:sz w:val="20"/>
          <w:szCs w:val="20"/>
        </w:rPr>
      </w:pPr>
      <w:r w:rsidRPr="00031F97">
        <w:rPr>
          <w:rFonts w:ascii="Times New Roman" w:hAnsi="Times New Roman"/>
          <w:b/>
          <w:sz w:val="20"/>
          <w:szCs w:val="20"/>
        </w:rPr>
        <w:t>Acknowledgements</w:t>
      </w:r>
    </w:p>
    <w:p w:rsidR="006768E9" w:rsidRPr="00F447A7" w:rsidRDefault="00031F97" w:rsidP="00031F97">
      <w:pPr>
        <w:spacing w:after="0" w:line="240" w:lineRule="auto"/>
        <w:jc w:val="both"/>
        <w:rPr>
          <w:rFonts w:ascii="Times New Roman" w:hAnsi="Times New Roman"/>
          <w:sz w:val="20"/>
          <w:szCs w:val="20"/>
        </w:rPr>
      </w:pPr>
      <w:r w:rsidRPr="00031F97">
        <w:rPr>
          <w:rStyle w:val="longtext"/>
          <w:rFonts w:ascii="Times New Roman" w:hAnsi="Times New Roman"/>
          <w:sz w:val="20"/>
          <w:szCs w:val="20"/>
        </w:rPr>
        <w:t xml:space="preserve">The authors appreciated the Department of Chemical Sciences, Universiti Malaysia Terengganu for the financial support. This work was partly supported by the Higher Institution Centre of Excellence (HICoE) research grant (Vote no. 66928) awarded to the Institute of Oceanography and Environment, Universiti Malaysia Terengganu. </w:t>
      </w:r>
      <w:r w:rsidRPr="00031F97">
        <w:rPr>
          <w:rFonts w:ascii="Times New Roman" w:hAnsi="Times New Roman"/>
          <w:sz w:val="20"/>
          <w:szCs w:val="20"/>
        </w:rPr>
        <w:t>The assistance of Norsuria Yahaya and Siti Rahayu A. Rashid in the sampling and analysis is kindly acknowledged. We are grateful for the helpful comments on the manuscript from anonymous reviewer. Thanks to Dr. Rose Norman for assistance with proof reading of the manuscript.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Jickells, T. D., Andrews, J. E., Parkes, D. J., Suratman, S., Aziz,  A. A. and Hee, Y. Y. (2014). Nutrient transport through estuaries: The importance of the estuarine geography. </w:t>
      </w:r>
      <w:r w:rsidRPr="00031F97">
        <w:rPr>
          <w:rFonts w:ascii="Times New Roman" w:hAnsi="Times New Roman"/>
          <w:i/>
          <w:iCs/>
          <w:noProof/>
          <w:sz w:val="20"/>
          <w:szCs w:val="20"/>
        </w:rPr>
        <w:t>Estuarine, Coastal and Shelf Science</w:t>
      </w:r>
      <w:r w:rsidRPr="00031F97">
        <w:rPr>
          <w:rFonts w:ascii="Times New Roman" w:hAnsi="Times New Roman"/>
          <w:noProof/>
          <w:sz w:val="20"/>
          <w:szCs w:val="20"/>
        </w:rPr>
        <w:t xml:space="preserve">, </w:t>
      </w:r>
      <w:r w:rsidRPr="00031F97">
        <w:rPr>
          <w:rFonts w:ascii="Times New Roman" w:hAnsi="Times New Roman"/>
          <w:iCs/>
          <w:noProof/>
          <w:sz w:val="20"/>
          <w:szCs w:val="20"/>
        </w:rPr>
        <w:t>150:</w:t>
      </w:r>
      <w:r w:rsidRPr="00031F97">
        <w:rPr>
          <w:rFonts w:ascii="Times New Roman" w:hAnsi="Times New Roman"/>
          <w:noProof/>
          <w:sz w:val="20"/>
          <w:szCs w:val="20"/>
        </w:rPr>
        <w:t xml:space="preserve"> 215–229. </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Drolc, A., and Zagorc, K. J. (2008). Diffuse sources of nitrogen compounds in the Sava River basin, Slovenia. </w:t>
      </w:r>
      <w:r w:rsidRPr="00031F97">
        <w:rPr>
          <w:rFonts w:ascii="Times New Roman" w:hAnsi="Times New Roman"/>
          <w:i/>
          <w:iCs/>
          <w:noProof/>
          <w:sz w:val="20"/>
          <w:szCs w:val="20"/>
        </w:rPr>
        <w:t>Desalination</w:t>
      </w:r>
      <w:r w:rsidRPr="00031F97">
        <w:rPr>
          <w:rFonts w:ascii="Times New Roman" w:hAnsi="Times New Roman"/>
          <w:noProof/>
          <w:sz w:val="20"/>
          <w:szCs w:val="20"/>
        </w:rPr>
        <w:t xml:space="preserve">, </w:t>
      </w:r>
      <w:r w:rsidRPr="00031F97">
        <w:rPr>
          <w:rFonts w:ascii="Times New Roman" w:hAnsi="Times New Roman"/>
          <w:iCs/>
          <w:noProof/>
          <w:sz w:val="20"/>
          <w:szCs w:val="20"/>
        </w:rPr>
        <w:t>226</w:t>
      </w:r>
      <w:r w:rsidRPr="00031F97">
        <w:rPr>
          <w:rFonts w:ascii="Times New Roman" w:hAnsi="Times New Roman"/>
          <w:noProof/>
          <w:sz w:val="20"/>
          <w:szCs w:val="20"/>
        </w:rPr>
        <w:t xml:space="preserve">(1–3): 256–261. </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Gao, W., Howarth, R. W., Swaney, D. P., Hong, B., and Guo, H. C. (2015). Enhanced N input to Lake Dianchi basin from 1980 to 2010: drivers and consequences. </w:t>
      </w:r>
      <w:r w:rsidRPr="00031F97">
        <w:rPr>
          <w:rFonts w:ascii="Times New Roman" w:hAnsi="Times New Roman"/>
          <w:i/>
          <w:iCs/>
          <w:noProof/>
          <w:sz w:val="20"/>
          <w:szCs w:val="20"/>
        </w:rPr>
        <w:t>Science of the Total Environment</w:t>
      </w:r>
      <w:r w:rsidRPr="00031F97">
        <w:rPr>
          <w:rFonts w:ascii="Times New Roman" w:hAnsi="Times New Roman"/>
          <w:noProof/>
          <w:sz w:val="20"/>
          <w:szCs w:val="20"/>
        </w:rPr>
        <w:t xml:space="preserve">, </w:t>
      </w:r>
      <w:r w:rsidRPr="00031F97">
        <w:rPr>
          <w:rFonts w:ascii="Times New Roman" w:hAnsi="Times New Roman"/>
          <w:iCs/>
          <w:noProof/>
          <w:sz w:val="20"/>
          <w:szCs w:val="20"/>
        </w:rPr>
        <w:t>505:</w:t>
      </w:r>
      <w:r w:rsidRPr="00031F97">
        <w:rPr>
          <w:rFonts w:ascii="Times New Roman" w:hAnsi="Times New Roman"/>
          <w:noProof/>
          <w:sz w:val="20"/>
          <w:szCs w:val="20"/>
        </w:rPr>
        <w:t xml:space="preserve"> 376–384.</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Ling, T. Y., Michelle, C. M., Nyanti, L., Norhadi, I. and Justin, J. J. E. (2010). Impacts of aquaculture and domestic wastewater on the water quality of Santubong River, Malaysia. </w:t>
      </w:r>
      <w:r w:rsidRPr="00031F97">
        <w:rPr>
          <w:rFonts w:ascii="Times New Roman" w:hAnsi="Times New Roman"/>
          <w:i/>
          <w:noProof/>
          <w:sz w:val="20"/>
          <w:szCs w:val="20"/>
        </w:rPr>
        <w:t>Journal of Environmental Science and Engineering</w:t>
      </w:r>
      <w:r w:rsidRPr="00031F97">
        <w:rPr>
          <w:rFonts w:ascii="Times New Roman" w:hAnsi="Times New Roman"/>
          <w:noProof/>
          <w:sz w:val="20"/>
          <w:szCs w:val="20"/>
        </w:rPr>
        <w:t>, 4 (4): 11-16.</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Hee, Y. Y. and Suratman, S. (2016). Physico-chemical parameter profile during dry and wet seasons in southern South China Sea. </w:t>
      </w:r>
      <w:r w:rsidRPr="00031F97">
        <w:rPr>
          <w:rFonts w:ascii="Times New Roman" w:hAnsi="Times New Roman"/>
          <w:i/>
          <w:noProof/>
          <w:sz w:val="20"/>
          <w:szCs w:val="20"/>
        </w:rPr>
        <w:t>Asian Journal of Chemistry</w:t>
      </w:r>
      <w:r w:rsidRPr="00031F97">
        <w:rPr>
          <w:rFonts w:ascii="Times New Roman" w:hAnsi="Times New Roman"/>
          <w:noProof/>
          <w:sz w:val="20"/>
          <w:szCs w:val="20"/>
        </w:rPr>
        <w:t>, 28(10): 2146-2152.</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Smith, V. H. (2003). Eutrophication of freshwater and coastal marine ecosystems. A global problem. </w:t>
      </w:r>
      <w:r w:rsidRPr="00031F97">
        <w:rPr>
          <w:rFonts w:ascii="Times New Roman" w:hAnsi="Times New Roman"/>
          <w:i/>
          <w:noProof/>
          <w:sz w:val="20"/>
          <w:szCs w:val="20"/>
        </w:rPr>
        <w:t>Environmental Science and Pollution Research</w:t>
      </w:r>
      <w:r w:rsidRPr="00031F97">
        <w:rPr>
          <w:rFonts w:ascii="Times New Roman" w:hAnsi="Times New Roman"/>
          <w:noProof/>
          <w:sz w:val="20"/>
          <w:szCs w:val="20"/>
        </w:rPr>
        <w:t xml:space="preserve">, 10(2): 126-139. </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Statham, P. J. (2012). Nutrients in estuaries-an overview and the potential impacts of climate change. </w:t>
      </w:r>
      <w:r w:rsidRPr="00031F97">
        <w:rPr>
          <w:rFonts w:ascii="Times New Roman" w:hAnsi="Times New Roman"/>
          <w:i/>
          <w:iCs/>
          <w:noProof/>
          <w:sz w:val="20"/>
          <w:szCs w:val="20"/>
        </w:rPr>
        <w:t>Science of the Total Environment</w:t>
      </w:r>
      <w:r w:rsidRPr="00031F97">
        <w:rPr>
          <w:rFonts w:ascii="Times New Roman" w:hAnsi="Times New Roman"/>
          <w:noProof/>
          <w:sz w:val="20"/>
          <w:szCs w:val="20"/>
        </w:rPr>
        <w:t>, 434: 213-227.</w:t>
      </w:r>
    </w:p>
    <w:p w:rsidR="00031F97" w:rsidRPr="00031F97" w:rsidRDefault="00031F97" w:rsidP="00031F97">
      <w:pPr>
        <w:numPr>
          <w:ilvl w:val="0"/>
          <w:numId w:val="2"/>
        </w:numPr>
        <w:autoSpaceDE w:val="0"/>
        <w:autoSpaceDN w:val="0"/>
        <w:adjustRightInd w:val="0"/>
        <w:spacing w:after="0" w:line="240" w:lineRule="auto"/>
        <w:ind w:left="360"/>
        <w:jc w:val="both"/>
        <w:rPr>
          <w:rFonts w:ascii="Times New Roman" w:hAnsi="Times New Roman"/>
          <w:sz w:val="20"/>
          <w:szCs w:val="20"/>
          <w:lang w:val="en-MY"/>
        </w:rPr>
      </w:pPr>
      <w:r w:rsidRPr="00031F97">
        <w:rPr>
          <w:rFonts w:ascii="Times New Roman" w:hAnsi="Times New Roman"/>
          <w:sz w:val="20"/>
          <w:szCs w:val="20"/>
          <w:lang w:val="en-MY"/>
        </w:rPr>
        <w:t xml:space="preserve">Malaysia Meteorological Department, MMD (2008). Access from </w:t>
      </w:r>
      <w:hyperlink r:id="rId23" w:history="1">
        <w:r w:rsidRPr="00031F97">
          <w:rPr>
            <w:rStyle w:val="Hyperlink"/>
            <w:rFonts w:ascii="Times New Roman" w:hAnsi="Times New Roman"/>
            <w:sz w:val="20"/>
            <w:szCs w:val="20"/>
            <w:lang w:val="en-MY"/>
          </w:rPr>
          <w:t>http://www.met.gov.my/english/</w:t>
        </w:r>
      </w:hyperlink>
      <w:r w:rsidRPr="00031F97">
        <w:rPr>
          <w:rFonts w:ascii="Times New Roman" w:hAnsi="Times New Roman"/>
          <w:sz w:val="20"/>
          <w:szCs w:val="20"/>
          <w:lang w:val="en-MY"/>
        </w:rPr>
        <w:t xml:space="preserve"> education/climate/climate01.html). Access online 15 May 2018. </w:t>
      </w:r>
    </w:p>
    <w:p w:rsidR="00031F97" w:rsidRPr="00031F97" w:rsidRDefault="00031F97" w:rsidP="00031F97">
      <w:pPr>
        <w:numPr>
          <w:ilvl w:val="0"/>
          <w:numId w:val="2"/>
        </w:numPr>
        <w:spacing w:after="0" w:line="240" w:lineRule="auto"/>
        <w:ind w:left="360"/>
        <w:jc w:val="both"/>
        <w:rPr>
          <w:rFonts w:ascii="Times New Roman" w:hAnsi="Times New Roman"/>
          <w:sz w:val="20"/>
          <w:szCs w:val="20"/>
        </w:rPr>
      </w:pPr>
      <w:r w:rsidRPr="00031F97">
        <w:rPr>
          <w:rFonts w:ascii="Times New Roman" w:hAnsi="Times New Roman"/>
          <w:sz w:val="20"/>
          <w:szCs w:val="20"/>
        </w:rPr>
        <w:t xml:space="preserve">Suratman, S., Hang, H. C., Shazili, N. A. M. and Mohd Tahir, N. (2009). A preliminary study of the distribution of selected trace metals in the Besut River basin, Terengganu, Malaysia. </w:t>
      </w:r>
      <w:r w:rsidRPr="00031F97">
        <w:rPr>
          <w:rFonts w:ascii="Times New Roman" w:hAnsi="Times New Roman"/>
          <w:i/>
          <w:sz w:val="20"/>
          <w:szCs w:val="20"/>
        </w:rPr>
        <w:t>Bulletin of Environmental Contamination and Toxicology</w:t>
      </w:r>
      <w:r w:rsidRPr="00031F97">
        <w:rPr>
          <w:rFonts w:ascii="Times New Roman" w:hAnsi="Times New Roman"/>
          <w:sz w:val="20"/>
          <w:szCs w:val="20"/>
        </w:rPr>
        <w:t>, 82: 16-19.</w:t>
      </w:r>
    </w:p>
    <w:p w:rsidR="00031F97" w:rsidRPr="00031F97" w:rsidRDefault="00031F97" w:rsidP="00031F97">
      <w:pPr>
        <w:numPr>
          <w:ilvl w:val="0"/>
          <w:numId w:val="2"/>
        </w:numPr>
        <w:spacing w:after="0" w:line="240" w:lineRule="auto"/>
        <w:ind w:left="360"/>
        <w:jc w:val="both"/>
        <w:rPr>
          <w:rFonts w:ascii="Times New Roman" w:hAnsi="Times New Roman"/>
          <w:sz w:val="20"/>
          <w:szCs w:val="20"/>
        </w:rPr>
      </w:pPr>
      <w:r w:rsidRPr="00031F97">
        <w:rPr>
          <w:rFonts w:ascii="Times New Roman" w:hAnsi="Times New Roman"/>
          <w:sz w:val="20"/>
          <w:szCs w:val="20"/>
        </w:rPr>
        <w:t>Grasshoff, K., Ehrhardt, M. and Kremling, K. (1983). Determination of nutrients. In: Methods of seawater analysis 2</w:t>
      </w:r>
      <w:r w:rsidRPr="00031F97">
        <w:rPr>
          <w:rFonts w:ascii="Times New Roman" w:hAnsi="Times New Roman"/>
          <w:sz w:val="20"/>
          <w:szCs w:val="20"/>
          <w:vertAlign w:val="superscript"/>
        </w:rPr>
        <w:t>nd</w:t>
      </w:r>
      <w:r w:rsidRPr="00031F97">
        <w:rPr>
          <w:rFonts w:ascii="Times New Roman" w:hAnsi="Times New Roman"/>
          <w:sz w:val="20"/>
          <w:szCs w:val="20"/>
        </w:rPr>
        <w:t xml:space="preserve"> edition. Florida: Verlag Chemie: pp. 419.</w:t>
      </w:r>
    </w:p>
    <w:p w:rsidR="00031F97" w:rsidRPr="00031F97" w:rsidRDefault="00031F97" w:rsidP="00031F97">
      <w:pPr>
        <w:numPr>
          <w:ilvl w:val="0"/>
          <w:numId w:val="2"/>
        </w:numPr>
        <w:spacing w:after="0" w:line="240" w:lineRule="auto"/>
        <w:ind w:left="360"/>
        <w:jc w:val="both"/>
        <w:rPr>
          <w:rFonts w:ascii="Times New Roman" w:hAnsi="Times New Roman"/>
          <w:sz w:val="20"/>
          <w:szCs w:val="20"/>
        </w:rPr>
      </w:pPr>
      <w:r w:rsidRPr="00031F97">
        <w:rPr>
          <w:rFonts w:ascii="Times New Roman" w:hAnsi="Times New Roman"/>
          <w:sz w:val="20"/>
          <w:szCs w:val="20"/>
        </w:rPr>
        <w:t>Parsons, T. R., Maita, T. and Lalli, C. M. (1984). Plant pigment. In: A manual of chemical and biological method for seawater analysis. Oxford: Pergamon Press: pp. 173.</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Suratman, S. and Mohd Tahir, N. (2013). Kesan antropogenik terhadap kualiti air di lembangan Sungai Marang, perairan selatan Laut China Selatan. </w:t>
      </w:r>
      <w:r w:rsidRPr="00031F97">
        <w:rPr>
          <w:rFonts w:ascii="Times New Roman" w:hAnsi="Times New Roman"/>
          <w:i/>
          <w:noProof/>
          <w:sz w:val="20"/>
          <w:szCs w:val="20"/>
        </w:rPr>
        <w:t>Sains Malaysiana</w:t>
      </w:r>
      <w:r w:rsidRPr="00031F97">
        <w:rPr>
          <w:rFonts w:ascii="Times New Roman" w:hAnsi="Times New Roman"/>
          <w:noProof/>
          <w:sz w:val="20"/>
          <w:szCs w:val="20"/>
        </w:rPr>
        <w:t>, 42(6): 743-751.</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sz w:val="20"/>
          <w:szCs w:val="20"/>
        </w:rPr>
      </w:pPr>
      <w:r w:rsidRPr="00031F97">
        <w:rPr>
          <w:rFonts w:ascii="Times New Roman" w:hAnsi="Times New Roman"/>
          <w:sz w:val="20"/>
          <w:szCs w:val="20"/>
        </w:rPr>
        <w:t xml:space="preserve">Shiddamaiilayya, N. and Pratima, M. (2008). Impact of domestic sewage on freshwater body. </w:t>
      </w:r>
      <w:r w:rsidRPr="00031F97">
        <w:rPr>
          <w:rFonts w:ascii="Times New Roman" w:hAnsi="Times New Roman"/>
          <w:i/>
          <w:sz w:val="20"/>
          <w:szCs w:val="20"/>
        </w:rPr>
        <w:t>Journal of Environmental Biology</w:t>
      </w:r>
      <w:r w:rsidRPr="00031F97">
        <w:rPr>
          <w:rFonts w:ascii="Times New Roman" w:hAnsi="Times New Roman"/>
          <w:sz w:val="20"/>
          <w:szCs w:val="20"/>
        </w:rPr>
        <w:t>, 29(3): 303-308.</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sz w:val="20"/>
          <w:szCs w:val="20"/>
        </w:rPr>
      </w:pPr>
      <w:r w:rsidRPr="00031F97">
        <w:rPr>
          <w:rFonts w:ascii="Times New Roman" w:hAnsi="Times New Roman"/>
          <w:sz w:val="20"/>
          <w:szCs w:val="20"/>
        </w:rPr>
        <w:t xml:space="preserve">Badr, E. S. A. (2016). Spatio-temporal variability of dissolved organic nitrogen (DON), carbon (DOC), and nutrients in the Nile River, Egypt. </w:t>
      </w:r>
      <w:r w:rsidRPr="00031F97">
        <w:rPr>
          <w:rFonts w:ascii="Times New Roman" w:hAnsi="Times New Roman"/>
          <w:i/>
          <w:sz w:val="20"/>
          <w:szCs w:val="20"/>
        </w:rPr>
        <w:t>Environmental Monitoring and Assessment</w:t>
      </w:r>
      <w:r w:rsidRPr="00031F97">
        <w:rPr>
          <w:rFonts w:ascii="Times New Roman" w:hAnsi="Times New Roman"/>
          <w:sz w:val="20"/>
          <w:szCs w:val="20"/>
        </w:rPr>
        <w:t>, 188(10): 580.</w:t>
      </w:r>
    </w:p>
    <w:p w:rsidR="00031F97" w:rsidRPr="00031F97" w:rsidRDefault="00031F97" w:rsidP="00031F97">
      <w:pPr>
        <w:widowControl w:val="0"/>
        <w:autoSpaceDE w:val="0"/>
        <w:autoSpaceDN w:val="0"/>
        <w:adjustRightInd w:val="0"/>
        <w:spacing w:after="0" w:line="240" w:lineRule="auto"/>
        <w:ind w:left="360"/>
        <w:jc w:val="both"/>
        <w:rPr>
          <w:rFonts w:ascii="Times New Roman" w:hAnsi="Times New Roman"/>
          <w:sz w:val="20"/>
          <w:szCs w:val="20"/>
        </w:rPr>
      </w:pP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sz w:val="20"/>
          <w:szCs w:val="20"/>
        </w:rPr>
      </w:pPr>
      <w:r w:rsidRPr="00031F97">
        <w:rPr>
          <w:rFonts w:ascii="Times New Roman" w:hAnsi="Times New Roman"/>
          <w:sz w:val="20"/>
          <w:szCs w:val="20"/>
        </w:rPr>
        <w:lastRenderedPageBreak/>
        <w:t xml:space="preserve">Kim, G., Chung, S. and Lee, C. (2007). Water quality of runoff from agricultural-forestry watersheds in the Guem River basin, Korea. </w:t>
      </w:r>
      <w:r w:rsidRPr="00031F97">
        <w:rPr>
          <w:rFonts w:ascii="Times New Roman" w:hAnsi="Times New Roman"/>
          <w:i/>
          <w:sz w:val="20"/>
          <w:szCs w:val="20"/>
        </w:rPr>
        <w:t>Environmental Monitoring and Assessment</w:t>
      </w:r>
      <w:r w:rsidRPr="00031F97">
        <w:rPr>
          <w:rFonts w:ascii="Times New Roman" w:hAnsi="Times New Roman"/>
          <w:sz w:val="20"/>
          <w:szCs w:val="20"/>
        </w:rPr>
        <w:t>, 134: 441-452.</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sz w:val="20"/>
          <w:szCs w:val="20"/>
        </w:rPr>
      </w:pPr>
      <w:r w:rsidRPr="00031F97">
        <w:rPr>
          <w:rFonts w:ascii="Times New Roman" w:hAnsi="Times New Roman"/>
          <w:sz w:val="20"/>
          <w:szCs w:val="20"/>
        </w:rPr>
        <w:t xml:space="preserve">Shen, Z-.L. and Liu, Q. (2009). Nutrients in th Changjiang River. </w:t>
      </w:r>
      <w:r w:rsidRPr="00031F97">
        <w:rPr>
          <w:rFonts w:ascii="Times New Roman" w:hAnsi="Times New Roman"/>
          <w:i/>
          <w:sz w:val="20"/>
          <w:szCs w:val="20"/>
        </w:rPr>
        <w:t>Environmental Monitoring and Assessment</w:t>
      </w:r>
      <w:r w:rsidRPr="00031F97">
        <w:rPr>
          <w:rFonts w:ascii="Times New Roman" w:hAnsi="Times New Roman"/>
          <w:sz w:val="20"/>
          <w:szCs w:val="20"/>
        </w:rPr>
        <w:t xml:space="preserve">, 153: 27-44. </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Rahaman, S. M., Sarder, L., Rahaman, M., Ghosh, A., Biswas, S., Siraj, S. and Islam, S. (2013). Nutrient dynamics in the Sundarbans mangrove estuarine system of Bangladesh under different weather and tidal cycles. </w:t>
      </w:r>
      <w:r w:rsidRPr="00031F97">
        <w:rPr>
          <w:rFonts w:ascii="Times New Roman" w:hAnsi="Times New Roman"/>
          <w:i/>
          <w:iCs/>
          <w:noProof/>
          <w:sz w:val="20"/>
          <w:szCs w:val="20"/>
        </w:rPr>
        <w:t>Ecological Processes</w:t>
      </w:r>
      <w:r w:rsidRPr="00031F97">
        <w:rPr>
          <w:rFonts w:ascii="Times New Roman" w:hAnsi="Times New Roman"/>
          <w:noProof/>
          <w:sz w:val="20"/>
          <w:szCs w:val="20"/>
        </w:rPr>
        <w:t xml:space="preserve">, </w:t>
      </w:r>
      <w:r w:rsidRPr="00031F97">
        <w:rPr>
          <w:rFonts w:ascii="Times New Roman" w:hAnsi="Times New Roman"/>
          <w:iCs/>
          <w:noProof/>
          <w:sz w:val="20"/>
          <w:szCs w:val="20"/>
        </w:rPr>
        <w:t>2</w:t>
      </w:r>
      <w:r w:rsidRPr="00031F97">
        <w:rPr>
          <w:rFonts w:ascii="Times New Roman" w:hAnsi="Times New Roman"/>
          <w:noProof/>
          <w:sz w:val="20"/>
          <w:szCs w:val="20"/>
        </w:rPr>
        <w:t xml:space="preserve">(1): 29. </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Anand, S. S., Sardessai, S., Muthukumar, C., Mangalaa, K. R., Sundar, D., Parab, S. G. and Kumar, M. D. (2014). Intra and inter seasonal variability of nutrients in a tropical monsoonal estuary (Zuari, India). </w:t>
      </w:r>
      <w:r w:rsidRPr="00031F97">
        <w:rPr>
          <w:rFonts w:ascii="Times New Roman" w:hAnsi="Times New Roman"/>
          <w:i/>
          <w:noProof/>
          <w:sz w:val="20"/>
          <w:szCs w:val="20"/>
        </w:rPr>
        <w:t>Continental Shelf Research</w:t>
      </w:r>
      <w:r w:rsidRPr="00031F97">
        <w:rPr>
          <w:rFonts w:ascii="Times New Roman" w:hAnsi="Times New Roman"/>
          <w:noProof/>
          <w:sz w:val="20"/>
          <w:szCs w:val="20"/>
        </w:rPr>
        <w:t xml:space="preserve">, </w:t>
      </w:r>
      <w:r w:rsidRPr="00031F97">
        <w:rPr>
          <w:rFonts w:ascii="Times New Roman" w:hAnsi="Times New Roman"/>
          <w:iCs/>
          <w:noProof/>
          <w:sz w:val="20"/>
          <w:szCs w:val="20"/>
        </w:rPr>
        <w:t>82: 9-30</w:t>
      </w:r>
      <w:r w:rsidRPr="00031F97">
        <w:rPr>
          <w:rFonts w:ascii="Times New Roman" w:hAnsi="Times New Roman"/>
          <w:noProof/>
          <w:sz w:val="20"/>
          <w:szCs w:val="20"/>
        </w:rPr>
        <w:t>.</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Kawasaki, N., Nagao, N., Yusoff, F., Imai, A. and Kohzu, A. (2016). Seasonal changes of nutrient distributions along Selangor River, Malaysia. </w:t>
      </w:r>
      <w:r w:rsidRPr="00031F97">
        <w:rPr>
          <w:rFonts w:ascii="Times New Roman" w:hAnsi="Times New Roman"/>
          <w:i/>
          <w:noProof/>
          <w:sz w:val="20"/>
          <w:szCs w:val="20"/>
        </w:rPr>
        <w:t>International Journal of Advances in Chemical Engineering and Biological Sciences</w:t>
      </w:r>
      <w:r w:rsidRPr="00031F97">
        <w:rPr>
          <w:rFonts w:ascii="Times New Roman" w:hAnsi="Times New Roman"/>
          <w:noProof/>
          <w:sz w:val="20"/>
          <w:szCs w:val="20"/>
        </w:rPr>
        <w:t xml:space="preserve">, </w:t>
      </w:r>
      <w:r w:rsidRPr="00031F97">
        <w:rPr>
          <w:rFonts w:ascii="Times New Roman" w:hAnsi="Times New Roman"/>
          <w:iCs/>
          <w:noProof/>
          <w:sz w:val="20"/>
          <w:szCs w:val="20"/>
        </w:rPr>
        <w:t>3</w:t>
      </w:r>
      <w:r w:rsidRPr="00031F97">
        <w:rPr>
          <w:rFonts w:ascii="Times New Roman" w:hAnsi="Times New Roman"/>
          <w:noProof/>
          <w:sz w:val="20"/>
          <w:szCs w:val="20"/>
        </w:rPr>
        <w:t>(1): 113-116.</w:t>
      </w:r>
    </w:p>
    <w:p w:rsidR="00031F97" w:rsidRPr="00031F97" w:rsidRDefault="00031F97" w:rsidP="00031F97">
      <w:pPr>
        <w:numPr>
          <w:ilvl w:val="0"/>
          <w:numId w:val="2"/>
        </w:numPr>
        <w:spacing w:after="0" w:line="240" w:lineRule="auto"/>
        <w:ind w:left="360"/>
        <w:jc w:val="both"/>
        <w:rPr>
          <w:rFonts w:ascii="Times New Roman" w:hAnsi="Times New Roman"/>
          <w:sz w:val="20"/>
          <w:szCs w:val="20"/>
        </w:rPr>
      </w:pPr>
      <w:r w:rsidRPr="00031F97">
        <w:rPr>
          <w:rFonts w:ascii="Times New Roman" w:hAnsi="Times New Roman"/>
          <w:bCs/>
          <w:sz w:val="20"/>
          <w:szCs w:val="20"/>
        </w:rPr>
        <w:t>Suratman, S, Hee, Y. Y. and Mohd Tahir, N. (2014)</w:t>
      </w:r>
      <w:r w:rsidRPr="00031F97">
        <w:rPr>
          <w:rFonts w:ascii="Times New Roman" w:hAnsi="Times New Roman"/>
          <w:sz w:val="20"/>
          <w:szCs w:val="20"/>
        </w:rPr>
        <w:t xml:space="preserve">. Nutrient status of the Kemaman River basin in the southern South China Sea (Malaysia). </w:t>
      </w:r>
      <w:r w:rsidRPr="00031F97">
        <w:rPr>
          <w:rFonts w:ascii="Times New Roman" w:hAnsi="Times New Roman"/>
          <w:i/>
          <w:sz w:val="20"/>
          <w:szCs w:val="20"/>
        </w:rPr>
        <w:t>Asian Journal of Chemistry</w:t>
      </w:r>
      <w:r w:rsidRPr="00031F97">
        <w:rPr>
          <w:rFonts w:ascii="Times New Roman" w:hAnsi="Times New Roman"/>
          <w:sz w:val="20"/>
          <w:szCs w:val="20"/>
        </w:rPr>
        <w:t xml:space="preserve">, 26(7): 2047-2052. </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sz w:val="20"/>
          <w:szCs w:val="20"/>
        </w:rPr>
        <w:t xml:space="preserve">Mohd Tahir, N., Suratman, </w:t>
      </w:r>
      <w:r w:rsidRPr="00031F97">
        <w:rPr>
          <w:rFonts w:ascii="Times New Roman" w:hAnsi="Times New Roman"/>
          <w:bCs/>
          <w:sz w:val="20"/>
          <w:szCs w:val="20"/>
        </w:rPr>
        <w:t xml:space="preserve">S., </w:t>
      </w:r>
      <w:r w:rsidRPr="00031F97">
        <w:rPr>
          <w:rFonts w:ascii="Times New Roman" w:hAnsi="Times New Roman"/>
          <w:sz w:val="20"/>
          <w:szCs w:val="20"/>
        </w:rPr>
        <w:t>Jusoh, S. R., Yahaya, S. N., Mohd Yusoff</w:t>
      </w:r>
      <w:r w:rsidRPr="00031F97">
        <w:rPr>
          <w:rFonts w:ascii="Times New Roman" w:hAnsi="Times New Roman"/>
          <w:sz w:val="20"/>
          <w:szCs w:val="20"/>
          <w:vertAlign w:val="superscript"/>
        </w:rPr>
        <w:t xml:space="preserve"> </w:t>
      </w:r>
      <w:r w:rsidRPr="00031F97">
        <w:rPr>
          <w:rFonts w:ascii="Times New Roman" w:hAnsi="Times New Roman"/>
          <w:sz w:val="20"/>
          <w:szCs w:val="20"/>
        </w:rPr>
        <w:t>, N. and Law A. T. (2005). Penentuan indeks kualiti air dan nutrien terlarut di Sungai Nerus, Terengganu</w:t>
      </w:r>
      <w:r w:rsidRPr="00031F97">
        <w:rPr>
          <w:rFonts w:ascii="Times New Roman" w:hAnsi="Times New Roman"/>
          <w:caps/>
          <w:sz w:val="20"/>
          <w:szCs w:val="20"/>
        </w:rPr>
        <w:t xml:space="preserve">. </w:t>
      </w:r>
      <w:r w:rsidRPr="00031F97">
        <w:rPr>
          <w:rFonts w:ascii="Times New Roman" w:hAnsi="Times New Roman"/>
          <w:i/>
          <w:iCs/>
          <w:sz w:val="20"/>
          <w:szCs w:val="20"/>
        </w:rPr>
        <w:t>Malaysian Journal of Analytical Sciences</w:t>
      </w:r>
      <w:r w:rsidRPr="00031F97">
        <w:rPr>
          <w:rFonts w:ascii="Times New Roman" w:hAnsi="Times New Roman"/>
          <w:sz w:val="20"/>
          <w:szCs w:val="20"/>
        </w:rPr>
        <w:t>, 9(1): 193-197.</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Kawasaki, N., Kushari, M. R. M., Nagao, N., Yusoff, F., Imai, A. and Kohzu, A. (2016). Seasonal changes of nutrient distributions along Selangor River, Malaysia. </w:t>
      </w:r>
      <w:r w:rsidRPr="00031F97">
        <w:rPr>
          <w:rFonts w:ascii="Times New Roman" w:hAnsi="Times New Roman"/>
          <w:i/>
          <w:noProof/>
          <w:sz w:val="20"/>
          <w:szCs w:val="20"/>
        </w:rPr>
        <w:t>International Journal of Advances in Chemical Enggering and Biological Sciences</w:t>
      </w:r>
      <w:r w:rsidRPr="00031F97">
        <w:rPr>
          <w:rFonts w:ascii="Times New Roman" w:hAnsi="Times New Roman"/>
          <w:noProof/>
          <w:sz w:val="20"/>
          <w:szCs w:val="20"/>
        </w:rPr>
        <w:t>, 3(1): 113-116.</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Heng, L. Y., Madhan, M., Sumok, P. and Chukong, L. N. (2007). Pemonitoran intensif beberapa nutrien dalam Sungai Sarawak di Kuching, Sarawak, Malaysia. </w:t>
      </w:r>
      <w:r w:rsidRPr="00031F97">
        <w:rPr>
          <w:rFonts w:ascii="Times New Roman" w:hAnsi="Times New Roman"/>
          <w:i/>
          <w:noProof/>
          <w:sz w:val="20"/>
          <w:szCs w:val="20"/>
        </w:rPr>
        <w:t>Sains Malaysiana</w:t>
      </w:r>
      <w:r w:rsidRPr="00031F97">
        <w:rPr>
          <w:rFonts w:ascii="Times New Roman" w:hAnsi="Times New Roman"/>
          <w:noProof/>
          <w:sz w:val="20"/>
          <w:szCs w:val="20"/>
        </w:rPr>
        <w:t>, 36(2): 133-137.</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Yen, T. P. and Rohasliney, H. (2013). Status of water quality subject to sand mining in the Kelantan River, Kelantan. </w:t>
      </w:r>
      <w:r w:rsidRPr="00031F97">
        <w:rPr>
          <w:rFonts w:ascii="Times New Roman" w:hAnsi="Times New Roman"/>
          <w:i/>
          <w:noProof/>
          <w:sz w:val="20"/>
          <w:szCs w:val="20"/>
        </w:rPr>
        <w:t>Tropical Life Sciences Research</w:t>
      </w:r>
      <w:r w:rsidRPr="00031F97">
        <w:rPr>
          <w:rFonts w:ascii="Times New Roman" w:hAnsi="Times New Roman"/>
          <w:noProof/>
          <w:sz w:val="20"/>
          <w:szCs w:val="20"/>
        </w:rPr>
        <w:t>, 24(1): 19-34.</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Cleophas, F., Isidore, F., Han, L. K. and Bidin, K. (2013). Water quality status of Liwagu River, Tambunan, Sabah, Malaysia. </w:t>
      </w:r>
      <w:r w:rsidRPr="00031F97">
        <w:rPr>
          <w:rFonts w:ascii="Times New Roman" w:hAnsi="Times New Roman"/>
          <w:i/>
          <w:noProof/>
          <w:sz w:val="20"/>
          <w:szCs w:val="20"/>
        </w:rPr>
        <w:t>Journal of Tropical Biology and Conservation</w:t>
      </w:r>
      <w:r w:rsidRPr="00031F97">
        <w:rPr>
          <w:rFonts w:ascii="Times New Roman" w:hAnsi="Times New Roman"/>
          <w:noProof/>
          <w:sz w:val="20"/>
          <w:szCs w:val="20"/>
        </w:rPr>
        <w:t>, 10: 67-73.</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Fatema, K., Wan Maznah, W. O. and Mat Isa, M. (2014). Spatil and tmporal variation of physico-chemical parameters in the Merbok estuary, Kedah, Malaysia. </w:t>
      </w:r>
      <w:r w:rsidRPr="00031F97">
        <w:rPr>
          <w:rFonts w:ascii="Times New Roman" w:hAnsi="Times New Roman"/>
          <w:i/>
          <w:noProof/>
          <w:sz w:val="20"/>
          <w:szCs w:val="20"/>
        </w:rPr>
        <w:t>Tropical Life Sciences Research</w:t>
      </w:r>
      <w:r w:rsidRPr="00031F97">
        <w:rPr>
          <w:rFonts w:ascii="Times New Roman" w:hAnsi="Times New Roman"/>
          <w:noProof/>
          <w:sz w:val="20"/>
          <w:szCs w:val="20"/>
        </w:rPr>
        <w:t>, 25(2): 1-19.</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Khalik, W. M. A. W. M., Abdullah, M. P., Padli, N. and Amerudin, N. A. (2013). Assessment on nutrient status in water and sediment quality of Bertam River, Cameron Highlands. </w:t>
      </w:r>
      <w:r w:rsidRPr="00031F97">
        <w:rPr>
          <w:rFonts w:ascii="Times New Roman" w:hAnsi="Times New Roman"/>
          <w:i/>
          <w:noProof/>
          <w:sz w:val="20"/>
          <w:szCs w:val="20"/>
        </w:rPr>
        <w:t>International Journal of Chemical Sciences</w:t>
      </w:r>
      <w:r w:rsidRPr="00031F97">
        <w:rPr>
          <w:rFonts w:ascii="Times New Roman" w:hAnsi="Times New Roman"/>
          <w:noProof/>
          <w:sz w:val="20"/>
          <w:szCs w:val="20"/>
        </w:rPr>
        <w:t xml:space="preserve">, 11(2): 709-720. </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Jordan, M. M. and Joint, I. (1998). Seasonal variation in nitrate:phosphate ratios in the English Channel 1923-1987. </w:t>
      </w:r>
      <w:r w:rsidRPr="00031F97">
        <w:rPr>
          <w:rFonts w:ascii="Times New Roman" w:hAnsi="Times New Roman"/>
          <w:i/>
          <w:noProof/>
          <w:sz w:val="20"/>
          <w:szCs w:val="20"/>
        </w:rPr>
        <w:t>Estuarine, Coastal and Shelf Science</w:t>
      </w:r>
      <w:r w:rsidRPr="00031F97">
        <w:rPr>
          <w:rFonts w:ascii="Times New Roman" w:hAnsi="Times New Roman"/>
          <w:noProof/>
          <w:sz w:val="20"/>
          <w:szCs w:val="20"/>
        </w:rPr>
        <w:t>, 46: 157-164.</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Morris, D. P. and Lewis, W. M. (1988). Phytoplankton nutrient limitation in Colorado mountain lakes. </w:t>
      </w:r>
      <w:r w:rsidRPr="00031F97">
        <w:rPr>
          <w:rFonts w:ascii="Times New Roman" w:hAnsi="Times New Roman"/>
          <w:i/>
          <w:noProof/>
          <w:sz w:val="20"/>
          <w:szCs w:val="20"/>
        </w:rPr>
        <w:t>Freshwater Biology</w:t>
      </w:r>
      <w:r w:rsidRPr="00031F97">
        <w:rPr>
          <w:rFonts w:ascii="Times New Roman" w:hAnsi="Times New Roman"/>
          <w:noProof/>
          <w:sz w:val="20"/>
          <w:szCs w:val="20"/>
        </w:rPr>
        <w:t>, 20: 315-327.</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Tamminee, T. (1982). Effects of ammonium effluents on planktonic primary production and decomposition in a coastal brackish water environment 1. Nutrient balance of the water body and effluent test. </w:t>
      </w:r>
      <w:r w:rsidRPr="00031F97">
        <w:rPr>
          <w:rFonts w:ascii="Times New Roman" w:hAnsi="Times New Roman"/>
          <w:i/>
          <w:noProof/>
          <w:sz w:val="20"/>
          <w:szCs w:val="20"/>
        </w:rPr>
        <w:t>Netherland Journal of Sea Research</w:t>
      </w:r>
      <w:r w:rsidRPr="00031F97">
        <w:rPr>
          <w:rFonts w:ascii="Times New Roman" w:hAnsi="Times New Roman"/>
          <w:noProof/>
          <w:sz w:val="20"/>
          <w:szCs w:val="20"/>
        </w:rPr>
        <w:t>, 16:455-464.</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Luo, G., Bu, F., Xu, X., Cao, J. and Shu, W. (2011). Seasonal variations of dissolved inorganic nutrients transported to the Linjiang Bay of the Three Gorges Reservoir, China. </w:t>
      </w:r>
      <w:r w:rsidRPr="00031F97">
        <w:rPr>
          <w:rFonts w:ascii="Times New Roman" w:hAnsi="Times New Roman"/>
          <w:i/>
          <w:noProof/>
          <w:sz w:val="20"/>
          <w:szCs w:val="20"/>
        </w:rPr>
        <w:t>Environmental Monitoring and Assessment</w:t>
      </w:r>
      <w:r w:rsidRPr="00031F97">
        <w:rPr>
          <w:rFonts w:ascii="Times New Roman" w:hAnsi="Times New Roman"/>
          <w:noProof/>
          <w:sz w:val="20"/>
          <w:szCs w:val="20"/>
        </w:rPr>
        <w:t>, 173: 55-64.</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Suhaimi, S., Mohd Tahir, N. and Suryati, S. (2004). Dissolved nutrients and chlorophyll a status of the Setiu River, Terengganu, Malaysia. </w:t>
      </w:r>
      <w:r w:rsidRPr="00031F97">
        <w:rPr>
          <w:rFonts w:ascii="Times New Roman" w:hAnsi="Times New Roman"/>
          <w:i/>
          <w:sz w:val="20"/>
          <w:szCs w:val="20"/>
        </w:rPr>
        <w:t>Bulletin of Environmental Contamination and Toxicology</w:t>
      </w:r>
      <w:r w:rsidRPr="00031F97">
        <w:rPr>
          <w:rFonts w:ascii="Times New Roman" w:hAnsi="Times New Roman"/>
          <w:sz w:val="20"/>
          <w:szCs w:val="20"/>
        </w:rPr>
        <w:t xml:space="preserve">, </w:t>
      </w:r>
      <w:r w:rsidRPr="00031F97">
        <w:rPr>
          <w:rFonts w:ascii="Times New Roman" w:hAnsi="Times New Roman"/>
          <w:iCs/>
          <w:sz w:val="20"/>
          <w:szCs w:val="20"/>
        </w:rPr>
        <w:t>73(6): 1094-1100.</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noProof/>
          <w:sz w:val="20"/>
          <w:szCs w:val="20"/>
        </w:rPr>
        <w:t xml:space="preserve">Schelske, C. L. and Stoemer, E. F. (1972). </w:t>
      </w:r>
      <w:r w:rsidRPr="00031F97">
        <w:rPr>
          <w:rFonts w:ascii="Times New Roman" w:hAnsi="Times New Roman"/>
          <w:sz w:val="20"/>
          <w:szCs w:val="20"/>
        </w:rPr>
        <w:t>Phosphorus, silica, and eutrophication of Lake Michigan. Pages 157–171. In: Nutrients and Eutrophication. G. E. Likens (editor) American Society Limnology Oceanography, Allen Press, Lawrence.</w:t>
      </w:r>
    </w:p>
    <w:p w:rsidR="00031F97" w:rsidRPr="00031F97" w:rsidRDefault="00031F97" w:rsidP="00031F97">
      <w:pPr>
        <w:widowControl w:val="0"/>
        <w:numPr>
          <w:ilvl w:val="0"/>
          <w:numId w:val="2"/>
        </w:numPr>
        <w:autoSpaceDE w:val="0"/>
        <w:autoSpaceDN w:val="0"/>
        <w:adjustRightInd w:val="0"/>
        <w:spacing w:after="0" w:line="240" w:lineRule="auto"/>
        <w:ind w:left="360"/>
        <w:jc w:val="both"/>
        <w:rPr>
          <w:rFonts w:ascii="Times New Roman" w:hAnsi="Times New Roman"/>
          <w:noProof/>
          <w:sz w:val="20"/>
          <w:szCs w:val="20"/>
        </w:rPr>
      </w:pPr>
      <w:r w:rsidRPr="00031F97">
        <w:rPr>
          <w:rFonts w:ascii="Times New Roman" w:hAnsi="Times New Roman"/>
          <w:sz w:val="20"/>
          <w:szCs w:val="20"/>
        </w:rPr>
        <w:t xml:space="preserve">Okech, E.O., Kitaka, N., Oduor, S.O. and Verschuren, D. (2018). Tropic state and nutrient limitation in Lake Baringo, Kenya. </w:t>
      </w:r>
      <w:r w:rsidRPr="00031F97">
        <w:rPr>
          <w:rFonts w:ascii="Times New Roman" w:hAnsi="Times New Roman"/>
          <w:i/>
          <w:sz w:val="20"/>
          <w:szCs w:val="20"/>
        </w:rPr>
        <w:t>African Journal of Aquatic Science</w:t>
      </w:r>
      <w:r w:rsidRPr="00031F97">
        <w:rPr>
          <w:rFonts w:ascii="Times New Roman" w:hAnsi="Times New Roman"/>
          <w:sz w:val="20"/>
          <w:szCs w:val="20"/>
        </w:rPr>
        <w:t>, 43(2):169-173.</w:t>
      </w:r>
    </w:p>
    <w:p w:rsidR="00A74A7E" w:rsidRPr="00031F97" w:rsidRDefault="00A74A7E" w:rsidP="00031F97">
      <w:pPr>
        <w:spacing w:after="0" w:line="240" w:lineRule="auto"/>
        <w:ind w:left="360"/>
        <w:jc w:val="both"/>
        <w:rPr>
          <w:rFonts w:ascii="Times New Roman" w:hAnsi="Times New Roman"/>
          <w:noProof/>
          <w:lang w:bidi="ar-SA"/>
        </w:rPr>
      </w:pPr>
    </w:p>
    <w:sectPr w:rsidR="00A74A7E" w:rsidRPr="00031F97" w:rsidSect="000B68E1">
      <w:headerReference w:type="even" r:id="rId24"/>
      <w:headerReference w:type="default" r:id="rId25"/>
      <w:footerReference w:type="even" r:id="rId26"/>
      <w:footerReference w:type="default" r:id="rId27"/>
      <w:pgSz w:w="12240" w:h="15840" w:code="1"/>
      <w:pgMar w:top="1800" w:right="1469" w:bottom="1699" w:left="1440" w:header="706" w:footer="706" w:gutter="0"/>
      <w:pgNumType w:start="4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FB2B6B">
          <w:rPr>
            <w:rFonts w:ascii="Times New Roman" w:hAnsi="Times New Roman"/>
            <w:noProof/>
          </w:rPr>
          <w:t>442</w:t>
        </w:r>
        <w:r w:rsidRPr="00C0756D">
          <w:rPr>
            <w:rFonts w:ascii="Times New Roman" w:hAnsi="Times New Roman"/>
            <w:noProof/>
          </w:rPr>
          <w:fldChar w:fldCharType="end"/>
        </w:r>
      </w:p>
    </w:sdtContent>
  </w:sdt>
  <w:p w:rsidR="0023784B" w:rsidRDefault="0023784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23784B" w:rsidRPr="00313E3C" w:rsidRDefault="00C0756D" w:rsidP="00313E3C">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FB2B6B">
          <w:rPr>
            <w:rFonts w:ascii="Times New Roman" w:hAnsi="Times New Roman"/>
            <w:noProof/>
          </w:rPr>
          <w:t>443</w:t>
        </w:r>
        <w:r w:rsidRPr="00C0756D">
          <w:rPr>
            <w:rFonts w:ascii="Times New Roman" w:hAnsi="Times New Roman"/>
            <w:noProof/>
          </w:rPr>
          <w:fldChar w:fldCharType="end"/>
        </w:r>
      </w:p>
    </w:sdtContent>
  </w:sdt>
  <w:p w:rsidR="0023784B" w:rsidRDefault="002378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624C7C">
      <w:rPr>
        <w:rFonts w:ascii="Times New Roman" w:hAnsi="Times New Roman"/>
        <w:i/>
        <w:lang w:val="en-US"/>
      </w:rPr>
      <w:t>23</w:t>
    </w:r>
    <w:r w:rsidR="00CF05FF">
      <w:rPr>
        <w:rFonts w:ascii="Times New Roman" w:hAnsi="Times New Roman"/>
        <w:i/>
      </w:rPr>
      <w:t xml:space="preserve"> </w:t>
    </w:r>
    <w:r w:rsidR="0039005B">
      <w:rPr>
        <w:rFonts w:ascii="Times New Roman" w:hAnsi="Times New Roman"/>
        <w:i/>
        <w:lang w:val="en-US"/>
      </w:rPr>
      <w:t xml:space="preserve">No 3 </w:t>
    </w:r>
    <w:r w:rsidR="00B25B65">
      <w:rPr>
        <w:rFonts w:ascii="Times New Roman" w:hAnsi="Times New Roman"/>
        <w:i/>
      </w:rPr>
      <w:t>(201</w:t>
    </w:r>
    <w:r w:rsidR="00624C7C">
      <w:rPr>
        <w:rFonts w:ascii="Times New Roman" w:hAnsi="Times New Roman"/>
        <w:i/>
        <w:lang w:val="en-US"/>
      </w:rPr>
      <w:t>9</w:t>
    </w:r>
    <w:r w:rsidRPr="00D75B35">
      <w:rPr>
        <w:rFonts w:ascii="Times New Roman" w:hAnsi="Times New Roman"/>
        <w:i/>
      </w:rPr>
      <w:t xml:space="preserve">): </w:t>
    </w:r>
    <w:r w:rsidR="000B68E1">
      <w:rPr>
        <w:rFonts w:ascii="Times New Roman" w:hAnsi="Times New Roman"/>
        <w:i/>
        <w:lang w:val="en-US"/>
      </w:rPr>
      <w:t>436</w:t>
    </w:r>
    <w:r w:rsidR="004B43FF">
      <w:rPr>
        <w:rFonts w:ascii="Times New Roman" w:hAnsi="Times New Roman"/>
        <w:i/>
        <w:lang w:val="en-US"/>
      </w:rPr>
      <w:t xml:space="preserve"> </w:t>
    </w:r>
    <w:r w:rsidR="00583C85">
      <w:rPr>
        <w:rFonts w:ascii="Times New Roman" w:hAnsi="Times New Roman"/>
        <w:i/>
        <w:lang w:val="en-US"/>
      </w:rPr>
      <w:t>-</w:t>
    </w:r>
    <w:r w:rsidR="000B68E1">
      <w:rPr>
        <w:rFonts w:ascii="Times New Roman" w:hAnsi="Times New Roman"/>
        <w:i/>
        <w:lang w:val="en-US"/>
      </w:rPr>
      <w:t xml:space="preserve"> 443</w:t>
    </w:r>
  </w:p>
  <w:p w:rsidR="0023784B" w:rsidRPr="00313E3C" w:rsidRDefault="006A3A0F" w:rsidP="00313E3C">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624C7C">
      <w:rPr>
        <w:rFonts w:ascii="Times New Roman" w:hAnsi="Times New Roman"/>
        <w:i/>
        <w:lang w:val="en-US"/>
      </w:rPr>
      <w:t>doi.org/10.17576/mjas-2019-23</w:t>
    </w:r>
    <w:r w:rsidR="000C5261">
      <w:rPr>
        <w:rFonts w:ascii="Times New Roman" w:hAnsi="Times New Roman"/>
        <w:i/>
        <w:lang w:val="en-US"/>
      </w:rPr>
      <w:t>0</w:t>
    </w:r>
    <w:r w:rsidR="0039005B">
      <w:rPr>
        <w:rFonts w:ascii="Times New Roman" w:hAnsi="Times New Roman"/>
        <w:i/>
        <w:lang w:val="en-US"/>
      </w:rPr>
      <w:t>3</w:t>
    </w:r>
    <w:r w:rsidR="000B68E1">
      <w:rPr>
        <w:rFonts w:ascii="Times New Roman" w:hAnsi="Times New Roman"/>
        <w:i/>
        <w:lang w:val="en-US"/>
      </w:rPr>
      <w:t>-07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4B" w:rsidRPr="00313E3C" w:rsidRDefault="001450F8" w:rsidP="00313E3C">
    <w:pPr>
      <w:pStyle w:val="NoSpacing"/>
      <w:ind w:left="1260" w:hanging="1260"/>
      <w:rPr>
        <w:rFonts w:ascii="Times New Roman" w:hAnsi="Times New Roman"/>
        <w:bCs/>
        <w:caps/>
        <w:sz w:val="20"/>
        <w:szCs w:val="20"/>
        <w:lang w:val="en-GB"/>
      </w:rPr>
    </w:pPr>
    <w:r>
      <w:rPr>
        <w:rFonts w:ascii="Times New Roman" w:hAnsi="Times New Roman"/>
        <w:sz w:val="20"/>
        <w:szCs w:val="20"/>
      </w:rPr>
      <w:t>Suhaimi et al</w:t>
    </w:r>
    <w:r w:rsidR="008E6968" w:rsidRPr="001450F8">
      <w:rPr>
        <w:rFonts w:ascii="Times New Roman" w:hAnsi="Times New Roman"/>
        <w:sz w:val="20"/>
        <w:szCs w:val="20"/>
      </w:rPr>
      <w:t xml:space="preserve">:  </w:t>
    </w:r>
    <w:r w:rsidRPr="001450F8">
      <w:rPr>
        <w:rFonts w:ascii="Times New Roman" w:hAnsi="Times New Roman"/>
        <w:sz w:val="20"/>
        <w:szCs w:val="20"/>
      </w:rPr>
      <w:t xml:space="preserve"> </w:t>
    </w:r>
    <w:r w:rsidRPr="001450F8">
      <w:rPr>
        <w:rFonts w:ascii="Times New Roman" w:hAnsi="Times New Roman"/>
        <w:bCs/>
        <w:caps/>
        <w:sz w:val="20"/>
        <w:szCs w:val="20"/>
        <w:lang w:val="en-GB"/>
      </w:rPr>
      <w:t>Nutrient Distribution in the Besut River Basin, Terengganu, Malaysia (SOUTH CHINA SEA)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67891"/>
    <w:multiLevelType w:val="hybridMultilevel"/>
    <w:tmpl w:val="E38E81F4"/>
    <w:lvl w:ilvl="0" w:tplc="E048BAAC">
      <w:start w:val="1"/>
      <w:numFmt w:val="decimal"/>
      <w:lvlText w:val="%1."/>
      <w:lvlJc w:val="left"/>
      <w:pPr>
        <w:ind w:left="720" w:hanging="360"/>
      </w:pPr>
      <w:rPr>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31F97"/>
    <w:rsid w:val="00070690"/>
    <w:rsid w:val="00084936"/>
    <w:rsid w:val="000B68E1"/>
    <w:rsid w:val="000C49FF"/>
    <w:rsid w:val="000C5261"/>
    <w:rsid w:val="000E5AF1"/>
    <w:rsid w:val="000F77DA"/>
    <w:rsid w:val="001068E8"/>
    <w:rsid w:val="00117BCD"/>
    <w:rsid w:val="001450F8"/>
    <w:rsid w:val="001D035A"/>
    <w:rsid w:val="001D3855"/>
    <w:rsid w:val="001D6F2C"/>
    <w:rsid w:val="00221D39"/>
    <w:rsid w:val="00227152"/>
    <w:rsid w:val="00235756"/>
    <w:rsid w:val="0023784B"/>
    <w:rsid w:val="002951B3"/>
    <w:rsid w:val="002B188F"/>
    <w:rsid w:val="002B3BD8"/>
    <w:rsid w:val="002F3F91"/>
    <w:rsid w:val="00304767"/>
    <w:rsid w:val="00304B34"/>
    <w:rsid w:val="00312C0E"/>
    <w:rsid w:val="00313E3C"/>
    <w:rsid w:val="00322D6A"/>
    <w:rsid w:val="00361BAF"/>
    <w:rsid w:val="00367D1F"/>
    <w:rsid w:val="00373A9B"/>
    <w:rsid w:val="00383F26"/>
    <w:rsid w:val="0039005B"/>
    <w:rsid w:val="003B59AB"/>
    <w:rsid w:val="003D585B"/>
    <w:rsid w:val="003E7DA6"/>
    <w:rsid w:val="003F12FF"/>
    <w:rsid w:val="00441F60"/>
    <w:rsid w:val="004760D4"/>
    <w:rsid w:val="00494C46"/>
    <w:rsid w:val="004B43FF"/>
    <w:rsid w:val="00502641"/>
    <w:rsid w:val="00534441"/>
    <w:rsid w:val="00545363"/>
    <w:rsid w:val="00583C85"/>
    <w:rsid w:val="00584156"/>
    <w:rsid w:val="005C6768"/>
    <w:rsid w:val="00624C7C"/>
    <w:rsid w:val="00634C25"/>
    <w:rsid w:val="006416AB"/>
    <w:rsid w:val="00652081"/>
    <w:rsid w:val="006768E9"/>
    <w:rsid w:val="00687982"/>
    <w:rsid w:val="00695D0E"/>
    <w:rsid w:val="006A3A0F"/>
    <w:rsid w:val="006B3EC8"/>
    <w:rsid w:val="006D695E"/>
    <w:rsid w:val="00725A6A"/>
    <w:rsid w:val="00730CB3"/>
    <w:rsid w:val="00745DD7"/>
    <w:rsid w:val="007943F3"/>
    <w:rsid w:val="007A738C"/>
    <w:rsid w:val="007B1349"/>
    <w:rsid w:val="007E25BD"/>
    <w:rsid w:val="007F4ECC"/>
    <w:rsid w:val="00801E18"/>
    <w:rsid w:val="00802C35"/>
    <w:rsid w:val="0082181A"/>
    <w:rsid w:val="00860DDD"/>
    <w:rsid w:val="00894C00"/>
    <w:rsid w:val="008B470E"/>
    <w:rsid w:val="008C14D6"/>
    <w:rsid w:val="008E1211"/>
    <w:rsid w:val="008E5BBF"/>
    <w:rsid w:val="008E6968"/>
    <w:rsid w:val="009D2DD7"/>
    <w:rsid w:val="00A14DB9"/>
    <w:rsid w:val="00A4762A"/>
    <w:rsid w:val="00A74A7E"/>
    <w:rsid w:val="00A87399"/>
    <w:rsid w:val="00AD1B8A"/>
    <w:rsid w:val="00AD76AF"/>
    <w:rsid w:val="00AE713F"/>
    <w:rsid w:val="00B1121C"/>
    <w:rsid w:val="00B25B65"/>
    <w:rsid w:val="00B2770A"/>
    <w:rsid w:val="00B314AD"/>
    <w:rsid w:val="00B7255A"/>
    <w:rsid w:val="00B75BF6"/>
    <w:rsid w:val="00B80619"/>
    <w:rsid w:val="00B922C8"/>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DD656E"/>
    <w:rsid w:val="00E25547"/>
    <w:rsid w:val="00E2773B"/>
    <w:rsid w:val="00E3287E"/>
    <w:rsid w:val="00E66197"/>
    <w:rsid w:val="00EB5BA5"/>
    <w:rsid w:val="00EF4195"/>
    <w:rsid w:val="00F202C3"/>
    <w:rsid w:val="00F23D94"/>
    <w:rsid w:val="00F31093"/>
    <w:rsid w:val="00F412AF"/>
    <w:rsid w:val="00F43667"/>
    <w:rsid w:val="00F447A7"/>
    <w:rsid w:val="00F467A2"/>
    <w:rsid w:val="00FB2B6B"/>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99"/>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rsid w:val="00441F60"/>
    <w:pPr>
      <w:spacing w:after="0" w:line="240" w:lineRule="auto"/>
      <w:jc w:val="both"/>
    </w:pPr>
    <w:rPr>
      <w:rFonts w:ascii="Times New Roman" w:hAnsi="Times New Roman"/>
      <w:sz w:val="18"/>
      <w:szCs w:val="24"/>
      <w:lang w:bidi="ar-SA"/>
    </w:rPr>
  </w:style>
  <w:style w:type="character" w:customStyle="1" w:styleId="BodyTextChar">
    <w:name w:val="Body Text Char"/>
    <w:basedOn w:val="DefaultParagraphFont"/>
    <w:link w:val="BodyText"/>
    <w:rsid w:val="00441F60"/>
    <w:rPr>
      <w:rFonts w:ascii="Times New Roman" w:eastAsia="Times New Roman" w:hAnsi="Times New Roman"/>
      <w:sz w:val="18"/>
      <w:szCs w:val="24"/>
    </w:rPr>
  </w:style>
  <w:style w:type="character" w:customStyle="1" w:styleId="longtext">
    <w:name w:val="long_text"/>
    <w:basedOn w:val="DefaultParagraphFont"/>
    <w:rsid w:val="00031F97"/>
  </w:style>
  <w:style w:type="character" w:styleId="Hyperlink">
    <w:name w:val="Hyperlink"/>
    <w:rsid w:val="00031F97"/>
    <w:rPr>
      <w:strike w:val="0"/>
      <w:dstrike w:val="0"/>
      <w:color w:val="00006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99"/>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rsid w:val="00441F60"/>
    <w:pPr>
      <w:spacing w:after="0" w:line="240" w:lineRule="auto"/>
      <w:jc w:val="both"/>
    </w:pPr>
    <w:rPr>
      <w:rFonts w:ascii="Times New Roman" w:hAnsi="Times New Roman"/>
      <w:sz w:val="18"/>
      <w:szCs w:val="24"/>
      <w:lang w:bidi="ar-SA"/>
    </w:rPr>
  </w:style>
  <w:style w:type="character" w:customStyle="1" w:styleId="BodyTextChar">
    <w:name w:val="Body Text Char"/>
    <w:basedOn w:val="DefaultParagraphFont"/>
    <w:link w:val="BodyText"/>
    <w:rsid w:val="00441F60"/>
    <w:rPr>
      <w:rFonts w:ascii="Times New Roman" w:eastAsia="Times New Roman" w:hAnsi="Times New Roman"/>
      <w:sz w:val="18"/>
      <w:szCs w:val="24"/>
    </w:rPr>
  </w:style>
  <w:style w:type="character" w:customStyle="1" w:styleId="longtext">
    <w:name w:val="long_text"/>
    <w:basedOn w:val="DefaultParagraphFont"/>
    <w:rsid w:val="00031F97"/>
  </w:style>
  <w:style w:type="character" w:styleId="Hyperlink">
    <w:name w:val="Hyperlink"/>
    <w:rsid w:val="00031F97"/>
    <w:rPr>
      <w:strike w:val="0"/>
      <w:dstrike w:val="0"/>
      <w:color w:val="0000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met.gov.my/english/"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60394-FE2A-48D0-B361-F939CDD2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3728</Words>
  <Characters>20062</Characters>
  <Application>Microsoft Office Word</Application>
  <DocSecurity>0</DocSecurity>
  <Lines>557</Lines>
  <Paragraphs>216</Paragraphs>
  <ScaleCrop>false</ScaleCrop>
  <HeadingPairs>
    <vt:vector size="2" baseType="variant">
      <vt:variant>
        <vt:lpstr>Title</vt:lpstr>
      </vt:variant>
      <vt:variant>
        <vt:i4>1</vt:i4>
      </vt:variant>
    </vt:vector>
  </HeadingPairs>
  <TitlesOfParts>
    <vt:vector size="1" baseType="lpstr">
      <vt:lpstr>MJAS Vol 23 No 3 (2019)</vt:lpstr>
    </vt:vector>
  </TitlesOfParts>
  <Company>UKM</Company>
  <LinksUpToDate>false</LinksUpToDate>
  <CharactersWithSpaces>23574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3 (2019)</dc:title>
  <dc:creator>Harun Hj Hamzah</dc:creator>
  <cp:lastModifiedBy>Harun Hamzah</cp:lastModifiedBy>
  <cp:revision>15</cp:revision>
  <cp:lastPrinted>2019-06-18T06:38:00Z</cp:lastPrinted>
  <dcterms:created xsi:type="dcterms:W3CDTF">2019-06-01T00:45:00Z</dcterms:created>
  <dcterms:modified xsi:type="dcterms:W3CDTF">2019-06-18T06:38:00Z</dcterms:modified>
</cp:coreProperties>
</file>