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F2403" w:rsidRPr="00EB6D14" w:rsidRDefault="00BF2403" w:rsidP="00BF2403">
      <w:pPr>
        <w:spacing w:after="0" w:line="240" w:lineRule="auto"/>
        <w:jc w:val="center"/>
        <w:outlineLvl w:val="0"/>
        <w:rPr>
          <w:rFonts w:ascii="Times New Roman" w:hAnsi="Times New Roman"/>
          <w:sz w:val="28"/>
        </w:rPr>
      </w:pPr>
      <w:r w:rsidRPr="00EB6D14">
        <w:rPr>
          <w:rFonts w:ascii="Times New Roman" w:hAnsi="Times New Roman"/>
          <w:sz w:val="28"/>
        </w:rPr>
        <w:t xml:space="preserve">SALICYLATE-BASED PROTIC IONIC LIQUIDS AS A POTENTIAL ANTIOXIDANT </w:t>
      </w:r>
    </w:p>
    <w:p w:rsidR="00BF2403" w:rsidRPr="00EB6D14" w:rsidRDefault="00BF2403" w:rsidP="00BF2403">
      <w:pPr>
        <w:spacing w:after="0" w:line="240" w:lineRule="auto"/>
        <w:jc w:val="center"/>
        <w:outlineLvl w:val="0"/>
        <w:rPr>
          <w:rFonts w:ascii="Times New Roman" w:hAnsi="Times New Roman"/>
          <w:b/>
          <w:sz w:val="24"/>
        </w:rPr>
      </w:pPr>
    </w:p>
    <w:p w:rsidR="00BF2403" w:rsidRPr="00EB6D14" w:rsidRDefault="00BF2403" w:rsidP="00BF2403">
      <w:pPr>
        <w:spacing w:after="0" w:line="240" w:lineRule="auto"/>
        <w:jc w:val="center"/>
        <w:outlineLvl w:val="0"/>
        <w:rPr>
          <w:rFonts w:ascii="Times New Roman" w:hAnsi="Times New Roman"/>
          <w:sz w:val="24"/>
        </w:rPr>
      </w:pPr>
      <w:r w:rsidRPr="00EB6D14">
        <w:rPr>
          <w:rFonts w:ascii="Times New Roman" w:hAnsi="Times New Roman"/>
          <w:sz w:val="24"/>
        </w:rPr>
        <w:t>(</w:t>
      </w:r>
      <w:r w:rsidRPr="00EB6D14">
        <w:rPr>
          <w:rFonts w:ascii="Times New Roman" w:hAnsi="Times New Roman"/>
          <w:sz w:val="24"/>
          <w:lang w:val="ms-MY"/>
        </w:rPr>
        <w:t>Cecair Ionik Protik Berasaskan Salisilat Berpotensi Sebagai Antioksida</w:t>
      </w:r>
      <w:r w:rsidRPr="00EB6D14">
        <w:rPr>
          <w:rFonts w:ascii="Times New Roman" w:hAnsi="Times New Roman"/>
          <w:sz w:val="24"/>
        </w:rPr>
        <w:t>)</w:t>
      </w:r>
    </w:p>
    <w:p w:rsidR="00BF2403" w:rsidRPr="00BF2403" w:rsidRDefault="00BF2403" w:rsidP="00BF2403">
      <w:pPr>
        <w:spacing w:after="0" w:line="240" w:lineRule="auto"/>
        <w:jc w:val="center"/>
        <w:outlineLvl w:val="0"/>
        <w:rPr>
          <w:rFonts w:ascii="Times New Roman" w:hAnsi="Times New Roman"/>
          <w:b/>
          <w:sz w:val="20"/>
          <w:szCs w:val="20"/>
        </w:rPr>
      </w:pPr>
    </w:p>
    <w:p w:rsidR="00BF2403" w:rsidRPr="00BF2403" w:rsidRDefault="00BF2403" w:rsidP="00BF2403">
      <w:pPr>
        <w:spacing w:after="0" w:line="240" w:lineRule="auto"/>
        <w:jc w:val="center"/>
        <w:outlineLvl w:val="0"/>
        <w:rPr>
          <w:rFonts w:ascii="Times New Roman" w:hAnsi="Times New Roman"/>
          <w:sz w:val="20"/>
          <w:szCs w:val="20"/>
        </w:rPr>
      </w:pPr>
      <w:r w:rsidRPr="00BF2403">
        <w:rPr>
          <w:rFonts w:ascii="Times New Roman" w:hAnsi="Times New Roman"/>
          <w:sz w:val="20"/>
          <w:szCs w:val="20"/>
        </w:rPr>
        <w:t>Nur Afiqah Ahmad</w:t>
      </w:r>
      <w:r w:rsidRPr="00BF2403">
        <w:rPr>
          <w:rFonts w:ascii="Times New Roman" w:hAnsi="Times New Roman"/>
          <w:sz w:val="20"/>
          <w:szCs w:val="20"/>
          <w:vertAlign w:val="superscript"/>
        </w:rPr>
        <w:t>1</w:t>
      </w:r>
      <w:r w:rsidRPr="00BF2403">
        <w:rPr>
          <w:rFonts w:ascii="Times New Roman" w:hAnsi="Times New Roman"/>
          <w:sz w:val="20"/>
          <w:szCs w:val="20"/>
        </w:rPr>
        <w:t>, Khairulazhar Jumbri</w:t>
      </w:r>
      <w:r w:rsidRPr="00BF2403">
        <w:rPr>
          <w:rFonts w:ascii="Times New Roman" w:hAnsi="Times New Roman"/>
          <w:sz w:val="20"/>
          <w:szCs w:val="20"/>
          <w:vertAlign w:val="superscript"/>
        </w:rPr>
        <w:t>1,2</w:t>
      </w:r>
      <w:r w:rsidRPr="00BF2403">
        <w:rPr>
          <w:rFonts w:ascii="Times New Roman" w:hAnsi="Times New Roman"/>
          <w:sz w:val="20"/>
          <w:szCs w:val="20"/>
        </w:rPr>
        <w:t>*, Anita Ramli</w:t>
      </w:r>
      <w:r w:rsidRPr="00BF2403">
        <w:rPr>
          <w:rFonts w:ascii="Times New Roman" w:hAnsi="Times New Roman"/>
          <w:sz w:val="20"/>
          <w:szCs w:val="20"/>
          <w:vertAlign w:val="superscript"/>
        </w:rPr>
        <w:t>1</w:t>
      </w:r>
      <w:r w:rsidRPr="00BF2403">
        <w:rPr>
          <w:rFonts w:ascii="Times New Roman" w:hAnsi="Times New Roman"/>
          <w:sz w:val="20"/>
          <w:szCs w:val="20"/>
        </w:rPr>
        <w:t>, Noraini Ghani</w:t>
      </w:r>
      <w:r w:rsidRPr="00BF2403">
        <w:rPr>
          <w:rFonts w:ascii="Times New Roman" w:hAnsi="Times New Roman"/>
          <w:sz w:val="20"/>
          <w:szCs w:val="20"/>
          <w:vertAlign w:val="superscript"/>
        </w:rPr>
        <w:t>1,2</w:t>
      </w:r>
      <w:r w:rsidRPr="00BF2403">
        <w:rPr>
          <w:rFonts w:ascii="Times New Roman" w:hAnsi="Times New Roman"/>
          <w:sz w:val="20"/>
          <w:szCs w:val="20"/>
        </w:rPr>
        <w:t>, Haslina Ahmad</w:t>
      </w:r>
      <w:r w:rsidRPr="00BF2403">
        <w:rPr>
          <w:rFonts w:ascii="Times New Roman" w:hAnsi="Times New Roman"/>
          <w:sz w:val="20"/>
          <w:szCs w:val="20"/>
          <w:vertAlign w:val="superscript"/>
        </w:rPr>
        <w:t>3</w:t>
      </w:r>
    </w:p>
    <w:p w:rsidR="00BF2403" w:rsidRPr="00EB6D14" w:rsidRDefault="00BF2403" w:rsidP="00BF2403">
      <w:pPr>
        <w:spacing w:after="0" w:line="240" w:lineRule="auto"/>
        <w:jc w:val="center"/>
        <w:outlineLvl w:val="0"/>
        <w:rPr>
          <w:rFonts w:ascii="Times New Roman" w:hAnsi="Times New Roman"/>
          <w:b/>
          <w:sz w:val="18"/>
          <w:szCs w:val="18"/>
        </w:rPr>
      </w:pPr>
    </w:p>
    <w:p w:rsidR="00BF2403" w:rsidRPr="00CD0720" w:rsidRDefault="00BF2403" w:rsidP="00BF2403">
      <w:pPr>
        <w:pStyle w:val="Addresses"/>
        <w:rPr>
          <w:i w:val="0"/>
          <w:szCs w:val="18"/>
        </w:rPr>
      </w:pPr>
      <w:r w:rsidRPr="00CD0720">
        <w:rPr>
          <w:szCs w:val="18"/>
          <w:vertAlign w:val="superscript"/>
        </w:rPr>
        <w:t>1</w:t>
      </w:r>
      <w:r w:rsidRPr="00CD0720">
        <w:rPr>
          <w:szCs w:val="18"/>
        </w:rPr>
        <w:t>Department of Fundamental and Applied Science</w:t>
      </w:r>
      <w:r w:rsidRPr="00CD0720">
        <w:rPr>
          <w:szCs w:val="18"/>
        </w:rPr>
        <w:br/>
      </w:r>
      <w:r w:rsidRPr="00CD0720">
        <w:rPr>
          <w:szCs w:val="18"/>
          <w:vertAlign w:val="superscript"/>
        </w:rPr>
        <w:t>2</w:t>
      </w:r>
      <w:r w:rsidRPr="00CD0720">
        <w:rPr>
          <w:szCs w:val="18"/>
        </w:rPr>
        <w:t>Centre of Research in Ionic Liquids (CORIL)</w:t>
      </w:r>
    </w:p>
    <w:p w:rsidR="00BF2403" w:rsidRPr="00CD0720" w:rsidRDefault="00BF2403" w:rsidP="00BF2403">
      <w:pPr>
        <w:pStyle w:val="E-mail"/>
        <w:spacing w:after="0"/>
        <w:ind w:left="0"/>
        <w:jc w:val="center"/>
        <w:rPr>
          <w:rFonts w:ascii="Times New Roman" w:hAnsi="Times New Roman"/>
          <w:i/>
          <w:sz w:val="18"/>
          <w:szCs w:val="18"/>
          <w:lang w:val="en-GB"/>
        </w:rPr>
      </w:pPr>
      <w:r w:rsidRPr="00CD0720">
        <w:rPr>
          <w:rFonts w:ascii="Times New Roman" w:hAnsi="Times New Roman"/>
          <w:i/>
          <w:sz w:val="18"/>
          <w:szCs w:val="18"/>
          <w:lang w:val="en-GB"/>
        </w:rPr>
        <w:t>Universiti Teknologi P</w:t>
      </w:r>
      <w:r>
        <w:rPr>
          <w:rFonts w:ascii="Times New Roman" w:hAnsi="Times New Roman"/>
          <w:i/>
          <w:sz w:val="18"/>
          <w:szCs w:val="18"/>
          <w:lang w:val="en-GB"/>
        </w:rPr>
        <w:t>ETRONAS</w:t>
      </w:r>
      <w:r w:rsidRPr="00CD0720">
        <w:rPr>
          <w:rFonts w:ascii="Times New Roman" w:hAnsi="Times New Roman"/>
          <w:i/>
          <w:sz w:val="18"/>
          <w:szCs w:val="18"/>
          <w:lang w:val="en-GB"/>
        </w:rPr>
        <w:t>, 32610 Seri Iskandar, Perak, Malaysia</w:t>
      </w:r>
    </w:p>
    <w:p w:rsidR="00BF2403" w:rsidRDefault="00BF2403" w:rsidP="00BF2403">
      <w:pPr>
        <w:pStyle w:val="E-mail"/>
        <w:spacing w:after="0"/>
        <w:ind w:left="0"/>
        <w:jc w:val="center"/>
        <w:rPr>
          <w:rFonts w:ascii="Times New Roman" w:hAnsi="Times New Roman"/>
          <w:i/>
          <w:noProof w:val="0"/>
          <w:sz w:val="18"/>
          <w:szCs w:val="18"/>
          <w:lang w:val="en-GB"/>
        </w:rPr>
      </w:pPr>
      <w:r w:rsidRPr="00CD0720">
        <w:rPr>
          <w:rFonts w:ascii="Times New Roman" w:hAnsi="Times New Roman"/>
          <w:i/>
          <w:noProof w:val="0"/>
          <w:sz w:val="18"/>
          <w:szCs w:val="18"/>
          <w:vertAlign w:val="superscript"/>
          <w:lang w:val="en-GB"/>
        </w:rPr>
        <w:t>3</w:t>
      </w:r>
      <w:r w:rsidRPr="00CD0720">
        <w:rPr>
          <w:rFonts w:ascii="Times New Roman" w:hAnsi="Times New Roman"/>
          <w:i/>
          <w:noProof w:val="0"/>
          <w:sz w:val="18"/>
          <w:szCs w:val="18"/>
          <w:lang w:val="en-GB"/>
        </w:rPr>
        <w:t>Department of Chemistry,</w:t>
      </w:r>
      <w:r>
        <w:rPr>
          <w:rFonts w:ascii="Times New Roman" w:hAnsi="Times New Roman"/>
          <w:i/>
          <w:noProof w:val="0"/>
          <w:sz w:val="18"/>
          <w:szCs w:val="18"/>
          <w:lang w:val="en-GB"/>
        </w:rPr>
        <w:t xml:space="preserve"> </w:t>
      </w:r>
      <w:r w:rsidRPr="00CD0720">
        <w:rPr>
          <w:rFonts w:ascii="Times New Roman" w:hAnsi="Times New Roman"/>
          <w:i/>
          <w:noProof w:val="0"/>
          <w:sz w:val="18"/>
          <w:szCs w:val="18"/>
          <w:lang w:val="en-GB"/>
        </w:rPr>
        <w:t xml:space="preserve">Faculty of Science, </w:t>
      </w:r>
    </w:p>
    <w:p w:rsidR="00BF2403" w:rsidRPr="00CD0720" w:rsidRDefault="00BF2403" w:rsidP="00BF2403">
      <w:pPr>
        <w:pStyle w:val="E-mail"/>
        <w:spacing w:after="0"/>
        <w:ind w:left="0"/>
        <w:jc w:val="center"/>
        <w:rPr>
          <w:rFonts w:ascii="Times New Roman" w:hAnsi="Times New Roman"/>
          <w:i/>
          <w:noProof w:val="0"/>
          <w:sz w:val="18"/>
          <w:szCs w:val="18"/>
          <w:lang w:val="en-GB"/>
        </w:rPr>
      </w:pPr>
      <w:r w:rsidRPr="00CD0720">
        <w:rPr>
          <w:rFonts w:ascii="Times New Roman" w:hAnsi="Times New Roman"/>
          <w:i/>
          <w:noProof w:val="0"/>
          <w:sz w:val="18"/>
          <w:szCs w:val="18"/>
          <w:lang w:val="en-GB"/>
        </w:rPr>
        <w:t>Un</w:t>
      </w:r>
      <w:r>
        <w:rPr>
          <w:rFonts w:ascii="Times New Roman" w:hAnsi="Times New Roman"/>
          <w:i/>
          <w:noProof w:val="0"/>
          <w:sz w:val="18"/>
          <w:szCs w:val="18"/>
          <w:lang w:val="en-GB"/>
        </w:rPr>
        <w:t xml:space="preserve">iversiti Putra Malaysia, 43400 UPM </w:t>
      </w:r>
      <w:r w:rsidRPr="00CD0720">
        <w:rPr>
          <w:rFonts w:ascii="Times New Roman" w:hAnsi="Times New Roman"/>
          <w:i/>
          <w:noProof w:val="0"/>
          <w:sz w:val="18"/>
          <w:szCs w:val="18"/>
          <w:lang w:val="en-GB"/>
        </w:rPr>
        <w:t>Serdang, Selangor, Malaysia</w:t>
      </w:r>
    </w:p>
    <w:p w:rsidR="00BF2403" w:rsidRPr="00BF2403" w:rsidRDefault="00BF2403" w:rsidP="00BF2403">
      <w:pPr>
        <w:spacing w:after="0" w:line="240" w:lineRule="auto"/>
        <w:jc w:val="center"/>
        <w:outlineLvl w:val="0"/>
        <w:rPr>
          <w:rFonts w:ascii="Times New Roman" w:hAnsi="Times New Roman"/>
          <w:b/>
          <w:i/>
          <w:sz w:val="18"/>
          <w:szCs w:val="18"/>
        </w:rPr>
      </w:pPr>
    </w:p>
    <w:p w:rsidR="00BF2403" w:rsidRPr="00EB6D14" w:rsidRDefault="00BF2403" w:rsidP="00BF2403">
      <w:pPr>
        <w:spacing w:after="0" w:line="240" w:lineRule="auto"/>
        <w:jc w:val="center"/>
        <w:outlineLvl w:val="0"/>
        <w:rPr>
          <w:rFonts w:ascii="Times New Roman" w:hAnsi="Times New Roman"/>
          <w:i/>
          <w:sz w:val="18"/>
        </w:rPr>
      </w:pPr>
      <w:r w:rsidRPr="00BF2403">
        <w:rPr>
          <w:rFonts w:ascii="Times New Roman" w:hAnsi="Times New Roman"/>
          <w:i/>
          <w:sz w:val="18"/>
        </w:rPr>
        <w:t>*</w:t>
      </w:r>
      <w:r w:rsidRPr="00EB6D14">
        <w:rPr>
          <w:rFonts w:ascii="Times New Roman" w:hAnsi="Times New Roman"/>
          <w:i/>
          <w:sz w:val="18"/>
        </w:rPr>
        <w:t xml:space="preserve">Corresponding author: </w:t>
      </w:r>
      <w:r>
        <w:rPr>
          <w:rFonts w:ascii="Times New Roman" w:hAnsi="Times New Roman"/>
          <w:i/>
          <w:sz w:val="18"/>
        </w:rPr>
        <w:t xml:space="preserve"> </w:t>
      </w:r>
      <w:r w:rsidRPr="00EB6D14">
        <w:rPr>
          <w:rFonts w:ascii="Times New Roman" w:hAnsi="Times New Roman"/>
          <w:i/>
          <w:sz w:val="18"/>
        </w:rPr>
        <w:t>khairulazhar.jumbri@utp.edu.my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F2403">
        <w:rPr>
          <w:rFonts w:ascii="Times New Roman" w:hAnsi="Times New Roman"/>
          <w:noProof/>
          <w:sz w:val="18"/>
          <w:szCs w:val="18"/>
          <w:lang w:bidi="ar-SA"/>
        </w:rPr>
        <w:t>19 August 2018</w:t>
      </w:r>
      <w:r>
        <w:rPr>
          <w:rFonts w:ascii="Times New Roman" w:hAnsi="Times New Roman"/>
          <w:noProof/>
          <w:sz w:val="18"/>
          <w:szCs w:val="18"/>
          <w:lang w:bidi="ar-SA"/>
        </w:rPr>
        <w:t xml:space="preserve">; Accepted: </w:t>
      </w:r>
      <w:r w:rsidR="00BF2403">
        <w:rPr>
          <w:rFonts w:ascii="Times New Roman" w:hAnsi="Times New Roman"/>
          <w:noProof/>
          <w:sz w:val="18"/>
          <w:szCs w:val="18"/>
          <w:lang w:bidi="ar-SA"/>
        </w:rPr>
        <w:t>20 May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F2403" w:rsidRDefault="00BF2403" w:rsidP="00BF2403">
      <w:pPr>
        <w:pStyle w:val="Abstract"/>
        <w:spacing w:after="0"/>
        <w:ind w:left="0"/>
        <w:rPr>
          <w:rFonts w:ascii="Times New Roman" w:hAnsi="Times New Roman"/>
          <w:color w:val="auto"/>
          <w:sz w:val="18"/>
          <w:szCs w:val="18"/>
        </w:rPr>
      </w:pPr>
      <w:r w:rsidRPr="00EB6D14">
        <w:rPr>
          <w:rFonts w:ascii="Times New Roman" w:hAnsi="Times New Roman"/>
          <w:color w:val="auto"/>
          <w:sz w:val="18"/>
          <w:szCs w:val="18"/>
        </w:rPr>
        <w:t>Salicylate-based protic ionic liquids (PILs) were synthesised, characterised and assessed in this study for potential antioxidant in drug design. The synthesised PILs were known as 3-dimethylamino-1-propanol salicylate (3DMAPS) and 3-diethylamino-1-propanol salicylate (3DEAPS). Proton nuclear magnetic resonance (</w:t>
      </w:r>
      <w:r w:rsidRPr="00EB6D14">
        <w:rPr>
          <w:rFonts w:ascii="Times New Roman" w:hAnsi="Times New Roman"/>
          <w:color w:val="auto"/>
          <w:sz w:val="18"/>
          <w:szCs w:val="18"/>
          <w:vertAlign w:val="superscript"/>
        </w:rPr>
        <w:t>1</w:t>
      </w:r>
      <w:r w:rsidRPr="00EB6D14">
        <w:rPr>
          <w:rFonts w:ascii="Times New Roman" w:hAnsi="Times New Roman"/>
          <w:color w:val="auto"/>
          <w:sz w:val="18"/>
          <w:szCs w:val="18"/>
        </w:rPr>
        <w:t>HNMR), Fourier transformation infrared spectroscopy (FTIR) and thermogravimetric analysis (TGA) were used to characterise the synthesised PILs. Furthermore, the antioxidant activity of the synthesised PILs was determined using the 2,2-diphenyl-1-picrylhydrazyl (DPPH) free radical assay. Both 3DMAPS and 3DEAPS showed a good antioxidant activity compared to parent acid (salicylic acid) as these two compounds could scavenge 20% of DPPH free radical at a concentration of 66.76 ± 0.09 µM and 27.27 ± 0.10 µM, respectively.</w:t>
      </w:r>
    </w:p>
    <w:p w:rsidR="00BF2403" w:rsidRDefault="00BF2403" w:rsidP="00BF2403">
      <w:pPr>
        <w:pStyle w:val="Abstract"/>
        <w:spacing w:after="0"/>
        <w:ind w:left="0"/>
        <w:rPr>
          <w:rFonts w:ascii="Times New Roman" w:hAnsi="Times New Roman"/>
          <w:b/>
          <w:color w:val="auto"/>
          <w:sz w:val="18"/>
          <w:szCs w:val="18"/>
        </w:rPr>
      </w:pPr>
    </w:p>
    <w:p w:rsidR="00BF2403" w:rsidRPr="00EB6D14" w:rsidRDefault="00BF2403" w:rsidP="00BF2403">
      <w:pPr>
        <w:pStyle w:val="Abstract"/>
        <w:spacing w:after="0"/>
        <w:ind w:left="0"/>
        <w:rPr>
          <w:rFonts w:ascii="Times New Roman" w:hAnsi="Times New Roman"/>
          <w:color w:val="auto"/>
          <w:sz w:val="18"/>
          <w:szCs w:val="18"/>
        </w:rPr>
      </w:pPr>
      <w:r w:rsidRPr="00EB6D14">
        <w:rPr>
          <w:rFonts w:ascii="Times New Roman" w:hAnsi="Times New Roman"/>
          <w:b/>
          <w:color w:val="auto"/>
          <w:sz w:val="18"/>
          <w:szCs w:val="18"/>
        </w:rPr>
        <w:t>Keywords:</w:t>
      </w:r>
      <w:r w:rsidRPr="00EB6D14">
        <w:rPr>
          <w:rFonts w:ascii="Times New Roman" w:hAnsi="Times New Roman"/>
          <w:color w:val="auto"/>
        </w:rPr>
        <w:t xml:space="preserve"> </w:t>
      </w:r>
      <w:r>
        <w:rPr>
          <w:rFonts w:ascii="Times New Roman" w:hAnsi="Times New Roman"/>
          <w:color w:val="auto"/>
        </w:rPr>
        <w:t xml:space="preserve"> </w:t>
      </w:r>
      <w:r w:rsidRPr="00EB6D14">
        <w:rPr>
          <w:rFonts w:ascii="Times New Roman" w:hAnsi="Times New Roman"/>
          <w:color w:val="auto"/>
          <w:sz w:val="18"/>
        </w:rPr>
        <w:t>protic ionic liquids, salicylic acid, radical scavenging, free radical, DPPH assays</w:t>
      </w:r>
    </w:p>
    <w:p w:rsidR="00BF2403" w:rsidRPr="00EB6D14" w:rsidRDefault="00BF2403" w:rsidP="00BF2403">
      <w:pPr>
        <w:spacing w:after="0" w:line="240" w:lineRule="auto"/>
        <w:jc w:val="center"/>
        <w:outlineLvl w:val="0"/>
        <w:rPr>
          <w:rFonts w:ascii="Times New Roman" w:hAnsi="Times New Roman"/>
          <w:b/>
          <w:sz w:val="18"/>
          <w:szCs w:val="18"/>
        </w:rPr>
      </w:pPr>
    </w:p>
    <w:p w:rsidR="00BF2403" w:rsidRPr="00EB6D14" w:rsidRDefault="00BF2403" w:rsidP="00BF2403">
      <w:pPr>
        <w:spacing w:after="0" w:line="240" w:lineRule="auto"/>
        <w:jc w:val="center"/>
        <w:outlineLvl w:val="0"/>
        <w:rPr>
          <w:rFonts w:ascii="Times New Roman" w:hAnsi="Times New Roman"/>
          <w:b/>
          <w:sz w:val="18"/>
          <w:szCs w:val="18"/>
          <w:lang w:val="ms-MY"/>
        </w:rPr>
      </w:pPr>
      <w:r w:rsidRPr="00EB6D14">
        <w:rPr>
          <w:rFonts w:ascii="Times New Roman" w:hAnsi="Times New Roman"/>
          <w:b/>
          <w:sz w:val="18"/>
          <w:szCs w:val="18"/>
          <w:lang w:val="ms-MY"/>
        </w:rPr>
        <w:t>Abstrak</w:t>
      </w:r>
    </w:p>
    <w:p w:rsidR="00BF2403" w:rsidRPr="00EB6D14" w:rsidRDefault="00BF2403" w:rsidP="00BF2403">
      <w:pPr>
        <w:spacing w:after="0" w:line="240" w:lineRule="auto"/>
        <w:jc w:val="both"/>
        <w:rPr>
          <w:rFonts w:ascii="Times New Roman" w:hAnsi="Times New Roman"/>
          <w:sz w:val="18"/>
          <w:lang w:val="ms-MY"/>
        </w:rPr>
      </w:pPr>
      <w:r w:rsidRPr="00EB6D14">
        <w:rPr>
          <w:rFonts w:ascii="Times New Roman" w:hAnsi="Times New Roman"/>
          <w:sz w:val="18"/>
          <w:lang w:val="ms-MY"/>
        </w:rPr>
        <w:t>Cecair ionik protik (PILs) berasaskan salisilat disintesis, dicirikan dan dinilai untuk potensi antioksidan dalam reka bentuk dadah. Dua PILs iaitu 3-dimetilamino-1-propanol salisilat (3DMAPS) dan 3-diethilamino-1-propanol salisilat (3DEAPS) telah berjaya disintesis. Proton resonans magnet</w:t>
      </w:r>
      <w:r>
        <w:rPr>
          <w:rFonts w:ascii="Times New Roman" w:hAnsi="Times New Roman"/>
          <w:sz w:val="18"/>
          <w:lang w:val="ms-MY"/>
        </w:rPr>
        <w:t>ik</w:t>
      </w:r>
      <w:r w:rsidRPr="00EB6D14">
        <w:rPr>
          <w:rFonts w:ascii="Times New Roman" w:hAnsi="Times New Roman"/>
          <w:sz w:val="18"/>
          <w:lang w:val="ms-MY"/>
        </w:rPr>
        <w:t xml:space="preserve"> nuklear (</w:t>
      </w:r>
      <w:r w:rsidRPr="00EB6D14">
        <w:rPr>
          <w:rFonts w:ascii="Times New Roman" w:hAnsi="Times New Roman"/>
          <w:sz w:val="18"/>
          <w:vertAlign w:val="superscript"/>
          <w:lang w:val="ms-MY"/>
        </w:rPr>
        <w:t>1</w:t>
      </w:r>
      <w:r w:rsidRPr="00EB6D14">
        <w:rPr>
          <w:rFonts w:ascii="Times New Roman" w:hAnsi="Times New Roman"/>
          <w:sz w:val="18"/>
          <w:lang w:val="ms-MY"/>
        </w:rPr>
        <w:t>HNMR), spektroskopi transformasi inframerah (FTIR) dan analisis termogravimetrik (TGA) digunakan untuk pencirian PIL yang di</w:t>
      </w:r>
      <w:r>
        <w:rPr>
          <w:rFonts w:ascii="Times New Roman" w:hAnsi="Times New Roman"/>
          <w:sz w:val="18"/>
          <w:lang w:val="ms-MY"/>
        </w:rPr>
        <w:t xml:space="preserve"> sintesis</w:t>
      </w:r>
      <w:r w:rsidRPr="00EB6D14">
        <w:rPr>
          <w:rFonts w:ascii="Times New Roman" w:hAnsi="Times New Roman"/>
          <w:sz w:val="18"/>
          <w:lang w:val="ms-MY"/>
        </w:rPr>
        <w:t xml:space="preserve">. Tambahan pula, aktiviti antioksidan PIL ditentukan dengan menggunakan ujian radikal bebas 2,2-difenil-1-pikrilhidrazil (DPPH). Kedua-dua 3DMAPS dan 3DEAPS </w:t>
      </w:r>
      <w:r w:rsidRPr="00EB6D14">
        <w:rPr>
          <w:rFonts w:ascii="Times New Roman" w:hAnsi="Times New Roman"/>
          <w:sz w:val="18"/>
          <w:lang w:val="ms-MY"/>
        </w:rPr>
        <w:br/>
        <w:t xml:space="preserve">menunjukkan aktiviti antioksidan yang baik berbanding dengan asid induk (asid salisilat) kerana kedua-dua sebatian ini </w:t>
      </w:r>
      <w:r w:rsidRPr="00EB6D14">
        <w:rPr>
          <w:rFonts w:ascii="Times New Roman" w:hAnsi="Times New Roman"/>
          <w:sz w:val="18"/>
          <w:lang w:val="ms-MY"/>
        </w:rPr>
        <w:br/>
        <w:t xml:space="preserve">boleh membakar 20% radikal bebas DPPH </w:t>
      </w:r>
      <w:r>
        <w:rPr>
          <w:rFonts w:ascii="Times New Roman" w:hAnsi="Times New Roman"/>
          <w:sz w:val="18"/>
          <w:lang w:val="ms-MY"/>
        </w:rPr>
        <w:t xml:space="preserve">masing-masing </w:t>
      </w:r>
      <w:r w:rsidRPr="00EB6D14">
        <w:rPr>
          <w:rFonts w:ascii="Times New Roman" w:hAnsi="Times New Roman"/>
          <w:sz w:val="18"/>
          <w:lang w:val="ms-MY"/>
        </w:rPr>
        <w:t>pada kepekatan 66.76 ± 0.09 μM dan 27.27 ± 0.10 μM</w:t>
      </w:r>
      <w:r>
        <w:rPr>
          <w:rFonts w:ascii="Times New Roman" w:hAnsi="Times New Roman"/>
          <w:sz w:val="18"/>
          <w:lang w:val="ms-MY"/>
        </w:rPr>
        <w:t>.</w:t>
      </w:r>
    </w:p>
    <w:p w:rsidR="00BF2403" w:rsidRPr="00EB6D14" w:rsidRDefault="00BF2403" w:rsidP="00BF2403">
      <w:pPr>
        <w:spacing w:after="0" w:line="240" w:lineRule="auto"/>
        <w:jc w:val="both"/>
        <w:rPr>
          <w:rFonts w:ascii="Times New Roman" w:hAnsi="Times New Roman"/>
          <w:sz w:val="18"/>
          <w:lang w:val="ms-MY"/>
        </w:rPr>
      </w:pPr>
    </w:p>
    <w:p w:rsidR="00BF2403" w:rsidRPr="00EB6D14" w:rsidRDefault="00BF2403" w:rsidP="00BF2403">
      <w:pPr>
        <w:spacing w:after="0" w:line="240" w:lineRule="auto"/>
        <w:jc w:val="both"/>
        <w:rPr>
          <w:rFonts w:ascii="Times New Roman" w:hAnsi="Times New Roman"/>
          <w:sz w:val="18"/>
          <w:lang w:val="ms-MY"/>
        </w:rPr>
      </w:pPr>
      <w:r w:rsidRPr="00EB6D14">
        <w:rPr>
          <w:rFonts w:ascii="Times New Roman" w:hAnsi="Times New Roman"/>
          <w:b/>
          <w:sz w:val="18"/>
          <w:lang w:val="ms-MY"/>
        </w:rPr>
        <w:t>Kata kunci:</w:t>
      </w:r>
      <w:r w:rsidRPr="00EB6D14">
        <w:rPr>
          <w:rFonts w:ascii="Times New Roman" w:hAnsi="Times New Roman"/>
          <w:sz w:val="18"/>
          <w:lang w:val="ms-MY"/>
        </w:rPr>
        <w:t xml:space="preserve"> </w:t>
      </w:r>
      <w:r>
        <w:rPr>
          <w:rFonts w:ascii="Times New Roman" w:hAnsi="Times New Roman"/>
          <w:sz w:val="18"/>
          <w:lang w:val="ms-MY"/>
        </w:rPr>
        <w:t xml:space="preserve"> </w:t>
      </w:r>
      <w:r w:rsidRPr="00EB6D14">
        <w:rPr>
          <w:rFonts w:ascii="Times New Roman" w:hAnsi="Times New Roman"/>
          <w:sz w:val="18"/>
          <w:lang w:val="ms-MY"/>
        </w:rPr>
        <w:t>cecair ionic protik, asid salisilik, perangkap radikal, radikal bebas, ujian DPPH</w:t>
      </w:r>
    </w:p>
    <w:p w:rsidR="00AC0033" w:rsidRDefault="00AC0033" w:rsidP="00BF240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F2403" w:rsidRPr="00BF2403" w:rsidRDefault="00BF2403" w:rsidP="00BF2403">
      <w:pPr>
        <w:pStyle w:val="Bodytext"/>
        <w:rPr>
          <w:rFonts w:ascii="Times New Roman" w:hAnsi="Times New Roman"/>
          <w:color w:val="auto"/>
          <w:sz w:val="20"/>
          <w:szCs w:val="20"/>
          <w:lang w:val="en-GB"/>
        </w:rPr>
      </w:pPr>
      <w:r w:rsidRPr="00BF2403">
        <w:rPr>
          <w:rFonts w:ascii="Times New Roman" w:hAnsi="Times New Roman"/>
          <w:color w:val="auto"/>
          <w:sz w:val="20"/>
          <w:szCs w:val="20"/>
          <w:lang w:val="en-GB"/>
        </w:rPr>
        <w:t xml:space="preserve">Ionic liquid (IL) is a molten salt with a melting point below 100 °C. This compound can exist as a liquid or solid form at room temperature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{"citationItems":[{"id":"ITEM-1","itemData":{"ISBN":"9781847551610","author":[{"dropping-particle":"","family":"Freemantle","given":"M","non-dropping-particle":"","parse-names":false,"suffix":""}],"id":"ITEM-1","issued":{"date-parts":[["2010"]]},"publisher":"Royal Society of Chemistry","title":"An Introduction to Ionic Liquids","type":"book"},"uris":["http://www.mendeley.com/documents/?uuid=e90055ba-7299-4714-87f4-519d5f6ce814"]}],"mendeley":{"formattedCitation":"[1]","manualFormatting":"[1]","plainTextFormattedCitation":"[1]","previouslyFormattedCitation":"[1]"},"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[1]</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Furthermore, IL is also known as ‘green solvent’ due to negligible vapour pressure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{"citationItems":[{"id":"ITEM-1","itemData":{"DOI":"10.1039/c1fd00071c","ISSN":"13596640","abstract":"A series of new protic compds. based on active pharmaceutical ingredients was prepd. and characterized. Some of the salts synthesized produced ionic liqs., while others that were assocd. with rigid mol. structures tended to produce high m.ps. The protonic behavior of these compds. was found to be a major determinant of their properties. Indicator studies, FT-IR-ATR and transport properties (Walden plot) were used to probe the extent of proton transfer and ion assocn. in these ionic liqs. While proton transfer was shown to have taken place in all cases, the Walden plot indicated strong ion assocn. in the primary amine based examples due to hydrogen bonding. This was further explored by the crystal structure detn. of related compds., which showed that extended hydrogen bonded clusters tend to form in these salts. These clusters may dictate membrane transport properties of these compds. in vivo. The synthesis of the target compds. was achieved using tricyclo[3.3.1.13,7]decan-1-amine (amantadine), benzoic acid, salicylic acid, 2,5-dihydroxybenzoic acid (gentisic acid), 2-heptanamine (tuaminooheptane), 1-pyrrolidineethanol as starting materials. The title compds. thus formed included 2-heptanamine benzoate (1:1), 2-heptanamine benzoate (1:2) dibenzoate, tricyclo[3.3.1.13,7]decan-1-amine benzoate (1:1), 1-pyrrolidineethanol benzoate (1:1) and related substances. [on SciFinder(R)]","author":[{"dropping-particle":"","family":"Stoimenovski","given":"Jelena","non-dropping-particle":"","parse-names":false,"suffix":""},{"dropping-particle":"","family":"Dean","given":"Pamela M.","non-dropping-particle":"","parse-names":false,"suffix":""},{"dropping-particle":"","family":"Izgorodina","given":"Ekaterina I.","non-dropping-particle":"","parse-names":false,"suffix":""},{"dropping-particle":"","family":"MacFarlane","given":"Douglas R.","non-dropping-particle":"","parse-names":false,"suffix":""}],"container-title":"Faraday Discussions","id":"ITEM-1","issued":{"date-parts":[["2012"]]},"page":"335-352","title":"Protic pharmaceutical ionic liquids and solids: Aspects of protonics","type":"article-journal","volume":"154"},"uris":["http://www.mendeley.com/documents/?uuid=d348213b-efba-44d5-986f-5c4e2b6010de"]}],"mendeley":{"formattedCitation":"[2]","plainTextFormattedCitation":"[2]","previouslyFormattedCitation":"[2]"},"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[2]</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A growing trend has been seen in the development of IL in various applications such as organic synthesis, biocatalysis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{"citationItems":[{"id":"ITEM-1","itemData":{"DOI":"10.1016/j.enzmictec.2005.02.014","ISSN":"01410229","abstract":"Ionic liquids hold potential as green solvents because of their lack of vapour pressure, and are opening up a burgeoningly new field of nonaqueous enzymology. As compared to those observed in conventional organic solvents, enzymes in ionic liquids have presented enhanced activity, stability, and selectivity. Advantages of using ionic liquids over the use of normal organic solvents as reaction medium for biocatalysis also include their high ability of dissolving a wide variety of substrates, especially those highly polar ones, and their widely tunable solvent properties through appropriate modification of the cations and anions. In this review, we discuss the solvent properties of ionic liquids, their effects on enzyme performance such as activity, stability and selectivity, and their applications in biocatalysis. © 2005 Elsevier Inc. All rights reserved.","author":[{"dropping-particle":"","family":"Yang","given":"Zhen","non-dropping-particle":"","parse-names":false,"suffix":""},{"dropping-particle":"","family":"Pan","given":"Wubin","non-dropping-particle":"","parse-names":false,"suffix":""}],"container-title":"Enzyme and Microbial Technology","id":"ITEM-1","issue":"1","issued":{"date-parts":[["2005"]]},"page":"19-28","title":"Ionic liquids: Green solvents for nonaqueous biocatalysis","type":"article-journal","volume":"37"},"uris":["http://www.mendeley.com/documents/?uuid=b3bf3ae5-0e83-41e7-8ad6-99dd7d64d06f"]}],"mendeley":{"formattedCitation":"[3]","plainTextFormattedCitation":"[3]","previouslyFormattedCitation":"[3]"},"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[3]</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electrochemistry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{"citationItems":[{"id":"ITEM-1","itemData":{"DOI":"10.1039/c6ra23056c","ISSN":"20462069","abstract":"This journal is © The Royal Society of Chemistry. Phosphonium-based Ionic Liquids (PhosILs) with natural organic derived anions (l-lactate, l-tartrate, malonate, succinate, l-malate, pyruvate, d-glucuronate, d-galacturonate, ferulate, p-coumarate) were easily prepared by acid-base method from tetrabutylphosphonium hydroxide and an excess of the corresponding acid with good yields. Their characterization was realized through classical NMR, IR and elemental analysis techniques; their viscosity and ATG parameters were also determined. These ionic liquids showed good performance and recyclability in the selective Pd-catalyzed hydrogenation of alkenes, polyenes like linoleic acid and enantioselective hydrogenation of unsaturated ketones such as isophorone at room temperature under atmospheric H 2 pressure. Furthermore, NMR studies leading to computational calculations were performed to establish easily the composition of the resulting mixture obtained through the hydrogenation of linoleic acid.","author":[{"dropping-particle":"","family":"Hayouni","given":"Safa","non-dropping-particle":"","parse-names":false,"suffix":""},{"dropping-particle":"","family":"Robert","given":"Anthony","non-dropping-particle":"","parse-names":false,"suffix":""},{"dropping-particle":"","family":"Ferlin","given":"Nadège","non-dropping-particle":"","parse-names":false,"suffix":""},{"dropping-particle":"","family":"Amri","given":"Hassen","non-dropping-particle":"","parse-names":false,"suffix":""},{"dropping-particle":"","family":"Bouquillon","given":"Sandrine","non-dropping-particle":"","parse-names":false,"suffix":""}],"container-title":"RSC Advances","id":"ITEM-1","issue":"114","issued":{"date-parts":[["2016"]]},"page":"113583-113595","title":"New biobased tetrabutylphosphonium ionic liquids: Synthesis, characterization and use as a solvent or co-solvent for mild and greener Pd-catalyzed hydrogenation processes","type":"article-journal","volume":"6"},"uris":["http://www.mendeley.com/documents/?uuid=2681f669-e6b8-4285-8ac4-1226608ca6f4"]}],"mendeley":{"formattedCitation":"[4]","plainTextFormattedCitation":"[4]","previouslyFormattedCitation":"[4]"},"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[4]</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extraction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{"citationItems":[{"id":"ITEM-1","itemData":{"DOI":"10.1021/es0158004","ISBN":"0013-936X","ISSN":"0013936X","abstract":"A series of hydrophobic task-specific ionic liquids designed to extract Hg2+ and Cd2+ from water were prepared by appending urea-, thiourea-, and thioether-substituted alkyl groups to imidazoles and combining the resulting cationic species with PF6-. The new ionic liquids were characterized and investigated for their metal ion extraction capabilities. When used in liquid/liquid extraction of Hg2+ and Cd2+ from aqueous solutions, the metal ion distribution ratios increased several orders of magnitude, regardless of whether the ionic liquids were used as the sole extracting phase or doped into a series of [1-alkyl-3-methylimidazolium][PF6] (alkyl = n-C4-C8) ionic liquids to form a 1:1 solution. In the 1:1 mixtures, as the length of the alkyl chain increased from butyl to hexyl to octyl, the metal ion distribution ratios increased. Increasing the ratio TSIL/[C4mim][PF6] resulted in higher distribution ratios for both Hg2+ and Cd2+. Overall, the thiourea- and urea-derivatized cations yielded the highest distribution ratios, and those for Hg2+ were higher than those for Cd2+; however, a change in aqueous-phase pH does not promote the stripping of metal ions from the extracting phase. The combination of these imidazolium cations and PF6- produced ionic liquids with decreased thermal stability in comparison to [C(n)mim]-[PF6]. Gaussian98 restricted Hartree-Fock geometry optimizations for one of the thiourea-appended cations shows the charge delocalization around the ring and suggests that the thiourea group may aid in deprotonating the imidazolium ring and may be responsible for the lowered thermal stability of these cations.","author":[{"dropping-particle":"","family":"Visser","given":"Ann E.","non-dropping-particle":"","parse-names":false,"suffix":""},{"dropping-particle":"","family":"Swatloski","given":"Richard P.","non-dropping-particle":"","parse-names":false,"suffix":""},{"dropping-particle":"","family":"Reichert","given":"W. Matthew","non-dropping-particle":"","parse-names":false,"suffix":""},{"dropping-particle":"","family":"Mayton","given":"Rebecca","non-dropping-particle":"","parse-names":false,"suffix":""},{"dropping-particle":"","family":"Sheff","given":"Sean","non-dropping-particle":"","parse-names":false,"suffix":""},{"dropping-particle":"","family":"Wierzbicki","given":"Andrzej","non-dropping-particle":"","parse-names":false,"suffix":""},{"dropping-particle":"","family":"Davis","given":"James H.","non-dropping-particle":"","parse-names":false,"suffix":""},{"dropping-particle":"","family":"Rogers","given":"Robin D.","non-dropping-particle":"","parse-names":false,"suffix":""}],"container-title":"Environmental Science and Technology","id":"ITEM-1","issue":"11","issued":{"date-parts":[["2002"]]},"page":"2523-2529","title":"Task-specific ionic liquids incorporating novel cations for the coordination and extraction of Hg2+ and Cd2+: Synthesis, characterization, and extraction studies","type":"article-journal","volume":"36"},"uris":["http://www.mendeley.com/documents/?uuid=ef0ba41d-38e5-47c6-ba6c-921bea18663d"]}],"mendeley":{"formattedCitation":"[5]","plainTextFormattedCitation":"[5]","previouslyFormattedCitation":"[5]"},"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[5]</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and in pharmaceutical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{"citationItems":[{"id":"ITEM-1","itemData":{"DOI":"10.2174/157019312800604698","ISBN":"9783527619559","ISSN":"1570193X","abstract":"The industrial synthesis of pharmaceutical compounds often involves the use of organic solvents. Unfortunately, these reaction media are responsible for organic contaminations in the final product. In recent years, ionic liquids (ILs) have become the \" green alterna-tives \" of volatile organic solvents. Thus, the application of ILs instead of conventional reagents offer a new opportunity to solve prob-lems of environmentally harmful solvents. This mini-review discusses a new application of ILs in laboratory-scale pharmaceutical syn-thesis.","author":[{"dropping-particle":"","family":"Siodmiak","given":"Tomasz","non-dropping-particle":"","parse-names":false,"suffix":""},{"dropping-particle":"","family":"Piotr Marszall","given":"Michal","non-dropping-particle":"","parse-names":false,"suffix":""},{"dropping-particle":"","family":"Proszowska","given":"Anna","non-dropping-particle":"","parse-names":false,"suffix":""}],"container-title":"Mini-Reviews in Organic Chemistry","id":"ITEM-1","issue":"2","issued":{"date-parts":[["2012"]]},"page":"203-208","title":"Ionic Liquids: A New Strategy in Pharmaceutical Synthesis","type":"article-journal","volume":"9"},"uris":["http://www.mendeley.com/documents/?uuid=c3c242e0-f46e-4b85-a3f0-8f4fdae3dd5e"]}],"mendeley":{"formattedCitation":"[6]","plainTextFormattedCitation":"[6]","previouslyFormattedCitation":"[6]"},"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[6]</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IL can be classified into two classes; aprotic and protic ionic liquids. Protic ionic liquids (PILs) are a new family member of IL with available polar proton attached on the cation structure, which could lead to hydrogen bonding interaction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{"citationItems":[{"id":"ITEM-1","itemData":{"author":[{"dropping-particle":"","family":"Greaves","given":"Tamar L","non-dropping-particle":"","parse-names":false,"suffix":""},{"dropping-particle":"","family":"Drummond","given":"Calum J","non-dropping-particle":"","parse-names":false,"suffix":""}],"container-title":"Chem. Rev.","id":"ITEM-1","issued":{"date-parts":[["2008"]]},"page":"206-237","title":"Protic Ionic Liquids : Properties and Applications","type":"article-journal","volume":"108"},"uris":["http://www.mendeley.com/documents/?uuid=8141344a-121e-4476-9f4d-7b388ff06bbc"]}],"mendeley":{"formattedCitation":"[7]","plainTextFormattedCitation":"[7]","previouslyFormattedCitation":"[7]"},"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[7]</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Besides, these </w:t>
      </w:r>
      <w:r w:rsidRPr="00BF2403">
        <w:rPr>
          <w:rFonts w:ascii="Times New Roman" w:hAnsi="Times New Roman"/>
          <w:color w:val="auto"/>
          <w:sz w:val="20"/>
          <w:szCs w:val="20"/>
          <w:lang w:val="en-GB"/>
        </w:rPr>
        <w:lastRenderedPageBreak/>
        <w:t xml:space="preserve">compounds can be easily synthesised by mixing an equimolar solution of Brønsted acid and Brønsted base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{"citationItems":[{"id":"ITEM-1","itemData":{"DOI":"10.1021/jp900814y","ISSN":"15206106","abstract":"Large aggregated parent ions, for example, C(8)A(7)(+) (C = cation and A = anion), have been observed within some protic ionic liquids (PILs) using electrospray ionization mass spectrometry (ESI-MS). We have shown that the formation and size of aggregates is dependent on the nature of the anion and cation. Solvent structuring in select PILs through aggregation can contribute to their classification as \"poor ionic liquids\" and can also strongly influence the entropic component to the free energy of amphiphile self-assembly in select PILs.","author":[{"dropping-particle":"","family":"Kennedy","given":"Danielle F.","non-dropping-particle":"","parse-names":false,"suffix":""},{"dropping-particle":"","family":"Drummondt","given":"Calum J.","non-dropping-particle":"","parse-names":false,"suffix":""}],"container-title":"Journal of Physical Chemistry B","id":"ITEM-1","issue":"17","issued":{"date-parts":[["2009"]]},"page":"5690-5693","title":"Large aggregated ions found in some protic ionic liquids","type":"article-journal","volume":"113"},"uris":["http://www.mendeley.com/documents/?uuid=2499de4e-9640-4221-b1b6-692f72f929e2"]}],"mendeley":{"formattedCitation":"[8]","plainTextFormattedCitation":"[8]","previouslyFormattedCitation":"[8]"},"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[8]</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The formation of PILs is highly depending on the transfer of proton from the Brønsted acid to Brønsted base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{"citationItems":[{"id":"ITEM-1","itemData":{"author":[{"dropping-particle":"","family":"Greaves","given":"Tamar L","non-dropping-particle":"","parse-names":false,"suffix":""},{"dropping-particle":"","family":"Drummond","given":"Calum J","non-dropping-particle":"","parse-names":false,"suffix":""}],"container-title":"Chem. Rev.","id":"ITEM-1","issued":{"date-parts":[["2008"]]},"page":"206-237","title":"Protic Ionic Liquids : Properties and Applications","type":"article-journal","volume":"108"},"uris":["http://www.mendeley.com/documents/?uuid=8141344a-121e-4476-9f4d-7b388ff06bbc"]}],"mendeley":{"formattedCitation":"[7]","plainTextFormattedCitation":"[7]","previouslyFormattedCitation":"[7]"},"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[7]</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w:t>
      </w:r>
    </w:p>
    <w:p w:rsidR="00BF2403" w:rsidRPr="00BF2403" w:rsidRDefault="00BF2403" w:rsidP="00BF2403">
      <w:pPr>
        <w:pStyle w:val="Bodytext"/>
        <w:rPr>
          <w:rFonts w:ascii="Times New Roman" w:hAnsi="Times New Roman"/>
          <w:color w:val="auto"/>
          <w:sz w:val="20"/>
          <w:szCs w:val="20"/>
          <w:lang w:val="en-GB"/>
        </w:rPr>
      </w:pPr>
    </w:p>
    <w:p w:rsidR="00BF2403" w:rsidRPr="00BF2403" w:rsidRDefault="00BF2403" w:rsidP="00BF2403">
      <w:pPr>
        <w:pStyle w:val="Bodytext"/>
        <w:rPr>
          <w:rFonts w:ascii="Times New Roman" w:hAnsi="Times New Roman"/>
          <w:color w:val="auto"/>
          <w:sz w:val="20"/>
          <w:szCs w:val="20"/>
          <w:lang w:val="en-GB"/>
        </w:rPr>
      </w:pPr>
      <w:r w:rsidRPr="00BF2403">
        <w:rPr>
          <w:rFonts w:ascii="Times New Roman" w:hAnsi="Times New Roman"/>
          <w:color w:val="auto"/>
          <w:sz w:val="20"/>
          <w:szCs w:val="20"/>
          <w:lang w:val="en-GB"/>
        </w:rPr>
        <w:t xml:space="preserve">Over the past few years, PILs have attracted increasing attention and have been considered for plethora of applications such as electrochemistry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{"citationItems":[{"id":"ITEM-1","itemData":{"DOI":"10.1007/bf03246212","ISSN":"1735-207X","author":[{"dropping-particle":"","family":"Gung","given":"S. T.","non-dropping-particle":"","parse-names":false,"suffix":""},{"dropping-particle":"","family":"Sun","given":"I. W.","non-dropping-particle":"","parse-names":false,"suffix":""},{"dropping-particle":"","family":"Ou-Yang","given":"W. C.","non-dropping-particle":"","parse-names":false,"suffix":""},{"dropping-particle":"","family":"Su","given":"S. G.","non-dropping-particle":"","parse-names":false,"suffix":""},{"dropping-particle":"","family":"Lin","given":"M. W.","non-dropping-particle":"","parse-names":false,"suffix":""},{"dropping-particle":"","family":"Lai","given":"C. A.","non-dropping-particle":"","parse-names":false,"suffix":""},{"dropping-particle":"","family":"Wu","given":"T. Y.","non-dropping-particle":"","parse-names":false,"suffix":""},{"dropping-particle":"","family":"Lin","given":"Y. C.","non-dropping-particle":"","parse-names":false,"suffix":""}],"container-title":"Journal of the Iranian Chemical Society","id":"ITEM-1","issue":"1","issued":{"date-parts":[["2012"]]},"page":"149-165","title":"Synthesis and characterization of protic ionic liquids containing cyclic amine cations and tetrafluoroborate anion","type":"article-journal","volume":"8"},"uris":["http://www.mendeley.com/documents/?uuid=23dc9db1-82b7-4c0b-a30d-9cc87d4d62c7"]}],"mendeley":{"formattedCitation":"[9]","plainTextFormattedCitation":"[9]","previouslyFormattedCitation":"[9]"},"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[9]</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fuel cell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{"citationItems":[{"id":"ITEM-1","itemData":{"DOI":"10.1557/mrs.2013.153","ISSN":"08837694","abstract":"We have investigated protic ionic liquids (PILs) as proton conductors\\nfor non-humidified intermediate-temperature fuel cells. PILs exhibit\\nproton conductivity and activity in fuel cell electrode reactions, as\\nseen in acidic aqueous solutions and acidic polymer membranes. The wide\\nmolecular designability of PILs enabled the finding of a promising\\ncandidate, diethylmethylammonium trifluoromethanesulfonate\\n({[}dema]{[}TfO]), which exhibits favorable bulk properties and\\nelectrochemical activity. Solid thin films containing {[}dema]{[}TfO]\\nwere fabricated using sulfonated polyimide as a matrix polymer. By using\\nthe composite membrane, non-humidifying fuel cell operation at 120\\ndegrees C succeeded. The fuel cell performance can be further improved\\nby the optimization of the catalyst layer and with further research on\\nPILs.","author":[{"dropping-particle":"","family":"Yasuda","given":"Tomohiro","non-dropping-particle":"","parse-names":false,"suffix":""},{"dropping-particle":"","family":"Watanabe","given":"Masayoshi","non-dropping-particle":"","parse-names":false,"suffix":""}],"container-title":"MRS Bulletin","id":"ITEM-1","issue":"7","issued":{"date-parts":[["2013"]]},"page":"560-566","title":"Protic ionic liquids: Fuel cell applications","type":"article-journal","volume":"38"},"uris":["http://www.mendeley.com/documents/?uuid=cfe5a8d9-0f0c-4fbd-bbb6-a67d5e7ec477"]}],"mendeley":{"formattedCitation":"[10]","plainTextFormattedCitation":"[10]","previouslyFormattedCitation":"[10]"},"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[10]</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and drug delivery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{"citationItems":[{"id":"ITEM-1","itemData":{"DOI":"10.1039/c1cc14314j","ISSN":"13597345","abstract":"We show that pharmaceutically active protic ionic liquids can be designed to rapidly transport through model membranes as neutral hydrogen bonded clusters.","author":[{"dropping-particle":"","family":"Stoimenovski","given":"Jelena","non-dropping-particle":"","parse-names":false,"suffix":""},{"dropping-particle":"","family":"MacFarlane","given":"Douglas R.","non-dropping-particle":"","parse-names":false,"suffix":""}],"container-title":"Chemical Communications","id":"ITEM-1","issue":"41","issued":{"date-parts":[["2011"]]},"page":"11429-11431","title":"Enhanced membrane transport of pharmaceutically active protic ionic liquids","type":"article-journal","volume":"47"},"uris":["http://www.mendeley.com/documents/?uuid=d8ec1547-b25a-4dbf-bab2-228c61bee0bf"]}],"mendeley":{"formattedCitation":"[11]","plainTextFormattedCitation":"[11]","previouslyFormattedCitation":"[11]"},"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[11]</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In drug delivery, PILs are used in membrane transport due to the tuneable degree of ionicity. However, to the best of our knowledge, only a few studies have been dedicated to synthesise PILs with specific biological applications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{"citationItems":[{"id":"ITEM-1","itemData":{"DOI":"10.1039/c1cc14314j","ISSN":"13597345","abstract":"We show that pharmaceutically active protic ionic liquids can be designed to rapidly transport through model membranes as neutral hydrogen bonded clusters.","author":[{"dropping-particle":"","family":"Stoimenovski","given":"Jelena","non-dropping-particle":"","parse-names":false,"suffix":""},{"dropping-particle":"","family":"MacFarlane","given":"Douglas R.","non-dropping-particle":"","parse-names":false,"suffix":""}],"container-title":"Chemical Communications","id":"ITEM-1","issue":"41","issued":{"date-parts":[["2011"]]},"page":"11429-11431","title":"Enhanced membrane transport of pharmaceutically active protic ionic liquids","type":"article-journal","volume":"47"},"uris":["http://www.mendeley.com/documents/?uuid=d8ec1547-b25a-4dbf-bab2-228c61bee0bf"]},{"id":"ITEM-2","itemData":{"author":[{"dropping-particle":"","family":"Mirskova","given":"A N","non-dropping-particle":"","parse-names":false,"suffix":""},{"dropping-particle":"","family":"Adamovich","given":"S N","non-dropping-particle":"","parse-names":false,"suffix":""},{"dropping-particle":"","family":"Mirskov","given":"R G","non-dropping-particle":"","parse-names":false,"suffix":""},{"dropping-particle":"","family":"Voronkov","given":"M G","non-dropping-particle":"","parse-names":false,"suffix":""}],"container-title":"Russian Chemical Bulletin","id":"ITEM-2","issue":"9","issued":{"date-parts":[["2014"]]},"page":"1869-1883","publisher":"Springer","title":"Pharmacologically active salts and ionic liquids based on 2-hydroxyethylamines, arylchalcogenylacetic acids, and essential metals","type":"article-journal","volume":"63"},"uris":["http://www.mendeley.com/documents/?uuid=f1274786-2793-48db-ad27-2518d36b12af"]},{"id":"ITEM-3","itemData":{"DOI":"10.1039/b404625k","ISSN":"14639262","abstract":"Minimum inhibitory concentrations (MIC) and minimum biocidal concentrations (MBC) were established for 1-alkylimidazolium and 1-alkoxymethylimidazolium lactates tested against rods, cocci and fungi. We found that anti-microbial activities of the protic ionic liquids are strongly related to the length of the substituent and to the DL- or L-type anion. Lactates with short substituents up to pentyl or pentyloxymethyl remain inactive toward microorganisms. In addition physical properties and thermal stability of protic ionic liquids have been described. We found them to readily undergo decomposition under the effect of ozone in aqueous solution","author":[{"dropping-particle":"","family":"Pernak","given":"Juliusz","non-dropping-particle":"","parse-names":false,"suffix":""},{"dropping-particle":"","family":"Goc","given":"Izabela","non-dropping-particle":"","parse-names":false,"suffix":""},{"dropping-particle":"","family":"Mirska","given":"Ilona","non-dropping-particle":"","parse-names":false,"suffix":""}],"container-title":"Green Chemistry","id":"ITEM-3","issue":"7","issued":{"date-parts":[["2004"]]},"page":"323-329","title":"Anti-microbial activities of protic ionic liquids with lactate anion","type":"article-journal","volume":"6"},"uris":["http://www.mendeley.com/documents/?uuid=123095d6-610e-4d01-aa9c-f8021ea47ef7"]}],"mendeley":{"formattedCitation":"[11–13]","plainTextFormattedCitation":"[11–13]","previouslyFormattedCitation":"[11–13]"},"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[11–13]</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xml:space="preserve">. In this study, salicylic acid was used as the anion based PILs for potential antioxidant. Salicylic acid is one of the phenolic acid derivatives reported to display multiple biological applications such as antioxidant activity, antimicrobial and anti-inflammatory </w:t>
      </w:r>
      <w:r w:rsidRPr="00BF2403">
        <w:rPr>
          <w:rFonts w:ascii="Times New Roman" w:hAnsi="Times New Roman"/>
          <w:color w:val="auto"/>
          <w:sz w:val="20"/>
          <w:szCs w:val="20"/>
          <w:lang w:val="en-GB"/>
        </w:rPr>
        <w:fldChar w:fldCharType="begin" w:fldLock="1"/>
      </w:r>
      <w:r w:rsidRPr="00BF2403">
        <w:rPr>
          <w:rFonts w:ascii="Times New Roman" w:hAnsi="Times New Roman"/>
          <w:color w:val="auto"/>
          <w:sz w:val="20"/>
          <w:szCs w:val="20"/>
          <w:lang w:val="en-GB"/>
        </w:rPr>
        <w:instrText>ADDIN CSL_CITATION {"citationItems":[{"id":"ITEM-1","itemData":{"DOI":"10.1515/afmnai-2015-0026","abstract":"Salicylic acid is a phytochemical with beneficial effects on human well-being. Salicylic acid is a phenolic compound and is present in various plants where it has a vital role in protection against pathogenic agents. Natural sources include fruits, vegetables and spices. The most famous and defined effect of salicylic acid is prostaglandin synthesis inhibition. Salicylic acid has antiinflammatory effects through suppression of transcription of genes for cyclooxygenase. Most of the pharmacological properties of salicylic acid can be contributed to the inhibition of prostaglandin synthesis. Also, it was discovered that salicylic acid has other in vivo cyclooxygenase-independent pathways. Since salicylic acid does not inhibit cyclooxygenase considerably, the anti-inflammatory effect is not a consequence of direct inhibition of cyclooxygenase activity. Because of its fundamental role, it was suggested that inhibition of nuclear factor kappa B by salicylic acid is one of the key anti-inflammatory mechanisms of action for salicylates. One of the most studied properties of salicylic acid is its antioxidative activity. Salicylic acid is a confirmed inhibitor of oxidative stress. Salicylic acid is capable of binding iron. This fact is significant for antioxidative effect of salicylic acid because iron has an important function in the course of lipid peroxidation.","author":[{"dropping-particle":"","family":"Randjelović","given":"Dušica","non-dropping-particle":"","parse-names":false,"suffix":""},{"dropping-particle":"","family":"Stojiljković","given":"Nenad","non-dropping-particle":"","parse-names":false,"suffix":""},{"dropping-particle":"","family":"Laketić","given":"Darko","non-dropping-particle":"","parse-names":false,"suffix":""},{"dropping-particle":"","family":"Ilić","given":"Ivan","non-dropping-particle":"","parse-names":false,"suffix":""},{"dropping-particle":"","family":"Randjelović","given":"Nebojša","non-dropping-particle":"","parse-names":false,"suffix":""},{"dropping-particle":"","family":"Veljković","given":"Slavimir","non-dropping-particle":"","parse-names":false,"suffix":""},{"dropping-particle":"","family":"Randjelović","given":"Pavle","non-dropping-particle":"","parse-names":false,"suffix":""},{"dropping-particle":"","family":"Sokolović","given":"Dušan","non-dropping-particle":"","parse-names":false,"suffix":""}],"container-title":"Acta Facultatis Medicae Naissensis","id":"ITEM-1","issue":"4","issued":{"date-parts":[["2016"]]},"page":"259-265","title":"The Beneficial Biological Properties of Salicylic Acid","type":"article-journal","volume":"32"},"uris":["http://www.mendeley.com/documents/?uuid=1e81d63e-6eac-4a11-9de8-6548ea2f7421"]}],"mendeley":{"formattedCitation":"[14]","plainTextFormattedCitation":"[14]","previouslyFormattedCitation":"[14]"},"properties":{"noteIndex":0},"schema":"https://github.com/citation-style-language/schema/raw/master/csl-citation.json"}</w:instrText>
      </w:r>
      <w:r w:rsidRPr="00BF2403">
        <w:rPr>
          <w:rFonts w:ascii="Times New Roman" w:hAnsi="Times New Roman"/>
          <w:color w:val="auto"/>
          <w:sz w:val="20"/>
          <w:szCs w:val="20"/>
          <w:lang w:val="en-GB"/>
        </w:rPr>
        <w:fldChar w:fldCharType="separate"/>
      </w:r>
      <w:r w:rsidRPr="00BF2403">
        <w:rPr>
          <w:rFonts w:ascii="Times New Roman" w:hAnsi="Times New Roman"/>
          <w:noProof/>
          <w:color w:val="auto"/>
          <w:sz w:val="20"/>
          <w:szCs w:val="20"/>
          <w:lang w:val="en-GB"/>
        </w:rPr>
        <w:t>[14]</w:t>
      </w:r>
      <w:r w:rsidRPr="00BF2403">
        <w:rPr>
          <w:rFonts w:ascii="Times New Roman" w:hAnsi="Times New Roman"/>
          <w:color w:val="auto"/>
          <w:sz w:val="20"/>
          <w:szCs w:val="20"/>
          <w:lang w:val="en-GB"/>
        </w:rPr>
        <w:fldChar w:fldCharType="end"/>
      </w:r>
      <w:r w:rsidRPr="00BF2403">
        <w:rPr>
          <w:rFonts w:ascii="Times New Roman" w:hAnsi="Times New Roman"/>
          <w:color w:val="auto"/>
          <w:sz w:val="20"/>
          <w:szCs w:val="20"/>
          <w:lang w:val="en-GB"/>
        </w:rPr>
        <w:t>. In addition, low solubility of this acid in water can cause insufficient performance of the salicylic acid. Therefore, the modification of salicylic acid in the form of IL is one of the alternative ways to enhance the performance of this drug compound.</w:t>
      </w:r>
    </w:p>
    <w:p w:rsidR="00BF2403" w:rsidRPr="00BF2403" w:rsidRDefault="00BF2403" w:rsidP="00BF2403">
      <w:pPr>
        <w:pStyle w:val="BodytextIndented"/>
        <w:ind w:firstLine="0"/>
        <w:jc w:val="center"/>
        <w:rPr>
          <w:rFonts w:ascii="Times New Roman" w:hAnsi="Times New Roman"/>
          <w:sz w:val="20"/>
          <w:szCs w:val="20"/>
          <w:lang w:val="en-GB"/>
        </w:rPr>
      </w:pPr>
    </w:p>
    <w:p w:rsidR="00BF2403" w:rsidRPr="00BF2403" w:rsidRDefault="00BF2403" w:rsidP="00BF2403">
      <w:pPr>
        <w:spacing w:after="0" w:line="240" w:lineRule="auto"/>
        <w:jc w:val="center"/>
        <w:outlineLvl w:val="0"/>
        <w:rPr>
          <w:rFonts w:ascii="Times New Roman" w:hAnsi="Times New Roman"/>
          <w:b/>
          <w:sz w:val="20"/>
          <w:szCs w:val="20"/>
        </w:rPr>
      </w:pPr>
      <w:r w:rsidRPr="00BF2403">
        <w:rPr>
          <w:rFonts w:ascii="Times New Roman" w:hAnsi="Times New Roman"/>
          <w:b/>
          <w:sz w:val="20"/>
          <w:szCs w:val="20"/>
        </w:rPr>
        <w:t>Materials and Methods</w:t>
      </w:r>
    </w:p>
    <w:p w:rsidR="00BF2403" w:rsidRPr="00BF2403" w:rsidRDefault="00BF2403" w:rsidP="00BF2403">
      <w:pPr>
        <w:pStyle w:val="Heading2"/>
        <w:spacing w:before="0" w:line="240" w:lineRule="auto"/>
        <w:jc w:val="both"/>
        <w:rPr>
          <w:rFonts w:ascii="Times New Roman" w:hAnsi="Times New Roman"/>
          <w:b/>
          <w:smallCaps w:val="0"/>
          <w:sz w:val="20"/>
          <w:szCs w:val="20"/>
        </w:rPr>
      </w:pPr>
      <w:r w:rsidRPr="00BF2403">
        <w:rPr>
          <w:rFonts w:ascii="Times New Roman" w:hAnsi="Times New Roman"/>
          <w:b/>
          <w:smallCaps w:val="0"/>
          <w:sz w:val="20"/>
          <w:szCs w:val="20"/>
        </w:rPr>
        <w:t>Materials</w:t>
      </w:r>
    </w:p>
    <w:p w:rsid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 xml:space="preserve">3-dimethylamino-1-propanol (purity 99%), methanol and salicylic acid were kindly supplied by Merck Sdn. Bhd company (Darmstadt, Germany). 3-diethylamino-1-propanol was purchased from Acros (Shah Alam, Malaysia). All of these chemicals were used as received without further purification.  </w:t>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pStyle w:val="Heading2"/>
        <w:spacing w:before="0" w:line="240" w:lineRule="auto"/>
        <w:jc w:val="both"/>
        <w:rPr>
          <w:rFonts w:ascii="Times New Roman" w:hAnsi="Times New Roman"/>
          <w:b/>
          <w:smallCaps w:val="0"/>
          <w:sz w:val="20"/>
          <w:szCs w:val="20"/>
        </w:rPr>
      </w:pPr>
      <w:r w:rsidRPr="00BF2403">
        <w:rPr>
          <w:rFonts w:ascii="Times New Roman" w:hAnsi="Times New Roman"/>
          <w:b/>
          <w:smallCaps w:val="0"/>
          <w:sz w:val="20"/>
          <w:szCs w:val="20"/>
        </w:rPr>
        <w:t>Synthesis and characterization of PILs</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 xml:space="preserve">Protic ionic liquids (PILs) were synthesised by neutralisation reaction. An equimolar of salicylic acid (0.05 mol, 6.9 g) was added to equimolar amount of different base namely 3-dimethylamino-1-propanol and 3-diethylamino-1-propanol (5.9 mL and 7.4 mL, respectively). The base was placed into two-neck round bottom flask immersed in ice bath and equipped with a reflux condenser. Since the reaction is exothermic, the temperature was maintained around 0-5 °C while an acid was added drop wise. Then, the solvent (methanol) was removed by heating the mixture at 50 °C under vacuum using rotary evaporator for 3 hours. Afterwards, the structure and purity of PILs were characterised using Bruker Avance 500 MHz </w:t>
      </w:r>
      <w:r w:rsidRPr="00BF2403">
        <w:rPr>
          <w:rFonts w:ascii="Times New Roman" w:hAnsi="Times New Roman"/>
          <w:sz w:val="20"/>
          <w:szCs w:val="20"/>
          <w:vertAlign w:val="superscript"/>
        </w:rPr>
        <w:t>1</w:t>
      </w:r>
      <w:r w:rsidRPr="00BF2403">
        <w:rPr>
          <w:rFonts w:ascii="Times New Roman" w:hAnsi="Times New Roman"/>
          <w:sz w:val="20"/>
          <w:szCs w:val="20"/>
        </w:rPr>
        <w:t>HNMR spectrometer. The structure of PILs was further characterised via Shimadzu FTIR at wavenumber of 4000 cm</w:t>
      </w:r>
      <w:r w:rsidRPr="00BF2403">
        <w:rPr>
          <w:rFonts w:ascii="Times New Roman" w:hAnsi="Times New Roman"/>
          <w:sz w:val="20"/>
          <w:szCs w:val="20"/>
          <w:vertAlign w:val="superscript"/>
        </w:rPr>
        <w:t>-1</w:t>
      </w:r>
      <w:r w:rsidRPr="00BF2403">
        <w:rPr>
          <w:rFonts w:ascii="Times New Roman" w:hAnsi="Times New Roman"/>
          <w:sz w:val="20"/>
          <w:szCs w:val="20"/>
        </w:rPr>
        <w:t xml:space="preserve"> to 400 cm</w:t>
      </w:r>
      <w:r w:rsidRPr="00BF2403">
        <w:rPr>
          <w:rFonts w:ascii="Times New Roman" w:hAnsi="Times New Roman"/>
          <w:sz w:val="20"/>
          <w:szCs w:val="20"/>
          <w:vertAlign w:val="superscript"/>
        </w:rPr>
        <w:t>-1</w:t>
      </w:r>
      <w:r w:rsidRPr="00BF2403">
        <w:rPr>
          <w:rFonts w:ascii="Times New Roman" w:hAnsi="Times New Roman"/>
          <w:sz w:val="20"/>
          <w:szCs w:val="20"/>
        </w:rPr>
        <w:t xml:space="preserve"> to determine amine and carbonyl functional groups. The thermal stability of PILs was determined using PerkinElmer, Pyris V-3.81 thermogravimetric analyser.</w:t>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pStyle w:val="Heading2"/>
        <w:spacing w:before="0" w:line="240" w:lineRule="auto"/>
        <w:jc w:val="both"/>
        <w:rPr>
          <w:rFonts w:ascii="Times New Roman" w:hAnsi="Times New Roman"/>
          <w:b/>
          <w:smallCaps w:val="0"/>
          <w:sz w:val="20"/>
          <w:szCs w:val="20"/>
        </w:rPr>
      </w:pPr>
      <w:r w:rsidRPr="00BF2403">
        <w:rPr>
          <w:rFonts w:ascii="Times New Roman" w:hAnsi="Times New Roman"/>
          <w:b/>
          <w:smallCaps w:val="0"/>
          <w:sz w:val="20"/>
          <w:szCs w:val="20"/>
        </w:rPr>
        <w:t>Antioxidant activity</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The methods for antioxidant activity was obtained from Brand-Williams [15] using 2,2-diphenyl-1-picrylhydrazyl (DPPH) free radical assay with slight modifications. PILs with various final concentrations (10 -100 µM) in methanol were added into DPPH solution in methanol (60 µM, 3.9 mL). After that, the mixture was incubated in dark condition for 30 min at room temperature. The decrease in absorbance was monitored using UV-Vis at wavelength of 517 nm. The antioxidant activity was calculated using equation 1 as shown below:</w:t>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ind w:firstLine="720"/>
        <w:jc w:val="both"/>
        <w:rPr>
          <w:rFonts w:ascii="Times New Roman" w:hAnsi="Times New Roman"/>
          <w:sz w:val="20"/>
          <w:szCs w:val="20"/>
        </w:rPr>
      </w:pPr>
      <w:r w:rsidRPr="00BF2403">
        <w:rPr>
          <w:rFonts w:ascii="Times New Roman" w:hAnsi="Times New Roman"/>
          <w:sz w:val="20"/>
          <w:szCs w:val="20"/>
        </w:rPr>
        <w:t>AA (%) = (A</w:t>
      </w:r>
      <w:r w:rsidRPr="00BF2403">
        <w:rPr>
          <w:rFonts w:ascii="Times New Roman" w:hAnsi="Times New Roman"/>
          <w:sz w:val="20"/>
          <w:szCs w:val="20"/>
          <w:vertAlign w:val="subscript"/>
        </w:rPr>
        <w:t>0</w:t>
      </w:r>
      <w:r w:rsidRPr="00BF2403">
        <w:rPr>
          <w:rFonts w:ascii="Times New Roman" w:hAnsi="Times New Roman"/>
          <w:sz w:val="20"/>
          <w:szCs w:val="20"/>
        </w:rPr>
        <w:t xml:space="preserve"> - A</w:t>
      </w:r>
      <w:r w:rsidRPr="00BF2403">
        <w:rPr>
          <w:rFonts w:ascii="Times New Roman" w:hAnsi="Times New Roman"/>
          <w:sz w:val="20"/>
          <w:szCs w:val="20"/>
          <w:vertAlign w:val="subscript"/>
        </w:rPr>
        <w:t>1</w:t>
      </w:r>
      <w:r w:rsidRPr="00BF2403">
        <w:rPr>
          <w:rFonts w:ascii="Times New Roman" w:hAnsi="Times New Roman"/>
          <w:sz w:val="20"/>
          <w:szCs w:val="20"/>
        </w:rPr>
        <w:t>)/A</w:t>
      </w:r>
      <w:r w:rsidRPr="00BF2403">
        <w:rPr>
          <w:rFonts w:ascii="Times New Roman" w:hAnsi="Times New Roman"/>
          <w:sz w:val="20"/>
          <w:szCs w:val="20"/>
          <w:vertAlign w:val="subscript"/>
        </w:rPr>
        <w:t>0</w:t>
      </w:r>
      <w:r w:rsidRPr="00BF2403">
        <w:rPr>
          <w:rFonts w:ascii="Times New Roman" w:hAnsi="Times New Roman"/>
          <w:sz w:val="20"/>
          <w:szCs w:val="20"/>
        </w:rPr>
        <w:t xml:space="preserve"> x100 %</w:t>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r>
      <w:r w:rsidRPr="00BF2403">
        <w:rPr>
          <w:rFonts w:ascii="Times New Roman" w:hAnsi="Times New Roman"/>
          <w:sz w:val="20"/>
          <w:szCs w:val="20"/>
        </w:rPr>
        <w:tab/>
        <w:t xml:space="preserve">   </w:t>
      </w:r>
      <w:r>
        <w:rPr>
          <w:rFonts w:ascii="Times New Roman" w:hAnsi="Times New Roman"/>
          <w:sz w:val="20"/>
          <w:szCs w:val="20"/>
        </w:rPr>
        <w:t xml:space="preserve">      </w:t>
      </w:r>
      <w:r w:rsidRPr="00BF2403">
        <w:rPr>
          <w:rFonts w:ascii="Times New Roman" w:hAnsi="Times New Roman"/>
          <w:sz w:val="20"/>
          <w:szCs w:val="20"/>
        </w:rPr>
        <w:t>(1)</w:t>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both"/>
        <w:outlineLvl w:val="0"/>
        <w:rPr>
          <w:rFonts w:ascii="Times New Roman" w:hAnsi="Times New Roman"/>
          <w:b/>
          <w:sz w:val="20"/>
          <w:szCs w:val="20"/>
        </w:rPr>
      </w:pPr>
      <w:r w:rsidRPr="00BF2403">
        <w:rPr>
          <w:rFonts w:ascii="Times New Roman" w:hAnsi="Times New Roman"/>
          <w:sz w:val="20"/>
          <w:szCs w:val="20"/>
        </w:rPr>
        <w:t>where A</w:t>
      </w:r>
      <w:r w:rsidRPr="00BF2403">
        <w:rPr>
          <w:rFonts w:ascii="Times New Roman" w:hAnsi="Times New Roman"/>
          <w:sz w:val="20"/>
          <w:szCs w:val="20"/>
          <w:vertAlign w:val="subscript"/>
        </w:rPr>
        <w:t>0</w:t>
      </w:r>
      <w:r w:rsidRPr="00BF2403">
        <w:rPr>
          <w:rFonts w:ascii="Times New Roman" w:hAnsi="Times New Roman"/>
          <w:sz w:val="20"/>
          <w:szCs w:val="20"/>
        </w:rPr>
        <w:t xml:space="preserve"> is the absorbance of the DPHH without PILs and A</w:t>
      </w:r>
      <w:r w:rsidRPr="00BF2403">
        <w:rPr>
          <w:rFonts w:ascii="Times New Roman" w:hAnsi="Times New Roman"/>
          <w:sz w:val="20"/>
          <w:szCs w:val="20"/>
          <w:vertAlign w:val="subscript"/>
        </w:rPr>
        <w:t>1</w:t>
      </w:r>
      <w:r w:rsidRPr="00BF2403">
        <w:rPr>
          <w:rFonts w:ascii="Times New Roman" w:hAnsi="Times New Roman"/>
          <w:sz w:val="20"/>
          <w:szCs w:val="20"/>
        </w:rPr>
        <w:t xml:space="preserve"> is the absorbance of the sample (PILs and DPPH) at 517 nm.</w:t>
      </w:r>
    </w:p>
    <w:p w:rsidR="00AC0033" w:rsidRPr="00F447A7" w:rsidRDefault="00AC0033" w:rsidP="00BF240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F2403" w:rsidRPr="00BF2403" w:rsidRDefault="00BF2403" w:rsidP="00BF2403">
      <w:pPr>
        <w:pStyle w:val="Heading2"/>
        <w:spacing w:before="0" w:line="240" w:lineRule="auto"/>
        <w:jc w:val="both"/>
        <w:rPr>
          <w:rFonts w:ascii="Times New Roman" w:hAnsi="Times New Roman"/>
          <w:b/>
          <w:sz w:val="20"/>
          <w:szCs w:val="20"/>
        </w:rPr>
      </w:pPr>
      <w:r w:rsidRPr="00BF2403">
        <w:rPr>
          <w:rFonts w:ascii="Times New Roman" w:hAnsi="Times New Roman"/>
          <w:b/>
          <w:sz w:val="20"/>
          <w:szCs w:val="20"/>
          <w:vertAlign w:val="superscript"/>
        </w:rPr>
        <w:t>1</w:t>
      </w:r>
      <w:r w:rsidRPr="00BF2403">
        <w:rPr>
          <w:rFonts w:ascii="Times New Roman" w:hAnsi="Times New Roman"/>
          <w:b/>
          <w:sz w:val="20"/>
          <w:szCs w:val="20"/>
        </w:rPr>
        <w:t>HNMR</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 xml:space="preserve">The </w:t>
      </w:r>
      <w:r w:rsidRPr="00BF2403">
        <w:rPr>
          <w:rFonts w:ascii="Times New Roman" w:hAnsi="Times New Roman"/>
          <w:sz w:val="20"/>
          <w:szCs w:val="20"/>
          <w:vertAlign w:val="superscript"/>
        </w:rPr>
        <w:t>1</w:t>
      </w:r>
      <w:r w:rsidRPr="00BF2403">
        <w:rPr>
          <w:rFonts w:ascii="Times New Roman" w:hAnsi="Times New Roman"/>
          <w:sz w:val="20"/>
          <w:szCs w:val="20"/>
        </w:rPr>
        <w:t xml:space="preserve">HNMR was used to determine the structure and purity of the synthesised PILs. Figure 1 shows the </w:t>
      </w:r>
      <w:r w:rsidRPr="00BF2403">
        <w:rPr>
          <w:rFonts w:ascii="Times New Roman" w:hAnsi="Times New Roman"/>
          <w:sz w:val="20"/>
          <w:szCs w:val="20"/>
          <w:vertAlign w:val="superscript"/>
        </w:rPr>
        <w:t>1</w:t>
      </w:r>
      <w:r w:rsidRPr="00BF2403">
        <w:rPr>
          <w:rFonts w:ascii="Times New Roman" w:hAnsi="Times New Roman"/>
          <w:sz w:val="20"/>
          <w:szCs w:val="20"/>
        </w:rPr>
        <w:t>HNMR spectrum of 3DMAPS and 3DEAPS PILs, respectively.</w:t>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b/>
          <w:sz w:val="20"/>
          <w:szCs w:val="20"/>
        </w:rPr>
        <w:t>3-Dimetylamino propanol salicylate (3DMAPS)</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 xml:space="preserve">Pale yellow liquid (Yield: 94.5%) </w:t>
      </w:r>
      <w:r w:rsidRPr="00BF2403">
        <w:rPr>
          <w:rFonts w:ascii="Times New Roman" w:hAnsi="Times New Roman"/>
          <w:sz w:val="20"/>
          <w:szCs w:val="20"/>
          <w:vertAlign w:val="superscript"/>
        </w:rPr>
        <w:t>1</w:t>
      </w:r>
      <w:r w:rsidRPr="00BF2403">
        <w:rPr>
          <w:rFonts w:ascii="Times New Roman" w:hAnsi="Times New Roman"/>
          <w:sz w:val="20"/>
          <w:szCs w:val="20"/>
        </w:rPr>
        <w:t>H NMR (CDCl</w:t>
      </w:r>
      <w:r w:rsidRPr="00BF2403">
        <w:rPr>
          <w:rFonts w:ascii="Times New Roman" w:hAnsi="Times New Roman"/>
          <w:sz w:val="20"/>
          <w:szCs w:val="20"/>
          <w:vertAlign w:val="subscript"/>
        </w:rPr>
        <w:t>3</w:t>
      </w:r>
      <w:r w:rsidRPr="00BF2403">
        <w:rPr>
          <w:rFonts w:ascii="Times New Roman" w:hAnsi="Times New Roman"/>
          <w:sz w:val="20"/>
          <w:szCs w:val="20"/>
        </w:rPr>
        <w:t>) δ(ppm): 1.94 (m, 2H), 2.79 (s, 6H), 3.26 (t, 2H), 3.83 (t, 2H), 6.82 (t, 1H), 6.99 (d,1H), 7.37 (t, 1H), 7.85 (d, 1H).</w:t>
      </w:r>
    </w:p>
    <w:p w:rsidR="00BF2403" w:rsidRDefault="00BF2403" w:rsidP="00BF2403">
      <w:pPr>
        <w:spacing w:after="0" w:line="240" w:lineRule="auto"/>
        <w:jc w:val="both"/>
        <w:rPr>
          <w:rFonts w:ascii="Times New Roman" w:hAnsi="Times New Roman"/>
          <w:sz w:val="20"/>
          <w:szCs w:val="20"/>
        </w:rPr>
      </w:pPr>
    </w:p>
    <w:p w:rsid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both"/>
        <w:rPr>
          <w:rFonts w:ascii="Times New Roman" w:hAnsi="Times New Roman"/>
          <w:b/>
          <w:sz w:val="20"/>
          <w:szCs w:val="20"/>
        </w:rPr>
      </w:pPr>
      <w:r w:rsidRPr="00BF2403">
        <w:rPr>
          <w:rFonts w:ascii="Times New Roman" w:hAnsi="Times New Roman"/>
          <w:b/>
          <w:sz w:val="20"/>
          <w:szCs w:val="20"/>
        </w:rPr>
        <w:lastRenderedPageBreak/>
        <w:t xml:space="preserve">3-Diethylamino propanol salicylate (3DEAPS) </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 xml:space="preserve">Pale yellow liquid (Yield: 99.5%) </w:t>
      </w:r>
      <w:r w:rsidRPr="00BF2403">
        <w:rPr>
          <w:rFonts w:ascii="Times New Roman" w:hAnsi="Times New Roman"/>
          <w:sz w:val="20"/>
          <w:szCs w:val="20"/>
          <w:vertAlign w:val="superscript"/>
        </w:rPr>
        <w:t>1</w:t>
      </w:r>
      <w:r w:rsidRPr="00BF2403">
        <w:rPr>
          <w:rFonts w:ascii="Times New Roman" w:hAnsi="Times New Roman"/>
          <w:sz w:val="20"/>
          <w:szCs w:val="20"/>
        </w:rPr>
        <w:t>H NMR (CDCl</w:t>
      </w:r>
      <w:r w:rsidRPr="00BF2403">
        <w:rPr>
          <w:rFonts w:ascii="Times New Roman" w:hAnsi="Times New Roman"/>
          <w:sz w:val="20"/>
          <w:szCs w:val="20"/>
          <w:vertAlign w:val="subscript"/>
        </w:rPr>
        <w:t>3</w:t>
      </w:r>
      <w:r w:rsidRPr="00BF2403">
        <w:rPr>
          <w:rFonts w:ascii="Times New Roman" w:hAnsi="Times New Roman"/>
          <w:sz w:val="20"/>
          <w:szCs w:val="20"/>
        </w:rPr>
        <w:t>) δ(ppm): 1.25 (t, 6H), 1.73 (m, 2H), 3.09 (m, 6H), 3.71 (t, 2H), 6.82 (dd, 2H), 7.29 (d, 1H), 7.85 (d, 1H).</w:t>
      </w:r>
    </w:p>
    <w:p w:rsidR="00BF2403" w:rsidRPr="00BF2403" w:rsidRDefault="00BF2403" w:rsidP="00BF2403">
      <w:pPr>
        <w:spacing w:after="120" w:line="240" w:lineRule="auto"/>
        <w:jc w:val="both"/>
        <w:rPr>
          <w:rFonts w:ascii="Times New Roman" w:hAnsi="Times New Roman"/>
          <w:sz w:val="20"/>
          <w:szCs w:val="20"/>
        </w:rPr>
      </w:pPr>
    </w:p>
    <w:p w:rsidR="00BF2403" w:rsidRPr="00BF2403" w:rsidRDefault="00BF2403" w:rsidP="00BF2403">
      <w:pPr>
        <w:spacing w:after="0" w:line="240" w:lineRule="auto"/>
        <w:jc w:val="center"/>
        <w:rPr>
          <w:rFonts w:ascii="Times New Roman" w:hAnsi="Times New Roman"/>
          <w:sz w:val="20"/>
          <w:szCs w:val="20"/>
        </w:rPr>
      </w:pPr>
      <w:r w:rsidRPr="00BF2403">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2AFCBA7B" wp14:editId="3C8AC46B">
                <wp:simplePos x="0" y="0"/>
                <wp:positionH relativeFrom="column">
                  <wp:posOffset>552450</wp:posOffset>
                </wp:positionH>
                <wp:positionV relativeFrom="paragraph">
                  <wp:posOffset>24130</wp:posOffset>
                </wp:positionV>
                <wp:extent cx="1079500" cy="30226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107950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Pr>
                                <w:rFonts w:ascii="Times New Roman" w:hAnsi="Times New Roman"/>
                                <w:lang w:val="en-MY"/>
                              </w:rPr>
                              <w:t xml:space="preserve">(a)     </w:t>
                            </w:r>
                            <w:r w:rsidRPr="00AB5F70">
                              <w:rPr>
                                <w:rFonts w:ascii="Times New Roman" w:hAnsi="Times New Roman"/>
                                <w:lang w:val="en-MY"/>
                              </w:rPr>
                              <w:t>3DMAPS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43.5pt;margin-top:1.9pt;width:85pt;height:23.8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" filled="f" stroked="f" strokeweight=".5pt">
                <v:textbox>
                  <w:txbxContent>
                    <w:p w:rsidR="00BF2403" w:rsidRPr="00AB5F70" w:rsidRDefault="00BF2403" w:rsidP="00BF2403">
                      <w:pPr>
                        <w:rPr>
                          <w:rFonts w:ascii="Times New Roman" w:hAnsi="Times New Roman"/>
                          <w:lang w:val="en-MY"/>
                        </w:rPr>
                      </w:pPr>
                      <w:r>
                        <w:rPr>
                          <w:rFonts w:ascii="Times New Roman" w:hAnsi="Times New Roman"/>
                          <w:lang w:val="en-MY"/>
                        </w:rPr>
                        <w:t xml:space="preserve">(a)     </w:t>
                      </w:r>
                      <w:r w:rsidRPr="00AB5F70">
                        <w:rPr>
                          <w:rFonts w:ascii="Times New Roman" w:hAnsi="Times New Roman"/>
                          <w:lang w:val="en-MY"/>
                        </w:rPr>
                        <w:t>3DMAPS</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329E1E81" wp14:editId="77050856">
                <wp:simplePos x="0" y="0"/>
                <wp:positionH relativeFrom="column">
                  <wp:posOffset>1333500</wp:posOffset>
                </wp:positionH>
                <wp:positionV relativeFrom="paragraph">
                  <wp:posOffset>1696085</wp:posOffset>
                </wp:positionV>
                <wp:extent cx="407670" cy="2317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0767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105pt;margin-top:133.55pt;width:32.1pt;height:1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8,9</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171DC467" wp14:editId="6C047251">
                <wp:simplePos x="0" y="0"/>
                <wp:positionH relativeFrom="column">
                  <wp:posOffset>4899953</wp:posOffset>
                </wp:positionH>
                <wp:positionV relativeFrom="paragraph">
                  <wp:posOffset>1724563</wp:posOffset>
                </wp:positionV>
                <wp:extent cx="182880" cy="2317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385.8pt;margin-top:135.8pt;width:14.4pt;height:1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nXgAIAAGsFAAAOAAAAZHJzL2Uyb0RvYy54bWysVM1OGzEQvlfqO1i+l00CgR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3</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01A27189" wp14:editId="4FEA3BA8">
                <wp:simplePos x="0" y="0"/>
                <wp:positionH relativeFrom="column">
                  <wp:posOffset>4415790</wp:posOffset>
                </wp:positionH>
                <wp:positionV relativeFrom="paragraph">
                  <wp:posOffset>549910</wp:posOffset>
                </wp:positionV>
                <wp:extent cx="421640" cy="302260"/>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42164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left:0;text-align:left;margin-left:347.7pt;margin-top:43.3pt;width:33.2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5,6</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67FF8049" wp14:editId="4FE9572C">
                <wp:simplePos x="0" y="0"/>
                <wp:positionH relativeFrom="column">
                  <wp:posOffset>4053840</wp:posOffset>
                </wp:positionH>
                <wp:positionV relativeFrom="paragraph">
                  <wp:posOffset>1595755</wp:posOffset>
                </wp:positionV>
                <wp:extent cx="18288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319.2pt;margin-top:125.65pt;width:14.4pt;height: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2</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45C206FB" wp14:editId="3F929669">
                <wp:simplePos x="0" y="0"/>
                <wp:positionH relativeFrom="column">
                  <wp:posOffset>3605921</wp:posOffset>
                </wp:positionH>
                <wp:positionV relativeFrom="paragraph">
                  <wp:posOffset>1610995</wp:posOffset>
                </wp:positionV>
                <wp:extent cx="182880" cy="2317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2" type="#_x0000_t202" style="position:absolute;left:0;text-align:left;margin-left:283.95pt;margin-top:126.85pt;width:14.4pt;height:1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s7gAIAAGsFAAAOAAAAZHJzL2Uyb0RvYy54bWysVM1OGzEQvlfqO1i+l00CgR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1</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75A12211" wp14:editId="41A4E3E8">
                <wp:simplePos x="0" y="0"/>
                <wp:positionH relativeFrom="column">
                  <wp:posOffset>1040130</wp:posOffset>
                </wp:positionH>
                <wp:positionV relativeFrom="paragraph">
                  <wp:posOffset>1738630</wp:posOffset>
                </wp:positionV>
                <wp:extent cx="295275" cy="2317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9527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left:0;text-align:left;margin-left:81.9pt;margin-top:136.9pt;width:23.25pt;height:1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7</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6DC80D2D" wp14:editId="2EAE65A5">
                <wp:simplePos x="0" y="0"/>
                <wp:positionH relativeFrom="column">
                  <wp:posOffset>626110</wp:posOffset>
                </wp:positionH>
                <wp:positionV relativeFrom="paragraph">
                  <wp:posOffset>1696720</wp:posOffset>
                </wp:positionV>
                <wp:extent cx="358140" cy="2317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5814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4" type="#_x0000_t202" style="position:absolute;left:0;text-align:left;margin-left:49.3pt;margin-top:133.6pt;width:28.2pt;height:1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10</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737E2CCD" wp14:editId="4A89A7B6">
                <wp:simplePos x="0" y="0"/>
                <wp:positionH relativeFrom="column">
                  <wp:posOffset>554990</wp:posOffset>
                </wp:positionH>
                <wp:positionV relativeFrom="paragraph">
                  <wp:posOffset>106680</wp:posOffset>
                </wp:positionV>
                <wp:extent cx="2869565" cy="1301115"/>
                <wp:effectExtent l="0" t="0" r="0" b="0"/>
                <wp:wrapNone/>
                <wp:docPr id="46" name="Rectangle 46"/>
                <wp:cNvGraphicFramePr/>
                <a:graphic xmlns:a="http://schemas.openxmlformats.org/drawingml/2006/main">
                  <a:graphicData uri="http://schemas.microsoft.com/office/word/2010/wordprocessingShape">
                    <wps:wsp>
                      <wps:cNvSpPr/>
                      <wps:spPr>
                        <a:xfrm>
                          <a:off x="0" y="0"/>
                          <a:ext cx="2869565" cy="13011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2403" w:rsidRDefault="00BF2403" w:rsidP="00BF2403">
                            <w:r>
                              <w:rPr>
                                <w:noProof/>
                                <w:lang w:bidi="ar-SA"/>
                              </w:rPr>
                              <w:drawing>
                                <wp:inline distT="0" distB="0" distL="0" distR="0" wp14:anchorId="1CB7B9A5" wp14:editId="4F59AACF">
                                  <wp:extent cx="2677610" cy="10761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p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259" cy="1078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5" style="position:absolute;left:0;text-align:left;margin-left:43.7pt;margin-top:8.4pt;width:225.95pt;height:10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" filled="f" stroked="f" strokeweight="2pt">
                <v:textbox>
                  <w:txbxContent>
                    <w:p w:rsidR="00BF2403" w:rsidRDefault="00BF2403" w:rsidP="00BF2403">
                      <w:r>
                        <w:rPr>
                          <w:noProof/>
                        </w:rPr>
                        <w:drawing>
                          <wp:inline distT="0" distB="0" distL="0" distR="0" wp14:anchorId="1CB7B9A5" wp14:editId="4F59AACF">
                            <wp:extent cx="2677610" cy="10761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ps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259" cy="1078047"/>
                                    </a:xfrm>
                                    <a:prstGeom prst="rect">
                                      <a:avLst/>
                                    </a:prstGeom>
                                  </pic:spPr>
                                </pic:pic>
                              </a:graphicData>
                            </a:graphic>
                          </wp:inline>
                        </w:drawing>
                      </w:r>
                    </w:p>
                  </w:txbxContent>
                </v:textbox>
              </v:rect>
            </w:pict>
          </mc:Fallback>
        </mc:AlternateContent>
      </w:r>
      <w:r w:rsidRPr="00BF2403">
        <w:rPr>
          <w:rFonts w:ascii="Times New Roman" w:hAnsi="Times New Roman"/>
          <w:noProof/>
          <w:sz w:val="20"/>
          <w:szCs w:val="20"/>
          <w:lang w:bidi="ar-SA"/>
        </w:rPr>
        <w:drawing>
          <wp:inline distT="0" distB="0" distL="0" distR="0" wp14:anchorId="1DF3D8E5" wp14:editId="2ED4929F">
            <wp:extent cx="4849351" cy="2556000"/>
            <wp:effectExtent l="19050" t="19050" r="2794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sicfas.tiff"/>
                    <pic:cNvPicPr/>
                  </pic:nvPicPr>
                  <pic:blipFill rotWithShape="1">
                    <a:blip r:embed="rId13">
                      <a:extLst>
                        <a:ext uri="{28A0092B-C50C-407E-A947-70E740481C1C}">
                          <a14:useLocalDpi xmlns:a14="http://schemas.microsoft.com/office/drawing/2010/main" val="0"/>
                        </a:ext>
                      </a:extLst>
                    </a:blip>
                    <a:srcRect l="244" t="30070" r="9025"/>
                    <a:stretch/>
                  </pic:blipFill>
                  <pic:spPr bwMode="auto">
                    <a:xfrm>
                      <a:off x="0" y="0"/>
                      <a:ext cx="4849351" cy="2556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center"/>
        <w:rPr>
          <w:rFonts w:ascii="Times New Roman" w:hAnsi="Times New Roman"/>
          <w:sz w:val="20"/>
          <w:szCs w:val="20"/>
        </w:rPr>
      </w:pPr>
      <w:r w:rsidRPr="00BF2403">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2C09B7E7" wp14:editId="0BE0E01A">
                <wp:simplePos x="0" y="0"/>
                <wp:positionH relativeFrom="column">
                  <wp:posOffset>542925</wp:posOffset>
                </wp:positionH>
                <wp:positionV relativeFrom="paragraph">
                  <wp:posOffset>65405</wp:posOffset>
                </wp:positionV>
                <wp:extent cx="1409700" cy="3022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140970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Pr>
                                <w:rFonts w:ascii="Times New Roman" w:hAnsi="Times New Roman"/>
                                <w:lang w:val="en-MY"/>
                              </w:rPr>
                              <w:t xml:space="preserve">(b)     </w:t>
                            </w:r>
                            <w:r w:rsidRPr="00AB5F70">
                              <w:rPr>
                                <w:rFonts w:ascii="Times New Roman" w:hAnsi="Times New Roman"/>
                                <w:lang w:val="en-MY"/>
                              </w:rPr>
                              <w:t>3DEAPS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6" type="#_x0000_t202" style="position:absolute;left:0;text-align:left;margin-left:42.75pt;margin-top:5.15pt;width:111pt;height:23.8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" filled="f" stroked="f" strokeweight=".5pt">
                <v:textbox>
                  <w:txbxContent>
                    <w:p w:rsidR="00BF2403" w:rsidRPr="00AB5F70" w:rsidRDefault="00BF2403" w:rsidP="00BF2403">
                      <w:pPr>
                        <w:rPr>
                          <w:rFonts w:ascii="Times New Roman" w:hAnsi="Times New Roman"/>
                          <w:lang w:val="en-MY"/>
                        </w:rPr>
                      </w:pPr>
                      <w:r>
                        <w:rPr>
                          <w:rFonts w:ascii="Times New Roman" w:hAnsi="Times New Roman"/>
                          <w:lang w:val="en-MY"/>
                        </w:rPr>
                        <w:t xml:space="preserve">(b)     </w:t>
                      </w:r>
                      <w:r w:rsidRPr="00AB5F70">
                        <w:rPr>
                          <w:rFonts w:ascii="Times New Roman" w:hAnsi="Times New Roman"/>
                          <w:lang w:val="en-MY"/>
                        </w:rPr>
                        <w:t>3DEAPS</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4D020E5A" wp14:editId="62ED626B">
                <wp:simplePos x="0" y="0"/>
                <wp:positionH relativeFrom="column">
                  <wp:posOffset>4483735</wp:posOffset>
                </wp:positionH>
                <wp:positionV relativeFrom="paragraph">
                  <wp:posOffset>1508760</wp:posOffset>
                </wp:positionV>
                <wp:extent cx="252730" cy="2387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2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5</w:t>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7" type="#_x0000_t202" style="position:absolute;left:0;text-align:left;margin-left:353.05pt;margin-top:118.8pt;width:19.9pt;height:18.8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5</w:t>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47E586E6" wp14:editId="4B751233">
                <wp:simplePos x="0" y="0"/>
                <wp:positionH relativeFrom="column">
                  <wp:posOffset>4732020</wp:posOffset>
                </wp:positionH>
                <wp:positionV relativeFrom="paragraph">
                  <wp:posOffset>520700</wp:posOffset>
                </wp:positionV>
                <wp:extent cx="379730" cy="2387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79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8" type="#_x0000_t202" style="position:absolute;left:0;text-align:left;margin-left:372.6pt;margin-top:41pt;width:29.9pt;height:18.8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1,8</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654816E7" wp14:editId="19A376BC">
                <wp:simplePos x="0" y="0"/>
                <wp:positionH relativeFrom="column">
                  <wp:posOffset>3316605</wp:posOffset>
                </wp:positionH>
                <wp:positionV relativeFrom="paragraph">
                  <wp:posOffset>1318895</wp:posOffset>
                </wp:positionV>
                <wp:extent cx="252730" cy="23876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2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6</w:t>
                            </w:r>
                            <w:r w:rsidRPr="00AB5F70">
                              <w:rPr>
                                <w:rFonts w:ascii="Times New Roman" w:hAnsi="Times New Roman"/>
                                <w:noProof/>
                                <w:lang w:bidi="ar-SA"/>
                              </w:rPr>
                              <w:drawing>
                                <wp:inline distT="0" distB="0" distL="0" distR="0" wp14:anchorId="34C52C92" wp14:editId="0B4BBB14">
                                  <wp:extent cx="63500" cy="617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lang w:bidi="ar-SA"/>
                              </w:rPr>
                              <w:drawing>
                                <wp:inline distT="0" distB="0" distL="0" distR="0" wp14:anchorId="7354A02A" wp14:editId="10916A6A">
                                  <wp:extent cx="63500" cy="617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39" type="#_x0000_t202" style="position:absolute;left:0;text-align:left;margin-left:261.15pt;margin-top:103.85pt;width:19.9pt;height:18.8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6</w:t>
                      </w:r>
                      <w:r w:rsidRPr="00AB5F70">
                        <w:rPr>
                          <w:rFonts w:ascii="Times New Roman" w:hAnsi="Times New Roman"/>
                          <w:noProof/>
                        </w:rPr>
                        <w:drawing>
                          <wp:inline distT="0" distB="0" distL="0" distR="0" wp14:anchorId="34C52C92" wp14:editId="0B4BBB14">
                            <wp:extent cx="63500" cy="617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rPr>
                        <w:drawing>
                          <wp:inline distT="0" distB="0" distL="0" distR="0" wp14:anchorId="7354A02A" wp14:editId="10916A6A">
                            <wp:extent cx="63500" cy="617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2F0EC378" wp14:editId="646D9CC5">
                <wp:simplePos x="0" y="0"/>
                <wp:positionH relativeFrom="column">
                  <wp:posOffset>1193165</wp:posOffset>
                </wp:positionH>
                <wp:positionV relativeFrom="paragraph">
                  <wp:posOffset>1426210</wp:posOffset>
                </wp:positionV>
                <wp:extent cx="386715" cy="2387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8,9</w:t>
                            </w:r>
                            <w:r w:rsidRPr="00AB5F70">
                              <w:rPr>
                                <w:rFonts w:ascii="Times New Roman" w:hAnsi="Times New Roman"/>
                                <w:noProof/>
                                <w:lang w:bidi="ar-SA"/>
                              </w:rPr>
                              <w:drawing>
                                <wp:inline distT="0" distB="0" distL="0" distR="0" wp14:anchorId="1F548BF6" wp14:editId="098A0D13">
                                  <wp:extent cx="63500" cy="6174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lang w:bidi="ar-SA"/>
                              </w:rPr>
                              <w:drawing>
                                <wp:inline distT="0" distB="0" distL="0" distR="0" wp14:anchorId="102447EE" wp14:editId="5AE82783">
                                  <wp:extent cx="63500" cy="617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40" type="#_x0000_t202" style="position:absolute;left:0;text-align:left;margin-left:93.95pt;margin-top:112.3pt;width:30.45pt;height:18.8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3gwIAAGo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8,9</w:t>
                      </w:r>
                      <w:r w:rsidRPr="00AB5F70">
                        <w:rPr>
                          <w:rFonts w:ascii="Times New Roman" w:hAnsi="Times New Roman"/>
                          <w:noProof/>
                        </w:rPr>
                        <w:drawing>
                          <wp:inline distT="0" distB="0" distL="0" distR="0" wp14:anchorId="1F548BF6" wp14:editId="098A0D13">
                            <wp:extent cx="63500" cy="6174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rPr>
                        <w:drawing>
                          <wp:inline distT="0" distB="0" distL="0" distR="0" wp14:anchorId="102447EE" wp14:editId="5AE82783">
                            <wp:extent cx="63500" cy="617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5C242B06" wp14:editId="72936FE0">
                <wp:simplePos x="0" y="0"/>
                <wp:positionH relativeFrom="column">
                  <wp:posOffset>436880</wp:posOffset>
                </wp:positionH>
                <wp:positionV relativeFrom="paragraph">
                  <wp:posOffset>1457325</wp:posOffset>
                </wp:positionV>
                <wp:extent cx="386715" cy="2387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10</w:t>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 o:spid="_x0000_s1041" type="#_x0000_t202" style="position:absolute;left:0;text-align:left;margin-left:34.4pt;margin-top:114.75pt;width:30.45pt;height:18.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10</w:t>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1D37D764" wp14:editId="024EEA47">
                <wp:simplePos x="0" y="0"/>
                <wp:positionH relativeFrom="column">
                  <wp:posOffset>826135</wp:posOffset>
                </wp:positionH>
                <wp:positionV relativeFrom="paragraph">
                  <wp:posOffset>1501775</wp:posOffset>
                </wp:positionV>
                <wp:extent cx="386715" cy="2387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11</w:t>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42" type="#_x0000_t202" style="position:absolute;left:0;text-align:left;margin-left:65.05pt;margin-top:118.25pt;width:30.45pt;height:18.8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11</w:t>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287E5C31" wp14:editId="12A398B3">
                <wp:simplePos x="0" y="0"/>
                <wp:positionH relativeFrom="column">
                  <wp:posOffset>3627755</wp:posOffset>
                </wp:positionH>
                <wp:positionV relativeFrom="paragraph">
                  <wp:posOffset>1019175</wp:posOffset>
                </wp:positionV>
                <wp:extent cx="485140" cy="2387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851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AB5F70" w:rsidRDefault="00BF2403" w:rsidP="00BF2403">
                            <w:pPr>
                              <w:rPr>
                                <w:rFonts w:ascii="Times New Roman" w:hAnsi="Times New Roman"/>
                                <w:lang w:val="en-MY"/>
                              </w:rPr>
                            </w:pPr>
                            <w:r w:rsidRPr="00AB5F70">
                              <w:rPr>
                                <w:rFonts w:ascii="Times New Roman" w:hAnsi="Times New Roman"/>
                                <w:lang w:val="en-MY"/>
                              </w:rPr>
                              <w:t>2,4,7</w:t>
                            </w:r>
                            <w:r w:rsidRPr="00AB5F70">
                              <w:rPr>
                                <w:rFonts w:ascii="Times New Roman" w:hAnsi="Times New Roman"/>
                                <w:noProof/>
                                <w:lang w:bidi="ar-SA"/>
                              </w:rPr>
                              <w:drawing>
                                <wp:inline distT="0" distB="0" distL="0" distR="0" wp14:anchorId="4973C38E" wp14:editId="7921F533">
                                  <wp:extent cx="63500" cy="6174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lang w:bidi="ar-SA"/>
                              </w:rPr>
                              <w:drawing>
                                <wp:inline distT="0" distB="0" distL="0" distR="0" wp14:anchorId="26C8A4D5" wp14:editId="7A684A3B">
                                  <wp:extent cx="63500" cy="617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43" type="#_x0000_t202" style="position:absolute;left:0;text-align:left;margin-left:285.65pt;margin-top:80.25pt;width:38.2pt;height:18.8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" filled="f" stroked="f" strokeweight=".5pt">
                <v:textbox>
                  <w:txbxContent>
                    <w:p w:rsidR="00BF2403" w:rsidRPr="00AB5F70" w:rsidRDefault="00BF2403" w:rsidP="00BF2403">
                      <w:pPr>
                        <w:rPr>
                          <w:rFonts w:ascii="Times New Roman" w:hAnsi="Times New Roman"/>
                          <w:lang w:val="en-MY"/>
                        </w:rPr>
                      </w:pPr>
                      <w:r w:rsidRPr="00AB5F70">
                        <w:rPr>
                          <w:rFonts w:ascii="Times New Roman" w:hAnsi="Times New Roman"/>
                          <w:lang w:val="en-MY"/>
                        </w:rPr>
                        <w:t>2,4,7</w:t>
                      </w:r>
                      <w:r w:rsidRPr="00AB5F70">
                        <w:rPr>
                          <w:rFonts w:ascii="Times New Roman" w:hAnsi="Times New Roman"/>
                          <w:noProof/>
                        </w:rPr>
                        <w:drawing>
                          <wp:inline distT="0" distB="0" distL="0" distR="0" wp14:anchorId="4973C38E" wp14:editId="7921F533">
                            <wp:extent cx="63500" cy="6174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noProof/>
                        </w:rPr>
                        <w:drawing>
                          <wp:inline distT="0" distB="0" distL="0" distR="0" wp14:anchorId="26C8A4D5" wp14:editId="7A684A3B">
                            <wp:extent cx="63500" cy="617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rsidR="00BF2403" w:rsidRPr="00AB5F70" w:rsidRDefault="00BF2403" w:rsidP="00BF2403">
                      <w:pPr>
                        <w:rPr>
                          <w:rFonts w:ascii="Times New Roman" w:hAnsi="Times New Roman"/>
                          <w:lang w:val="en-MY"/>
                        </w:rPr>
                      </w:pP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2925CDCA" wp14:editId="2A549227">
                <wp:simplePos x="0" y="0"/>
                <wp:positionH relativeFrom="column">
                  <wp:posOffset>555575</wp:posOffset>
                </wp:positionH>
                <wp:positionV relativeFrom="paragraph">
                  <wp:posOffset>197484</wp:posOffset>
                </wp:positionV>
                <wp:extent cx="3073791" cy="1420837"/>
                <wp:effectExtent l="0" t="0" r="0" b="0"/>
                <wp:wrapNone/>
                <wp:docPr id="43" name="Rectangle 43"/>
                <wp:cNvGraphicFramePr/>
                <a:graphic xmlns:a="http://schemas.openxmlformats.org/drawingml/2006/main">
                  <a:graphicData uri="http://schemas.microsoft.com/office/word/2010/wordprocessingShape">
                    <wps:wsp>
                      <wps:cNvSpPr/>
                      <wps:spPr>
                        <a:xfrm>
                          <a:off x="0" y="0"/>
                          <a:ext cx="3073791" cy="14208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2403" w:rsidRDefault="00BF2403" w:rsidP="00BF2403">
                            <w:pPr>
                              <w:jc w:val="center"/>
                            </w:pPr>
                            <w:r>
                              <w:rPr>
                                <w:noProof/>
                                <w:lang w:bidi="ar-SA"/>
                              </w:rPr>
                              <w:drawing>
                                <wp:inline distT="0" distB="0" distL="0" distR="0" wp14:anchorId="7D6637B5" wp14:editId="55741124">
                                  <wp:extent cx="2903670" cy="1100460"/>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APSH.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742" cy="1103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4" style="position:absolute;left:0;text-align:left;margin-left:43.75pt;margin-top:15.55pt;width:242.05pt;height:11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" filled="f" stroked="f" strokeweight="2pt">
                <v:textbox>
                  <w:txbxContent>
                    <w:p w:rsidR="00BF2403" w:rsidRDefault="00BF2403" w:rsidP="00BF2403">
                      <w:pPr>
                        <w:jc w:val="center"/>
                      </w:pPr>
                      <w:r>
                        <w:rPr>
                          <w:noProof/>
                        </w:rPr>
                        <w:drawing>
                          <wp:inline distT="0" distB="0" distL="0" distR="0" wp14:anchorId="7D6637B5" wp14:editId="55741124">
                            <wp:extent cx="2903670" cy="1100460"/>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APSH.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0742" cy="1103140"/>
                                    </a:xfrm>
                                    <a:prstGeom prst="rect">
                                      <a:avLst/>
                                    </a:prstGeom>
                                  </pic:spPr>
                                </pic:pic>
                              </a:graphicData>
                            </a:graphic>
                          </wp:inline>
                        </w:drawing>
                      </w:r>
                    </w:p>
                  </w:txbxContent>
                </v:textbox>
              </v:rect>
            </w:pict>
          </mc:Fallback>
        </mc:AlternateContent>
      </w:r>
      <w:r w:rsidRPr="00BF2403">
        <w:rPr>
          <w:rFonts w:ascii="Times New Roman" w:hAnsi="Times New Roman"/>
          <w:noProof/>
          <w:sz w:val="20"/>
          <w:szCs w:val="20"/>
          <w:lang w:bidi="ar-SA"/>
        </w:rPr>
        <w:drawing>
          <wp:inline distT="0" distB="0" distL="0" distR="0" wp14:anchorId="0977BEDC" wp14:editId="51E1A57C">
            <wp:extent cx="4849200" cy="2426263"/>
            <wp:effectExtent l="19050" t="19050" r="889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psicfas.tiff"/>
                    <pic:cNvPicPr/>
                  </pic:nvPicPr>
                  <pic:blipFill rotWithShape="1">
                    <a:blip r:embed="rId20">
                      <a:extLst>
                        <a:ext uri="{28A0092B-C50C-407E-A947-70E740481C1C}">
                          <a14:useLocalDpi xmlns:a14="http://schemas.microsoft.com/office/drawing/2010/main" val="0"/>
                        </a:ext>
                      </a:extLst>
                    </a:blip>
                    <a:srcRect t="33610" r="6461"/>
                    <a:stretch/>
                  </pic:blipFill>
                  <pic:spPr bwMode="auto">
                    <a:xfrm>
                      <a:off x="0" y="0"/>
                      <a:ext cx="4849200" cy="24262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BF2403">
      <w:pPr>
        <w:spacing w:after="0" w:line="240" w:lineRule="auto"/>
        <w:jc w:val="center"/>
        <w:rPr>
          <w:rFonts w:ascii="Times New Roman" w:hAnsi="Times New Roman"/>
          <w:sz w:val="20"/>
          <w:szCs w:val="20"/>
        </w:rPr>
      </w:pPr>
      <w:r w:rsidRPr="00BF2403">
        <w:rPr>
          <w:rFonts w:ascii="Times New Roman" w:hAnsi="Times New Roman"/>
          <w:sz w:val="20"/>
          <w:szCs w:val="20"/>
        </w:rPr>
        <w:t>Figure</w:t>
      </w:r>
      <w:r>
        <w:rPr>
          <w:rFonts w:ascii="Times New Roman" w:hAnsi="Times New Roman"/>
          <w:sz w:val="20"/>
          <w:szCs w:val="20"/>
        </w:rPr>
        <w:t xml:space="preserve"> </w:t>
      </w:r>
      <w:r w:rsidRPr="00BF2403">
        <w:rPr>
          <w:rFonts w:ascii="Times New Roman" w:hAnsi="Times New Roman"/>
          <w:sz w:val="20"/>
          <w:szCs w:val="20"/>
        </w:rPr>
        <w:t xml:space="preserve">1. </w:t>
      </w:r>
      <w:r>
        <w:rPr>
          <w:rFonts w:ascii="Times New Roman" w:hAnsi="Times New Roman"/>
          <w:sz w:val="20"/>
          <w:szCs w:val="20"/>
        </w:rPr>
        <w:t xml:space="preserve"> </w:t>
      </w:r>
      <w:r w:rsidRPr="00BF2403">
        <w:rPr>
          <w:rFonts w:ascii="Times New Roman" w:hAnsi="Times New Roman"/>
          <w:sz w:val="20"/>
          <w:szCs w:val="20"/>
          <w:vertAlign w:val="superscript"/>
        </w:rPr>
        <w:t>1</w:t>
      </w:r>
      <w:r w:rsidRPr="00BF2403">
        <w:rPr>
          <w:rFonts w:ascii="Times New Roman" w:hAnsi="Times New Roman"/>
          <w:sz w:val="20"/>
          <w:szCs w:val="20"/>
        </w:rPr>
        <w:t>H NMR of synthesized PILs (a) 3DMAPS, (b) 3DEAPS</w:t>
      </w:r>
    </w:p>
    <w:p w:rsidR="00BF2403" w:rsidRPr="00BF2403" w:rsidRDefault="00BF2403" w:rsidP="00BF2403">
      <w:pPr>
        <w:spacing w:after="120" w:line="240" w:lineRule="auto"/>
        <w:jc w:val="both"/>
        <w:rPr>
          <w:rFonts w:ascii="Times New Roman" w:hAnsi="Times New Roman"/>
          <w:sz w:val="20"/>
          <w:szCs w:val="20"/>
        </w:rPr>
      </w:pPr>
    </w:p>
    <w:p w:rsidR="00BF2403" w:rsidRPr="00BF2403" w:rsidRDefault="00BF2403" w:rsidP="00BF2403">
      <w:pPr>
        <w:pStyle w:val="Heading2"/>
        <w:spacing w:before="0" w:line="240" w:lineRule="auto"/>
        <w:jc w:val="both"/>
        <w:rPr>
          <w:rFonts w:ascii="Times New Roman" w:hAnsi="Times New Roman"/>
          <w:b/>
          <w:smallCaps w:val="0"/>
          <w:sz w:val="20"/>
          <w:szCs w:val="20"/>
        </w:rPr>
      </w:pPr>
      <w:r w:rsidRPr="00BF2403">
        <w:rPr>
          <w:rFonts w:ascii="Times New Roman" w:hAnsi="Times New Roman"/>
          <w:b/>
          <w:smallCaps w:val="0"/>
          <w:sz w:val="20"/>
          <w:szCs w:val="20"/>
        </w:rPr>
        <w:t>FTIR spectroscopy</w:t>
      </w:r>
    </w:p>
    <w:p w:rsidR="00BF2403" w:rsidRPr="00BF2403" w:rsidRDefault="00BF2403" w:rsidP="00BF2403">
      <w:pPr>
        <w:pStyle w:val="Section"/>
        <w:numPr>
          <w:ilvl w:val="0"/>
          <w:numId w:val="0"/>
        </w:numPr>
        <w:spacing w:before="0"/>
        <w:jc w:val="both"/>
        <w:rPr>
          <w:rFonts w:ascii="Times New Roman" w:hAnsi="Times New Roman"/>
          <w:b w:val="0"/>
          <w:color w:val="auto"/>
          <w:sz w:val="20"/>
          <w:szCs w:val="20"/>
        </w:rPr>
      </w:pPr>
      <w:r w:rsidRPr="00BF2403">
        <w:rPr>
          <w:rFonts w:ascii="Times New Roman" w:hAnsi="Times New Roman"/>
          <w:b w:val="0"/>
          <w:color w:val="auto"/>
          <w:sz w:val="20"/>
          <w:szCs w:val="20"/>
        </w:rPr>
        <w:t>The synthesised PILs were further characterised using Fourier transform infrared spectroscopy (FTIR). From the FTIR spectra, the vibration peak of the amine and carbonyl functional group was studied to determine the formation of the PILs. Figure 2 (a and b) shows the FTIR spectra of synthesised PILs with neat alkanolamine and phenolic acid. It can be seen that neat phenolic acid (salicylic acid, SA) spectrum has a sharp peak at wavenumber of 1650.77 cm</w:t>
      </w:r>
      <w:r w:rsidRPr="00BF2403">
        <w:rPr>
          <w:rFonts w:ascii="Times New Roman" w:hAnsi="Times New Roman"/>
          <w:b w:val="0"/>
          <w:color w:val="auto"/>
          <w:sz w:val="20"/>
          <w:szCs w:val="20"/>
          <w:vertAlign w:val="superscript"/>
        </w:rPr>
        <w:t>-1</w:t>
      </w:r>
      <w:r w:rsidRPr="00BF2403">
        <w:rPr>
          <w:rFonts w:ascii="Times New Roman" w:hAnsi="Times New Roman"/>
          <w:b w:val="0"/>
          <w:color w:val="auto"/>
          <w:sz w:val="20"/>
          <w:szCs w:val="20"/>
        </w:rPr>
        <w:t xml:space="preserve">. This indicated the vibration frequency of the carbonyl group (C=O) of carboxylic acid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{"citationItems":[{"id":"ITEM-1","itemData":{"author":[{"dropping-particle":"","family":"M.J.M. Takac","given":"D.V.Topic","non-dropping-particle":"","parse-names":false,"suffix":""}],"container-title":"Acta Pharm","id":"ITEM-1","issued":{"date-parts":[["2004"]]},"page":"177-191","title":"FT-IR and NMR spectroscopic studies of salicylic acid derivatives . II . Comparison of 2-hydroxy- and 2 , 4- and","type":"article-journal","volume":"54"},"uris":["http://www.mendeley.com/documents/?uuid=038df133-e4aa-462f-8a25-33c6da48ee1a"]}],"mendeley":{"formattedCitation":"[16]","plainTextFormattedCitation":"[16]","previouslyFormattedCitation":"[16]"},"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[16]</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w:t>
      </w:r>
    </w:p>
    <w:p w:rsidR="00BF2403" w:rsidRPr="00BF2403" w:rsidRDefault="00BF2403" w:rsidP="00BF2403">
      <w:pPr>
        <w:pStyle w:val="Section"/>
        <w:numPr>
          <w:ilvl w:val="0"/>
          <w:numId w:val="0"/>
        </w:numPr>
        <w:spacing w:before="0"/>
        <w:jc w:val="both"/>
        <w:rPr>
          <w:rFonts w:ascii="Times New Roman" w:hAnsi="Times New Roman"/>
          <w:b w:val="0"/>
          <w:color w:val="auto"/>
          <w:sz w:val="20"/>
          <w:szCs w:val="20"/>
        </w:rPr>
      </w:pPr>
    </w:p>
    <w:p w:rsidR="00BF2403" w:rsidRDefault="00BF2403" w:rsidP="00BF2403">
      <w:pPr>
        <w:pStyle w:val="Section"/>
        <w:numPr>
          <w:ilvl w:val="0"/>
          <w:numId w:val="0"/>
        </w:numPr>
        <w:spacing w:before="0"/>
        <w:jc w:val="both"/>
        <w:rPr>
          <w:rFonts w:ascii="Times New Roman" w:hAnsi="Times New Roman"/>
          <w:b w:val="0"/>
          <w:color w:val="auto"/>
          <w:sz w:val="20"/>
          <w:szCs w:val="20"/>
        </w:rPr>
      </w:pPr>
      <w:r w:rsidRPr="00BF2403">
        <w:rPr>
          <w:rFonts w:ascii="Times New Roman" w:hAnsi="Times New Roman"/>
          <w:b w:val="0"/>
          <w:color w:val="auto"/>
          <w:sz w:val="20"/>
          <w:szCs w:val="20"/>
        </w:rPr>
        <w:t>Meanwhile, there was no –NH bending vibration detected in the neat 3DMAP and 3DEAP due to the absence of –NH bond in the tertiary alkanolamine (3DMAP and 3DEAP). However, in the 3DMAPS spectrum, a new weak peak was observed at 1625.70 cm</w:t>
      </w:r>
      <w:r w:rsidRPr="00BF2403">
        <w:rPr>
          <w:rFonts w:ascii="Times New Roman" w:hAnsi="Times New Roman"/>
          <w:b w:val="0"/>
          <w:color w:val="auto"/>
          <w:sz w:val="20"/>
          <w:szCs w:val="20"/>
          <w:vertAlign w:val="superscript"/>
        </w:rPr>
        <w:t>-1</w:t>
      </w:r>
      <w:r w:rsidRPr="00BF2403">
        <w:rPr>
          <w:rFonts w:ascii="Times New Roman" w:hAnsi="Times New Roman"/>
          <w:b w:val="0"/>
          <w:color w:val="auto"/>
          <w:sz w:val="20"/>
          <w:szCs w:val="20"/>
        </w:rPr>
        <w:t xml:space="preserve"> and at 1626.18 cm</w:t>
      </w:r>
      <w:r w:rsidRPr="00BF2403">
        <w:rPr>
          <w:rFonts w:ascii="Times New Roman" w:hAnsi="Times New Roman"/>
          <w:b w:val="0"/>
          <w:color w:val="auto"/>
          <w:sz w:val="20"/>
          <w:szCs w:val="20"/>
          <w:vertAlign w:val="superscript"/>
        </w:rPr>
        <w:t>-1</w:t>
      </w:r>
      <w:r w:rsidRPr="00BF2403">
        <w:rPr>
          <w:rFonts w:ascii="Times New Roman" w:hAnsi="Times New Roman"/>
          <w:b w:val="0"/>
          <w:color w:val="auto"/>
          <w:sz w:val="20"/>
          <w:szCs w:val="20"/>
        </w:rPr>
        <w:t xml:space="preserve"> in 3DEAPS, which denotes the vibration peaks of </w:t>
      </w:r>
      <w:r w:rsidRPr="00BF2403">
        <w:rPr>
          <w:rFonts w:ascii="Times New Roman" w:hAnsi="Times New Roman"/>
          <w:b w:val="0"/>
          <w:color w:val="auto"/>
          <w:sz w:val="20"/>
          <w:szCs w:val="20"/>
        </w:rPr>
        <w:lastRenderedPageBreak/>
        <w:t>protonated tertiary amine –NH</w:t>
      </w:r>
      <w:r w:rsidRPr="00BF2403">
        <w:rPr>
          <w:rFonts w:ascii="Times New Roman" w:hAnsi="Times New Roman"/>
          <w:b w:val="0"/>
          <w:color w:val="auto"/>
          <w:sz w:val="20"/>
          <w:szCs w:val="20"/>
          <w:vertAlign w:val="superscript"/>
        </w:rPr>
        <w:t>+</w:t>
      </w:r>
      <w:r w:rsidRPr="00BF2403">
        <w:rPr>
          <w:rFonts w:ascii="Times New Roman" w:hAnsi="Times New Roman"/>
          <w:b w:val="0"/>
          <w:color w:val="auto"/>
          <w:sz w:val="20"/>
          <w:szCs w:val="20"/>
        </w:rPr>
        <w:t xml:space="preserve">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{"citationItems":[{"id":"ITEM-1","itemData":{"DOI":"10.1002/jps.2600551115","ISSN":"15206017","abstract":"Abstract The purpose of this investigation was to study the applicability of near-infrared spectroscopy to pharmaceutical analysis. Of particular interest was a model series of aliphatic amine hydrochlorides, and as typical pharmaceutical examples, the sympathomimetic amine salts were studied. Both solid state and chloroform solution spectra were obtained and their qualitative and quantitative applications were evaluated.","author":[{"dropping-particle":"","family":"Sinsheimer","given":"Joseph E.","non-dropping-particle":"","parse-names":false,"suffix":""},{"dropping-particle":"","family":"Keuhnelian","given":"Anne M.","non-dropping-particle":"","parse-names":false,"suffix":""}],"container-title":"Journal of Pharmaceutical Sciences","id":"ITEM-1","issue":"11","issued":{"date-parts":[["1966"]]},"page":"1240-1244","title":"Near</w:instrText>
      </w:r>
      <w:r w:rsidRPr="00BF2403">
        <w:rPr>
          <w:rFonts w:ascii="Cambria Math" w:hAnsi="Cambria Math" w:cs="Cambria Math"/>
          <w:b w:val="0"/>
          <w:color w:val="auto"/>
          <w:sz w:val="20"/>
          <w:szCs w:val="20"/>
        </w:rPr>
        <w:instrText>‐</w:instrText>
      </w:r>
      <w:r w:rsidRPr="00BF2403">
        <w:rPr>
          <w:rFonts w:ascii="Times New Roman" w:hAnsi="Times New Roman"/>
          <w:b w:val="0"/>
          <w:color w:val="auto"/>
          <w:sz w:val="20"/>
          <w:szCs w:val="20"/>
        </w:rPr>
        <w:instrText>infrared spectroscopy of amine salts","type":"article-journal","volume":"55"},"uris":["http://www.mendeley.com/documents/?uuid=b5e9f135-2471-4760-b61d-124062b78497"]},{"id":"ITEM-2","itemData":{"author":[{"dropping-particle":"","family":"Cook","given":"Denys","non-dropping-particle":"","parse-names":false,"suffix":""}],"container-title":"Canadian Journal of Chemistry","id":"ITEM-2","issue":"10","issued":{"date-parts":[["1964"]]},"page":"2292-2299","publisher":"NRC Research Press","title":"Protonation Site in Organic Bases From Infrared X—H Deformation Modes","type":"article-journal","volume":"42"},"uris":["http://www.mendeley.com/documents/?uuid=f86f7cbf-a804-4c32-a30a-67854f93d10e"]}],"mendeley":{"formattedCitation":"[17,18]","plainTextFormattedCitation":"[17,18]","previouslyFormattedCitation":"[17,18]"},"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[17, 18]</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 On top of that, the carboxylate anion (–COO</w:t>
      </w:r>
      <w:r w:rsidRPr="00BF2403">
        <w:rPr>
          <w:rFonts w:ascii="Times New Roman" w:hAnsi="Times New Roman"/>
          <w:b w:val="0"/>
          <w:color w:val="auto"/>
          <w:sz w:val="20"/>
          <w:szCs w:val="20"/>
          <w:vertAlign w:val="superscript"/>
        </w:rPr>
        <w:t>-</w:t>
      </w:r>
      <w:r w:rsidRPr="00BF2403">
        <w:rPr>
          <w:rFonts w:ascii="Times New Roman" w:hAnsi="Times New Roman"/>
          <w:b w:val="0"/>
          <w:color w:val="auto"/>
          <w:sz w:val="20"/>
          <w:szCs w:val="20"/>
        </w:rPr>
        <w:t>) was detected at 1377.408 and 1379.818 cm</w:t>
      </w:r>
      <w:r w:rsidRPr="00BF2403">
        <w:rPr>
          <w:rFonts w:ascii="Times New Roman" w:hAnsi="Times New Roman"/>
          <w:b w:val="0"/>
          <w:color w:val="auto"/>
          <w:sz w:val="20"/>
          <w:szCs w:val="20"/>
          <w:vertAlign w:val="superscript"/>
        </w:rPr>
        <w:t>-1</w:t>
      </w:r>
      <w:r w:rsidRPr="00BF2403">
        <w:rPr>
          <w:rFonts w:ascii="Times New Roman" w:hAnsi="Times New Roman"/>
          <w:b w:val="0"/>
          <w:color w:val="auto"/>
          <w:sz w:val="20"/>
          <w:szCs w:val="20"/>
        </w:rPr>
        <w:t xml:space="preserve"> in the spectrum of the 3DMAPS and 3DEAPS, respectively. Thus, it could be deduced that the resonance effect of the carboxylate anion had caused the shift of the peak as the hydrogen atom from hydroxyl group of the SA was transferred to the nitrogen atom of the tertiary alkanolamine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{"citationItems":[{"id":"ITEM-1","itemData":{"author":[{"dropping-particle":"","family":"Pavia","given":"Donald L","non-dropping-particle":"","parse-names":false,"suffix":""},{"dropping-particle":"","family":"Lampman","given":"Gary M","non-dropping-particle":"","parse-names":false,"suffix":""},{"dropping-particle":"","family":"Kriz","given":"George S","non-dropping-particle":"","parse-names":false,"suffix":""}],"id":"ITEM-1","issued":{"date-parts":[["2010"]]},"number-of-pages":"80-81","publisher":"Cengage Learning","title":"Introduction to Spectroscopy","type":"book"},"uris":["http://www.mendeley.com/documents/?uuid=dd75bbcf-5a53-42b3-96b5-77a97f2bbb60"]}],"mendeley":{"formattedCitation":"[19]","plainTextFormattedCitation":"[19]","previouslyFormattedCitation":"[19]"},"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[19]</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 xml:space="preserve">. The findings are in agreement with the results reported by other researchers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{"citationItems":[{"id":"ITEM-1","itemData":{"DOI":"10.1016/S0168-3659(01)00389-3","ISSN":"01683659","abstract":"Four different grades of chitosan varying in molecular weight and degree of deacetylation were used to prepare chitosan films. Salicylic acid and theophylline were incorporated into cast chitosan films as model acidic and basic drugs, respectively. Crystalline characteristics, thermal behavior, drug-polymer interaction and drug release behaviors of the films were studied. The results of Fourier transform infrared and solid-state 13C NMR spectroscopy demonstrated the drug-polymer interaction between salicylic acid and chitosan, resulting in salicylate formation, whereas no drug-polymer interaction was observed in theophylline-loaded chitosan films. Most chitosan films loaded with either salicylic acid or theophylline exhibited a fast release pattern, whereas the high viscosity chitosan films incorporated with salicylic acid showed sustained release patterns in distilled water. The sustained release action of salicylic acid from the high viscosity chitosan films was due to the drug-polymer interaction. The mechanism of release was Fickian diffusion control with subsequent zero order release. It was suggested that the swelling property, dissolution characteristics of the polymer films, pKa of drugs and especially drug-polymer interaction were important factors governing drug release patterns from chitosan films. © 2001 Elsevier Science B.V.","author":[{"dropping-particle":"","family":"Puttipipatkhachorn","given":"S.","non-dropping-particle":"","parse-names":false,"suffix":""},{"dropping-particle":"","family":"Nunthanid","given":"J.","non-dropping-particle":"","parse-names":false,"suffix":""},{"dropping-particle":"","family":"Yamamoto","given":"K.","non-dropping-particle":"","parse-names":false,"suffix":""},{"dropping-particle":"","family":"Peck","given":"G. E.","non-dropping-particle":"","parse-names":false,"suffix":""}],"container-title":"Journal of Controlled Release","id":"ITEM-1","issue":"1-2","issued":{"date-parts":[["2001"]]},"page":"143-153","title":"Drug physical state and drug-polymer interaction on drug release from chitosan matrix films","type":"article-journal","volume":"75"},"uris":["http://www.mendeley.com/documents/?uuid=1b2b8093-17d9-4f8a-b014-ccbd53980f3c"]},{"id":"ITEM-2","itemData":{"DOI":"10.1346/ccmn.1989.0370406","ISSN":"0009-8604","author":[{"dropping-particle":"","family":"Kung","given":"King-Hsi","non-dropping-particle":"","parse-names":false,"suffix":""}],"container-title":"Clays and Clay Minerals","id":"ITEM-2","issue":"4","issued":{"date-parts":[["2006"]]},"page":"333-340","title":"Coordination Complexes of p-Hydroxybenzoate on Fe Oxides","type":"article-journal","volume":"37"},"uris":["http://www.mendeley.com/documents/?uuid=3cdcb82b-4920-4a3d-8a86-70df5ea5235b"]}],"mendeley":{"formattedCitation":"[20,21]","plainTextFormattedCitation":"[20,21]","previouslyFormattedCitation":"[20,21]"},"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[20,21]</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w:t>
      </w:r>
    </w:p>
    <w:p w:rsidR="00BF2403" w:rsidRPr="00BF2403" w:rsidRDefault="00BF2403" w:rsidP="00BF2403">
      <w:pPr>
        <w:pStyle w:val="Bodytext"/>
        <w:spacing w:after="120"/>
        <w:rPr>
          <w:rFonts w:ascii="Times New Roman" w:hAnsi="Times New Roman"/>
          <w:sz w:val="20"/>
          <w:szCs w:val="20"/>
          <w:lang w:val="en-GB"/>
        </w:rPr>
      </w:pPr>
    </w:p>
    <w:p w:rsidR="00BF2403" w:rsidRPr="00BF2403" w:rsidRDefault="00BF2403" w:rsidP="00BF2403">
      <w:pPr>
        <w:pStyle w:val="BodytextIndented"/>
        <w:spacing w:after="120"/>
        <w:ind w:left="8222" w:hanging="8222"/>
        <w:jc w:val="center"/>
        <w:rPr>
          <w:rFonts w:ascii="Times New Roman" w:hAnsi="Times New Roman"/>
          <w:color w:val="auto"/>
          <w:sz w:val="20"/>
          <w:szCs w:val="20"/>
          <w:lang w:val="en-GB"/>
        </w:rPr>
      </w:pPr>
      <w:r>
        <w:rPr>
          <w:noProof/>
        </w:rPr>
        <w:drawing>
          <wp:inline distT="0" distB="0" distL="0" distR="0" wp14:anchorId="17559E14" wp14:editId="4A9E2A46">
            <wp:extent cx="5646757" cy="2167842"/>
            <wp:effectExtent l="19050" t="19050" r="11430"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IR SKAM.png"/>
                    <pic:cNvPicPr/>
                  </pic:nvPicPr>
                  <pic:blipFill rotWithShape="1">
                    <a:blip r:embed="rId21" cstate="print">
                      <a:extLst>
                        <a:ext uri="{28A0092B-C50C-407E-A947-70E740481C1C}">
                          <a14:useLocalDpi xmlns:a14="http://schemas.microsoft.com/office/drawing/2010/main" val="0"/>
                        </a:ext>
                      </a:extLst>
                    </a:blip>
                    <a:srcRect b="23218"/>
                    <a:stretch/>
                  </pic:blipFill>
                  <pic:spPr bwMode="auto">
                    <a:xfrm>
                      <a:off x="0" y="0"/>
                      <a:ext cx="5709461" cy="219191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F2403" w:rsidRPr="00BF2403" w:rsidRDefault="00BF2403" w:rsidP="00BF2403">
      <w:pPr>
        <w:spacing w:after="0" w:line="240" w:lineRule="auto"/>
        <w:jc w:val="center"/>
        <w:rPr>
          <w:rFonts w:ascii="Times New Roman" w:hAnsi="Times New Roman"/>
          <w:sz w:val="20"/>
          <w:szCs w:val="20"/>
        </w:rPr>
      </w:pPr>
      <w:r w:rsidRPr="00BF2403">
        <w:rPr>
          <w:rFonts w:ascii="Times New Roman" w:hAnsi="Times New Roman"/>
          <w:sz w:val="20"/>
          <w:szCs w:val="20"/>
        </w:rPr>
        <w:t>Figure</w:t>
      </w:r>
      <w:r>
        <w:rPr>
          <w:rFonts w:ascii="Times New Roman" w:hAnsi="Times New Roman"/>
          <w:sz w:val="20"/>
          <w:szCs w:val="20"/>
        </w:rPr>
        <w:t xml:space="preserve"> </w:t>
      </w:r>
      <w:r w:rsidRPr="00BF2403">
        <w:rPr>
          <w:rFonts w:ascii="Times New Roman" w:hAnsi="Times New Roman"/>
          <w:sz w:val="20"/>
          <w:szCs w:val="20"/>
        </w:rPr>
        <w:t xml:space="preserve">2. </w:t>
      </w:r>
      <w:r>
        <w:rPr>
          <w:rFonts w:ascii="Times New Roman" w:hAnsi="Times New Roman"/>
          <w:sz w:val="20"/>
          <w:szCs w:val="20"/>
        </w:rPr>
        <w:t xml:space="preserve"> </w:t>
      </w:r>
      <w:r w:rsidRPr="00BF2403">
        <w:rPr>
          <w:rFonts w:ascii="Times New Roman" w:hAnsi="Times New Roman"/>
          <w:sz w:val="20"/>
          <w:szCs w:val="20"/>
        </w:rPr>
        <w:t>IR spectrum for 3DMAPS and 3DEAPS of synthesized PILs.</w:t>
      </w:r>
    </w:p>
    <w:p w:rsidR="00BF2403" w:rsidRDefault="00BF2403" w:rsidP="00BF2403">
      <w:pPr>
        <w:pStyle w:val="Heading2"/>
        <w:spacing w:before="0" w:after="120" w:line="240" w:lineRule="auto"/>
        <w:jc w:val="both"/>
        <w:rPr>
          <w:rFonts w:ascii="Times New Roman" w:hAnsi="Times New Roman"/>
          <w:smallCaps w:val="0"/>
          <w:sz w:val="20"/>
          <w:szCs w:val="20"/>
          <w:lang w:val="en-US"/>
        </w:rPr>
      </w:pPr>
    </w:p>
    <w:p w:rsidR="00BF2403" w:rsidRPr="00BF2403" w:rsidRDefault="00BF2403" w:rsidP="00BF2403">
      <w:pPr>
        <w:pStyle w:val="Heading2"/>
        <w:spacing w:before="0" w:line="240" w:lineRule="auto"/>
        <w:jc w:val="both"/>
        <w:rPr>
          <w:rFonts w:ascii="Times New Roman" w:hAnsi="Times New Roman"/>
          <w:b/>
          <w:smallCaps w:val="0"/>
          <w:sz w:val="20"/>
          <w:szCs w:val="20"/>
        </w:rPr>
      </w:pPr>
      <w:r w:rsidRPr="00BF2403">
        <w:rPr>
          <w:rFonts w:ascii="Times New Roman" w:hAnsi="Times New Roman"/>
          <w:b/>
          <w:smallCaps w:val="0"/>
          <w:sz w:val="20"/>
          <w:szCs w:val="20"/>
        </w:rPr>
        <w:t>Thermal stability</w:t>
      </w:r>
      <w:r w:rsidRPr="00BF2403">
        <w:rPr>
          <w:rFonts w:ascii="Times New Roman" w:hAnsi="Times New Roman"/>
          <w:b/>
          <w:smallCaps w:val="0"/>
          <w:sz w:val="20"/>
          <w:szCs w:val="20"/>
        </w:rPr>
        <w:tab/>
      </w:r>
    </w:p>
    <w:p w:rsidR="00BF2403" w:rsidRDefault="00BF2403" w:rsidP="00BF2403">
      <w:pPr>
        <w:pStyle w:val="Section"/>
        <w:numPr>
          <w:ilvl w:val="0"/>
          <w:numId w:val="0"/>
        </w:numPr>
        <w:spacing w:before="0"/>
        <w:jc w:val="both"/>
        <w:rPr>
          <w:rFonts w:ascii="Times New Roman" w:hAnsi="Times New Roman"/>
          <w:color w:val="auto"/>
          <w:sz w:val="20"/>
          <w:szCs w:val="20"/>
          <w:lang w:eastAsia="en-MY"/>
        </w:rPr>
      </w:pPr>
      <w:r w:rsidRPr="00BF2403">
        <w:rPr>
          <w:rFonts w:ascii="Times New Roman" w:hAnsi="Times New Roman"/>
          <w:b w:val="0"/>
          <w:color w:val="auto"/>
          <w:sz w:val="20"/>
          <w:szCs w:val="20"/>
        </w:rPr>
        <w:t xml:space="preserve">Thermal </w:t>
      </w:r>
      <w:r>
        <w:rPr>
          <w:rFonts w:ascii="Times New Roman" w:hAnsi="Times New Roman"/>
          <w:b w:val="0"/>
          <w:color w:val="auto"/>
          <w:sz w:val="20"/>
          <w:szCs w:val="20"/>
        </w:rPr>
        <w:t xml:space="preserve"> </w:t>
      </w:r>
      <w:r w:rsidRPr="00BF2403">
        <w:rPr>
          <w:rFonts w:ascii="Times New Roman" w:hAnsi="Times New Roman"/>
          <w:b w:val="0"/>
          <w:color w:val="auto"/>
          <w:sz w:val="20"/>
          <w:szCs w:val="20"/>
        </w:rPr>
        <w:t xml:space="preserve">decomposition </w:t>
      </w:r>
      <w:r>
        <w:rPr>
          <w:rFonts w:ascii="Times New Roman" w:hAnsi="Times New Roman"/>
          <w:b w:val="0"/>
          <w:color w:val="auto"/>
          <w:sz w:val="20"/>
          <w:szCs w:val="20"/>
        </w:rPr>
        <w:t xml:space="preserve"> </w:t>
      </w:r>
      <w:r w:rsidRPr="00BF2403">
        <w:rPr>
          <w:rFonts w:ascii="Times New Roman" w:hAnsi="Times New Roman"/>
          <w:b w:val="0"/>
          <w:color w:val="auto"/>
          <w:sz w:val="20"/>
          <w:szCs w:val="20"/>
        </w:rPr>
        <w:t>temperature</w:t>
      </w:r>
      <w:r>
        <w:rPr>
          <w:rFonts w:ascii="Times New Roman" w:hAnsi="Times New Roman"/>
          <w:b w:val="0"/>
          <w:color w:val="auto"/>
          <w:sz w:val="20"/>
          <w:szCs w:val="20"/>
        </w:rPr>
        <w:t xml:space="preserve"> </w:t>
      </w:r>
      <w:r w:rsidRPr="00BF2403">
        <w:rPr>
          <w:rFonts w:ascii="Times New Roman" w:hAnsi="Times New Roman"/>
          <w:b w:val="0"/>
          <w:color w:val="auto"/>
          <w:sz w:val="20"/>
          <w:szCs w:val="20"/>
        </w:rPr>
        <w:t xml:space="preserve"> of the synthesised PILs was recorded ranging from 50 °C until 350 °C. Figure 3 shows the thermograms of 3DMAPS and 3DEAPS PILs. As can been seen, the 3DMAPS has slightly higher thermal decomposition temperature (T</w:t>
      </w:r>
      <w:r w:rsidRPr="00BF2403">
        <w:rPr>
          <w:rFonts w:ascii="Times New Roman" w:hAnsi="Times New Roman"/>
          <w:b w:val="0"/>
          <w:color w:val="auto"/>
          <w:sz w:val="20"/>
          <w:szCs w:val="20"/>
          <w:vertAlign w:val="subscript"/>
        </w:rPr>
        <w:t>d</w:t>
      </w:r>
      <w:r w:rsidRPr="00BF2403">
        <w:rPr>
          <w:rFonts w:ascii="Times New Roman" w:hAnsi="Times New Roman"/>
          <w:b w:val="0"/>
          <w:color w:val="auto"/>
          <w:sz w:val="20"/>
          <w:szCs w:val="20"/>
        </w:rPr>
        <w:t xml:space="preserve">) than 3DEAPS (190.70 °C and 188.80 °C, respectively). It could be concluded that the alkyl chain length only gave a small effect towards the thermal stability of PILs. This was because as the alkyl chain length increases from methyl to ethyl, the intermolecular Van der Waals force interaction also increased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{"citationItems":[{"id":"ITEM-1","itemData":{"DOI":"10.1007/s10973-010-0992-5","ISBN":"1572-8943","ISSN":"13886150","abstract":"The thermal stability of the ionic liquids (ILs) 1-n-butyl-3-methylimidazolium bromide, [BMIM]Br, and 1-n-octyl-3-methylimidazolium bromide, [OMIM]Br, was evaluated through thermogravimetry (TG). Long-term isothermal TG studies revealed that both of these ILs exhibit appreciable decomposition even at temperatures significantly lower than the onset decomposition temperature, previously determined from fast scan TG experiments. The long-term TG studies of both the ILs showed linear mass loss as a function of time at each temperature of 10 °C interval in the range 533–573 K over a period of 10 h. The kinetics of isothermal decomposition of ILs was analyzed using pseudo-zero-order rate expression. The activation energies for the isothermal decomposition of [BMIM]Br and [OMIM]Br under nitrogen atmosphere are 219.86 and 212.50 kJ mol−1, respectively. The moisture absorption kinetics of these ILs at 25 °C and 30% relative humidity (RH) and at 85 °C and 85% RH were also studied. Water uptake of ILs exposed at 25 °C/30%RH follows a simple saturation behavior in agreement with Weibull model while that at 85 °C/85%RH fortuitously fit into the Henderson–Pabis model.","author":[{"dropping-particle":"","family":"Arellano","given":"Ian Harvey J","non-dropping-particle":"","parse-names":false,"suffix":""},{"dropping-particle":"","family":"Guarino","given":"Jeiel G.","non-dropping-particle":"","parse-names":false,"suffix":""},{"dropping-particle":"","family":"Paredes","given":"Fiona U.","non-dropping-particle":"","parse-names":false,"suffix":""},{"dropping-particle":"","family":"Arco","given":"Susan D.","non-dropping-particle":"","parse-names":false,"suffix":""}],"container-title":"Journal of Thermal Analysis and Calorimetry","id":"ITEM-1","issue":"2","issued":{"date-parts":[["2011"]]},"page":"725-730","title":"Thermal stability and moisture uptake of 1-alkyl-3-methylimidazolium bromide","type":"article-journal","volume":"103"},"uris":["http://www.mendeley.com/documents/?uuid=743a3a62-edb0-4184-b049-7698ee7cf5a7"]}],"mendeley":{"formattedCitation":"[22]","plainTextFormattedCitation":"[22]","previouslyFormattedCitation":"[22]"},"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[22]</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 xml:space="preserve">. Hence, this led to the reduction of strength in intramolecular bonding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{"citationItems":[{"id":"ITEM-1","itemData":{"DOI":"10.1080/10402004.2012.701000","ISSN":"10402004","abstract":" 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 ","author":[{"dropping-particle":"","family":"Song","given":"Yanxin","non-dropping-particle":"","parse-names":false,"suffix":""},{"dropping-particle":"","family":"Xia","given":"Yanqiu","non-dropping-particle":"","parse-names":false,"suffix":""},{"dropping-particle":"","family":"Liu","given":"Zhilu","non-dropping-particle":"","parse-names":false,"suffix":""}],"container-title":"Tribology Transactions","id":"ITEM-1","issue":"6","issued":{"date-parts":[["2012"]]},"page":"738-746","title":"Influence of cation structure on physicochemical and antiwear properties of hydroxyl-functionalized imidazolium bis(trifluoromethylsulfonyl)imide ionic liquids","type":"article-journal","volume":"55"},"uris":["http://www.mendeley.com/documents/?uuid=2cc538eb-ccbb-464a-ac5a-2a7b165a08d3"]}],"mendeley":{"formattedCitation":"[23]","plainTextFormattedCitation":"[23]","previouslyFormattedCitation":"[23]"},"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[23]</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 xml:space="preserve">. Moreover, increasing alkyl chain length can form a more stable carbocation that helps the 3DEAPS to be easily decomposed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{"citationItems":[{"id":"ITEM-1","itemData":{"DOI":"10.1016/j.electacta.2011.03.089","ISBN":"00134686","ISSN":"00134686","abstract":"This paper reports on the dependence of physical-chemical and electrical properties of ionic liquids formed by N-alkyl-N-alkylpiperidinum cations and bis(trifluoromethane-sulfonyl)imide anions with respect to the length of the cation aliphatic side chain. The thermal stability as well as the density and conductivity were seen to decrease with the alkyl chain length, independently on the cation ring. The ionic conduction, in agreement with the DSC results, is correlated with the viscosity that is found to increase with the main aliphatic chain length. The alkyl chain length influences the cathodic electrochemical stability whereas no relevant difference was detected in the anodic stability. The evolution of the melting point, density and viscosity, detected for the cation having the hexyl side chain, points towards some nanoscale separation, e.g., a segregation of the long aliphatic chains into nanoscale apolar domains that are embedded into three-dimensional charged matrices generated by the anions and the charged piperidinium heads. The existence of such structural heterogeneities, predicted also by other authors, was proposed on the basis of previous Wide Angle X-ray Scattering (WAXS) measurements. © 2011 Elsevier Ltd. All rights reserved.","author":[{"dropping-particle":"","family":"Montanino","given":"Maria","non-dropping-particle":"","parse-names":false,"suffix":""},{"dropping-particle":"","family":"Carewska","given":"Maria","non-dropping-particle":"","parse-names":false,"suffix":""},{"dropping-particle":"","family":"Alessandrini","given":"Fabrizio","non-dropping-particle":"","parse-names":false,"suffix":""},{"dropping-particle":"","family":"Passerini","given":"Stefano","non-dropping-particle":"","parse-names":false,"suffix":""},{"dropping-particle":"","family":"Appetecchi","given":"Giovanni B.","non-dropping-particle":"","parse-names":false,"suffix":""}],"container-title":"Electrochimica Acta","id":"ITEM-1","issue":"1","issued":{"date-parts":[["2011"]]},"page":"153-159","publisher":"Elsevier Ltd","title":"The role of the cation aliphatic side chain length in piperidinium bis(trifluoromethansulfonyl)imide ionic liquids","type":"article-journal","volume":"57"},"uris":["http://www.mendeley.com/documents/?uuid=de8aa13d-f2b9-4448-85ef-22e4ea6fe4b9"]}],"mendeley":{"formattedCitation":"[24]","plainTextFormattedCitation":"[24]","previouslyFormattedCitation":"[24]"},"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[24]</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 xml:space="preserve">. Similar findings have been observed in other studies </w:t>
      </w:r>
      <w:r w:rsidRPr="00BF2403">
        <w:rPr>
          <w:rFonts w:ascii="Times New Roman" w:hAnsi="Times New Roman"/>
          <w:b w:val="0"/>
          <w:color w:val="auto"/>
          <w:sz w:val="20"/>
          <w:szCs w:val="20"/>
        </w:rPr>
        <w:fldChar w:fldCharType="begin" w:fldLock="1"/>
      </w:r>
      <w:r w:rsidRPr="00BF2403">
        <w:rPr>
          <w:rFonts w:ascii="Times New Roman" w:hAnsi="Times New Roman"/>
          <w:b w:val="0"/>
          <w:color w:val="auto"/>
          <w:sz w:val="20"/>
          <w:szCs w:val="20"/>
        </w:rPr>
        <w:instrText>ADDIN CSL_CITATION {"citationItems":[{"id":"ITEM-1","itemData":{"DOI":"10.1080/10402004.2012.701000","ISSN":"10402004","abstract":" 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 ","author":[{"dropping-particle":"","family":"Song","given":"Yanxin","non-dropping-particle":"","parse-names":false,"suffix":""},{"dropping-particle":"","family":"Xia","given":"Yanqiu","non-dropping-particle":"","parse-names":false,"suffix":""},{"dropping-particle":"","family":"Liu","given":"Zhilu","non-dropping-particle":"","parse-names":false,"suffix":""}],"container-title":"Tribology Transactions","id":"ITEM-1","issue":"6","issued":{"date-parts":[["2012"]]},"page":"738-746","title":"Influence of cation structure on physicochemical and antiwear properties of hydroxyl-functionalized imidazolium bis(trifluoromethylsulfonyl)imide ionic liquids","type":"article-journal","volume":"55"},"uris":["http://www.mendeley.com/documents/?uuid=2cc538eb-ccbb-464a-ac5a-2a7b165a08d3"]}],"mendeley":{"formattedCitation":"[23]","plainTextFormattedCitation":"[23]","previouslyFormattedCitation":"[23]"},"properties":{"noteIndex":0},"schema":"https://github.com/citation-style-language/schema/raw/master/csl-citation.json"}</w:instrText>
      </w:r>
      <w:r w:rsidRPr="00BF2403">
        <w:rPr>
          <w:rFonts w:ascii="Times New Roman" w:hAnsi="Times New Roman"/>
          <w:b w:val="0"/>
          <w:color w:val="auto"/>
          <w:sz w:val="20"/>
          <w:szCs w:val="20"/>
        </w:rPr>
        <w:fldChar w:fldCharType="separate"/>
      </w:r>
      <w:r w:rsidRPr="00BF2403">
        <w:rPr>
          <w:rFonts w:ascii="Times New Roman" w:hAnsi="Times New Roman"/>
          <w:b w:val="0"/>
          <w:noProof/>
          <w:color w:val="auto"/>
          <w:sz w:val="20"/>
          <w:szCs w:val="20"/>
        </w:rPr>
        <w:t>[23]</w:t>
      </w:r>
      <w:r w:rsidRPr="00BF2403">
        <w:rPr>
          <w:rFonts w:ascii="Times New Roman" w:hAnsi="Times New Roman"/>
          <w:b w:val="0"/>
          <w:color w:val="auto"/>
          <w:sz w:val="20"/>
          <w:szCs w:val="20"/>
        </w:rPr>
        <w:fldChar w:fldCharType="end"/>
      </w:r>
      <w:r w:rsidRPr="00BF2403">
        <w:rPr>
          <w:rFonts w:ascii="Times New Roman" w:hAnsi="Times New Roman"/>
          <w:b w:val="0"/>
          <w:color w:val="auto"/>
          <w:sz w:val="20"/>
          <w:szCs w:val="20"/>
        </w:rPr>
        <w:t>.</w:t>
      </w:r>
      <w:r w:rsidRPr="00BF2403">
        <w:rPr>
          <w:rFonts w:ascii="Times New Roman" w:hAnsi="Times New Roman"/>
          <w:color w:val="auto"/>
          <w:sz w:val="20"/>
          <w:szCs w:val="20"/>
          <w:lang w:eastAsia="en-MY"/>
        </w:rPr>
        <w:t xml:space="preserve"> </w:t>
      </w:r>
    </w:p>
    <w:p w:rsidR="00BF2403" w:rsidRPr="00BF2403" w:rsidRDefault="00BF2403" w:rsidP="00BF2403">
      <w:pPr>
        <w:pStyle w:val="Bodytext"/>
        <w:rPr>
          <w:lang w:val="en-GB" w:eastAsia="en-MY"/>
        </w:rPr>
      </w:pPr>
    </w:p>
    <w:p w:rsidR="00BF2403" w:rsidRDefault="00BF2403" w:rsidP="00BF2403">
      <w:pPr>
        <w:pStyle w:val="Section"/>
        <w:numPr>
          <w:ilvl w:val="0"/>
          <w:numId w:val="0"/>
        </w:numPr>
        <w:spacing w:before="0"/>
        <w:jc w:val="center"/>
        <w:rPr>
          <w:rFonts w:ascii="Times New Roman" w:hAnsi="Times New Roman"/>
          <w:b w:val="0"/>
          <w:color w:val="auto"/>
          <w:sz w:val="20"/>
          <w:szCs w:val="20"/>
        </w:rPr>
      </w:pPr>
      <w:r w:rsidRPr="00BF2403">
        <w:rPr>
          <w:rFonts w:ascii="Times New Roman" w:hAnsi="Times New Roman"/>
          <w:noProof/>
          <w:color w:val="auto"/>
          <w:sz w:val="20"/>
          <w:szCs w:val="20"/>
          <w:lang w:val="en-US"/>
        </w:rPr>
        <w:drawing>
          <wp:inline distT="0" distB="0" distL="0" distR="0" wp14:anchorId="3A66492C" wp14:editId="0111E1D9">
            <wp:extent cx="3039458" cy="2286000"/>
            <wp:effectExtent l="19050" t="19050" r="27940" b="19050"/>
            <wp:docPr id="1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67F4740-8D08-4480-8FAD-1B4AE385E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67F4740-8D08-4480-8FAD-1B4AE385E668}"/>
                        </a:ext>
                      </a:extLst>
                    </pic:cNvPr>
                    <pic:cNvPicPr>
                      <a:picLocks noChangeAspect="1"/>
                    </pic:cNvPicPr>
                  </pic:nvPicPr>
                  <pic:blipFill rotWithShape="1">
                    <a:blip r:embed="rId22"/>
                    <a:srcRect l="9705" t="9476" r="11456" b="6001"/>
                    <a:stretch/>
                  </pic:blipFill>
                  <pic:spPr bwMode="auto">
                    <a:xfrm>
                      <a:off x="0" y="0"/>
                      <a:ext cx="3039458" cy="2286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F2403" w:rsidRPr="00BF2403" w:rsidRDefault="00BF2403" w:rsidP="00BF2403">
      <w:pPr>
        <w:pStyle w:val="Section"/>
        <w:numPr>
          <w:ilvl w:val="0"/>
          <w:numId w:val="0"/>
        </w:numPr>
        <w:spacing w:before="120"/>
        <w:jc w:val="center"/>
        <w:rPr>
          <w:rFonts w:ascii="Times New Roman" w:hAnsi="Times New Roman"/>
          <w:b w:val="0"/>
          <w:color w:val="auto"/>
          <w:sz w:val="20"/>
          <w:szCs w:val="20"/>
        </w:rPr>
      </w:pPr>
      <w:r w:rsidRPr="00BF2403">
        <w:rPr>
          <w:rFonts w:ascii="Times New Roman" w:hAnsi="Times New Roman"/>
          <w:b w:val="0"/>
          <w:color w:val="auto"/>
          <w:sz w:val="20"/>
          <w:szCs w:val="20"/>
        </w:rPr>
        <w:t>Figure3. Thermogravimetric trace PILs</w:t>
      </w:r>
    </w:p>
    <w:p w:rsidR="00BF2403" w:rsidRPr="00BF2403" w:rsidRDefault="00BF2403" w:rsidP="00BF2403">
      <w:pPr>
        <w:pStyle w:val="Bodytext"/>
        <w:rPr>
          <w:rFonts w:ascii="Times New Roman" w:hAnsi="Times New Roman"/>
          <w:color w:val="auto"/>
          <w:sz w:val="20"/>
          <w:szCs w:val="20"/>
          <w:lang w:val="en-GB"/>
        </w:rPr>
      </w:pPr>
    </w:p>
    <w:p w:rsidR="00BF2403" w:rsidRPr="00360294" w:rsidRDefault="00BF2403" w:rsidP="00BF2403">
      <w:pPr>
        <w:pStyle w:val="Heading2"/>
        <w:spacing w:before="0" w:line="240" w:lineRule="auto"/>
        <w:jc w:val="both"/>
        <w:rPr>
          <w:rFonts w:ascii="Times New Roman" w:hAnsi="Times New Roman"/>
          <w:b/>
          <w:smallCaps w:val="0"/>
          <w:sz w:val="20"/>
          <w:szCs w:val="20"/>
        </w:rPr>
      </w:pPr>
      <w:r w:rsidRPr="00360294">
        <w:rPr>
          <w:rFonts w:ascii="Times New Roman" w:hAnsi="Times New Roman"/>
          <w:b/>
          <w:smallCaps w:val="0"/>
          <w:sz w:val="20"/>
          <w:szCs w:val="20"/>
        </w:rPr>
        <w:lastRenderedPageBreak/>
        <w:t>Antioxidant activity</w:t>
      </w:r>
    </w:p>
    <w:p w:rsidR="00BF2403" w:rsidRPr="00BF2403" w:rsidRDefault="00BF2403" w:rsidP="00BF2403">
      <w:pPr>
        <w:spacing w:after="0" w:line="240" w:lineRule="auto"/>
        <w:jc w:val="both"/>
        <w:rPr>
          <w:rFonts w:ascii="Times New Roman" w:hAnsi="Times New Roman"/>
          <w:sz w:val="20"/>
          <w:szCs w:val="20"/>
        </w:rPr>
      </w:pPr>
      <w:r w:rsidRPr="00BF2403">
        <w:rPr>
          <w:rFonts w:ascii="Times New Roman" w:hAnsi="Times New Roman"/>
          <w:sz w:val="20"/>
          <w:szCs w:val="20"/>
        </w:rPr>
        <w:t>The results of antioxidant activity were expressed in terms of IC</w:t>
      </w:r>
      <w:r w:rsidRPr="00BF2403">
        <w:rPr>
          <w:rFonts w:ascii="Times New Roman" w:hAnsi="Times New Roman"/>
          <w:sz w:val="20"/>
          <w:szCs w:val="20"/>
          <w:vertAlign w:val="subscript"/>
        </w:rPr>
        <w:t>20</w:t>
      </w:r>
      <w:r w:rsidRPr="00BF2403">
        <w:rPr>
          <w:rFonts w:ascii="Times New Roman" w:hAnsi="Times New Roman"/>
          <w:sz w:val="20"/>
          <w:szCs w:val="20"/>
        </w:rPr>
        <w:t xml:space="preserve"> value, which represent the effective concentration required to scavenge 20% of DPPH free radical. Low IC</w:t>
      </w:r>
      <w:r w:rsidRPr="00BF2403">
        <w:rPr>
          <w:rFonts w:ascii="Times New Roman" w:hAnsi="Times New Roman"/>
          <w:sz w:val="20"/>
          <w:szCs w:val="20"/>
          <w:vertAlign w:val="subscript"/>
        </w:rPr>
        <w:t>20</w:t>
      </w:r>
      <w:r w:rsidRPr="00BF2403">
        <w:rPr>
          <w:rFonts w:ascii="Times New Roman" w:hAnsi="Times New Roman"/>
          <w:sz w:val="20"/>
          <w:szCs w:val="20"/>
        </w:rPr>
        <w:t xml:space="preserve"> value indicates more effective antioxidant activity. The IC</w:t>
      </w:r>
      <w:r w:rsidRPr="00BF2403">
        <w:rPr>
          <w:rFonts w:ascii="Times New Roman" w:hAnsi="Times New Roman"/>
          <w:sz w:val="20"/>
          <w:szCs w:val="20"/>
          <w:vertAlign w:val="subscript"/>
        </w:rPr>
        <w:t>20</w:t>
      </w:r>
      <w:r w:rsidRPr="00BF2403">
        <w:rPr>
          <w:rFonts w:ascii="Times New Roman" w:hAnsi="Times New Roman"/>
          <w:sz w:val="20"/>
          <w:szCs w:val="20"/>
        </w:rPr>
        <w:t xml:space="preserve"> was calculated from the difference concentration of PILs and SA ranging from 10 to 100 µM. Table 1 shows the summarised IC</w:t>
      </w:r>
      <w:r w:rsidRPr="00BF2403">
        <w:rPr>
          <w:rFonts w:ascii="Times New Roman" w:hAnsi="Times New Roman"/>
          <w:sz w:val="20"/>
          <w:szCs w:val="20"/>
          <w:vertAlign w:val="subscript"/>
        </w:rPr>
        <w:t>20</w:t>
      </w:r>
      <w:r w:rsidRPr="00BF2403">
        <w:rPr>
          <w:rFonts w:ascii="Times New Roman" w:hAnsi="Times New Roman"/>
          <w:sz w:val="20"/>
          <w:szCs w:val="20"/>
        </w:rPr>
        <w:t xml:space="preserve"> value of synthesised PILs and parent acid (SA). From the results obtained, it can be seen that the IC</w:t>
      </w:r>
      <w:r w:rsidRPr="00BF2403">
        <w:rPr>
          <w:rFonts w:ascii="Times New Roman" w:hAnsi="Times New Roman"/>
          <w:sz w:val="20"/>
          <w:szCs w:val="20"/>
          <w:vertAlign w:val="subscript"/>
        </w:rPr>
        <w:t>20</w:t>
      </w:r>
      <w:r w:rsidRPr="00BF2403">
        <w:rPr>
          <w:rFonts w:ascii="Times New Roman" w:hAnsi="Times New Roman"/>
          <w:sz w:val="20"/>
          <w:szCs w:val="20"/>
        </w:rPr>
        <w:t xml:space="preserve"> of parent acid (SA) was not detected at the selected range of concentration. This was due to low effectiveness of SA towards the DPPH free radical. However, both PILs (3DMAPS and 3DEAPS) were able to scavenge 20% of free radical at concentration of 66.76 ± 0.09 µM and 27.27 ± 0.10 µM, respectively, due to the huge number of active group (OH and NH group) present in the compound. The –OH and –NH transfer the hydrogen atom </w:t>
      </w:r>
      <w:r w:rsidRPr="00BF2403">
        <w:rPr>
          <w:rFonts w:ascii="Times New Roman" w:hAnsi="Times New Roman"/>
          <w:i/>
          <w:sz w:val="20"/>
          <w:szCs w:val="20"/>
        </w:rPr>
        <w:t>via</w:t>
      </w:r>
      <w:r w:rsidRPr="00BF2403">
        <w:rPr>
          <w:rFonts w:ascii="Times New Roman" w:hAnsi="Times New Roman"/>
          <w:sz w:val="20"/>
          <w:szCs w:val="20"/>
        </w:rPr>
        <w:t xml:space="preserve"> hydrogen abstraction to stabilise DPPH free radical </w:t>
      </w:r>
      <w:r w:rsidRPr="00BF2403">
        <w:rPr>
          <w:rFonts w:ascii="Times New Roman" w:hAnsi="Times New Roman"/>
          <w:sz w:val="20"/>
          <w:szCs w:val="20"/>
        </w:rPr>
        <w:fldChar w:fldCharType="begin" w:fldLock="1"/>
      </w:r>
      <w:r w:rsidRPr="00BF2403">
        <w:rPr>
          <w:rFonts w:ascii="Times New Roman" w:hAnsi="Times New Roman"/>
          <w:sz w:val="20"/>
          <w:szCs w:val="20"/>
        </w:rPr>
        <w:instrText>ADDIN CSL_CITATION {"citationItems":[{"id":"ITEM-1","itemData":{"DOI":"10.1021/jp501636r","ISSN":"15205215","author":[{"dropping-particle":"","family":"Oyeyemi","given":"Victor B.","non-dropping-particle":"","parse-names":false,"suffix":""},{"dropping-particle":"","family":"Keith","given":"John A.","non-dropping-particle":"","parse-names":false,"suffix":""},{"dropping-particle":"","family":"Carter","given":"Emily A.","non-dropping-particle":"","parse-names":false,"suffix":""}],"container-title":"Journal of Physical Chemistry A","id":"ITEM-1","issue":"17","issued":{"date-parts":[["2014"]]},"page":"3039-3050","title":"Trends in bond dissociation energies of alcohols and aldehydes computed with multireference averaged coupled-pair functional theory","type":"article-journal","volume":"118"},"uris":["http://www.mendeley.com/documents/?uuid=5092893c-597b-4f8b-9e31-f0a3867f53b9"]}],"mendeley":{"formattedCitation":"[25]","plainTextFormattedCitation":"[25]","previouslyFormattedCitation":"[25]"},"properties":{"noteIndex":0},"schema":"https://github.com/citation-style-language/schema/raw/master/csl-citation.json"}</w:instrText>
      </w:r>
      <w:r w:rsidRPr="00BF2403">
        <w:rPr>
          <w:rFonts w:ascii="Times New Roman" w:hAnsi="Times New Roman"/>
          <w:sz w:val="20"/>
          <w:szCs w:val="20"/>
        </w:rPr>
        <w:fldChar w:fldCharType="separate"/>
      </w:r>
      <w:r w:rsidRPr="00BF2403">
        <w:rPr>
          <w:rFonts w:ascii="Times New Roman" w:hAnsi="Times New Roman"/>
          <w:noProof/>
          <w:sz w:val="20"/>
          <w:szCs w:val="20"/>
        </w:rPr>
        <w:t>[25]</w:t>
      </w:r>
      <w:r w:rsidRPr="00BF2403">
        <w:rPr>
          <w:rFonts w:ascii="Times New Roman" w:hAnsi="Times New Roman"/>
          <w:sz w:val="20"/>
          <w:szCs w:val="20"/>
        </w:rPr>
        <w:fldChar w:fldCharType="end"/>
      </w:r>
      <w:r w:rsidRPr="00BF2403">
        <w:rPr>
          <w:rFonts w:ascii="Times New Roman" w:hAnsi="Times New Roman"/>
          <w:sz w:val="20"/>
          <w:szCs w:val="20"/>
        </w:rPr>
        <w:t>, hence increasing the antioxidant activity. Furthermore, by comparing these two PILs, 3DEAPS (27.27 ± 0.10 µM) was found to be a more effective antioxidant than 3DMAPS (66.76 ± 0.09 µM). This was because [3DEAP]</w:t>
      </w:r>
      <w:r w:rsidRPr="00BF2403">
        <w:rPr>
          <w:rFonts w:ascii="Times New Roman" w:hAnsi="Times New Roman"/>
          <w:sz w:val="20"/>
          <w:szCs w:val="20"/>
          <w:vertAlign w:val="superscript"/>
        </w:rPr>
        <w:t>+</w:t>
      </w:r>
      <w:r w:rsidRPr="00BF2403">
        <w:rPr>
          <w:rFonts w:ascii="Times New Roman" w:hAnsi="Times New Roman"/>
          <w:sz w:val="20"/>
          <w:szCs w:val="20"/>
        </w:rPr>
        <w:t xml:space="preserve"> exhibited a more bulky structure than [3DMAP]</w:t>
      </w:r>
      <w:r w:rsidRPr="00BF2403">
        <w:rPr>
          <w:rFonts w:ascii="Times New Roman" w:hAnsi="Times New Roman"/>
          <w:sz w:val="20"/>
          <w:szCs w:val="20"/>
          <w:vertAlign w:val="superscript"/>
        </w:rPr>
        <w:t>+</w:t>
      </w:r>
      <w:r w:rsidRPr="00BF2403">
        <w:rPr>
          <w:rFonts w:ascii="Times New Roman" w:hAnsi="Times New Roman"/>
          <w:sz w:val="20"/>
          <w:szCs w:val="20"/>
        </w:rPr>
        <w:t xml:space="preserve"> (Figure 4), which could reduce the hinder of the radical scavenging by increasing the tendency of hydrogen abstraction at –NH group of the cation structure </w:t>
      </w:r>
      <w:r w:rsidRPr="00BF2403">
        <w:rPr>
          <w:rFonts w:ascii="Times New Roman" w:hAnsi="Times New Roman"/>
          <w:sz w:val="20"/>
          <w:szCs w:val="20"/>
        </w:rPr>
        <w:fldChar w:fldCharType="begin" w:fldLock="1"/>
      </w:r>
      <w:r w:rsidRPr="00BF2403">
        <w:rPr>
          <w:rFonts w:ascii="Times New Roman" w:hAnsi="Times New Roman"/>
          <w:sz w:val="20"/>
          <w:szCs w:val="20"/>
        </w:rPr>
        <w:instrText>ADDIN CSL_CITATION {"citationItems":[{"id":"ITEM-1","itemData":{"DOI":"10.1021/jf000537w","ISBN":"0021-8561","ISSN":"00218561","PMID":"11368623","abstract":"Hydroxytyrosol acetate was synthesized, and the antioxidant activity of this olive oil component was assessed in comparison with that of other olive oil components, namely hydroxytyrosol, oleuropein, 3,4-DHPEA-EA, and alpha-tocopherol in bulk oil and oil-in-water emulsions. The activity of the compounds was also assessed by scavenging of 1,1-diphenyl-2-picrylhydrazyl (DPPH) radicals. Hydroxytyrosol acetate had a weaker DPPH radical scavenging activity than hydroxytyrosol, oleuropein, or 3,4-DHPEA-EA but it had a radical scavenging activity similar to that of alpha-tocopherol. In oil, the antioxidant activity of hydroxytyrosol acetate was much higher than that of alpha-tocopherol or oleuropein, but in an emulsion 3,4-DHPEA-EA and alpha-tocopherol were more effective as antioxidants than hydroxytyrosol acetate. The antioxidant activity of hydroxytyrosol acetate was rather similar to that of hydroxytyrosol in oil and emulsions despite the difference in DPPH radical scavenging activity.","author":[{"dropping-particle":"","family":"Gordon","given":"Michael H.","non-dropping-particle":"","parse-names":false,"suffix":""},{"dropping-particle":"","family":"Paiva-Martins","given":"Fátima","non-dropping-particle":"","parse-names":false,"suffix":""},{"dropping-particle":"","family":"Almeida","given":"Miguel","non-dropping-particle":"","parse-names":false,"suffix":""}],"container-title":"Journal of Agricultural and Food Chemistry","id":"ITEM-1","issue":"5","issued":{"date-parts":[["2001"]]},"page":"2480-2485","title":"Antioxidant activity of hydroxytyrosol acetate compared with that of other olive oil polyphenols","type":"article-journal","volume":"49"},"uris":["http://www.mendeley.com/documents/?uuid=0bf6a23e-ee69-4a52-aba4-2dcd2f219d2c"]}],"mendeley":{"formattedCitation":"[26]","plainTextFormattedCitation":"[26]","previouslyFormattedCitation":"[26]"},"properties":{"noteIndex":0},"schema":"https://github.com/citation-style-language/schema/raw/master/csl-citation.json"}</w:instrText>
      </w:r>
      <w:r w:rsidRPr="00BF2403">
        <w:rPr>
          <w:rFonts w:ascii="Times New Roman" w:hAnsi="Times New Roman"/>
          <w:sz w:val="20"/>
          <w:szCs w:val="20"/>
        </w:rPr>
        <w:fldChar w:fldCharType="separate"/>
      </w:r>
      <w:r w:rsidRPr="00BF2403">
        <w:rPr>
          <w:rFonts w:ascii="Times New Roman" w:hAnsi="Times New Roman"/>
          <w:noProof/>
          <w:sz w:val="20"/>
          <w:szCs w:val="20"/>
        </w:rPr>
        <w:t>[26]</w:t>
      </w:r>
      <w:r w:rsidRPr="00BF2403">
        <w:rPr>
          <w:rFonts w:ascii="Times New Roman" w:hAnsi="Times New Roman"/>
          <w:sz w:val="20"/>
          <w:szCs w:val="20"/>
        </w:rPr>
        <w:fldChar w:fldCharType="end"/>
      </w:r>
      <w:r w:rsidRPr="00BF2403">
        <w:rPr>
          <w:rFonts w:ascii="Times New Roman" w:hAnsi="Times New Roman"/>
          <w:sz w:val="20"/>
          <w:szCs w:val="20"/>
        </w:rPr>
        <w:t>.</w:t>
      </w:r>
    </w:p>
    <w:p w:rsidR="00BF2403" w:rsidRPr="00BF2403" w:rsidRDefault="00BF2403" w:rsidP="00525AFE">
      <w:pPr>
        <w:spacing w:after="120" w:line="240" w:lineRule="auto"/>
        <w:jc w:val="both"/>
        <w:rPr>
          <w:rFonts w:ascii="Times New Roman" w:hAnsi="Times New Roman"/>
          <w:sz w:val="20"/>
          <w:szCs w:val="20"/>
        </w:rPr>
      </w:pPr>
    </w:p>
    <w:p w:rsidR="00BF2403" w:rsidRPr="00BF2403" w:rsidRDefault="00BF2403" w:rsidP="00525AFE">
      <w:pPr>
        <w:spacing w:after="120" w:line="240" w:lineRule="auto"/>
        <w:jc w:val="center"/>
        <w:rPr>
          <w:rFonts w:ascii="Times New Roman" w:hAnsi="Times New Roman"/>
          <w:sz w:val="20"/>
          <w:szCs w:val="20"/>
        </w:rPr>
      </w:pPr>
      <w:r w:rsidRPr="00BF2403">
        <w:rPr>
          <w:rFonts w:ascii="Times New Roman" w:hAnsi="Times New Roman"/>
          <w:sz w:val="20"/>
          <w:szCs w:val="20"/>
        </w:rPr>
        <w:t xml:space="preserve">Table 1. </w:t>
      </w:r>
      <w:r w:rsidR="00525AFE">
        <w:rPr>
          <w:rFonts w:ascii="Times New Roman" w:hAnsi="Times New Roman"/>
          <w:sz w:val="20"/>
          <w:szCs w:val="20"/>
        </w:rPr>
        <w:t xml:space="preserve"> </w:t>
      </w:r>
      <w:r w:rsidRPr="00BF2403">
        <w:rPr>
          <w:rFonts w:ascii="Times New Roman" w:hAnsi="Times New Roman"/>
          <w:sz w:val="20"/>
          <w:szCs w:val="20"/>
        </w:rPr>
        <w:t>IC</w:t>
      </w:r>
      <w:r w:rsidRPr="00BF2403">
        <w:rPr>
          <w:rFonts w:ascii="Times New Roman" w:hAnsi="Times New Roman"/>
          <w:sz w:val="20"/>
          <w:szCs w:val="20"/>
          <w:vertAlign w:val="subscript"/>
        </w:rPr>
        <w:t xml:space="preserve">20 </w:t>
      </w:r>
      <w:r w:rsidRPr="00BF2403">
        <w:rPr>
          <w:rFonts w:ascii="Times New Roman" w:hAnsi="Times New Roman"/>
          <w:sz w:val="20"/>
          <w:szCs w:val="20"/>
        </w:rPr>
        <w:t>value of PILs</w:t>
      </w:r>
    </w:p>
    <w:tbl>
      <w:tblPr>
        <w:tblStyle w:val="TableGrid"/>
        <w:tblW w:w="0" w:type="auto"/>
        <w:jc w:val="center"/>
        <w:tblLook w:val="04A0" w:firstRow="1" w:lastRow="0" w:firstColumn="1" w:lastColumn="0" w:noHBand="0" w:noVBand="1"/>
      </w:tblPr>
      <w:tblGrid>
        <w:gridCol w:w="1794"/>
        <w:gridCol w:w="1226"/>
      </w:tblGrid>
      <w:tr w:rsidR="00BF2403" w:rsidRPr="00BF2403" w:rsidTr="00525AFE">
        <w:trPr>
          <w:trHeight w:val="109"/>
          <w:jc w:val="center"/>
        </w:trPr>
        <w:tc>
          <w:tcPr>
            <w:tcW w:w="0" w:type="auto"/>
            <w:tcBorders>
              <w:top w:val="single" w:sz="4" w:space="0" w:color="auto"/>
              <w:left w:val="nil"/>
              <w:bottom w:val="single" w:sz="4" w:space="0" w:color="auto"/>
              <w:right w:val="nil"/>
            </w:tcBorders>
          </w:tcPr>
          <w:p w:rsidR="00BF2403" w:rsidRPr="00BF2403" w:rsidRDefault="00BF2403" w:rsidP="00525AFE">
            <w:pPr>
              <w:spacing w:before="60" w:after="60" w:line="240" w:lineRule="auto"/>
              <w:jc w:val="both"/>
              <w:rPr>
                <w:b/>
                <w:sz w:val="20"/>
                <w:szCs w:val="20"/>
              </w:rPr>
            </w:pPr>
            <w:r w:rsidRPr="00BF2403">
              <w:rPr>
                <w:b/>
                <w:sz w:val="20"/>
                <w:szCs w:val="20"/>
              </w:rPr>
              <w:t>Sample</w:t>
            </w:r>
          </w:p>
        </w:tc>
        <w:tc>
          <w:tcPr>
            <w:tcW w:w="0" w:type="auto"/>
            <w:tcBorders>
              <w:top w:val="single" w:sz="4" w:space="0" w:color="auto"/>
              <w:left w:val="nil"/>
              <w:bottom w:val="single" w:sz="4" w:space="0" w:color="auto"/>
              <w:right w:val="nil"/>
            </w:tcBorders>
          </w:tcPr>
          <w:p w:rsidR="00BF2403" w:rsidRPr="00BF2403" w:rsidRDefault="00BF2403" w:rsidP="00525AFE">
            <w:pPr>
              <w:spacing w:before="60" w:after="60" w:line="240" w:lineRule="auto"/>
              <w:jc w:val="both"/>
              <w:rPr>
                <w:b/>
                <w:sz w:val="20"/>
                <w:szCs w:val="20"/>
              </w:rPr>
            </w:pPr>
            <w:r w:rsidRPr="00BF2403">
              <w:rPr>
                <w:b/>
                <w:sz w:val="20"/>
                <w:szCs w:val="20"/>
              </w:rPr>
              <w:t>IC</w:t>
            </w:r>
            <w:r w:rsidRPr="00BF2403">
              <w:rPr>
                <w:b/>
                <w:sz w:val="20"/>
                <w:szCs w:val="20"/>
                <w:vertAlign w:val="subscript"/>
              </w:rPr>
              <w:t>20</w:t>
            </w:r>
            <w:r w:rsidRPr="00BF2403">
              <w:rPr>
                <w:b/>
                <w:sz w:val="20"/>
                <w:szCs w:val="20"/>
              </w:rPr>
              <w:t xml:space="preserve"> (µM)</w:t>
            </w:r>
          </w:p>
        </w:tc>
      </w:tr>
      <w:tr w:rsidR="00BF2403" w:rsidRPr="00BF2403" w:rsidTr="00525AFE">
        <w:trPr>
          <w:trHeight w:val="36"/>
          <w:jc w:val="center"/>
        </w:trPr>
        <w:tc>
          <w:tcPr>
            <w:tcW w:w="0" w:type="auto"/>
            <w:tcBorders>
              <w:top w:val="single" w:sz="4" w:space="0" w:color="auto"/>
              <w:left w:val="nil"/>
              <w:bottom w:val="nil"/>
              <w:right w:val="nil"/>
            </w:tcBorders>
          </w:tcPr>
          <w:p w:rsidR="00BF2403" w:rsidRPr="00BF2403" w:rsidRDefault="00BF2403" w:rsidP="00525AFE">
            <w:pPr>
              <w:spacing w:before="60" w:after="0" w:line="240" w:lineRule="auto"/>
              <w:jc w:val="both"/>
              <w:rPr>
                <w:sz w:val="20"/>
                <w:szCs w:val="20"/>
              </w:rPr>
            </w:pPr>
            <w:r w:rsidRPr="00BF2403">
              <w:rPr>
                <w:sz w:val="20"/>
                <w:szCs w:val="20"/>
              </w:rPr>
              <w:t>Salicylic Acid (SA)</w:t>
            </w:r>
          </w:p>
        </w:tc>
        <w:tc>
          <w:tcPr>
            <w:tcW w:w="0" w:type="auto"/>
            <w:tcBorders>
              <w:top w:val="single" w:sz="4" w:space="0" w:color="auto"/>
              <w:left w:val="nil"/>
              <w:bottom w:val="nil"/>
              <w:right w:val="nil"/>
            </w:tcBorders>
          </w:tcPr>
          <w:p w:rsidR="00BF2403" w:rsidRPr="00BF2403" w:rsidRDefault="00BF2403" w:rsidP="00525AFE">
            <w:pPr>
              <w:spacing w:before="60" w:after="0" w:line="240" w:lineRule="auto"/>
              <w:jc w:val="both"/>
              <w:rPr>
                <w:sz w:val="20"/>
                <w:szCs w:val="20"/>
              </w:rPr>
            </w:pPr>
            <w:r w:rsidRPr="00BF2403">
              <w:rPr>
                <w:sz w:val="20"/>
                <w:szCs w:val="20"/>
              </w:rPr>
              <w:t>ND</w:t>
            </w:r>
          </w:p>
        </w:tc>
      </w:tr>
      <w:tr w:rsidR="00BF2403" w:rsidRPr="00BF2403" w:rsidTr="00525AFE">
        <w:trPr>
          <w:trHeight w:val="194"/>
          <w:jc w:val="center"/>
        </w:trPr>
        <w:tc>
          <w:tcPr>
            <w:tcW w:w="0" w:type="auto"/>
            <w:tcBorders>
              <w:top w:val="nil"/>
              <w:left w:val="nil"/>
              <w:bottom w:val="nil"/>
              <w:right w:val="nil"/>
            </w:tcBorders>
          </w:tcPr>
          <w:p w:rsidR="00BF2403" w:rsidRPr="00BF2403" w:rsidRDefault="00BF2403" w:rsidP="00525AFE">
            <w:pPr>
              <w:spacing w:before="60" w:after="0" w:line="240" w:lineRule="auto"/>
              <w:jc w:val="both"/>
              <w:rPr>
                <w:sz w:val="20"/>
                <w:szCs w:val="20"/>
              </w:rPr>
            </w:pPr>
            <w:r w:rsidRPr="00BF2403">
              <w:rPr>
                <w:sz w:val="20"/>
                <w:szCs w:val="20"/>
              </w:rPr>
              <w:t>3DMAPS</w:t>
            </w:r>
          </w:p>
        </w:tc>
        <w:tc>
          <w:tcPr>
            <w:tcW w:w="0" w:type="auto"/>
            <w:tcBorders>
              <w:top w:val="nil"/>
              <w:left w:val="nil"/>
              <w:bottom w:val="nil"/>
              <w:right w:val="nil"/>
            </w:tcBorders>
          </w:tcPr>
          <w:p w:rsidR="00BF2403" w:rsidRPr="00BF2403" w:rsidRDefault="00BF2403" w:rsidP="00525AFE">
            <w:pPr>
              <w:spacing w:before="60" w:after="0" w:line="240" w:lineRule="auto"/>
              <w:jc w:val="both"/>
              <w:rPr>
                <w:sz w:val="20"/>
                <w:szCs w:val="20"/>
              </w:rPr>
            </w:pPr>
            <w:r w:rsidRPr="00BF2403">
              <w:rPr>
                <w:sz w:val="20"/>
                <w:szCs w:val="20"/>
              </w:rPr>
              <w:t>66.76 ± 0.09</w:t>
            </w:r>
          </w:p>
        </w:tc>
      </w:tr>
      <w:tr w:rsidR="00BF2403" w:rsidRPr="00BF2403" w:rsidTr="00525AFE">
        <w:trPr>
          <w:trHeight w:val="56"/>
          <w:jc w:val="center"/>
        </w:trPr>
        <w:tc>
          <w:tcPr>
            <w:tcW w:w="0" w:type="auto"/>
            <w:tcBorders>
              <w:top w:val="nil"/>
              <w:left w:val="nil"/>
              <w:bottom w:val="single" w:sz="4" w:space="0" w:color="auto"/>
              <w:right w:val="nil"/>
            </w:tcBorders>
          </w:tcPr>
          <w:p w:rsidR="00BF2403" w:rsidRPr="00BF2403" w:rsidRDefault="00BF2403" w:rsidP="00525AFE">
            <w:pPr>
              <w:spacing w:before="60" w:after="60" w:line="240" w:lineRule="auto"/>
              <w:jc w:val="both"/>
              <w:rPr>
                <w:sz w:val="20"/>
                <w:szCs w:val="20"/>
              </w:rPr>
            </w:pPr>
            <w:r w:rsidRPr="00BF2403">
              <w:rPr>
                <w:sz w:val="20"/>
                <w:szCs w:val="20"/>
              </w:rPr>
              <w:t>3DEAPS</w:t>
            </w:r>
          </w:p>
        </w:tc>
        <w:tc>
          <w:tcPr>
            <w:tcW w:w="0" w:type="auto"/>
            <w:tcBorders>
              <w:top w:val="nil"/>
              <w:left w:val="nil"/>
              <w:bottom w:val="single" w:sz="4" w:space="0" w:color="auto"/>
              <w:right w:val="nil"/>
            </w:tcBorders>
          </w:tcPr>
          <w:p w:rsidR="00BF2403" w:rsidRPr="00BF2403" w:rsidRDefault="00BF2403" w:rsidP="00525AFE">
            <w:pPr>
              <w:spacing w:before="60" w:after="60" w:line="240" w:lineRule="auto"/>
              <w:jc w:val="both"/>
              <w:rPr>
                <w:sz w:val="20"/>
                <w:szCs w:val="20"/>
              </w:rPr>
            </w:pPr>
            <w:r w:rsidRPr="00BF2403">
              <w:rPr>
                <w:sz w:val="20"/>
                <w:szCs w:val="20"/>
              </w:rPr>
              <w:t>27.27 ± 0.10</w:t>
            </w:r>
          </w:p>
        </w:tc>
      </w:tr>
    </w:tbl>
    <w:p w:rsidR="00BF2403" w:rsidRDefault="00BF2403" w:rsidP="00525AFE">
      <w:pPr>
        <w:spacing w:before="60" w:after="0" w:line="240" w:lineRule="auto"/>
        <w:ind w:left="2160" w:firstLine="990"/>
        <w:jc w:val="both"/>
        <w:rPr>
          <w:rFonts w:ascii="Times New Roman" w:hAnsi="Times New Roman"/>
          <w:sz w:val="18"/>
          <w:szCs w:val="18"/>
        </w:rPr>
      </w:pPr>
      <w:r w:rsidRPr="00BF2403">
        <w:rPr>
          <w:rFonts w:ascii="Times New Roman" w:hAnsi="Times New Roman"/>
          <w:sz w:val="20"/>
          <w:szCs w:val="20"/>
        </w:rPr>
        <w:t xml:space="preserve">   </w:t>
      </w:r>
      <w:r w:rsidRPr="00525AFE">
        <w:rPr>
          <w:rFonts w:ascii="Times New Roman" w:hAnsi="Times New Roman"/>
          <w:sz w:val="18"/>
          <w:szCs w:val="18"/>
        </w:rPr>
        <w:t>ND = not detected</w:t>
      </w:r>
    </w:p>
    <w:p w:rsidR="00525AFE" w:rsidRPr="00525AFE" w:rsidRDefault="00525AFE" w:rsidP="00525AFE">
      <w:pPr>
        <w:spacing w:after="120" w:line="240" w:lineRule="auto"/>
        <w:jc w:val="both"/>
        <w:rPr>
          <w:rFonts w:ascii="Times New Roman" w:hAnsi="Times New Roman"/>
          <w:sz w:val="20"/>
          <w:szCs w:val="20"/>
        </w:rPr>
      </w:pPr>
    </w:p>
    <w:p w:rsidR="00BF2403" w:rsidRPr="00BF2403" w:rsidRDefault="00BF2403" w:rsidP="00525AFE">
      <w:pPr>
        <w:spacing w:after="0" w:line="240" w:lineRule="auto"/>
        <w:jc w:val="center"/>
        <w:rPr>
          <w:rFonts w:ascii="Times New Roman" w:hAnsi="Times New Roman"/>
          <w:sz w:val="20"/>
          <w:szCs w:val="20"/>
          <w:lang w:eastAsia="en-MY"/>
        </w:rPr>
      </w:pPr>
      <w:r w:rsidRPr="00BF2403">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6B648A4F" wp14:editId="0B1AE2A7">
                <wp:simplePos x="0" y="0"/>
                <wp:positionH relativeFrom="column">
                  <wp:posOffset>3793683</wp:posOffset>
                </wp:positionH>
                <wp:positionV relativeFrom="paragraph">
                  <wp:posOffset>1111250</wp:posOffset>
                </wp:positionV>
                <wp:extent cx="72390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B11AF1" w:rsidRDefault="00BF2403" w:rsidP="00BF2403">
                            <w:pPr>
                              <w:rPr>
                                <w:rFonts w:ascii="Times New Roman" w:hAnsi="Times New Roman"/>
                                <w:lang w:val="en-MY"/>
                              </w:rPr>
                            </w:pPr>
                            <w:r w:rsidRPr="00B11AF1">
                              <w:rPr>
                                <w:rFonts w:ascii="Times New Roman" w:hAnsi="Times New Roman"/>
                                <w:lang w:val="en-MY"/>
                              </w:rPr>
                              <w:t>[3D</w:t>
                            </w:r>
                            <w:r>
                              <w:rPr>
                                <w:rFonts w:ascii="Times New Roman" w:hAnsi="Times New Roman"/>
                                <w:lang w:val="en-MY"/>
                              </w:rPr>
                              <w:t>E</w:t>
                            </w:r>
                            <w:r w:rsidRPr="00B11AF1">
                              <w:rPr>
                                <w:rFonts w:ascii="Times New Roman" w:hAnsi="Times New Roman"/>
                                <w:lang w:val="en-MY"/>
                              </w:rPr>
                              <w:t>AP]</w:t>
                            </w:r>
                            <w:r w:rsidRPr="00B11AF1">
                              <w:rPr>
                                <w:rFonts w:ascii="Times New Roman" w:hAnsi="Times New Roman"/>
                                <w:vertAlign w:val="superscript"/>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5" type="#_x0000_t202" style="position:absolute;left:0;text-align:left;margin-left:298.7pt;margin-top:87.5pt;width:57pt;height:19.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3QfwIAAGg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" filled="f" stroked="f" strokeweight=".5pt">
                <v:textbox>
                  <w:txbxContent>
                    <w:p w:rsidR="00BF2403" w:rsidRPr="00B11AF1" w:rsidRDefault="00BF2403" w:rsidP="00BF2403">
                      <w:pPr>
                        <w:rPr>
                          <w:rFonts w:ascii="Times New Roman" w:hAnsi="Times New Roman"/>
                          <w:lang w:val="en-MY"/>
                        </w:rPr>
                      </w:pPr>
                      <w:r w:rsidRPr="00B11AF1">
                        <w:rPr>
                          <w:rFonts w:ascii="Times New Roman" w:hAnsi="Times New Roman"/>
                          <w:lang w:val="en-MY"/>
                        </w:rPr>
                        <w:t>[3D</w:t>
                      </w:r>
                      <w:r>
                        <w:rPr>
                          <w:rFonts w:ascii="Times New Roman" w:hAnsi="Times New Roman"/>
                          <w:lang w:val="en-MY"/>
                        </w:rPr>
                        <w:t>E</w:t>
                      </w:r>
                      <w:r w:rsidRPr="00B11AF1">
                        <w:rPr>
                          <w:rFonts w:ascii="Times New Roman" w:hAnsi="Times New Roman"/>
                          <w:lang w:val="en-MY"/>
                        </w:rPr>
                        <w:t>AP]</w:t>
                      </w:r>
                      <w:r w:rsidRPr="00B11AF1">
                        <w:rPr>
                          <w:rFonts w:ascii="Times New Roman" w:hAnsi="Times New Roman"/>
                          <w:vertAlign w:val="superscript"/>
                          <w:lang w:val="en-MY"/>
                        </w:rPr>
                        <w:t>+</w:t>
                      </w:r>
                    </w:p>
                  </w:txbxContent>
                </v:textbox>
              </v:shape>
            </w:pict>
          </mc:Fallback>
        </mc:AlternateContent>
      </w:r>
      <w:r w:rsidRPr="00BF2403">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2175CE00" wp14:editId="3F6CABB8">
                <wp:simplePos x="0" y="0"/>
                <wp:positionH relativeFrom="column">
                  <wp:posOffset>1400858</wp:posOffset>
                </wp:positionH>
                <wp:positionV relativeFrom="paragraph">
                  <wp:posOffset>1060450</wp:posOffset>
                </wp:positionV>
                <wp:extent cx="787400"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87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403" w:rsidRPr="00B11AF1" w:rsidRDefault="00BF2403" w:rsidP="00BF2403">
                            <w:pPr>
                              <w:rPr>
                                <w:rFonts w:ascii="Times New Roman" w:hAnsi="Times New Roman"/>
                                <w:lang w:val="en-MY"/>
                              </w:rPr>
                            </w:pPr>
                            <w:r w:rsidRPr="00B11AF1">
                              <w:rPr>
                                <w:rFonts w:ascii="Times New Roman" w:hAnsi="Times New Roman"/>
                                <w:lang w:val="en-MY"/>
                              </w:rPr>
                              <w:t>[3DMAP]</w:t>
                            </w:r>
                            <w:r w:rsidRPr="00B11AF1">
                              <w:rPr>
                                <w:rFonts w:ascii="Times New Roman" w:hAnsi="Times New Roman"/>
                                <w:vertAlign w:val="superscript"/>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6" type="#_x0000_t202" style="position:absolute;left:0;text-align:left;margin-left:110.3pt;margin-top:83.5pt;width:62pt;height:19.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" filled="f" stroked="f" strokeweight=".5pt">
                <v:textbox>
                  <w:txbxContent>
                    <w:p w:rsidR="00BF2403" w:rsidRPr="00B11AF1" w:rsidRDefault="00BF2403" w:rsidP="00BF2403">
                      <w:pPr>
                        <w:rPr>
                          <w:rFonts w:ascii="Times New Roman" w:hAnsi="Times New Roman"/>
                          <w:lang w:val="en-MY"/>
                        </w:rPr>
                      </w:pPr>
                      <w:r w:rsidRPr="00B11AF1">
                        <w:rPr>
                          <w:rFonts w:ascii="Times New Roman" w:hAnsi="Times New Roman"/>
                          <w:lang w:val="en-MY"/>
                        </w:rPr>
                        <w:t>[3DMAP]</w:t>
                      </w:r>
                      <w:r w:rsidRPr="00B11AF1">
                        <w:rPr>
                          <w:rFonts w:ascii="Times New Roman" w:hAnsi="Times New Roman"/>
                          <w:vertAlign w:val="superscript"/>
                          <w:lang w:val="en-MY"/>
                        </w:rPr>
                        <w:t>+</w:t>
                      </w:r>
                    </w:p>
                  </w:txbxContent>
                </v:textbox>
              </v:shape>
            </w:pict>
          </mc:Fallback>
        </mc:AlternateContent>
      </w:r>
      <w:r w:rsidRPr="00BF2403">
        <w:rPr>
          <w:rFonts w:ascii="Times New Roman" w:hAnsi="Times New Roman"/>
          <w:noProof/>
          <w:sz w:val="20"/>
          <w:szCs w:val="20"/>
          <w:lang w:bidi="ar-SA"/>
        </w:rPr>
        <w:drawing>
          <wp:inline distT="0" distB="0" distL="0" distR="0" wp14:anchorId="470483E4" wp14:editId="134497B3">
            <wp:extent cx="2285574" cy="115052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tif"/>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8068" t="14063" r="8818" b="16250"/>
                    <a:stretch/>
                  </pic:blipFill>
                  <pic:spPr bwMode="auto">
                    <a:xfrm>
                      <a:off x="0" y="0"/>
                      <a:ext cx="2298544" cy="1157055"/>
                    </a:xfrm>
                    <a:prstGeom prst="rect">
                      <a:avLst/>
                    </a:prstGeom>
                    <a:ln>
                      <a:noFill/>
                    </a:ln>
                    <a:extLst>
                      <a:ext uri="{53640926-AAD7-44D8-BBD7-CCE9431645EC}">
                        <a14:shadowObscured xmlns:a14="http://schemas.microsoft.com/office/drawing/2010/main"/>
                      </a:ext>
                    </a:extLst>
                  </pic:spPr>
                </pic:pic>
              </a:graphicData>
            </a:graphic>
          </wp:inline>
        </w:drawing>
      </w:r>
      <w:r w:rsidRPr="00BF2403">
        <w:rPr>
          <w:rFonts w:ascii="Times New Roman" w:hAnsi="Times New Roman"/>
          <w:noProof/>
          <w:sz w:val="20"/>
          <w:szCs w:val="20"/>
          <w:lang w:bidi="ar-SA"/>
        </w:rPr>
        <w:drawing>
          <wp:inline distT="0" distB="0" distL="0" distR="0" wp14:anchorId="497C67A6" wp14:editId="44A118EE">
            <wp:extent cx="2343874" cy="104615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p.PNG"/>
                    <pic:cNvPicPr/>
                  </pic:nvPicPr>
                  <pic:blipFill rotWithShape="1">
                    <a:blip r:embed="rId24">
                      <a:extLst>
                        <a:ext uri="{28A0092B-C50C-407E-A947-70E740481C1C}">
                          <a14:useLocalDpi xmlns:a14="http://schemas.microsoft.com/office/drawing/2010/main" val="0"/>
                        </a:ext>
                      </a:extLst>
                    </a:blip>
                    <a:srcRect l="2239" t="27529" r="2737" b="15920"/>
                    <a:stretch/>
                  </pic:blipFill>
                  <pic:spPr bwMode="auto">
                    <a:xfrm>
                      <a:off x="0" y="0"/>
                      <a:ext cx="2367444" cy="1056674"/>
                    </a:xfrm>
                    <a:prstGeom prst="rect">
                      <a:avLst/>
                    </a:prstGeom>
                    <a:ln>
                      <a:noFill/>
                    </a:ln>
                    <a:extLst>
                      <a:ext uri="{53640926-AAD7-44D8-BBD7-CCE9431645EC}">
                        <a14:shadowObscured xmlns:a14="http://schemas.microsoft.com/office/drawing/2010/main"/>
                      </a:ext>
                    </a:extLst>
                  </pic:spPr>
                </pic:pic>
              </a:graphicData>
            </a:graphic>
          </wp:inline>
        </w:drawing>
      </w:r>
    </w:p>
    <w:p w:rsidR="00BF2403" w:rsidRPr="00BF2403" w:rsidRDefault="00BF2403" w:rsidP="00BF2403">
      <w:pPr>
        <w:spacing w:after="0" w:line="240" w:lineRule="auto"/>
        <w:jc w:val="both"/>
        <w:rPr>
          <w:rFonts w:ascii="Times New Roman" w:hAnsi="Times New Roman"/>
          <w:sz w:val="20"/>
          <w:szCs w:val="20"/>
          <w:lang w:eastAsia="en-MY"/>
        </w:rPr>
      </w:pPr>
    </w:p>
    <w:p w:rsidR="00BF2403" w:rsidRPr="00BF2403" w:rsidRDefault="00BF2403" w:rsidP="00BF2403">
      <w:pPr>
        <w:spacing w:after="0" w:line="240" w:lineRule="auto"/>
        <w:jc w:val="both"/>
        <w:rPr>
          <w:rFonts w:ascii="Times New Roman" w:hAnsi="Times New Roman"/>
          <w:sz w:val="20"/>
          <w:szCs w:val="20"/>
        </w:rPr>
      </w:pPr>
    </w:p>
    <w:p w:rsidR="00BF2403" w:rsidRPr="00BF2403" w:rsidRDefault="00BF2403" w:rsidP="00525AFE">
      <w:pPr>
        <w:spacing w:after="0" w:line="240" w:lineRule="auto"/>
        <w:jc w:val="center"/>
        <w:rPr>
          <w:rFonts w:ascii="Times New Roman" w:hAnsi="Times New Roman"/>
          <w:sz w:val="20"/>
          <w:szCs w:val="20"/>
        </w:rPr>
      </w:pPr>
      <w:r w:rsidRPr="00BF2403">
        <w:rPr>
          <w:rFonts w:ascii="Times New Roman" w:hAnsi="Times New Roman"/>
          <w:sz w:val="20"/>
          <w:szCs w:val="20"/>
        </w:rPr>
        <w:t>Figure</w:t>
      </w:r>
      <w:r w:rsidR="00525AFE">
        <w:rPr>
          <w:rFonts w:ascii="Times New Roman" w:hAnsi="Times New Roman"/>
          <w:sz w:val="20"/>
          <w:szCs w:val="20"/>
        </w:rPr>
        <w:t xml:space="preserve"> </w:t>
      </w:r>
      <w:r w:rsidRPr="00BF2403">
        <w:rPr>
          <w:rFonts w:ascii="Times New Roman" w:hAnsi="Times New Roman"/>
          <w:sz w:val="20"/>
          <w:szCs w:val="20"/>
        </w:rPr>
        <w:t xml:space="preserve">4. </w:t>
      </w:r>
      <w:r w:rsidR="00525AFE">
        <w:rPr>
          <w:rFonts w:ascii="Times New Roman" w:hAnsi="Times New Roman"/>
          <w:sz w:val="20"/>
          <w:szCs w:val="20"/>
        </w:rPr>
        <w:t xml:space="preserve"> </w:t>
      </w:r>
      <w:r w:rsidRPr="00BF2403">
        <w:rPr>
          <w:rFonts w:ascii="Times New Roman" w:hAnsi="Times New Roman"/>
          <w:sz w:val="20"/>
          <w:szCs w:val="20"/>
        </w:rPr>
        <w:t>Structure of [3DMAP]</w:t>
      </w:r>
      <w:r w:rsidRPr="00BF2403">
        <w:rPr>
          <w:rFonts w:ascii="Times New Roman" w:hAnsi="Times New Roman"/>
          <w:sz w:val="20"/>
          <w:szCs w:val="20"/>
          <w:vertAlign w:val="superscript"/>
        </w:rPr>
        <w:t>+</w:t>
      </w:r>
      <w:r w:rsidRPr="00BF2403">
        <w:rPr>
          <w:rFonts w:ascii="Times New Roman" w:hAnsi="Times New Roman"/>
          <w:sz w:val="20"/>
          <w:szCs w:val="20"/>
        </w:rPr>
        <w:t xml:space="preserve"> and [3DEAP]</w:t>
      </w:r>
      <w:r w:rsidRPr="00BF2403">
        <w:rPr>
          <w:rFonts w:ascii="Times New Roman" w:hAnsi="Times New Roman"/>
          <w:sz w:val="20"/>
          <w:szCs w:val="20"/>
          <w:vertAlign w:val="superscript"/>
        </w:rPr>
        <w:t>+</w:t>
      </w:r>
    </w:p>
    <w:p w:rsidR="00AC0033" w:rsidRDefault="00AC0033" w:rsidP="00BF2403">
      <w:pPr>
        <w:spacing w:after="0" w:line="240" w:lineRule="auto"/>
        <w:jc w:val="center"/>
        <w:rPr>
          <w:rFonts w:ascii="Times New Roman" w:hAnsi="Times New Roman"/>
          <w:noProof/>
          <w:sz w:val="20"/>
          <w:szCs w:val="20"/>
          <w:lang w:bidi="ar-SA"/>
        </w:rPr>
      </w:pPr>
    </w:p>
    <w:p w:rsidR="00525AFE" w:rsidRPr="00F447A7" w:rsidRDefault="00525AFE" w:rsidP="00BF240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25AFE" w:rsidRPr="00525AFE" w:rsidRDefault="00525AFE" w:rsidP="00525AFE">
      <w:pPr>
        <w:pStyle w:val="Bodytext"/>
        <w:rPr>
          <w:rFonts w:ascii="Times New Roman" w:hAnsi="Times New Roman"/>
          <w:color w:val="auto"/>
          <w:sz w:val="20"/>
          <w:szCs w:val="20"/>
          <w:lang w:val="en-GB"/>
        </w:rPr>
      </w:pPr>
      <w:r w:rsidRPr="00525AFE">
        <w:rPr>
          <w:rFonts w:ascii="Times New Roman" w:hAnsi="Times New Roman"/>
          <w:color w:val="auto"/>
          <w:sz w:val="20"/>
          <w:szCs w:val="20"/>
          <w:lang w:val="en-GB"/>
        </w:rPr>
        <w:t>The 3DMAPS and 3DEAPS PILs have been successfully synthesised and characterised and their application as a potential antioxidant was determined. The synthesised PILs showed a remarkable antioxidant activity compared to that of parent acid (SA) due to the extra number of active group present (–OH and –NH) in the structure. The presence of extra active group led to a high DPPH scavenging, thus increasing antioxidant activity. For future works, kinetics study and other antioxidant assays are suggested to be considered to further confirm the antioxidant activity of the synthesised compound. Besides, increasing in concentration could be carried out to determine the half maximal inhibition concentration (IC</w:t>
      </w:r>
      <w:r w:rsidRPr="00525AFE">
        <w:rPr>
          <w:rFonts w:ascii="Times New Roman" w:hAnsi="Times New Roman"/>
          <w:color w:val="auto"/>
          <w:sz w:val="20"/>
          <w:szCs w:val="20"/>
          <w:vertAlign w:val="subscript"/>
          <w:lang w:val="en-GB"/>
        </w:rPr>
        <w:t>50</w:t>
      </w:r>
      <w:r w:rsidRPr="00525AFE">
        <w:rPr>
          <w:rFonts w:ascii="Times New Roman" w:hAnsi="Times New Roman"/>
          <w:color w:val="auto"/>
          <w:sz w:val="20"/>
          <w:szCs w:val="20"/>
          <w:lang w:val="en-GB"/>
        </w:rPr>
        <w:t>) value of the samples.</w:t>
      </w:r>
    </w:p>
    <w:p w:rsidR="00525AFE" w:rsidRPr="00525AFE" w:rsidRDefault="00525AFE" w:rsidP="00525AFE">
      <w:pPr>
        <w:spacing w:after="0" w:line="240" w:lineRule="auto"/>
        <w:jc w:val="center"/>
        <w:outlineLvl w:val="0"/>
        <w:rPr>
          <w:rFonts w:ascii="Times New Roman" w:hAnsi="Times New Roman"/>
          <w:sz w:val="20"/>
          <w:szCs w:val="20"/>
        </w:rPr>
      </w:pPr>
    </w:p>
    <w:p w:rsidR="00525AFE" w:rsidRPr="00525AFE" w:rsidRDefault="00525AFE" w:rsidP="00525AFE">
      <w:pPr>
        <w:spacing w:after="0" w:line="240" w:lineRule="auto"/>
        <w:jc w:val="center"/>
        <w:outlineLvl w:val="0"/>
        <w:rPr>
          <w:rFonts w:ascii="Times New Roman" w:hAnsi="Times New Roman"/>
          <w:b/>
          <w:sz w:val="20"/>
          <w:szCs w:val="20"/>
        </w:rPr>
      </w:pPr>
      <w:r w:rsidRPr="00525AFE">
        <w:rPr>
          <w:rFonts w:ascii="Times New Roman" w:hAnsi="Times New Roman"/>
          <w:b/>
          <w:sz w:val="20"/>
          <w:szCs w:val="20"/>
        </w:rPr>
        <w:t>Acknowledgement</w:t>
      </w:r>
    </w:p>
    <w:p w:rsidR="00AC0033" w:rsidRPr="00F447A7" w:rsidRDefault="00525AFE" w:rsidP="00525AFE">
      <w:pPr>
        <w:spacing w:after="0" w:line="240" w:lineRule="auto"/>
        <w:jc w:val="both"/>
        <w:rPr>
          <w:rFonts w:ascii="Times New Roman" w:hAnsi="Times New Roman"/>
          <w:noProof/>
          <w:sz w:val="20"/>
          <w:szCs w:val="20"/>
          <w:lang w:bidi="ar-SA"/>
        </w:rPr>
      </w:pPr>
      <w:r w:rsidRPr="00525AFE">
        <w:rPr>
          <w:rFonts w:ascii="Times New Roman" w:eastAsiaTheme="minorHAnsi" w:hAnsi="Times New Roman"/>
          <w:sz w:val="20"/>
          <w:szCs w:val="20"/>
        </w:rPr>
        <w:t>This research was funded by Short Term Internal Research Fund (STIRF 0153AA-F21), Universiti Teknologi PETRONAS. Nur Afiqah Ahmad acknowledges the UTP Graduate Assistantship (GA) scheme, Universiti Teknologi PETRONAS.</w:t>
      </w:r>
    </w:p>
    <w:p w:rsidR="00AC0033" w:rsidRDefault="00AC0033" w:rsidP="00AC0033">
      <w:pPr>
        <w:spacing w:after="0" w:line="240" w:lineRule="auto"/>
        <w:jc w:val="center"/>
        <w:rPr>
          <w:rFonts w:ascii="Times New Roman" w:hAnsi="Times New Roman"/>
          <w:noProof/>
          <w:sz w:val="20"/>
          <w:szCs w:val="20"/>
          <w:lang w:bidi="ar-SA"/>
        </w:rPr>
      </w:pPr>
    </w:p>
    <w:p w:rsidR="00525AFE" w:rsidRPr="00F447A7" w:rsidRDefault="00525AFE"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bookmarkStart w:id="1" w:name="_Hlk8861529"/>
    <w:bookmarkStart w:id="2" w:name="_Hlk8859046"/>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sz w:val="20"/>
          <w:szCs w:val="20"/>
        </w:rPr>
        <w:fldChar w:fldCharType="begin" w:fldLock="1"/>
      </w:r>
      <w:r w:rsidRPr="00525AFE">
        <w:rPr>
          <w:rFonts w:ascii="Times New Roman" w:hAnsi="Times New Roman"/>
          <w:sz w:val="20"/>
          <w:szCs w:val="20"/>
        </w:rPr>
        <w:instrText xml:space="preserve">ADDIN Mendeley Bibliography CSL_BIBLIOGRAPHY </w:instrText>
      </w:r>
      <w:r w:rsidRPr="00525AFE">
        <w:rPr>
          <w:rFonts w:ascii="Times New Roman" w:hAnsi="Times New Roman"/>
          <w:sz w:val="20"/>
          <w:szCs w:val="20"/>
        </w:rPr>
        <w:fldChar w:fldCharType="separate"/>
      </w:r>
      <w:r w:rsidRPr="00525AFE">
        <w:rPr>
          <w:rFonts w:ascii="Times New Roman" w:hAnsi="Times New Roman"/>
          <w:noProof/>
          <w:sz w:val="20"/>
          <w:szCs w:val="20"/>
        </w:rPr>
        <w:t xml:space="preserve">Freemantle, M. (2010). </w:t>
      </w:r>
      <w:r w:rsidRPr="00525AFE">
        <w:rPr>
          <w:rFonts w:ascii="Times New Roman" w:hAnsi="Times New Roman"/>
          <w:iCs/>
          <w:noProof/>
          <w:sz w:val="20"/>
          <w:szCs w:val="20"/>
        </w:rPr>
        <w:t>An introduction to ionic liquids</w:t>
      </w:r>
      <w:r w:rsidRPr="00525AFE">
        <w:rPr>
          <w:rFonts w:ascii="Times New Roman" w:hAnsi="Times New Roman"/>
          <w:noProof/>
          <w:sz w:val="20"/>
          <w:szCs w:val="20"/>
        </w:rPr>
        <w:t>. Royal Society of Chemistry: pp.</w:t>
      </w:r>
      <w:r w:rsidRPr="00525AFE">
        <w:rPr>
          <w:rFonts w:ascii="Times New Roman" w:hAnsi="Times New Roman"/>
          <w:sz w:val="20"/>
          <w:szCs w:val="20"/>
        </w:rPr>
        <w:t xml:space="preserve"> 1-2.</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Stoimenovski, J., Dean, P. M., Izgorodina, E. I. and MacFarlane, D. R. (2012). Protic pharmaceutical ionic liquids and solids: Aspects of protonics. </w:t>
      </w:r>
      <w:r w:rsidRPr="00525AFE">
        <w:rPr>
          <w:rFonts w:ascii="Times New Roman" w:hAnsi="Times New Roman"/>
          <w:i/>
          <w:iCs/>
          <w:noProof/>
          <w:sz w:val="20"/>
          <w:szCs w:val="20"/>
        </w:rPr>
        <w:t>Faraday Discussions</w:t>
      </w:r>
      <w:r w:rsidRPr="00525AFE">
        <w:rPr>
          <w:rFonts w:ascii="Times New Roman" w:hAnsi="Times New Roman"/>
          <w:noProof/>
          <w:sz w:val="20"/>
          <w:szCs w:val="20"/>
        </w:rPr>
        <w:t xml:space="preserve">, </w:t>
      </w:r>
      <w:r w:rsidRPr="00525AFE">
        <w:rPr>
          <w:rFonts w:ascii="Times New Roman" w:hAnsi="Times New Roman"/>
          <w:iCs/>
          <w:noProof/>
          <w:sz w:val="20"/>
          <w:szCs w:val="20"/>
        </w:rPr>
        <w:t>154(1):</w:t>
      </w:r>
      <w:r w:rsidRPr="00525AFE">
        <w:rPr>
          <w:rFonts w:ascii="Times New Roman" w:hAnsi="Times New Roman"/>
          <w:noProof/>
          <w:sz w:val="20"/>
          <w:szCs w:val="20"/>
        </w:rPr>
        <w:t xml:space="preserve"> 335-352.</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Yang, Z. and Pan, W. (2005). Ionic liquids: Green solvents for nonaqueous biocatalysis. </w:t>
      </w:r>
      <w:r w:rsidRPr="00525AFE">
        <w:rPr>
          <w:rFonts w:ascii="Times New Roman" w:hAnsi="Times New Roman"/>
          <w:i/>
          <w:iCs/>
          <w:noProof/>
          <w:sz w:val="20"/>
          <w:szCs w:val="20"/>
        </w:rPr>
        <w:t>Enzyme and Microbial Technology</w:t>
      </w:r>
      <w:r w:rsidRPr="00525AFE">
        <w:rPr>
          <w:rFonts w:ascii="Times New Roman" w:hAnsi="Times New Roman"/>
          <w:noProof/>
          <w:sz w:val="20"/>
          <w:szCs w:val="20"/>
        </w:rPr>
        <w:t xml:space="preserve">, </w:t>
      </w:r>
      <w:r w:rsidRPr="00525AFE">
        <w:rPr>
          <w:rFonts w:ascii="Times New Roman" w:hAnsi="Times New Roman"/>
          <w:iCs/>
          <w:noProof/>
          <w:sz w:val="20"/>
          <w:szCs w:val="20"/>
        </w:rPr>
        <w:t>37</w:t>
      </w:r>
      <w:r w:rsidRPr="00525AFE">
        <w:rPr>
          <w:rFonts w:ascii="Times New Roman" w:hAnsi="Times New Roman"/>
          <w:noProof/>
          <w:sz w:val="20"/>
          <w:szCs w:val="20"/>
        </w:rPr>
        <w:t xml:space="preserve">(1): 19-28.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Hayouni, S., Robert, A., Ferlin, N., Amri, H. and Bouquillon, S. (2016). New biobased tetrabutylphosphonium ionic liquids: Synthesis, characterisation and use as a solvent or co-solvent for mild and greener Pd-catalyzed hydrogenation processes. </w:t>
      </w:r>
      <w:r w:rsidRPr="00525AFE">
        <w:rPr>
          <w:rFonts w:ascii="Times New Roman" w:hAnsi="Times New Roman"/>
          <w:i/>
          <w:iCs/>
          <w:noProof/>
          <w:sz w:val="20"/>
          <w:szCs w:val="20"/>
        </w:rPr>
        <w:t>RSC Advances</w:t>
      </w:r>
      <w:r w:rsidRPr="00525AFE">
        <w:rPr>
          <w:rFonts w:ascii="Times New Roman" w:hAnsi="Times New Roman"/>
          <w:noProof/>
          <w:sz w:val="20"/>
          <w:szCs w:val="20"/>
        </w:rPr>
        <w:t xml:space="preserve">, </w:t>
      </w:r>
      <w:r w:rsidRPr="00525AFE">
        <w:rPr>
          <w:rFonts w:ascii="Times New Roman" w:hAnsi="Times New Roman"/>
          <w:iCs/>
          <w:noProof/>
          <w:sz w:val="20"/>
          <w:szCs w:val="20"/>
        </w:rPr>
        <w:t>6</w:t>
      </w:r>
      <w:r w:rsidRPr="00525AFE">
        <w:rPr>
          <w:rFonts w:ascii="Times New Roman" w:hAnsi="Times New Roman"/>
          <w:noProof/>
          <w:sz w:val="20"/>
          <w:szCs w:val="20"/>
        </w:rPr>
        <w:t xml:space="preserve">(114): 113583-113595.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Visser, A. E., Swatloski, R. P., Reichert, W. M., Mayton, R., Sheff, S., Wierzbicki, A. and Rogers, R. D. (2002). Task-specific ionic liquids incorporating novel cations for the coordination and extraction of Hg</w:t>
      </w:r>
      <w:r w:rsidRPr="00525AFE">
        <w:rPr>
          <w:rFonts w:ascii="Times New Roman" w:hAnsi="Times New Roman"/>
          <w:noProof/>
          <w:sz w:val="20"/>
          <w:szCs w:val="20"/>
          <w:vertAlign w:val="superscript"/>
        </w:rPr>
        <w:t>2+</w:t>
      </w:r>
      <w:r w:rsidRPr="00525AFE">
        <w:rPr>
          <w:rFonts w:ascii="Times New Roman" w:hAnsi="Times New Roman"/>
          <w:noProof/>
          <w:sz w:val="20"/>
          <w:szCs w:val="20"/>
        </w:rPr>
        <w:t xml:space="preserve"> and Cd</w:t>
      </w:r>
      <w:r w:rsidRPr="00525AFE">
        <w:rPr>
          <w:rFonts w:ascii="Times New Roman" w:hAnsi="Times New Roman"/>
          <w:noProof/>
          <w:sz w:val="20"/>
          <w:szCs w:val="20"/>
          <w:vertAlign w:val="superscript"/>
        </w:rPr>
        <w:t>2+</w:t>
      </w:r>
      <w:r w:rsidRPr="00525AFE">
        <w:rPr>
          <w:rFonts w:ascii="Times New Roman" w:hAnsi="Times New Roman"/>
          <w:noProof/>
          <w:sz w:val="20"/>
          <w:szCs w:val="20"/>
        </w:rPr>
        <w:t xml:space="preserve">: Synthesis, characterisation, and extraction studies. </w:t>
      </w:r>
      <w:r w:rsidRPr="00525AFE">
        <w:rPr>
          <w:rFonts w:ascii="Times New Roman" w:hAnsi="Times New Roman"/>
          <w:i/>
          <w:iCs/>
          <w:noProof/>
          <w:sz w:val="20"/>
          <w:szCs w:val="20"/>
        </w:rPr>
        <w:t>Environmental Science and Technology</w:t>
      </w:r>
      <w:r w:rsidRPr="00525AFE">
        <w:rPr>
          <w:rFonts w:ascii="Times New Roman" w:hAnsi="Times New Roman"/>
          <w:noProof/>
          <w:sz w:val="20"/>
          <w:szCs w:val="20"/>
        </w:rPr>
        <w:t xml:space="preserve">, </w:t>
      </w:r>
      <w:r w:rsidRPr="00525AFE">
        <w:rPr>
          <w:rFonts w:ascii="Times New Roman" w:hAnsi="Times New Roman"/>
          <w:iCs/>
          <w:noProof/>
          <w:sz w:val="20"/>
          <w:szCs w:val="20"/>
        </w:rPr>
        <w:t>36</w:t>
      </w:r>
      <w:r w:rsidRPr="00525AFE">
        <w:rPr>
          <w:rFonts w:ascii="Times New Roman" w:hAnsi="Times New Roman"/>
          <w:noProof/>
          <w:sz w:val="20"/>
          <w:szCs w:val="20"/>
        </w:rPr>
        <w:t>(11): 2523-2529.</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Siodmiak, T., Piotr Marszall, M. and Proszowska, A. (2012). Ionic liquids: A new strategy in pharmaceutical synthesis. </w:t>
      </w:r>
      <w:r w:rsidRPr="00525AFE">
        <w:rPr>
          <w:rFonts w:ascii="Times New Roman" w:hAnsi="Times New Roman"/>
          <w:i/>
          <w:iCs/>
          <w:noProof/>
          <w:sz w:val="20"/>
          <w:szCs w:val="20"/>
        </w:rPr>
        <w:t>Mini-Reviews in Organic Chemistry</w:t>
      </w:r>
      <w:r w:rsidRPr="00525AFE">
        <w:rPr>
          <w:rFonts w:ascii="Times New Roman" w:hAnsi="Times New Roman"/>
          <w:noProof/>
          <w:sz w:val="20"/>
          <w:szCs w:val="20"/>
        </w:rPr>
        <w:t xml:space="preserve">, </w:t>
      </w:r>
      <w:r w:rsidRPr="00525AFE">
        <w:rPr>
          <w:rFonts w:ascii="Times New Roman" w:hAnsi="Times New Roman"/>
          <w:iCs/>
          <w:noProof/>
          <w:sz w:val="20"/>
          <w:szCs w:val="20"/>
        </w:rPr>
        <w:t>9</w:t>
      </w:r>
      <w:r w:rsidRPr="00525AFE">
        <w:rPr>
          <w:rFonts w:ascii="Times New Roman" w:hAnsi="Times New Roman"/>
          <w:noProof/>
          <w:sz w:val="20"/>
          <w:szCs w:val="20"/>
        </w:rPr>
        <w:t xml:space="preserve">(2): 203-208.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Greaves, T. L. and Drummond, C. J. (2008). Protic ionic liquids: Properties and applications. </w:t>
      </w:r>
      <w:r w:rsidRPr="00525AFE">
        <w:rPr>
          <w:rFonts w:ascii="Times New Roman" w:hAnsi="Times New Roman"/>
          <w:i/>
          <w:iCs/>
          <w:noProof/>
          <w:sz w:val="20"/>
          <w:szCs w:val="20"/>
        </w:rPr>
        <w:t>Chemistry Reviews</w:t>
      </w:r>
      <w:r w:rsidRPr="00525AFE">
        <w:rPr>
          <w:rFonts w:ascii="Times New Roman" w:hAnsi="Times New Roman"/>
          <w:noProof/>
          <w:sz w:val="20"/>
          <w:szCs w:val="20"/>
        </w:rPr>
        <w:t xml:space="preserve">, </w:t>
      </w:r>
      <w:r w:rsidRPr="00525AFE">
        <w:rPr>
          <w:rFonts w:ascii="Times New Roman" w:hAnsi="Times New Roman"/>
          <w:iCs/>
          <w:noProof/>
          <w:sz w:val="20"/>
          <w:szCs w:val="20"/>
        </w:rPr>
        <w:t>108(1)</w:t>
      </w:r>
      <w:r w:rsidRPr="00525AFE">
        <w:rPr>
          <w:rFonts w:ascii="Times New Roman" w:hAnsi="Times New Roman"/>
          <w:noProof/>
          <w:sz w:val="20"/>
          <w:szCs w:val="20"/>
        </w:rPr>
        <w:t>: 206-237.</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Kennedy, D. F. and Drummondt, C. J. (2009). Large aggregated ions found in some protic ionic liquids. </w:t>
      </w:r>
      <w:r w:rsidRPr="00525AFE">
        <w:rPr>
          <w:rFonts w:ascii="Times New Roman" w:hAnsi="Times New Roman"/>
          <w:i/>
          <w:iCs/>
          <w:noProof/>
          <w:sz w:val="20"/>
          <w:szCs w:val="20"/>
        </w:rPr>
        <w:t>Journal of Physical Chemistry B</w:t>
      </w:r>
      <w:r w:rsidRPr="00525AFE">
        <w:rPr>
          <w:rFonts w:ascii="Times New Roman" w:hAnsi="Times New Roman"/>
          <w:noProof/>
          <w:sz w:val="20"/>
          <w:szCs w:val="20"/>
        </w:rPr>
        <w:t xml:space="preserve">, </w:t>
      </w:r>
      <w:r w:rsidRPr="00525AFE">
        <w:rPr>
          <w:rFonts w:ascii="Times New Roman" w:hAnsi="Times New Roman"/>
          <w:iCs/>
          <w:noProof/>
          <w:sz w:val="20"/>
          <w:szCs w:val="20"/>
        </w:rPr>
        <w:t>113</w:t>
      </w:r>
      <w:r w:rsidRPr="00525AFE">
        <w:rPr>
          <w:rFonts w:ascii="Times New Roman" w:hAnsi="Times New Roman"/>
          <w:noProof/>
          <w:sz w:val="20"/>
          <w:szCs w:val="20"/>
        </w:rPr>
        <w:t xml:space="preserve">(17): 5690-5693.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Gung, S. T., Sun, I. W., Ou-Yang, W. C., Su, S. G., Lin, M. W., Lai, C. A. and Lin, Y. C. (2012). Synthesis and characterisation of protic ionic liquids containing cyclic amine cations and tetrafluoroborate anion. </w:t>
      </w:r>
      <w:r w:rsidRPr="00525AFE">
        <w:rPr>
          <w:rFonts w:ascii="Times New Roman" w:hAnsi="Times New Roman"/>
          <w:i/>
          <w:iCs/>
          <w:noProof/>
          <w:sz w:val="20"/>
          <w:szCs w:val="20"/>
        </w:rPr>
        <w:t>Journal of the Iranian Chemical Society</w:t>
      </w:r>
      <w:r w:rsidRPr="00525AFE">
        <w:rPr>
          <w:rFonts w:ascii="Times New Roman" w:hAnsi="Times New Roman"/>
          <w:noProof/>
          <w:sz w:val="20"/>
          <w:szCs w:val="20"/>
        </w:rPr>
        <w:t xml:space="preserve">, </w:t>
      </w:r>
      <w:r w:rsidRPr="00525AFE">
        <w:rPr>
          <w:rFonts w:ascii="Times New Roman" w:hAnsi="Times New Roman"/>
          <w:iCs/>
          <w:noProof/>
          <w:sz w:val="20"/>
          <w:szCs w:val="20"/>
        </w:rPr>
        <w:t>8</w:t>
      </w:r>
      <w:r w:rsidRPr="00525AFE">
        <w:rPr>
          <w:rFonts w:ascii="Times New Roman" w:hAnsi="Times New Roman"/>
          <w:noProof/>
          <w:sz w:val="20"/>
          <w:szCs w:val="20"/>
        </w:rPr>
        <w:t xml:space="preserve">(1): 149-165.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Yasuda, T. and Watanabe, M. (2013). Protic ionic liquids: Fuel cell applications. </w:t>
      </w:r>
      <w:r w:rsidRPr="00525AFE">
        <w:rPr>
          <w:rFonts w:ascii="Times New Roman" w:hAnsi="Times New Roman"/>
          <w:i/>
          <w:iCs/>
          <w:noProof/>
          <w:sz w:val="20"/>
          <w:szCs w:val="20"/>
        </w:rPr>
        <w:t>MRS Bulletin</w:t>
      </w:r>
      <w:r w:rsidRPr="00525AFE">
        <w:rPr>
          <w:rFonts w:ascii="Times New Roman" w:hAnsi="Times New Roman"/>
          <w:noProof/>
          <w:sz w:val="20"/>
          <w:szCs w:val="20"/>
        </w:rPr>
        <w:t xml:space="preserve">, </w:t>
      </w:r>
      <w:r w:rsidRPr="00525AFE">
        <w:rPr>
          <w:rFonts w:ascii="Times New Roman" w:hAnsi="Times New Roman"/>
          <w:iCs/>
          <w:noProof/>
          <w:sz w:val="20"/>
          <w:szCs w:val="20"/>
        </w:rPr>
        <w:t>38</w:t>
      </w:r>
      <w:r w:rsidRPr="00525AFE">
        <w:rPr>
          <w:rFonts w:ascii="Times New Roman" w:hAnsi="Times New Roman"/>
          <w:noProof/>
          <w:sz w:val="20"/>
          <w:szCs w:val="20"/>
        </w:rPr>
        <w:t xml:space="preserve">(7): 560-566.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Stoimenovski, J. and MacFarlane, D. R. (2011). Enhanced membrane transport of pharmaceutically active protic ionic liquids. </w:t>
      </w:r>
      <w:r w:rsidRPr="00525AFE">
        <w:rPr>
          <w:rFonts w:ascii="Times New Roman" w:hAnsi="Times New Roman"/>
          <w:i/>
          <w:iCs/>
          <w:noProof/>
          <w:sz w:val="20"/>
          <w:szCs w:val="20"/>
        </w:rPr>
        <w:t>Chemical Communications</w:t>
      </w:r>
      <w:r w:rsidRPr="00525AFE">
        <w:rPr>
          <w:rFonts w:ascii="Times New Roman" w:hAnsi="Times New Roman"/>
          <w:noProof/>
          <w:sz w:val="20"/>
          <w:szCs w:val="20"/>
        </w:rPr>
        <w:t xml:space="preserve">, </w:t>
      </w:r>
      <w:r w:rsidRPr="00525AFE">
        <w:rPr>
          <w:rFonts w:ascii="Times New Roman" w:hAnsi="Times New Roman"/>
          <w:iCs/>
          <w:noProof/>
          <w:sz w:val="20"/>
          <w:szCs w:val="20"/>
        </w:rPr>
        <w:t>47</w:t>
      </w:r>
      <w:r w:rsidRPr="00525AFE">
        <w:rPr>
          <w:rFonts w:ascii="Times New Roman" w:hAnsi="Times New Roman"/>
          <w:noProof/>
          <w:sz w:val="20"/>
          <w:szCs w:val="20"/>
        </w:rPr>
        <w:t>(41): 11429-11431.</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Mirskova, A. N., Adamovich, S. N., Mirskov, R. G. and Voronkov, M. G. (2014). Pharmacologically active salts and ionic liquids based on 2-hydroxyethylamines, arylchalcogenylacetic acids, and essential metals. </w:t>
      </w:r>
      <w:r w:rsidRPr="00525AFE">
        <w:rPr>
          <w:rFonts w:ascii="Times New Roman" w:hAnsi="Times New Roman"/>
          <w:i/>
          <w:iCs/>
          <w:noProof/>
          <w:sz w:val="20"/>
          <w:szCs w:val="20"/>
        </w:rPr>
        <w:t>Russian Chemical Bulletin</w:t>
      </w:r>
      <w:r w:rsidRPr="00525AFE">
        <w:rPr>
          <w:rFonts w:ascii="Times New Roman" w:hAnsi="Times New Roman"/>
          <w:noProof/>
          <w:sz w:val="20"/>
          <w:szCs w:val="20"/>
        </w:rPr>
        <w:t xml:space="preserve">, </w:t>
      </w:r>
      <w:r w:rsidRPr="00525AFE">
        <w:rPr>
          <w:rFonts w:ascii="Times New Roman" w:hAnsi="Times New Roman"/>
          <w:iCs/>
          <w:noProof/>
          <w:sz w:val="20"/>
          <w:szCs w:val="20"/>
        </w:rPr>
        <w:t>63</w:t>
      </w:r>
      <w:r w:rsidRPr="00525AFE">
        <w:rPr>
          <w:rFonts w:ascii="Times New Roman" w:hAnsi="Times New Roman"/>
          <w:noProof/>
          <w:sz w:val="20"/>
          <w:szCs w:val="20"/>
        </w:rPr>
        <w:t>(9): 1869-1883.</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Pernak, J., Goc, I. and Mirska, I. (2004). Anti-microbial activities of protic ionic liquids with lactate anion. </w:t>
      </w:r>
      <w:r w:rsidRPr="00525AFE">
        <w:rPr>
          <w:rFonts w:ascii="Times New Roman" w:hAnsi="Times New Roman"/>
          <w:i/>
          <w:iCs/>
          <w:noProof/>
          <w:sz w:val="20"/>
          <w:szCs w:val="20"/>
        </w:rPr>
        <w:t>Green Chemistry</w:t>
      </w:r>
      <w:r w:rsidRPr="00525AFE">
        <w:rPr>
          <w:rFonts w:ascii="Times New Roman" w:hAnsi="Times New Roman"/>
          <w:noProof/>
          <w:sz w:val="20"/>
          <w:szCs w:val="20"/>
        </w:rPr>
        <w:t xml:space="preserve">, </w:t>
      </w:r>
      <w:r w:rsidRPr="00525AFE">
        <w:rPr>
          <w:rFonts w:ascii="Times New Roman" w:hAnsi="Times New Roman"/>
          <w:iCs/>
          <w:noProof/>
          <w:sz w:val="20"/>
          <w:szCs w:val="20"/>
        </w:rPr>
        <w:t>6</w:t>
      </w:r>
      <w:r w:rsidRPr="00525AFE">
        <w:rPr>
          <w:rFonts w:ascii="Times New Roman" w:hAnsi="Times New Roman"/>
          <w:noProof/>
          <w:sz w:val="20"/>
          <w:szCs w:val="20"/>
        </w:rPr>
        <w:t xml:space="preserve">(7): 323-329.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Randjelović, D., Stojiljković, N., Laketić, D., Ilić, I., Randjelović, N., Veljković, S. and Sokolović, D. (2016). The beneficial biological properties of salicylic acid. </w:t>
      </w:r>
      <w:r w:rsidRPr="00525AFE">
        <w:rPr>
          <w:rFonts w:ascii="Times New Roman" w:hAnsi="Times New Roman"/>
          <w:i/>
          <w:iCs/>
          <w:noProof/>
          <w:sz w:val="20"/>
          <w:szCs w:val="20"/>
        </w:rPr>
        <w:t>Acta Facultatis Medicae Naissensis</w:t>
      </w:r>
      <w:r w:rsidRPr="00525AFE">
        <w:rPr>
          <w:rFonts w:ascii="Times New Roman" w:hAnsi="Times New Roman"/>
          <w:noProof/>
          <w:sz w:val="20"/>
          <w:szCs w:val="20"/>
        </w:rPr>
        <w:t xml:space="preserve">, </w:t>
      </w:r>
      <w:r w:rsidRPr="00525AFE">
        <w:rPr>
          <w:rFonts w:ascii="Times New Roman" w:hAnsi="Times New Roman"/>
          <w:iCs/>
          <w:noProof/>
          <w:sz w:val="20"/>
          <w:szCs w:val="20"/>
        </w:rPr>
        <w:t>32</w:t>
      </w:r>
      <w:r w:rsidRPr="00525AFE">
        <w:rPr>
          <w:rFonts w:ascii="Times New Roman" w:hAnsi="Times New Roman"/>
          <w:noProof/>
          <w:sz w:val="20"/>
          <w:szCs w:val="20"/>
        </w:rPr>
        <w:t xml:space="preserve">(4): 259-265.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Brand-Williams, W., Cuvelier, M. E. and Berset, C. L. W. T. (1995). Use of free radical method to evaluate antioxidant activity. </w:t>
      </w:r>
      <w:r w:rsidRPr="00525AFE">
        <w:rPr>
          <w:rFonts w:ascii="Times New Roman" w:hAnsi="Times New Roman"/>
          <w:i/>
          <w:iCs/>
          <w:noProof/>
          <w:sz w:val="20"/>
          <w:szCs w:val="20"/>
        </w:rPr>
        <w:t>LWT - Food Science and Technology</w:t>
      </w:r>
      <w:r w:rsidRPr="00525AFE">
        <w:rPr>
          <w:rFonts w:ascii="Times New Roman" w:hAnsi="Times New Roman"/>
          <w:noProof/>
          <w:sz w:val="20"/>
          <w:szCs w:val="20"/>
        </w:rPr>
        <w:t xml:space="preserve">, </w:t>
      </w:r>
      <w:r w:rsidRPr="00525AFE">
        <w:rPr>
          <w:rFonts w:ascii="Times New Roman" w:hAnsi="Times New Roman"/>
          <w:iCs/>
          <w:noProof/>
          <w:sz w:val="20"/>
          <w:szCs w:val="20"/>
        </w:rPr>
        <w:t>28(1):</w:t>
      </w:r>
      <w:r w:rsidRPr="00525AFE">
        <w:rPr>
          <w:rFonts w:ascii="Times New Roman" w:hAnsi="Times New Roman"/>
          <w:noProof/>
          <w:sz w:val="20"/>
          <w:szCs w:val="20"/>
        </w:rPr>
        <w:t xml:space="preserve"> 25-30.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Jadrijević-Mladar Takac, M. and Vikić Topić D. (2004). FT-IR and NMR spectroscopic studies of salicylic acid derivatives . II . Comparison of 2-hydroxy- and 2 , 4- and </w:t>
      </w:r>
      <w:r w:rsidRPr="00604029">
        <w:rPr>
          <w:rStyle w:val="Strong"/>
          <w:rFonts w:ascii="Times New Roman" w:hAnsi="Times New Roman"/>
          <w:b w:val="0"/>
          <w:sz w:val="20"/>
          <w:szCs w:val="20"/>
          <w:shd w:val="clear" w:color="auto" w:fill="FFFFFF"/>
        </w:rPr>
        <w:t>2,5-dihydroxy derivatives</w:t>
      </w:r>
      <w:r w:rsidRPr="00525AFE">
        <w:rPr>
          <w:rFonts w:ascii="Times New Roman" w:hAnsi="Times New Roman"/>
          <w:noProof/>
          <w:sz w:val="20"/>
          <w:szCs w:val="20"/>
        </w:rPr>
        <w:t xml:space="preserve">. </w:t>
      </w:r>
      <w:r w:rsidRPr="00525AFE">
        <w:rPr>
          <w:rFonts w:ascii="Times New Roman" w:hAnsi="Times New Roman"/>
          <w:i/>
          <w:iCs/>
          <w:noProof/>
          <w:sz w:val="20"/>
          <w:szCs w:val="20"/>
        </w:rPr>
        <w:t>Acta Pharmaceutica</w:t>
      </w:r>
      <w:r w:rsidRPr="00525AFE">
        <w:rPr>
          <w:rFonts w:ascii="Times New Roman" w:hAnsi="Times New Roman"/>
          <w:noProof/>
          <w:sz w:val="20"/>
          <w:szCs w:val="20"/>
        </w:rPr>
        <w:t xml:space="preserve">, </w:t>
      </w:r>
      <w:r w:rsidRPr="00525AFE">
        <w:rPr>
          <w:rFonts w:ascii="Times New Roman" w:hAnsi="Times New Roman"/>
          <w:iCs/>
          <w:noProof/>
          <w:sz w:val="20"/>
          <w:szCs w:val="20"/>
        </w:rPr>
        <w:t>54(3):</w:t>
      </w:r>
      <w:r w:rsidRPr="00525AFE">
        <w:rPr>
          <w:rFonts w:ascii="Times New Roman" w:hAnsi="Times New Roman"/>
          <w:noProof/>
          <w:sz w:val="20"/>
          <w:szCs w:val="20"/>
        </w:rPr>
        <w:t xml:space="preserve"> 177-191.</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Sinsheimer, J. E. and Keuhnelian, A. M. (1966). Near</w:t>
      </w:r>
      <w:r w:rsidRPr="00525AFE">
        <w:rPr>
          <w:rFonts w:ascii="Cambria Math" w:hAnsi="Cambria Math" w:cs="Cambria Math"/>
          <w:noProof/>
          <w:sz w:val="20"/>
          <w:szCs w:val="20"/>
        </w:rPr>
        <w:t>‐</w:t>
      </w:r>
      <w:r w:rsidRPr="00525AFE">
        <w:rPr>
          <w:rFonts w:ascii="Times New Roman" w:hAnsi="Times New Roman"/>
          <w:noProof/>
          <w:sz w:val="20"/>
          <w:szCs w:val="20"/>
        </w:rPr>
        <w:t xml:space="preserve">infrared spectroscopy of amine salts. </w:t>
      </w:r>
      <w:r w:rsidRPr="00525AFE">
        <w:rPr>
          <w:rFonts w:ascii="Times New Roman" w:hAnsi="Times New Roman"/>
          <w:i/>
          <w:iCs/>
          <w:noProof/>
          <w:sz w:val="20"/>
          <w:szCs w:val="20"/>
        </w:rPr>
        <w:t>Journal of Pharmaceutical Sciences</w:t>
      </w:r>
      <w:r w:rsidRPr="00525AFE">
        <w:rPr>
          <w:rFonts w:ascii="Times New Roman" w:hAnsi="Times New Roman"/>
          <w:noProof/>
          <w:sz w:val="20"/>
          <w:szCs w:val="20"/>
        </w:rPr>
        <w:t xml:space="preserve">, </w:t>
      </w:r>
      <w:r w:rsidRPr="00525AFE">
        <w:rPr>
          <w:rFonts w:ascii="Times New Roman" w:hAnsi="Times New Roman"/>
          <w:iCs/>
          <w:noProof/>
          <w:sz w:val="20"/>
          <w:szCs w:val="20"/>
        </w:rPr>
        <w:t>55</w:t>
      </w:r>
      <w:r w:rsidRPr="00525AFE">
        <w:rPr>
          <w:rFonts w:ascii="Times New Roman" w:hAnsi="Times New Roman"/>
          <w:noProof/>
          <w:sz w:val="20"/>
          <w:szCs w:val="20"/>
        </w:rPr>
        <w:t>(11): 1240-1244.</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Cook, D. (1964). Protonation site in organic bases from Infrared X—H deformation modes. </w:t>
      </w:r>
      <w:r w:rsidRPr="00525AFE">
        <w:rPr>
          <w:rFonts w:ascii="Times New Roman" w:hAnsi="Times New Roman"/>
          <w:i/>
          <w:iCs/>
          <w:noProof/>
          <w:sz w:val="20"/>
          <w:szCs w:val="20"/>
        </w:rPr>
        <w:t>Canadian Journal of Chemistry</w:t>
      </w:r>
      <w:r w:rsidRPr="00525AFE">
        <w:rPr>
          <w:rFonts w:ascii="Times New Roman" w:hAnsi="Times New Roman"/>
          <w:noProof/>
          <w:sz w:val="20"/>
          <w:szCs w:val="20"/>
        </w:rPr>
        <w:t xml:space="preserve">, </w:t>
      </w:r>
      <w:r w:rsidRPr="00525AFE">
        <w:rPr>
          <w:rFonts w:ascii="Times New Roman" w:hAnsi="Times New Roman"/>
          <w:iCs/>
          <w:noProof/>
          <w:sz w:val="20"/>
          <w:szCs w:val="20"/>
        </w:rPr>
        <w:t>42</w:t>
      </w:r>
      <w:r w:rsidRPr="00525AFE">
        <w:rPr>
          <w:rFonts w:ascii="Times New Roman" w:hAnsi="Times New Roman"/>
          <w:noProof/>
          <w:sz w:val="20"/>
          <w:szCs w:val="20"/>
        </w:rPr>
        <w:t>(10): 2292-2299.</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Pavia, D. L., Lampman, G. M. and Kriz, G. S. (2010). </w:t>
      </w:r>
      <w:r w:rsidRPr="00525AFE">
        <w:rPr>
          <w:rFonts w:ascii="Times New Roman" w:hAnsi="Times New Roman"/>
          <w:iCs/>
          <w:noProof/>
          <w:sz w:val="20"/>
          <w:szCs w:val="20"/>
        </w:rPr>
        <w:t>Introduction to spectroscopy</w:t>
      </w:r>
      <w:r w:rsidRPr="00525AFE">
        <w:rPr>
          <w:rFonts w:ascii="Times New Roman" w:hAnsi="Times New Roman"/>
          <w:noProof/>
          <w:sz w:val="20"/>
          <w:szCs w:val="20"/>
        </w:rPr>
        <w:t xml:space="preserve">. Cengage Learning: pp. </w:t>
      </w:r>
      <w:r w:rsidRPr="00525AFE">
        <w:rPr>
          <w:rFonts w:ascii="Times New Roman" w:hAnsi="Times New Roman"/>
          <w:sz w:val="20"/>
          <w:szCs w:val="20"/>
        </w:rPr>
        <w:t>370-372.</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Puttipipatkhachorn, S., Nunthanid, J., Yamamoto, K. and Peck, G. E. (2001). Drug physical state and drug-polymer interaction on drug release from chitosan matrix films. </w:t>
      </w:r>
      <w:r w:rsidRPr="00525AFE">
        <w:rPr>
          <w:rFonts w:ascii="Times New Roman" w:hAnsi="Times New Roman"/>
          <w:i/>
          <w:iCs/>
          <w:noProof/>
          <w:sz w:val="20"/>
          <w:szCs w:val="20"/>
        </w:rPr>
        <w:t>Journal of Controlled Release</w:t>
      </w:r>
      <w:r w:rsidRPr="00525AFE">
        <w:rPr>
          <w:rFonts w:ascii="Times New Roman" w:hAnsi="Times New Roman"/>
          <w:noProof/>
          <w:sz w:val="20"/>
          <w:szCs w:val="20"/>
        </w:rPr>
        <w:t xml:space="preserve">, </w:t>
      </w:r>
      <w:r w:rsidRPr="00525AFE">
        <w:rPr>
          <w:rFonts w:ascii="Times New Roman" w:hAnsi="Times New Roman"/>
          <w:iCs/>
          <w:noProof/>
          <w:sz w:val="20"/>
          <w:szCs w:val="20"/>
        </w:rPr>
        <w:t>75</w:t>
      </w:r>
      <w:r w:rsidRPr="00525AFE">
        <w:rPr>
          <w:rFonts w:ascii="Times New Roman" w:hAnsi="Times New Roman"/>
          <w:noProof/>
          <w:sz w:val="20"/>
          <w:szCs w:val="20"/>
        </w:rPr>
        <w:t xml:space="preserve">(1–2): 143-153.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Kung, K.-H. (2006). Coordination complexes of p-Hydroxybenzoate on Fe oxides. </w:t>
      </w:r>
      <w:r w:rsidRPr="00525AFE">
        <w:rPr>
          <w:rFonts w:ascii="Times New Roman" w:hAnsi="Times New Roman"/>
          <w:i/>
          <w:iCs/>
          <w:noProof/>
          <w:sz w:val="20"/>
          <w:szCs w:val="20"/>
        </w:rPr>
        <w:t>Clays and Clay Minerals</w:t>
      </w:r>
      <w:r w:rsidRPr="00525AFE">
        <w:rPr>
          <w:rFonts w:ascii="Times New Roman" w:hAnsi="Times New Roman"/>
          <w:noProof/>
          <w:sz w:val="20"/>
          <w:szCs w:val="20"/>
        </w:rPr>
        <w:t xml:space="preserve">, </w:t>
      </w:r>
      <w:r w:rsidRPr="00525AFE">
        <w:rPr>
          <w:rFonts w:ascii="Times New Roman" w:hAnsi="Times New Roman"/>
          <w:iCs/>
          <w:noProof/>
          <w:sz w:val="20"/>
          <w:szCs w:val="20"/>
        </w:rPr>
        <w:t>37</w:t>
      </w:r>
      <w:r w:rsidRPr="00525AFE">
        <w:rPr>
          <w:rFonts w:ascii="Times New Roman" w:hAnsi="Times New Roman"/>
          <w:noProof/>
          <w:sz w:val="20"/>
          <w:szCs w:val="20"/>
        </w:rPr>
        <w:t>(4): 333-340.</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Arellano, I. H. J., Guarino, J. G., Paredes, F. U. and Arco, S. D. (2011). Thermal stability and moisture uptake of 1-alkyl-3-methylimidazolium bromide. </w:t>
      </w:r>
      <w:r w:rsidRPr="00525AFE">
        <w:rPr>
          <w:rFonts w:ascii="Times New Roman" w:hAnsi="Times New Roman"/>
          <w:i/>
          <w:iCs/>
          <w:noProof/>
          <w:sz w:val="20"/>
          <w:szCs w:val="20"/>
        </w:rPr>
        <w:t>Journal of Thermal Analysis and Calorimetry</w:t>
      </w:r>
      <w:r w:rsidRPr="00525AFE">
        <w:rPr>
          <w:rFonts w:ascii="Times New Roman" w:hAnsi="Times New Roman"/>
          <w:noProof/>
          <w:sz w:val="20"/>
          <w:szCs w:val="20"/>
        </w:rPr>
        <w:t xml:space="preserve">, </w:t>
      </w:r>
      <w:r w:rsidRPr="00525AFE">
        <w:rPr>
          <w:rFonts w:ascii="Times New Roman" w:hAnsi="Times New Roman"/>
          <w:iCs/>
          <w:noProof/>
          <w:sz w:val="20"/>
          <w:szCs w:val="20"/>
        </w:rPr>
        <w:t>103</w:t>
      </w:r>
      <w:r w:rsidRPr="00525AFE">
        <w:rPr>
          <w:rFonts w:ascii="Times New Roman" w:hAnsi="Times New Roman"/>
          <w:noProof/>
          <w:sz w:val="20"/>
          <w:szCs w:val="20"/>
        </w:rPr>
        <w:t>(2): 725-730.</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Song, Y., Xia, Y. and Liu, Z. (2012). Influence of cation structure on physicochemical and antiwear properties of hydroxyl-functionalized imidazolium bis(trifluoromethylsulfonyl)imide ionic liquids. </w:t>
      </w:r>
      <w:r w:rsidRPr="00525AFE">
        <w:rPr>
          <w:rFonts w:ascii="Times New Roman" w:hAnsi="Times New Roman"/>
          <w:i/>
          <w:iCs/>
          <w:noProof/>
          <w:sz w:val="20"/>
          <w:szCs w:val="20"/>
        </w:rPr>
        <w:t>Tribology Transactions</w:t>
      </w:r>
      <w:r w:rsidRPr="00525AFE">
        <w:rPr>
          <w:rFonts w:ascii="Times New Roman" w:hAnsi="Times New Roman"/>
          <w:noProof/>
          <w:sz w:val="20"/>
          <w:szCs w:val="20"/>
        </w:rPr>
        <w:t xml:space="preserve">, </w:t>
      </w:r>
      <w:r w:rsidRPr="00525AFE">
        <w:rPr>
          <w:rFonts w:ascii="Times New Roman" w:hAnsi="Times New Roman"/>
          <w:iCs/>
          <w:noProof/>
          <w:sz w:val="20"/>
          <w:szCs w:val="20"/>
        </w:rPr>
        <w:t>55</w:t>
      </w:r>
      <w:r w:rsidRPr="00525AFE">
        <w:rPr>
          <w:rFonts w:ascii="Times New Roman" w:hAnsi="Times New Roman"/>
          <w:noProof/>
          <w:sz w:val="20"/>
          <w:szCs w:val="20"/>
        </w:rPr>
        <w:t>(6): 738-746.</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lastRenderedPageBreak/>
        <w:t xml:space="preserve">Montanino, M., Carewska, M., Alessandrini, F., Passerini, S. and Appetecchi, G. B. (2011). The role of the cation aliphatic side chain length in piperidinium bis(trifluoromethansulfonyl)imide ionic liquids. </w:t>
      </w:r>
      <w:r w:rsidRPr="00525AFE">
        <w:rPr>
          <w:rFonts w:ascii="Times New Roman" w:hAnsi="Times New Roman"/>
          <w:i/>
          <w:iCs/>
          <w:noProof/>
          <w:sz w:val="20"/>
          <w:szCs w:val="20"/>
        </w:rPr>
        <w:t>Electrochimica Acta</w:t>
      </w:r>
      <w:r w:rsidRPr="00525AFE">
        <w:rPr>
          <w:rFonts w:ascii="Times New Roman" w:hAnsi="Times New Roman"/>
          <w:noProof/>
          <w:sz w:val="20"/>
          <w:szCs w:val="20"/>
        </w:rPr>
        <w:t xml:space="preserve">, </w:t>
      </w:r>
      <w:r w:rsidRPr="00525AFE">
        <w:rPr>
          <w:rFonts w:ascii="Times New Roman" w:hAnsi="Times New Roman"/>
          <w:iCs/>
          <w:noProof/>
          <w:sz w:val="20"/>
          <w:szCs w:val="20"/>
        </w:rPr>
        <w:t>57</w:t>
      </w:r>
      <w:r w:rsidRPr="00525AFE">
        <w:rPr>
          <w:rFonts w:ascii="Times New Roman" w:hAnsi="Times New Roman"/>
          <w:noProof/>
          <w:sz w:val="20"/>
          <w:szCs w:val="20"/>
        </w:rPr>
        <w:t xml:space="preserve">(1): 153-159. </w:t>
      </w:r>
    </w:p>
    <w:p w:rsid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Oyeyemi, V. B., Keith, J. A. and Carter, E. A. (2014). Trends in bond dissociation energies of alcohols and aldehydes computed with multireference averaged coupled-pair functional theory. </w:t>
      </w:r>
      <w:r w:rsidRPr="00525AFE">
        <w:rPr>
          <w:rFonts w:ascii="Times New Roman" w:hAnsi="Times New Roman"/>
          <w:i/>
          <w:iCs/>
          <w:noProof/>
          <w:sz w:val="20"/>
          <w:szCs w:val="20"/>
        </w:rPr>
        <w:t>Journal of Physical Chemistry A</w:t>
      </w:r>
      <w:r w:rsidRPr="00525AFE">
        <w:rPr>
          <w:rFonts w:ascii="Times New Roman" w:hAnsi="Times New Roman"/>
          <w:noProof/>
          <w:sz w:val="20"/>
          <w:szCs w:val="20"/>
        </w:rPr>
        <w:t xml:space="preserve">, </w:t>
      </w:r>
      <w:r w:rsidRPr="00525AFE">
        <w:rPr>
          <w:rFonts w:ascii="Times New Roman" w:hAnsi="Times New Roman"/>
          <w:iCs/>
          <w:noProof/>
          <w:sz w:val="20"/>
          <w:szCs w:val="20"/>
        </w:rPr>
        <w:t>118</w:t>
      </w:r>
      <w:r w:rsidRPr="00525AFE">
        <w:rPr>
          <w:rFonts w:ascii="Times New Roman" w:hAnsi="Times New Roman"/>
          <w:noProof/>
          <w:sz w:val="20"/>
          <w:szCs w:val="20"/>
        </w:rPr>
        <w:t>(17): 3039-3050.</w:t>
      </w:r>
    </w:p>
    <w:p w:rsidR="00525AFE" w:rsidRPr="00525AFE" w:rsidRDefault="00525AFE" w:rsidP="00525AFE">
      <w:pPr>
        <w:pStyle w:val="ListParagraph"/>
        <w:numPr>
          <w:ilvl w:val="0"/>
          <w:numId w:val="5"/>
        </w:numPr>
        <w:spacing w:after="0" w:line="240" w:lineRule="auto"/>
        <w:ind w:left="360"/>
        <w:jc w:val="both"/>
        <w:rPr>
          <w:rFonts w:ascii="Times New Roman" w:hAnsi="Times New Roman"/>
          <w:noProof/>
          <w:sz w:val="20"/>
          <w:szCs w:val="20"/>
        </w:rPr>
      </w:pPr>
      <w:r w:rsidRPr="00525AFE">
        <w:rPr>
          <w:rFonts w:ascii="Times New Roman" w:hAnsi="Times New Roman"/>
          <w:noProof/>
          <w:sz w:val="20"/>
          <w:szCs w:val="20"/>
        </w:rPr>
        <w:t xml:space="preserve">Gordon, M. H., Paiva-Martins, F. and Almeida, M. (2001). Antioxidant activity of hydroxytyrosol acetate compared with that of other olive oil polyphenols. </w:t>
      </w:r>
      <w:r w:rsidRPr="00525AFE">
        <w:rPr>
          <w:rFonts w:ascii="Times New Roman" w:hAnsi="Times New Roman"/>
          <w:i/>
          <w:iCs/>
          <w:noProof/>
          <w:sz w:val="20"/>
          <w:szCs w:val="20"/>
        </w:rPr>
        <w:t>Journal of Agricultural and Food Chemistry</w:t>
      </w:r>
      <w:r w:rsidRPr="00525AFE">
        <w:rPr>
          <w:rFonts w:ascii="Times New Roman" w:hAnsi="Times New Roman"/>
          <w:noProof/>
          <w:sz w:val="20"/>
          <w:szCs w:val="20"/>
        </w:rPr>
        <w:t xml:space="preserve">, </w:t>
      </w:r>
      <w:r w:rsidRPr="00525AFE">
        <w:rPr>
          <w:rFonts w:ascii="Times New Roman" w:hAnsi="Times New Roman"/>
          <w:iCs/>
          <w:noProof/>
          <w:sz w:val="20"/>
          <w:szCs w:val="20"/>
        </w:rPr>
        <w:t>49</w:t>
      </w:r>
      <w:r w:rsidRPr="00525AFE">
        <w:rPr>
          <w:rFonts w:ascii="Times New Roman" w:hAnsi="Times New Roman"/>
          <w:noProof/>
          <w:sz w:val="20"/>
          <w:szCs w:val="20"/>
        </w:rPr>
        <w:t>(5): 2480-2485.</w:t>
      </w:r>
    </w:p>
    <w:p w:rsidR="00BF2403" w:rsidRPr="00525AFE" w:rsidRDefault="00525AFE" w:rsidP="00525AFE">
      <w:pPr>
        <w:spacing w:after="0" w:line="240" w:lineRule="auto"/>
        <w:jc w:val="both"/>
        <w:rPr>
          <w:rFonts w:ascii="Times New Roman" w:hAnsi="Times New Roman"/>
          <w:b/>
          <w:sz w:val="20"/>
          <w:szCs w:val="20"/>
        </w:rPr>
      </w:pPr>
      <w:r w:rsidRPr="00525AFE">
        <w:rPr>
          <w:rFonts w:ascii="Times New Roman" w:hAnsi="Times New Roman"/>
          <w:sz w:val="20"/>
          <w:szCs w:val="20"/>
        </w:rPr>
        <w:fldChar w:fldCharType="end"/>
      </w:r>
      <w:bookmarkEnd w:id="1"/>
    </w:p>
    <w:bookmarkEnd w:id="2"/>
    <w:sectPr w:rsidR="00BF2403" w:rsidRPr="00525AFE" w:rsidSect="004277F0">
      <w:headerReference w:type="even" r:id="rId25"/>
      <w:headerReference w:type="default" r:id="rId26"/>
      <w:footerReference w:type="even" r:id="rId27"/>
      <w:footerReference w:type="default" r:id="rId28"/>
      <w:pgSz w:w="12240" w:h="15840" w:code="1"/>
      <w:pgMar w:top="1800" w:right="1469" w:bottom="1699" w:left="1440" w:header="706" w:footer="706" w:gutter="0"/>
      <w:pgNumType w:start="3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C28BD">
      <w:rPr>
        <w:rFonts w:ascii="Times New Roman" w:hAnsi="Times New Roman"/>
        <w:noProof/>
      </w:rPr>
      <w:t>388</w:t>
    </w:r>
    <w:r w:rsidRPr="008B5904">
      <w:rPr>
        <w:rFonts w:ascii="Times New Roman" w:hAnsi="Times New Roman"/>
        <w:noProof/>
      </w:rPr>
      <w:fldChar w:fldCharType="end"/>
    </w:r>
  </w:p>
  <w:p w:rsidR="007964D6" w:rsidRDefault="007964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C28BD">
      <w:rPr>
        <w:rFonts w:ascii="Times New Roman" w:hAnsi="Times New Roman"/>
        <w:noProof/>
      </w:rPr>
      <w:t>389</w:t>
    </w:r>
    <w:r w:rsidRPr="008B5904">
      <w:rPr>
        <w:rFonts w:ascii="Times New Roman" w:hAnsi="Times New Roman"/>
        <w:noProof/>
      </w:rPr>
      <w:fldChar w:fldCharType="end"/>
    </w:r>
  </w:p>
  <w:p w:rsidR="001F27E8" w:rsidRDefault="001F27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03" w:rsidRPr="00BF2403" w:rsidRDefault="00BF2403" w:rsidP="00BF2403">
    <w:pPr>
      <w:spacing w:after="0" w:line="240" w:lineRule="auto"/>
      <w:outlineLvl w:val="0"/>
      <w:rPr>
        <w:rFonts w:ascii="Times New Roman" w:hAnsi="Times New Roman"/>
        <w:sz w:val="20"/>
        <w:szCs w:val="20"/>
      </w:rPr>
    </w:pPr>
    <w:r>
      <w:rPr>
        <w:rFonts w:ascii="Times New Roman" w:hAnsi="Times New Roman"/>
        <w:sz w:val="20"/>
        <w:szCs w:val="20"/>
      </w:rPr>
      <w:t>Nur Afiqah et al</w:t>
    </w:r>
    <w:r w:rsidR="006B72B0" w:rsidRPr="00BF2403">
      <w:rPr>
        <w:rFonts w:ascii="Times New Roman" w:hAnsi="Times New Roman"/>
        <w:sz w:val="20"/>
        <w:szCs w:val="20"/>
      </w:rPr>
      <w:t xml:space="preserve">: </w:t>
    </w:r>
    <w:r w:rsidR="00070F31" w:rsidRPr="00BF2403">
      <w:rPr>
        <w:rFonts w:ascii="Times New Roman" w:hAnsi="Times New Roman"/>
        <w:sz w:val="20"/>
        <w:szCs w:val="20"/>
      </w:rPr>
      <w:t xml:space="preserve"> </w:t>
    </w:r>
    <w:r w:rsidRPr="00BF2403">
      <w:rPr>
        <w:rFonts w:ascii="Times New Roman" w:hAnsi="Times New Roman"/>
        <w:sz w:val="20"/>
        <w:szCs w:val="20"/>
      </w:rPr>
      <w:t xml:space="preserve"> SALICYLATE-BASED PROTIC IONIC LIQUIDS AS A POTENTIAL ANTIOXIDANT </w:t>
    </w:r>
  </w:p>
  <w:p w:rsidR="007964D6" w:rsidRDefault="007964D6" w:rsidP="00BF2403">
    <w:pPr>
      <w:autoSpaceDE w:val="0"/>
      <w:autoSpaceDN w:val="0"/>
      <w:adjustRightInd w:val="0"/>
      <w:spacing w:after="0" w:line="240" w:lineRule="auto"/>
      <w:ind w:left="1260" w:hanging="12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BA7D4B">
      <w:rPr>
        <w:rFonts w:ascii="Times New Roman" w:hAnsi="Times New Roman"/>
        <w:i/>
        <w:lang w:val="en-US"/>
      </w:rPr>
      <w:t>3</w:t>
    </w:r>
    <w:r>
      <w:rPr>
        <w:rFonts w:ascii="Times New Roman" w:hAnsi="Times New Roman"/>
        <w:i/>
      </w:rPr>
      <w:t xml:space="preserve"> </w:t>
    </w:r>
    <w:r w:rsidR="0047088F">
      <w:rPr>
        <w:rFonts w:ascii="Times New Roman" w:hAnsi="Times New Roman"/>
        <w:i/>
        <w:lang w:val="en-US"/>
      </w:rPr>
      <w:t xml:space="preserve">No </w:t>
    </w:r>
    <w:r w:rsidR="00FB6730">
      <w:rPr>
        <w:rFonts w:ascii="Times New Roman" w:hAnsi="Times New Roman"/>
        <w:i/>
        <w:lang w:val="en-US"/>
      </w:rPr>
      <w:t>3</w:t>
    </w:r>
    <w:r>
      <w:rPr>
        <w:rFonts w:ascii="Times New Roman" w:hAnsi="Times New Roman"/>
        <w:i/>
      </w:rPr>
      <w:t xml:space="preserve"> (201</w:t>
    </w:r>
    <w:r w:rsidR="00BA7D4B">
      <w:rPr>
        <w:rFonts w:ascii="Times New Roman" w:hAnsi="Times New Roman"/>
        <w:i/>
        <w:lang w:val="en-US"/>
      </w:rPr>
      <w:t>9</w:t>
    </w:r>
    <w:r w:rsidRPr="00D75B35">
      <w:rPr>
        <w:rFonts w:ascii="Times New Roman" w:hAnsi="Times New Roman"/>
        <w:i/>
      </w:rPr>
      <w:t xml:space="preserve">): </w:t>
    </w:r>
    <w:r w:rsidR="004277F0">
      <w:rPr>
        <w:rFonts w:ascii="Times New Roman" w:hAnsi="Times New Roman"/>
        <w:i/>
        <w:lang w:val="en-US"/>
      </w:rPr>
      <w:t>383</w:t>
    </w:r>
    <w:r>
      <w:rPr>
        <w:rFonts w:ascii="Times New Roman" w:hAnsi="Times New Roman"/>
        <w:i/>
        <w:lang w:val="en-US"/>
      </w:rPr>
      <w:t xml:space="preserve"> </w:t>
    </w:r>
    <w:r w:rsidR="007A0583">
      <w:rPr>
        <w:rFonts w:ascii="Times New Roman" w:hAnsi="Times New Roman"/>
        <w:i/>
        <w:lang w:val="en-US"/>
      </w:rPr>
      <w:t>-</w:t>
    </w:r>
    <w:r w:rsidR="008A0036">
      <w:rPr>
        <w:rFonts w:ascii="Times New Roman" w:hAnsi="Times New Roman"/>
        <w:i/>
        <w:lang w:val="en-US"/>
      </w:rPr>
      <w:t xml:space="preserve"> </w:t>
    </w:r>
    <w:r w:rsidR="004277F0">
      <w:rPr>
        <w:rFonts w:ascii="Times New Roman" w:hAnsi="Times New Roman"/>
        <w:i/>
        <w:lang w:val="en-US"/>
      </w:rPr>
      <w:t>389</w:t>
    </w:r>
  </w:p>
  <w:p w:rsidR="007964D6" w:rsidRPr="00360294" w:rsidRDefault="00F4760B" w:rsidP="00360294">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BA7D4B">
      <w:rPr>
        <w:rFonts w:ascii="Times New Roman" w:hAnsi="Times New Roman"/>
        <w:i/>
        <w:lang w:val="en-US"/>
      </w:rPr>
      <w:t>doi.org/10.17576/mjas-2019-23</w:t>
    </w:r>
    <w:r w:rsidR="00B91DE7">
      <w:rPr>
        <w:rFonts w:ascii="Times New Roman" w:hAnsi="Times New Roman"/>
        <w:i/>
        <w:lang w:val="en-US"/>
      </w:rPr>
      <w:t>0</w:t>
    </w:r>
    <w:r w:rsidR="00FB6730">
      <w:rPr>
        <w:rFonts w:ascii="Times New Roman" w:hAnsi="Times New Roman"/>
        <w:i/>
        <w:lang w:val="en-US"/>
      </w:rPr>
      <w:t>3</w:t>
    </w:r>
    <w:r w:rsidR="008A0036">
      <w:rPr>
        <w:rFonts w:ascii="Times New Roman" w:hAnsi="Times New Roman"/>
        <w:i/>
        <w:lang w:val="en-US"/>
      </w:rPr>
      <w:t>-</w:t>
    </w:r>
    <w:r w:rsidR="004277F0">
      <w:rPr>
        <w:rFonts w:ascii="Times New Roman" w:hAnsi="Times New Roman"/>
        <w:i/>
        <w:lang w:val="en-US"/>
      </w:rPr>
      <w:t>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5A84FB62"/>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1A10D6"/>
    <w:multiLevelType w:val="hybridMultilevel"/>
    <w:tmpl w:val="3C2A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AA2AB9"/>
    <w:multiLevelType w:val="hybridMultilevel"/>
    <w:tmpl w:val="797AA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4221"/>
    <w:rsid w:val="001068E8"/>
    <w:rsid w:val="001106D8"/>
    <w:rsid w:val="00117BCD"/>
    <w:rsid w:val="001C2095"/>
    <w:rsid w:val="001D035A"/>
    <w:rsid w:val="001D3855"/>
    <w:rsid w:val="001D6F2C"/>
    <w:rsid w:val="001F27E8"/>
    <w:rsid w:val="00277498"/>
    <w:rsid w:val="0028007D"/>
    <w:rsid w:val="002860B7"/>
    <w:rsid w:val="00290F4D"/>
    <w:rsid w:val="002A2FC0"/>
    <w:rsid w:val="002B188F"/>
    <w:rsid w:val="002B3BD8"/>
    <w:rsid w:val="002C28BD"/>
    <w:rsid w:val="002F3F91"/>
    <w:rsid w:val="00304767"/>
    <w:rsid w:val="00304B34"/>
    <w:rsid w:val="00360294"/>
    <w:rsid w:val="00361BAF"/>
    <w:rsid w:val="00362FCE"/>
    <w:rsid w:val="00367D1F"/>
    <w:rsid w:val="003B6019"/>
    <w:rsid w:val="003C2616"/>
    <w:rsid w:val="003D4CDD"/>
    <w:rsid w:val="003D585B"/>
    <w:rsid w:val="003E7DA6"/>
    <w:rsid w:val="003F12FF"/>
    <w:rsid w:val="00401EB9"/>
    <w:rsid w:val="004277F0"/>
    <w:rsid w:val="0043729D"/>
    <w:rsid w:val="0047088F"/>
    <w:rsid w:val="004760D4"/>
    <w:rsid w:val="00494C46"/>
    <w:rsid w:val="004B43FF"/>
    <w:rsid w:val="004D7E25"/>
    <w:rsid w:val="00502641"/>
    <w:rsid w:val="00525AFE"/>
    <w:rsid w:val="005C6768"/>
    <w:rsid w:val="005D7FC0"/>
    <w:rsid w:val="005E4871"/>
    <w:rsid w:val="00601C8A"/>
    <w:rsid w:val="00604029"/>
    <w:rsid w:val="00623CB8"/>
    <w:rsid w:val="006257E5"/>
    <w:rsid w:val="00634C25"/>
    <w:rsid w:val="006416AB"/>
    <w:rsid w:val="0065447F"/>
    <w:rsid w:val="006768E9"/>
    <w:rsid w:val="00687982"/>
    <w:rsid w:val="0069647A"/>
    <w:rsid w:val="006B3EC8"/>
    <w:rsid w:val="006B72B0"/>
    <w:rsid w:val="006D286E"/>
    <w:rsid w:val="006D695E"/>
    <w:rsid w:val="00725A6A"/>
    <w:rsid w:val="007943F3"/>
    <w:rsid w:val="007964D6"/>
    <w:rsid w:val="007A0583"/>
    <w:rsid w:val="007A738C"/>
    <w:rsid w:val="007B1349"/>
    <w:rsid w:val="007C28A9"/>
    <w:rsid w:val="007D45AC"/>
    <w:rsid w:val="007E25BD"/>
    <w:rsid w:val="00802C35"/>
    <w:rsid w:val="0082181A"/>
    <w:rsid w:val="00825624"/>
    <w:rsid w:val="0083587A"/>
    <w:rsid w:val="00883CC3"/>
    <w:rsid w:val="008A0036"/>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A7D4B"/>
    <w:rsid w:val="00BB58AF"/>
    <w:rsid w:val="00BE7C30"/>
    <w:rsid w:val="00BF2403"/>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5A04"/>
    <w:rsid w:val="00E66197"/>
    <w:rsid w:val="00F31093"/>
    <w:rsid w:val="00F412AF"/>
    <w:rsid w:val="00F43667"/>
    <w:rsid w:val="00F447A7"/>
    <w:rsid w:val="00F4760B"/>
    <w:rsid w:val="00FB4C59"/>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E-mail">
    <w:name w:val="E-mail"/>
    <w:next w:val="Normal"/>
    <w:rsid w:val="00BF2403"/>
    <w:pPr>
      <w:spacing w:after="240"/>
      <w:ind w:left="1418"/>
    </w:pPr>
    <w:rPr>
      <w:rFonts w:ascii="Times" w:eastAsia="Times New Roman" w:hAnsi="Times"/>
      <w:noProof/>
      <w:sz w:val="22"/>
      <w:szCs w:val="22"/>
    </w:rPr>
  </w:style>
  <w:style w:type="paragraph" w:customStyle="1" w:styleId="Abstract">
    <w:name w:val="Abstract"/>
    <w:next w:val="Normal"/>
    <w:rsid w:val="00BF2403"/>
    <w:pPr>
      <w:spacing w:after="454"/>
      <w:ind w:left="1418"/>
      <w:jc w:val="both"/>
    </w:pPr>
    <w:rPr>
      <w:rFonts w:ascii="Times" w:eastAsia="Times New Roman" w:hAnsi="Times"/>
      <w:color w:val="000000"/>
      <w:lang w:val="en-GB"/>
    </w:rPr>
  </w:style>
  <w:style w:type="paragraph" w:customStyle="1" w:styleId="Bodytext">
    <w:name w:val="Bodytext"/>
    <w:next w:val="BodytextIndented"/>
    <w:rsid w:val="00BF2403"/>
    <w:pPr>
      <w:jc w:val="both"/>
    </w:pPr>
    <w:rPr>
      <w:rFonts w:ascii="Times" w:eastAsia="Times New Roman" w:hAnsi="Times"/>
      <w:iCs/>
      <w:color w:val="000000"/>
      <w:sz w:val="22"/>
      <w:szCs w:val="22"/>
    </w:rPr>
  </w:style>
  <w:style w:type="paragraph" w:customStyle="1" w:styleId="BodytextIndented">
    <w:name w:val="BodytextIndented"/>
    <w:basedOn w:val="Bodytext"/>
    <w:rsid w:val="00BF2403"/>
    <w:pPr>
      <w:ind w:firstLine="284"/>
    </w:pPr>
  </w:style>
  <w:style w:type="paragraph" w:customStyle="1" w:styleId="Subsubsection">
    <w:name w:val="Subsubsection"/>
    <w:next w:val="Bodytext"/>
    <w:rsid w:val="00BF2403"/>
    <w:pPr>
      <w:numPr>
        <w:ilvl w:val="2"/>
        <w:numId w:val="3"/>
      </w:numPr>
      <w:spacing w:before="240"/>
    </w:pPr>
    <w:rPr>
      <w:rFonts w:ascii="Times" w:eastAsia="Times New Roman" w:hAnsi="Times"/>
      <w:i/>
      <w:iCs/>
      <w:color w:val="000000"/>
      <w:sz w:val="22"/>
      <w:szCs w:val="22"/>
      <w:lang w:val="en-GB"/>
    </w:rPr>
  </w:style>
  <w:style w:type="paragraph" w:customStyle="1" w:styleId="Section">
    <w:name w:val="Section"/>
    <w:next w:val="Bodytext"/>
    <w:link w:val="SectionChar"/>
    <w:rsid w:val="00BF2403"/>
    <w:pPr>
      <w:numPr>
        <w:numId w:val="3"/>
      </w:numPr>
      <w:spacing w:before="240"/>
    </w:pPr>
    <w:rPr>
      <w:rFonts w:ascii="Times" w:eastAsia="Times New Roman" w:hAnsi="Times"/>
      <w:b/>
      <w:iCs/>
      <w:color w:val="000000"/>
      <w:sz w:val="22"/>
      <w:szCs w:val="22"/>
      <w:lang w:val="en-GB"/>
    </w:rPr>
  </w:style>
  <w:style w:type="paragraph" w:customStyle="1" w:styleId="Subsection">
    <w:name w:val="Subsection"/>
    <w:next w:val="Bodytext"/>
    <w:rsid w:val="00BF2403"/>
    <w:pPr>
      <w:numPr>
        <w:ilvl w:val="1"/>
        <w:numId w:val="3"/>
      </w:numPr>
      <w:spacing w:before="240"/>
    </w:pPr>
    <w:rPr>
      <w:rFonts w:ascii="Times" w:eastAsia="Times New Roman" w:hAnsi="Times"/>
      <w:iCs/>
      <w:color w:val="000000"/>
      <w:sz w:val="22"/>
      <w:szCs w:val="22"/>
      <w:lang w:val="en-GB"/>
    </w:rPr>
  </w:style>
  <w:style w:type="character" w:customStyle="1" w:styleId="SectionChar">
    <w:name w:val="Section Char"/>
    <w:basedOn w:val="DefaultParagraphFont"/>
    <w:link w:val="Section"/>
    <w:rsid w:val="00BF2403"/>
    <w:rPr>
      <w:rFonts w:ascii="Times" w:eastAsia="Times New Roman" w:hAnsi="Times"/>
      <w:b/>
      <w:iCs/>
      <w:color w:val="000000"/>
      <w:sz w:val="22"/>
      <w:szCs w:val="22"/>
      <w:lang w:val="en-GB"/>
    </w:rPr>
  </w:style>
  <w:style w:type="table" w:styleId="TableGrid">
    <w:name w:val="Table Grid"/>
    <w:basedOn w:val="TableNormal"/>
    <w:uiPriority w:val="59"/>
    <w:rsid w:val="00BF24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E-mail">
    <w:name w:val="E-mail"/>
    <w:next w:val="Normal"/>
    <w:rsid w:val="00BF2403"/>
    <w:pPr>
      <w:spacing w:after="240"/>
      <w:ind w:left="1418"/>
    </w:pPr>
    <w:rPr>
      <w:rFonts w:ascii="Times" w:eastAsia="Times New Roman" w:hAnsi="Times"/>
      <w:noProof/>
      <w:sz w:val="22"/>
      <w:szCs w:val="22"/>
    </w:rPr>
  </w:style>
  <w:style w:type="paragraph" w:customStyle="1" w:styleId="Abstract">
    <w:name w:val="Abstract"/>
    <w:next w:val="Normal"/>
    <w:rsid w:val="00BF2403"/>
    <w:pPr>
      <w:spacing w:after="454"/>
      <w:ind w:left="1418"/>
      <w:jc w:val="both"/>
    </w:pPr>
    <w:rPr>
      <w:rFonts w:ascii="Times" w:eastAsia="Times New Roman" w:hAnsi="Times"/>
      <w:color w:val="000000"/>
      <w:lang w:val="en-GB"/>
    </w:rPr>
  </w:style>
  <w:style w:type="paragraph" w:customStyle="1" w:styleId="Bodytext">
    <w:name w:val="Bodytext"/>
    <w:next w:val="BodytextIndented"/>
    <w:rsid w:val="00BF2403"/>
    <w:pPr>
      <w:jc w:val="both"/>
    </w:pPr>
    <w:rPr>
      <w:rFonts w:ascii="Times" w:eastAsia="Times New Roman" w:hAnsi="Times"/>
      <w:iCs/>
      <w:color w:val="000000"/>
      <w:sz w:val="22"/>
      <w:szCs w:val="22"/>
    </w:rPr>
  </w:style>
  <w:style w:type="paragraph" w:customStyle="1" w:styleId="BodytextIndented">
    <w:name w:val="BodytextIndented"/>
    <w:basedOn w:val="Bodytext"/>
    <w:rsid w:val="00BF2403"/>
    <w:pPr>
      <w:ind w:firstLine="284"/>
    </w:pPr>
  </w:style>
  <w:style w:type="paragraph" w:customStyle="1" w:styleId="Subsubsection">
    <w:name w:val="Subsubsection"/>
    <w:next w:val="Bodytext"/>
    <w:rsid w:val="00BF2403"/>
    <w:pPr>
      <w:numPr>
        <w:ilvl w:val="2"/>
        <w:numId w:val="3"/>
      </w:numPr>
      <w:spacing w:before="240"/>
    </w:pPr>
    <w:rPr>
      <w:rFonts w:ascii="Times" w:eastAsia="Times New Roman" w:hAnsi="Times"/>
      <w:i/>
      <w:iCs/>
      <w:color w:val="000000"/>
      <w:sz w:val="22"/>
      <w:szCs w:val="22"/>
      <w:lang w:val="en-GB"/>
    </w:rPr>
  </w:style>
  <w:style w:type="paragraph" w:customStyle="1" w:styleId="Section">
    <w:name w:val="Section"/>
    <w:next w:val="Bodytext"/>
    <w:link w:val="SectionChar"/>
    <w:rsid w:val="00BF2403"/>
    <w:pPr>
      <w:numPr>
        <w:numId w:val="3"/>
      </w:numPr>
      <w:spacing w:before="240"/>
    </w:pPr>
    <w:rPr>
      <w:rFonts w:ascii="Times" w:eastAsia="Times New Roman" w:hAnsi="Times"/>
      <w:b/>
      <w:iCs/>
      <w:color w:val="000000"/>
      <w:sz w:val="22"/>
      <w:szCs w:val="22"/>
      <w:lang w:val="en-GB"/>
    </w:rPr>
  </w:style>
  <w:style w:type="paragraph" w:customStyle="1" w:styleId="Subsection">
    <w:name w:val="Subsection"/>
    <w:next w:val="Bodytext"/>
    <w:rsid w:val="00BF2403"/>
    <w:pPr>
      <w:numPr>
        <w:ilvl w:val="1"/>
        <w:numId w:val="3"/>
      </w:numPr>
      <w:spacing w:before="240"/>
    </w:pPr>
    <w:rPr>
      <w:rFonts w:ascii="Times" w:eastAsia="Times New Roman" w:hAnsi="Times"/>
      <w:iCs/>
      <w:color w:val="000000"/>
      <w:sz w:val="22"/>
      <w:szCs w:val="22"/>
      <w:lang w:val="en-GB"/>
    </w:rPr>
  </w:style>
  <w:style w:type="character" w:customStyle="1" w:styleId="SectionChar">
    <w:name w:val="Section Char"/>
    <w:basedOn w:val="DefaultParagraphFont"/>
    <w:link w:val="Section"/>
    <w:rsid w:val="00BF2403"/>
    <w:rPr>
      <w:rFonts w:ascii="Times" w:eastAsia="Times New Roman" w:hAnsi="Times"/>
      <w:b/>
      <w:iCs/>
      <w:color w:val="000000"/>
      <w:sz w:val="22"/>
      <w:szCs w:val="22"/>
      <w:lang w:val="en-GB"/>
    </w:rPr>
  </w:style>
  <w:style w:type="table" w:styleId="TableGrid">
    <w:name w:val="Table Grid"/>
    <w:basedOn w:val="TableNormal"/>
    <w:uiPriority w:val="59"/>
    <w:rsid w:val="00BF24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7.t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0.tif"/><Relationship Id="rId17" Type="http://schemas.openxmlformats.org/officeDocument/2006/relationships/image" Target="media/image6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ti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0.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F462E-D63A-47B3-A55F-6BB82D8D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9545</Words>
  <Characters>54598</Characters>
  <Application>Microsoft Office Word</Application>
  <DocSecurity>0</DocSecurity>
  <Lines>974</Lines>
  <Paragraphs>386</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63757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13</cp:revision>
  <cp:lastPrinted>2019-06-18T06:28:00Z</cp:lastPrinted>
  <dcterms:created xsi:type="dcterms:W3CDTF">2019-05-30T00:44:00Z</dcterms:created>
  <dcterms:modified xsi:type="dcterms:W3CDTF">2019-06-18T06:28:00Z</dcterms:modified>
</cp:coreProperties>
</file>