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9C3132" w:rsidRDefault="009C3132" w:rsidP="009C3132">
      <w:pPr>
        <w:spacing w:after="0" w:line="240" w:lineRule="auto"/>
        <w:jc w:val="center"/>
        <w:outlineLvl w:val="0"/>
        <w:rPr>
          <w:rFonts w:ascii="Times New Roman" w:hAnsi="Times New Roman"/>
          <w:sz w:val="28"/>
        </w:rPr>
      </w:pPr>
      <w:r w:rsidRPr="002D512B">
        <w:rPr>
          <w:rFonts w:ascii="Times New Roman" w:hAnsi="Times New Roman"/>
          <w:sz w:val="28"/>
        </w:rPr>
        <w:t xml:space="preserve">CHEMICAL COMPONENTS OF POLYMERASE CHAIN REACTION </w:t>
      </w:r>
    </w:p>
    <w:p w:rsidR="009C3132" w:rsidRPr="002D512B" w:rsidRDefault="009C3132" w:rsidP="009C3132">
      <w:pPr>
        <w:spacing w:after="0" w:line="240" w:lineRule="auto"/>
        <w:jc w:val="center"/>
        <w:outlineLvl w:val="0"/>
        <w:rPr>
          <w:rFonts w:ascii="Times New Roman" w:hAnsi="Times New Roman"/>
          <w:sz w:val="28"/>
        </w:rPr>
      </w:pPr>
      <w:r w:rsidRPr="002D512B">
        <w:rPr>
          <w:rFonts w:ascii="Times New Roman" w:hAnsi="Times New Roman"/>
          <w:sz w:val="28"/>
        </w:rPr>
        <w:t xml:space="preserve">IN 18S rRNA FOR DETECTION OF </w:t>
      </w:r>
      <w:r w:rsidRPr="002D512B">
        <w:rPr>
          <w:rFonts w:ascii="Times New Roman" w:hAnsi="Times New Roman"/>
          <w:i/>
          <w:sz w:val="28"/>
        </w:rPr>
        <w:t>Cryptosporidium</w:t>
      </w:r>
      <w:r w:rsidRPr="002D512B">
        <w:rPr>
          <w:rFonts w:ascii="Times New Roman" w:hAnsi="Times New Roman"/>
          <w:sz w:val="28"/>
        </w:rPr>
        <w:t xml:space="preserve"> FROM RIVER WATER SAMPLES </w:t>
      </w:r>
    </w:p>
    <w:p w:rsidR="009C3132" w:rsidRPr="002D512B" w:rsidRDefault="009C3132" w:rsidP="009C3132">
      <w:pPr>
        <w:spacing w:after="0" w:line="240" w:lineRule="auto"/>
        <w:jc w:val="center"/>
        <w:outlineLvl w:val="0"/>
        <w:rPr>
          <w:rFonts w:ascii="Times New Roman" w:hAnsi="Times New Roman"/>
          <w:b/>
          <w:sz w:val="24"/>
        </w:rPr>
      </w:pPr>
    </w:p>
    <w:p w:rsidR="009C3132" w:rsidRPr="009C3132" w:rsidRDefault="009C3132" w:rsidP="009C3132">
      <w:pPr>
        <w:spacing w:after="0" w:line="240" w:lineRule="auto"/>
        <w:jc w:val="center"/>
        <w:outlineLvl w:val="0"/>
        <w:rPr>
          <w:rFonts w:ascii="Times New Roman" w:hAnsi="Times New Roman"/>
          <w:sz w:val="24"/>
          <w:lang w:val="ms-MY"/>
        </w:rPr>
      </w:pPr>
      <w:r>
        <w:rPr>
          <w:rFonts w:ascii="Times New Roman" w:hAnsi="Times New Roman"/>
          <w:sz w:val="24"/>
        </w:rPr>
        <w:t>(</w:t>
      </w:r>
      <w:r w:rsidRPr="00C93331">
        <w:rPr>
          <w:rFonts w:ascii="Times New Roman" w:hAnsi="Times New Roman"/>
          <w:sz w:val="24"/>
          <w:lang w:val="ms-MY"/>
        </w:rPr>
        <w:t xml:space="preserve">Komponen Kimia Tindak Balas Berantai Polimerase di dalam 18S rRNA untuk Pengesanan </w:t>
      </w:r>
      <w:r w:rsidRPr="00C93331">
        <w:rPr>
          <w:rFonts w:ascii="Times New Roman" w:hAnsi="Times New Roman"/>
          <w:i/>
          <w:sz w:val="24"/>
          <w:lang w:val="ms-MY"/>
        </w:rPr>
        <w:t>Cryptosporidium</w:t>
      </w:r>
      <w:r w:rsidRPr="00C93331">
        <w:rPr>
          <w:rFonts w:ascii="Times New Roman" w:hAnsi="Times New Roman"/>
          <w:sz w:val="24"/>
          <w:lang w:val="ms-MY"/>
        </w:rPr>
        <w:t xml:space="preserve"> dari Sampel Air Sungai</w:t>
      </w:r>
      <w:r>
        <w:rPr>
          <w:rFonts w:ascii="Times New Roman" w:hAnsi="Times New Roman"/>
          <w:sz w:val="24"/>
        </w:rPr>
        <w:t>)</w:t>
      </w:r>
    </w:p>
    <w:p w:rsidR="009C3132" w:rsidRPr="009C3132" w:rsidRDefault="009C3132" w:rsidP="009C3132">
      <w:pPr>
        <w:spacing w:after="0" w:line="240" w:lineRule="auto"/>
        <w:jc w:val="center"/>
        <w:outlineLvl w:val="0"/>
        <w:rPr>
          <w:rFonts w:ascii="Times New Roman" w:hAnsi="Times New Roman"/>
          <w:b/>
          <w:sz w:val="20"/>
          <w:szCs w:val="20"/>
        </w:rPr>
      </w:pPr>
    </w:p>
    <w:p w:rsidR="009C3132" w:rsidRPr="009C3132" w:rsidRDefault="009C3132" w:rsidP="009C3132">
      <w:pPr>
        <w:spacing w:after="0" w:line="240" w:lineRule="auto"/>
        <w:jc w:val="center"/>
        <w:outlineLvl w:val="0"/>
        <w:rPr>
          <w:rFonts w:ascii="Times New Roman" w:hAnsi="Times New Roman"/>
          <w:sz w:val="20"/>
          <w:szCs w:val="20"/>
          <w:vertAlign w:val="superscript"/>
        </w:rPr>
      </w:pPr>
      <w:r w:rsidRPr="009C3132">
        <w:rPr>
          <w:rFonts w:ascii="Times New Roman" w:hAnsi="Times New Roman"/>
          <w:sz w:val="20"/>
          <w:szCs w:val="20"/>
        </w:rPr>
        <w:t>Mohd Aiman Barudin</w:t>
      </w:r>
      <w:r w:rsidRPr="009C3132">
        <w:rPr>
          <w:rFonts w:ascii="Times New Roman" w:hAnsi="Times New Roman"/>
          <w:sz w:val="20"/>
          <w:szCs w:val="20"/>
          <w:vertAlign w:val="superscript"/>
        </w:rPr>
        <w:t>1</w:t>
      </w:r>
      <w:r w:rsidRPr="009C3132">
        <w:rPr>
          <w:rFonts w:ascii="Times New Roman" w:hAnsi="Times New Roman"/>
          <w:sz w:val="20"/>
          <w:szCs w:val="20"/>
        </w:rPr>
        <w:t>, Mohammad Lokman Md Isa</w:t>
      </w:r>
      <w:r w:rsidRPr="009C3132">
        <w:rPr>
          <w:rFonts w:ascii="Times New Roman" w:hAnsi="Times New Roman"/>
          <w:sz w:val="20"/>
          <w:szCs w:val="20"/>
          <w:vertAlign w:val="superscript"/>
        </w:rPr>
        <w:t>2,3</w:t>
      </w:r>
      <w:r w:rsidRPr="009C3132">
        <w:rPr>
          <w:rFonts w:ascii="Times New Roman" w:hAnsi="Times New Roman"/>
          <w:sz w:val="20"/>
          <w:szCs w:val="20"/>
        </w:rPr>
        <w:t>, Afzan Mat Yusof</w:t>
      </w:r>
      <w:r w:rsidRPr="009C3132">
        <w:rPr>
          <w:rFonts w:ascii="Times New Roman" w:hAnsi="Times New Roman"/>
          <w:sz w:val="20"/>
          <w:szCs w:val="20"/>
          <w:vertAlign w:val="superscript"/>
        </w:rPr>
        <w:t>2,3</w:t>
      </w:r>
      <w:r w:rsidRPr="009C3132">
        <w:rPr>
          <w:rFonts w:ascii="Times New Roman" w:hAnsi="Times New Roman"/>
          <w:sz w:val="20"/>
          <w:szCs w:val="20"/>
        </w:rPr>
        <w:t>*</w:t>
      </w:r>
    </w:p>
    <w:p w:rsidR="009C3132" w:rsidRPr="002D512B" w:rsidRDefault="009C3132" w:rsidP="009C3132">
      <w:pPr>
        <w:spacing w:after="0" w:line="240" w:lineRule="auto"/>
        <w:jc w:val="center"/>
        <w:outlineLvl w:val="0"/>
        <w:rPr>
          <w:rFonts w:ascii="Times New Roman" w:hAnsi="Times New Roman"/>
          <w:b/>
          <w:szCs w:val="20"/>
        </w:rPr>
      </w:pPr>
      <w:r w:rsidRPr="002D512B">
        <w:rPr>
          <w:rFonts w:ascii="Times New Roman" w:hAnsi="Times New Roman"/>
          <w:b/>
          <w:szCs w:val="20"/>
        </w:rPr>
        <w:t xml:space="preserve"> </w:t>
      </w:r>
    </w:p>
    <w:p w:rsidR="009C3132" w:rsidRPr="002D512B" w:rsidRDefault="009C3132" w:rsidP="009C3132">
      <w:pPr>
        <w:spacing w:after="0" w:line="240" w:lineRule="auto"/>
        <w:jc w:val="center"/>
        <w:outlineLvl w:val="0"/>
        <w:rPr>
          <w:rFonts w:ascii="Times New Roman" w:hAnsi="Times New Roman"/>
          <w:i/>
          <w:sz w:val="18"/>
          <w:szCs w:val="18"/>
        </w:rPr>
      </w:pPr>
      <w:r w:rsidRPr="002D512B">
        <w:rPr>
          <w:rFonts w:ascii="Times New Roman" w:hAnsi="Times New Roman"/>
          <w:i/>
          <w:sz w:val="18"/>
          <w:szCs w:val="18"/>
          <w:vertAlign w:val="superscript"/>
        </w:rPr>
        <w:t>1</w:t>
      </w:r>
      <w:r w:rsidRPr="002D512B">
        <w:rPr>
          <w:rFonts w:ascii="Times New Roman" w:hAnsi="Times New Roman"/>
          <w:i/>
          <w:sz w:val="18"/>
          <w:szCs w:val="18"/>
        </w:rPr>
        <w:t>Department of Biomedical Science, Kull</w:t>
      </w:r>
      <w:r>
        <w:rPr>
          <w:rFonts w:ascii="Times New Roman" w:hAnsi="Times New Roman"/>
          <w:i/>
          <w:sz w:val="18"/>
          <w:szCs w:val="18"/>
        </w:rPr>
        <w:t>iyyah of Allied Health Sciences</w:t>
      </w:r>
      <w:r w:rsidRPr="002D512B">
        <w:rPr>
          <w:rFonts w:ascii="Times New Roman" w:hAnsi="Times New Roman"/>
          <w:i/>
          <w:sz w:val="18"/>
          <w:szCs w:val="18"/>
        </w:rPr>
        <w:t xml:space="preserve"> </w:t>
      </w:r>
    </w:p>
    <w:p w:rsidR="009C3132" w:rsidRPr="002D512B" w:rsidRDefault="009C3132" w:rsidP="009C3132">
      <w:pPr>
        <w:spacing w:after="0" w:line="240" w:lineRule="auto"/>
        <w:jc w:val="center"/>
        <w:outlineLvl w:val="0"/>
        <w:rPr>
          <w:rFonts w:ascii="Times New Roman" w:hAnsi="Times New Roman"/>
          <w:i/>
          <w:sz w:val="18"/>
          <w:szCs w:val="18"/>
        </w:rPr>
      </w:pPr>
      <w:r w:rsidRPr="002D512B">
        <w:rPr>
          <w:rFonts w:ascii="Times New Roman" w:hAnsi="Times New Roman"/>
          <w:i/>
          <w:sz w:val="18"/>
          <w:szCs w:val="18"/>
          <w:vertAlign w:val="superscript"/>
        </w:rPr>
        <w:t>2</w:t>
      </w:r>
      <w:r w:rsidRPr="002D512B">
        <w:rPr>
          <w:rFonts w:ascii="Times New Roman" w:hAnsi="Times New Roman"/>
          <w:i/>
          <w:sz w:val="18"/>
          <w:szCs w:val="18"/>
        </w:rPr>
        <w:t xml:space="preserve">Department of Basic Medical Sciences, </w:t>
      </w:r>
      <w:r>
        <w:rPr>
          <w:rFonts w:ascii="Times New Roman" w:hAnsi="Times New Roman"/>
          <w:i/>
          <w:sz w:val="18"/>
          <w:szCs w:val="18"/>
        </w:rPr>
        <w:t>Kulliyyah of Nursing</w:t>
      </w:r>
      <w:r w:rsidRPr="002D512B">
        <w:rPr>
          <w:rFonts w:ascii="Times New Roman" w:hAnsi="Times New Roman"/>
          <w:i/>
          <w:sz w:val="18"/>
          <w:szCs w:val="18"/>
        </w:rPr>
        <w:t xml:space="preserve"> </w:t>
      </w:r>
    </w:p>
    <w:p w:rsidR="009C3132" w:rsidRDefault="009C3132" w:rsidP="009C3132">
      <w:pPr>
        <w:spacing w:after="0" w:line="240" w:lineRule="auto"/>
        <w:jc w:val="center"/>
        <w:outlineLvl w:val="0"/>
        <w:rPr>
          <w:rFonts w:ascii="Times New Roman" w:hAnsi="Times New Roman"/>
          <w:i/>
          <w:sz w:val="18"/>
          <w:szCs w:val="18"/>
        </w:rPr>
      </w:pPr>
      <w:r w:rsidRPr="002D512B">
        <w:rPr>
          <w:rFonts w:ascii="Times New Roman" w:hAnsi="Times New Roman"/>
          <w:i/>
          <w:sz w:val="18"/>
          <w:szCs w:val="18"/>
          <w:vertAlign w:val="superscript"/>
        </w:rPr>
        <w:t>3</w:t>
      </w:r>
      <w:r w:rsidRPr="002D512B">
        <w:rPr>
          <w:rFonts w:ascii="Times New Roman" w:hAnsi="Times New Roman"/>
          <w:i/>
          <w:sz w:val="18"/>
          <w:szCs w:val="18"/>
        </w:rPr>
        <w:t>Integrated Cellular and Molecular Biology Cluster (iM</w:t>
      </w:r>
      <w:r>
        <w:rPr>
          <w:rFonts w:ascii="Times New Roman" w:hAnsi="Times New Roman"/>
          <w:i/>
          <w:sz w:val="18"/>
          <w:szCs w:val="18"/>
        </w:rPr>
        <w:t>olec)</w:t>
      </w:r>
      <w:r w:rsidRPr="002D512B">
        <w:rPr>
          <w:rFonts w:ascii="Times New Roman" w:hAnsi="Times New Roman"/>
          <w:i/>
          <w:sz w:val="18"/>
          <w:szCs w:val="18"/>
        </w:rPr>
        <w:t xml:space="preserve"> </w:t>
      </w:r>
    </w:p>
    <w:p w:rsidR="009C3132" w:rsidRDefault="009C3132" w:rsidP="009C3132">
      <w:pPr>
        <w:spacing w:after="0" w:line="240" w:lineRule="auto"/>
        <w:jc w:val="center"/>
        <w:outlineLvl w:val="0"/>
        <w:rPr>
          <w:rFonts w:ascii="Times New Roman" w:hAnsi="Times New Roman"/>
          <w:i/>
          <w:sz w:val="18"/>
          <w:szCs w:val="18"/>
        </w:rPr>
      </w:pPr>
      <w:r w:rsidRPr="002D512B">
        <w:rPr>
          <w:rFonts w:ascii="Times New Roman" w:hAnsi="Times New Roman"/>
          <w:i/>
          <w:sz w:val="18"/>
          <w:szCs w:val="18"/>
        </w:rPr>
        <w:t xml:space="preserve">International Islamic University Malaysia, Jalan Sultan Ahmad Shah, Bandar Indera Mahkota, </w:t>
      </w:r>
    </w:p>
    <w:p w:rsidR="009C3132" w:rsidRPr="009C3132" w:rsidRDefault="009C3132" w:rsidP="009C3132">
      <w:pPr>
        <w:spacing w:after="0" w:line="240" w:lineRule="auto"/>
        <w:jc w:val="center"/>
        <w:outlineLvl w:val="0"/>
        <w:rPr>
          <w:rFonts w:ascii="Times New Roman" w:hAnsi="Times New Roman"/>
          <w:i/>
          <w:sz w:val="18"/>
          <w:szCs w:val="18"/>
        </w:rPr>
      </w:pPr>
      <w:r w:rsidRPr="002D512B">
        <w:rPr>
          <w:rFonts w:ascii="Times New Roman" w:hAnsi="Times New Roman"/>
          <w:i/>
          <w:sz w:val="18"/>
          <w:szCs w:val="18"/>
        </w:rPr>
        <w:t>25200 Kuantan, Pahang, Malaysia.</w:t>
      </w:r>
      <w:r w:rsidRPr="002D512B">
        <w:rPr>
          <w:rFonts w:ascii="Times New Roman" w:hAnsi="Times New Roman"/>
          <w:b/>
          <w:i/>
          <w:sz w:val="18"/>
          <w:szCs w:val="18"/>
        </w:rPr>
        <w:t xml:space="preserve"> </w:t>
      </w:r>
    </w:p>
    <w:p w:rsidR="009C3132" w:rsidRPr="002D512B" w:rsidRDefault="009C3132" w:rsidP="009C3132">
      <w:pPr>
        <w:spacing w:after="0" w:line="240" w:lineRule="auto"/>
        <w:jc w:val="center"/>
        <w:outlineLvl w:val="0"/>
        <w:rPr>
          <w:rFonts w:ascii="Times New Roman" w:hAnsi="Times New Roman"/>
          <w:b/>
          <w:sz w:val="18"/>
          <w:szCs w:val="18"/>
        </w:rPr>
      </w:pPr>
    </w:p>
    <w:p w:rsidR="009C3132" w:rsidRPr="002D512B" w:rsidRDefault="009C3132" w:rsidP="009C3132">
      <w:pPr>
        <w:spacing w:after="0" w:line="240" w:lineRule="auto"/>
        <w:jc w:val="center"/>
        <w:outlineLvl w:val="0"/>
        <w:rPr>
          <w:rFonts w:ascii="Times New Roman" w:hAnsi="Times New Roman"/>
          <w:i/>
          <w:sz w:val="18"/>
        </w:rPr>
      </w:pPr>
      <w:r w:rsidRPr="009C3132">
        <w:rPr>
          <w:rFonts w:ascii="Times New Roman" w:hAnsi="Times New Roman"/>
          <w:i/>
          <w:sz w:val="18"/>
        </w:rPr>
        <w:t>*</w:t>
      </w:r>
      <w:r w:rsidRPr="002D512B">
        <w:rPr>
          <w:rFonts w:ascii="Times New Roman" w:hAnsi="Times New Roman"/>
          <w:i/>
          <w:sz w:val="18"/>
        </w:rPr>
        <w:t xml:space="preserve">Corresponding author: </w:t>
      </w:r>
      <w:r>
        <w:rPr>
          <w:rFonts w:ascii="Times New Roman" w:hAnsi="Times New Roman"/>
          <w:i/>
          <w:sz w:val="18"/>
        </w:rPr>
        <w:t xml:space="preserve"> </w:t>
      </w:r>
      <w:r w:rsidRPr="002D512B">
        <w:rPr>
          <w:rFonts w:ascii="Times New Roman" w:hAnsi="Times New Roman"/>
          <w:i/>
          <w:sz w:val="18"/>
        </w:rPr>
        <w:t>afzan@iium.edu.my</w:t>
      </w:r>
      <w:r w:rsidRPr="002D512B">
        <w:rPr>
          <w:rFonts w:ascii="Times New Roman" w:hAnsi="Times New Roman"/>
          <w:b/>
          <w:i/>
          <w:sz w:val="18"/>
        </w:rPr>
        <w:t xml:space="preserve"> </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A7214">
        <w:rPr>
          <w:rFonts w:ascii="Times New Roman" w:hAnsi="Times New Roman"/>
          <w:noProof/>
          <w:sz w:val="18"/>
          <w:szCs w:val="18"/>
          <w:lang w:bidi="ar-SA"/>
        </w:rPr>
        <w:t>19 August 2018</w:t>
      </w:r>
      <w:r>
        <w:rPr>
          <w:rFonts w:ascii="Times New Roman" w:hAnsi="Times New Roman"/>
          <w:noProof/>
          <w:sz w:val="18"/>
          <w:szCs w:val="18"/>
          <w:lang w:bidi="ar-SA"/>
        </w:rPr>
        <w:t xml:space="preserve">; Accepted: </w:t>
      </w:r>
      <w:r w:rsidR="002A7214">
        <w:rPr>
          <w:rFonts w:ascii="Times New Roman" w:hAnsi="Times New Roman"/>
          <w:noProof/>
          <w:sz w:val="18"/>
          <w:szCs w:val="18"/>
          <w:lang w:bidi="ar-SA"/>
        </w:rPr>
        <w:t>18 May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9C3132" w:rsidRPr="002D512B" w:rsidRDefault="009C3132" w:rsidP="009C3132">
      <w:pPr>
        <w:spacing w:after="0" w:line="240" w:lineRule="auto"/>
        <w:jc w:val="both"/>
        <w:outlineLvl w:val="0"/>
        <w:rPr>
          <w:rFonts w:ascii="Times New Roman" w:hAnsi="Times New Roman"/>
          <w:sz w:val="18"/>
          <w:szCs w:val="18"/>
        </w:rPr>
      </w:pPr>
      <w:r w:rsidRPr="002D512B">
        <w:rPr>
          <w:rFonts w:ascii="Times New Roman" w:hAnsi="Times New Roman"/>
          <w:sz w:val="18"/>
          <w:szCs w:val="18"/>
        </w:rPr>
        <w:t xml:space="preserve">The gene of 18S ribosomal RNA or 18S rRNA is the universal gene function as a general genetic marker for species identification of microorganisms including parasites. </w:t>
      </w:r>
      <w:r w:rsidRPr="002D512B">
        <w:rPr>
          <w:rFonts w:ascii="Times New Roman" w:hAnsi="Times New Roman"/>
          <w:i/>
          <w:iCs/>
          <w:sz w:val="18"/>
          <w:szCs w:val="18"/>
        </w:rPr>
        <w:t>Cryptosporidium</w:t>
      </w:r>
      <w:r w:rsidRPr="002D512B">
        <w:rPr>
          <w:rFonts w:ascii="Times New Roman" w:hAnsi="Times New Roman"/>
          <w:sz w:val="18"/>
          <w:szCs w:val="18"/>
        </w:rPr>
        <w:t xml:space="preserve"> has distinct 18S rRNA genes along different species within the same genus. In this study, polymerase chain reaction or PCR was used to study chemical components of PCR setup in amplification of 18S rRNA gene of this parasite. </w:t>
      </w:r>
      <w:r w:rsidRPr="002D512B">
        <w:rPr>
          <w:rFonts w:ascii="Times New Roman" w:hAnsi="Times New Roman"/>
          <w:i/>
          <w:iCs/>
          <w:sz w:val="18"/>
          <w:szCs w:val="18"/>
        </w:rPr>
        <w:t>Cryptosporidium</w:t>
      </w:r>
      <w:r w:rsidRPr="002D512B">
        <w:rPr>
          <w:rFonts w:ascii="Times New Roman" w:hAnsi="Times New Roman"/>
          <w:sz w:val="18"/>
          <w:szCs w:val="18"/>
        </w:rPr>
        <w:t xml:space="preserve"> was collected from river water samples and its presence was confirmed using specific immunofluorescence detection of this parasite. Isolated water containing </w:t>
      </w:r>
      <w:r w:rsidRPr="002D512B">
        <w:rPr>
          <w:rFonts w:ascii="Times New Roman" w:hAnsi="Times New Roman"/>
          <w:i/>
          <w:iCs/>
          <w:sz w:val="18"/>
          <w:szCs w:val="18"/>
        </w:rPr>
        <w:t>Cryptosporidium</w:t>
      </w:r>
      <w:r w:rsidRPr="002D512B">
        <w:rPr>
          <w:rFonts w:ascii="Times New Roman" w:hAnsi="Times New Roman"/>
          <w:sz w:val="18"/>
          <w:szCs w:val="18"/>
        </w:rPr>
        <w:t xml:space="preserve"> was then subjected to genomic DNA extraction before PCR step. The chemical components of PCR consisting of MgCI</w:t>
      </w:r>
      <w:r w:rsidRPr="002D512B">
        <w:rPr>
          <w:rFonts w:ascii="Times New Roman" w:hAnsi="Times New Roman"/>
          <w:sz w:val="18"/>
          <w:szCs w:val="18"/>
          <w:vertAlign w:val="subscript"/>
        </w:rPr>
        <w:t>2</w:t>
      </w:r>
      <w:r w:rsidRPr="002D512B">
        <w:rPr>
          <w:rFonts w:ascii="Times New Roman" w:hAnsi="Times New Roman"/>
          <w:sz w:val="18"/>
          <w:szCs w:val="18"/>
        </w:rPr>
        <w:t xml:space="preserve">, deoxynucleotide triphosphate (DNTPs), Polymerases, free DNase-water, universal primers and PCR buffer were studied in different volume and concentration.  Each chemical component of PCR was optimized differently in yielding the same final volume of 20 </w:t>
      </w:r>
      <w:r>
        <w:rPr>
          <w:rFonts w:ascii="Times New Roman" w:hAnsi="Times New Roman"/>
          <w:sz w:val="18"/>
          <w:szCs w:val="18"/>
        </w:rPr>
        <w:t>µ</w:t>
      </w:r>
      <w:r w:rsidRPr="002D512B">
        <w:rPr>
          <w:rFonts w:ascii="Times New Roman" w:hAnsi="Times New Roman"/>
          <w:sz w:val="18"/>
          <w:szCs w:val="18"/>
        </w:rPr>
        <w:t>L per each reaction. The value range of chemical components of PCR consisted of MgCI</w:t>
      </w:r>
      <w:r w:rsidRPr="002D512B">
        <w:rPr>
          <w:rFonts w:ascii="Times New Roman" w:hAnsi="Times New Roman"/>
          <w:sz w:val="18"/>
          <w:szCs w:val="18"/>
          <w:vertAlign w:val="subscript"/>
        </w:rPr>
        <w:t>2</w:t>
      </w:r>
      <w:r w:rsidRPr="002D512B">
        <w:rPr>
          <w:rFonts w:ascii="Times New Roman" w:hAnsi="Times New Roman"/>
          <w:sz w:val="18"/>
          <w:szCs w:val="18"/>
        </w:rPr>
        <w:t xml:space="preserve"> (0.1 µM-0.5 µM), dNTPs (50-250 mM), free DNase water (5-10 µL), polymerases (0.2-0.5 U) and universal primers (2-20 µM). The result indicated that 0.2 µM of MgCI</w:t>
      </w:r>
      <w:r w:rsidRPr="002D512B">
        <w:rPr>
          <w:rFonts w:ascii="Times New Roman" w:hAnsi="Times New Roman"/>
          <w:sz w:val="18"/>
          <w:szCs w:val="18"/>
          <w:vertAlign w:val="subscript"/>
        </w:rPr>
        <w:t>2</w:t>
      </w:r>
      <w:r w:rsidRPr="002D512B">
        <w:rPr>
          <w:rFonts w:ascii="Times New Roman" w:hAnsi="Times New Roman"/>
          <w:sz w:val="18"/>
          <w:szCs w:val="18"/>
        </w:rPr>
        <w:t xml:space="preserve">, 100 mM of dNTPs, less than 10 µL of free DNase water, 0.5 U of polymerases and 10 mM of universal primers were the best combination to get better result for molecular identification of 18S rRNA </w:t>
      </w:r>
      <w:r w:rsidRPr="002D512B">
        <w:rPr>
          <w:rFonts w:ascii="Times New Roman" w:hAnsi="Times New Roman"/>
          <w:i/>
          <w:iCs/>
          <w:sz w:val="18"/>
          <w:szCs w:val="18"/>
        </w:rPr>
        <w:t>Cryptosporidium</w:t>
      </w:r>
      <w:r w:rsidRPr="002D512B">
        <w:rPr>
          <w:rFonts w:ascii="Times New Roman" w:hAnsi="Times New Roman"/>
          <w:sz w:val="18"/>
          <w:szCs w:val="18"/>
        </w:rPr>
        <w:t xml:space="preserve">. As a conclusion, accurate and proper concentration or volume of each PCR chemical components is essential for molecular identification of 18S rRNA </w:t>
      </w:r>
      <w:r w:rsidRPr="002D512B">
        <w:rPr>
          <w:rFonts w:ascii="Times New Roman" w:hAnsi="Times New Roman"/>
          <w:i/>
          <w:iCs/>
          <w:sz w:val="18"/>
          <w:szCs w:val="18"/>
        </w:rPr>
        <w:t xml:space="preserve">Cryptosporidium </w:t>
      </w:r>
      <w:r w:rsidRPr="002D512B">
        <w:rPr>
          <w:rFonts w:ascii="Times New Roman" w:hAnsi="Times New Roman"/>
          <w:sz w:val="18"/>
          <w:szCs w:val="18"/>
        </w:rPr>
        <w:t xml:space="preserve">gene. In future studies, study on gradient temperature parameters of PCR run can be included to study the chemical nature of amplified genes either in denaturation, annealing or extension steps.  </w:t>
      </w:r>
    </w:p>
    <w:p w:rsidR="009C3132" w:rsidRPr="002D512B" w:rsidRDefault="009C3132" w:rsidP="009C3132">
      <w:pPr>
        <w:spacing w:after="0" w:line="240" w:lineRule="auto"/>
        <w:jc w:val="both"/>
        <w:outlineLvl w:val="0"/>
        <w:rPr>
          <w:rFonts w:ascii="Times New Roman" w:hAnsi="Times New Roman"/>
          <w:sz w:val="18"/>
          <w:szCs w:val="18"/>
        </w:rPr>
      </w:pPr>
    </w:p>
    <w:p w:rsidR="009C3132" w:rsidRPr="002D512B" w:rsidRDefault="009C3132" w:rsidP="009C3132">
      <w:pPr>
        <w:spacing w:after="0" w:line="240" w:lineRule="auto"/>
        <w:jc w:val="both"/>
        <w:outlineLvl w:val="0"/>
        <w:rPr>
          <w:rFonts w:ascii="Times New Roman" w:hAnsi="Times New Roman"/>
          <w:sz w:val="18"/>
          <w:szCs w:val="18"/>
        </w:rPr>
      </w:pPr>
      <w:r w:rsidRPr="002D512B">
        <w:rPr>
          <w:rFonts w:ascii="Times New Roman" w:hAnsi="Times New Roman"/>
          <w:b/>
          <w:sz w:val="18"/>
          <w:szCs w:val="18"/>
        </w:rPr>
        <w:t>Keywords:</w:t>
      </w:r>
      <w:r w:rsidRPr="002D512B">
        <w:rPr>
          <w:rFonts w:ascii="Times New Roman" w:hAnsi="Times New Roman"/>
          <w:b/>
        </w:rPr>
        <w:t xml:space="preserve"> </w:t>
      </w:r>
      <w:r>
        <w:rPr>
          <w:rFonts w:ascii="Times New Roman" w:hAnsi="Times New Roman"/>
          <w:b/>
        </w:rPr>
        <w:t xml:space="preserve"> </w:t>
      </w:r>
      <w:r w:rsidRPr="002D512B">
        <w:rPr>
          <w:rFonts w:ascii="Times New Roman" w:hAnsi="Times New Roman"/>
          <w:sz w:val="18"/>
          <w:szCs w:val="18"/>
        </w:rPr>
        <w:t xml:space="preserve">chemical, </w:t>
      </w:r>
      <w:r w:rsidRPr="002D512B">
        <w:rPr>
          <w:rFonts w:ascii="Times New Roman" w:hAnsi="Times New Roman"/>
          <w:i/>
          <w:iCs/>
          <w:sz w:val="18"/>
          <w:szCs w:val="18"/>
        </w:rPr>
        <w:t>Cryptosporidium</w:t>
      </w:r>
      <w:r w:rsidRPr="002D512B">
        <w:rPr>
          <w:rFonts w:ascii="Times New Roman" w:hAnsi="Times New Roman"/>
          <w:sz w:val="18"/>
          <w:szCs w:val="18"/>
        </w:rPr>
        <w:t>, polymerase chain reaction, 18S ribosomal RNA gene</w:t>
      </w:r>
    </w:p>
    <w:p w:rsidR="009C3132" w:rsidRPr="002D512B" w:rsidRDefault="009C3132" w:rsidP="009C3132">
      <w:pPr>
        <w:spacing w:after="0" w:line="240" w:lineRule="auto"/>
        <w:jc w:val="center"/>
        <w:outlineLvl w:val="0"/>
        <w:rPr>
          <w:rFonts w:ascii="Times New Roman" w:hAnsi="Times New Roman"/>
          <w:b/>
          <w:sz w:val="18"/>
          <w:szCs w:val="18"/>
        </w:rPr>
      </w:pPr>
    </w:p>
    <w:p w:rsidR="009C3132" w:rsidRPr="002D512B" w:rsidRDefault="009C3132" w:rsidP="009C3132">
      <w:pPr>
        <w:spacing w:after="0" w:line="240" w:lineRule="auto"/>
        <w:jc w:val="center"/>
        <w:outlineLvl w:val="0"/>
        <w:rPr>
          <w:rFonts w:ascii="Times New Roman" w:hAnsi="Times New Roman"/>
          <w:b/>
          <w:sz w:val="18"/>
          <w:szCs w:val="18"/>
          <w:lang w:val="ms-MY"/>
        </w:rPr>
      </w:pPr>
      <w:r w:rsidRPr="002D512B">
        <w:rPr>
          <w:rFonts w:ascii="Times New Roman" w:hAnsi="Times New Roman"/>
          <w:b/>
          <w:sz w:val="18"/>
          <w:szCs w:val="18"/>
          <w:lang w:val="ms-MY"/>
        </w:rPr>
        <w:t>Abstrak</w:t>
      </w:r>
    </w:p>
    <w:p w:rsidR="009C3132" w:rsidRPr="002D512B" w:rsidRDefault="009C3132" w:rsidP="009C3132">
      <w:pPr>
        <w:spacing w:after="0" w:line="240" w:lineRule="auto"/>
        <w:jc w:val="both"/>
        <w:outlineLvl w:val="0"/>
        <w:rPr>
          <w:rFonts w:ascii="Times New Roman" w:hAnsi="Times New Roman"/>
          <w:sz w:val="18"/>
          <w:szCs w:val="18"/>
          <w:lang w:val="ms-MY"/>
        </w:rPr>
      </w:pPr>
      <w:r w:rsidRPr="002D512B">
        <w:rPr>
          <w:rFonts w:ascii="Times New Roman" w:hAnsi="Times New Roman"/>
          <w:sz w:val="18"/>
          <w:szCs w:val="18"/>
          <w:lang w:val="ms-MY"/>
        </w:rPr>
        <w:t xml:space="preserve">Gen 18S ribosomal RNA adalah gen universal yang berfungsi sebagai penanda genetik umum untuk pengenalpastian spesies mikroorganisma termasuk parasit. </w:t>
      </w:r>
      <w:r w:rsidRPr="002D512B">
        <w:rPr>
          <w:rFonts w:ascii="Times New Roman" w:hAnsi="Times New Roman"/>
          <w:i/>
          <w:sz w:val="18"/>
          <w:szCs w:val="18"/>
          <w:lang w:val="ms-MY"/>
        </w:rPr>
        <w:t xml:space="preserve">Cryptosporidium </w:t>
      </w:r>
      <w:r w:rsidRPr="002D512B">
        <w:rPr>
          <w:rFonts w:ascii="Times New Roman" w:hAnsi="Times New Roman"/>
          <w:sz w:val="18"/>
          <w:szCs w:val="18"/>
          <w:lang w:val="ms-MY"/>
        </w:rPr>
        <w:t xml:space="preserve">mempunyai gen 18S rRNA yang berlainan daripada spesies berbeza dalam genus yang sama. Dalam kajian ini, tindak balas </w:t>
      </w:r>
      <w:r>
        <w:rPr>
          <w:rFonts w:ascii="Times New Roman" w:hAnsi="Times New Roman"/>
          <w:sz w:val="18"/>
          <w:szCs w:val="18"/>
          <w:lang w:val="ms-MY"/>
        </w:rPr>
        <w:t>be</w:t>
      </w:r>
      <w:r w:rsidRPr="002D512B">
        <w:rPr>
          <w:rFonts w:ascii="Times New Roman" w:hAnsi="Times New Roman"/>
          <w:sz w:val="18"/>
          <w:szCs w:val="18"/>
          <w:lang w:val="ms-MY"/>
        </w:rPr>
        <w:t xml:space="preserve">rantai polymerase atau PCR digunakan untuk mengkaji komponen kimia susun atur PCR dalam amplifikasi gen 18S rRNA bagi parasit ini. </w:t>
      </w:r>
      <w:r w:rsidRPr="002D512B">
        <w:rPr>
          <w:rFonts w:ascii="Times New Roman" w:hAnsi="Times New Roman"/>
          <w:i/>
          <w:sz w:val="18"/>
          <w:szCs w:val="18"/>
          <w:lang w:val="ms-MY"/>
        </w:rPr>
        <w:t>Cryptosporidium</w:t>
      </w:r>
      <w:r w:rsidRPr="002D512B">
        <w:rPr>
          <w:rFonts w:ascii="Times New Roman" w:hAnsi="Times New Roman"/>
          <w:sz w:val="18"/>
          <w:szCs w:val="18"/>
          <w:lang w:val="ms-MY"/>
        </w:rPr>
        <w:t xml:space="preserve"> telah diambil dari sampel air sungai dan disahkan kehadirannya menggunakan pengesanan immuno</w:t>
      </w:r>
      <w:r>
        <w:rPr>
          <w:rFonts w:ascii="Times New Roman" w:hAnsi="Times New Roman"/>
          <w:sz w:val="18"/>
          <w:szCs w:val="18"/>
          <w:lang w:val="ms-MY"/>
        </w:rPr>
        <w:t>pendaflour</w:t>
      </w:r>
      <w:r w:rsidRPr="002D512B">
        <w:rPr>
          <w:rFonts w:ascii="Times New Roman" w:hAnsi="Times New Roman"/>
          <w:sz w:val="18"/>
          <w:szCs w:val="18"/>
          <w:lang w:val="ms-MY"/>
        </w:rPr>
        <w:t xml:space="preserve"> terhadap parasit ini. Sampel air yang diambil mengandungi </w:t>
      </w:r>
      <w:r w:rsidRPr="002D512B">
        <w:rPr>
          <w:rFonts w:ascii="Times New Roman" w:hAnsi="Times New Roman"/>
          <w:i/>
          <w:sz w:val="18"/>
          <w:szCs w:val="18"/>
          <w:lang w:val="ms-MY"/>
        </w:rPr>
        <w:t>Cryptosporidium</w:t>
      </w:r>
      <w:r w:rsidRPr="002D512B">
        <w:rPr>
          <w:rFonts w:ascii="Times New Roman" w:hAnsi="Times New Roman"/>
          <w:sz w:val="18"/>
          <w:szCs w:val="18"/>
          <w:lang w:val="ms-MY"/>
        </w:rPr>
        <w:t xml:space="preserve"> yang kemudiannya diteruskan untuk pengekstrakan genomik DNA sebelum peringkat PCR. Komponen kimia PCR yang terdiri daripada MgCI</w:t>
      </w:r>
      <w:r w:rsidRPr="002D512B">
        <w:rPr>
          <w:rFonts w:ascii="Times New Roman" w:hAnsi="Times New Roman"/>
          <w:sz w:val="18"/>
          <w:szCs w:val="18"/>
          <w:vertAlign w:val="subscript"/>
          <w:lang w:val="ms-MY"/>
        </w:rPr>
        <w:t>2</w:t>
      </w:r>
      <w:r w:rsidRPr="002D512B">
        <w:rPr>
          <w:rFonts w:ascii="Times New Roman" w:hAnsi="Times New Roman"/>
          <w:sz w:val="18"/>
          <w:szCs w:val="18"/>
          <w:lang w:val="ms-MY"/>
        </w:rPr>
        <w:t xml:space="preserve">, deoksinukleotida trifosfat (dNTPs), polimerase, air yang bebas DNase, primer umum dan larutan penimbal PCR telah dikaji dalam isipadu dan kepekatan yang berbeza. Setiap komponen kimia PCR dioptimakan secara </w:t>
      </w:r>
      <w:r w:rsidRPr="002D512B">
        <w:rPr>
          <w:rFonts w:ascii="Times New Roman" w:hAnsi="Times New Roman"/>
          <w:sz w:val="18"/>
          <w:szCs w:val="18"/>
          <w:lang w:val="ms-MY"/>
        </w:rPr>
        <w:lastRenderedPageBreak/>
        <w:t>berbeza dalam menghasilkan isipadu akhir 20 uL bagi setiap tindak balas. Nilai julat komponen kimia PCR terdiri daripada MgCI</w:t>
      </w:r>
      <w:r w:rsidRPr="002D512B">
        <w:rPr>
          <w:rFonts w:ascii="Times New Roman" w:hAnsi="Times New Roman"/>
          <w:sz w:val="18"/>
          <w:szCs w:val="18"/>
          <w:vertAlign w:val="subscript"/>
          <w:lang w:val="ms-MY"/>
        </w:rPr>
        <w:t>2</w:t>
      </w:r>
      <w:r w:rsidRPr="002D512B">
        <w:rPr>
          <w:rFonts w:ascii="Times New Roman" w:hAnsi="Times New Roman"/>
          <w:sz w:val="18"/>
          <w:szCs w:val="18"/>
          <w:lang w:val="ms-MY"/>
        </w:rPr>
        <w:t xml:space="preserve"> (0.1 µM-0.5 µM), dNTPs (50-250 mM), air bebas DNase (5-10 </w:t>
      </w:r>
      <w:r>
        <w:rPr>
          <w:rFonts w:ascii="Times New Roman" w:hAnsi="Times New Roman"/>
          <w:sz w:val="18"/>
          <w:szCs w:val="18"/>
          <w:lang w:val="ms-MY"/>
        </w:rPr>
        <w:t>µ</w:t>
      </w:r>
      <w:r w:rsidRPr="002D512B">
        <w:rPr>
          <w:rFonts w:ascii="Times New Roman" w:hAnsi="Times New Roman"/>
          <w:sz w:val="18"/>
          <w:szCs w:val="18"/>
          <w:lang w:val="ms-MY"/>
        </w:rPr>
        <w:t>L), polimerase (0.2-0.5 U) dan primer primer umum (2-20 µM). Keputusan menunjukkan bahawa 0.2 µM MgCI</w:t>
      </w:r>
      <w:r w:rsidRPr="002D512B">
        <w:rPr>
          <w:rFonts w:ascii="Times New Roman" w:hAnsi="Times New Roman"/>
          <w:sz w:val="18"/>
          <w:szCs w:val="18"/>
          <w:vertAlign w:val="subscript"/>
          <w:lang w:val="ms-MY"/>
        </w:rPr>
        <w:t>2</w:t>
      </w:r>
      <w:r w:rsidRPr="002D512B">
        <w:rPr>
          <w:rFonts w:ascii="Times New Roman" w:hAnsi="Times New Roman"/>
          <w:sz w:val="18"/>
          <w:szCs w:val="18"/>
          <w:lang w:val="ms-MY"/>
        </w:rPr>
        <w:t xml:space="preserve">, 100 mM dNTPs, air bebas DNase yang kurang daripada 10 µL, 0.5 U polimerase dan 10 mM primer umum adalah kombinasi terbaik untuk mendapatkan dapatan yang lebih baik bagi pengenalpastian molekul </w:t>
      </w:r>
      <w:r w:rsidRPr="002D512B">
        <w:rPr>
          <w:rFonts w:ascii="Times New Roman" w:hAnsi="Times New Roman"/>
          <w:i/>
          <w:sz w:val="18"/>
          <w:szCs w:val="18"/>
          <w:lang w:val="ms-MY"/>
        </w:rPr>
        <w:t>Cryptosporidium</w:t>
      </w:r>
      <w:r w:rsidRPr="002D512B">
        <w:rPr>
          <w:rFonts w:ascii="Times New Roman" w:hAnsi="Times New Roman"/>
          <w:sz w:val="18"/>
          <w:szCs w:val="18"/>
          <w:lang w:val="ms-MY"/>
        </w:rPr>
        <w:t xml:space="preserve"> 18S rRNA. Kesimpulannya, kepekatan atau isipadu yang tepat dan sesuai bagi setiap komponen kimia PCR adalah penting untuk pengenalpastian molekul gen </w:t>
      </w:r>
      <w:r w:rsidRPr="002D512B">
        <w:rPr>
          <w:rFonts w:ascii="Times New Roman" w:hAnsi="Times New Roman"/>
          <w:i/>
          <w:sz w:val="18"/>
          <w:szCs w:val="18"/>
          <w:lang w:val="ms-MY"/>
        </w:rPr>
        <w:t xml:space="preserve">Cryptosporidium </w:t>
      </w:r>
      <w:r w:rsidRPr="002D512B">
        <w:rPr>
          <w:rFonts w:ascii="Times New Roman" w:hAnsi="Times New Roman"/>
          <w:sz w:val="18"/>
          <w:szCs w:val="18"/>
          <w:lang w:val="ms-MY"/>
        </w:rPr>
        <w:t xml:space="preserve">18S rRNA. Bagi kajian masa depan, kajian ke atas kecerunan parameter suhu untuk menjalani PCR boleh dimasukkan untuk mengkaji sifat semulajadi kimia pada gen yang diamplifikasi untuk peringkat-peringkat penyahaslian, pelekatan atau penyambungan.         </w:t>
      </w:r>
    </w:p>
    <w:p w:rsidR="009C3132" w:rsidRPr="002D512B" w:rsidRDefault="009C3132" w:rsidP="009C3132">
      <w:pPr>
        <w:spacing w:after="0" w:line="240" w:lineRule="auto"/>
        <w:jc w:val="both"/>
        <w:outlineLvl w:val="0"/>
        <w:rPr>
          <w:rFonts w:ascii="Times New Roman" w:hAnsi="Times New Roman"/>
          <w:sz w:val="18"/>
          <w:szCs w:val="18"/>
          <w:lang w:val="ms-MY"/>
        </w:rPr>
      </w:pPr>
    </w:p>
    <w:p w:rsidR="009C3132" w:rsidRPr="002D512B" w:rsidRDefault="009C3132" w:rsidP="009C3132">
      <w:pPr>
        <w:spacing w:after="0" w:line="240" w:lineRule="auto"/>
        <w:jc w:val="both"/>
        <w:outlineLvl w:val="0"/>
        <w:rPr>
          <w:rFonts w:ascii="Times New Roman" w:hAnsi="Times New Roman"/>
          <w:sz w:val="18"/>
          <w:szCs w:val="18"/>
          <w:lang w:val="ms-MY"/>
        </w:rPr>
      </w:pPr>
      <w:r w:rsidRPr="002D512B">
        <w:rPr>
          <w:rFonts w:ascii="Times New Roman" w:hAnsi="Times New Roman"/>
          <w:b/>
          <w:sz w:val="18"/>
          <w:szCs w:val="18"/>
          <w:lang w:val="ms-MY"/>
        </w:rPr>
        <w:t>Kata kunci:</w:t>
      </w:r>
      <w:r>
        <w:rPr>
          <w:rFonts w:ascii="Times New Roman" w:hAnsi="Times New Roman"/>
          <w:b/>
          <w:sz w:val="18"/>
          <w:szCs w:val="18"/>
          <w:lang w:val="ms-MY"/>
        </w:rPr>
        <w:t xml:space="preserve"> </w:t>
      </w:r>
      <w:r w:rsidRPr="002D512B">
        <w:rPr>
          <w:rFonts w:ascii="Times New Roman" w:hAnsi="Times New Roman"/>
          <w:b/>
          <w:sz w:val="18"/>
          <w:szCs w:val="18"/>
          <w:lang w:val="ms-MY"/>
        </w:rPr>
        <w:t xml:space="preserve"> </w:t>
      </w:r>
      <w:r w:rsidRPr="002D512B">
        <w:rPr>
          <w:rFonts w:ascii="Times New Roman" w:hAnsi="Times New Roman"/>
          <w:sz w:val="18"/>
          <w:szCs w:val="18"/>
          <w:lang w:val="ms-MY"/>
        </w:rPr>
        <w:t>kimia,</w:t>
      </w:r>
      <w:r w:rsidRPr="002D512B">
        <w:rPr>
          <w:rFonts w:ascii="Times New Roman" w:hAnsi="Times New Roman"/>
          <w:b/>
          <w:lang w:val="ms-MY"/>
        </w:rPr>
        <w:t xml:space="preserve"> </w:t>
      </w:r>
      <w:r w:rsidRPr="002D512B">
        <w:rPr>
          <w:rFonts w:ascii="Times New Roman" w:hAnsi="Times New Roman"/>
          <w:i/>
          <w:sz w:val="18"/>
          <w:szCs w:val="18"/>
          <w:lang w:val="ms-MY"/>
        </w:rPr>
        <w:t>Cryptosporidium</w:t>
      </w:r>
      <w:r w:rsidRPr="002D512B">
        <w:rPr>
          <w:rFonts w:ascii="Times New Roman" w:hAnsi="Times New Roman"/>
          <w:sz w:val="18"/>
          <w:szCs w:val="18"/>
          <w:lang w:val="ms-MY"/>
        </w:rPr>
        <w:t>, tindak balas rantai polimerase, gen 18S ribosomal RNA</w:t>
      </w:r>
    </w:p>
    <w:p w:rsidR="00AC0033" w:rsidRDefault="00AC0033" w:rsidP="009C3132">
      <w:pPr>
        <w:spacing w:after="0" w:line="240" w:lineRule="auto"/>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iCs/>
          <w:sz w:val="20"/>
          <w:szCs w:val="20"/>
        </w:rPr>
        <w:t xml:space="preserve">Cryptosporidiosis is prevalent in developing countries, perhaps because the high contamination from environmental and hygiene conditions [1]. In contrast, the cryptosporidiosis transmission in developed countries is possibly not similar as compared to developing countries. </w:t>
      </w:r>
      <w:r w:rsidRPr="009C3132">
        <w:rPr>
          <w:rFonts w:ascii="Times New Roman" w:hAnsi="Times New Roman"/>
          <w:i/>
          <w:sz w:val="20"/>
          <w:szCs w:val="20"/>
        </w:rPr>
        <w:t>Cryptosporidium</w:t>
      </w:r>
      <w:r w:rsidRPr="009C3132">
        <w:rPr>
          <w:rFonts w:ascii="Times New Roman" w:hAnsi="Times New Roman"/>
          <w:iCs/>
          <w:sz w:val="20"/>
          <w:szCs w:val="20"/>
        </w:rPr>
        <w:t xml:space="preserve"> oocysts are frequently found in contaminating surface waters because of anthroponotic activity, agricultural practices, sewage effluent, native animal or livestock fecal contamination as well as extremely resistant to chlorine and monochloramine for water disinfection [2]. In addition to being resistant to commonly used disinfectant chemicals, it is commonly considered that oocysts can persist for several months or more in the aquatic environment [3]. Other than that, the relatively low infectious dose of </w:t>
      </w:r>
      <w:r w:rsidRPr="009C3132">
        <w:rPr>
          <w:rFonts w:ascii="Times New Roman" w:hAnsi="Times New Roman"/>
          <w:i/>
          <w:sz w:val="20"/>
          <w:szCs w:val="20"/>
        </w:rPr>
        <w:t>Cryptosporidium</w:t>
      </w:r>
      <w:r w:rsidRPr="009C3132">
        <w:rPr>
          <w:rFonts w:ascii="Times New Roman" w:hAnsi="Times New Roman"/>
          <w:iCs/>
          <w:sz w:val="20"/>
          <w:szCs w:val="20"/>
        </w:rPr>
        <w:t xml:space="preserve"> at least 10 oocysts can pose a challenge to water utilities for provision of purified drinking water [4]. </w:t>
      </w:r>
      <w:r w:rsidRPr="009C3132">
        <w:rPr>
          <w:rFonts w:ascii="Times New Roman" w:hAnsi="Times New Roman"/>
          <w:sz w:val="20"/>
          <w:szCs w:val="20"/>
        </w:rPr>
        <w:t xml:space="preserve">To date, this parasitic occurrence has been reported in different geographical location of river [5]. In fact, 11.5% of Malaysian river water samples were reported to get contaminated with </w:t>
      </w:r>
      <w:r w:rsidRPr="009C3132">
        <w:rPr>
          <w:rFonts w:ascii="Times New Roman" w:hAnsi="Times New Roman"/>
          <w:i/>
          <w:sz w:val="20"/>
          <w:szCs w:val="20"/>
        </w:rPr>
        <w:t>Cryptosporidium</w:t>
      </w:r>
      <w:r w:rsidRPr="009C3132">
        <w:rPr>
          <w:rFonts w:ascii="Times New Roman" w:hAnsi="Times New Roman"/>
          <w:sz w:val="20"/>
          <w:szCs w:val="20"/>
        </w:rPr>
        <w:t xml:space="preserve"> oocysts [6]. Recently, two cases have been reported on </w:t>
      </w:r>
      <w:r w:rsidRPr="009C3132">
        <w:rPr>
          <w:rFonts w:ascii="Times New Roman" w:hAnsi="Times New Roman"/>
          <w:i/>
          <w:sz w:val="20"/>
          <w:szCs w:val="20"/>
        </w:rPr>
        <w:t>Cryptosporidium</w:t>
      </w:r>
      <w:r w:rsidRPr="009C3132">
        <w:rPr>
          <w:rFonts w:ascii="Times New Roman" w:hAnsi="Times New Roman"/>
          <w:sz w:val="20"/>
          <w:szCs w:val="20"/>
        </w:rPr>
        <w:t xml:space="preserve"> occurrence in Kuantan, Pahang [7,8]. </w:t>
      </w:r>
    </w:p>
    <w:p w:rsidR="009C3132" w:rsidRPr="009C3132" w:rsidRDefault="009C3132" w:rsidP="009C3132">
      <w:pPr>
        <w:spacing w:after="0" w:line="240" w:lineRule="auto"/>
        <w:jc w:val="both"/>
        <w:outlineLvl w:val="0"/>
        <w:rPr>
          <w:rFonts w:ascii="Times New Roman" w:hAnsi="Times New Roman"/>
          <w:iCs/>
          <w:sz w:val="20"/>
          <w:szCs w:val="20"/>
        </w:rPr>
      </w:pPr>
    </w:p>
    <w:p w:rsidR="009C3132" w:rsidRPr="009C3132" w:rsidRDefault="009C3132" w:rsidP="009C3132">
      <w:pPr>
        <w:spacing w:after="0" w:line="240" w:lineRule="auto"/>
        <w:jc w:val="both"/>
        <w:outlineLvl w:val="0"/>
        <w:rPr>
          <w:rFonts w:ascii="Times New Roman" w:hAnsi="Times New Roman"/>
          <w:iCs/>
          <w:sz w:val="20"/>
          <w:szCs w:val="20"/>
        </w:rPr>
      </w:pPr>
      <w:r w:rsidRPr="009C3132">
        <w:rPr>
          <w:rFonts w:ascii="Times New Roman" w:hAnsi="Times New Roman"/>
          <w:iCs/>
          <w:sz w:val="20"/>
          <w:szCs w:val="20"/>
        </w:rPr>
        <w:t xml:space="preserve">Meanwhile, amplification of 18S rRNA gene loci is been the most widely accepted method to provide information on species identification [9]. An optimized method of PCR for </w:t>
      </w:r>
      <w:r w:rsidRPr="009C3132">
        <w:rPr>
          <w:rFonts w:ascii="Times New Roman" w:hAnsi="Times New Roman"/>
          <w:i/>
          <w:sz w:val="20"/>
          <w:szCs w:val="20"/>
        </w:rPr>
        <w:t>Cryptosporidium</w:t>
      </w:r>
      <w:r w:rsidRPr="009C3132">
        <w:rPr>
          <w:rFonts w:ascii="Times New Roman" w:hAnsi="Times New Roman"/>
          <w:iCs/>
          <w:sz w:val="20"/>
          <w:szCs w:val="20"/>
        </w:rPr>
        <w:t xml:space="preserve"> oocysts is essential in detection of single loci with specific primers. DNA extraction for this parasite turns to be effective once disruption of the robust oocyst wall takes place for releasing sporozoite nuclei. Meanwhile detachment of DNA and histone protein is important for primer to have accessibility to anneal and thus, facilitating the amplification of specific DNA sequence using PCR [10]. It is a challenge for diagnosing </w:t>
      </w:r>
      <w:r w:rsidRPr="009C3132">
        <w:rPr>
          <w:rFonts w:ascii="Times New Roman" w:hAnsi="Times New Roman"/>
          <w:i/>
          <w:sz w:val="20"/>
          <w:szCs w:val="20"/>
        </w:rPr>
        <w:t>Cryptosporidium</w:t>
      </w:r>
      <w:r w:rsidRPr="009C3132">
        <w:rPr>
          <w:rFonts w:ascii="Times New Roman" w:hAnsi="Times New Roman"/>
          <w:iCs/>
          <w:sz w:val="20"/>
          <w:szCs w:val="20"/>
        </w:rPr>
        <w:t xml:space="preserve"> to the species/genotype level due to the lower occurrence and the rich presence of PCR inhibitors from environmental water samples. It is essential for the public and environmental health assessment for identifying the contamination sources of </w:t>
      </w:r>
      <w:r w:rsidRPr="009C3132">
        <w:rPr>
          <w:rFonts w:ascii="Times New Roman" w:hAnsi="Times New Roman"/>
          <w:i/>
          <w:sz w:val="20"/>
          <w:szCs w:val="20"/>
        </w:rPr>
        <w:t>Cryptosporidium</w:t>
      </w:r>
      <w:r w:rsidRPr="009C3132">
        <w:rPr>
          <w:rFonts w:ascii="Times New Roman" w:hAnsi="Times New Roman"/>
          <w:iCs/>
          <w:sz w:val="20"/>
          <w:szCs w:val="20"/>
        </w:rPr>
        <w:t xml:space="preserve"> oocysts [11]. In addition, optimization of chemical constituents of PCR reagents is also important to get correct amplicon of PCR upon the completion of PCR with the specific primer on annealing specific gene sequences [12]. All chemical reagents like dNTPs, MgCI</w:t>
      </w:r>
      <w:r w:rsidRPr="009C3132">
        <w:rPr>
          <w:rFonts w:ascii="Times New Roman" w:hAnsi="Times New Roman"/>
          <w:iCs/>
          <w:sz w:val="20"/>
          <w:szCs w:val="20"/>
          <w:vertAlign w:val="subscript"/>
        </w:rPr>
        <w:t>2</w:t>
      </w:r>
      <w:r w:rsidRPr="009C3132">
        <w:rPr>
          <w:rFonts w:ascii="Times New Roman" w:hAnsi="Times New Roman"/>
          <w:iCs/>
          <w:sz w:val="20"/>
          <w:szCs w:val="20"/>
        </w:rPr>
        <w:t xml:space="preserve">, primers, polymerases and water have their own limitation either low or high proportion could lead to successfulness of PCR [13]. Manipulation of chemical nature of those chemical reagents can be useful to set up a better reaction mix of PCR prior to run the reaction [14]. Thus, in this study, chemical reagent constituents of PCR are optimized accordingly to result in successfulness of PCR on amplification of </w:t>
      </w:r>
      <w:r w:rsidRPr="009C3132">
        <w:rPr>
          <w:rFonts w:ascii="Times New Roman" w:hAnsi="Times New Roman"/>
          <w:i/>
          <w:sz w:val="20"/>
          <w:szCs w:val="20"/>
        </w:rPr>
        <w:t>Cryptosporidium</w:t>
      </w:r>
      <w:r w:rsidRPr="009C3132">
        <w:rPr>
          <w:rFonts w:ascii="Times New Roman" w:hAnsi="Times New Roman"/>
          <w:iCs/>
          <w:sz w:val="20"/>
          <w:szCs w:val="20"/>
        </w:rPr>
        <w:t xml:space="preserve"> 18S rRNA gene.</w:t>
      </w:r>
    </w:p>
    <w:p w:rsidR="009C3132" w:rsidRPr="009C3132" w:rsidRDefault="009C3132" w:rsidP="009C3132">
      <w:pPr>
        <w:spacing w:after="0" w:line="240" w:lineRule="auto"/>
        <w:jc w:val="center"/>
        <w:outlineLvl w:val="0"/>
        <w:rPr>
          <w:rFonts w:ascii="Times New Roman" w:hAnsi="Times New Roman"/>
          <w:sz w:val="20"/>
          <w:szCs w:val="20"/>
        </w:rPr>
      </w:pPr>
    </w:p>
    <w:p w:rsidR="009C3132" w:rsidRPr="009C3132" w:rsidRDefault="009C3132" w:rsidP="009C3132">
      <w:pPr>
        <w:spacing w:after="0" w:line="240" w:lineRule="auto"/>
        <w:jc w:val="center"/>
        <w:outlineLvl w:val="0"/>
        <w:rPr>
          <w:rFonts w:ascii="Times New Roman" w:hAnsi="Times New Roman"/>
          <w:b/>
          <w:sz w:val="20"/>
          <w:szCs w:val="20"/>
        </w:rPr>
      </w:pPr>
      <w:r w:rsidRPr="009C3132">
        <w:rPr>
          <w:rFonts w:ascii="Times New Roman" w:hAnsi="Times New Roman"/>
          <w:b/>
          <w:sz w:val="20"/>
          <w:szCs w:val="20"/>
        </w:rPr>
        <w:t>Materials and Methods</w:t>
      </w:r>
    </w:p>
    <w:p w:rsidR="009C3132" w:rsidRPr="009C3132" w:rsidRDefault="009C3132" w:rsidP="009C3132">
      <w:pPr>
        <w:spacing w:after="0" w:line="240" w:lineRule="auto"/>
        <w:jc w:val="both"/>
        <w:outlineLvl w:val="0"/>
        <w:rPr>
          <w:rFonts w:ascii="Times New Roman" w:hAnsi="Times New Roman"/>
          <w:b/>
          <w:sz w:val="20"/>
          <w:szCs w:val="20"/>
        </w:rPr>
      </w:pPr>
      <w:r w:rsidRPr="009C3132">
        <w:rPr>
          <w:rFonts w:ascii="Times New Roman" w:hAnsi="Times New Roman"/>
          <w:b/>
          <w:sz w:val="20"/>
          <w:szCs w:val="20"/>
        </w:rPr>
        <w:t xml:space="preserve">Collection of river water samples </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This study was carried out in Kuantan and Balok, Pahang. The upstream, midstream and downstream area in both Kuantan River and Balok River were selected as the sampling sites. Kuantan River runs from Lembing River through Kuantan City where this city is located near the mouth of Kuantan River before this river flows out to the South China Sea. Meanwhile, Balok River is located close to industrial area and residential area in Gebeng area and Balok city, respectively. </w:t>
      </w:r>
    </w:p>
    <w:p w:rsidR="009C3132" w:rsidRPr="009C3132" w:rsidRDefault="009C3132" w:rsidP="009C3132">
      <w:pPr>
        <w:spacing w:after="0" w:line="240" w:lineRule="auto"/>
        <w:jc w:val="both"/>
        <w:outlineLvl w:val="0"/>
        <w:rPr>
          <w:rFonts w:ascii="Times New Roman" w:hAnsi="Times New Roman"/>
          <w:sz w:val="20"/>
          <w:szCs w:val="20"/>
        </w:rPr>
      </w:pPr>
    </w:p>
    <w:p w:rsidR="009C3132" w:rsidRPr="009C3132" w:rsidRDefault="009C3132" w:rsidP="009C3132">
      <w:pPr>
        <w:spacing w:after="0" w:line="240" w:lineRule="auto"/>
        <w:jc w:val="both"/>
        <w:outlineLvl w:val="0"/>
        <w:rPr>
          <w:rFonts w:ascii="Times New Roman" w:hAnsi="Times New Roman"/>
          <w:b/>
          <w:sz w:val="20"/>
          <w:szCs w:val="20"/>
        </w:rPr>
      </w:pPr>
      <w:r w:rsidRPr="009C3132">
        <w:rPr>
          <w:rFonts w:ascii="Times New Roman" w:hAnsi="Times New Roman"/>
          <w:b/>
          <w:sz w:val="20"/>
          <w:szCs w:val="20"/>
        </w:rPr>
        <w:t>Water processing</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United States Environmental Protection Agency 1623.1 method was used to detect </w:t>
      </w:r>
      <w:r w:rsidRPr="009C3132">
        <w:rPr>
          <w:rFonts w:ascii="Times New Roman" w:hAnsi="Times New Roman"/>
          <w:i/>
          <w:sz w:val="20"/>
          <w:szCs w:val="20"/>
        </w:rPr>
        <w:t>Cryptosporidium</w:t>
      </w:r>
      <w:r w:rsidRPr="009C3132">
        <w:rPr>
          <w:rFonts w:ascii="Times New Roman" w:hAnsi="Times New Roman"/>
          <w:sz w:val="20"/>
          <w:szCs w:val="20"/>
        </w:rPr>
        <w:t xml:space="preserve"> from river water samples [15]. River water samples were processed to be concentrated using continuous flow centrifuge (CFC Express System) (Scientific Methods Inc, Granger, Indiana, USA) prior to immunomagnetic separation using Dynabeads® GC-Combo (Dynal, Cat. no. 730.02, Oslo, Norway).</w:t>
      </w:r>
    </w:p>
    <w:p w:rsidR="009C3132" w:rsidRPr="009C3132" w:rsidRDefault="009C3132" w:rsidP="009C3132">
      <w:pPr>
        <w:spacing w:after="0" w:line="240" w:lineRule="auto"/>
        <w:jc w:val="both"/>
        <w:outlineLvl w:val="0"/>
        <w:rPr>
          <w:rFonts w:ascii="Times New Roman" w:hAnsi="Times New Roman"/>
          <w:sz w:val="20"/>
          <w:szCs w:val="20"/>
        </w:rPr>
      </w:pPr>
    </w:p>
    <w:p w:rsidR="009C3132" w:rsidRPr="009C3132" w:rsidRDefault="009C3132" w:rsidP="009C3132">
      <w:pPr>
        <w:spacing w:after="0" w:line="240" w:lineRule="auto"/>
        <w:jc w:val="both"/>
        <w:outlineLvl w:val="0"/>
        <w:rPr>
          <w:rFonts w:ascii="Times New Roman" w:hAnsi="Times New Roman"/>
          <w:b/>
          <w:sz w:val="20"/>
          <w:szCs w:val="20"/>
        </w:rPr>
      </w:pPr>
      <w:r w:rsidRPr="009C3132">
        <w:rPr>
          <w:rFonts w:ascii="Times New Roman" w:hAnsi="Times New Roman"/>
          <w:b/>
          <w:sz w:val="20"/>
          <w:szCs w:val="20"/>
        </w:rPr>
        <w:t>Fluorescein isothiocyanate staining</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Purified oocysts of river water samples were stained using a fluorescein isothiocyanate labelled monoclonal antibody kit specific to </w:t>
      </w:r>
      <w:r w:rsidRPr="009C3132">
        <w:rPr>
          <w:rFonts w:ascii="Times New Roman" w:hAnsi="Times New Roman"/>
          <w:i/>
          <w:sz w:val="20"/>
          <w:szCs w:val="20"/>
        </w:rPr>
        <w:t>Cryptosporidium</w:t>
      </w:r>
      <w:r w:rsidRPr="009C3132">
        <w:rPr>
          <w:rFonts w:ascii="Times New Roman" w:hAnsi="Times New Roman"/>
          <w:sz w:val="20"/>
          <w:szCs w:val="20"/>
        </w:rPr>
        <w:t xml:space="preserve"> oocysts (Cellabs Pty Ltd., cat. no. KR2111A6, Brookvale, Australia) and then were examined using fluorescence microscope under 400x magnification.</w:t>
      </w:r>
    </w:p>
    <w:p w:rsidR="009C3132" w:rsidRPr="009C3132" w:rsidRDefault="009C3132" w:rsidP="009C3132">
      <w:pPr>
        <w:spacing w:after="0" w:line="240" w:lineRule="auto"/>
        <w:jc w:val="both"/>
        <w:outlineLvl w:val="0"/>
        <w:rPr>
          <w:rFonts w:ascii="Times New Roman" w:hAnsi="Times New Roman"/>
          <w:sz w:val="20"/>
          <w:szCs w:val="20"/>
        </w:rPr>
      </w:pPr>
    </w:p>
    <w:p w:rsidR="009C3132" w:rsidRPr="009C3132" w:rsidRDefault="009C3132" w:rsidP="009C3132">
      <w:pPr>
        <w:spacing w:after="0" w:line="240" w:lineRule="auto"/>
        <w:jc w:val="both"/>
        <w:outlineLvl w:val="0"/>
        <w:rPr>
          <w:rFonts w:ascii="Times New Roman" w:hAnsi="Times New Roman"/>
          <w:b/>
          <w:sz w:val="20"/>
          <w:szCs w:val="20"/>
        </w:rPr>
      </w:pPr>
      <w:r w:rsidRPr="009C3132">
        <w:rPr>
          <w:rFonts w:ascii="Times New Roman" w:hAnsi="Times New Roman"/>
          <w:b/>
          <w:sz w:val="20"/>
          <w:szCs w:val="20"/>
        </w:rPr>
        <w:t>DNA extraction from water samples</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DNA of </w:t>
      </w:r>
      <w:r w:rsidRPr="009C3132">
        <w:rPr>
          <w:rFonts w:ascii="Times New Roman" w:hAnsi="Times New Roman"/>
          <w:i/>
          <w:iCs/>
          <w:sz w:val="20"/>
          <w:szCs w:val="20"/>
        </w:rPr>
        <w:t>Cryptosporidium</w:t>
      </w:r>
      <w:r w:rsidRPr="009C3132">
        <w:rPr>
          <w:rFonts w:ascii="Times New Roman" w:hAnsi="Times New Roman"/>
          <w:sz w:val="20"/>
          <w:szCs w:val="20"/>
        </w:rPr>
        <w:t xml:space="preserve"> oocysts from river water sample was extracted by using QIAamp DNA Mini Kit (QIAGEN, Germany) with minor modifications.</w:t>
      </w:r>
    </w:p>
    <w:p w:rsidR="009C3132" w:rsidRPr="009C3132" w:rsidRDefault="009C3132" w:rsidP="009C3132">
      <w:pPr>
        <w:spacing w:after="0" w:line="240" w:lineRule="auto"/>
        <w:jc w:val="both"/>
        <w:outlineLvl w:val="0"/>
        <w:rPr>
          <w:rFonts w:ascii="Times New Roman" w:hAnsi="Times New Roman"/>
          <w:sz w:val="20"/>
          <w:szCs w:val="20"/>
        </w:rPr>
      </w:pPr>
    </w:p>
    <w:p w:rsidR="009C3132" w:rsidRPr="009C3132" w:rsidRDefault="009C3132" w:rsidP="009C3132">
      <w:pPr>
        <w:spacing w:after="0" w:line="240" w:lineRule="auto"/>
        <w:jc w:val="both"/>
        <w:outlineLvl w:val="0"/>
        <w:rPr>
          <w:rFonts w:ascii="Times New Roman" w:hAnsi="Times New Roman"/>
          <w:b/>
          <w:sz w:val="20"/>
          <w:szCs w:val="20"/>
        </w:rPr>
      </w:pPr>
      <w:r w:rsidRPr="009C3132">
        <w:rPr>
          <w:rFonts w:ascii="Times New Roman" w:hAnsi="Times New Roman"/>
          <w:b/>
          <w:sz w:val="20"/>
          <w:szCs w:val="20"/>
        </w:rPr>
        <w:t>Optimization of chemical components in PCR reaction mixture</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Each chemical component of PCR was optimized differently in yielding the same final volume of 20 µL per each reaction. The value range of chemical components of PCR consists of MgCI</w:t>
      </w:r>
      <w:r w:rsidRPr="009C3132">
        <w:rPr>
          <w:rFonts w:ascii="Times New Roman" w:hAnsi="Times New Roman"/>
          <w:sz w:val="20"/>
          <w:szCs w:val="20"/>
          <w:vertAlign w:val="subscript"/>
        </w:rPr>
        <w:t>2</w:t>
      </w:r>
      <w:r w:rsidRPr="009C3132">
        <w:rPr>
          <w:rFonts w:ascii="Times New Roman" w:hAnsi="Times New Roman"/>
          <w:sz w:val="20"/>
          <w:szCs w:val="20"/>
        </w:rPr>
        <w:t xml:space="preserve"> (0.1 µM-0.5 µM), dNTPs (50-250 mM), free DNase water (5-10 µL), polymerases (0.2-0.5 U) and universal primers (2-20 µM). The results of several PCR reactions in different volume of PCR chemical components were run based on nested PCR.  </w:t>
      </w:r>
    </w:p>
    <w:p w:rsidR="009C3132" w:rsidRPr="009C3132" w:rsidRDefault="009C3132" w:rsidP="009C3132">
      <w:pPr>
        <w:spacing w:after="0" w:line="240" w:lineRule="auto"/>
        <w:jc w:val="both"/>
        <w:outlineLvl w:val="0"/>
        <w:rPr>
          <w:rFonts w:ascii="Times New Roman" w:hAnsi="Times New Roman"/>
          <w:sz w:val="20"/>
          <w:szCs w:val="20"/>
        </w:rPr>
      </w:pPr>
    </w:p>
    <w:p w:rsidR="009C3132" w:rsidRPr="009C3132" w:rsidRDefault="009C3132" w:rsidP="009C3132">
      <w:pPr>
        <w:spacing w:after="0" w:line="240" w:lineRule="auto"/>
        <w:jc w:val="both"/>
        <w:outlineLvl w:val="0"/>
        <w:rPr>
          <w:rFonts w:ascii="Times New Roman" w:hAnsi="Times New Roman"/>
          <w:b/>
          <w:sz w:val="20"/>
          <w:szCs w:val="20"/>
        </w:rPr>
      </w:pPr>
      <w:r w:rsidRPr="009C3132">
        <w:rPr>
          <w:rFonts w:ascii="Times New Roman" w:hAnsi="Times New Roman"/>
          <w:b/>
          <w:sz w:val="20"/>
          <w:szCs w:val="20"/>
        </w:rPr>
        <w:t>Identification of 18S rRNA sequence</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Nested PCR of 18S rRNA was carried out for </w:t>
      </w:r>
      <w:r w:rsidRPr="009C3132">
        <w:rPr>
          <w:rFonts w:ascii="Times New Roman" w:hAnsi="Times New Roman"/>
          <w:i/>
          <w:sz w:val="20"/>
          <w:szCs w:val="20"/>
        </w:rPr>
        <w:t>Cryptosporidium</w:t>
      </w:r>
      <w:r w:rsidRPr="009C3132">
        <w:rPr>
          <w:rFonts w:ascii="Times New Roman" w:hAnsi="Times New Roman"/>
          <w:sz w:val="20"/>
          <w:szCs w:val="20"/>
        </w:rPr>
        <w:t xml:space="preserve"> genotyping [16]. Purified commercially genomic DNA of </w:t>
      </w:r>
      <w:r w:rsidRPr="009C3132">
        <w:rPr>
          <w:rFonts w:ascii="Times New Roman" w:hAnsi="Times New Roman"/>
          <w:i/>
          <w:sz w:val="20"/>
          <w:szCs w:val="20"/>
        </w:rPr>
        <w:t>C. parvum</w:t>
      </w:r>
      <w:r w:rsidRPr="009C3132">
        <w:rPr>
          <w:rFonts w:ascii="Times New Roman" w:hAnsi="Times New Roman"/>
          <w:sz w:val="20"/>
          <w:szCs w:val="20"/>
        </w:rPr>
        <w:t xml:space="preserve"> was set to be a positive control. Distilled water was used as a negative control for nested PCR. Agarose solution (1.2%) was prepared with 1 μL GelRed. The gel was electrophoresed at 100 V for 40 min and then visualized using GelDoc Ez System (Bio-Rad).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Out of six river water samples, five were detected with </w:t>
      </w:r>
      <w:r w:rsidRPr="009C3132">
        <w:rPr>
          <w:rFonts w:ascii="Times New Roman" w:hAnsi="Times New Roman"/>
          <w:i/>
          <w:sz w:val="20"/>
          <w:szCs w:val="20"/>
        </w:rPr>
        <w:t>Cryptosporidium</w:t>
      </w:r>
      <w:r w:rsidRPr="009C3132">
        <w:rPr>
          <w:rFonts w:ascii="Times New Roman" w:hAnsi="Times New Roman"/>
          <w:sz w:val="20"/>
          <w:szCs w:val="20"/>
        </w:rPr>
        <w:t xml:space="preserve">. The findings were confirmed by using 18S rRNA-based PCR method. The result of secondary PCR products of 18S rRNA gene showed that only one sample from upstream point of Kuantan River did not appear a single band on the 1.2% agarose gel. In this study, the positive results of genotyping approach showed that only five water samples out of six samples from two rivers contained DNA of </w:t>
      </w:r>
      <w:r w:rsidRPr="009C3132">
        <w:rPr>
          <w:rFonts w:ascii="Times New Roman" w:hAnsi="Times New Roman"/>
          <w:i/>
          <w:sz w:val="20"/>
          <w:szCs w:val="20"/>
        </w:rPr>
        <w:t>Cryptosporidium</w:t>
      </w:r>
      <w:r w:rsidRPr="009C3132">
        <w:rPr>
          <w:rFonts w:ascii="Times New Roman" w:hAnsi="Times New Roman"/>
          <w:sz w:val="20"/>
          <w:szCs w:val="20"/>
        </w:rPr>
        <w:t xml:space="preserve"> oocysts. A previous study had revealed distribution of </w:t>
      </w:r>
      <w:r w:rsidRPr="009C3132">
        <w:rPr>
          <w:rFonts w:ascii="Times New Roman" w:hAnsi="Times New Roman"/>
          <w:i/>
          <w:sz w:val="20"/>
          <w:szCs w:val="20"/>
        </w:rPr>
        <w:t>Cryptosporidium</w:t>
      </w:r>
      <w:r w:rsidRPr="009C3132">
        <w:rPr>
          <w:rFonts w:ascii="Times New Roman" w:hAnsi="Times New Roman"/>
          <w:sz w:val="20"/>
          <w:szCs w:val="20"/>
        </w:rPr>
        <w:t xml:space="preserve"> species in river water samples of Kuantan River and Balok River, especially at downstream point [7, 8]. Each chemical component of PCR was optimized differently in yielding the same final volume of 20 µL per each reaction. The value range of chemical components of PCR consisted of MgCI</w:t>
      </w:r>
      <w:r w:rsidRPr="009C3132">
        <w:rPr>
          <w:rFonts w:ascii="Times New Roman" w:hAnsi="Times New Roman"/>
          <w:sz w:val="20"/>
          <w:szCs w:val="20"/>
          <w:vertAlign w:val="subscript"/>
        </w:rPr>
        <w:t>2</w:t>
      </w:r>
      <w:r w:rsidRPr="009C3132">
        <w:rPr>
          <w:rFonts w:ascii="Times New Roman" w:hAnsi="Times New Roman"/>
          <w:sz w:val="20"/>
          <w:szCs w:val="20"/>
        </w:rPr>
        <w:t xml:space="preserve"> (0.1-0.5 µM), dNTPs (50-250 mM), free DNase water (5-10 µL), polymerases (0.2-0.5 U) and universal primers (0.1-0.5 µM). The result indicated that 2 mM of MgCI</w:t>
      </w:r>
      <w:r w:rsidRPr="009C3132">
        <w:rPr>
          <w:rFonts w:ascii="Times New Roman" w:hAnsi="Times New Roman"/>
          <w:sz w:val="20"/>
          <w:szCs w:val="20"/>
          <w:vertAlign w:val="subscript"/>
        </w:rPr>
        <w:t>2</w:t>
      </w:r>
      <w:r w:rsidRPr="009C3132">
        <w:rPr>
          <w:rFonts w:ascii="Times New Roman" w:hAnsi="Times New Roman"/>
          <w:sz w:val="20"/>
          <w:szCs w:val="20"/>
        </w:rPr>
        <w:t xml:space="preserve">, 100 mM of DNTPs, less than 10 µL of free DNase water, 0.5 U of polymerases and 10 mM of universal primers were the best combination to get acceptable results for molecular identification of 18S rRNA </w:t>
      </w:r>
      <w:r w:rsidRPr="009C3132">
        <w:rPr>
          <w:rFonts w:ascii="Times New Roman" w:hAnsi="Times New Roman"/>
          <w:i/>
          <w:iCs/>
          <w:sz w:val="20"/>
          <w:szCs w:val="20"/>
        </w:rPr>
        <w:t>Cryptosporidium</w:t>
      </w:r>
      <w:r w:rsidRPr="009C3132">
        <w:rPr>
          <w:rFonts w:ascii="Times New Roman" w:hAnsi="Times New Roman"/>
          <w:sz w:val="20"/>
          <w:szCs w:val="20"/>
        </w:rPr>
        <w:t xml:space="preserve">. To understand the function of chemical reagents used in this study, it is critical to optimize and troubleshoot the optimal PCR conditions at a time in obtaining the desired PCR product of </w:t>
      </w:r>
      <w:r w:rsidRPr="009C3132">
        <w:rPr>
          <w:rFonts w:ascii="Times New Roman" w:hAnsi="Times New Roman"/>
          <w:i/>
          <w:iCs/>
          <w:sz w:val="20"/>
          <w:szCs w:val="20"/>
        </w:rPr>
        <w:t>Cryptosporidium</w:t>
      </w:r>
      <w:r w:rsidRPr="009C3132">
        <w:rPr>
          <w:rFonts w:ascii="Times New Roman" w:hAnsi="Times New Roman"/>
          <w:sz w:val="20"/>
          <w:szCs w:val="20"/>
        </w:rPr>
        <w:t xml:space="preserve"> 18S rRNA gene (Table 1). However, unbalanced composition of PCR chemical reagents may cause non-specific amplicons and reduce PCR specificity </w:t>
      </w:r>
      <w:r w:rsidRPr="009C3132">
        <w:rPr>
          <w:rFonts w:ascii="Times New Roman" w:hAnsi="Times New Roman"/>
          <w:iCs/>
          <w:sz w:val="20"/>
          <w:szCs w:val="20"/>
        </w:rPr>
        <w:t>[17]</w:t>
      </w:r>
      <w:r w:rsidRPr="009C3132">
        <w:rPr>
          <w:rFonts w:ascii="Times New Roman" w:hAnsi="Times New Roman"/>
          <w:sz w:val="20"/>
          <w:szCs w:val="20"/>
        </w:rPr>
        <w:t xml:space="preserve">. </w:t>
      </w:r>
    </w:p>
    <w:p w:rsidR="009C3132" w:rsidRPr="009C3132" w:rsidRDefault="009C3132" w:rsidP="009C3132">
      <w:pPr>
        <w:spacing w:after="120" w:line="240" w:lineRule="auto"/>
        <w:jc w:val="both"/>
        <w:outlineLvl w:val="0"/>
        <w:rPr>
          <w:rFonts w:ascii="Times New Roman" w:hAnsi="Times New Roman"/>
          <w:sz w:val="20"/>
          <w:szCs w:val="20"/>
        </w:rPr>
      </w:pPr>
    </w:p>
    <w:p w:rsidR="009C3132" w:rsidRPr="009C3132" w:rsidRDefault="009C3132" w:rsidP="009C3132">
      <w:pPr>
        <w:spacing w:after="120" w:line="240" w:lineRule="auto"/>
        <w:jc w:val="center"/>
        <w:outlineLvl w:val="0"/>
        <w:rPr>
          <w:rFonts w:ascii="Times New Roman" w:hAnsi="Times New Roman"/>
          <w:sz w:val="20"/>
          <w:szCs w:val="20"/>
        </w:rPr>
      </w:pPr>
      <w:r>
        <w:rPr>
          <w:rFonts w:ascii="Times New Roman" w:hAnsi="Times New Roman"/>
          <w:sz w:val="20"/>
          <w:szCs w:val="20"/>
        </w:rPr>
        <w:t xml:space="preserve">Table 1.  </w:t>
      </w:r>
      <w:r w:rsidRPr="009C3132">
        <w:rPr>
          <w:rFonts w:ascii="Times New Roman" w:hAnsi="Times New Roman"/>
          <w:sz w:val="20"/>
          <w:szCs w:val="20"/>
        </w:rPr>
        <w:t>Different volumes of PCR chemical components in nested PCR</w:t>
      </w:r>
    </w:p>
    <w:tbl>
      <w:tblPr>
        <w:tblStyle w:val="LightShading1"/>
        <w:tblW w:w="6862" w:type="dxa"/>
        <w:jc w:val="center"/>
        <w:tblLook w:val="04A0" w:firstRow="1" w:lastRow="0" w:firstColumn="1" w:lastColumn="0" w:noHBand="0" w:noVBand="1"/>
      </w:tblPr>
      <w:tblGrid>
        <w:gridCol w:w="1035"/>
        <w:gridCol w:w="946"/>
        <w:gridCol w:w="1790"/>
        <w:gridCol w:w="1283"/>
        <w:gridCol w:w="1808"/>
      </w:tblGrid>
      <w:tr w:rsidR="00531384" w:rsidRPr="009C3132" w:rsidTr="00531384">
        <w:trPr>
          <w:cnfStyle w:val="100000000000" w:firstRow="1" w:lastRow="0" w:firstColumn="0" w:lastColumn="0" w:oddVBand="0" w:evenVBand="0" w:oddHBand="0"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9C3132" w:rsidRPr="009C3132" w:rsidRDefault="009C3132" w:rsidP="009C3132">
            <w:pPr>
              <w:spacing w:after="0" w:line="240" w:lineRule="auto"/>
              <w:outlineLvl w:val="0"/>
              <w:rPr>
                <w:rFonts w:ascii="Times New Roman" w:hAnsi="Times New Roman" w:cs="Times New Roman"/>
                <w:sz w:val="20"/>
                <w:szCs w:val="20"/>
              </w:rPr>
            </w:pPr>
          </w:p>
          <w:p w:rsidR="009C3132" w:rsidRPr="009C3132" w:rsidRDefault="009C3132" w:rsidP="009C3132">
            <w:pPr>
              <w:spacing w:after="0" w:line="240" w:lineRule="auto"/>
              <w:outlineLvl w:val="0"/>
              <w:rPr>
                <w:rFonts w:ascii="Times New Roman" w:hAnsi="Times New Roman" w:cs="Times New Roman"/>
                <w:color w:val="auto"/>
                <w:sz w:val="20"/>
                <w:szCs w:val="20"/>
                <w:vertAlign w:val="subscript"/>
              </w:rPr>
            </w:pPr>
            <w:r w:rsidRPr="009C3132">
              <w:rPr>
                <w:rFonts w:ascii="Times New Roman" w:hAnsi="Times New Roman" w:cs="Times New Roman"/>
                <w:color w:val="auto"/>
                <w:sz w:val="20"/>
                <w:szCs w:val="20"/>
              </w:rPr>
              <w:t>MgCI</w:t>
            </w:r>
            <w:r w:rsidRPr="009C3132">
              <w:rPr>
                <w:rFonts w:ascii="Times New Roman" w:hAnsi="Times New Roman" w:cs="Times New Roman"/>
                <w:color w:val="auto"/>
                <w:sz w:val="20"/>
                <w:szCs w:val="20"/>
                <w:vertAlign w:val="subscript"/>
              </w:rPr>
              <w:t xml:space="preserve">2 </w:t>
            </w:r>
            <w:r w:rsidRPr="009C3132">
              <w:rPr>
                <w:rFonts w:ascii="Times New Roman" w:hAnsi="Times New Roman" w:cs="Times New Roman"/>
                <w:color w:val="auto"/>
                <w:sz w:val="20"/>
                <w:szCs w:val="20"/>
              </w:rPr>
              <w:t>(µM)</w:t>
            </w:r>
          </w:p>
        </w:tc>
        <w:tc>
          <w:tcPr>
            <w:tcW w:w="946" w:type="dxa"/>
            <w:tcBorders>
              <w:top w:val="single" w:sz="4" w:space="0" w:color="auto"/>
              <w:bottom w:val="single" w:sz="4" w:space="0" w:color="auto"/>
            </w:tcBorders>
          </w:tcPr>
          <w:p w:rsidR="009C3132" w:rsidRPr="009C3132" w:rsidRDefault="009C3132" w:rsidP="00531384">
            <w:pPr>
              <w:spacing w:before="12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dNTPs (mM)</w:t>
            </w:r>
          </w:p>
          <w:p w:rsidR="009C3132" w:rsidRPr="009C3132" w:rsidRDefault="009C3132" w:rsidP="009C3132">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p>
        </w:tc>
        <w:tc>
          <w:tcPr>
            <w:tcW w:w="1790" w:type="dxa"/>
            <w:tcBorders>
              <w:top w:val="single" w:sz="4" w:space="0" w:color="auto"/>
              <w:bottom w:val="single" w:sz="4" w:space="0" w:color="auto"/>
            </w:tcBorders>
          </w:tcPr>
          <w:p w:rsidR="009C3132" w:rsidRPr="009C3132" w:rsidRDefault="009C3132" w:rsidP="00531384">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p w:rsidR="009C3132" w:rsidRPr="009C3132" w:rsidRDefault="00531384" w:rsidP="00531384">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Pr>
                <w:rFonts w:ascii="Times New Roman" w:hAnsi="Times New Roman" w:cs="Times New Roman"/>
                <w:color w:val="auto"/>
                <w:sz w:val="20"/>
                <w:szCs w:val="20"/>
              </w:rPr>
              <w:t>Free-DNase</w:t>
            </w:r>
            <w:r w:rsidR="009C3132" w:rsidRPr="009C3132">
              <w:rPr>
                <w:rFonts w:ascii="Times New Roman" w:hAnsi="Times New Roman" w:cs="Times New Roman"/>
                <w:color w:val="auto"/>
                <w:sz w:val="20"/>
                <w:szCs w:val="20"/>
              </w:rPr>
              <w:t>Water</w:t>
            </w:r>
          </w:p>
          <w:p w:rsidR="009C3132" w:rsidRPr="009C3132" w:rsidRDefault="009C3132" w:rsidP="00531384">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(µL)</w:t>
            </w:r>
          </w:p>
        </w:tc>
        <w:tc>
          <w:tcPr>
            <w:tcW w:w="1283" w:type="dxa"/>
            <w:tcBorders>
              <w:top w:val="single" w:sz="4" w:space="0" w:color="auto"/>
              <w:bottom w:val="single" w:sz="4" w:space="0" w:color="auto"/>
            </w:tcBorders>
          </w:tcPr>
          <w:p w:rsidR="009C3132" w:rsidRPr="009C3132" w:rsidRDefault="009C3132" w:rsidP="00531384">
            <w:pPr>
              <w:spacing w:before="60"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r w:rsidRPr="009C3132">
              <w:rPr>
                <w:rFonts w:ascii="Times New Roman" w:hAnsi="Times New Roman" w:cs="Times New Roman"/>
                <w:color w:val="auto"/>
                <w:sz w:val="20"/>
                <w:szCs w:val="20"/>
              </w:rPr>
              <w:t>DNA Polymerases</w:t>
            </w:r>
          </w:p>
          <w:p w:rsidR="009C3132" w:rsidRPr="009C3132" w:rsidRDefault="009C3132" w:rsidP="00531384">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(U)</w:t>
            </w:r>
          </w:p>
        </w:tc>
        <w:tc>
          <w:tcPr>
            <w:tcW w:w="1808" w:type="dxa"/>
            <w:tcBorders>
              <w:top w:val="single" w:sz="4" w:space="0" w:color="auto"/>
              <w:bottom w:val="single" w:sz="4" w:space="0" w:color="auto"/>
            </w:tcBorders>
          </w:tcPr>
          <w:p w:rsidR="009C3132" w:rsidRPr="009C3132" w:rsidRDefault="009C3132" w:rsidP="00531384">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0"/>
                <w:szCs w:val="20"/>
              </w:rPr>
            </w:pPr>
          </w:p>
          <w:p w:rsidR="009C3132" w:rsidRPr="009C3132" w:rsidRDefault="00531384" w:rsidP="00531384">
            <w:pPr>
              <w:spacing w:after="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Pr>
                <w:rFonts w:ascii="Times New Roman" w:hAnsi="Times New Roman" w:cs="Times New Roman"/>
                <w:color w:val="auto"/>
                <w:sz w:val="20"/>
                <w:szCs w:val="20"/>
              </w:rPr>
              <w:t xml:space="preserve">Universal </w:t>
            </w:r>
            <w:r w:rsidR="009C3132" w:rsidRPr="009C3132">
              <w:rPr>
                <w:rFonts w:ascii="Times New Roman" w:hAnsi="Times New Roman" w:cs="Times New Roman"/>
                <w:color w:val="auto"/>
                <w:sz w:val="20"/>
                <w:szCs w:val="20"/>
              </w:rPr>
              <w:t>Primers</w:t>
            </w:r>
          </w:p>
          <w:p w:rsidR="009C3132" w:rsidRPr="009C3132" w:rsidRDefault="009C3132" w:rsidP="00531384">
            <w:pPr>
              <w:spacing w:after="60" w:line="240" w:lineRule="auto"/>
              <w:jc w:val="cente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(µM)</w:t>
            </w:r>
          </w:p>
        </w:tc>
      </w:tr>
      <w:tr w:rsidR="00531384" w:rsidRPr="009C3132" w:rsidTr="00531384">
        <w:trPr>
          <w:cnfStyle w:val="000000100000" w:firstRow="0" w:lastRow="0" w:firstColumn="0" w:lastColumn="0" w:oddVBand="0" w:evenVBand="0" w:oddHBand="1" w:evenHBand="0" w:firstRowFirstColumn="0" w:firstRowLastColumn="0" w:lastRowFirstColumn="0" w:lastRowLastColumn="0"/>
          <w:trHeight w:val="10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tcPr>
          <w:p w:rsidR="009C3132" w:rsidRPr="009C3132" w:rsidRDefault="009C3132" w:rsidP="00531384">
            <w:pPr>
              <w:spacing w:before="60" w:after="0" w:line="240" w:lineRule="auto"/>
              <w:outlineLvl w:val="0"/>
              <w:rPr>
                <w:rFonts w:ascii="Times New Roman" w:hAnsi="Times New Roman" w:cs="Times New Roman"/>
                <w:b w:val="0"/>
                <w:color w:val="auto"/>
                <w:sz w:val="20"/>
                <w:szCs w:val="20"/>
              </w:rPr>
            </w:pPr>
            <w:r w:rsidRPr="009C3132">
              <w:rPr>
                <w:rFonts w:ascii="Times New Roman" w:hAnsi="Times New Roman" w:cs="Times New Roman"/>
                <w:b w:val="0"/>
                <w:color w:val="auto"/>
                <w:sz w:val="20"/>
                <w:szCs w:val="20"/>
              </w:rPr>
              <w:t>0.1</w:t>
            </w:r>
          </w:p>
        </w:tc>
        <w:tc>
          <w:tcPr>
            <w:tcW w:w="946" w:type="dxa"/>
            <w:tcBorders>
              <w:top w:val="single" w:sz="4" w:space="0" w:color="auto"/>
            </w:tcBorders>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50</w:t>
            </w:r>
          </w:p>
        </w:tc>
        <w:tc>
          <w:tcPr>
            <w:tcW w:w="1790" w:type="dxa"/>
            <w:tcBorders>
              <w:top w:val="single" w:sz="4" w:space="0" w:color="auto"/>
            </w:tcBorders>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5</w:t>
            </w:r>
          </w:p>
        </w:tc>
        <w:tc>
          <w:tcPr>
            <w:tcW w:w="1283" w:type="dxa"/>
            <w:tcBorders>
              <w:top w:val="single" w:sz="4" w:space="0" w:color="auto"/>
            </w:tcBorders>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0.2</w:t>
            </w:r>
          </w:p>
        </w:tc>
        <w:tc>
          <w:tcPr>
            <w:tcW w:w="1808" w:type="dxa"/>
            <w:tcBorders>
              <w:top w:val="single" w:sz="4" w:space="0" w:color="auto"/>
            </w:tcBorders>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2</w:t>
            </w:r>
          </w:p>
        </w:tc>
      </w:tr>
      <w:tr w:rsidR="00531384" w:rsidRPr="009C3132" w:rsidTr="00531384">
        <w:trPr>
          <w:trHeight w:val="21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C3132" w:rsidRPr="009C3132" w:rsidRDefault="009C3132" w:rsidP="00531384">
            <w:pPr>
              <w:spacing w:before="60" w:after="0" w:line="240" w:lineRule="auto"/>
              <w:outlineLvl w:val="0"/>
              <w:rPr>
                <w:rFonts w:ascii="Times New Roman" w:hAnsi="Times New Roman" w:cs="Times New Roman"/>
                <w:b w:val="0"/>
                <w:color w:val="auto"/>
                <w:sz w:val="20"/>
                <w:szCs w:val="20"/>
              </w:rPr>
            </w:pPr>
            <w:r w:rsidRPr="009C3132">
              <w:rPr>
                <w:rFonts w:ascii="Times New Roman" w:hAnsi="Times New Roman" w:cs="Times New Roman"/>
                <w:b w:val="0"/>
                <w:color w:val="auto"/>
                <w:sz w:val="20"/>
                <w:szCs w:val="20"/>
              </w:rPr>
              <w:t>0.2</w:t>
            </w:r>
          </w:p>
        </w:tc>
        <w:tc>
          <w:tcPr>
            <w:tcW w:w="946" w:type="dxa"/>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100</w:t>
            </w:r>
          </w:p>
        </w:tc>
        <w:tc>
          <w:tcPr>
            <w:tcW w:w="1790" w:type="dxa"/>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6</w:t>
            </w:r>
          </w:p>
        </w:tc>
        <w:tc>
          <w:tcPr>
            <w:tcW w:w="1283" w:type="dxa"/>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0.3</w:t>
            </w:r>
          </w:p>
        </w:tc>
        <w:tc>
          <w:tcPr>
            <w:tcW w:w="1808" w:type="dxa"/>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8</w:t>
            </w:r>
          </w:p>
        </w:tc>
      </w:tr>
      <w:tr w:rsidR="00531384" w:rsidRPr="009C3132" w:rsidTr="00531384">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9C3132" w:rsidRPr="009C3132" w:rsidRDefault="009C3132" w:rsidP="00531384">
            <w:pPr>
              <w:spacing w:before="60" w:after="0" w:line="240" w:lineRule="auto"/>
              <w:outlineLvl w:val="0"/>
              <w:rPr>
                <w:rFonts w:ascii="Times New Roman" w:hAnsi="Times New Roman" w:cs="Times New Roman"/>
                <w:b w:val="0"/>
                <w:color w:val="auto"/>
                <w:sz w:val="20"/>
                <w:szCs w:val="20"/>
              </w:rPr>
            </w:pPr>
            <w:r w:rsidRPr="009C3132">
              <w:rPr>
                <w:rFonts w:ascii="Times New Roman" w:hAnsi="Times New Roman" w:cs="Times New Roman"/>
                <w:b w:val="0"/>
                <w:color w:val="auto"/>
                <w:sz w:val="20"/>
                <w:szCs w:val="20"/>
              </w:rPr>
              <w:t>0.3</w:t>
            </w:r>
          </w:p>
        </w:tc>
        <w:tc>
          <w:tcPr>
            <w:tcW w:w="946" w:type="dxa"/>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150</w:t>
            </w:r>
          </w:p>
        </w:tc>
        <w:tc>
          <w:tcPr>
            <w:tcW w:w="1790" w:type="dxa"/>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7</w:t>
            </w:r>
          </w:p>
        </w:tc>
        <w:tc>
          <w:tcPr>
            <w:tcW w:w="1283" w:type="dxa"/>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0.4</w:t>
            </w:r>
          </w:p>
        </w:tc>
        <w:tc>
          <w:tcPr>
            <w:tcW w:w="1808" w:type="dxa"/>
            <w:shd w:val="clear" w:color="auto" w:fill="auto"/>
          </w:tcPr>
          <w:p w:rsidR="009C3132" w:rsidRPr="009C3132" w:rsidRDefault="009C3132" w:rsidP="00531384">
            <w:pPr>
              <w:spacing w:before="60" w:after="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12</w:t>
            </w:r>
          </w:p>
        </w:tc>
      </w:tr>
      <w:tr w:rsidR="00531384" w:rsidRPr="009C3132" w:rsidTr="00531384">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tcPr>
          <w:p w:rsidR="009C3132" w:rsidRPr="009C3132" w:rsidRDefault="009C3132" w:rsidP="00531384">
            <w:pPr>
              <w:spacing w:before="60" w:after="0" w:line="240" w:lineRule="auto"/>
              <w:outlineLvl w:val="0"/>
              <w:rPr>
                <w:rFonts w:ascii="Times New Roman" w:hAnsi="Times New Roman" w:cs="Times New Roman"/>
                <w:b w:val="0"/>
                <w:color w:val="auto"/>
                <w:sz w:val="20"/>
                <w:szCs w:val="20"/>
              </w:rPr>
            </w:pPr>
            <w:r w:rsidRPr="009C3132">
              <w:rPr>
                <w:rFonts w:ascii="Times New Roman" w:hAnsi="Times New Roman" w:cs="Times New Roman"/>
                <w:b w:val="0"/>
                <w:color w:val="auto"/>
                <w:sz w:val="20"/>
                <w:szCs w:val="20"/>
              </w:rPr>
              <w:t>0.4</w:t>
            </w:r>
          </w:p>
        </w:tc>
        <w:tc>
          <w:tcPr>
            <w:tcW w:w="946" w:type="dxa"/>
            <w:tcBorders>
              <w:bottom w:val="nil"/>
            </w:tcBorders>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200</w:t>
            </w:r>
          </w:p>
        </w:tc>
        <w:tc>
          <w:tcPr>
            <w:tcW w:w="1790" w:type="dxa"/>
            <w:tcBorders>
              <w:bottom w:val="nil"/>
            </w:tcBorders>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8</w:t>
            </w:r>
          </w:p>
        </w:tc>
        <w:tc>
          <w:tcPr>
            <w:tcW w:w="1283" w:type="dxa"/>
            <w:tcBorders>
              <w:bottom w:val="nil"/>
            </w:tcBorders>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0.45</w:t>
            </w:r>
          </w:p>
        </w:tc>
        <w:tc>
          <w:tcPr>
            <w:tcW w:w="1808" w:type="dxa"/>
            <w:tcBorders>
              <w:bottom w:val="nil"/>
            </w:tcBorders>
            <w:shd w:val="clear" w:color="auto" w:fill="auto"/>
          </w:tcPr>
          <w:p w:rsidR="009C3132" w:rsidRPr="009C3132" w:rsidRDefault="009C3132" w:rsidP="00531384">
            <w:pPr>
              <w:spacing w:before="60" w:after="0" w:line="240" w:lineRule="auto"/>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16</w:t>
            </w:r>
          </w:p>
        </w:tc>
      </w:tr>
      <w:tr w:rsidR="00531384" w:rsidRPr="009C3132" w:rsidTr="00531384">
        <w:trPr>
          <w:cnfStyle w:val="000000100000" w:firstRow="0" w:lastRow="0" w:firstColumn="0" w:lastColumn="0" w:oddVBand="0" w:evenVBand="0" w:oddHBand="1" w:evenHBand="0" w:firstRowFirstColumn="0" w:firstRowLastColumn="0" w:lastRowFirstColumn="0" w:lastRowLastColumn="0"/>
          <w:trHeight w:val="21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tcPr>
          <w:p w:rsidR="009C3132" w:rsidRPr="009C3132" w:rsidRDefault="009C3132" w:rsidP="00531384">
            <w:pPr>
              <w:spacing w:before="60" w:after="60" w:line="240" w:lineRule="auto"/>
              <w:outlineLvl w:val="0"/>
              <w:rPr>
                <w:rFonts w:ascii="Times New Roman" w:hAnsi="Times New Roman" w:cs="Times New Roman"/>
                <w:b w:val="0"/>
                <w:color w:val="auto"/>
                <w:sz w:val="20"/>
                <w:szCs w:val="20"/>
              </w:rPr>
            </w:pPr>
            <w:r w:rsidRPr="009C3132">
              <w:rPr>
                <w:rFonts w:ascii="Times New Roman" w:hAnsi="Times New Roman" w:cs="Times New Roman"/>
                <w:b w:val="0"/>
                <w:color w:val="auto"/>
                <w:sz w:val="20"/>
                <w:szCs w:val="20"/>
              </w:rPr>
              <w:t>0.5</w:t>
            </w:r>
          </w:p>
        </w:tc>
        <w:tc>
          <w:tcPr>
            <w:tcW w:w="946" w:type="dxa"/>
            <w:tcBorders>
              <w:top w:val="nil"/>
              <w:bottom w:val="single" w:sz="4" w:space="0" w:color="auto"/>
            </w:tcBorders>
            <w:shd w:val="clear" w:color="auto" w:fill="auto"/>
          </w:tcPr>
          <w:p w:rsidR="009C3132" w:rsidRPr="009C3132" w:rsidRDefault="009C3132" w:rsidP="00531384">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250</w:t>
            </w:r>
          </w:p>
        </w:tc>
        <w:tc>
          <w:tcPr>
            <w:tcW w:w="1790" w:type="dxa"/>
            <w:tcBorders>
              <w:top w:val="nil"/>
              <w:bottom w:val="single" w:sz="4" w:space="0" w:color="auto"/>
            </w:tcBorders>
            <w:shd w:val="clear" w:color="auto" w:fill="auto"/>
          </w:tcPr>
          <w:p w:rsidR="009C3132" w:rsidRPr="009C3132" w:rsidRDefault="009C3132" w:rsidP="00531384">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9</w:t>
            </w:r>
          </w:p>
        </w:tc>
        <w:tc>
          <w:tcPr>
            <w:tcW w:w="1283" w:type="dxa"/>
            <w:tcBorders>
              <w:top w:val="nil"/>
              <w:bottom w:val="single" w:sz="4" w:space="0" w:color="auto"/>
            </w:tcBorders>
            <w:shd w:val="clear" w:color="auto" w:fill="auto"/>
          </w:tcPr>
          <w:p w:rsidR="009C3132" w:rsidRPr="009C3132" w:rsidRDefault="009C3132" w:rsidP="00531384">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0.5</w:t>
            </w:r>
          </w:p>
        </w:tc>
        <w:tc>
          <w:tcPr>
            <w:tcW w:w="1808" w:type="dxa"/>
            <w:tcBorders>
              <w:top w:val="nil"/>
              <w:bottom w:val="single" w:sz="4" w:space="0" w:color="auto"/>
            </w:tcBorders>
            <w:shd w:val="clear" w:color="auto" w:fill="auto"/>
          </w:tcPr>
          <w:p w:rsidR="009C3132" w:rsidRPr="009C3132" w:rsidRDefault="009C3132" w:rsidP="00531384">
            <w:pPr>
              <w:spacing w:before="60" w:after="60" w:line="240" w:lineRule="auto"/>
              <w:jc w:val="center"/>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9C3132">
              <w:rPr>
                <w:rFonts w:ascii="Times New Roman" w:hAnsi="Times New Roman" w:cs="Times New Roman"/>
                <w:color w:val="auto"/>
                <w:sz w:val="20"/>
                <w:szCs w:val="20"/>
              </w:rPr>
              <w:t>20</w:t>
            </w:r>
          </w:p>
        </w:tc>
      </w:tr>
    </w:tbl>
    <w:p w:rsidR="009C3132" w:rsidRPr="009C3132" w:rsidRDefault="009C3132" w:rsidP="009C3132">
      <w:pPr>
        <w:spacing w:after="0" w:line="240" w:lineRule="auto"/>
        <w:jc w:val="both"/>
        <w:outlineLvl w:val="0"/>
        <w:rPr>
          <w:rFonts w:ascii="Times New Roman" w:hAnsi="Times New Roman"/>
          <w:sz w:val="20"/>
          <w:szCs w:val="20"/>
        </w:rPr>
      </w:pPr>
    </w:p>
    <w:p w:rsidR="009C3132" w:rsidRPr="009C3132" w:rsidRDefault="009C3132" w:rsidP="009C3132">
      <w:pPr>
        <w:spacing w:after="0" w:line="240" w:lineRule="auto"/>
        <w:jc w:val="both"/>
        <w:outlineLvl w:val="0"/>
        <w:rPr>
          <w:rFonts w:ascii="Times New Roman" w:hAnsi="Times New Roman"/>
          <w:sz w:val="20"/>
          <w:szCs w:val="20"/>
        </w:rPr>
      </w:pPr>
      <w:r w:rsidRPr="009C3132">
        <w:rPr>
          <w:rFonts w:ascii="Times New Roman" w:hAnsi="Times New Roman"/>
          <w:sz w:val="20"/>
          <w:szCs w:val="20"/>
        </w:rPr>
        <w:lastRenderedPageBreak/>
        <w:t xml:space="preserve">In this study, Taq DNA polymerase was used as it is suitable for obtaining desired amplicon products and more efficient as a hot start PCR </w:t>
      </w:r>
      <w:r w:rsidRPr="009C3132">
        <w:rPr>
          <w:rFonts w:ascii="Times New Roman" w:hAnsi="Times New Roman"/>
          <w:iCs/>
          <w:sz w:val="20"/>
          <w:szCs w:val="20"/>
        </w:rPr>
        <w:t>[18]</w:t>
      </w:r>
      <w:r w:rsidRPr="009C3132">
        <w:rPr>
          <w:rFonts w:ascii="Times New Roman" w:hAnsi="Times New Roman"/>
          <w:sz w:val="20"/>
          <w:szCs w:val="20"/>
        </w:rPr>
        <w:t xml:space="preserve">. Normally, the molar concentration of polymerase is comparatively low as compared to other chemical reaction components as recommended volume supplied is 1-2.5 Units per 100 μL reaction volume. Reduced concentration of polymerases ensure specificity while higher counterpart causing nonspecific amplicons </w:t>
      </w:r>
      <w:r w:rsidRPr="009C3132">
        <w:rPr>
          <w:rFonts w:ascii="Times New Roman" w:hAnsi="Times New Roman"/>
          <w:iCs/>
          <w:sz w:val="20"/>
          <w:szCs w:val="20"/>
        </w:rPr>
        <w:t>[19]</w:t>
      </w:r>
      <w:r w:rsidRPr="009C3132">
        <w:rPr>
          <w:rFonts w:ascii="Times New Roman" w:hAnsi="Times New Roman"/>
          <w:sz w:val="20"/>
          <w:szCs w:val="20"/>
        </w:rPr>
        <w:t xml:space="preserve">. DNA polymerases are favored in PCR process with a cofactor like magnesium ion </w:t>
      </w:r>
      <w:r w:rsidRPr="009C3132">
        <w:rPr>
          <w:rFonts w:ascii="Times New Roman" w:hAnsi="Times New Roman"/>
          <w:iCs/>
          <w:sz w:val="20"/>
          <w:szCs w:val="20"/>
        </w:rPr>
        <w:t>[20]</w:t>
      </w:r>
      <w:r w:rsidRPr="009C3132">
        <w:rPr>
          <w:rFonts w:ascii="Times New Roman" w:hAnsi="Times New Roman"/>
          <w:sz w:val="20"/>
          <w:szCs w:val="20"/>
        </w:rPr>
        <w:t>. They are easily manipulated resulting in the stringency of PCR as its ionic concentration is critical. In fact, it is also determined by EDTA in PCR buffer and deoxynucleotide 5'-triphosphates (dNTPs). In principle of PCR chemistry, dNTP-Mg</w:t>
      </w:r>
      <w:r w:rsidRPr="009C3132">
        <w:rPr>
          <w:rFonts w:ascii="Times New Roman" w:hAnsi="Times New Roman"/>
          <w:sz w:val="20"/>
          <w:szCs w:val="20"/>
          <w:vertAlign w:val="superscript"/>
        </w:rPr>
        <w:t>2+</w:t>
      </w:r>
      <w:r w:rsidRPr="009C3132">
        <w:rPr>
          <w:rFonts w:ascii="Times New Roman" w:hAnsi="Times New Roman"/>
          <w:sz w:val="20"/>
          <w:szCs w:val="20"/>
        </w:rPr>
        <w:t xml:space="preserve"> soluble complexes tend to interact with the DNA template backbone thereby activating DNA polymerase function (Figure 1). Soluble complexes are recognized as a substrate for DNA polymerase to act on </w:t>
      </w:r>
      <w:r w:rsidRPr="009C3132">
        <w:rPr>
          <w:rFonts w:ascii="Times New Roman" w:hAnsi="Times New Roman"/>
          <w:iCs/>
          <w:sz w:val="20"/>
          <w:szCs w:val="20"/>
        </w:rPr>
        <w:t>[21]</w:t>
      </w:r>
      <w:r w:rsidRPr="009C3132">
        <w:rPr>
          <w:rFonts w:ascii="Times New Roman" w:hAnsi="Times New Roman"/>
          <w:sz w:val="20"/>
          <w:szCs w:val="20"/>
        </w:rPr>
        <w:t xml:space="preserve">. However, increased magnesium ion can reduce polymerase specificity, stabilize the duplex strand of DNA template or fidelity of Taq DNA polymerase, stabilize the duplex strand of DNA template and spurious incorrect primer annealing thereby resulting in undesired or non-specific amplicons </w:t>
      </w:r>
      <w:r w:rsidRPr="009C3132">
        <w:rPr>
          <w:rFonts w:ascii="Times New Roman" w:hAnsi="Times New Roman"/>
          <w:iCs/>
          <w:sz w:val="20"/>
          <w:szCs w:val="20"/>
        </w:rPr>
        <w:t>[22]</w:t>
      </w:r>
      <w:r w:rsidRPr="009C3132">
        <w:rPr>
          <w:rFonts w:ascii="Times New Roman" w:hAnsi="Times New Roman"/>
          <w:sz w:val="20"/>
          <w:szCs w:val="20"/>
        </w:rPr>
        <w:t>. In contrast, insufficient concentration of Mg</w:t>
      </w:r>
      <w:r w:rsidRPr="009C3132">
        <w:rPr>
          <w:rFonts w:ascii="Times New Roman" w:hAnsi="Times New Roman"/>
          <w:sz w:val="20"/>
          <w:szCs w:val="20"/>
          <w:vertAlign w:val="superscript"/>
        </w:rPr>
        <w:t>2+</w:t>
      </w:r>
      <w:r w:rsidRPr="009C3132">
        <w:rPr>
          <w:rFonts w:ascii="Times New Roman" w:hAnsi="Times New Roman"/>
          <w:sz w:val="20"/>
          <w:szCs w:val="20"/>
        </w:rPr>
        <w:t xml:space="preserve"> can cause no amplicons or yields are likely to be poor </w:t>
      </w:r>
      <w:r w:rsidRPr="009C3132">
        <w:rPr>
          <w:rFonts w:ascii="Times New Roman" w:hAnsi="Times New Roman"/>
          <w:iCs/>
          <w:sz w:val="20"/>
          <w:szCs w:val="20"/>
        </w:rPr>
        <w:t>[23]</w:t>
      </w:r>
      <w:r w:rsidRPr="009C3132">
        <w:rPr>
          <w:rFonts w:ascii="Times New Roman" w:hAnsi="Times New Roman"/>
          <w:sz w:val="20"/>
          <w:szCs w:val="20"/>
        </w:rPr>
        <w:t>. MgCI</w:t>
      </w:r>
      <w:r w:rsidRPr="009C3132">
        <w:rPr>
          <w:rFonts w:ascii="Times New Roman" w:hAnsi="Times New Roman"/>
          <w:sz w:val="20"/>
          <w:szCs w:val="20"/>
          <w:vertAlign w:val="subscript"/>
        </w:rPr>
        <w:t>2</w:t>
      </w:r>
      <w:r w:rsidRPr="009C3132">
        <w:rPr>
          <w:rFonts w:ascii="Times New Roman" w:hAnsi="Times New Roman"/>
          <w:sz w:val="20"/>
          <w:szCs w:val="20"/>
        </w:rPr>
        <w:t xml:space="preserve"> was optimized in this study because the reaction cannot proceed without the sufficient concentration of Mg</w:t>
      </w:r>
      <w:r w:rsidRPr="009C3132">
        <w:rPr>
          <w:rFonts w:ascii="Times New Roman" w:hAnsi="Times New Roman"/>
          <w:sz w:val="20"/>
          <w:szCs w:val="20"/>
          <w:vertAlign w:val="superscript"/>
        </w:rPr>
        <w:t>2+</w:t>
      </w:r>
      <w:r w:rsidRPr="009C3132">
        <w:rPr>
          <w:rFonts w:ascii="Times New Roman" w:hAnsi="Times New Roman"/>
          <w:sz w:val="20"/>
          <w:szCs w:val="20"/>
        </w:rPr>
        <w:t xml:space="preserve"> ion. The optimized concentration is additional option from the recommended protocol because the nature of DNA template can be affected by PCR inhibitors from environmental factors </w:t>
      </w:r>
      <w:r w:rsidRPr="009C3132">
        <w:rPr>
          <w:rFonts w:ascii="Times New Roman" w:hAnsi="Times New Roman"/>
          <w:iCs/>
          <w:sz w:val="20"/>
          <w:szCs w:val="20"/>
        </w:rPr>
        <w:t>[24]</w:t>
      </w:r>
      <w:r w:rsidRPr="009C3132">
        <w:rPr>
          <w:rFonts w:ascii="Times New Roman" w:hAnsi="Times New Roman"/>
          <w:sz w:val="20"/>
          <w:szCs w:val="20"/>
        </w:rPr>
        <w:t xml:space="preserve">. In such case, it is crucial to increase the concentration of magnesium ion for PCR stringency and specificity. </w:t>
      </w:r>
    </w:p>
    <w:p w:rsidR="00531384" w:rsidRPr="009C3132" w:rsidRDefault="00531384" w:rsidP="00531384">
      <w:pPr>
        <w:spacing w:after="120" w:line="240" w:lineRule="auto"/>
        <w:jc w:val="both"/>
        <w:outlineLvl w:val="0"/>
        <w:rPr>
          <w:rFonts w:ascii="Times New Roman" w:hAnsi="Times New Roman"/>
          <w:sz w:val="20"/>
          <w:szCs w:val="20"/>
        </w:rPr>
      </w:pPr>
    </w:p>
    <w:p w:rsidR="009C3132" w:rsidRPr="009C3132" w:rsidRDefault="009C3132" w:rsidP="00531384">
      <w:pPr>
        <w:spacing w:after="60" w:line="240" w:lineRule="auto"/>
        <w:jc w:val="center"/>
        <w:outlineLvl w:val="0"/>
        <w:rPr>
          <w:rFonts w:ascii="Times New Roman" w:hAnsi="Times New Roman"/>
          <w:sz w:val="20"/>
          <w:szCs w:val="20"/>
        </w:rPr>
      </w:pPr>
      <w:r w:rsidRPr="009C3132">
        <w:rPr>
          <w:rFonts w:ascii="Times New Roman" w:hAnsi="Times New Roman"/>
          <w:noProof/>
          <w:sz w:val="20"/>
          <w:szCs w:val="20"/>
          <w:lang w:bidi="ar-SA"/>
        </w:rPr>
        <w:drawing>
          <wp:inline distT="0" distB="0" distL="0" distR="0" wp14:anchorId="5E2B36D2" wp14:editId="3AE307BB">
            <wp:extent cx="3282742" cy="1801505"/>
            <wp:effectExtent l="0" t="0" r="0" b="8255"/>
            <wp:docPr id="2" name="Picture 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14461" cy="1818912"/>
                    </a:xfrm>
                    <a:prstGeom prst="rect">
                      <a:avLst/>
                    </a:prstGeom>
                    <a:noFill/>
                    <a:ln>
                      <a:noFill/>
                    </a:ln>
                  </pic:spPr>
                </pic:pic>
              </a:graphicData>
            </a:graphic>
          </wp:inline>
        </w:drawing>
      </w:r>
    </w:p>
    <w:p w:rsidR="009C3132" w:rsidRPr="009C3132" w:rsidRDefault="009C3132" w:rsidP="00531384">
      <w:pPr>
        <w:spacing w:after="0" w:line="240" w:lineRule="auto"/>
        <w:ind w:left="900" w:hanging="900"/>
        <w:jc w:val="both"/>
        <w:outlineLvl w:val="0"/>
        <w:rPr>
          <w:rFonts w:ascii="Times New Roman" w:hAnsi="Times New Roman"/>
          <w:sz w:val="20"/>
          <w:szCs w:val="20"/>
        </w:rPr>
      </w:pPr>
      <w:r w:rsidRPr="009C3132">
        <w:rPr>
          <w:rFonts w:ascii="Times New Roman" w:hAnsi="Times New Roman"/>
          <w:sz w:val="20"/>
          <w:szCs w:val="20"/>
        </w:rPr>
        <w:t xml:space="preserve">Figure 1.  </w:t>
      </w:r>
      <w:r w:rsidR="00531384">
        <w:rPr>
          <w:rFonts w:ascii="Times New Roman" w:hAnsi="Times New Roman"/>
          <w:sz w:val="20"/>
          <w:szCs w:val="20"/>
        </w:rPr>
        <w:tab/>
      </w:r>
      <w:r w:rsidRPr="009C3132">
        <w:rPr>
          <w:rFonts w:ascii="Times New Roman" w:hAnsi="Times New Roman"/>
          <w:sz w:val="20"/>
          <w:szCs w:val="20"/>
        </w:rPr>
        <w:t>Illustration of polymerase chain reaction on DNA molecules along with other PCR chemical components involved in the PCR reaction</w:t>
      </w:r>
    </w:p>
    <w:p w:rsidR="00AC0033" w:rsidRDefault="00AC0033" w:rsidP="00531384">
      <w:pPr>
        <w:spacing w:after="120" w:line="240" w:lineRule="auto"/>
        <w:jc w:val="both"/>
        <w:rPr>
          <w:rFonts w:ascii="Times New Roman" w:hAnsi="Times New Roman"/>
          <w:noProof/>
          <w:sz w:val="20"/>
          <w:szCs w:val="20"/>
          <w:lang w:bidi="ar-SA"/>
        </w:rPr>
      </w:pPr>
    </w:p>
    <w:p w:rsidR="009C3132" w:rsidRDefault="00531384" w:rsidP="00531384">
      <w:pPr>
        <w:spacing w:after="0" w:line="240" w:lineRule="auto"/>
        <w:jc w:val="both"/>
        <w:outlineLvl w:val="0"/>
        <w:rPr>
          <w:rFonts w:ascii="Times New Roman" w:hAnsi="Times New Roman"/>
          <w:sz w:val="20"/>
          <w:szCs w:val="20"/>
        </w:rPr>
      </w:pPr>
      <w:r w:rsidRPr="009C3132">
        <w:rPr>
          <w:rFonts w:ascii="Times New Roman" w:hAnsi="Times New Roman"/>
          <w:sz w:val="20"/>
          <w:szCs w:val="20"/>
        </w:rPr>
        <w:t xml:space="preserve">On the other hand, four dNTPs should be at the appropriate equivalent concentrations of 50 μM even though the reaction commonly can compromise between 20 and 200 μM </w:t>
      </w:r>
      <w:r w:rsidRPr="009C3132">
        <w:rPr>
          <w:rFonts w:ascii="Times New Roman" w:hAnsi="Times New Roman"/>
          <w:iCs/>
          <w:sz w:val="20"/>
          <w:szCs w:val="20"/>
        </w:rPr>
        <w:t>[25]</w:t>
      </w:r>
      <w:r w:rsidRPr="009C3132">
        <w:rPr>
          <w:rFonts w:ascii="Times New Roman" w:hAnsi="Times New Roman"/>
          <w:sz w:val="20"/>
          <w:szCs w:val="20"/>
        </w:rPr>
        <w:t xml:space="preserve">. In our study, dNTPs were optimized accordingly from the lowest to highest concentration to find an optimal concentration that is suitable for PCR reaction. Reduced dNTPs concentrations can increase PCR specificity while higher one can work oppositely </w:t>
      </w:r>
      <w:r w:rsidRPr="009C3132">
        <w:rPr>
          <w:rFonts w:ascii="Times New Roman" w:hAnsi="Times New Roman"/>
          <w:iCs/>
          <w:sz w:val="20"/>
          <w:szCs w:val="20"/>
        </w:rPr>
        <w:t>[26]</w:t>
      </w:r>
      <w:r w:rsidRPr="009C3132">
        <w:rPr>
          <w:rFonts w:ascii="Times New Roman" w:hAnsi="Times New Roman"/>
          <w:sz w:val="20"/>
          <w:szCs w:val="20"/>
        </w:rPr>
        <w:t xml:space="preserve">. The desired length of PCR products is not long, below 500 bp and thus, higher dNTP concentration is not required. In our practice, optimization of each dNTP is essential for working dNTPs solution to reach the optimal balance in final reaction coupled with other PCR reagents. It is important that four dNTP’s concentrations should be used equivalently for minimizing misincorporation errors </w:t>
      </w:r>
      <w:r w:rsidRPr="009C3132">
        <w:rPr>
          <w:rFonts w:ascii="Times New Roman" w:hAnsi="Times New Roman"/>
          <w:iCs/>
          <w:sz w:val="20"/>
          <w:szCs w:val="20"/>
        </w:rPr>
        <w:t>[27]</w:t>
      </w:r>
      <w:r w:rsidRPr="009C3132">
        <w:rPr>
          <w:rFonts w:ascii="Times New Roman" w:hAnsi="Times New Roman"/>
          <w:sz w:val="20"/>
          <w:szCs w:val="20"/>
        </w:rPr>
        <w:t xml:space="preserve">. One of the main components to be discussed is universal primers. Its concentration should be optimal at 0.1-0.5 µM. In our study, primer was optimized for both concentrations and final volume in 20 µL PCR reaction mix. Higher concentration of universal primers can result in template mis priming at non-specific sites and thus, leading to accumulated non-specific products formation </w:t>
      </w:r>
      <w:r w:rsidRPr="009C3132">
        <w:rPr>
          <w:rFonts w:ascii="Times New Roman" w:hAnsi="Times New Roman"/>
          <w:iCs/>
          <w:sz w:val="20"/>
          <w:szCs w:val="20"/>
        </w:rPr>
        <w:t>[28]</w:t>
      </w:r>
      <w:r w:rsidRPr="009C3132">
        <w:rPr>
          <w:rFonts w:ascii="Times New Roman" w:hAnsi="Times New Roman"/>
          <w:sz w:val="20"/>
          <w:szCs w:val="20"/>
        </w:rPr>
        <w:t xml:space="preserve">. However, the primers should be prepared at slightly higher concentration than optimal to avoid of its exhaustion that possibly compromise the desired amplicon yield upon PCR completion </w:t>
      </w:r>
      <w:r w:rsidRPr="009C3132">
        <w:rPr>
          <w:rFonts w:ascii="Times New Roman" w:hAnsi="Times New Roman"/>
          <w:iCs/>
          <w:sz w:val="20"/>
          <w:szCs w:val="20"/>
        </w:rPr>
        <w:t>[29]</w:t>
      </w:r>
      <w:r w:rsidRPr="009C3132">
        <w:rPr>
          <w:rFonts w:ascii="Times New Roman" w:hAnsi="Times New Roman"/>
          <w:sz w:val="20"/>
          <w:szCs w:val="20"/>
        </w:rPr>
        <w:t xml:space="preserve">. Finally, free-DNase water is generally the easiest component for optimization since it is essentially important to be included in PCR reaction mix for avoiding any residual enzymatic activity such as DNase that can degrade DNA template during PCR reaction until its completion </w:t>
      </w:r>
      <w:r w:rsidRPr="009C3132">
        <w:rPr>
          <w:rFonts w:ascii="Times New Roman" w:hAnsi="Times New Roman"/>
          <w:iCs/>
          <w:sz w:val="20"/>
          <w:szCs w:val="20"/>
        </w:rPr>
        <w:t>[30]</w:t>
      </w:r>
      <w:r w:rsidRPr="009C3132">
        <w:rPr>
          <w:rFonts w:ascii="Times New Roman" w:hAnsi="Times New Roman"/>
          <w:sz w:val="20"/>
          <w:szCs w:val="20"/>
        </w:rPr>
        <w:t xml:space="preserve">. However, the volume of water should not higher than half of PCR mix volume. In our study, the volume of PCR mix was set to be at 20 µl per reaction only. Thus, it is only tolerated for manipulation below than 10 µL to avoid diluting other essential chemical components of PCR such as DNA polymerase, dNTPs, MgCI2 and universal </w:t>
      </w:r>
      <w:r w:rsidRPr="009C3132">
        <w:rPr>
          <w:rFonts w:ascii="Times New Roman" w:hAnsi="Times New Roman"/>
          <w:sz w:val="20"/>
          <w:szCs w:val="20"/>
        </w:rPr>
        <w:lastRenderedPageBreak/>
        <w:t xml:space="preserve">primers as primers were already diluted from its working concentration of primer stock. Equal concentration of dNTPs with the excessive volume of water in PCR reaction mix indirectly can affect the formation of desired amplicon upon PCR completion </w:t>
      </w:r>
      <w:r w:rsidRPr="009C3132">
        <w:rPr>
          <w:rFonts w:ascii="Times New Roman" w:hAnsi="Times New Roman"/>
          <w:iCs/>
          <w:sz w:val="20"/>
          <w:szCs w:val="20"/>
        </w:rPr>
        <w:t>[31]</w:t>
      </w:r>
      <w:r w:rsidRPr="009C3132">
        <w:rPr>
          <w:rFonts w:ascii="Times New Roman" w:hAnsi="Times New Roman"/>
          <w:sz w:val="20"/>
          <w:szCs w:val="20"/>
        </w:rPr>
        <w:t xml:space="preserve">. </w:t>
      </w:r>
    </w:p>
    <w:p w:rsidR="00531384" w:rsidRPr="00F447A7" w:rsidRDefault="00531384"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87CDB" w:rsidRPr="00F87CDB" w:rsidRDefault="00F87CDB" w:rsidP="00F87CDB">
      <w:pPr>
        <w:spacing w:after="0" w:line="240" w:lineRule="auto"/>
        <w:jc w:val="both"/>
        <w:outlineLvl w:val="0"/>
        <w:rPr>
          <w:rFonts w:ascii="Times New Roman" w:hAnsi="Times New Roman"/>
          <w:sz w:val="20"/>
          <w:szCs w:val="20"/>
        </w:rPr>
      </w:pPr>
      <w:r w:rsidRPr="00F87CDB">
        <w:rPr>
          <w:rFonts w:ascii="Times New Roman" w:hAnsi="Times New Roman"/>
          <w:sz w:val="20"/>
          <w:szCs w:val="20"/>
        </w:rPr>
        <w:t xml:space="preserve">Accurate and proper concentration or volume to each PCR chemical components is essential for molecular identification of 18S rRNA </w:t>
      </w:r>
      <w:r w:rsidRPr="00F87CDB">
        <w:rPr>
          <w:rFonts w:ascii="Times New Roman" w:hAnsi="Times New Roman"/>
          <w:i/>
          <w:sz w:val="20"/>
          <w:szCs w:val="20"/>
        </w:rPr>
        <w:t>Cryptosporidium</w:t>
      </w:r>
      <w:r w:rsidRPr="00F87CDB">
        <w:rPr>
          <w:rFonts w:ascii="Times New Roman" w:hAnsi="Times New Roman"/>
          <w:sz w:val="20"/>
          <w:szCs w:val="20"/>
        </w:rPr>
        <w:t xml:space="preserve"> gene. These optimized PCR chemical components can be applied to other water samples infected with </w:t>
      </w:r>
      <w:r w:rsidRPr="00F87CDB">
        <w:rPr>
          <w:rFonts w:ascii="Times New Roman" w:hAnsi="Times New Roman"/>
          <w:i/>
          <w:sz w:val="20"/>
          <w:szCs w:val="20"/>
        </w:rPr>
        <w:t>Cryptosporidium</w:t>
      </w:r>
      <w:r w:rsidRPr="00F87CDB">
        <w:rPr>
          <w:rFonts w:ascii="Times New Roman" w:hAnsi="Times New Roman"/>
          <w:sz w:val="20"/>
          <w:szCs w:val="20"/>
        </w:rPr>
        <w:t xml:space="preserve"> for species identification. In future studies, study on gradient of temperature parameters of PCR run can be included to study the chemical nature of amplified genes either in denaturation, annealing or extension steps.  </w:t>
      </w:r>
    </w:p>
    <w:p w:rsidR="00F87CDB" w:rsidRPr="00F87CDB" w:rsidRDefault="00F87CDB" w:rsidP="00F87CDB">
      <w:pPr>
        <w:spacing w:after="0" w:line="240" w:lineRule="auto"/>
        <w:jc w:val="center"/>
        <w:outlineLvl w:val="0"/>
        <w:rPr>
          <w:rFonts w:ascii="Times New Roman" w:hAnsi="Times New Roman"/>
          <w:sz w:val="20"/>
          <w:szCs w:val="20"/>
        </w:rPr>
      </w:pPr>
    </w:p>
    <w:p w:rsidR="00F87CDB" w:rsidRPr="00F87CDB" w:rsidRDefault="00F87CDB" w:rsidP="00F87CDB">
      <w:pPr>
        <w:spacing w:after="0" w:line="240" w:lineRule="auto"/>
        <w:jc w:val="center"/>
        <w:outlineLvl w:val="0"/>
        <w:rPr>
          <w:rFonts w:ascii="Times New Roman" w:hAnsi="Times New Roman"/>
          <w:b/>
          <w:sz w:val="20"/>
          <w:szCs w:val="20"/>
        </w:rPr>
      </w:pPr>
      <w:r w:rsidRPr="00F87CDB">
        <w:rPr>
          <w:rFonts w:ascii="Times New Roman" w:hAnsi="Times New Roman"/>
          <w:b/>
          <w:sz w:val="20"/>
          <w:szCs w:val="20"/>
        </w:rPr>
        <w:t>Acknowledgement</w:t>
      </w:r>
    </w:p>
    <w:p w:rsidR="00F87CDB" w:rsidRPr="00F87CDB" w:rsidRDefault="00F87CDB" w:rsidP="00F87CDB">
      <w:pPr>
        <w:spacing w:after="0" w:line="240" w:lineRule="auto"/>
        <w:jc w:val="both"/>
        <w:outlineLvl w:val="0"/>
        <w:rPr>
          <w:rFonts w:ascii="Times New Roman" w:hAnsi="Times New Roman"/>
          <w:sz w:val="20"/>
          <w:szCs w:val="20"/>
        </w:rPr>
      </w:pPr>
      <w:r w:rsidRPr="00F87CDB">
        <w:rPr>
          <w:rFonts w:ascii="Times New Roman" w:hAnsi="Times New Roman"/>
          <w:sz w:val="20"/>
          <w:szCs w:val="20"/>
        </w:rPr>
        <w:t>The authors acknowledge to International Islamic University Malaysia (IIUM) for financial support through P-RIGS18-037-0037.</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Shrivastava, A. K., Kumar, S., Smith, W. A. and Sahu, P. S. (2017). Revisiting the global problem of cryptosporidiosis and recommendations. </w:t>
      </w:r>
      <w:r w:rsidRPr="00F87CDB">
        <w:rPr>
          <w:rFonts w:ascii="Times New Roman" w:eastAsiaTheme="minorHAnsi" w:hAnsi="Times New Roman"/>
          <w:i/>
          <w:sz w:val="20"/>
          <w:szCs w:val="20"/>
          <w:lang w:val="en-MY"/>
        </w:rPr>
        <w:t>Tropical Parasitology</w:t>
      </w:r>
      <w:r w:rsidRPr="00F87CDB">
        <w:rPr>
          <w:rFonts w:ascii="Times New Roman" w:eastAsiaTheme="minorHAnsi" w:hAnsi="Times New Roman"/>
          <w:sz w:val="20"/>
          <w:szCs w:val="20"/>
          <w:lang w:val="en-MY"/>
        </w:rPr>
        <w:t>, 7(1): 8.</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Huang, C., Hu, Y., Wang, L., Wang, Y., Li, N., Guo, Y., Feng, Y. and Xiao, L. (2017). Environmental transport of emerging human-pathogenic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species and subtypes through combined sewer overflow and wastewater. </w:t>
      </w:r>
      <w:r w:rsidRPr="00F87CDB">
        <w:rPr>
          <w:rFonts w:ascii="Times New Roman" w:eastAsiaTheme="minorHAnsi" w:hAnsi="Times New Roman"/>
          <w:i/>
          <w:sz w:val="20"/>
          <w:szCs w:val="20"/>
          <w:lang w:val="en-MY"/>
        </w:rPr>
        <w:t>Applied and Environmental Microbiology</w:t>
      </w:r>
      <w:r w:rsidRPr="00F87CDB">
        <w:rPr>
          <w:rFonts w:ascii="Times New Roman" w:eastAsiaTheme="minorHAnsi" w:hAnsi="Times New Roman"/>
          <w:sz w:val="20"/>
          <w:szCs w:val="20"/>
          <w:lang w:val="en-MY"/>
        </w:rPr>
        <w:t xml:space="preserve">, 83(16): AEM-00682.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Sales-Ortells, H., Agostini, G. and Medema, G. (2015). Quantification of waterborne pathogens and associated health risks in urban water. </w:t>
      </w:r>
      <w:r w:rsidRPr="00F87CDB">
        <w:rPr>
          <w:rFonts w:ascii="Times New Roman" w:eastAsiaTheme="minorHAnsi" w:hAnsi="Times New Roman"/>
          <w:i/>
          <w:sz w:val="20"/>
          <w:szCs w:val="20"/>
          <w:lang w:val="en-MY"/>
        </w:rPr>
        <w:t>Environmental Science &amp; Technology</w:t>
      </w:r>
      <w:r w:rsidRPr="00F87CDB">
        <w:rPr>
          <w:rFonts w:ascii="Times New Roman" w:eastAsiaTheme="minorHAnsi" w:hAnsi="Times New Roman"/>
          <w:sz w:val="20"/>
          <w:szCs w:val="20"/>
          <w:lang w:val="en-MY"/>
        </w:rPr>
        <w:t>, 49(11): 6943-6952.</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Adamska, M., Sawczuk, M., Kolodziejczyk, L. and Skotarczak, B. (2015). Assessment of molecular methods as a tool for detecting pathogenic protozoa isolated from water bodies. </w:t>
      </w:r>
      <w:r w:rsidRPr="00F87CDB">
        <w:rPr>
          <w:rFonts w:ascii="Times New Roman" w:eastAsiaTheme="minorHAnsi" w:hAnsi="Times New Roman"/>
          <w:i/>
          <w:sz w:val="20"/>
          <w:szCs w:val="20"/>
          <w:lang w:val="en-MY"/>
        </w:rPr>
        <w:t>Journal of Water and Health</w:t>
      </w:r>
      <w:r w:rsidRPr="00F87CDB">
        <w:rPr>
          <w:rFonts w:ascii="Times New Roman" w:eastAsiaTheme="minorHAnsi" w:hAnsi="Times New Roman"/>
          <w:sz w:val="20"/>
          <w:szCs w:val="20"/>
          <w:lang w:val="en-MY"/>
        </w:rPr>
        <w:t>, 13(4): 953-959.</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Zahedi, A., Paparini, A., Jian, F., Robertson, I. and Ryan, U. (2016). Public health significance of zoonotic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species in wildlife: critical insights into better drinking water management. </w:t>
      </w:r>
      <w:r w:rsidRPr="00F87CDB">
        <w:rPr>
          <w:rFonts w:ascii="Times New Roman" w:eastAsiaTheme="minorHAnsi" w:hAnsi="Times New Roman"/>
          <w:i/>
          <w:sz w:val="20"/>
          <w:szCs w:val="20"/>
          <w:lang w:val="en-MY"/>
        </w:rPr>
        <w:t>International Journal for Parasitology: Parasites and Wildlife</w:t>
      </w:r>
      <w:r w:rsidRPr="00F87CDB">
        <w:rPr>
          <w:rFonts w:ascii="Times New Roman" w:eastAsiaTheme="minorHAnsi" w:hAnsi="Times New Roman"/>
          <w:sz w:val="20"/>
          <w:szCs w:val="20"/>
          <w:lang w:val="en-MY"/>
        </w:rPr>
        <w:t xml:space="preserve">, 5(1): 88-109.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Triviño-Valencia, J., Lora, F., Zuluaga, J. D. and Gomez-Marin, J. E. (2016). Detection by PCR of pathogenic protozoa in raw and drinkable water samples in Colombia. </w:t>
      </w:r>
      <w:r w:rsidRPr="00F87CDB">
        <w:rPr>
          <w:rFonts w:ascii="Times New Roman" w:eastAsiaTheme="minorHAnsi" w:hAnsi="Times New Roman"/>
          <w:i/>
          <w:sz w:val="20"/>
          <w:szCs w:val="20"/>
          <w:lang w:val="en-MY"/>
        </w:rPr>
        <w:t>Parasitology Research</w:t>
      </w:r>
      <w:r w:rsidRPr="00F87CDB">
        <w:rPr>
          <w:rFonts w:ascii="Times New Roman" w:eastAsiaTheme="minorHAnsi" w:hAnsi="Times New Roman"/>
          <w:sz w:val="20"/>
          <w:szCs w:val="20"/>
          <w:lang w:val="en-MY"/>
        </w:rPr>
        <w:t>, 115(5): 1789-1797.</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Afzan, M. Y., Mardhiah, M., Muhammad Razman, A. R., Qamarul Iqmal, A., Sharmeen Nellisa, S., Nur Hazirah, H., Najat, H. and Ridhwan, A. W. (2015). The occurrence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oocysts in selected rivers and its physical assessments in Kuantan, Pahang. </w:t>
      </w:r>
      <w:r w:rsidRPr="00F87CDB">
        <w:rPr>
          <w:rFonts w:ascii="Times New Roman" w:eastAsiaTheme="minorHAnsi" w:hAnsi="Times New Roman"/>
          <w:i/>
          <w:sz w:val="20"/>
          <w:szCs w:val="20"/>
          <w:lang w:val="en-MY"/>
        </w:rPr>
        <w:t>Journal of Applied Science Research</w:t>
      </w:r>
      <w:r w:rsidRPr="00F87CDB">
        <w:rPr>
          <w:rFonts w:ascii="Times New Roman" w:eastAsiaTheme="minorHAnsi" w:hAnsi="Times New Roman"/>
          <w:sz w:val="20"/>
          <w:szCs w:val="20"/>
          <w:lang w:val="en-MY"/>
        </w:rPr>
        <w:t>, 11(17): 19-25.</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Mohd Aiman, B., Muhammad Lokman, M. I. and Afzan, M. Y. (2017). First molecular characterization of </w:t>
      </w:r>
      <w:r w:rsidRPr="00F87CDB">
        <w:rPr>
          <w:rFonts w:ascii="Times New Roman" w:eastAsiaTheme="minorHAnsi" w:hAnsi="Times New Roman"/>
          <w:i/>
          <w:iCs/>
          <w:sz w:val="20"/>
          <w:szCs w:val="20"/>
          <w:lang w:val="en-MY"/>
        </w:rPr>
        <w:t>Cryptosporidium</w:t>
      </w:r>
      <w:r w:rsidRPr="00F87CDB">
        <w:rPr>
          <w:rFonts w:ascii="Times New Roman" w:eastAsiaTheme="minorHAnsi" w:hAnsi="Times New Roman"/>
          <w:sz w:val="20"/>
          <w:szCs w:val="20"/>
          <w:lang w:val="en-MY"/>
        </w:rPr>
        <w:t xml:space="preserve"> from three different points of two main rivers in Kuantan, Malaysia using 18S rRNA gene nested PCR. </w:t>
      </w:r>
      <w:r w:rsidRPr="00F87CDB">
        <w:rPr>
          <w:rFonts w:ascii="Times New Roman" w:eastAsiaTheme="minorHAnsi" w:hAnsi="Times New Roman"/>
          <w:i/>
          <w:iCs/>
          <w:sz w:val="20"/>
          <w:szCs w:val="20"/>
          <w:lang w:val="en-MY"/>
        </w:rPr>
        <w:t>Asian Pacific Journal of Tropical Disease</w:t>
      </w:r>
      <w:r w:rsidRPr="00F87CDB">
        <w:rPr>
          <w:rFonts w:ascii="Times New Roman" w:eastAsiaTheme="minorHAnsi" w:hAnsi="Times New Roman"/>
          <w:sz w:val="20"/>
          <w:szCs w:val="20"/>
          <w:lang w:val="en-MY"/>
        </w:rPr>
        <w:t xml:space="preserve">, 7(9): 930-934.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Thompson, R. C. A. and Ash, A. (2016). Molecular epidemiology of </w:t>
      </w:r>
      <w:r w:rsidRPr="00F87CDB">
        <w:rPr>
          <w:rFonts w:ascii="Times New Roman" w:eastAsiaTheme="minorHAnsi" w:hAnsi="Times New Roman"/>
          <w:i/>
          <w:sz w:val="20"/>
          <w:szCs w:val="20"/>
          <w:lang w:val="en-MY"/>
        </w:rPr>
        <w:t>Giardia</w:t>
      </w:r>
      <w:r w:rsidRPr="00F87CDB">
        <w:rPr>
          <w:rFonts w:ascii="Times New Roman" w:eastAsiaTheme="minorHAnsi" w:hAnsi="Times New Roman"/>
          <w:sz w:val="20"/>
          <w:szCs w:val="20"/>
          <w:lang w:val="en-MY"/>
        </w:rPr>
        <w:t xml:space="preserve"> and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infections. </w:t>
      </w:r>
      <w:r w:rsidRPr="00F87CDB">
        <w:rPr>
          <w:rFonts w:ascii="Times New Roman" w:eastAsiaTheme="minorHAnsi" w:hAnsi="Times New Roman"/>
          <w:i/>
          <w:sz w:val="20"/>
          <w:szCs w:val="20"/>
          <w:lang w:val="en-MY"/>
        </w:rPr>
        <w:t>Infection, Genetics and Evolution</w:t>
      </w:r>
      <w:r w:rsidRPr="00F87CDB">
        <w:rPr>
          <w:rFonts w:ascii="Times New Roman" w:eastAsiaTheme="minorHAnsi" w:hAnsi="Times New Roman"/>
          <w:sz w:val="20"/>
          <w:szCs w:val="20"/>
          <w:lang w:val="en-MY"/>
        </w:rPr>
        <w:t xml:space="preserve">, 40: 315-323.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Richard, R. L., Ithoi, I., Abd Majid, M. A., Wan Sulaiman, W. Y., Tan, T. C., Nissapatorn, V. and Lim, Y. A. L. (2016). Monitoring of waterborne parasites in two drinking water treatment plants: A study in Sarawak, Malaysia. </w:t>
      </w:r>
      <w:r w:rsidRPr="00F87CDB">
        <w:rPr>
          <w:rFonts w:ascii="Times New Roman" w:eastAsiaTheme="minorHAnsi" w:hAnsi="Times New Roman"/>
          <w:i/>
          <w:sz w:val="20"/>
          <w:szCs w:val="20"/>
          <w:lang w:val="en-MY"/>
        </w:rPr>
        <w:t>International Journal of Environmental Research and Public Health</w:t>
      </w:r>
      <w:r w:rsidRPr="00F87CDB">
        <w:rPr>
          <w:rFonts w:ascii="Times New Roman" w:eastAsiaTheme="minorHAnsi" w:hAnsi="Times New Roman"/>
          <w:sz w:val="20"/>
          <w:szCs w:val="20"/>
          <w:lang w:val="en-MY"/>
        </w:rPr>
        <w:t xml:space="preserve">, 13(7): 641.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Lim, Y. A., Mahdy, M. A. and Surin, J. (2013). Unravelling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and </w:t>
      </w:r>
      <w:r w:rsidRPr="00F87CDB">
        <w:rPr>
          <w:rFonts w:ascii="Times New Roman" w:eastAsiaTheme="minorHAnsi" w:hAnsi="Times New Roman"/>
          <w:i/>
          <w:sz w:val="20"/>
          <w:szCs w:val="20"/>
          <w:lang w:val="en-MY"/>
        </w:rPr>
        <w:t>Giardia</w:t>
      </w:r>
      <w:r w:rsidRPr="00F87CDB">
        <w:rPr>
          <w:rFonts w:ascii="Times New Roman" w:eastAsiaTheme="minorHAnsi" w:hAnsi="Times New Roman"/>
          <w:sz w:val="20"/>
          <w:szCs w:val="20"/>
          <w:lang w:val="en-MY"/>
        </w:rPr>
        <w:t xml:space="preserve"> in Southeast Asia. In Parasites and their vectors. Springer, Vienna: pp. 77-102.</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Al-Delaimy, A. K., Al-Mekhlafi, H. M., Nasr, N. A., Sady, H., Atroosh, W. M., Nashiry, M., Anuar, T. S., Moktar, N., Lim, Y. A. and Mahmud, R. (2014). Epidemiology of intestinal polyparasitism among Orang Asli school children in rural Malaysia. </w:t>
      </w:r>
      <w:r w:rsidRPr="00F87CDB">
        <w:rPr>
          <w:rFonts w:ascii="Times New Roman" w:eastAsiaTheme="minorHAnsi" w:hAnsi="Times New Roman"/>
          <w:i/>
          <w:sz w:val="20"/>
          <w:szCs w:val="20"/>
          <w:lang w:val="en-MY"/>
        </w:rPr>
        <w:t>PLoS Neglected Tropical Diseases</w:t>
      </w:r>
      <w:r w:rsidRPr="00F87CDB">
        <w:rPr>
          <w:rFonts w:ascii="Times New Roman" w:eastAsiaTheme="minorHAnsi" w:hAnsi="Times New Roman"/>
          <w:sz w:val="20"/>
          <w:szCs w:val="20"/>
          <w:lang w:val="en-MY"/>
        </w:rPr>
        <w:t>, 8(8): e3074.</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Kumar, T., Onichandran, S., Lim, Y. A., Sawangjaroen, N., Ithoi, I., Andiappan, H., Salibay, C. C., Dungca, J. Z., Chye, T. T., Sulaiman, W. Y. and Lau, Y. L. (2014). Comparative study on waterborne parasites between Malaysia and Thailand: A new insight. </w:t>
      </w:r>
      <w:r w:rsidRPr="00F87CDB">
        <w:rPr>
          <w:rFonts w:ascii="Times New Roman" w:eastAsiaTheme="minorHAnsi" w:hAnsi="Times New Roman"/>
          <w:i/>
          <w:sz w:val="20"/>
          <w:szCs w:val="20"/>
          <w:lang w:val="en-MY"/>
        </w:rPr>
        <w:t>The American Journal of Tropical Medicine and Hygiene</w:t>
      </w:r>
      <w:r w:rsidRPr="00F87CDB">
        <w:rPr>
          <w:rFonts w:ascii="Times New Roman" w:eastAsiaTheme="minorHAnsi" w:hAnsi="Times New Roman"/>
          <w:sz w:val="20"/>
          <w:szCs w:val="20"/>
          <w:lang w:val="en-MY"/>
        </w:rPr>
        <w:t xml:space="preserve">, 90(4): 682-689.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Lim, Y. A. L. and Vythilingam, I. (Eds.). (2014). Parasites and their vectors: A special focus on Southeast Asia. Springer Science &amp; Business Media.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lastRenderedPageBreak/>
        <w:t xml:space="preserve">United States Environmental Protection Agency (2012). Method 1623.1: </w:t>
      </w:r>
      <w:r w:rsidRPr="00F87CDB">
        <w:rPr>
          <w:rFonts w:ascii="Times New Roman" w:eastAsiaTheme="minorHAnsi" w:hAnsi="Times New Roman"/>
          <w:i/>
          <w:iCs/>
          <w:sz w:val="20"/>
          <w:szCs w:val="20"/>
          <w:lang w:val="en-MY"/>
        </w:rPr>
        <w:t xml:space="preserve">Cryptosporidium </w:t>
      </w:r>
      <w:r w:rsidRPr="00F87CDB">
        <w:rPr>
          <w:rFonts w:ascii="Times New Roman" w:eastAsiaTheme="minorHAnsi" w:hAnsi="Times New Roman"/>
          <w:sz w:val="20"/>
          <w:szCs w:val="20"/>
          <w:lang w:val="en-MY"/>
        </w:rPr>
        <w:t xml:space="preserve">and </w:t>
      </w:r>
      <w:r w:rsidRPr="00F87CDB">
        <w:rPr>
          <w:rFonts w:ascii="Times New Roman" w:eastAsiaTheme="minorHAnsi" w:hAnsi="Times New Roman"/>
          <w:i/>
          <w:iCs/>
          <w:sz w:val="20"/>
          <w:szCs w:val="20"/>
          <w:lang w:val="en-MY"/>
        </w:rPr>
        <w:t xml:space="preserve">Giardia </w:t>
      </w:r>
      <w:r w:rsidRPr="00F87CDB">
        <w:rPr>
          <w:rFonts w:ascii="Times New Roman" w:eastAsiaTheme="minorHAnsi" w:hAnsi="Times New Roman"/>
          <w:sz w:val="20"/>
          <w:szCs w:val="20"/>
          <w:lang w:val="en-MY"/>
        </w:rPr>
        <w:t>in water by filtration/IMS/FA. Cincinnati: United States Environmental Protection Agency. http://www.doc88.com/p-0416866100459.html [Access online 3 July 2018].</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Mahmoudi, M. R., Nazemalhosseini-Mojarad, E., Kazemi, B., Haghighi, A., Mirzaei, A., Mohammadiha, A., Jahantab, S., Xiao, L. and Karanis, P. (2015).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genotypes and subtypes distribution in river water in Iran. </w:t>
      </w:r>
      <w:r w:rsidRPr="00F87CDB">
        <w:rPr>
          <w:rFonts w:ascii="Times New Roman" w:eastAsiaTheme="minorHAnsi" w:hAnsi="Times New Roman"/>
          <w:i/>
          <w:sz w:val="20"/>
          <w:szCs w:val="20"/>
          <w:lang w:val="en-MY"/>
        </w:rPr>
        <w:t>Journal of Water and Health</w:t>
      </w:r>
      <w:r w:rsidRPr="00F87CDB">
        <w:rPr>
          <w:rFonts w:ascii="Times New Roman" w:eastAsiaTheme="minorHAnsi" w:hAnsi="Times New Roman"/>
          <w:sz w:val="20"/>
          <w:szCs w:val="20"/>
          <w:lang w:val="en-MY"/>
        </w:rPr>
        <w:t xml:space="preserve">, 13(2): 600-606.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Lee, S. C., Ngui, R., Tan, T. K., Roslan, M. A., Ithoi, I. and Lim, Y. A. (2014). Aquatic biomonitoring of </w:t>
      </w:r>
      <w:r w:rsidRPr="00F87CDB">
        <w:rPr>
          <w:rFonts w:ascii="Times New Roman" w:eastAsiaTheme="minorHAnsi" w:hAnsi="Times New Roman"/>
          <w:i/>
          <w:sz w:val="20"/>
          <w:szCs w:val="20"/>
          <w:lang w:val="en-MY"/>
        </w:rPr>
        <w:t xml:space="preserve">Giardia </w:t>
      </w:r>
      <w:r w:rsidRPr="00F87CDB">
        <w:rPr>
          <w:rFonts w:ascii="Times New Roman" w:eastAsiaTheme="minorHAnsi" w:hAnsi="Times New Roman"/>
          <w:sz w:val="20"/>
          <w:szCs w:val="20"/>
          <w:lang w:val="en-MY"/>
        </w:rPr>
        <w:t xml:space="preserve">cysts and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oocysts in peninsular Malaysia. </w:t>
      </w:r>
      <w:r w:rsidRPr="00F87CDB">
        <w:rPr>
          <w:rFonts w:ascii="Times New Roman" w:eastAsiaTheme="minorHAnsi" w:hAnsi="Times New Roman"/>
          <w:i/>
          <w:sz w:val="20"/>
          <w:szCs w:val="20"/>
          <w:lang w:val="en-MY"/>
        </w:rPr>
        <w:t>Environmental Science and Pollution Research</w:t>
      </w:r>
      <w:r w:rsidRPr="00F87CDB">
        <w:rPr>
          <w:rFonts w:ascii="Times New Roman" w:eastAsiaTheme="minorHAnsi" w:hAnsi="Times New Roman"/>
          <w:sz w:val="20"/>
          <w:szCs w:val="20"/>
          <w:lang w:val="en-MY"/>
        </w:rPr>
        <w:t xml:space="preserve">, 21(1): 445-453.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Hall, T. (2011). BioEdit: An important software for molecular biology. </w:t>
      </w:r>
      <w:r w:rsidRPr="00F87CDB">
        <w:rPr>
          <w:rFonts w:ascii="Times New Roman" w:eastAsiaTheme="minorHAnsi" w:hAnsi="Times New Roman"/>
          <w:i/>
          <w:sz w:val="20"/>
          <w:szCs w:val="20"/>
          <w:lang w:val="en-MY"/>
        </w:rPr>
        <w:t>GERF Bulletin Bioscience</w:t>
      </w:r>
      <w:r w:rsidRPr="00F87CDB">
        <w:rPr>
          <w:rFonts w:ascii="Times New Roman" w:eastAsiaTheme="minorHAnsi" w:hAnsi="Times New Roman"/>
          <w:sz w:val="20"/>
          <w:szCs w:val="20"/>
          <w:lang w:val="en-MY"/>
        </w:rPr>
        <w:t>, 2(1): 60-61.</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Kumar, S., Stecher, G. and Tamura, K. (2016). MEGA7: Molecular evolutionary genetics analysis version 7.0 for bigger datasets. </w:t>
      </w:r>
      <w:r w:rsidRPr="00F87CDB">
        <w:rPr>
          <w:rFonts w:ascii="Times New Roman" w:eastAsiaTheme="minorHAnsi" w:hAnsi="Times New Roman"/>
          <w:i/>
          <w:sz w:val="20"/>
          <w:szCs w:val="20"/>
          <w:lang w:val="en-MY"/>
        </w:rPr>
        <w:t>Molecular Biology and Evolution</w:t>
      </w:r>
      <w:r w:rsidRPr="00F87CDB">
        <w:rPr>
          <w:rFonts w:ascii="Times New Roman" w:eastAsiaTheme="minorHAnsi" w:hAnsi="Times New Roman"/>
          <w:sz w:val="20"/>
          <w:szCs w:val="20"/>
          <w:lang w:val="en-MY"/>
        </w:rPr>
        <w:t>, 33(7): 1870-1874.</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Zainal Abidin, Z. A., Abdul Malek, N., Zainuddin, Z. and Chowdhury, A. J. K. (2016). Selective isolation and antagonistic activity of actinomycetes from mangrove forest of Pahang, Malaysia. </w:t>
      </w:r>
      <w:r w:rsidRPr="00F87CDB">
        <w:rPr>
          <w:rFonts w:ascii="Times New Roman" w:eastAsiaTheme="minorHAnsi" w:hAnsi="Times New Roman"/>
          <w:i/>
          <w:sz w:val="20"/>
          <w:szCs w:val="20"/>
          <w:lang w:val="en-MY"/>
        </w:rPr>
        <w:t>Frontiers in Life Science</w:t>
      </w:r>
      <w:r w:rsidRPr="00F87CDB">
        <w:rPr>
          <w:rFonts w:ascii="Times New Roman" w:eastAsiaTheme="minorHAnsi" w:hAnsi="Times New Roman"/>
          <w:sz w:val="20"/>
          <w:szCs w:val="20"/>
          <w:lang w:val="en-MY"/>
        </w:rPr>
        <w:t xml:space="preserve">, 9(1): 24-31.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Ghani, N. A. A. A., Othman, N. and Baharudin, M. K. H. (2013). Study on characteristics of sediment and sedimentation rate at Sungai Lembing, Kuantan, Pahang. </w:t>
      </w:r>
      <w:r w:rsidRPr="00F87CDB">
        <w:rPr>
          <w:rFonts w:ascii="Times New Roman" w:eastAsiaTheme="minorHAnsi" w:hAnsi="Times New Roman"/>
          <w:i/>
          <w:sz w:val="20"/>
          <w:szCs w:val="20"/>
          <w:lang w:val="en-MY"/>
        </w:rPr>
        <w:t>Procedia Engineering</w:t>
      </w:r>
      <w:r w:rsidRPr="00F87CDB">
        <w:rPr>
          <w:rFonts w:ascii="Times New Roman" w:eastAsiaTheme="minorHAnsi" w:hAnsi="Times New Roman"/>
          <w:sz w:val="20"/>
          <w:szCs w:val="20"/>
          <w:lang w:val="en-MY"/>
        </w:rPr>
        <w:t>, 53: 81-92.</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Ghani, N. A. A., Mohamad, N. A. and Hui, T. W. (2016). Rainfall analysis to determine the potential of rainwater harvesting site in Kuantan, Pahang. </w:t>
      </w:r>
      <w:r w:rsidRPr="00F87CDB">
        <w:rPr>
          <w:rFonts w:ascii="Times New Roman" w:eastAsiaTheme="minorHAnsi" w:hAnsi="Times New Roman"/>
          <w:i/>
          <w:iCs/>
          <w:sz w:val="20"/>
          <w:szCs w:val="20"/>
          <w:lang w:val="en-MY"/>
        </w:rPr>
        <w:t xml:space="preserve">ARPN Journal of Engineering Applied Science, </w:t>
      </w:r>
      <w:r w:rsidRPr="00F87CDB">
        <w:rPr>
          <w:rFonts w:ascii="Times New Roman" w:eastAsiaTheme="minorHAnsi" w:hAnsi="Times New Roman"/>
          <w:bCs/>
          <w:sz w:val="20"/>
          <w:szCs w:val="20"/>
          <w:lang w:val="en-MY"/>
        </w:rPr>
        <w:t>11</w:t>
      </w:r>
      <w:r w:rsidRPr="00F87CDB">
        <w:rPr>
          <w:rFonts w:ascii="Times New Roman" w:eastAsiaTheme="minorHAnsi" w:hAnsi="Times New Roman"/>
          <w:sz w:val="20"/>
          <w:szCs w:val="20"/>
          <w:lang w:val="en-MY"/>
        </w:rPr>
        <w:t>(11): 7264-7268.</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Alshaebi, F. Y., Yaacob, W. Z. W., Samsudin, A. R. and Alsabahi, E. (2009). Risk assessment at abandoned tin mine in Sungai Lembing, Pahang, Malaysia. </w:t>
      </w:r>
      <w:r w:rsidRPr="00F87CDB">
        <w:rPr>
          <w:rFonts w:ascii="Times New Roman" w:eastAsiaTheme="minorHAnsi" w:hAnsi="Times New Roman"/>
          <w:i/>
          <w:sz w:val="20"/>
          <w:szCs w:val="20"/>
          <w:lang w:val="en-MY"/>
        </w:rPr>
        <w:t>Electronic Journal of Geotechnical Engineering</w:t>
      </w:r>
      <w:r w:rsidRPr="00F87CDB">
        <w:rPr>
          <w:rFonts w:ascii="Times New Roman" w:eastAsiaTheme="minorHAnsi" w:hAnsi="Times New Roman"/>
          <w:sz w:val="20"/>
          <w:szCs w:val="20"/>
          <w:lang w:val="en-MY"/>
        </w:rPr>
        <w:t>, 14: 1-9.</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Le Blancq, S. M., Khramtsov, N. V., Zamani, F., Upton, S. J. and Wu, T. W. (1997). Ribosomal RNA gene organization in </w:t>
      </w:r>
      <w:r w:rsidRPr="00F87CDB">
        <w:rPr>
          <w:rFonts w:ascii="Times New Roman" w:eastAsiaTheme="minorHAnsi" w:hAnsi="Times New Roman"/>
          <w:i/>
          <w:sz w:val="20"/>
          <w:szCs w:val="20"/>
          <w:lang w:val="en-MY"/>
        </w:rPr>
        <w:t>Cryptosporidium parvum</w:t>
      </w:r>
      <w:r w:rsidRPr="00F87CDB">
        <w:rPr>
          <w:rFonts w:ascii="Times New Roman" w:eastAsiaTheme="minorHAnsi" w:hAnsi="Times New Roman"/>
          <w:sz w:val="20"/>
          <w:szCs w:val="20"/>
          <w:lang w:val="en-MY"/>
        </w:rPr>
        <w:t xml:space="preserve">. </w:t>
      </w:r>
      <w:r w:rsidRPr="00F87CDB">
        <w:rPr>
          <w:rFonts w:ascii="Times New Roman" w:eastAsiaTheme="minorHAnsi" w:hAnsi="Times New Roman"/>
          <w:i/>
          <w:sz w:val="20"/>
          <w:szCs w:val="20"/>
          <w:lang w:val="en-MY"/>
        </w:rPr>
        <w:t>Molecular and Biochemical Parasitology</w:t>
      </w:r>
      <w:r w:rsidRPr="00F87CDB">
        <w:rPr>
          <w:rFonts w:ascii="Times New Roman" w:eastAsiaTheme="minorHAnsi" w:hAnsi="Times New Roman"/>
          <w:sz w:val="20"/>
          <w:szCs w:val="20"/>
          <w:lang w:val="en-MY"/>
        </w:rPr>
        <w:t>, 90(2): 463-478.</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Xiao, L., Escalante, L., Yang, C., Sulaiman, I., Escalante, A. A., Montali, R. J., Fayer, R. and Lal, A. A. (1999). Phylogenetic analysis of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parasites based on the small-subunit rRNA gene locus. </w:t>
      </w:r>
      <w:r w:rsidRPr="00F87CDB">
        <w:rPr>
          <w:rFonts w:ascii="Times New Roman" w:eastAsiaTheme="minorHAnsi" w:hAnsi="Times New Roman"/>
          <w:i/>
          <w:sz w:val="20"/>
          <w:szCs w:val="20"/>
          <w:lang w:val="en-MY"/>
        </w:rPr>
        <w:t>Applied and Environmental Microbiology</w:t>
      </w:r>
      <w:r w:rsidRPr="00F87CDB">
        <w:rPr>
          <w:rFonts w:ascii="Times New Roman" w:eastAsiaTheme="minorHAnsi" w:hAnsi="Times New Roman"/>
          <w:sz w:val="20"/>
          <w:szCs w:val="20"/>
          <w:lang w:val="en-MY"/>
        </w:rPr>
        <w:t xml:space="preserve">, 65(4): 1578-1583.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Stenger, B. L., Clark, M. E., Kváč, M., Khan, E., Giddings, C. W., Dyer, N. W., Schultz, J. L. and McEvoy, J. M. (2015). Highly divergent 18S rRNA gene paralogs in a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genotype from eastern chipmunks (</w:t>
      </w:r>
      <w:r w:rsidRPr="00F87CDB">
        <w:rPr>
          <w:rFonts w:ascii="Times New Roman" w:eastAsiaTheme="minorHAnsi" w:hAnsi="Times New Roman"/>
          <w:i/>
          <w:sz w:val="20"/>
          <w:szCs w:val="20"/>
          <w:lang w:val="en-MY"/>
        </w:rPr>
        <w:t>Tamias striatus</w:t>
      </w:r>
      <w:r w:rsidRPr="00F87CDB">
        <w:rPr>
          <w:rFonts w:ascii="Times New Roman" w:eastAsiaTheme="minorHAnsi" w:hAnsi="Times New Roman"/>
          <w:sz w:val="20"/>
          <w:szCs w:val="20"/>
          <w:lang w:val="en-MY"/>
        </w:rPr>
        <w:t xml:space="preserve">). </w:t>
      </w:r>
      <w:r w:rsidRPr="00F87CDB">
        <w:rPr>
          <w:rFonts w:ascii="Times New Roman" w:eastAsiaTheme="minorHAnsi" w:hAnsi="Times New Roman"/>
          <w:i/>
          <w:sz w:val="20"/>
          <w:szCs w:val="20"/>
          <w:lang w:val="en-MY"/>
        </w:rPr>
        <w:t>Infection, Genetics and Evolution</w:t>
      </w:r>
      <w:r w:rsidRPr="00F87CDB">
        <w:rPr>
          <w:rFonts w:ascii="Times New Roman" w:eastAsiaTheme="minorHAnsi" w:hAnsi="Times New Roman"/>
          <w:sz w:val="20"/>
          <w:szCs w:val="20"/>
          <w:lang w:val="en-MY"/>
        </w:rPr>
        <w:t>, 32: 113-123.</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Ikarashi, M., Fukuda, Y., Honma, H., Kasai, K., Kaneta, Y. and Nakai, Y. (2013). First description of heterogeneity in 18S rRNA genes in the haploid genome of </w:t>
      </w:r>
      <w:r w:rsidRPr="00F87CDB">
        <w:rPr>
          <w:rFonts w:ascii="Times New Roman" w:eastAsiaTheme="minorHAnsi" w:hAnsi="Times New Roman"/>
          <w:i/>
          <w:sz w:val="20"/>
          <w:szCs w:val="20"/>
          <w:lang w:val="en-MY"/>
        </w:rPr>
        <w:t>Cryptosporidium andersoni</w:t>
      </w:r>
      <w:r w:rsidRPr="00F87CDB">
        <w:rPr>
          <w:rFonts w:ascii="Times New Roman" w:eastAsiaTheme="minorHAnsi" w:hAnsi="Times New Roman"/>
          <w:sz w:val="20"/>
          <w:szCs w:val="20"/>
          <w:lang w:val="en-MY"/>
        </w:rPr>
        <w:t xml:space="preserve"> Kawatabi type. </w:t>
      </w:r>
      <w:r w:rsidRPr="00F87CDB">
        <w:rPr>
          <w:rFonts w:ascii="Times New Roman" w:eastAsiaTheme="minorHAnsi" w:hAnsi="Times New Roman"/>
          <w:i/>
          <w:sz w:val="20"/>
          <w:szCs w:val="20"/>
          <w:lang w:val="en-MY"/>
        </w:rPr>
        <w:t>Veterinary Parasitology</w:t>
      </w:r>
      <w:r w:rsidRPr="00F87CDB">
        <w:rPr>
          <w:rFonts w:ascii="Times New Roman" w:eastAsiaTheme="minorHAnsi" w:hAnsi="Times New Roman"/>
          <w:sz w:val="20"/>
          <w:szCs w:val="20"/>
          <w:lang w:val="en-MY"/>
        </w:rPr>
        <w:t xml:space="preserve">, 196 (1-2): 220-224.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Jellison, K. L., Distel, D. L., Hemond, H. F. and Schauer, D. B. (2004). Phylogenetic analysis of the hypervariable region of the 18S rRNA gene of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oocysts in feces of Canada geese (</w:t>
      </w:r>
      <w:r w:rsidRPr="00F87CDB">
        <w:rPr>
          <w:rFonts w:ascii="Times New Roman" w:eastAsiaTheme="minorHAnsi" w:hAnsi="Times New Roman"/>
          <w:i/>
          <w:sz w:val="20"/>
          <w:szCs w:val="20"/>
          <w:lang w:val="en-MY"/>
        </w:rPr>
        <w:t>Branta canadensis</w:t>
      </w:r>
      <w:r w:rsidRPr="00F87CDB">
        <w:rPr>
          <w:rFonts w:ascii="Times New Roman" w:eastAsiaTheme="minorHAnsi" w:hAnsi="Times New Roman"/>
          <w:sz w:val="20"/>
          <w:szCs w:val="20"/>
          <w:lang w:val="en-MY"/>
        </w:rPr>
        <w:t xml:space="preserve">): evidence for five novel genotypes. </w:t>
      </w:r>
      <w:r w:rsidRPr="00F87CDB">
        <w:rPr>
          <w:rFonts w:ascii="Times New Roman" w:eastAsiaTheme="minorHAnsi" w:hAnsi="Times New Roman"/>
          <w:i/>
          <w:sz w:val="20"/>
          <w:szCs w:val="20"/>
          <w:lang w:val="en-MY"/>
        </w:rPr>
        <w:t>Applied and Environmental Microbiology</w:t>
      </w:r>
      <w:r w:rsidRPr="00F87CDB">
        <w:rPr>
          <w:rFonts w:ascii="Times New Roman" w:eastAsiaTheme="minorHAnsi" w:hAnsi="Times New Roman"/>
          <w:sz w:val="20"/>
          <w:szCs w:val="20"/>
          <w:lang w:val="en-MY"/>
        </w:rPr>
        <w:t>, 70 (1): 452-458.</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Ruecker, N. J., Matsune, J. C., Wilkes, G., Lapen, D. R., Topp, E., Edge, T. A., Sensen, C. W., Xiao, L. and Neumann, N. F. (2012). Molecular and phylogenetic approaches for assessing sources of </w:t>
      </w:r>
      <w:r w:rsidRPr="00F87CDB">
        <w:rPr>
          <w:rFonts w:ascii="Times New Roman" w:eastAsiaTheme="minorHAnsi" w:hAnsi="Times New Roman"/>
          <w:i/>
          <w:sz w:val="20"/>
          <w:szCs w:val="20"/>
          <w:lang w:val="en-MY"/>
        </w:rPr>
        <w:t>Cryptosporidium</w:t>
      </w:r>
      <w:r w:rsidRPr="00F87CDB">
        <w:rPr>
          <w:rFonts w:ascii="Times New Roman" w:eastAsiaTheme="minorHAnsi" w:hAnsi="Times New Roman"/>
          <w:sz w:val="20"/>
          <w:szCs w:val="20"/>
          <w:lang w:val="en-MY"/>
        </w:rPr>
        <w:t xml:space="preserve"> contamination in water. </w:t>
      </w:r>
      <w:r w:rsidRPr="00F87CDB">
        <w:rPr>
          <w:rFonts w:ascii="Times New Roman" w:eastAsiaTheme="minorHAnsi" w:hAnsi="Times New Roman"/>
          <w:i/>
          <w:sz w:val="20"/>
          <w:szCs w:val="20"/>
          <w:lang w:val="en-MY"/>
        </w:rPr>
        <w:t>Water Research</w:t>
      </w:r>
      <w:r w:rsidRPr="00F87CDB">
        <w:rPr>
          <w:rFonts w:ascii="Times New Roman" w:eastAsiaTheme="minorHAnsi" w:hAnsi="Times New Roman"/>
          <w:sz w:val="20"/>
          <w:szCs w:val="20"/>
          <w:lang w:val="en-MY"/>
        </w:rPr>
        <w:t xml:space="preserve">, 46(16): 5135-5150. </w:t>
      </w:r>
    </w:p>
    <w:p w:rsidR="00F87CDB"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Yang, B., Wang, Y. and Qian, P. Y. (2016). Sensitivity and correlation of hypervariable regions in 16S rRNA genes in phylogenetic analysis. </w:t>
      </w:r>
      <w:r w:rsidRPr="00F87CDB">
        <w:rPr>
          <w:rFonts w:ascii="Times New Roman" w:eastAsiaTheme="minorHAnsi" w:hAnsi="Times New Roman"/>
          <w:i/>
          <w:sz w:val="20"/>
          <w:szCs w:val="20"/>
          <w:lang w:val="en-MY"/>
        </w:rPr>
        <w:t>BMC Bioinformatics</w:t>
      </w:r>
      <w:r w:rsidRPr="00F87CDB">
        <w:rPr>
          <w:rFonts w:ascii="Times New Roman" w:eastAsiaTheme="minorHAnsi" w:hAnsi="Times New Roman"/>
          <w:sz w:val="20"/>
          <w:szCs w:val="20"/>
          <w:lang w:val="en-MY"/>
        </w:rPr>
        <w:t>, 17(1): 135.</w:t>
      </w:r>
    </w:p>
    <w:p w:rsidR="00921311" w:rsidRPr="00F87CDB" w:rsidRDefault="00F87CDB" w:rsidP="00F87CDB">
      <w:pPr>
        <w:pStyle w:val="ListParagraph"/>
        <w:numPr>
          <w:ilvl w:val="0"/>
          <w:numId w:val="3"/>
        </w:numPr>
        <w:autoSpaceDE w:val="0"/>
        <w:autoSpaceDN w:val="0"/>
        <w:adjustRightInd w:val="0"/>
        <w:spacing w:after="0" w:line="240" w:lineRule="auto"/>
        <w:contextualSpacing w:val="0"/>
        <w:jc w:val="both"/>
        <w:rPr>
          <w:rFonts w:ascii="Times New Roman" w:eastAsiaTheme="minorHAnsi" w:hAnsi="Times New Roman"/>
          <w:sz w:val="20"/>
          <w:szCs w:val="20"/>
          <w:lang w:val="en-MY"/>
        </w:rPr>
      </w:pPr>
      <w:r w:rsidRPr="00F87CDB">
        <w:rPr>
          <w:rFonts w:ascii="Times New Roman" w:eastAsiaTheme="minorHAnsi" w:hAnsi="Times New Roman"/>
          <w:sz w:val="20"/>
          <w:szCs w:val="20"/>
          <w:lang w:val="en-MY"/>
        </w:rPr>
        <w:t xml:space="preserve">Xiao, L., Limor, J. R., Li, L., Morgan, U., Thompson, R. C. and Lal, A. A. (1999). Presence of heterogeneous copies of the small subunit rRNA gene in </w:t>
      </w:r>
      <w:r w:rsidRPr="00F87CDB">
        <w:rPr>
          <w:rFonts w:ascii="Times New Roman" w:eastAsiaTheme="minorHAnsi" w:hAnsi="Times New Roman"/>
          <w:i/>
          <w:sz w:val="20"/>
          <w:szCs w:val="20"/>
          <w:lang w:val="en-MY"/>
        </w:rPr>
        <w:t>Cryptosporidium parvum</w:t>
      </w:r>
      <w:r w:rsidRPr="00F87CDB">
        <w:rPr>
          <w:rFonts w:ascii="Times New Roman" w:eastAsiaTheme="minorHAnsi" w:hAnsi="Times New Roman"/>
          <w:sz w:val="20"/>
          <w:szCs w:val="20"/>
          <w:lang w:val="en-MY"/>
        </w:rPr>
        <w:t xml:space="preserve"> human and marsupial genotypes and </w:t>
      </w:r>
      <w:r w:rsidRPr="00F87CDB">
        <w:rPr>
          <w:rFonts w:ascii="Times New Roman" w:eastAsiaTheme="minorHAnsi" w:hAnsi="Times New Roman"/>
          <w:i/>
          <w:sz w:val="20"/>
          <w:szCs w:val="20"/>
          <w:lang w:val="en-MY"/>
        </w:rPr>
        <w:t>Cryptosporidium felis</w:t>
      </w:r>
      <w:r w:rsidRPr="00F87CDB">
        <w:rPr>
          <w:rFonts w:ascii="Times New Roman" w:eastAsiaTheme="minorHAnsi" w:hAnsi="Times New Roman"/>
          <w:sz w:val="20"/>
          <w:szCs w:val="20"/>
          <w:lang w:val="en-MY"/>
        </w:rPr>
        <w:t xml:space="preserve">. </w:t>
      </w:r>
      <w:r w:rsidRPr="00F87CDB">
        <w:rPr>
          <w:rFonts w:ascii="Times New Roman" w:eastAsiaTheme="minorHAnsi" w:hAnsi="Times New Roman"/>
          <w:i/>
          <w:sz w:val="20"/>
          <w:szCs w:val="20"/>
          <w:lang w:val="en-MY"/>
        </w:rPr>
        <w:t>The Journal of Eukaryotic Microbiology</w:t>
      </w:r>
      <w:r w:rsidRPr="00F87CDB">
        <w:rPr>
          <w:rFonts w:ascii="Times New Roman" w:eastAsiaTheme="minorHAnsi" w:hAnsi="Times New Roman"/>
          <w:sz w:val="20"/>
          <w:szCs w:val="20"/>
          <w:lang w:val="en-MY"/>
        </w:rPr>
        <w:t xml:space="preserve">, 46(5): 44S. </w:t>
      </w:r>
    </w:p>
    <w:sectPr w:rsidR="00921311" w:rsidRPr="00F87CDB" w:rsidSect="004E354D">
      <w:headerReference w:type="even" r:id="rId12"/>
      <w:headerReference w:type="default" r:id="rId13"/>
      <w:footerReference w:type="even" r:id="rId14"/>
      <w:footerReference w:type="default" r:id="rId15"/>
      <w:pgSz w:w="12240" w:h="15840" w:code="1"/>
      <w:pgMar w:top="1800" w:right="1469" w:bottom="1699" w:left="1440" w:header="706" w:footer="706" w:gutter="0"/>
      <w:pgNumType w:start="4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D46DC">
      <w:rPr>
        <w:rFonts w:ascii="Times New Roman" w:hAnsi="Times New Roman"/>
        <w:noProof/>
      </w:rPr>
      <w:t>406</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FD46DC">
      <w:rPr>
        <w:rFonts w:ascii="Times New Roman" w:hAnsi="Times New Roman"/>
        <w:noProof/>
      </w:rPr>
      <w:t>405</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132" w:rsidRPr="009C3132" w:rsidRDefault="009C3132" w:rsidP="009C3132">
    <w:pPr>
      <w:spacing w:after="0" w:line="240" w:lineRule="auto"/>
      <w:ind w:left="1710" w:hanging="1710"/>
      <w:outlineLvl w:val="0"/>
      <w:rPr>
        <w:rFonts w:ascii="Times New Roman" w:hAnsi="Times New Roman"/>
        <w:sz w:val="20"/>
        <w:szCs w:val="20"/>
      </w:rPr>
    </w:pPr>
    <w:r>
      <w:rPr>
        <w:rFonts w:ascii="Times New Roman" w:hAnsi="Times New Roman"/>
        <w:sz w:val="20"/>
        <w:szCs w:val="20"/>
      </w:rPr>
      <w:t>Mohd Aiman et al</w:t>
    </w:r>
    <w:r w:rsidR="006B72B0" w:rsidRPr="009C3132">
      <w:rPr>
        <w:rFonts w:ascii="Times New Roman" w:hAnsi="Times New Roman"/>
        <w:sz w:val="20"/>
        <w:szCs w:val="20"/>
      </w:rPr>
      <w:t xml:space="preserve">: </w:t>
    </w:r>
    <w:r w:rsidR="00070F31" w:rsidRPr="009C3132">
      <w:rPr>
        <w:rFonts w:ascii="Times New Roman" w:hAnsi="Times New Roman"/>
        <w:sz w:val="20"/>
        <w:szCs w:val="20"/>
      </w:rPr>
      <w:t xml:space="preserve"> </w:t>
    </w:r>
    <w:r w:rsidRPr="009C3132">
      <w:rPr>
        <w:rFonts w:ascii="Times New Roman" w:hAnsi="Times New Roman"/>
        <w:sz w:val="20"/>
        <w:szCs w:val="20"/>
      </w:rPr>
      <w:t xml:space="preserve"> </w:t>
    </w:r>
    <w:r>
      <w:rPr>
        <w:rFonts w:ascii="Times New Roman" w:hAnsi="Times New Roman"/>
        <w:sz w:val="20"/>
        <w:szCs w:val="20"/>
      </w:rPr>
      <w:tab/>
    </w:r>
    <w:r w:rsidRPr="009C3132">
      <w:rPr>
        <w:rFonts w:ascii="Times New Roman" w:hAnsi="Times New Roman"/>
        <w:sz w:val="20"/>
        <w:szCs w:val="20"/>
      </w:rPr>
      <w:t xml:space="preserve">CHEMICAL COMPONENTS OF POLYMERASE CHAIN REACTION IN 18S rRNA FOR DETECTION OF </w:t>
    </w:r>
    <w:r w:rsidRPr="009C3132">
      <w:rPr>
        <w:rFonts w:ascii="Times New Roman" w:hAnsi="Times New Roman"/>
        <w:i/>
        <w:sz w:val="20"/>
        <w:szCs w:val="20"/>
      </w:rPr>
      <w:t>Cryptosporidium</w:t>
    </w:r>
    <w:r w:rsidRPr="009C3132">
      <w:rPr>
        <w:rFonts w:ascii="Times New Roman" w:hAnsi="Times New Roman"/>
        <w:sz w:val="20"/>
        <w:szCs w:val="20"/>
      </w:rPr>
      <w:t xml:space="preserve"> FROM RIVER WATER SAMPLES </w:t>
    </w:r>
  </w:p>
  <w:p w:rsidR="007964D6" w:rsidRDefault="007964D6" w:rsidP="009C3132">
    <w:pPr>
      <w:autoSpaceDE w:val="0"/>
      <w:autoSpaceDN w:val="0"/>
      <w:adjustRightInd w:val="0"/>
      <w:spacing w:after="0" w:line="240" w:lineRule="auto"/>
      <w:ind w:left="1260" w:hanging="12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FB6730">
      <w:rPr>
        <w:rFonts w:ascii="Times New Roman" w:hAnsi="Times New Roman"/>
        <w:i/>
        <w:lang w:val="en-US"/>
      </w:rPr>
      <w:t>3</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4E354D">
      <w:rPr>
        <w:rFonts w:ascii="Times New Roman" w:hAnsi="Times New Roman"/>
        <w:i/>
        <w:lang w:val="en-US"/>
      </w:rPr>
      <w:t>401</w:t>
    </w:r>
    <w:r>
      <w:rPr>
        <w:rFonts w:ascii="Times New Roman" w:hAnsi="Times New Roman"/>
        <w:i/>
        <w:lang w:val="en-US"/>
      </w:rPr>
      <w:t xml:space="preserve"> </w:t>
    </w:r>
    <w:r w:rsidR="007A0583">
      <w:rPr>
        <w:rFonts w:ascii="Times New Roman" w:hAnsi="Times New Roman"/>
        <w:i/>
        <w:lang w:val="en-US"/>
      </w:rPr>
      <w:t>-</w:t>
    </w:r>
    <w:r w:rsidR="004E354D">
      <w:rPr>
        <w:rFonts w:ascii="Times New Roman" w:hAnsi="Times New Roman"/>
        <w:i/>
        <w:lang w:val="en-US"/>
      </w:rPr>
      <w:t xml:space="preserve"> 406</w:t>
    </w:r>
  </w:p>
  <w:p w:rsidR="007964D6" w:rsidRPr="009C3132" w:rsidRDefault="00F4760B" w:rsidP="009C3132">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FB6730">
      <w:rPr>
        <w:rFonts w:ascii="Times New Roman" w:hAnsi="Times New Roman"/>
        <w:i/>
        <w:lang w:val="en-US"/>
      </w:rPr>
      <w:t>3</w:t>
    </w:r>
    <w:r w:rsidR="004E354D">
      <w:rPr>
        <w:rFonts w:ascii="Times New Roman" w:hAnsi="Times New Roman"/>
        <w:i/>
        <w:lang w:val="en-US"/>
      </w:rPr>
      <w:t>-04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C5F4836"/>
    <w:multiLevelType w:val="hybridMultilevel"/>
    <w:tmpl w:val="FE780222"/>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1F27E8"/>
    <w:rsid w:val="00277498"/>
    <w:rsid w:val="0028007D"/>
    <w:rsid w:val="00284905"/>
    <w:rsid w:val="002860B7"/>
    <w:rsid w:val="00290F4D"/>
    <w:rsid w:val="002A2FC0"/>
    <w:rsid w:val="002A7214"/>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3729D"/>
    <w:rsid w:val="0047088F"/>
    <w:rsid w:val="004760D4"/>
    <w:rsid w:val="00494C46"/>
    <w:rsid w:val="004B43FF"/>
    <w:rsid w:val="004D7E25"/>
    <w:rsid w:val="004E354D"/>
    <w:rsid w:val="00502641"/>
    <w:rsid w:val="00531384"/>
    <w:rsid w:val="005C6768"/>
    <w:rsid w:val="005E4871"/>
    <w:rsid w:val="00601C8A"/>
    <w:rsid w:val="00623CB8"/>
    <w:rsid w:val="006257E5"/>
    <w:rsid w:val="00634C25"/>
    <w:rsid w:val="006416AB"/>
    <w:rsid w:val="0065447F"/>
    <w:rsid w:val="006768E9"/>
    <w:rsid w:val="00687982"/>
    <w:rsid w:val="0069647A"/>
    <w:rsid w:val="006A7711"/>
    <w:rsid w:val="006B3EC8"/>
    <w:rsid w:val="006B72B0"/>
    <w:rsid w:val="006D286E"/>
    <w:rsid w:val="006D695E"/>
    <w:rsid w:val="00725A6A"/>
    <w:rsid w:val="007943F3"/>
    <w:rsid w:val="007964D6"/>
    <w:rsid w:val="007A0583"/>
    <w:rsid w:val="007A738C"/>
    <w:rsid w:val="007B1349"/>
    <w:rsid w:val="007C28A9"/>
    <w:rsid w:val="007D45AC"/>
    <w:rsid w:val="007E25BD"/>
    <w:rsid w:val="007F74FF"/>
    <w:rsid w:val="00802C35"/>
    <w:rsid w:val="0082181A"/>
    <w:rsid w:val="00825624"/>
    <w:rsid w:val="0083587A"/>
    <w:rsid w:val="00883CC3"/>
    <w:rsid w:val="008B470E"/>
    <w:rsid w:val="008B5904"/>
    <w:rsid w:val="008D29BF"/>
    <w:rsid w:val="008E1211"/>
    <w:rsid w:val="008E5BBF"/>
    <w:rsid w:val="008E6968"/>
    <w:rsid w:val="009211AF"/>
    <w:rsid w:val="00921311"/>
    <w:rsid w:val="009357B8"/>
    <w:rsid w:val="009866F6"/>
    <w:rsid w:val="009C3132"/>
    <w:rsid w:val="009D030D"/>
    <w:rsid w:val="009F1E66"/>
    <w:rsid w:val="00A14DB9"/>
    <w:rsid w:val="00A4762A"/>
    <w:rsid w:val="00A74A7E"/>
    <w:rsid w:val="00A91EFF"/>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A7D4B"/>
    <w:rsid w:val="00BB58AF"/>
    <w:rsid w:val="00BE7C30"/>
    <w:rsid w:val="00C055BF"/>
    <w:rsid w:val="00C2226A"/>
    <w:rsid w:val="00C234BA"/>
    <w:rsid w:val="00C94D92"/>
    <w:rsid w:val="00C97340"/>
    <w:rsid w:val="00CA513F"/>
    <w:rsid w:val="00CB3AA6"/>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87CDB"/>
    <w:rsid w:val="00FB4C59"/>
    <w:rsid w:val="00FB6730"/>
    <w:rsid w:val="00FD46DC"/>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3E4C-9E74-4491-B4FE-E0E0D4E06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3570</Words>
  <Characters>20282</Characters>
  <Application>Microsoft Office Word</Application>
  <DocSecurity>0</DocSecurity>
  <Lines>327</Lines>
  <Paragraphs>128</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23724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12</cp:revision>
  <cp:lastPrinted>2019-06-18T06:33:00Z</cp:lastPrinted>
  <dcterms:created xsi:type="dcterms:W3CDTF">2019-05-30T01:59:00Z</dcterms:created>
  <dcterms:modified xsi:type="dcterms:W3CDTF">2019-06-18T06:33:00Z</dcterms:modified>
</cp:coreProperties>
</file>