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540E9B" w:rsidRDefault="00540E9B" w:rsidP="00540E9B">
      <w:pPr>
        <w:spacing w:after="0" w:line="240" w:lineRule="auto"/>
        <w:jc w:val="center"/>
        <w:rPr>
          <w:rFonts w:ascii="Times New Roman" w:hAnsi="Times New Roman"/>
          <w:sz w:val="28"/>
          <w:szCs w:val="28"/>
        </w:rPr>
      </w:pPr>
      <w:r>
        <w:rPr>
          <w:rFonts w:ascii="Times New Roman" w:hAnsi="Times New Roman"/>
          <w:sz w:val="28"/>
          <w:szCs w:val="28"/>
        </w:rPr>
        <w:t>PdAu BIMETALLIC CATALYST FOR ELECTROOXIDATION OF GLYCEROL USING CYCLIC VOLTAMMETRY ANALYSIS</w:t>
      </w:r>
    </w:p>
    <w:p w:rsidR="00540E9B" w:rsidRDefault="00540E9B" w:rsidP="00540E9B">
      <w:pPr>
        <w:spacing w:after="0" w:line="240" w:lineRule="auto"/>
        <w:jc w:val="center"/>
        <w:rPr>
          <w:rFonts w:ascii="Times New Roman" w:hAnsi="Times New Roman"/>
          <w:sz w:val="24"/>
          <w:szCs w:val="24"/>
        </w:rPr>
      </w:pPr>
    </w:p>
    <w:p w:rsidR="00540E9B" w:rsidRPr="00540E9B" w:rsidRDefault="00540E9B" w:rsidP="00540E9B">
      <w:pPr>
        <w:spacing w:after="0" w:line="240" w:lineRule="auto"/>
        <w:jc w:val="center"/>
        <w:rPr>
          <w:rFonts w:ascii="Times New Roman" w:hAnsi="Times New Roman"/>
          <w:sz w:val="24"/>
          <w:szCs w:val="24"/>
          <w:lang w:val="ms-MY"/>
        </w:rPr>
      </w:pPr>
      <w:r>
        <w:rPr>
          <w:rFonts w:ascii="Times New Roman" w:hAnsi="Times New Roman"/>
          <w:sz w:val="24"/>
          <w:szCs w:val="24"/>
        </w:rPr>
        <w:t xml:space="preserve"> (</w:t>
      </w:r>
      <w:r w:rsidRPr="00BA1E50">
        <w:rPr>
          <w:rFonts w:ascii="Times New Roman" w:hAnsi="Times New Roman"/>
          <w:sz w:val="24"/>
          <w:szCs w:val="24"/>
          <w:lang w:val="ms-MY"/>
        </w:rPr>
        <w:t>PdAu Dwilogam Mangkin untuk Elektro</w:t>
      </w:r>
      <w:r>
        <w:rPr>
          <w:rFonts w:ascii="Times New Roman" w:hAnsi="Times New Roman"/>
          <w:sz w:val="24"/>
          <w:szCs w:val="24"/>
          <w:lang w:val="ms-MY"/>
        </w:rPr>
        <w:t>pengoksidaan</w:t>
      </w:r>
      <w:r w:rsidRPr="00BA1E50">
        <w:rPr>
          <w:rFonts w:ascii="Times New Roman" w:hAnsi="Times New Roman"/>
          <w:sz w:val="24"/>
          <w:szCs w:val="24"/>
          <w:lang w:val="ms-MY"/>
        </w:rPr>
        <w:t xml:space="preserve"> Gliserol </w:t>
      </w:r>
      <w:r>
        <w:rPr>
          <w:rFonts w:ascii="Times New Roman" w:hAnsi="Times New Roman"/>
          <w:sz w:val="24"/>
          <w:szCs w:val="24"/>
          <w:lang w:val="ms-MY"/>
        </w:rPr>
        <w:t>d</w:t>
      </w:r>
      <w:r w:rsidRPr="00BA1E50">
        <w:rPr>
          <w:rFonts w:ascii="Times New Roman" w:hAnsi="Times New Roman"/>
          <w:sz w:val="24"/>
          <w:szCs w:val="24"/>
          <w:lang w:val="ms-MY"/>
        </w:rPr>
        <w:t>engan Menggunakan Analisis Kitaran Voltametri</w:t>
      </w:r>
      <w:r>
        <w:rPr>
          <w:rFonts w:ascii="Times New Roman" w:hAnsi="Times New Roman"/>
          <w:sz w:val="24"/>
          <w:szCs w:val="24"/>
        </w:rPr>
        <w:t>)</w:t>
      </w:r>
    </w:p>
    <w:p w:rsidR="00540E9B" w:rsidRPr="00540E9B" w:rsidRDefault="00540E9B" w:rsidP="00540E9B">
      <w:pPr>
        <w:spacing w:after="0" w:line="240" w:lineRule="auto"/>
        <w:jc w:val="center"/>
        <w:rPr>
          <w:rFonts w:ascii="Times New Roman" w:hAnsi="Times New Roman"/>
          <w:color w:val="548DD4"/>
          <w:sz w:val="20"/>
          <w:szCs w:val="20"/>
        </w:rPr>
      </w:pPr>
    </w:p>
    <w:p w:rsidR="00540E9B" w:rsidRPr="00540E9B" w:rsidRDefault="00540E9B" w:rsidP="00540E9B">
      <w:pPr>
        <w:spacing w:after="0" w:line="240" w:lineRule="auto"/>
        <w:jc w:val="center"/>
        <w:rPr>
          <w:rFonts w:ascii="Times New Roman" w:hAnsi="Times New Roman"/>
          <w:sz w:val="20"/>
          <w:szCs w:val="20"/>
        </w:rPr>
      </w:pPr>
      <w:r w:rsidRPr="00540E9B">
        <w:rPr>
          <w:rFonts w:ascii="Times New Roman" w:hAnsi="Times New Roman"/>
          <w:sz w:val="20"/>
          <w:szCs w:val="20"/>
        </w:rPr>
        <w:t>Norilhamiah Yahya</w:t>
      </w:r>
      <w:r w:rsidRPr="00540E9B">
        <w:rPr>
          <w:rFonts w:ascii="Times New Roman" w:hAnsi="Times New Roman"/>
          <w:sz w:val="20"/>
          <w:szCs w:val="20"/>
          <w:vertAlign w:val="superscript"/>
        </w:rPr>
        <w:t>1</w:t>
      </w:r>
      <w:r w:rsidRPr="00540E9B">
        <w:rPr>
          <w:rFonts w:ascii="Times New Roman" w:hAnsi="Times New Roman"/>
          <w:sz w:val="20"/>
          <w:szCs w:val="20"/>
        </w:rPr>
        <w:t xml:space="preserve"> and Siti Kartom Kamaruddin</w:t>
      </w:r>
      <w:r w:rsidRPr="00540E9B">
        <w:rPr>
          <w:rFonts w:ascii="Times New Roman" w:hAnsi="Times New Roman"/>
          <w:sz w:val="20"/>
          <w:szCs w:val="20"/>
          <w:vertAlign w:val="superscript"/>
        </w:rPr>
        <w:t>2,3</w:t>
      </w:r>
      <w:r w:rsidRPr="00540E9B">
        <w:rPr>
          <w:rFonts w:ascii="Times New Roman" w:hAnsi="Times New Roman"/>
          <w:sz w:val="20"/>
          <w:szCs w:val="20"/>
        </w:rPr>
        <w:t>*</w:t>
      </w:r>
    </w:p>
    <w:p w:rsidR="00540E9B" w:rsidRDefault="00540E9B" w:rsidP="00540E9B">
      <w:pPr>
        <w:spacing w:after="0" w:line="240" w:lineRule="auto"/>
        <w:jc w:val="center"/>
        <w:rPr>
          <w:rFonts w:ascii="Times New Roman" w:hAnsi="Times New Roman"/>
        </w:rPr>
      </w:pPr>
    </w:p>
    <w:p w:rsidR="00540E9B" w:rsidRDefault="00540E9B" w:rsidP="00540E9B">
      <w:pPr>
        <w:spacing w:after="0" w:line="240" w:lineRule="auto"/>
        <w:jc w:val="center"/>
        <w:rPr>
          <w:rFonts w:ascii="Times New Roman" w:hAnsi="Times New Roman"/>
          <w:i/>
          <w:sz w:val="18"/>
          <w:szCs w:val="18"/>
        </w:rPr>
      </w:pPr>
      <w:r w:rsidRPr="00BA1E50">
        <w:rPr>
          <w:rFonts w:ascii="Times New Roman" w:hAnsi="Times New Roman"/>
          <w:i/>
          <w:sz w:val="18"/>
          <w:szCs w:val="18"/>
          <w:vertAlign w:val="superscript"/>
        </w:rPr>
        <w:t>1</w:t>
      </w:r>
      <w:r>
        <w:rPr>
          <w:rFonts w:ascii="Times New Roman" w:hAnsi="Times New Roman"/>
          <w:i/>
          <w:sz w:val="18"/>
          <w:szCs w:val="18"/>
        </w:rPr>
        <w:t xml:space="preserve">Malaysian Institute of Chemical and Bioengineering Technology, </w:t>
      </w:r>
    </w:p>
    <w:p w:rsidR="00540E9B" w:rsidRDefault="00540E9B" w:rsidP="00540E9B">
      <w:pPr>
        <w:spacing w:after="0" w:line="240" w:lineRule="auto"/>
        <w:jc w:val="center"/>
        <w:rPr>
          <w:rFonts w:ascii="Times New Roman" w:hAnsi="Times New Roman"/>
          <w:sz w:val="18"/>
          <w:szCs w:val="18"/>
        </w:rPr>
      </w:pPr>
      <w:r>
        <w:rPr>
          <w:rFonts w:ascii="Times New Roman" w:hAnsi="Times New Roman"/>
          <w:i/>
          <w:sz w:val="18"/>
          <w:szCs w:val="18"/>
        </w:rPr>
        <w:t>Universiti Kuala Lumpur, 78000 Alor Gajah, Melaka, Malaysia.</w:t>
      </w:r>
    </w:p>
    <w:p w:rsidR="00540E9B" w:rsidRDefault="00540E9B" w:rsidP="00540E9B">
      <w:pPr>
        <w:spacing w:after="0" w:line="240" w:lineRule="auto"/>
        <w:jc w:val="center"/>
        <w:rPr>
          <w:rFonts w:ascii="Times New Roman" w:hAnsi="Times New Roman"/>
          <w:i/>
          <w:sz w:val="18"/>
          <w:szCs w:val="18"/>
        </w:rPr>
      </w:pPr>
      <w:r w:rsidRPr="00791CBA">
        <w:rPr>
          <w:rFonts w:ascii="Times New Roman" w:hAnsi="Times New Roman"/>
          <w:i/>
          <w:sz w:val="18"/>
          <w:szCs w:val="18"/>
          <w:vertAlign w:val="superscript"/>
        </w:rPr>
        <w:t>2</w:t>
      </w:r>
      <w:r>
        <w:rPr>
          <w:rFonts w:ascii="Times New Roman" w:hAnsi="Times New Roman"/>
          <w:i/>
          <w:sz w:val="18"/>
          <w:szCs w:val="18"/>
        </w:rPr>
        <w:t>Fuel Cell Institute</w:t>
      </w:r>
    </w:p>
    <w:p w:rsidR="00540E9B" w:rsidRDefault="00540E9B" w:rsidP="00540E9B">
      <w:pPr>
        <w:spacing w:after="0" w:line="240" w:lineRule="auto"/>
        <w:jc w:val="center"/>
        <w:rPr>
          <w:rFonts w:ascii="Times New Roman" w:hAnsi="Times New Roman"/>
          <w:i/>
          <w:sz w:val="18"/>
          <w:szCs w:val="18"/>
        </w:rPr>
      </w:pPr>
      <w:r w:rsidRPr="00791CBA">
        <w:rPr>
          <w:rFonts w:ascii="Times New Roman" w:hAnsi="Times New Roman"/>
          <w:i/>
          <w:sz w:val="18"/>
          <w:szCs w:val="18"/>
          <w:vertAlign w:val="superscript"/>
        </w:rPr>
        <w:t>3</w:t>
      </w:r>
      <w:r>
        <w:rPr>
          <w:rFonts w:ascii="Times New Roman" w:hAnsi="Times New Roman"/>
          <w:i/>
          <w:sz w:val="18"/>
          <w:szCs w:val="18"/>
        </w:rPr>
        <w:t>Department of Chemical and Process Engineering</w:t>
      </w:r>
    </w:p>
    <w:p w:rsidR="00540E9B" w:rsidRDefault="00540E9B" w:rsidP="00540E9B">
      <w:pPr>
        <w:spacing w:after="0" w:line="240" w:lineRule="auto"/>
        <w:jc w:val="center"/>
        <w:rPr>
          <w:rFonts w:ascii="Times New Roman" w:hAnsi="Times New Roman"/>
          <w:sz w:val="18"/>
          <w:szCs w:val="18"/>
        </w:rPr>
      </w:pPr>
      <w:r>
        <w:rPr>
          <w:rFonts w:ascii="Times New Roman" w:hAnsi="Times New Roman"/>
          <w:i/>
          <w:sz w:val="18"/>
          <w:szCs w:val="18"/>
        </w:rPr>
        <w:t>Universiti Kebangsaan Malaysia, 43600 UKM Bangi, Selangor, Malaysia.</w:t>
      </w:r>
    </w:p>
    <w:p w:rsidR="00540E9B" w:rsidRDefault="00540E9B" w:rsidP="00540E9B">
      <w:pPr>
        <w:spacing w:after="0" w:line="240" w:lineRule="auto"/>
        <w:jc w:val="center"/>
        <w:rPr>
          <w:rFonts w:ascii="Times New Roman" w:hAnsi="Times New Roman"/>
          <w:sz w:val="18"/>
          <w:szCs w:val="18"/>
        </w:rPr>
      </w:pPr>
    </w:p>
    <w:p w:rsidR="00540E9B" w:rsidRDefault="00540E9B" w:rsidP="00540E9B">
      <w:pPr>
        <w:spacing w:after="0" w:line="240" w:lineRule="auto"/>
        <w:jc w:val="center"/>
        <w:rPr>
          <w:rFonts w:ascii="Times New Roman" w:hAnsi="Times New Roman"/>
          <w:color w:val="548DD4"/>
        </w:rPr>
      </w:pPr>
      <w:r>
        <w:rPr>
          <w:rFonts w:ascii="Times New Roman" w:hAnsi="Times New Roman"/>
          <w:i/>
          <w:sz w:val="18"/>
          <w:szCs w:val="18"/>
        </w:rPr>
        <w:t>*Corresponding author:  ctie@ukm.edu.my</w:t>
      </w:r>
    </w:p>
    <w:p w:rsidR="00AC0033" w:rsidRPr="00F447A7" w:rsidRDefault="00AC0033" w:rsidP="00540E9B">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p>
    <w:p w:rsidR="00AC0033" w:rsidRDefault="00AC0033" w:rsidP="00AC0033">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CE24AA">
        <w:rPr>
          <w:rFonts w:ascii="Times New Roman" w:hAnsi="Times New Roman"/>
          <w:noProof/>
          <w:sz w:val="18"/>
          <w:szCs w:val="18"/>
          <w:lang w:bidi="ar-SA"/>
        </w:rPr>
        <w:t>13 April 2017</w:t>
      </w:r>
      <w:r>
        <w:rPr>
          <w:rFonts w:ascii="Times New Roman" w:hAnsi="Times New Roman"/>
          <w:noProof/>
          <w:sz w:val="18"/>
          <w:szCs w:val="18"/>
          <w:lang w:bidi="ar-SA"/>
        </w:rPr>
        <w:t xml:space="preserve">; Accepted: </w:t>
      </w:r>
      <w:r w:rsidR="00CE24AA">
        <w:rPr>
          <w:rFonts w:ascii="Times New Roman" w:hAnsi="Times New Roman"/>
          <w:noProof/>
          <w:sz w:val="18"/>
          <w:szCs w:val="18"/>
          <w:lang w:bidi="ar-SA"/>
        </w:rPr>
        <w:t>17 April 2018</w:t>
      </w:r>
    </w:p>
    <w:p w:rsidR="00AC0033"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noProof/>
          <w:sz w:val="18"/>
          <w:szCs w:val="18"/>
          <w:lang w:bidi="ar-SA"/>
        </w:rPr>
      </w:pPr>
    </w:p>
    <w:p w:rsidR="00AC0033" w:rsidRPr="00F447A7" w:rsidRDefault="00AC0033" w:rsidP="00AC0033">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540E9B" w:rsidRPr="00540E9B" w:rsidRDefault="00540E9B" w:rsidP="00540E9B">
      <w:pPr>
        <w:spacing w:after="0" w:line="240" w:lineRule="auto"/>
        <w:jc w:val="both"/>
        <w:rPr>
          <w:rFonts w:ascii="Times New Roman" w:hAnsi="Times New Roman"/>
          <w:sz w:val="18"/>
          <w:szCs w:val="18"/>
        </w:rPr>
      </w:pPr>
      <w:r w:rsidRPr="00540E9B">
        <w:rPr>
          <w:rFonts w:ascii="Times New Roman" w:hAnsi="Times New Roman"/>
          <w:sz w:val="18"/>
          <w:szCs w:val="18"/>
        </w:rPr>
        <w:t>This study was conducted to examine the performance of Palladium (Pd) based catalyst for glycerol oxidation in alkaline media by using half-cell in a cyclic voltammetry study. The sonication assisted reduction method by sodium citrate and sodium borohydride was employed to prepare a bimetallic PdAu catalyst. The crystallinity data of bimetallic Pd</w:t>
      </w:r>
      <w:r w:rsidRPr="00540E9B">
        <w:rPr>
          <w:rFonts w:ascii="Times New Roman" w:hAnsi="Times New Roman"/>
          <w:sz w:val="18"/>
          <w:szCs w:val="18"/>
          <w:vertAlign w:val="subscript"/>
        </w:rPr>
        <w:t>2</w:t>
      </w:r>
      <w:r w:rsidRPr="00540E9B">
        <w:rPr>
          <w:rFonts w:ascii="Times New Roman" w:hAnsi="Times New Roman"/>
          <w:sz w:val="18"/>
          <w:szCs w:val="18"/>
        </w:rPr>
        <w:t>Au</w:t>
      </w:r>
      <w:r w:rsidRPr="00540E9B">
        <w:rPr>
          <w:rFonts w:ascii="Times New Roman" w:hAnsi="Times New Roman"/>
          <w:sz w:val="18"/>
          <w:szCs w:val="18"/>
          <w:vertAlign w:val="subscript"/>
        </w:rPr>
        <w:t>1</w:t>
      </w:r>
      <w:r w:rsidRPr="00540E9B">
        <w:rPr>
          <w:rFonts w:ascii="Times New Roman" w:hAnsi="Times New Roman"/>
          <w:sz w:val="18"/>
          <w:szCs w:val="18"/>
        </w:rPr>
        <w:t xml:space="preserve"> and Pd</w:t>
      </w:r>
      <w:r w:rsidRPr="00540E9B">
        <w:rPr>
          <w:rFonts w:ascii="Times New Roman" w:hAnsi="Times New Roman"/>
          <w:sz w:val="18"/>
          <w:szCs w:val="18"/>
          <w:vertAlign w:val="subscript"/>
        </w:rPr>
        <w:t>4</w:t>
      </w:r>
      <w:r w:rsidRPr="00540E9B">
        <w:rPr>
          <w:rFonts w:ascii="Times New Roman" w:hAnsi="Times New Roman"/>
          <w:sz w:val="18"/>
          <w:szCs w:val="18"/>
        </w:rPr>
        <w:t>Au</w:t>
      </w:r>
      <w:r w:rsidRPr="00540E9B">
        <w:rPr>
          <w:rFonts w:ascii="Times New Roman" w:hAnsi="Times New Roman"/>
          <w:sz w:val="18"/>
          <w:szCs w:val="18"/>
          <w:vertAlign w:val="subscript"/>
        </w:rPr>
        <w:t>1</w:t>
      </w:r>
      <w:r w:rsidRPr="00540E9B">
        <w:rPr>
          <w:rFonts w:ascii="Times New Roman" w:hAnsi="Times New Roman"/>
          <w:sz w:val="18"/>
          <w:szCs w:val="18"/>
        </w:rPr>
        <w:t xml:space="preserve"> catalysts were characterised by powder X-ray powder diffraction (XRD). Meanwhile, morphology, rough composition and distribution of metallic elements from both catalysts were investigated by Field Emission Scanning Electron Microscope (FESEM) and Energy Dispersive X-ray (EDX), respectively. The performances of the synthesised catalysts were analysed for the electrooxidation of glycerol in alkaline media by cyclic voltammetry analysis and chronoamperometry analysis. It was found that Pd</w:t>
      </w:r>
      <w:r w:rsidRPr="00540E9B">
        <w:rPr>
          <w:rFonts w:ascii="Times New Roman" w:hAnsi="Times New Roman"/>
          <w:sz w:val="18"/>
          <w:szCs w:val="18"/>
          <w:vertAlign w:val="subscript"/>
        </w:rPr>
        <w:t>2</w:t>
      </w:r>
      <w:r w:rsidRPr="00540E9B">
        <w:rPr>
          <w:rFonts w:ascii="Times New Roman" w:hAnsi="Times New Roman"/>
          <w:sz w:val="18"/>
          <w:szCs w:val="18"/>
        </w:rPr>
        <w:t>Au</w:t>
      </w:r>
      <w:r w:rsidRPr="00540E9B">
        <w:rPr>
          <w:rFonts w:ascii="Times New Roman" w:hAnsi="Times New Roman"/>
          <w:sz w:val="18"/>
          <w:szCs w:val="18"/>
          <w:vertAlign w:val="subscript"/>
        </w:rPr>
        <w:t>1</w:t>
      </w:r>
      <w:r w:rsidRPr="00540E9B">
        <w:rPr>
          <w:rFonts w:ascii="Times New Roman" w:hAnsi="Times New Roman"/>
          <w:sz w:val="18"/>
          <w:szCs w:val="18"/>
        </w:rPr>
        <w:t xml:space="preserve"> showed higher performance in terms of peak current density (55.28 mA cm</w:t>
      </w:r>
      <w:r w:rsidRPr="00540E9B">
        <w:rPr>
          <w:rFonts w:ascii="Times New Roman" w:hAnsi="Times New Roman"/>
          <w:sz w:val="18"/>
          <w:szCs w:val="18"/>
          <w:vertAlign w:val="superscript"/>
        </w:rPr>
        <w:t>-2</w:t>
      </w:r>
      <w:r w:rsidRPr="00540E9B">
        <w:rPr>
          <w:rFonts w:ascii="Times New Roman" w:hAnsi="Times New Roman"/>
          <w:sz w:val="18"/>
          <w:szCs w:val="18"/>
        </w:rPr>
        <w:t>), onset potential (-0.4152 V) and more stability towards glycerol oxidation compared to Pd</w:t>
      </w:r>
      <w:r w:rsidRPr="00540E9B">
        <w:rPr>
          <w:rFonts w:ascii="Times New Roman" w:hAnsi="Times New Roman"/>
          <w:sz w:val="18"/>
          <w:szCs w:val="18"/>
          <w:vertAlign w:val="subscript"/>
        </w:rPr>
        <w:t>4</w:t>
      </w:r>
      <w:r w:rsidRPr="00540E9B">
        <w:rPr>
          <w:rFonts w:ascii="Times New Roman" w:hAnsi="Times New Roman"/>
          <w:sz w:val="18"/>
          <w:szCs w:val="18"/>
        </w:rPr>
        <w:t>Au</w:t>
      </w:r>
      <w:r w:rsidRPr="00540E9B">
        <w:rPr>
          <w:rFonts w:ascii="Times New Roman" w:hAnsi="Times New Roman"/>
          <w:sz w:val="18"/>
          <w:szCs w:val="18"/>
          <w:vertAlign w:val="subscript"/>
        </w:rPr>
        <w:t>1</w:t>
      </w:r>
      <w:r w:rsidRPr="00540E9B">
        <w:rPr>
          <w:rFonts w:ascii="Times New Roman" w:hAnsi="Times New Roman"/>
          <w:sz w:val="18"/>
          <w:szCs w:val="18"/>
        </w:rPr>
        <w:t>. The cyclic voltammetry study yielded an electrochemically active surface area for Pd</w:t>
      </w:r>
      <w:r w:rsidRPr="00540E9B">
        <w:rPr>
          <w:rFonts w:ascii="Times New Roman" w:hAnsi="Times New Roman"/>
          <w:sz w:val="18"/>
          <w:szCs w:val="18"/>
          <w:vertAlign w:val="subscript"/>
        </w:rPr>
        <w:t>2</w:t>
      </w:r>
      <w:r w:rsidRPr="00540E9B">
        <w:rPr>
          <w:rFonts w:ascii="Times New Roman" w:hAnsi="Times New Roman"/>
          <w:sz w:val="18"/>
          <w:szCs w:val="18"/>
        </w:rPr>
        <w:t>Au</w:t>
      </w:r>
      <w:r w:rsidRPr="00540E9B">
        <w:rPr>
          <w:rFonts w:ascii="Times New Roman" w:hAnsi="Times New Roman"/>
          <w:sz w:val="18"/>
          <w:szCs w:val="18"/>
          <w:vertAlign w:val="subscript"/>
        </w:rPr>
        <w:t>1</w:t>
      </w:r>
      <w:r w:rsidRPr="00540E9B">
        <w:rPr>
          <w:rFonts w:ascii="Times New Roman" w:hAnsi="Times New Roman"/>
          <w:sz w:val="18"/>
          <w:szCs w:val="18"/>
        </w:rPr>
        <w:t xml:space="preserve"> catalyst at 14.12 m</w:t>
      </w:r>
      <w:r w:rsidRPr="00540E9B">
        <w:rPr>
          <w:rFonts w:ascii="Times New Roman" w:hAnsi="Times New Roman"/>
          <w:sz w:val="18"/>
          <w:szCs w:val="18"/>
          <w:vertAlign w:val="superscript"/>
        </w:rPr>
        <w:t>2</w:t>
      </w:r>
      <w:r w:rsidRPr="00540E9B">
        <w:rPr>
          <w:rFonts w:ascii="Times New Roman" w:hAnsi="Times New Roman"/>
          <w:sz w:val="18"/>
          <w:szCs w:val="18"/>
        </w:rPr>
        <w:t>g</w:t>
      </w:r>
      <w:r w:rsidRPr="00540E9B">
        <w:rPr>
          <w:rFonts w:ascii="Times New Roman" w:hAnsi="Times New Roman"/>
          <w:sz w:val="18"/>
          <w:szCs w:val="18"/>
          <w:vertAlign w:val="superscript"/>
        </w:rPr>
        <w:t>-1</w:t>
      </w:r>
      <w:r w:rsidRPr="00540E9B">
        <w:rPr>
          <w:rFonts w:ascii="Times New Roman" w:hAnsi="Times New Roman"/>
          <w:sz w:val="18"/>
          <w:szCs w:val="18"/>
        </w:rPr>
        <w:t>, compared to Pd</w:t>
      </w:r>
      <w:r w:rsidRPr="00540E9B">
        <w:rPr>
          <w:rFonts w:ascii="Times New Roman" w:hAnsi="Times New Roman"/>
          <w:sz w:val="18"/>
          <w:szCs w:val="18"/>
          <w:vertAlign w:val="subscript"/>
        </w:rPr>
        <w:t>4</w:t>
      </w:r>
      <w:r w:rsidRPr="00540E9B">
        <w:rPr>
          <w:rFonts w:ascii="Times New Roman" w:hAnsi="Times New Roman"/>
          <w:sz w:val="18"/>
          <w:szCs w:val="18"/>
        </w:rPr>
        <w:t>Au</w:t>
      </w:r>
      <w:r w:rsidRPr="00540E9B">
        <w:rPr>
          <w:rFonts w:ascii="Times New Roman" w:hAnsi="Times New Roman"/>
          <w:sz w:val="18"/>
          <w:szCs w:val="18"/>
          <w:vertAlign w:val="subscript"/>
        </w:rPr>
        <w:t xml:space="preserve">1 </w:t>
      </w:r>
      <w:r w:rsidRPr="00540E9B">
        <w:rPr>
          <w:rFonts w:ascii="Times New Roman" w:hAnsi="Times New Roman"/>
          <w:sz w:val="18"/>
          <w:szCs w:val="18"/>
        </w:rPr>
        <w:t>catalyst at only 12.7 m</w:t>
      </w:r>
      <w:r w:rsidRPr="00540E9B">
        <w:rPr>
          <w:rFonts w:ascii="Times New Roman" w:hAnsi="Times New Roman"/>
          <w:sz w:val="18"/>
          <w:szCs w:val="18"/>
          <w:vertAlign w:val="superscript"/>
        </w:rPr>
        <w:t>2</w:t>
      </w:r>
      <w:r w:rsidRPr="00540E9B">
        <w:rPr>
          <w:rFonts w:ascii="Times New Roman" w:hAnsi="Times New Roman"/>
          <w:sz w:val="18"/>
          <w:szCs w:val="18"/>
        </w:rPr>
        <w:t>g</w:t>
      </w:r>
      <w:r w:rsidRPr="00540E9B">
        <w:rPr>
          <w:rFonts w:ascii="Times New Roman" w:hAnsi="Times New Roman"/>
          <w:sz w:val="18"/>
          <w:szCs w:val="18"/>
          <w:vertAlign w:val="superscript"/>
        </w:rPr>
        <w:t>-1</w:t>
      </w:r>
      <w:r w:rsidRPr="00540E9B">
        <w:rPr>
          <w:rFonts w:ascii="Times New Roman" w:hAnsi="Times New Roman"/>
          <w:sz w:val="18"/>
          <w:szCs w:val="18"/>
        </w:rPr>
        <w:t>.</w:t>
      </w:r>
    </w:p>
    <w:p w:rsidR="00540E9B" w:rsidRPr="00540E9B" w:rsidRDefault="00540E9B" w:rsidP="00540E9B">
      <w:pPr>
        <w:spacing w:after="0" w:line="240" w:lineRule="auto"/>
        <w:jc w:val="both"/>
        <w:rPr>
          <w:rFonts w:ascii="Times New Roman" w:hAnsi="Times New Roman"/>
          <w:sz w:val="18"/>
          <w:szCs w:val="18"/>
        </w:rPr>
      </w:pPr>
    </w:p>
    <w:p w:rsidR="00540E9B" w:rsidRPr="00540E9B" w:rsidRDefault="00540E9B" w:rsidP="00540E9B">
      <w:pPr>
        <w:spacing w:after="0" w:line="240" w:lineRule="auto"/>
        <w:jc w:val="both"/>
        <w:rPr>
          <w:rFonts w:ascii="Times New Roman" w:hAnsi="Times New Roman"/>
          <w:sz w:val="18"/>
          <w:szCs w:val="18"/>
        </w:rPr>
      </w:pPr>
      <w:r w:rsidRPr="00540E9B">
        <w:rPr>
          <w:rFonts w:ascii="Times New Roman" w:hAnsi="Times New Roman"/>
          <w:b/>
          <w:sz w:val="18"/>
          <w:szCs w:val="18"/>
        </w:rPr>
        <w:t>Keywords:</w:t>
      </w:r>
      <w:r w:rsidRPr="00540E9B">
        <w:rPr>
          <w:rFonts w:ascii="Times New Roman" w:hAnsi="Times New Roman"/>
          <w:sz w:val="18"/>
          <w:szCs w:val="18"/>
        </w:rPr>
        <w:t xml:space="preserve"> </w:t>
      </w:r>
      <w:r>
        <w:rPr>
          <w:rFonts w:ascii="Times New Roman" w:hAnsi="Times New Roman"/>
          <w:sz w:val="18"/>
          <w:szCs w:val="18"/>
        </w:rPr>
        <w:t xml:space="preserve"> </w:t>
      </w:r>
      <w:r w:rsidRPr="00540E9B">
        <w:rPr>
          <w:rFonts w:ascii="Times New Roman" w:hAnsi="Times New Roman"/>
          <w:sz w:val="18"/>
          <w:szCs w:val="18"/>
        </w:rPr>
        <w:t>PdAu, nanocatalyst, alkaline medium, glycerol oxidation, cyclic voltammetry</w:t>
      </w:r>
    </w:p>
    <w:p w:rsidR="00540E9B" w:rsidRPr="00540E9B" w:rsidRDefault="00540E9B" w:rsidP="00540E9B">
      <w:pPr>
        <w:tabs>
          <w:tab w:val="left" w:pos="945"/>
        </w:tabs>
        <w:spacing w:after="0" w:line="240" w:lineRule="auto"/>
        <w:jc w:val="center"/>
        <w:rPr>
          <w:rFonts w:ascii="Times New Roman" w:hAnsi="Times New Roman"/>
          <w:sz w:val="18"/>
          <w:szCs w:val="18"/>
        </w:rPr>
      </w:pPr>
    </w:p>
    <w:p w:rsidR="00540E9B" w:rsidRPr="00540E9B" w:rsidRDefault="00540E9B" w:rsidP="00540E9B">
      <w:pPr>
        <w:spacing w:after="0" w:line="240" w:lineRule="auto"/>
        <w:jc w:val="center"/>
        <w:rPr>
          <w:rFonts w:ascii="Times New Roman" w:hAnsi="Times New Roman"/>
          <w:sz w:val="18"/>
          <w:szCs w:val="18"/>
          <w:lang w:val="ms-MY"/>
        </w:rPr>
      </w:pPr>
      <w:r w:rsidRPr="00540E9B">
        <w:rPr>
          <w:rFonts w:ascii="Times New Roman" w:hAnsi="Times New Roman"/>
          <w:b/>
          <w:sz w:val="18"/>
          <w:szCs w:val="18"/>
          <w:lang w:val="ms-MY"/>
        </w:rPr>
        <w:t>Abstrak</w:t>
      </w:r>
    </w:p>
    <w:p w:rsidR="00540E9B" w:rsidRPr="00540E9B" w:rsidRDefault="00540E9B" w:rsidP="00540E9B">
      <w:pPr>
        <w:spacing w:after="0" w:line="240" w:lineRule="auto"/>
        <w:jc w:val="both"/>
        <w:rPr>
          <w:rFonts w:ascii="Times New Roman" w:hAnsi="Times New Roman"/>
          <w:sz w:val="18"/>
          <w:szCs w:val="18"/>
          <w:lang w:val="ms-MY"/>
        </w:rPr>
      </w:pPr>
      <w:r w:rsidRPr="00540E9B">
        <w:rPr>
          <w:rFonts w:ascii="Times New Roman" w:hAnsi="Times New Roman"/>
          <w:sz w:val="18"/>
          <w:szCs w:val="18"/>
          <w:lang w:val="ms-MY"/>
        </w:rPr>
        <w:t>Kajian ini adalah untuk mengkaji prestasi mangkin berasaskan Palladium (Pd) untuk pengoksidaan gliserol dalam media alkali dengan menggunakan sel separuh dalam kajian voltammetri berkitar. Kaedah sonikasi dibantu kaedah penurunan oleh natrium sitrat dan natrium borohidrat telah digunakan untuk menyediakan mangkin dwilogam PdAu. Data penghabluran mangkin dwilogam Pd</w:t>
      </w:r>
      <w:r w:rsidRPr="00540E9B">
        <w:rPr>
          <w:rFonts w:ascii="Times New Roman" w:hAnsi="Times New Roman"/>
          <w:sz w:val="18"/>
          <w:szCs w:val="18"/>
          <w:vertAlign w:val="subscript"/>
          <w:lang w:val="ms-MY"/>
        </w:rPr>
        <w:t>2</w:t>
      </w:r>
      <w:r w:rsidRPr="00540E9B">
        <w:rPr>
          <w:rFonts w:ascii="Times New Roman" w:hAnsi="Times New Roman"/>
          <w:sz w:val="18"/>
          <w:szCs w:val="18"/>
          <w:lang w:val="ms-MY"/>
        </w:rPr>
        <w:t>Au</w:t>
      </w:r>
      <w:r w:rsidRPr="00540E9B">
        <w:rPr>
          <w:rFonts w:ascii="Times New Roman" w:hAnsi="Times New Roman"/>
          <w:sz w:val="18"/>
          <w:szCs w:val="18"/>
          <w:vertAlign w:val="subscript"/>
          <w:lang w:val="ms-MY"/>
        </w:rPr>
        <w:t>1</w:t>
      </w:r>
      <w:r w:rsidRPr="00540E9B">
        <w:rPr>
          <w:rFonts w:ascii="Times New Roman" w:hAnsi="Times New Roman"/>
          <w:sz w:val="18"/>
          <w:szCs w:val="18"/>
          <w:lang w:val="ms-MY"/>
        </w:rPr>
        <w:t xml:space="preserve"> dan Pd</w:t>
      </w:r>
      <w:r w:rsidRPr="00540E9B">
        <w:rPr>
          <w:rFonts w:ascii="Times New Roman" w:hAnsi="Times New Roman"/>
          <w:sz w:val="18"/>
          <w:szCs w:val="18"/>
          <w:vertAlign w:val="subscript"/>
          <w:lang w:val="ms-MY"/>
        </w:rPr>
        <w:t>4</w:t>
      </w:r>
      <w:r w:rsidRPr="00540E9B">
        <w:rPr>
          <w:rFonts w:ascii="Times New Roman" w:hAnsi="Times New Roman"/>
          <w:sz w:val="18"/>
          <w:szCs w:val="18"/>
          <w:lang w:val="ms-MY"/>
        </w:rPr>
        <w:t>Au</w:t>
      </w:r>
      <w:r w:rsidRPr="00540E9B">
        <w:rPr>
          <w:rFonts w:ascii="Times New Roman" w:hAnsi="Times New Roman"/>
          <w:sz w:val="18"/>
          <w:szCs w:val="18"/>
          <w:vertAlign w:val="subscript"/>
          <w:lang w:val="ms-MY"/>
        </w:rPr>
        <w:t>1</w:t>
      </w:r>
      <w:r w:rsidRPr="00540E9B">
        <w:rPr>
          <w:rFonts w:ascii="Times New Roman" w:hAnsi="Times New Roman"/>
          <w:sz w:val="18"/>
          <w:szCs w:val="18"/>
          <w:lang w:val="ms-MY"/>
        </w:rPr>
        <w:t xml:space="preserve"> telah dicirikan oleh pembelauan sinar-X (XRD). Sementara itu, morfologi, komposisi kasar dan taburan unsur logam daripada mangkin telah disiasat menggunakan mikroskopi elektron imbasan (FESEM) dan spektrometer serakan tenaga sinar-X (EDX). Prestasi mangkin yang disintesis dianalisa untuk melihat tindakbalas elektropengoksidaan gliserol dalam media beralkali oleh ujian kitaran voltammetri dan ujian kronoamperometri. Telah didapati bahawa Pd</w:t>
      </w:r>
      <w:r w:rsidRPr="00540E9B">
        <w:rPr>
          <w:rFonts w:ascii="Times New Roman" w:hAnsi="Times New Roman"/>
          <w:sz w:val="18"/>
          <w:szCs w:val="18"/>
          <w:vertAlign w:val="subscript"/>
          <w:lang w:val="ms-MY"/>
        </w:rPr>
        <w:t>2</w:t>
      </w:r>
      <w:r w:rsidRPr="00540E9B">
        <w:rPr>
          <w:rFonts w:ascii="Times New Roman" w:hAnsi="Times New Roman"/>
          <w:sz w:val="18"/>
          <w:szCs w:val="18"/>
          <w:lang w:val="ms-MY"/>
        </w:rPr>
        <w:t>Au</w:t>
      </w:r>
      <w:r w:rsidRPr="00540E9B">
        <w:rPr>
          <w:rFonts w:ascii="Times New Roman" w:hAnsi="Times New Roman"/>
          <w:sz w:val="18"/>
          <w:szCs w:val="18"/>
          <w:vertAlign w:val="subscript"/>
          <w:lang w:val="ms-MY"/>
        </w:rPr>
        <w:t>1</w:t>
      </w:r>
      <w:r w:rsidRPr="00540E9B">
        <w:rPr>
          <w:rFonts w:ascii="Times New Roman" w:hAnsi="Times New Roman"/>
          <w:sz w:val="18"/>
          <w:szCs w:val="18"/>
          <w:lang w:val="ms-MY"/>
        </w:rPr>
        <w:t xml:space="preserve"> menunjukkan prestasi yang lebih tinggi dari segi ketumpatan arus puncak (55.28 mA cm</w:t>
      </w:r>
      <w:r w:rsidRPr="00540E9B">
        <w:rPr>
          <w:rFonts w:ascii="Times New Roman" w:hAnsi="Times New Roman"/>
          <w:sz w:val="18"/>
          <w:szCs w:val="18"/>
          <w:vertAlign w:val="superscript"/>
          <w:lang w:val="ms-MY"/>
        </w:rPr>
        <w:t>-2</w:t>
      </w:r>
      <w:r w:rsidRPr="00540E9B">
        <w:rPr>
          <w:rFonts w:ascii="Times New Roman" w:hAnsi="Times New Roman"/>
          <w:sz w:val="18"/>
          <w:szCs w:val="18"/>
          <w:lang w:val="ms-MY"/>
        </w:rPr>
        <w:t>), permulaan keupayaan potensi (-0.4152V) dan lebih kestabilan terhadap pengoksidaan gliserol dibandingkan dengan Pd</w:t>
      </w:r>
      <w:r w:rsidRPr="00540E9B">
        <w:rPr>
          <w:rFonts w:ascii="Times New Roman" w:hAnsi="Times New Roman"/>
          <w:sz w:val="18"/>
          <w:szCs w:val="18"/>
          <w:vertAlign w:val="subscript"/>
          <w:lang w:val="ms-MY"/>
        </w:rPr>
        <w:t>4</w:t>
      </w:r>
      <w:r w:rsidRPr="00540E9B">
        <w:rPr>
          <w:rFonts w:ascii="Times New Roman" w:hAnsi="Times New Roman"/>
          <w:sz w:val="18"/>
          <w:szCs w:val="18"/>
          <w:lang w:val="ms-MY"/>
        </w:rPr>
        <w:t>Au</w:t>
      </w:r>
      <w:r w:rsidRPr="00540E9B">
        <w:rPr>
          <w:rFonts w:ascii="Times New Roman" w:hAnsi="Times New Roman"/>
          <w:sz w:val="18"/>
          <w:szCs w:val="18"/>
          <w:vertAlign w:val="subscript"/>
          <w:lang w:val="ms-MY"/>
        </w:rPr>
        <w:t>1</w:t>
      </w:r>
      <w:r w:rsidRPr="00540E9B">
        <w:rPr>
          <w:rFonts w:ascii="Times New Roman" w:hAnsi="Times New Roman"/>
          <w:sz w:val="18"/>
          <w:szCs w:val="18"/>
          <w:lang w:val="ms-MY"/>
        </w:rPr>
        <w:t>. Kajian kitaran voltammetri menghasilkan kawasan permukaan elektrokimia aktif untuk mangkin Pd</w:t>
      </w:r>
      <w:r w:rsidRPr="00540E9B">
        <w:rPr>
          <w:rFonts w:ascii="Times New Roman" w:hAnsi="Times New Roman"/>
          <w:sz w:val="18"/>
          <w:szCs w:val="18"/>
          <w:vertAlign w:val="subscript"/>
          <w:lang w:val="ms-MY"/>
        </w:rPr>
        <w:t>2</w:t>
      </w:r>
      <w:r w:rsidRPr="00540E9B">
        <w:rPr>
          <w:rFonts w:ascii="Times New Roman" w:hAnsi="Times New Roman"/>
          <w:sz w:val="18"/>
          <w:szCs w:val="18"/>
          <w:lang w:val="ms-MY"/>
        </w:rPr>
        <w:t>Au</w:t>
      </w:r>
      <w:r w:rsidRPr="00540E9B">
        <w:rPr>
          <w:rFonts w:ascii="Times New Roman" w:hAnsi="Times New Roman"/>
          <w:sz w:val="18"/>
          <w:szCs w:val="18"/>
          <w:vertAlign w:val="subscript"/>
          <w:lang w:val="ms-MY"/>
        </w:rPr>
        <w:t xml:space="preserve">1 </w:t>
      </w:r>
      <w:r w:rsidRPr="00540E9B">
        <w:rPr>
          <w:rFonts w:ascii="Times New Roman" w:hAnsi="Times New Roman"/>
          <w:sz w:val="18"/>
          <w:szCs w:val="18"/>
          <w:lang w:val="ms-MY"/>
        </w:rPr>
        <w:t>sebanyak 14.12 m</w:t>
      </w:r>
      <w:r w:rsidRPr="00540E9B">
        <w:rPr>
          <w:rFonts w:ascii="Times New Roman" w:hAnsi="Times New Roman"/>
          <w:sz w:val="18"/>
          <w:szCs w:val="18"/>
          <w:vertAlign w:val="superscript"/>
          <w:lang w:val="ms-MY"/>
        </w:rPr>
        <w:t>2</w:t>
      </w:r>
      <w:r w:rsidRPr="00540E9B">
        <w:rPr>
          <w:rFonts w:ascii="Times New Roman" w:hAnsi="Times New Roman"/>
          <w:sz w:val="18"/>
          <w:szCs w:val="18"/>
          <w:lang w:val="ms-MY"/>
        </w:rPr>
        <w:t>g</w:t>
      </w:r>
      <w:r w:rsidRPr="00540E9B">
        <w:rPr>
          <w:rFonts w:ascii="Times New Roman" w:hAnsi="Times New Roman"/>
          <w:sz w:val="18"/>
          <w:szCs w:val="18"/>
          <w:vertAlign w:val="superscript"/>
          <w:lang w:val="ms-MY"/>
        </w:rPr>
        <w:t>-1</w:t>
      </w:r>
      <w:r w:rsidRPr="00540E9B">
        <w:rPr>
          <w:rFonts w:ascii="Times New Roman" w:hAnsi="Times New Roman"/>
          <w:sz w:val="18"/>
          <w:szCs w:val="18"/>
          <w:lang w:val="ms-MY"/>
        </w:rPr>
        <w:t>, di bandingkan dengan mangkin Pd</w:t>
      </w:r>
      <w:r w:rsidRPr="00540E9B">
        <w:rPr>
          <w:rFonts w:ascii="Times New Roman" w:hAnsi="Times New Roman"/>
          <w:sz w:val="18"/>
          <w:szCs w:val="18"/>
          <w:vertAlign w:val="subscript"/>
          <w:lang w:val="ms-MY"/>
        </w:rPr>
        <w:t>4</w:t>
      </w:r>
      <w:r w:rsidRPr="00540E9B">
        <w:rPr>
          <w:rFonts w:ascii="Times New Roman" w:hAnsi="Times New Roman"/>
          <w:sz w:val="18"/>
          <w:szCs w:val="18"/>
          <w:lang w:val="ms-MY"/>
        </w:rPr>
        <w:t>Au</w:t>
      </w:r>
      <w:r w:rsidRPr="00540E9B">
        <w:rPr>
          <w:rFonts w:ascii="Times New Roman" w:hAnsi="Times New Roman"/>
          <w:sz w:val="18"/>
          <w:szCs w:val="18"/>
          <w:vertAlign w:val="subscript"/>
          <w:lang w:val="ms-MY"/>
        </w:rPr>
        <w:t>1</w:t>
      </w:r>
      <w:r w:rsidRPr="00540E9B">
        <w:rPr>
          <w:rFonts w:ascii="Times New Roman" w:hAnsi="Times New Roman"/>
          <w:sz w:val="18"/>
          <w:szCs w:val="18"/>
          <w:lang w:val="ms-MY"/>
        </w:rPr>
        <w:t xml:space="preserve"> hanya sebanyak 12.7 m</w:t>
      </w:r>
      <w:r w:rsidRPr="00540E9B">
        <w:rPr>
          <w:rFonts w:ascii="Times New Roman" w:hAnsi="Times New Roman"/>
          <w:sz w:val="18"/>
          <w:szCs w:val="18"/>
          <w:vertAlign w:val="superscript"/>
          <w:lang w:val="ms-MY"/>
        </w:rPr>
        <w:t>2</w:t>
      </w:r>
      <w:r w:rsidRPr="00540E9B">
        <w:rPr>
          <w:rFonts w:ascii="Times New Roman" w:hAnsi="Times New Roman"/>
          <w:sz w:val="18"/>
          <w:szCs w:val="18"/>
          <w:lang w:val="ms-MY"/>
        </w:rPr>
        <w:t>g</w:t>
      </w:r>
      <w:r w:rsidRPr="00540E9B">
        <w:rPr>
          <w:rFonts w:ascii="Times New Roman" w:hAnsi="Times New Roman"/>
          <w:sz w:val="18"/>
          <w:szCs w:val="18"/>
          <w:vertAlign w:val="superscript"/>
          <w:lang w:val="ms-MY"/>
        </w:rPr>
        <w:t>-1</w:t>
      </w:r>
      <w:r w:rsidRPr="00540E9B">
        <w:rPr>
          <w:rFonts w:ascii="Times New Roman" w:hAnsi="Times New Roman"/>
          <w:sz w:val="18"/>
          <w:szCs w:val="18"/>
          <w:lang w:val="ms-MY"/>
        </w:rPr>
        <w:t>.</w:t>
      </w:r>
    </w:p>
    <w:p w:rsidR="00540E9B" w:rsidRPr="00540E9B" w:rsidRDefault="00540E9B" w:rsidP="00540E9B">
      <w:pPr>
        <w:spacing w:after="0" w:line="240" w:lineRule="auto"/>
        <w:jc w:val="both"/>
        <w:rPr>
          <w:rFonts w:ascii="Times New Roman" w:hAnsi="Times New Roman"/>
          <w:sz w:val="18"/>
          <w:szCs w:val="18"/>
          <w:lang w:val="ms-MY"/>
        </w:rPr>
      </w:pPr>
    </w:p>
    <w:p w:rsidR="00540E9B" w:rsidRPr="00540E9B" w:rsidRDefault="00540E9B" w:rsidP="00540E9B">
      <w:pPr>
        <w:spacing w:after="0" w:line="240" w:lineRule="auto"/>
        <w:jc w:val="both"/>
        <w:rPr>
          <w:rFonts w:ascii="Times New Roman" w:hAnsi="Times New Roman"/>
          <w:sz w:val="18"/>
          <w:szCs w:val="18"/>
          <w:lang w:val="ms-MY"/>
        </w:rPr>
      </w:pPr>
      <w:r w:rsidRPr="00540E9B">
        <w:rPr>
          <w:rFonts w:ascii="Times New Roman" w:hAnsi="Times New Roman"/>
          <w:b/>
          <w:sz w:val="18"/>
          <w:szCs w:val="18"/>
          <w:lang w:val="ms-MY"/>
        </w:rPr>
        <w:t>Kata kunci:</w:t>
      </w:r>
      <w:r w:rsidRPr="00540E9B">
        <w:rPr>
          <w:rFonts w:ascii="Times New Roman" w:hAnsi="Times New Roman"/>
          <w:sz w:val="18"/>
          <w:szCs w:val="18"/>
          <w:lang w:val="ms-MY"/>
        </w:rPr>
        <w:t xml:space="preserve"> </w:t>
      </w:r>
      <w:r>
        <w:rPr>
          <w:rFonts w:ascii="Times New Roman" w:hAnsi="Times New Roman"/>
          <w:sz w:val="18"/>
          <w:szCs w:val="18"/>
          <w:lang w:val="ms-MY"/>
        </w:rPr>
        <w:t xml:space="preserve"> </w:t>
      </w:r>
      <w:r w:rsidRPr="00540E9B">
        <w:rPr>
          <w:rFonts w:ascii="Times New Roman" w:hAnsi="Times New Roman"/>
          <w:sz w:val="18"/>
          <w:szCs w:val="18"/>
          <w:lang w:val="ms-MY"/>
        </w:rPr>
        <w:t>PdAu, nanomangkin, media alkali, pengoksidaan gliserol, kitaran voltammetri</w:t>
      </w:r>
    </w:p>
    <w:p w:rsidR="00AC0033" w:rsidRDefault="00AC0033" w:rsidP="00AC0033">
      <w:pPr>
        <w:spacing w:after="0" w:line="240" w:lineRule="auto"/>
        <w:jc w:val="center"/>
        <w:rPr>
          <w:rFonts w:ascii="Times New Roman" w:hAnsi="Times New Roman"/>
          <w:noProof/>
          <w:sz w:val="20"/>
          <w:szCs w:val="20"/>
          <w:lang w:bidi="ar-SA"/>
        </w:rPr>
      </w:pPr>
    </w:p>
    <w:p w:rsidR="00AC0033" w:rsidRPr="00BE7C30"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Direct alcohol fuel cell has emerged as one of the alternative energies used to generate electricity without any combustion [1-3]. There are many types of fuel candidates used to replace fuel, one of which is methanol due to its high toxicity, high methanol crossover and slow electro-kinetic properties [4, 5]. This makes methanol unsuitable as a fuel for the commercialisation of fuel cell. One alternative being currently proposed is glycerol to replace methanol in fuel cell application. Glycerol can be obtained from various sources and one of them is from biodiesel production [6, 7]. Lately, research effort has been done to use glycerol as fuel in fuel cell application to convert glycerol as a value-added product [8]. Glycerol as fuel in fuel cell application has gained attention because of its attractive fuel components which are renewable from biomass production, less harmful, have high energy density, low vapour pressure, low cost, easy to store and low transportation needs [8]. On the other hand, theoretically, when glycerol is oxidised by inorganic catalysts, it is possible to obtain 10 electrons (when the reaction is not complete) against 14 electrons for a complete oxidation [9].</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 xml:space="preserve">However, oxidation of glycerol is quite difficult and complicated due to the complex molecular structure in which partial oxidation will produce unwanted products such as glyceraldehyde, 1,3-dihydroxyacetone, glyceric acid, hydroxypyruvic acid, tartronic acid, mesoxalic acid, formic acid, ocilic acid and glycolic acid [10, 11]. All these partial oxidation products are not desirable as they will decrease the overall system efficiency. This becomes the primary challenge of glycerol oxidation. Due to this, selection of catalyst is the critical issue to increase the activity of glycerol oxidation in the anode side and at the same time minimise the cost of the fuel cell itself. Up until now, there are several catalysts used to study the oxidation of glycerol such as platinum and palladium (Pd). However, the use of platinum has brought another issue such as higher price and limited source [12]. In addition, platinum creates stability issues with another intermediate product of carbon monoxide poisoning of the platinum surface by adsorbing too strong on the platinum surface [13]. </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To overcome the problem, Palladium-Aurum (PdAu) bimetallic catalyst has been used in this study. Pd (111) and Au (111) planes are only 4% mismatched, making the combination Pd and Au perfect to be a miscible solution. Several previous studies showed that due to ensemble and ligand effect, this combination will enhance the electrocatalytic activity in terms of current density and tolerance to the carbon monoxide poisoning effect [14, 15]. To synthesise heterogeneous catalysts with small nanoparticles (less than 20 nm), highly dispersed and less agglomeration with high surface area are among the challenges. The physical-chemical concepts needed to understand the preparation of colloidal inorganic nanoparticles and the remarkable degree of control that has been achieved over their composition, size, shape and surface [16]. In this study, chemical reduction modified the classical “Turkevich” preparation method which has been used to synthesise PdAu nanoparticles in control temperature [17] as the catalyst in glycerol oxidation.</w:t>
      </w:r>
    </w:p>
    <w:p w:rsidR="00540E9B" w:rsidRPr="00540E9B" w:rsidRDefault="00540E9B" w:rsidP="00540E9B">
      <w:pPr>
        <w:spacing w:after="0" w:line="240" w:lineRule="auto"/>
        <w:jc w:val="center"/>
        <w:rPr>
          <w:rFonts w:ascii="Times New Roman" w:hAnsi="Times New Roman"/>
          <w:sz w:val="20"/>
          <w:szCs w:val="20"/>
        </w:rPr>
      </w:pPr>
    </w:p>
    <w:p w:rsidR="00540E9B" w:rsidRPr="00540E9B" w:rsidRDefault="00540E9B" w:rsidP="00540E9B">
      <w:pPr>
        <w:spacing w:after="0" w:line="240" w:lineRule="auto"/>
        <w:jc w:val="center"/>
        <w:rPr>
          <w:rFonts w:ascii="Times New Roman" w:hAnsi="Times New Roman"/>
          <w:sz w:val="20"/>
          <w:szCs w:val="20"/>
        </w:rPr>
      </w:pPr>
      <w:r w:rsidRPr="00540E9B">
        <w:rPr>
          <w:rFonts w:ascii="Times New Roman" w:hAnsi="Times New Roman"/>
          <w:b/>
          <w:sz w:val="20"/>
          <w:szCs w:val="20"/>
        </w:rPr>
        <w:t>Materials and Methods</w:t>
      </w: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b/>
          <w:sz w:val="20"/>
          <w:szCs w:val="20"/>
        </w:rPr>
        <w:t>Materials</w:t>
      </w: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All precursor metal salts and chemical reagents such as Gold(III) chloride trihydrate (HAuCl</w:t>
      </w:r>
      <w:r w:rsidRPr="00540E9B">
        <w:rPr>
          <w:rFonts w:ascii="Times New Roman" w:hAnsi="Times New Roman"/>
          <w:sz w:val="20"/>
          <w:szCs w:val="20"/>
          <w:vertAlign w:val="subscript"/>
        </w:rPr>
        <w:t>4</w:t>
      </w:r>
      <w:r w:rsidRPr="00540E9B">
        <w:rPr>
          <w:rFonts w:ascii="Times New Roman" w:hAnsi="Times New Roman"/>
          <w:sz w:val="20"/>
          <w:szCs w:val="20"/>
        </w:rPr>
        <w:t>•3H</w:t>
      </w:r>
      <w:r w:rsidRPr="00540E9B">
        <w:rPr>
          <w:rFonts w:ascii="Times New Roman" w:hAnsi="Times New Roman"/>
          <w:sz w:val="20"/>
          <w:szCs w:val="20"/>
          <w:vertAlign w:val="subscript"/>
        </w:rPr>
        <w:t>2</w:t>
      </w:r>
      <w:r w:rsidRPr="00540E9B">
        <w:rPr>
          <w:rFonts w:ascii="Times New Roman" w:hAnsi="Times New Roman"/>
          <w:sz w:val="20"/>
          <w:szCs w:val="20"/>
        </w:rPr>
        <w:t>O), Palladium chloride (PdCl</w:t>
      </w:r>
      <w:r w:rsidRPr="00540E9B">
        <w:rPr>
          <w:rFonts w:ascii="Times New Roman" w:hAnsi="Times New Roman"/>
          <w:sz w:val="20"/>
          <w:szCs w:val="20"/>
          <w:vertAlign w:val="subscript"/>
        </w:rPr>
        <w:t>2</w:t>
      </w:r>
      <w:r w:rsidRPr="00540E9B">
        <w:rPr>
          <w:rFonts w:ascii="Times New Roman" w:hAnsi="Times New Roman"/>
          <w:sz w:val="20"/>
          <w:szCs w:val="20"/>
        </w:rPr>
        <w:t>), Trisodium citrate (Na</w:t>
      </w:r>
      <w:r w:rsidRPr="00540E9B">
        <w:rPr>
          <w:rFonts w:ascii="Times New Roman" w:hAnsi="Times New Roman"/>
          <w:sz w:val="20"/>
          <w:szCs w:val="20"/>
          <w:vertAlign w:val="subscript"/>
        </w:rPr>
        <w:t>3</w:t>
      </w:r>
      <w:r w:rsidRPr="00540E9B">
        <w:rPr>
          <w:rFonts w:ascii="Times New Roman" w:hAnsi="Times New Roman"/>
          <w:sz w:val="20"/>
          <w:szCs w:val="20"/>
        </w:rPr>
        <w:t>Ct), Sodium borohydride (NaBH</w:t>
      </w:r>
      <w:r w:rsidRPr="00540E9B">
        <w:rPr>
          <w:rFonts w:ascii="Times New Roman" w:hAnsi="Times New Roman"/>
          <w:sz w:val="20"/>
          <w:szCs w:val="20"/>
          <w:vertAlign w:val="subscript"/>
        </w:rPr>
        <w:t>4</w:t>
      </w:r>
      <w:r w:rsidRPr="00540E9B">
        <w:rPr>
          <w:rFonts w:ascii="Times New Roman" w:hAnsi="Times New Roman"/>
          <w:sz w:val="20"/>
          <w:szCs w:val="20"/>
        </w:rPr>
        <w:t>), vapour grown carbon nanofiber (VGCNF), Sodium hydroxide, glycerin, 2-propanol and 5 wt.% nafion solution were purchased from Sigma-Aldrich/USA</w:t>
      </w:r>
      <w:r w:rsidRPr="00540E9B">
        <w:rPr>
          <w:rFonts w:ascii="Times New Roman" w:hAnsi="Times New Roman"/>
          <w:b/>
          <w:sz w:val="20"/>
          <w:szCs w:val="20"/>
        </w:rPr>
        <w:t>.</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b/>
          <w:sz w:val="20"/>
          <w:szCs w:val="20"/>
        </w:rPr>
        <w:t>Synthesis of PdAu catalysts via chemical reduction method</w:t>
      </w: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0.05 M PdCl</w:t>
      </w:r>
      <w:r w:rsidRPr="00540E9B">
        <w:rPr>
          <w:rFonts w:ascii="Times New Roman" w:hAnsi="Times New Roman"/>
          <w:sz w:val="20"/>
          <w:szCs w:val="20"/>
          <w:vertAlign w:val="subscript"/>
        </w:rPr>
        <w:t xml:space="preserve">2 </w:t>
      </w:r>
      <w:r w:rsidRPr="00540E9B">
        <w:rPr>
          <w:rFonts w:ascii="Times New Roman" w:hAnsi="Times New Roman"/>
          <w:sz w:val="20"/>
          <w:szCs w:val="20"/>
        </w:rPr>
        <w:t>(Sigma-Aldrich/USA) and 0.01 M of AuCl</w:t>
      </w:r>
      <w:r w:rsidRPr="00540E9B">
        <w:rPr>
          <w:rFonts w:ascii="Times New Roman" w:hAnsi="Times New Roman"/>
          <w:sz w:val="20"/>
          <w:szCs w:val="20"/>
          <w:vertAlign w:val="subscript"/>
        </w:rPr>
        <w:t>3</w:t>
      </w:r>
      <w:r w:rsidRPr="00540E9B">
        <w:rPr>
          <w:rFonts w:ascii="Times New Roman" w:eastAsia="Gungsuh" w:hAnsi="Times New Roman"/>
          <w:sz w:val="20"/>
          <w:szCs w:val="20"/>
        </w:rPr>
        <w:t>∙HCl∙4H</w:t>
      </w:r>
      <w:r w:rsidRPr="00540E9B">
        <w:rPr>
          <w:rFonts w:ascii="Times New Roman" w:hAnsi="Times New Roman"/>
          <w:sz w:val="20"/>
          <w:szCs w:val="20"/>
          <w:vertAlign w:val="subscript"/>
        </w:rPr>
        <w:t>2</w:t>
      </w:r>
      <w:r w:rsidRPr="00540E9B">
        <w:rPr>
          <w:rFonts w:ascii="Times New Roman" w:hAnsi="Times New Roman"/>
          <w:sz w:val="20"/>
          <w:szCs w:val="20"/>
        </w:rPr>
        <w:t>O (Sigma-Aldrich/USA) were mixed (in 2:1 and 4:1 molar ratio) in a volumetric flask and sonicated for 2 hours to form a homogenous solution. A certain amount of  trisodium citrate was added into the solution in a drop wise manner with constant stirring for another 2 hours [18]. The presence of a capping agent in this study is to inhibit the nanoparticles’ over-growth and aggregation during the reduction process. Next, reduction of the metal precursors is carried out using an excess amount of freshly prepared ice-cold (0.3 M) sodium borohydride (NaBH</w:t>
      </w:r>
      <w:r w:rsidRPr="00540E9B">
        <w:rPr>
          <w:rFonts w:ascii="Times New Roman" w:hAnsi="Times New Roman"/>
          <w:sz w:val="20"/>
          <w:szCs w:val="20"/>
          <w:vertAlign w:val="subscript"/>
        </w:rPr>
        <w:t>4</w:t>
      </w:r>
      <w:r w:rsidRPr="00540E9B">
        <w:rPr>
          <w:rFonts w:ascii="Times New Roman" w:hAnsi="Times New Roman"/>
          <w:sz w:val="20"/>
          <w:szCs w:val="20"/>
        </w:rPr>
        <w:t xml:space="preserve">) and the reduction was assisted by sonication for 3 hours. Since the stabilising and reducing agents are water soluble, the solvent can be removed by filtration and washing with DI water and dried at 80 ºC overnight. </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b/>
          <w:sz w:val="20"/>
          <w:szCs w:val="20"/>
        </w:rPr>
        <w:lastRenderedPageBreak/>
        <w:t>Physical and electrochemical characterization of nanoparticles</w:t>
      </w: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XRD is a powerful method used for characterising crystalline materials of the metal synthesis. The samples of X-ray data were collected in the 2θ range of 20° to 90°. The FESEM analyses were performed using FESEM model Zeiss/SUPRA 55VP. FESEM analyses provide information about the morphology and topography of the catalyst samples. Meanwhile, EDX analysis normally determines the average surface elemental composition as well as elemental distribution mapping of the catalyst samples</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The cyclic voltammetry and chronoamperometry analyses measurements were performed by using Autolab (PGSTAT101) electrochemical workstation under room temperature. The catalysts’ ink solution was carefully      transferred onto the glassy carbon electrode by using a micropipette and then left to dry in room temperature. The electrochemical characterisation of two types of catalysts was studied by a cyclic voltammetry (CV) test in the potential range of -0.7 to 0.4 V at a scan rate of 50 mVs</w:t>
      </w:r>
      <w:r w:rsidRPr="00540E9B">
        <w:rPr>
          <w:rFonts w:ascii="Times New Roman" w:hAnsi="Times New Roman"/>
          <w:sz w:val="20"/>
          <w:szCs w:val="20"/>
          <w:vertAlign w:val="superscript"/>
        </w:rPr>
        <w:t>-1</w:t>
      </w:r>
      <w:r w:rsidRPr="00540E9B">
        <w:rPr>
          <w:rFonts w:ascii="Times New Roman" w:hAnsi="Times New Roman"/>
          <w:sz w:val="20"/>
          <w:szCs w:val="20"/>
        </w:rPr>
        <w:t xml:space="preserve"> in 0.5 M glycerol/0.5 M NaOH solution. The electrolyte solution was de-oxygenated by bubbling it with N</w:t>
      </w:r>
      <w:r w:rsidRPr="00540E9B">
        <w:rPr>
          <w:rFonts w:ascii="Times New Roman" w:hAnsi="Times New Roman"/>
          <w:sz w:val="20"/>
          <w:szCs w:val="20"/>
          <w:vertAlign w:val="subscript"/>
        </w:rPr>
        <w:t>2</w:t>
      </w:r>
      <w:r w:rsidRPr="00540E9B">
        <w:rPr>
          <w:rFonts w:ascii="Times New Roman" w:hAnsi="Times New Roman"/>
          <w:sz w:val="20"/>
          <w:szCs w:val="20"/>
        </w:rPr>
        <w:t xml:space="preserve"> at 200 mL min</w:t>
      </w:r>
      <w:r w:rsidRPr="00540E9B">
        <w:rPr>
          <w:rFonts w:ascii="Times New Roman" w:hAnsi="Times New Roman"/>
          <w:sz w:val="20"/>
          <w:szCs w:val="20"/>
          <w:vertAlign w:val="superscript"/>
        </w:rPr>
        <w:t>-1</w:t>
      </w:r>
      <w:r w:rsidRPr="00540E9B">
        <w:rPr>
          <w:rFonts w:ascii="Times New Roman" w:hAnsi="Times New Roman"/>
          <w:sz w:val="20"/>
          <w:szCs w:val="20"/>
        </w:rPr>
        <w:t xml:space="preserve"> for 30 minutes before taking any measurement of glycerol oxidation reaction</w:t>
      </w:r>
      <w:r w:rsidRPr="00540E9B">
        <w:rPr>
          <w:rFonts w:ascii="Times New Roman" w:hAnsi="Times New Roman"/>
          <w:b/>
          <w:sz w:val="20"/>
          <w:szCs w:val="20"/>
        </w:rPr>
        <w:t>.</w:t>
      </w:r>
    </w:p>
    <w:p w:rsidR="00AC0033" w:rsidRPr="00F447A7" w:rsidRDefault="00AC0033" w:rsidP="00540E9B">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XRD is a primary tool used to identify crystalline material structures. Figure 1 shows the XRD patterns which confirmed the presence of target metal in the catalyst samples of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that fit well with their characteristic of face-centred cubic (fcc) patterns. Table 1 shows the lattice parameter, crystallite size and atomic composition for each catalyst. The diffraction peaks in the catalyst sample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exhibited the characteristic of face-centred cubic crystalline structure at 2</w:t>
      </w:r>
      <w:r w:rsidRPr="00540E9B">
        <w:rPr>
          <w:rFonts w:ascii="Times New Roman" w:hAnsi="Times New Roman"/>
          <w:i/>
          <w:sz w:val="20"/>
          <w:szCs w:val="20"/>
        </w:rPr>
        <w:t>θ</w:t>
      </w:r>
      <w:r w:rsidRPr="00540E9B">
        <w:rPr>
          <w:rFonts w:ascii="Times New Roman" w:hAnsi="Times New Roman"/>
          <w:sz w:val="20"/>
          <w:szCs w:val="20"/>
        </w:rPr>
        <w:t xml:space="preserve"> values of 38.28°, 44.19°, 64.92°, and 77.40° which corresponded to the (111), (200), (220) and (311) planes. The diffraction peaks of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 xml:space="preserve">1 </w:t>
      </w:r>
      <w:r w:rsidRPr="00540E9B">
        <w:rPr>
          <w:rFonts w:ascii="Times New Roman" w:hAnsi="Times New Roman"/>
          <w:sz w:val="20"/>
          <w:szCs w:val="20"/>
        </w:rPr>
        <w:t>are 39.15°, 44.64°, 65.12°, and 78.02° which corresponded to the (111), (200), (220) and (311) planes. The differences of diffraction peak positions for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indicate that Au has entered the Pd lattice and formed a homogeneous substitution of bimetallic nanoparticles [19]. The lattice parameter for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 xml:space="preserve">1 </w:t>
      </w:r>
      <w:r w:rsidRPr="00540E9B">
        <w:rPr>
          <w:rFonts w:ascii="Times New Roman" w:hAnsi="Times New Roman"/>
          <w:sz w:val="20"/>
          <w:szCs w:val="20"/>
        </w:rPr>
        <w:t>is</w:t>
      </w:r>
      <w:r w:rsidRPr="00540E9B">
        <w:rPr>
          <w:rFonts w:ascii="Times New Roman" w:hAnsi="Times New Roman"/>
          <w:sz w:val="20"/>
          <w:szCs w:val="20"/>
          <w:vertAlign w:val="subscript"/>
        </w:rPr>
        <w:t xml:space="preserve"> </w:t>
      </w:r>
      <w:r w:rsidRPr="00540E9B">
        <w:rPr>
          <w:rFonts w:ascii="Times New Roman" w:hAnsi="Times New Roman"/>
          <w:sz w:val="20"/>
          <w:szCs w:val="20"/>
        </w:rPr>
        <w:t>exposed alloy with the dissolution of Au to Pd which made the lattice parameter increased from pure, which was Pd (0.3857 nm) [20] to 0.3991 nm and 0.3892 nm for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 xml:space="preserve">1, </w:t>
      </w:r>
      <w:r w:rsidRPr="00540E9B">
        <w:rPr>
          <w:rFonts w:ascii="Times New Roman" w:hAnsi="Times New Roman"/>
          <w:sz w:val="20"/>
          <w:szCs w:val="20"/>
        </w:rPr>
        <w:t>respectively. The average crystallite size for the synthesised catalysts was calculated based on the plane (111) diffraction peak using Scherrer’s equation 1:</w:t>
      </w:r>
    </w:p>
    <w:p w:rsidR="00540E9B" w:rsidRPr="00540E9B" w:rsidRDefault="00540E9B" w:rsidP="00540E9B">
      <w:pPr>
        <w:spacing w:after="0" w:line="240" w:lineRule="auto"/>
        <w:ind w:left="720"/>
        <w:jc w:val="both"/>
        <w:rPr>
          <w:rFonts w:ascii="Times New Roman" w:hAnsi="Times New Roman"/>
          <w:sz w:val="20"/>
          <w:szCs w:val="20"/>
        </w:rPr>
      </w:pPr>
      <w:r w:rsidRPr="00540E9B">
        <w:rPr>
          <w:rFonts w:ascii="Times New Roman" w:hAnsi="Times New Roman"/>
          <w:sz w:val="20"/>
          <w:szCs w:val="20"/>
        </w:rPr>
        <w:br/>
        <w:t>d</w:t>
      </w:r>
      <w:r w:rsidRPr="00540E9B">
        <w:rPr>
          <w:rFonts w:ascii="Times New Roman" w:hAnsi="Times New Roman"/>
          <w:sz w:val="20"/>
          <w:szCs w:val="20"/>
          <w:vertAlign w:val="subscript"/>
        </w:rPr>
        <w:t>XRD</w:t>
      </w:r>
      <w:r w:rsidRPr="00540E9B">
        <w:rPr>
          <w:rFonts w:ascii="Times New Roman" w:hAnsi="Times New Roman"/>
          <w:sz w:val="20"/>
          <w:szCs w:val="20"/>
        </w:rPr>
        <w:t xml:space="preserve"> =0:9 λ</w:t>
      </w:r>
      <w:r w:rsidRPr="00540E9B">
        <w:rPr>
          <w:rFonts w:ascii="Times New Roman" w:hAnsi="Times New Roman"/>
          <w:sz w:val="20"/>
          <w:szCs w:val="20"/>
          <w:vertAlign w:val="subscript"/>
        </w:rPr>
        <w:t>CuKa</w:t>
      </w:r>
      <w:r w:rsidRPr="00540E9B">
        <w:rPr>
          <w:rFonts w:ascii="Times New Roman" w:hAnsi="Times New Roman"/>
          <w:sz w:val="20"/>
          <w:szCs w:val="20"/>
        </w:rPr>
        <w:t xml:space="preserve">/β2θ.cosθmax </w:t>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t xml:space="preserve">  </w:t>
      </w:r>
      <w:r>
        <w:rPr>
          <w:rFonts w:ascii="Times New Roman" w:hAnsi="Times New Roman"/>
          <w:sz w:val="20"/>
          <w:szCs w:val="20"/>
        </w:rPr>
        <w:t xml:space="preserve">      </w:t>
      </w:r>
      <w:r w:rsidRPr="00540E9B">
        <w:rPr>
          <w:rFonts w:ascii="Times New Roman" w:hAnsi="Times New Roman"/>
          <w:sz w:val="20"/>
          <w:szCs w:val="20"/>
        </w:rPr>
        <w:t xml:space="preserve"> (1)</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where d is the average particle size (nm), λ is the wavelength of the X-ray used (1.54056 Å), θ is the angle at the maximum of the peak (rad), and β</w:t>
      </w:r>
      <w:r w:rsidRPr="00540E9B">
        <w:rPr>
          <w:rFonts w:ascii="Times New Roman" w:hAnsi="Times New Roman"/>
          <w:sz w:val="20"/>
          <w:szCs w:val="20"/>
          <w:vertAlign w:val="subscript"/>
        </w:rPr>
        <w:t xml:space="preserve">2A </w:t>
      </w:r>
      <w:r w:rsidRPr="00540E9B">
        <w:rPr>
          <w:rFonts w:ascii="Times New Roman" w:hAnsi="Times New Roman"/>
          <w:sz w:val="20"/>
          <w:szCs w:val="20"/>
        </w:rPr>
        <w:t>is the width of the peak at half height in radians. The calculated average crystallite sizes obtained for both catalysts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 xml:space="preserve">1 </w:t>
      </w:r>
      <w:r w:rsidRPr="00540E9B">
        <w:rPr>
          <w:rFonts w:ascii="Times New Roman" w:hAnsi="Times New Roman"/>
          <w:sz w:val="20"/>
          <w:szCs w:val="20"/>
        </w:rPr>
        <w:t xml:space="preserve">are given in Table 1. </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120" w:line="240" w:lineRule="auto"/>
        <w:jc w:val="center"/>
        <w:rPr>
          <w:rFonts w:ascii="Times New Roman" w:hAnsi="Times New Roman"/>
          <w:sz w:val="20"/>
          <w:szCs w:val="20"/>
        </w:rPr>
      </w:pPr>
      <w:r w:rsidRPr="00540E9B">
        <w:rPr>
          <w:rFonts w:ascii="Times New Roman" w:hAnsi="Times New Roman"/>
          <w:noProof/>
          <w:sz w:val="20"/>
          <w:szCs w:val="20"/>
          <w:lang w:bidi="ar-SA"/>
        </w:rPr>
        <w:drawing>
          <wp:inline distT="0" distB="0" distL="114300" distR="114300" wp14:anchorId="362ECE7C" wp14:editId="3CB435E7">
            <wp:extent cx="3600000" cy="2377440"/>
            <wp:effectExtent l="19050" t="19050" r="19685" b="2286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600000" cy="2377440"/>
                    </a:xfrm>
                    <a:prstGeom prst="rect">
                      <a:avLst/>
                    </a:prstGeom>
                    <a:ln>
                      <a:solidFill>
                        <a:schemeClr val="tx1"/>
                      </a:solidFill>
                    </a:ln>
                  </pic:spPr>
                </pic:pic>
              </a:graphicData>
            </a:graphic>
          </wp:inline>
        </w:drawing>
      </w:r>
    </w:p>
    <w:p w:rsidR="00540E9B" w:rsidRPr="00540E9B" w:rsidRDefault="00540E9B" w:rsidP="00540E9B">
      <w:pPr>
        <w:spacing w:after="0" w:line="240" w:lineRule="auto"/>
        <w:jc w:val="center"/>
        <w:rPr>
          <w:rFonts w:ascii="Times New Roman" w:hAnsi="Times New Roman"/>
          <w:sz w:val="20"/>
          <w:szCs w:val="20"/>
        </w:rPr>
      </w:pPr>
      <w:r w:rsidRPr="00540E9B">
        <w:rPr>
          <w:rFonts w:ascii="Times New Roman" w:hAnsi="Times New Roman"/>
          <w:sz w:val="20"/>
          <w:szCs w:val="20"/>
        </w:rPr>
        <w:t xml:space="preserve">Figure 1. </w:t>
      </w:r>
      <w:r>
        <w:rPr>
          <w:rFonts w:ascii="Times New Roman" w:hAnsi="Times New Roman"/>
          <w:sz w:val="20"/>
          <w:szCs w:val="20"/>
        </w:rPr>
        <w:t xml:space="preserve"> </w:t>
      </w:r>
      <w:r w:rsidRPr="00540E9B">
        <w:rPr>
          <w:rFonts w:ascii="Times New Roman" w:hAnsi="Times New Roman"/>
          <w:sz w:val="20"/>
          <w:szCs w:val="20"/>
        </w:rPr>
        <w:t>XRD patterns for a)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b)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 xml:space="preserve">1 </w:t>
      </w:r>
      <w:r w:rsidRPr="00540E9B">
        <w:rPr>
          <w:rFonts w:ascii="Times New Roman" w:hAnsi="Times New Roman"/>
          <w:sz w:val="20"/>
          <w:szCs w:val="20"/>
        </w:rPr>
        <w:t>nanocatalysts</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620675">
      <w:pPr>
        <w:spacing w:after="120" w:line="240" w:lineRule="auto"/>
        <w:jc w:val="center"/>
        <w:rPr>
          <w:rFonts w:ascii="Times New Roman" w:hAnsi="Times New Roman"/>
          <w:sz w:val="20"/>
          <w:szCs w:val="20"/>
        </w:rPr>
      </w:pPr>
      <w:r w:rsidRPr="00540E9B">
        <w:rPr>
          <w:rFonts w:ascii="Times New Roman" w:hAnsi="Times New Roman"/>
          <w:sz w:val="20"/>
          <w:szCs w:val="20"/>
        </w:rPr>
        <w:t xml:space="preserve">Table 1. </w:t>
      </w:r>
      <w:r w:rsidR="00620675">
        <w:rPr>
          <w:rFonts w:ascii="Times New Roman" w:hAnsi="Times New Roman"/>
          <w:sz w:val="20"/>
          <w:szCs w:val="20"/>
        </w:rPr>
        <w:t xml:space="preserve"> </w:t>
      </w:r>
      <w:r w:rsidRPr="00540E9B">
        <w:rPr>
          <w:rFonts w:ascii="Times New Roman" w:hAnsi="Times New Roman"/>
          <w:sz w:val="20"/>
          <w:szCs w:val="20"/>
        </w:rPr>
        <w:t>Comparison between measured XRD and EDX results of samples a)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b)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p>
    <w:tbl>
      <w:tblPr>
        <w:tblW w:w="9170" w:type="dxa"/>
        <w:jc w:val="center"/>
        <w:tblLayout w:type="fixed"/>
        <w:tblLook w:val="0000" w:firstRow="0" w:lastRow="0" w:firstColumn="0" w:lastColumn="0" w:noHBand="0" w:noVBand="0"/>
      </w:tblPr>
      <w:tblGrid>
        <w:gridCol w:w="923"/>
        <w:gridCol w:w="1082"/>
        <w:gridCol w:w="766"/>
        <w:gridCol w:w="1890"/>
        <w:gridCol w:w="1899"/>
        <w:gridCol w:w="1305"/>
        <w:gridCol w:w="1305"/>
      </w:tblGrid>
      <w:tr w:rsidR="00540E9B" w:rsidRPr="00540E9B" w:rsidTr="00620675">
        <w:trPr>
          <w:jc w:val="center"/>
        </w:trPr>
        <w:tc>
          <w:tcPr>
            <w:tcW w:w="923" w:type="dxa"/>
            <w:tcBorders>
              <w:top w:val="single" w:sz="4" w:space="0" w:color="auto"/>
              <w:bottom w:val="single" w:sz="4" w:space="0" w:color="auto"/>
            </w:tcBorders>
          </w:tcPr>
          <w:p w:rsidR="00540E9B" w:rsidRPr="00540E9B" w:rsidRDefault="00540E9B" w:rsidP="00620675">
            <w:pPr>
              <w:spacing w:before="240" w:after="0" w:line="240" w:lineRule="auto"/>
              <w:rPr>
                <w:rFonts w:ascii="Times New Roman" w:hAnsi="Times New Roman"/>
                <w:b/>
                <w:sz w:val="20"/>
                <w:szCs w:val="20"/>
              </w:rPr>
            </w:pPr>
            <w:r w:rsidRPr="00540E9B">
              <w:rPr>
                <w:rFonts w:ascii="Times New Roman" w:hAnsi="Times New Roman"/>
                <w:b/>
                <w:sz w:val="20"/>
                <w:szCs w:val="20"/>
              </w:rPr>
              <w:t>Sample</w:t>
            </w:r>
          </w:p>
        </w:tc>
        <w:tc>
          <w:tcPr>
            <w:tcW w:w="1082" w:type="dxa"/>
            <w:tcBorders>
              <w:top w:val="single" w:sz="4" w:space="0" w:color="auto"/>
              <w:bottom w:val="single" w:sz="4" w:space="0" w:color="auto"/>
            </w:tcBorders>
          </w:tcPr>
          <w:p w:rsidR="00540E9B" w:rsidRPr="00540E9B" w:rsidRDefault="00540E9B" w:rsidP="00620675">
            <w:pPr>
              <w:spacing w:before="180" w:after="0" w:line="240" w:lineRule="auto"/>
              <w:rPr>
                <w:rFonts w:ascii="Times New Roman" w:hAnsi="Times New Roman"/>
                <w:b/>
                <w:sz w:val="20"/>
                <w:szCs w:val="20"/>
              </w:rPr>
            </w:pPr>
            <w:r w:rsidRPr="00540E9B">
              <w:rPr>
                <w:rFonts w:ascii="Times New Roman" w:hAnsi="Times New Roman"/>
                <w:b/>
                <w:sz w:val="20"/>
                <w:szCs w:val="20"/>
              </w:rPr>
              <w:t xml:space="preserve">Catalyst </w:t>
            </w:r>
          </w:p>
          <w:p w:rsidR="00540E9B" w:rsidRPr="00540E9B" w:rsidRDefault="00540E9B" w:rsidP="00620675">
            <w:pPr>
              <w:spacing w:after="0" w:line="240" w:lineRule="auto"/>
              <w:rPr>
                <w:rFonts w:ascii="Times New Roman" w:hAnsi="Times New Roman"/>
                <w:b/>
                <w:sz w:val="20"/>
                <w:szCs w:val="20"/>
              </w:rPr>
            </w:pPr>
            <w:r w:rsidRPr="00540E9B">
              <w:rPr>
                <w:rFonts w:ascii="Times New Roman" w:hAnsi="Times New Roman"/>
                <w:b/>
                <w:sz w:val="20"/>
                <w:szCs w:val="20"/>
              </w:rPr>
              <w:t>Types</w:t>
            </w:r>
          </w:p>
        </w:tc>
        <w:tc>
          <w:tcPr>
            <w:tcW w:w="766" w:type="dxa"/>
            <w:tcBorders>
              <w:top w:val="single" w:sz="4" w:space="0" w:color="auto"/>
              <w:bottom w:val="single" w:sz="4" w:space="0" w:color="auto"/>
            </w:tcBorders>
          </w:tcPr>
          <w:p w:rsidR="00540E9B" w:rsidRPr="00540E9B" w:rsidRDefault="00540E9B" w:rsidP="00620675">
            <w:pPr>
              <w:spacing w:before="240" w:after="0" w:line="240" w:lineRule="auto"/>
              <w:jc w:val="center"/>
              <w:rPr>
                <w:rFonts w:ascii="Times New Roman" w:hAnsi="Times New Roman"/>
                <w:b/>
                <w:sz w:val="20"/>
                <w:szCs w:val="20"/>
              </w:rPr>
            </w:pPr>
            <w:r w:rsidRPr="00540E9B">
              <w:rPr>
                <w:rFonts w:ascii="Times New Roman" w:hAnsi="Times New Roman"/>
                <w:b/>
                <w:sz w:val="20"/>
                <w:szCs w:val="20"/>
              </w:rPr>
              <w:t>2θ</w:t>
            </w:r>
          </w:p>
          <w:p w:rsidR="00540E9B" w:rsidRPr="00540E9B" w:rsidRDefault="00540E9B" w:rsidP="00620675">
            <w:pPr>
              <w:spacing w:after="0" w:line="240" w:lineRule="auto"/>
              <w:jc w:val="center"/>
              <w:rPr>
                <w:rFonts w:ascii="Times New Roman" w:hAnsi="Times New Roman"/>
                <w:b/>
                <w:sz w:val="20"/>
                <w:szCs w:val="20"/>
              </w:rPr>
            </w:pPr>
          </w:p>
        </w:tc>
        <w:tc>
          <w:tcPr>
            <w:tcW w:w="1890" w:type="dxa"/>
            <w:tcBorders>
              <w:top w:val="single" w:sz="4" w:space="0" w:color="auto"/>
              <w:bottom w:val="single" w:sz="4" w:space="0" w:color="auto"/>
            </w:tcBorders>
          </w:tcPr>
          <w:p w:rsidR="00540E9B" w:rsidRPr="00540E9B" w:rsidRDefault="00540E9B" w:rsidP="00620675">
            <w:pPr>
              <w:spacing w:before="180" w:after="0" w:line="240" w:lineRule="auto"/>
              <w:jc w:val="center"/>
              <w:rPr>
                <w:rFonts w:ascii="Times New Roman" w:hAnsi="Times New Roman"/>
                <w:b/>
                <w:sz w:val="20"/>
                <w:szCs w:val="20"/>
              </w:rPr>
            </w:pPr>
            <w:r w:rsidRPr="00540E9B">
              <w:rPr>
                <w:rFonts w:ascii="Times New Roman" w:hAnsi="Times New Roman"/>
                <w:b/>
                <w:sz w:val="20"/>
                <w:szCs w:val="20"/>
              </w:rPr>
              <w:t>Lattice Parameter</w:t>
            </w:r>
          </w:p>
          <w:p w:rsidR="00540E9B" w:rsidRPr="00540E9B" w:rsidRDefault="00540E9B" w:rsidP="00620675">
            <w:pPr>
              <w:spacing w:after="0" w:line="240" w:lineRule="auto"/>
              <w:jc w:val="center"/>
              <w:rPr>
                <w:rFonts w:ascii="Times New Roman" w:hAnsi="Times New Roman"/>
                <w:b/>
                <w:sz w:val="20"/>
                <w:szCs w:val="20"/>
              </w:rPr>
            </w:pPr>
            <w:r w:rsidRPr="00540E9B">
              <w:rPr>
                <w:rFonts w:ascii="Times New Roman" w:hAnsi="Times New Roman"/>
                <w:b/>
                <w:sz w:val="20"/>
                <w:szCs w:val="20"/>
              </w:rPr>
              <w:t>(nm)</w:t>
            </w:r>
          </w:p>
        </w:tc>
        <w:tc>
          <w:tcPr>
            <w:tcW w:w="1899" w:type="dxa"/>
            <w:tcBorders>
              <w:top w:val="single" w:sz="4" w:space="0" w:color="auto"/>
              <w:bottom w:val="single" w:sz="4" w:space="0" w:color="auto"/>
            </w:tcBorders>
          </w:tcPr>
          <w:p w:rsidR="00540E9B" w:rsidRPr="00540E9B" w:rsidRDefault="00620675" w:rsidP="00620675">
            <w:pPr>
              <w:spacing w:before="60" w:after="0" w:line="240" w:lineRule="auto"/>
              <w:jc w:val="center"/>
              <w:rPr>
                <w:rFonts w:ascii="Times New Roman" w:hAnsi="Times New Roman"/>
                <w:b/>
                <w:sz w:val="20"/>
                <w:szCs w:val="20"/>
              </w:rPr>
            </w:pPr>
            <w:r>
              <w:rPr>
                <w:rFonts w:ascii="Times New Roman" w:hAnsi="Times New Roman"/>
                <w:b/>
                <w:sz w:val="20"/>
                <w:szCs w:val="20"/>
              </w:rPr>
              <w:t xml:space="preserve">Atomic </w:t>
            </w:r>
            <w:r w:rsidR="00540E9B" w:rsidRPr="00540E9B">
              <w:rPr>
                <w:rFonts w:ascii="Times New Roman" w:hAnsi="Times New Roman"/>
                <w:b/>
                <w:sz w:val="20"/>
                <w:szCs w:val="20"/>
              </w:rPr>
              <w:t>Composition</w:t>
            </w:r>
          </w:p>
          <w:p w:rsidR="00540E9B" w:rsidRPr="00540E9B" w:rsidRDefault="00540E9B" w:rsidP="00620675">
            <w:pPr>
              <w:spacing w:after="0" w:line="240" w:lineRule="auto"/>
              <w:jc w:val="center"/>
              <w:rPr>
                <w:rFonts w:ascii="Times New Roman" w:hAnsi="Times New Roman"/>
                <w:b/>
                <w:sz w:val="20"/>
                <w:szCs w:val="20"/>
              </w:rPr>
            </w:pPr>
            <w:r w:rsidRPr="00540E9B">
              <w:rPr>
                <w:rFonts w:ascii="Times New Roman" w:hAnsi="Times New Roman"/>
                <w:b/>
                <w:sz w:val="20"/>
                <w:szCs w:val="20"/>
              </w:rPr>
              <w:t>(XRD)</w:t>
            </w:r>
          </w:p>
          <w:p w:rsidR="00540E9B" w:rsidRPr="00540E9B" w:rsidRDefault="00540E9B" w:rsidP="00620675">
            <w:pPr>
              <w:spacing w:after="60" w:line="240" w:lineRule="auto"/>
              <w:jc w:val="center"/>
              <w:rPr>
                <w:rFonts w:ascii="Times New Roman" w:hAnsi="Times New Roman"/>
                <w:b/>
                <w:sz w:val="20"/>
                <w:szCs w:val="20"/>
              </w:rPr>
            </w:pPr>
            <w:r w:rsidRPr="00540E9B">
              <w:rPr>
                <w:rFonts w:ascii="Times New Roman" w:hAnsi="Times New Roman"/>
                <w:b/>
                <w:sz w:val="20"/>
                <w:szCs w:val="20"/>
              </w:rPr>
              <w:t>Pd:Au</w:t>
            </w:r>
          </w:p>
        </w:tc>
        <w:tc>
          <w:tcPr>
            <w:tcW w:w="1305" w:type="dxa"/>
            <w:tcBorders>
              <w:top w:val="single" w:sz="4" w:space="0" w:color="auto"/>
              <w:bottom w:val="single" w:sz="4" w:space="0" w:color="auto"/>
            </w:tcBorders>
          </w:tcPr>
          <w:p w:rsidR="00540E9B" w:rsidRPr="00540E9B" w:rsidRDefault="00540E9B" w:rsidP="00620675">
            <w:pPr>
              <w:spacing w:before="120" w:after="0" w:line="240" w:lineRule="auto"/>
              <w:jc w:val="center"/>
              <w:rPr>
                <w:rFonts w:ascii="Times New Roman" w:hAnsi="Times New Roman"/>
                <w:b/>
                <w:sz w:val="20"/>
                <w:szCs w:val="20"/>
              </w:rPr>
            </w:pPr>
            <w:r w:rsidRPr="00540E9B">
              <w:rPr>
                <w:rFonts w:ascii="Times New Roman" w:hAnsi="Times New Roman"/>
                <w:b/>
                <w:sz w:val="20"/>
                <w:szCs w:val="20"/>
              </w:rPr>
              <w:t>Atomic Ratio(EDX)</w:t>
            </w:r>
          </w:p>
          <w:p w:rsidR="00540E9B" w:rsidRPr="00540E9B" w:rsidRDefault="00540E9B" w:rsidP="00620675">
            <w:pPr>
              <w:spacing w:after="0" w:line="240" w:lineRule="auto"/>
              <w:jc w:val="center"/>
              <w:rPr>
                <w:rFonts w:ascii="Times New Roman" w:hAnsi="Times New Roman"/>
                <w:b/>
                <w:sz w:val="20"/>
                <w:szCs w:val="20"/>
              </w:rPr>
            </w:pPr>
            <w:r w:rsidRPr="00540E9B">
              <w:rPr>
                <w:rFonts w:ascii="Times New Roman" w:hAnsi="Times New Roman"/>
                <w:b/>
                <w:sz w:val="20"/>
                <w:szCs w:val="20"/>
              </w:rPr>
              <w:t>Pd:Au</w:t>
            </w:r>
          </w:p>
        </w:tc>
        <w:tc>
          <w:tcPr>
            <w:tcW w:w="1305" w:type="dxa"/>
            <w:tcBorders>
              <w:top w:val="single" w:sz="4" w:space="0" w:color="auto"/>
              <w:bottom w:val="single" w:sz="4" w:space="0" w:color="auto"/>
            </w:tcBorders>
          </w:tcPr>
          <w:p w:rsidR="00540E9B" w:rsidRPr="00540E9B" w:rsidRDefault="00540E9B" w:rsidP="00620675">
            <w:pPr>
              <w:spacing w:before="120" w:after="0" w:line="240" w:lineRule="auto"/>
              <w:jc w:val="center"/>
              <w:rPr>
                <w:rFonts w:ascii="Times New Roman" w:hAnsi="Times New Roman"/>
                <w:b/>
                <w:sz w:val="20"/>
                <w:szCs w:val="20"/>
              </w:rPr>
            </w:pPr>
            <w:r w:rsidRPr="00540E9B">
              <w:rPr>
                <w:rFonts w:ascii="Times New Roman" w:hAnsi="Times New Roman"/>
                <w:b/>
                <w:sz w:val="20"/>
                <w:szCs w:val="20"/>
              </w:rPr>
              <w:t>Crystallite Size</w:t>
            </w:r>
          </w:p>
          <w:p w:rsidR="00540E9B" w:rsidRPr="00540E9B" w:rsidRDefault="00540E9B" w:rsidP="00620675">
            <w:pPr>
              <w:spacing w:after="0" w:line="240" w:lineRule="auto"/>
              <w:jc w:val="center"/>
              <w:rPr>
                <w:rFonts w:ascii="Times New Roman" w:hAnsi="Times New Roman"/>
                <w:b/>
                <w:sz w:val="20"/>
                <w:szCs w:val="20"/>
              </w:rPr>
            </w:pPr>
            <w:r w:rsidRPr="00540E9B">
              <w:rPr>
                <w:rFonts w:ascii="Times New Roman" w:hAnsi="Times New Roman"/>
                <w:b/>
                <w:sz w:val="20"/>
                <w:szCs w:val="20"/>
              </w:rPr>
              <w:t>(XRD)</w:t>
            </w:r>
          </w:p>
        </w:tc>
      </w:tr>
      <w:tr w:rsidR="00540E9B" w:rsidRPr="00540E9B" w:rsidTr="00620675">
        <w:trPr>
          <w:trHeight w:val="332"/>
          <w:jc w:val="center"/>
        </w:trPr>
        <w:tc>
          <w:tcPr>
            <w:tcW w:w="923" w:type="dxa"/>
            <w:tcBorders>
              <w:top w:val="single" w:sz="4" w:space="0" w:color="auto"/>
            </w:tcBorders>
          </w:tcPr>
          <w:p w:rsidR="00540E9B" w:rsidRPr="00540E9B" w:rsidRDefault="00540E9B" w:rsidP="00620675">
            <w:pPr>
              <w:spacing w:before="60" w:after="0" w:line="240" w:lineRule="auto"/>
              <w:rPr>
                <w:rFonts w:ascii="Times New Roman" w:hAnsi="Times New Roman"/>
                <w:sz w:val="20"/>
                <w:szCs w:val="20"/>
              </w:rPr>
            </w:pPr>
            <w:r w:rsidRPr="00540E9B">
              <w:rPr>
                <w:rFonts w:ascii="Times New Roman" w:hAnsi="Times New Roman"/>
                <w:sz w:val="20"/>
                <w:szCs w:val="20"/>
              </w:rPr>
              <w:t>a</w:t>
            </w:r>
          </w:p>
        </w:tc>
        <w:tc>
          <w:tcPr>
            <w:tcW w:w="1082" w:type="dxa"/>
            <w:tcBorders>
              <w:top w:val="single" w:sz="4" w:space="0" w:color="auto"/>
            </w:tcBorders>
          </w:tcPr>
          <w:p w:rsidR="00540E9B" w:rsidRPr="00540E9B" w:rsidRDefault="00540E9B" w:rsidP="00620675">
            <w:pPr>
              <w:spacing w:before="60" w:after="0" w:line="240" w:lineRule="auto"/>
              <w:rPr>
                <w:rFonts w:ascii="Times New Roman" w:hAnsi="Times New Roman"/>
                <w:sz w:val="20"/>
                <w:szCs w:val="20"/>
              </w:rPr>
            </w:pPr>
            <w:r w:rsidRPr="00540E9B">
              <w:rPr>
                <w:rFonts w:ascii="Times New Roman" w:hAnsi="Times New Roman"/>
                <w:sz w:val="20"/>
                <w:szCs w:val="20"/>
              </w:rPr>
              <w:t>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p>
        </w:tc>
        <w:tc>
          <w:tcPr>
            <w:tcW w:w="766" w:type="dxa"/>
            <w:tcBorders>
              <w:top w:val="single" w:sz="4" w:space="0" w:color="auto"/>
            </w:tcBorders>
          </w:tcPr>
          <w:p w:rsidR="00540E9B" w:rsidRPr="00540E9B" w:rsidRDefault="00540E9B" w:rsidP="00620675">
            <w:pPr>
              <w:spacing w:before="60" w:after="0" w:line="240" w:lineRule="auto"/>
              <w:jc w:val="center"/>
              <w:rPr>
                <w:rFonts w:ascii="Times New Roman" w:hAnsi="Times New Roman"/>
                <w:sz w:val="20"/>
                <w:szCs w:val="20"/>
              </w:rPr>
            </w:pPr>
            <w:r w:rsidRPr="00540E9B">
              <w:rPr>
                <w:rFonts w:ascii="Times New Roman" w:hAnsi="Times New Roman"/>
                <w:sz w:val="20"/>
                <w:szCs w:val="20"/>
              </w:rPr>
              <w:t>38.28</w:t>
            </w:r>
          </w:p>
        </w:tc>
        <w:tc>
          <w:tcPr>
            <w:tcW w:w="1890" w:type="dxa"/>
            <w:tcBorders>
              <w:top w:val="single" w:sz="4" w:space="0" w:color="auto"/>
            </w:tcBorders>
          </w:tcPr>
          <w:p w:rsidR="00540E9B" w:rsidRPr="00540E9B" w:rsidRDefault="00540E9B" w:rsidP="00620675">
            <w:pPr>
              <w:spacing w:before="60" w:after="0" w:line="240" w:lineRule="auto"/>
              <w:jc w:val="center"/>
              <w:rPr>
                <w:rFonts w:ascii="Times New Roman" w:hAnsi="Times New Roman"/>
                <w:sz w:val="20"/>
                <w:szCs w:val="20"/>
              </w:rPr>
            </w:pPr>
            <w:r w:rsidRPr="00540E9B">
              <w:rPr>
                <w:rFonts w:ascii="Times New Roman" w:hAnsi="Times New Roman"/>
                <w:sz w:val="20"/>
                <w:szCs w:val="20"/>
              </w:rPr>
              <w:t>0.3991</w:t>
            </w:r>
          </w:p>
        </w:tc>
        <w:tc>
          <w:tcPr>
            <w:tcW w:w="1899" w:type="dxa"/>
            <w:tcBorders>
              <w:top w:val="single" w:sz="4" w:space="0" w:color="auto"/>
            </w:tcBorders>
          </w:tcPr>
          <w:p w:rsidR="00540E9B" w:rsidRPr="00540E9B" w:rsidRDefault="00540E9B" w:rsidP="00620675">
            <w:pPr>
              <w:spacing w:before="60" w:after="0" w:line="240" w:lineRule="auto"/>
              <w:jc w:val="center"/>
              <w:rPr>
                <w:rFonts w:ascii="Times New Roman" w:hAnsi="Times New Roman"/>
                <w:sz w:val="20"/>
                <w:szCs w:val="20"/>
              </w:rPr>
            </w:pPr>
            <w:r w:rsidRPr="00540E9B">
              <w:rPr>
                <w:rFonts w:ascii="Times New Roman" w:hAnsi="Times New Roman"/>
                <w:sz w:val="20"/>
                <w:szCs w:val="20"/>
              </w:rPr>
              <w:t>65.05:34.95</w:t>
            </w:r>
          </w:p>
        </w:tc>
        <w:tc>
          <w:tcPr>
            <w:tcW w:w="1305" w:type="dxa"/>
            <w:tcBorders>
              <w:top w:val="single" w:sz="4" w:space="0" w:color="auto"/>
            </w:tcBorders>
          </w:tcPr>
          <w:p w:rsidR="00540E9B" w:rsidRPr="00540E9B" w:rsidRDefault="00540E9B" w:rsidP="00620675">
            <w:pPr>
              <w:spacing w:before="60" w:after="0" w:line="240" w:lineRule="auto"/>
              <w:jc w:val="center"/>
              <w:rPr>
                <w:rFonts w:ascii="Times New Roman" w:hAnsi="Times New Roman"/>
                <w:sz w:val="20"/>
                <w:szCs w:val="20"/>
              </w:rPr>
            </w:pPr>
            <w:r w:rsidRPr="00540E9B">
              <w:rPr>
                <w:rFonts w:ascii="Times New Roman" w:hAnsi="Times New Roman"/>
                <w:sz w:val="20"/>
                <w:szCs w:val="20"/>
              </w:rPr>
              <w:t>71.3:28.7</w:t>
            </w:r>
          </w:p>
        </w:tc>
        <w:tc>
          <w:tcPr>
            <w:tcW w:w="1305" w:type="dxa"/>
            <w:tcBorders>
              <w:top w:val="single" w:sz="4" w:space="0" w:color="auto"/>
            </w:tcBorders>
          </w:tcPr>
          <w:p w:rsidR="00540E9B" w:rsidRPr="00540E9B" w:rsidRDefault="00540E9B" w:rsidP="00620675">
            <w:pPr>
              <w:spacing w:before="60" w:after="0" w:line="240" w:lineRule="auto"/>
              <w:jc w:val="center"/>
              <w:rPr>
                <w:rFonts w:ascii="Times New Roman" w:hAnsi="Times New Roman"/>
                <w:sz w:val="20"/>
                <w:szCs w:val="20"/>
              </w:rPr>
            </w:pPr>
            <w:r w:rsidRPr="00540E9B">
              <w:rPr>
                <w:rFonts w:ascii="Times New Roman" w:hAnsi="Times New Roman"/>
                <w:sz w:val="20"/>
                <w:szCs w:val="20"/>
              </w:rPr>
              <w:t>6.0</w:t>
            </w:r>
          </w:p>
        </w:tc>
      </w:tr>
      <w:tr w:rsidR="00540E9B" w:rsidRPr="00540E9B" w:rsidTr="00620675">
        <w:trPr>
          <w:jc w:val="center"/>
        </w:trPr>
        <w:tc>
          <w:tcPr>
            <w:tcW w:w="923" w:type="dxa"/>
            <w:tcBorders>
              <w:bottom w:val="single" w:sz="4" w:space="0" w:color="auto"/>
            </w:tcBorders>
          </w:tcPr>
          <w:p w:rsidR="00540E9B" w:rsidRPr="00540E9B" w:rsidRDefault="00540E9B" w:rsidP="00620675">
            <w:pPr>
              <w:spacing w:before="60" w:after="60" w:line="240" w:lineRule="auto"/>
              <w:rPr>
                <w:rFonts w:ascii="Times New Roman" w:hAnsi="Times New Roman"/>
                <w:sz w:val="20"/>
                <w:szCs w:val="20"/>
              </w:rPr>
            </w:pPr>
            <w:r w:rsidRPr="00540E9B">
              <w:rPr>
                <w:rFonts w:ascii="Times New Roman" w:hAnsi="Times New Roman"/>
                <w:sz w:val="20"/>
                <w:szCs w:val="20"/>
              </w:rPr>
              <w:t>b</w:t>
            </w:r>
          </w:p>
        </w:tc>
        <w:tc>
          <w:tcPr>
            <w:tcW w:w="1082" w:type="dxa"/>
            <w:tcBorders>
              <w:bottom w:val="single" w:sz="4" w:space="0" w:color="auto"/>
            </w:tcBorders>
          </w:tcPr>
          <w:p w:rsidR="00540E9B" w:rsidRPr="00540E9B" w:rsidRDefault="00540E9B" w:rsidP="00620675">
            <w:pPr>
              <w:spacing w:before="60" w:after="60" w:line="240" w:lineRule="auto"/>
              <w:rPr>
                <w:rFonts w:ascii="Times New Roman" w:hAnsi="Times New Roman"/>
                <w:sz w:val="20"/>
                <w:szCs w:val="20"/>
              </w:rPr>
            </w:pPr>
            <w:r w:rsidRPr="00540E9B">
              <w:rPr>
                <w:rFonts w:ascii="Times New Roman" w:hAnsi="Times New Roman"/>
                <w:sz w:val="20"/>
                <w:szCs w:val="20"/>
              </w:rPr>
              <w:t>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p>
        </w:tc>
        <w:tc>
          <w:tcPr>
            <w:tcW w:w="766" w:type="dxa"/>
            <w:tcBorders>
              <w:bottom w:val="single" w:sz="4" w:space="0" w:color="auto"/>
            </w:tcBorders>
          </w:tcPr>
          <w:p w:rsidR="00540E9B" w:rsidRPr="00540E9B" w:rsidRDefault="00540E9B" w:rsidP="00620675">
            <w:pPr>
              <w:spacing w:before="60" w:after="60" w:line="240" w:lineRule="auto"/>
              <w:jc w:val="center"/>
              <w:rPr>
                <w:rFonts w:ascii="Times New Roman" w:hAnsi="Times New Roman"/>
                <w:sz w:val="20"/>
                <w:szCs w:val="20"/>
              </w:rPr>
            </w:pPr>
            <w:r w:rsidRPr="00540E9B">
              <w:rPr>
                <w:rFonts w:ascii="Times New Roman" w:hAnsi="Times New Roman"/>
                <w:sz w:val="20"/>
                <w:szCs w:val="20"/>
              </w:rPr>
              <w:t>39.15</w:t>
            </w:r>
          </w:p>
        </w:tc>
        <w:tc>
          <w:tcPr>
            <w:tcW w:w="1890" w:type="dxa"/>
            <w:tcBorders>
              <w:bottom w:val="single" w:sz="4" w:space="0" w:color="auto"/>
            </w:tcBorders>
          </w:tcPr>
          <w:p w:rsidR="00540E9B" w:rsidRPr="00540E9B" w:rsidRDefault="00540E9B" w:rsidP="00620675">
            <w:pPr>
              <w:spacing w:before="60" w:after="60" w:line="240" w:lineRule="auto"/>
              <w:jc w:val="center"/>
              <w:rPr>
                <w:rFonts w:ascii="Times New Roman" w:hAnsi="Times New Roman"/>
                <w:sz w:val="20"/>
                <w:szCs w:val="20"/>
              </w:rPr>
            </w:pPr>
            <w:r w:rsidRPr="00540E9B">
              <w:rPr>
                <w:rFonts w:ascii="Times New Roman" w:hAnsi="Times New Roman"/>
                <w:sz w:val="20"/>
                <w:szCs w:val="20"/>
              </w:rPr>
              <w:t>0.3892</w:t>
            </w:r>
          </w:p>
        </w:tc>
        <w:tc>
          <w:tcPr>
            <w:tcW w:w="1899" w:type="dxa"/>
            <w:tcBorders>
              <w:bottom w:val="single" w:sz="4" w:space="0" w:color="auto"/>
            </w:tcBorders>
          </w:tcPr>
          <w:p w:rsidR="00540E9B" w:rsidRPr="00540E9B" w:rsidRDefault="00540E9B" w:rsidP="00620675">
            <w:pPr>
              <w:spacing w:before="60" w:after="60" w:line="240" w:lineRule="auto"/>
              <w:jc w:val="center"/>
              <w:rPr>
                <w:rFonts w:ascii="Times New Roman" w:hAnsi="Times New Roman"/>
                <w:sz w:val="20"/>
                <w:szCs w:val="20"/>
              </w:rPr>
            </w:pPr>
            <w:r w:rsidRPr="00540E9B">
              <w:rPr>
                <w:rFonts w:ascii="Times New Roman" w:hAnsi="Times New Roman"/>
                <w:sz w:val="20"/>
                <w:szCs w:val="20"/>
              </w:rPr>
              <w:t>79.4:20.6</w:t>
            </w:r>
          </w:p>
        </w:tc>
        <w:tc>
          <w:tcPr>
            <w:tcW w:w="1305" w:type="dxa"/>
            <w:tcBorders>
              <w:bottom w:val="single" w:sz="4" w:space="0" w:color="auto"/>
            </w:tcBorders>
          </w:tcPr>
          <w:p w:rsidR="00540E9B" w:rsidRPr="00540E9B" w:rsidRDefault="00540E9B" w:rsidP="00620675">
            <w:pPr>
              <w:spacing w:before="60" w:after="60" w:line="240" w:lineRule="auto"/>
              <w:jc w:val="center"/>
              <w:rPr>
                <w:rFonts w:ascii="Times New Roman" w:hAnsi="Times New Roman"/>
                <w:sz w:val="20"/>
                <w:szCs w:val="20"/>
              </w:rPr>
            </w:pPr>
            <w:r w:rsidRPr="00540E9B">
              <w:rPr>
                <w:rFonts w:ascii="Times New Roman" w:hAnsi="Times New Roman"/>
                <w:sz w:val="20"/>
                <w:szCs w:val="20"/>
              </w:rPr>
              <w:t>80.2:19.8</w:t>
            </w:r>
          </w:p>
        </w:tc>
        <w:tc>
          <w:tcPr>
            <w:tcW w:w="1305" w:type="dxa"/>
            <w:tcBorders>
              <w:bottom w:val="single" w:sz="4" w:space="0" w:color="auto"/>
            </w:tcBorders>
          </w:tcPr>
          <w:p w:rsidR="00540E9B" w:rsidRPr="00540E9B" w:rsidRDefault="00540E9B" w:rsidP="00620675">
            <w:pPr>
              <w:spacing w:before="60" w:after="60" w:line="240" w:lineRule="auto"/>
              <w:jc w:val="center"/>
              <w:rPr>
                <w:rFonts w:ascii="Times New Roman" w:hAnsi="Times New Roman"/>
                <w:sz w:val="20"/>
                <w:szCs w:val="20"/>
              </w:rPr>
            </w:pPr>
            <w:r w:rsidRPr="00540E9B">
              <w:rPr>
                <w:rFonts w:ascii="Times New Roman" w:hAnsi="Times New Roman"/>
                <w:sz w:val="20"/>
                <w:szCs w:val="20"/>
              </w:rPr>
              <w:t>4.2</w:t>
            </w:r>
          </w:p>
        </w:tc>
      </w:tr>
    </w:tbl>
    <w:p w:rsidR="00540E9B" w:rsidRPr="00540E9B" w:rsidRDefault="00540E9B" w:rsidP="00620675">
      <w:pPr>
        <w:spacing w:after="12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The morphology of the synthesised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bimetallic catalysts was evaluated by using FESEM imaging as can be seen in Figure 2. The FESEM images illustrate homogenous nucleation and growth of bimetallic nanoparticles but with little agglomeration successfully generated by trisodium citrate  and sodium borohydride reduction method [21]. Figure 3 shows EDX and mapping analysis which confirmed the presence of Pd and Au and the distribution of both metal catalysts. XRD results were correlated with EDX measurements to evaluate the bulk composition of both catalysts. Table 1 lists the bulk composition from EDX evaluation for both catalysts which was found to be so close to the nominal value. These results prove that the bulk composition of Pd and Au in the synthesis catalysts is in good agreement with the molar ratio of Pd to Au salt in the solution. </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620675">
      <w:pPr>
        <w:spacing w:after="120" w:line="240" w:lineRule="auto"/>
        <w:jc w:val="center"/>
        <w:rPr>
          <w:rFonts w:ascii="Times New Roman" w:hAnsi="Times New Roman"/>
          <w:sz w:val="20"/>
          <w:szCs w:val="20"/>
        </w:rPr>
      </w:pPr>
      <w:r w:rsidRPr="00540E9B">
        <w:rPr>
          <w:rFonts w:ascii="Times New Roman" w:hAnsi="Times New Roman"/>
          <w:b/>
          <w:noProof/>
          <w:sz w:val="20"/>
          <w:szCs w:val="20"/>
          <w:lang w:bidi="ar-SA"/>
        </w:rPr>
        <w:drawing>
          <wp:inline distT="0" distB="0" distL="114300" distR="114300" wp14:anchorId="0A3CA9F6" wp14:editId="5450F4DE">
            <wp:extent cx="4869180" cy="20193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869180" cy="2019300"/>
                    </a:xfrm>
                    <a:prstGeom prst="rect">
                      <a:avLst/>
                    </a:prstGeom>
                    <a:ln/>
                  </pic:spPr>
                </pic:pic>
              </a:graphicData>
            </a:graphic>
          </wp:inline>
        </w:drawing>
      </w:r>
    </w:p>
    <w:p w:rsidR="00540E9B" w:rsidRPr="00540E9B" w:rsidRDefault="00540E9B" w:rsidP="00620675">
      <w:pPr>
        <w:spacing w:after="0" w:line="240" w:lineRule="auto"/>
        <w:jc w:val="center"/>
        <w:rPr>
          <w:rFonts w:ascii="Times New Roman" w:hAnsi="Times New Roman"/>
          <w:sz w:val="20"/>
          <w:szCs w:val="20"/>
        </w:rPr>
      </w:pPr>
      <w:r w:rsidRPr="00540E9B">
        <w:rPr>
          <w:rFonts w:ascii="Times New Roman" w:hAnsi="Times New Roman"/>
          <w:sz w:val="20"/>
          <w:szCs w:val="20"/>
        </w:rPr>
        <w:t xml:space="preserve">Figure 2. </w:t>
      </w:r>
      <w:r w:rsidR="00620675">
        <w:rPr>
          <w:rFonts w:ascii="Times New Roman" w:hAnsi="Times New Roman"/>
          <w:sz w:val="20"/>
          <w:szCs w:val="20"/>
        </w:rPr>
        <w:t xml:space="preserve"> </w:t>
      </w:r>
      <w:r w:rsidRPr="00540E9B">
        <w:rPr>
          <w:rFonts w:ascii="Times New Roman" w:hAnsi="Times New Roman"/>
          <w:sz w:val="20"/>
          <w:szCs w:val="20"/>
        </w:rPr>
        <w:t>FESEM images of a)Pd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b)Pd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 xml:space="preserve">1 </w:t>
      </w:r>
      <w:r w:rsidRPr="00540E9B">
        <w:rPr>
          <w:rFonts w:ascii="Times New Roman" w:hAnsi="Times New Roman"/>
          <w:sz w:val="20"/>
          <w:szCs w:val="20"/>
        </w:rPr>
        <w:t>nanocatalysts</w:t>
      </w:r>
    </w:p>
    <w:p w:rsidR="00540E9B" w:rsidRDefault="00540E9B" w:rsidP="00540E9B">
      <w:pPr>
        <w:spacing w:after="0" w:line="240" w:lineRule="auto"/>
        <w:jc w:val="both"/>
        <w:rPr>
          <w:rFonts w:ascii="Times New Roman" w:hAnsi="Times New Roman"/>
          <w:sz w:val="20"/>
          <w:szCs w:val="20"/>
        </w:rPr>
      </w:pPr>
    </w:p>
    <w:p w:rsidR="00620675" w:rsidRPr="00540E9B" w:rsidRDefault="00620675" w:rsidP="00540E9B">
      <w:pPr>
        <w:spacing w:after="0" w:line="240" w:lineRule="auto"/>
        <w:jc w:val="both"/>
        <w:rPr>
          <w:rFonts w:ascii="Times New Roman" w:hAnsi="Times New Roman"/>
          <w:sz w:val="20"/>
          <w:szCs w:val="20"/>
        </w:rPr>
      </w:pPr>
    </w:p>
    <w:p w:rsidR="00540E9B" w:rsidRPr="00540E9B" w:rsidRDefault="00540E9B" w:rsidP="00620675">
      <w:pPr>
        <w:spacing w:after="0" w:line="240" w:lineRule="auto"/>
        <w:jc w:val="center"/>
        <w:rPr>
          <w:rFonts w:ascii="Times New Roman" w:hAnsi="Times New Roman"/>
          <w:sz w:val="20"/>
          <w:szCs w:val="20"/>
        </w:rPr>
      </w:pPr>
      <w:r w:rsidRPr="00540E9B">
        <w:rPr>
          <w:rFonts w:ascii="Times New Roman" w:hAnsi="Times New Roman"/>
          <w:noProof/>
          <w:sz w:val="20"/>
          <w:szCs w:val="20"/>
          <w:lang w:bidi="ar-SA"/>
        </w:rPr>
        <w:drawing>
          <wp:inline distT="0" distB="0" distL="114300" distR="114300" wp14:anchorId="097A9AA0" wp14:editId="3F8AA944">
            <wp:extent cx="3871595" cy="2152650"/>
            <wp:effectExtent l="19050" t="19050" r="14605" b="1905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871595" cy="2152650"/>
                    </a:xfrm>
                    <a:prstGeom prst="rect">
                      <a:avLst/>
                    </a:prstGeom>
                    <a:ln>
                      <a:solidFill>
                        <a:schemeClr val="tx1"/>
                      </a:solidFill>
                    </a:ln>
                  </pic:spPr>
                </pic:pic>
              </a:graphicData>
            </a:graphic>
          </wp:inline>
        </w:drawing>
      </w:r>
    </w:p>
    <w:p w:rsidR="00540E9B" w:rsidRPr="00540E9B" w:rsidRDefault="00540E9B" w:rsidP="00620675">
      <w:pPr>
        <w:spacing w:after="120" w:line="240" w:lineRule="auto"/>
        <w:jc w:val="center"/>
        <w:rPr>
          <w:rFonts w:ascii="Times New Roman" w:hAnsi="Times New Roman"/>
          <w:sz w:val="20"/>
          <w:szCs w:val="20"/>
        </w:rPr>
      </w:pPr>
      <w:r w:rsidRPr="00540E9B">
        <w:rPr>
          <w:rFonts w:ascii="Times New Roman" w:hAnsi="Times New Roman"/>
          <w:noProof/>
          <w:sz w:val="20"/>
          <w:szCs w:val="20"/>
          <w:lang w:bidi="ar-SA"/>
        </w:rPr>
        <w:lastRenderedPageBreak/>
        <w:drawing>
          <wp:inline distT="0" distB="0" distL="114300" distR="114300" wp14:anchorId="4E041806" wp14:editId="0E1A8582">
            <wp:extent cx="3891687" cy="2051685"/>
            <wp:effectExtent l="19050" t="19050" r="13970" b="24765"/>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95391" cy="2053638"/>
                    </a:xfrm>
                    <a:prstGeom prst="rect">
                      <a:avLst/>
                    </a:prstGeom>
                    <a:ln>
                      <a:solidFill>
                        <a:schemeClr val="tx1"/>
                      </a:solidFill>
                    </a:ln>
                  </pic:spPr>
                </pic:pic>
              </a:graphicData>
            </a:graphic>
          </wp:inline>
        </w:drawing>
      </w:r>
    </w:p>
    <w:p w:rsidR="00540E9B" w:rsidRPr="00540E9B" w:rsidRDefault="00540E9B" w:rsidP="00620675">
      <w:pPr>
        <w:spacing w:after="0" w:line="240" w:lineRule="auto"/>
        <w:jc w:val="center"/>
        <w:rPr>
          <w:rFonts w:ascii="Times New Roman" w:hAnsi="Times New Roman"/>
          <w:sz w:val="20"/>
          <w:szCs w:val="20"/>
        </w:rPr>
      </w:pPr>
      <w:r w:rsidRPr="00540E9B">
        <w:rPr>
          <w:rFonts w:ascii="Times New Roman" w:hAnsi="Times New Roman"/>
          <w:sz w:val="20"/>
          <w:szCs w:val="20"/>
        </w:rPr>
        <w:t>Figure 3.</w:t>
      </w:r>
      <w:r w:rsidR="00620675">
        <w:rPr>
          <w:rFonts w:ascii="Times New Roman" w:hAnsi="Times New Roman"/>
          <w:sz w:val="20"/>
          <w:szCs w:val="20"/>
        </w:rPr>
        <w:t xml:space="preserve"> </w:t>
      </w:r>
      <w:r w:rsidRPr="00540E9B">
        <w:rPr>
          <w:rFonts w:ascii="Times New Roman" w:hAnsi="Times New Roman"/>
          <w:sz w:val="20"/>
          <w:szCs w:val="20"/>
        </w:rPr>
        <w:t xml:space="preserve"> EDX analysis and element mapping on a)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b)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nanocatalysts</w:t>
      </w:r>
    </w:p>
    <w:p w:rsidR="00540E9B" w:rsidRPr="00540E9B" w:rsidRDefault="00540E9B" w:rsidP="00620675">
      <w:pPr>
        <w:spacing w:after="12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b/>
          <w:sz w:val="20"/>
          <w:szCs w:val="20"/>
        </w:rPr>
        <w:t>Cyclic voltammetry study</w:t>
      </w: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The performances of catalysts in glycerol oxidation reaction (GOR) were evaluated in terms of two aspects: (1) onset potential (E</w:t>
      </w:r>
      <w:r w:rsidRPr="00540E9B">
        <w:rPr>
          <w:rFonts w:ascii="Times New Roman" w:hAnsi="Times New Roman"/>
          <w:sz w:val="20"/>
          <w:szCs w:val="20"/>
          <w:vertAlign w:val="subscript"/>
        </w:rPr>
        <w:t>on</w:t>
      </w:r>
      <w:r w:rsidRPr="00540E9B">
        <w:rPr>
          <w:rFonts w:ascii="Times New Roman" w:hAnsi="Times New Roman"/>
          <w:sz w:val="20"/>
          <w:szCs w:val="20"/>
        </w:rPr>
        <w:t>); indicative of the catalytic activity over glycerol oxidation reactions, (2) forward anodic specific peak current density (I</w:t>
      </w:r>
      <w:r w:rsidRPr="00540E9B">
        <w:rPr>
          <w:rFonts w:ascii="Times New Roman" w:hAnsi="Times New Roman"/>
          <w:sz w:val="20"/>
          <w:szCs w:val="20"/>
          <w:vertAlign w:val="subscript"/>
        </w:rPr>
        <w:t>f</w:t>
      </w:r>
      <w:r w:rsidRPr="00540E9B">
        <w:rPr>
          <w:rFonts w:ascii="Times New Roman" w:hAnsi="Times New Roman"/>
          <w:sz w:val="20"/>
          <w:szCs w:val="20"/>
        </w:rPr>
        <w:t>); showing the catalyst maximum performance. In order to acquire the qualitative information for catalysts activity in alkaline media, the typical CV behaviour of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catalysts were preliminarily investigated in 0.5 M NaOH without the presence of glycerol as shown in Figure 4. For comparison, the standard CV for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catalysts is also presented. The strong cathodic peak at   E=-0.381 V and E=-0.378 V corresponding to the formation and reduction of palladium oxide in the CV was obtained from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catalysts, respectively. The electroactive surface area per gram of palladium was achieved by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/VGCNF at 14.12 m</w:t>
      </w:r>
      <w:r w:rsidRPr="00540E9B">
        <w:rPr>
          <w:rFonts w:ascii="Times New Roman" w:hAnsi="Times New Roman"/>
          <w:sz w:val="20"/>
          <w:szCs w:val="20"/>
          <w:vertAlign w:val="superscript"/>
        </w:rPr>
        <w:t>2</w:t>
      </w:r>
      <w:r w:rsidRPr="00540E9B">
        <w:rPr>
          <w:rFonts w:ascii="Times New Roman" w:hAnsi="Times New Roman"/>
          <w:sz w:val="20"/>
          <w:szCs w:val="20"/>
        </w:rPr>
        <w:t xml:space="preserve">/g </w:t>
      </w:r>
      <w:r w:rsidRPr="00540E9B">
        <w:rPr>
          <w:rFonts w:ascii="Times New Roman" w:hAnsi="Times New Roman"/>
          <w:sz w:val="20"/>
          <w:szCs w:val="20"/>
          <w:vertAlign w:val="subscript"/>
        </w:rPr>
        <w:t>Pd</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at 12.7 m</w:t>
      </w:r>
      <w:r w:rsidRPr="00540E9B">
        <w:rPr>
          <w:rFonts w:ascii="Times New Roman" w:hAnsi="Times New Roman"/>
          <w:sz w:val="20"/>
          <w:szCs w:val="20"/>
          <w:vertAlign w:val="superscript"/>
        </w:rPr>
        <w:t>2</w:t>
      </w:r>
      <w:r w:rsidRPr="00540E9B">
        <w:rPr>
          <w:rFonts w:ascii="Times New Roman" w:hAnsi="Times New Roman"/>
          <w:sz w:val="20"/>
          <w:szCs w:val="20"/>
        </w:rPr>
        <w:t xml:space="preserve">/g </w:t>
      </w:r>
      <w:r w:rsidRPr="00540E9B">
        <w:rPr>
          <w:rFonts w:ascii="Times New Roman" w:hAnsi="Times New Roman"/>
          <w:sz w:val="20"/>
          <w:szCs w:val="20"/>
          <w:vertAlign w:val="subscript"/>
        </w:rPr>
        <w:t>Pd</w:t>
      </w:r>
      <w:r w:rsidRPr="00540E9B">
        <w:rPr>
          <w:rFonts w:ascii="Times New Roman" w:hAnsi="Times New Roman"/>
          <w:sz w:val="20"/>
          <w:szCs w:val="20"/>
        </w:rPr>
        <w:t>.</w:t>
      </w:r>
    </w:p>
    <w:p w:rsidR="00540E9B" w:rsidRPr="00540E9B" w:rsidRDefault="00540E9B" w:rsidP="00620675">
      <w:pPr>
        <w:spacing w:after="120" w:line="240" w:lineRule="auto"/>
        <w:jc w:val="both"/>
        <w:rPr>
          <w:rFonts w:ascii="Times New Roman" w:hAnsi="Times New Roman"/>
          <w:sz w:val="20"/>
          <w:szCs w:val="20"/>
        </w:rPr>
      </w:pPr>
    </w:p>
    <w:p w:rsidR="00540E9B" w:rsidRPr="00540E9B" w:rsidRDefault="00540E9B" w:rsidP="00620675">
      <w:pPr>
        <w:spacing w:after="120" w:line="240" w:lineRule="auto"/>
        <w:jc w:val="center"/>
        <w:rPr>
          <w:rFonts w:ascii="Times New Roman" w:hAnsi="Times New Roman"/>
          <w:sz w:val="20"/>
          <w:szCs w:val="20"/>
        </w:rPr>
      </w:pPr>
      <w:r w:rsidRPr="00540E9B">
        <w:rPr>
          <w:rFonts w:ascii="Times New Roman" w:hAnsi="Times New Roman"/>
          <w:noProof/>
          <w:sz w:val="20"/>
          <w:szCs w:val="20"/>
          <w:lang w:bidi="ar-SA"/>
        </w:rPr>
        <w:drawing>
          <wp:inline distT="0" distB="0" distL="0" distR="0" wp14:anchorId="758F1098" wp14:editId="0C7C9627">
            <wp:extent cx="3600000" cy="2434966"/>
            <wp:effectExtent l="19050" t="19050" r="1968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00000" cy="2434966"/>
                    </a:xfrm>
                    <a:prstGeom prst="rect">
                      <a:avLst/>
                    </a:prstGeom>
                    <a:ln>
                      <a:solidFill>
                        <a:schemeClr val="tx1"/>
                      </a:solidFill>
                    </a:ln>
                  </pic:spPr>
                </pic:pic>
              </a:graphicData>
            </a:graphic>
          </wp:inline>
        </w:drawing>
      </w:r>
    </w:p>
    <w:p w:rsidR="00540E9B" w:rsidRPr="00540E9B" w:rsidRDefault="00540E9B" w:rsidP="00540E9B">
      <w:pPr>
        <w:spacing w:after="0" w:line="240" w:lineRule="auto"/>
        <w:ind w:left="851" w:hanging="851"/>
        <w:jc w:val="both"/>
        <w:rPr>
          <w:rFonts w:ascii="Times New Roman" w:hAnsi="Times New Roman"/>
          <w:sz w:val="20"/>
          <w:szCs w:val="20"/>
        </w:rPr>
      </w:pPr>
      <w:r w:rsidRPr="00540E9B">
        <w:rPr>
          <w:rFonts w:ascii="Times New Roman" w:hAnsi="Times New Roman"/>
          <w:sz w:val="20"/>
          <w:szCs w:val="20"/>
        </w:rPr>
        <w:t xml:space="preserve">Figure 4. </w:t>
      </w:r>
      <w:r w:rsidRPr="00540E9B">
        <w:rPr>
          <w:rFonts w:ascii="Times New Roman" w:hAnsi="Times New Roman"/>
          <w:sz w:val="20"/>
          <w:szCs w:val="20"/>
        </w:rPr>
        <w:tab/>
        <w:t>Cyclic voltammograms of a)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b)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for the electrooxidation using 0.5M NaOH as an   electrolyte scan rate of 50 mV/s.</w:t>
      </w:r>
    </w:p>
    <w:p w:rsidR="00540E9B" w:rsidRPr="00540E9B" w:rsidRDefault="00540E9B" w:rsidP="00620675">
      <w:pPr>
        <w:spacing w:after="12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Figure 5 shows the cyclic voltammetry study of glycerol oxidation in the electrolyte solution containing 0.5 M glycerol and 0.5 M NaOH on different catalysts at a scan rate of 50 mVs</w:t>
      </w:r>
      <w:r w:rsidRPr="00540E9B">
        <w:rPr>
          <w:rFonts w:ascii="Times New Roman" w:hAnsi="Times New Roman"/>
          <w:sz w:val="20"/>
          <w:szCs w:val="20"/>
          <w:vertAlign w:val="superscript"/>
        </w:rPr>
        <w:t>-1</w:t>
      </w:r>
      <w:r w:rsidRPr="00540E9B">
        <w:rPr>
          <w:rFonts w:ascii="Times New Roman" w:hAnsi="Times New Roman"/>
          <w:sz w:val="20"/>
          <w:szCs w:val="20"/>
        </w:rPr>
        <w:t xml:space="preserve">. The electrooxidation of glycerol was characterised by two well-defined current peaks on the forward and reverse scans. In the forward scan, the peak </w:t>
      </w:r>
      <w:r w:rsidRPr="00540E9B">
        <w:rPr>
          <w:rFonts w:ascii="Times New Roman" w:hAnsi="Times New Roman"/>
          <w:sz w:val="20"/>
          <w:szCs w:val="20"/>
        </w:rPr>
        <w:lastRenderedPageBreak/>
        <w:t>corresponded to the oxidation of freshly chemisorbed species coming from the glycerol adsorption and the anodic sweep grew systematically with the increasing values of potential (V). Meanwhile, reverse scan was associated with the removal of carbonaceous species formed during oxidation of glycerol [22]. The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showed more negative onset potential for glycerol oxidation and higher anodic peak for current density (55.28 mA cm</w:t>
      </w:r>
      <w:r w:rsidRPr="00540E9B">
        <w:rPr>
          <w:rFonts w:ascii="Times New Roman" w:hAnsi="Times New Roman"/>
          <w:sz w:val="20"/>
          <w:szCs w:val="20"/>
          <w:vertAlign w:val="superscript"/>
        </w:rPr>
        <w:t>-2</w:t>
      </w:r>
      <w:r w:rsidRPr="00540E9B">
        <w:rPr>
          <w:rFonts w:ascii="Times New Roman" w:hAnsi="Times New Roman"/>
          <w:sz w:val="20"/>
          <w:szCs w:val="20"/>
        </w:rPr>
        <w:t>) compared to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(41.31 mA cm</w:t>
      </w:r>
      <w:r w:rsidRPr="00540E9B">
        <w:rPr>
          <w:rFonts w:ascii="Times New Roman" w:hAnsi="Times New Roman"/>
          <w:sz w:val="20"/>
          <w:szCs w:val="20"/>
          <w:vertAlign w:val="superscript"/>
        </w:rPr>
        <w:t>-2</w:t>
      </w:r>
      <w:r w:rsidRPr="00540E9B">
        <w:rPr>
          <w:rFonts w:ascii="Times New Roman" w:hAnsi="Times New Roman"/>
          <w:sz w:val="20"/>
          <w:szCs w:val="20"/>
        </w:rPr>
        <w:t>). This result shows that the metal compositions of the bimetallic cluster give the greatest effect towards glycerol oxidation. Since the reaction took place in an alkaline medium, the presence of OH ions will facilitate the active sites on catalyst. As can be seen in Figure 5, the steady-state oxidation forward current (I</w:t>
      </w:r>
      <w:r w:rsidRPr="00540E9B">
        <w:rPr>
          <w:rFonts w:ascii="Times New Roman" w:hAnsi="Times New Roman"/>
          <w:sz w:val="20"/>
          <w:szCs w:val="20"/>
          <w:vertAlign w:val="subscript"/>
        </w:rPr>
        <w:t>f</w:t>
      </w:r>
      <w:r w:rsidRPr="00540E9B">
        <w:rPr>
          <w:rFonts w:ascii="Times New Roman" w:eastAsia="Gungsuh" w:hAnsi="Times New Roman"/>
          <w:sz w:val="20"/>
          <w:szCs w:val="20"/>
        </w:rPr>
        <w:t xml:space="preserve">) can be detected at the potential above −0.4 V, which is above the starting potential of the adsorption of the hydroxyl ions (equation 2). </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0" w:line="240" w:lineRule="auto"/>
        <w:ind w:firstLine="720"/>
        <w:jc w:val="both"/>
        <w:rPr>
          <w:rFonts w:ascii="Times New Roman" w:hAnsi="Times New Roman"/>
          <w:sz w:val="20"/>
          <w:szCs w:val="20"/>
        </w:rPr>
      </w:pPr>
      <w:r w:rsidRPr="00540E9B">
        <w:rPr>
          <w:rFonts w:ascii="Times New Roman" w:hAnsi="Times New Roman"/>
          <w:sz w:val="20"/>
          <w:szCs w:val="20"/>
        </w:rPr>
        <w:t>Pd + OH</w:t>
      </w:r>
      <w:r w:rsidRPr="00540E9B">
        <w:rPr>
          <w:rFonts w:ascii="Times New Roman" w:hAnsi="Times New Roman"/>
          <w:sz w:val="20"/>
          <w:szCs w:val="20"/>
          <w:vertAlign w:val="superscript"/>
        </w:rPr>
        <w:t xml:space="preserve">- </w:t>
      </w:r>
      <w:r w:rsidRPr="00540E9B">
        <w:rPr>
          <w:rFonts w:ascii="Cambria Math" w:eastAsia="Cambria" w:hAnsi="Cambria Math" w:cs="Cambria Math"/>
          <w:sz w:val="20"/>
          <w:szCs w:val="20"/>
        </w:rPr>
        <w:t>⇋</w:t>
      </w:r>
      <w:r w:rsidRPr="00540E9B">
        <w:rPr>
          <w:rFonts w:ascii="Times New Roman" w:hAnsi="Times New Roman"/>
          <w:sz w:val="20"/>
          <w:szCs w:val="20"/>
        </w:rPr>
        <w:t xml:space="preserve"> Pd-OH</w:t>
      </w:r>
      <w:r w:rsidRPr="00540E9B">
        <w:rPr>
          <w:rFonts w:ascii="Times New Roman" w:hAnsi="Times New Roman"/>
          <w:sz w:val="20"/>
          <w:szCs w:val="20"/>
          <w:vertAlign w:val="subscript"/>
        </w:rPr>
        <w:t>ads</w:t>
      </w:r>
      <w:r w:rsidRPr="00540E9B">
        <w:rPr>
          <w:rFonts w:ascii="Times New Roman" w:hAnsi="Times New Roman"/>
          <w:sz w:val="20"/>
          <w:szCs w:val="20"/>
        </w:rPr>
        <w:t xml:space="preserve"> + e</w:t>
      </w:r>
      <w:r w:rsidRPr="00540E9B">
        <w:rPr>
          <w:rFonts w:ascii="Times New Roman" w:hAnsi="Times New Roman"/>
          <w:sz w:val="20"/>
          <w:szCs w:val="20"/>
          <w:vertAlign w:val="superscript"/>
        </w:rPr>
        <w:t>-</w:t>
      </w:r>
      <w:r w:rsidRPr="00540E9B">
        <w:rPr>
          <w:rFonts w:ascii="Times New Roman" w:hAnsi="Times New Roman"/>
          <w:sz w:val="20"/>
          <w:szCs w:val="20"/>
        </w:rPr>
        <w:t xml:space="preserve"> </w:t>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t xml:space="preserve">  </w:t>
      </w:r>
      <w:r w:rsidR="00620675">
        <w:rPr>
          <w:rFonts w:ascii="Times New Roman" w:hAnsi="Times New Roman"/>
          <w:sz w:val="20"/>
          <w:szCs w:val="20"/>
        </w:rPr>
        <w:t xml:space="preserve">      </w:t>
      </w:r>
      <w:r w:rsidRPr="00540E9B">
        <w:rPr>
          <w:rFonts w:ascii="Times New Roman" w:hAnsi="Times New Roman"/>
          <w:sz w:val="20"/>
          <w:szCs w:val="20"/>
        </w:rPr>
        <w:t xml:space="preserve"> (2)</w:t>
      </w:r>
    </w:p>
    <w:p w:rsidR="00540E9B" w:rsidRPr="00540E9B" w:rsidRDefault="00540E9B" w:rsidP="00540E9B">
      <w:pPr>
        <w:spacing w:after="0" w:line="240" w:lineRule="auto"/>
        <w:ind w:firstLine="720"/>
        <w:jc w:val="both"/>
        <w:rPr>
          <w:rFonts w:ascii="Times New Roman" w:hAnsi="Times New Roman"/>
          <w:sz w:val="20"/>
          <w:szCs w:val="20"/>
        </w:rPr>
      </w:pPr>
      <w:r w:rsidRPr="00540E9B">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02540070" wp14:editId="6BA17BB6">
                <wp:simplePos x="0" y="0"/>
                <wp:positionH relativeFrom="column">
                  <wp:posOffset>1616659</wp:posOffset>
                </wp:positionH>
                <wp:positionV relativeFrom="paragraph">
                  <wp:posOffset>74117</wp:posOffset>
                </wp:positionV>
                <wp:extent cx="263347" cy="7315"/>
                <wp:effectExtent l="0" t="76200" r="22860" b="88265"/>
                <wp:wrapNone/>
                <wp:docPr id="10" name="Straight Arrow Connector 10"/>
                <wp:cNvGraphicFramePr/>
                <a:graphic xmlns:a="http://schemas.openxmlformats.org/drawingml/2006/main">
                  <a:graphicData uri="http://schemas.microsoft.com/office/word/2010/wordprocessingShape">
                    <wps:wsp>
                      <wps:cNvCnPr/>
                      <wps:spPr>
                        <a:xfrm flipV="1">
                          <a:off x="0" y="0"/>
                          <a:ext cx="263347" cy="7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0" o:spid="_x0000_s1026" type="#_x0000_t32" style="position:absolute;margin-left:127.3pt;margin-top:5.85pt;width:20.75pt;height:.6pt;flip:y;z-index:25166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" strokecolor="black [3213]">
                <v:stroke endarrow="block"/>
              </v:shape>
            </w:pict>
          </mc:Fallback>
        </mc:AlternateContent>
      </w:r>
      <w:r w:rsidRPr="00540E9B">
        <w:rPr>
          <w:rFonts w:ascii="Times New Roman" w:hAnsi="Times New Roman"/>
          <w:sz w:val="20"/>
          <w:szCs w:val="20"/>
        </w:rPr>
        <w:t>C</w:t>
      </w:r>
      <w:r w:rsidRPr="00540E9B">
        <w:rPr>
          <w:rFonts w:ascii="Times New Roman" w:hAnsi="Times New Roman"/>
          <w:sz w:val="20"/>
          <w:szCs w:val="20"/>
          <w:vertAlign w:val="subscript"/>
        </w:rPr>
        <w:t>3</w:t>
      </w:r>
      <w:r w:rsidRPr="00540E9B">
        <w:rPr>
          <w:rFonts w:ascii="Times New Roman" w:hAnsi="Times New Roman"/>
          <w:sz w:val="20"/>
          <w:szCs w:val="20"/>
        </w:rPr>
        <w:t>H</w:t>
      </w:r>
      <w:r w:rsidRPr="00540E9B">
        <w:rPr>
          <w:rFonts w:ascii="Times New Roman" w:hAnsi="Times New Roman"/>
          <w:sz w:val="20"/>
          <w:szCs w:val="20"/>
          <w:vertAlign w:val="subscript"/>
        </w:rPr>
        <w:t>5</w:t>
      </w:r>
      <w:r w:rsidRPr="00540E9B">
        <w:rPr>
          <w:rFonts w:ascii="Times New Roman" w:hAnsi="Times New Roman"/>
          <w:sz w:val="20"/>
          <w:szCs w:val="20"/>
        </w:rPr>
        <w:t>(OH)</w:t>
      </w:r>
      <w:r w:rsidRPr="00540E9B">
        <w:rPr>
          <w:rFonts w:ascii="Times New Roman" w:hAnsi="Times New Roman"/>
          <w:sz w:val="20"/>
          <w:szCs w:val="20"/>
          <w:vertAlign w:val="subscript"/>
        </w:rPr>
        <w:t>3</w:t>
      </w:r>
      <w:r w:rsidRPr="00540E9B">
        <w:rPr>
          <w:rFonts w:ascii="Times New Roman" w:hAnsi="Times New Roman"/>
          <w:sz w:val="20"/>
          <w:szCs w:val="20"/>
        </w:rPr>
        <w:t xml:space="preserve"> + 12 OH</w:t>
      </w:r>
      <w:r w:rsidRPr="00540E9B">
        <w:rPr>
          <w:rFonts w:ascii="Times New Roman" w:hAnsi="Times New Roman"/>
          <w:sz w:val="20"/>
          <w:szCs w:val="20"/>
          <w:vertAlign w:val="superscript"/>
        </w:rPr>
        <w:t xml:space="preserve">-      </w:t>
      </w:r>
      <w:r w:rsidRPr="00540E9B">
        <w:rPr>
          <w:rFonts w:ascii="Times New Roman" w:hAnsi="Times New Roman"/>
          <w:sz w:val="20"/>
          <w:szCs w:val="20"/>
        </w:rPr>
        <w:t xml:space="preserve">        2C</w:t>
      </w:r>
      <w:r w:rsidRPr="00540E9B">
        <w:rPr>
          <w:rFonts w:ascii="Times New Roman" w:hAnsi="Times New Roman"/>
          <w:sz w:val="20"/>
          <w:szCs w:val="20"/>
          <w:vertAlign w:val="subscript"/>
        </w:rPr>
        <w:t>3</w:t>
      </w:r>
      <w:r w:rsidRPr="00540E9B">
        <w:rPr>
          <w:rFonts w:ascii="Times New Roman" w:hAnsi="Times New Roman"/>
          <w:sz w:val="20"/>
          <w:szCs w:val="20"/>
        </w:rPr>
        <w:t>O</w:t>
      </w:r>
      <w:r w:rsidRPr="00540E9B">
        <w:rPr>
          <w:rFonts w:ascii="Times New Roman" w:hAnsi="Times New Roman"/>
          <w:sz w:val="20"/>
          <w:szCs w:val="20"/>
          <w:vertAlign w:val="subscript"/>
        </w:rPr>
        <w:t>5</w:t>
      </w:r>
      <w:r w:rsidRPr="00540E9B">
        <w:rPr>
          <w:rFonts w:ascii="Times New Roman" w:hAnsi="Times New Roman"/>
          <w:sz w:val="20"/>
          <w:szCs w:val="20"/>
          <w:vertAlign w:val="superscript"/>
        </w:rPr>
        <w:t>2-</w:t>
      </w:r>
      <w:r w:rsidRPr="00540E9B">
        <w:rPr>
          <w:rFonts w:ascii="Times New Roman" w:hAnsi="Times New Roman"/>
          <w:sz w:val="20"/>
          <w:szCs w:val="20"/>
        </w:rPr>
        <w:t xml:space="preserve"> + 10H</w:t>
      </w:r>
      <w:r w:rsidRPr="00540E9B">
        <w:rPr>
          <w:rFonts w:ascii="Times New Roman" w:hAnsi="Times New Roman"/>
          <w:sz w:val="20"/>
          <w:szCs w:val="20"/>
          <w:vertAlign w:val="subscript"/>
        </w:rPr>
        <w:t>2</w:t>
      </w:r>
      <w:r w:rsidRPr="00540E9B">
        <w:rPr>
          <w:rFonts w:ascii="Times New Roman" w:hAnsi="Times New Roman"/>
          <w:sz w:val="20"/>
          <w:szCs w:val="20"/>
        </w:rPr>
        <w:t>O + 10e</w:t>
      </w:r>
      <w:r w:rsidRPr="00540E9B">
        <w:rPr>
          <w:rFonts w:ascii="Times New Roman" w:hAnsi="Times New Roman"/>
          <w:sz w:val="20"/>
          <w:szCs w:val="20"/>
          <w:vertAlign w:val="superscript"/>
        </w:rPr>
        <w:t>-</w:t>
      </w:r>
      <w:r w:rsidRPr="00540E9B">
        <w:rPr>
          <w:rFonts w:ascii="Times New Roman" w:hAnsi="Times New Roman"/>
          <w:sz w:val="20"/>
          <w:szCs w:val="20"/>
        </w:rPr>
        <w:t xml:space="preserve"> </w:t>
      </w:r>
      <w:r w:rsidRPr="00540E9B">
        <w:rPr>
          <w:rFonts w:ascii="Times New Roman" w:hAnsi="Times New Roman"/>
          <w:sz w:val="20"/>
          <w:szCs w:val="20"/>
        </w:rPr>
        <w:tab/>
      </w:r>
      <w:r w:rsidRPr="00540E9B">
        <w:rPr>
          <w:rFonts w:ascii="Times New Roman" w:hAnsi="Times New Roman"/>
          <w:sz w:val="20"/>
          <w:szCs w:val="20"/>
        </w:rPr>
        <w:tab/>
        <w:t xml:space="preserve">   </w:t>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00620675">
        <w:rPr>
          <w:rFonts w:ascii="Times New Roman" w:hAnsi="Times New Roman"/>
          <w:sz w:val="20"/>
          <w:szCs w:val="20"/>
        </w:rPr>
        <w:t xml:space="preserve">      </w:t>
      </w:r>
      <w:r w:rsidRPr="00540E9B">
        <w:rPr>
          <w:rFonts w:ascii="Times New Roman" w:hAnsi="Times New Roman"/>
          <w:sz w:val="20"/>
          <w:szCs w:val="20"/>
        </w:rPr>
        <w:t xml:space="preserve">   (3)</w:t>
      </w:r>
    </w:p>
    <w:p w:rsidR="00540E9B" w:rsidRPr="00540E9B" w:rsidRDefault="00540E9B" w:rsidP="00540E9B">
      <w:pPr>
        <w:spacing w:after="0" w:line="240" w:lineRule="auto"/>
        <w:ind w:firstLine="720"/>
        <w:jc w:val="both"/>
        <w:rPr>
          <w:rFonts w:ascii="Times New Roman" w:hAnsi="Times New Roman"/>
          <w:sz w:val="20"/>
          <w:szCs w:val="20"/>
        </w:rPr>
      </w:pPr>
      <w:r w:rsidRPr="00540E9B">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2D13E9B6" wp14:editId="6FF9A76F">
                <wp:simplePos x="0" y="0"/>
                <wp:positionH relativeFrom="column">
                  <wp:posOffset>1587399</wp:posOffset>
                </wp:positionH>
                <wp:positionV relativeFrom="paragraph">
                  <wp:posOffset>54254</wp:posOffset>
                </wp:positionV>
                <wp:extent cx="263347" cy="7315"/>
                <wp:effectExtent l="0" t="76200" r="22860" b="88265"/>
                <wp:wrapNone/>
                <wp:docPr id="11" name="Straight Arrow Connector 11"/>
                <wp:cNvGraphicFramePr/>
                <a:graphic xmlns:a="http://schemas.openxmlformats.org/drawingml/2006/main">
                  <a:graphicData uri="http://schemas.microsoft.com/office/word/2010/wordprocessingShape">
                    <wps:wsp>
                      <wps:cNvCnPr/>
                      <wps:spPr>
                        <a:xfrm flipV="1">
                          <a:off x="0" y="0"/>
                          <a:ext cx="263347" cy="73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1" o:spid="_x0000_s1026" type="#_x0000_t32" style="position:absolute;margin-left:125pt;margin-top:4.25pt;width:20.75pt;height:.6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" strokecolor="black [3213]">
                <v:stroke endarrow="block"/>
              </v:shape>
            </w:pict>
          </mc:Fallback>
        </mc:AlternateContent>
      </w:r>
      <w:r w:rsidRPr="00540E9B">
        <w:rPr>
          <w:rFonts w:ascii="Times New Roman" w:hAnsi="Times New Roman"/>
          <w:sz w:val="20"/>
          <w:szCs w:val="20"/>
        </w:rPr>
        <w:t>C</w:t>
      </w:r>
      <w:r w:rsidRPr="00540E9B">
        <w:rPr>
          <w:rFonts w:ascii="Times New Roman" w:hAnsi="Times New Roman"/>
          <w:sz w:val="20"/>
          <w:szCs w:val="20"/>
          <w:vertAlign w:val="subscript"/>
        </w:rPr>
        <w:t>3</w:t>
      </w:r>
      <w:r w:rsidRPr="00540E9B">
        <w:rPr>
          <w:rFonts w:ascii="Times New Roman" w:hAnsi="Times New Roman"/>
          <w:sz w:val="20"/>
          <w:szCs w:val="20"/>
        </w:rPr>
        <w:t>H</w:t>
      </w:r>
      <w:r w:rsidRPr="00540E9B">
        <w:rPr>
          <w:rFonts w:ascii="Times New Roman" w:hAnsi="Times New Roman"/>
          <w:sz w:val="20"/>
          <w:szCs w:val="20"/>
          <w:vertAlign w:val="subscript"/>
        </w:rPr>
        <w:t>5</w:t>
      </w:r>
      <w:r w:rsidRPr="00540E9B">
        <w:rPr>
          <w:rFonts w:ascii="Times New Roman" w:hAnsi="Times New Roman"/>
          <w:sz w:val="20"/>
          <w:szCs w:val="20"/>
        </w:rPr>
        <w:t>(OH)</w:t>
      </w:r>
      <w:r w:rsidRPr="00540E9B">
        <w:rPr>
          <w:rFonts w:ascii="Times New Roman" w:hAnsi="Times New Roman"/>
          <w:sz w:val="20"/>
          <w:szCs w:val="20"/>
          <w:vertAlign w:val="subscript"/>
        </w:rPr>
        <w:t>3</w:t>
      </w:r>
      <w:r w:rsidRPr="00540E9B">
        <w:rPr>
          <w:rFonts w:ascii="Times New Roman" w:hAnsi="Times New Roman"/>
          <w:sz w:val="20"/>
          <w:szCs w:val="20"/>
        </w:rPr>
        <w:t xml:space="preserve"> + 20 OH</w:t>
      </w:r>
      <w:r w:rsidRPr="00540E9B">
        <w:rPr>
          <w:rFonts w:ascii="Times New Roman" w:hAnsi="Times New Roman"/>
          <w:sz w:val="20"/>
          <w:szCs w:val="20"/>
          <w:vertAlign w:val="superscript"/>
        </w:rPr>
        <w:t>-</w:t>
      </w:r>
      <w:r w:rsidRPr="00540E9B">
        <w:rPr>
          <w:rFonts w:ascii="Times New Roman" w:hAnsi="Times New Roman"/>
          <w:sz w:val="20"/>
          <w:szCs w:val="20"/>
        </w:rPr>
        <w:t xml:space="preserve">            3CO</w:t>
      </w:r>
      <w:r w:rsidRPr="00540E9B">
        <w:rPr>
          <w:rFonts w:ascii="Times New Roman" w:hAnsi="Times New Roman"/>
          <w:sz w:val="20"/>
          <w:szCs w:val="20"/>
          <w:vertAlign w:val="subscript"/>
        </w:rPr>
        <w:t>3</w:t>
      </w:r>
      <w:r w:rsidRPr="00540E9B">
        <w:rPr>
          <w:rFonts w:ascii="Times New Roman" w:hAnsi="Times New Roman"/>
          <w:sz w:val="20"/>
          <w:szCs w:val="20"/>
          <w:vertAlign w:val="superscript"/>
        </w:rPr>
        <w:t>2-</w:t>
      </w:r>
      <w:r w:rsidRPr="00540E9B">
        <w:rPr>
          <w:rFonts w:ascii="Times New Roman" w:hAnsi="Times New Roman"/>
          <w:sz w:val="20"/>
          <w:szCs w:val="20"/>
        </w:rPr>
        <w:t xml:space="preserve">  + 14H</w:t>
      </w:r>
      <w:r w:rsidRPr="00540E9B">
        <w:rPr>
          <w:rFonts w:ascii="Times New Roman" w:hAnsi="Times New Roman"/>
          <w:sz w:val="20"/>
          <w:szCs w:val="20"/>
          <w:vertAlign w:val="subscript"/>
        </w:rPr>
        <w:t>2</w:t>
      </w:r>
      <w:r w:rsidRPr="00540E9B">
        <w:rPr>
          <w:rFonts w:ascii="Times New Roman" w:hAnsi="Times New Roman"/>
          <w:sz w:val="20"/>
          <w:szCs w:val="20"/>
        </w:rPr>
        <w:t>O + 14e</w:t>
      </w:r>
      <w:r w:rsidRPr="00540E9B">
        <w:rPr>
          <w:rFonts w:ascii="Times New Roman" w:hAnsi="Times New Roman"/>
          <w:sz w:val="20"/>
          <w:szCs w:val="20"/>
          <w:vertAlign w:val="superscript"/>
        </w:rPr>
        <w:t>-</w:t>
      </w:r>
      <w:r w:rsidRPr="00540E9B">
        <w:rPr>
          <w:rFonts w:ascii="Times New Roman" w:hAnsi="Times New Roman"/>
          <w:sz w:val="20"/>
          <w:szCs w:val="20"/>
        </w:rPr>
        <w:t xml:space="preserve"> </w:t>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r>
      <w:r w:rsidRPr="00540E9B">
        <w:rPr>
          <w:rFonts w:ascii="Times New Roman" w:hAnsi="Times New Roman"/>
          <w:sz w:val="20"/>
          <w:szCs w:val="20"/>
        </w:rPr>
        <w:tab/>
        <w:t xml:space="preserve"> </w:t>
      </w:r>
      <w:r w:rsidR="00620675">
        <w:rPr>
          <w:rFonts w:ascii="Times New Roman" w:hAnsi="Times New Roman"/>
          <w:sz w:val="20"/>
          <w:szCs w:val="20"/>
        </w:rPr>
        <w:t xml:space="preserve">      </w:t>
      </w:r>
      <w:r w:rsidRPr="00540E9B">
        <w:rPr>
          <w:rFonts w:ascii="Times New Roman" w:hAnsi="Times New Roman"/>
          <w:sz w:val="20"/>
          <w:szCs w:val="20"/>
        </w:rPr>
        <w:t xml:space="preserve">  (4)</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color w:val="231F20"/>
          <w:sz w:val="20"/>
          <w:szCs w:val="20"/>
        </w:rPr>
        <w:t>The chemisorption of glycerol molecules on oxygen-containing species (Pd-OH</w:t>
      </w:r>
      <w:r w:rsidRPr="00540E9B">
        <w:rPr>
          <w:rFonts w:ascii="Times New Roman" w:hAnsi="Times New Roman"/>
          <w:color w:val="231F20"/>
          <w:sz w:val="20"/>
          <w:szCs w:val="20"/>
          <w:vertAlign w:val="subscript"/>
        </w:rPr>
        <w:t>ads</w:t>
      </w:r>
      <w:r w:rsidRPr="00540E9B">
        <w:rPr>
          <w:rFonts w:ascii="Times New Roman" w:hAnsi="Times New Roman"/>
          <w:color w:val="231F20"/>
          <w:sz w:val="20"/>
          <w:szCs w:val="20"/>
        </w:rPr>
        <w:t xml:space="preserve">) indirectly assisted in getting rid of intermediate species that existed during the dissociative of glycerol molecules [23].  Thus, it allowed further reaction to occur without any difficulty. As a result, GOR will continue the current increase with the increase in potential. Moreover, partial oxidation of glycerol without C–C bond breaking and </w:t>
      </w:r>
      <w:r w:rsidRPr="00540E9B">
        <w:rPr>
          <w:rFonts w:ascii="Times New Roman" w:hAnsi="Times New Roman"/>
          <w:sz w:val="20"/>
          <w:szCs w:val="20"/>
        </w:rPr>
        <w:t>C</w:t>
      </w:r>
      <w:r w:rsidRPr="00540E9B">
        <w:rPr>
          <w:rFonts w:ascii="Times New Roman" w:hAnsi="Times New Roman"/>
          <w:sz w:val="20"/>
          <w:szCs w:val="20"/>
          <w:vertAlign w:val="subscript"/>
        </w:rPr>
        <w:t>3</w:t>
      </w:r>
      <w:r w:rsidRPr="00540E9B">
        <w:rPr>
          <w:rFonts w:ascii="Times New Roman" w:hAnsi="Times New Roman"/>
          <w:sz w:val="20"/>
          <w:szCs w:val="20"/>
        </w:rPr>
        <w:t>O</w:t>
      </w:r>
      <w:r w:rsidRPr="00540E9B">
        <w:rPr>
          <w:rFonts w:ascii="Times New Roman" w:hAnsi="Times New Roman"/>
          <w:sz w:val="20"/>
          <w:szCs w:val="20"/>
          <w:vertAlign w:val="subscript"/>
        </w:rPr>
        <w:t>5</w:t>
      </w:r>
      <w:r w:rsidRPr="00540E9B">
        <w:rPr>
          <w:rFonts w:ascii="Times New Roman" w:hAnsi="Times New Roman"/>
          <w:sz w:val="20"/>
          <w:szCs w:val="20"/>
          <w:vertAlign w:val="superscript"/>
        </w:rPr>
        <w:t>2-</w:t>
      </w:r>
      <w:r w:rsidRPr="00540E9B">
        <w:rPr>
          <w:rFonts w:ascii="Times New Roman" w:hAnsi="Times New Roman"/>
          <w:sz w:val="20"/>
          <w:szCs w:val="20"/>
        </w:rPr>
        <w:t xml:space="preserve"> </w:t>
      </w:r>
      <w:r w:rsidRPr="00540E9B">
        <w:rPr>
          <w:rFonts w:ascii="Times New Roman" w:hAnsi="Times New Roman"/>
          <w:color w:val="231F20"/>
          <w:sz w:val="20"/>
          <w:szCs w:val="20"/>
        </w:rPr>
        <w:t xml:space="preserve"> production leads to producing 10e</w:t>
      </w:r>
      <w:r w:rsidRPr="00540E9B">
        <w:rPr>
          <w:rFonts w:ascii="Times New Roman" w:hAnsi="Times New Roman"/>
          <w:color w:val="231F20"/>
          <w:sz w:val="20"/>
          <w:szCs w:val="20"/>
          <w:vertAlign w:val="superscript"/>
        </w:rPr>
        <w:t xml:space="preserve">- </w:t>
      </w:r>
      <w:r w:rsidRPr="00540E9B">
        <w:rPr>
          <w:rFonts w:ascii="Times New Roman" w:hAnsi="Times New Roman"/>
          <w:color w:val="231F20"/>
          <w:sz w:val="20"/>
          <w:szCs w:val="20"/>
        </w:rPr>
        <w:t>(equation 3). Meanwhile, complete oxidation of glycerol produced 14e</w:t>
      </w:r>
      <w:r w:rsidRPr="00540E9B">
        <w:rPr>
          <w:rFonts w:ascii="Times New Roman" w:hAnsi="Times New Roman"/>
          <w:color w:val="231F20"/>
          <w:sz w:val="20"/>
          <w:szCs w:val="20"/>
          <w:vertAlign w:val="superscript"/>
        </w:rPr>
        <w:t xml:space="preserve">- </w:t>
      </w:r>
      <w:r w:rsidRPr="00540E9B">
        <w:rPr>
          <w:rFonts w:ascii="Times New Roman" w:hAnsi="Times New Roman"/>
          <w:color w:val="231F20"/>
          <w:sz w:val="20"/>
          <w:szCs w:val="20"/>
        </w:rPr>
        <w:t xml:space="preserve">(equation 4) [24]. Furthermore, </w:t>
      </w:r>
      <w:r w:rsidRPr="00540E9B">
        <w:rPr>
          <w:rFonts w:ascii="Times New Roman" w:hAnsi="Times New Roman"/>
          <w:sz w:val="20"/>
          <w:szCs w:val="20"/>
        </w:rPr>
        <w:t>the  addition of a second metal also provided more active sites for the electrooxidation of glycerol, while at the same time controlling the poisoning effect [25, 26]. The electrochemical active surface area (EASA) value for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is higher compared to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 xml:space="preserve">1 </w:t>
      </w:r>
      <w:r w:rsidRPr="00540E9B">
        <w:rPr>
          <w:rFonts w:ascii="Times New Roman" w:hAnsi="Times New Roman"/>
          <w:sz w:val="20"/>
          <w:szCs w:val="20"/>
        </w:rPr>
        <w:t>which is another reason attributed to the better performance of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catalyst. The higher EASA refers to more active sites available to adsorb active oxygen atoms which will readily oxidise the intermediate products produced during the oxidation reaction on the catalyst surface. Ratio of current forward to current backward (If:Ib) that reflects the carbon monoxide tolerance shows that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is higher compared to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Bimetallic effect normally assists the mechanism of CO tolerance through modification of the electronic structure. Sticking probability of CO on Pd surface is reduced by the adjacent Au which improve the catalytic activity of the catalyst. This inhibits higher ratio of Au which will help to keep more active Pd sites available for glycerol oxidation, and hence provide the high CO tolerance of the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bimetallic catalyst. Table 2 shows performance comparison between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catalysts.</w:t>
      </w:r>
    </w:p>
    <w:p w:rsidR="00540E9B" w:rsidRPr="00540E9B" w:rsidRDefault="00540E9B" w:rsidP="00620675">
      <w:pPr>
        <w:spacing w:after="120" w:line="240" w:lineRule="auto"/>
        <w:jc w:val="both"/>
        <w:rPr>
          <w:rFonts w:ascii="Times New Roman" w:hAnsi="Times New Roman"/>
          <w:noProof/>
          <w:sz w:val="20"/>
          <w:szCs w:val="20"/>
        </w:rPr>
      </w:pPr>
    </w:p>
    <w:p w:rsidR="00540E9B" w:rsidRPr="00540E9B" w:rsidRDefault="00540E9B" w:rsidP="00620675">
      <w:pPr>
        <w:spacing w:after="120" w:line="240" w:lineRule="auto"/>
        <w:jc w:val="center"/>
        <w:rPr>
          <w:rFonts w:ascii="Times New Roman" w:hAnsi="Times New Roman"/>
          <w:sz w:val="20"/>
          <w:szCs w:val="20"/>
        </w:rPr>
      </w:pPr>
      <w:r w:rsidRPr="00540E9B">
        <w:rPr>
          <w:rFonts w:ascii="Times New Roman" w:hAnsi="Times New Roman"/>
          <w:noProof/>
          <w:sz w:val="20"/>
          <w:szCs w:val="20"/>
          <w:lang w:bidi="ar-SA"/>
        </w:rPr>
        <w:drawing>
          <wp:inline distT="0" distB="0" distL="0" distR="0" wp14:anchorId="57992FA1" wp14:editId="2AC51951">
            <wp:extent cx="3600000" cy="2801506"/>
            <wp:effectExtent l="19050" t="19050" r="1968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00000" cy="2801506"/>
                    </a:xfrm>
                    <a:prstGeom prst="rect">
                      <a:avLst/>
                    </a:prstGeom>
                    <a:ln>
                      <a:solidFill>
                        <a:schemeClr val="tx1"/>
                      </a:solidFill>
                    </a:ln>
                  </pic:spPr>
                </pic:pic>
              </a:graphicData>
            </a:graphic>
          </wp:inline>
        </w:drawing>
      </w:r>
    </w:p>
    <w:p w:rsidR="00540E9B" w:rsidRPr="00540E9B" w:rsidRDefault="00540E9B" w:rsidP="00540E9B">
      <w:pPr>
        <w:spacing w:after="0" w:line="240" w:lineRule="auto"/>
        <w:ind w:left="851" w:hanging="851"/>
        <w:jc w:val="both"/>
        <w:rPr>
          <w:rFonts w:ascii="Times New Roman" w:hAnsi="Times New Roman"/>
          <w:sz w:val="20"/>
          <w:szCs w:val="20"/>
        </w:rPr>
      </w:pPr>
      <w:r w:rsidRPr="00540E9B">
        <w:rPr>
          <w:rFonts w:ascii="Times New Roman" w:hAnsi="Times New Roman"/>
          <w:sz w:val="20"/>
          <w:szCs w:val="20"/>
        </w:rPr>
        <w:t xml:space="preserve">Figure 5. </w:t>
      </w:r>
      <w:r w:rsidRPr="00540E9B">
        <w:rPr>
          <w:rFonts w:ascii="Times New Roman" w:hAnsi="Times New Roman"/>
          <w:sz w:val="20"/>
          <w:szCs w:val="20"/>
        </w:rPr>
        <w:tab/>
        <w:t>Cyclic voltammograms of a)Pd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b)Pd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nanocatalysts for the electrooxidation of 0.5 M glycerol using 0.5M NaOH as an electrolyte scan rate of 50 mV/s.</w:t>
      </w:r>
    </w:p>
    <w:p w:rsidR="00540E9B" w:rsidRPr="00540E9B" w:rsidRDefault="00540E9B" w:rsidP="00540E9B">
      <w:pPr>
        <w:spacing w:after="0" w:line="240" w:lineRule="auto"/>
        <w:jc w:val="both"/>
        <w:rPr>
          <w:rFonts w:ascii="Times New Roman" w:hAnsi="Times New Roman"/>
          <w:sz w:val="20"/>
          <w:szCs w:val="20"/>
        </w:rPr>
      </w:pPr>
    </w:p>
    <w:p w:rsidR="00540E9B" w:rsidRPr="00540E9B" w:rsidRDefault="00540E9B" w:rsidP="00620675">
      <w:pPr>
        <w:spacing w:after="120" w:line="240" w:lineRule="auto"/>
        <w:jc w:val="center"/>
        <w:rPr>
          <w:rFonts w:ascii="Times New Roman" w:hAnsi="Times New Roman"/>
          <w:sz w:val="20"/>
          <w:szCs w:val="20"/>
        </w:rPr>
      </w:pPr>
      <w:r w:rsidRPr="00540E9B">
        <w:rPr>
          <w:rFonts w:ascii="Times New Roman" w:hAnsi="Times New Roman"/>
          <w:sz w:val="20"/>
          <w:szCs w:val="20"/>
        </w:rPr>
        <w:t xml:space="preserve">Table 2. </w:t>
      </w:r>
      <w:r w:rsidR="00620675">
        <w:rPr>
          <w:rFonts w:ascii="Times New Roman" w:hAnsi="Times New Roman"/>
          <w:sz w:val="20"/>
          <w:szCs w:val="20"/>
        </w:rPr>
        <w:t xml:space="preserve"> </w:t>
      </w:r>
      <w:r w:rsidRPr="00540E9B">
        <w:rPr>
          <w:rFonts w:ascii="Times New Roman" w:hAnsi="Times New Roman"/>
          <w:sz w:val="20"/>
          <w:szCs w:val="20"/>
        </w:rPr>
        <w:t>Performance of a)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b)Pd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nanoparticles for glycerol electrooxidation in alkaline media</w:t>
      </w:r>
    </w:p>
    <w:tbl>
      <w:tblPr>
        <w:tblW w:w="0" w:type="auto"/>
        <w:jc w:val="center"/>
        <w:tblBorders>
          <w:top w:val="single" w:sz="8" w:space="0" w:color="000000"/>
          <w:left w:val="nil"/>
          <w:bottom w:val="single" w:sz="8" w:space="0" w:color="000000"/>
          <w:right w:val="nil"/>
          <w:insideH w:val="nil"/>
          <w:insideV w:val="nil"/>
        </w:tblBorders>
        <w:tblLook w:val="0000" w:firstRow="0" w:lastRow="0" w:firstColumn="0" w:lastColumn="0" w:noHBand="0" w:noVBand="0"/>
      </w:tblPr>
      <w:tblGrid>
        <w:gridCol w:w="850"/>
        <w:gridCol w:w="1489"/>
        <w:gridCol w:w="833"/>
        <w:gridCol w:w="1024"/>
        <w:gridCol w:w="1024"/>
        <w:gridCol w:w="566"/>
        <w:gridCol w:w="790"/>
      </w:tblGrid>
      <w:tr w:rsidR="00540E9B" w:rsidRPr="00540E9B" w:rsidTr="00827BDA">
        <w:trPr>
          <w:jc w:val="center"/>
        </w:trPr>
        <w:tc>
          <w:tcPr>
            <w:tcW w:w="0" w:type="auto"/>
            <w:tcBorders>
              <w:top w:val="single" w:sz="4" w:space="0" w:color="auto"/>
              <w:left w:val="nil"/>
              <w:bottom w:val="single" w:sz="4" w:space="0" w:color="auto"/>
              <w:right w:val="nil"/>
            </w:tcBorders>
          </w:tcPr>
          <w:p w:rsidR="00540E9B" w:rsidRPr="00540E9B" w:rsidRDefault="00540E9B" w:rsidP="00827BDA">
            <w:pPr>
              <w:spacing w:before="120" w:after="0" w:line="240" w:lineRule="auto"/>
              <w:rPr>
                <w:rFonts w:ascii="Times New Roman" w:hAnsi="Times New Roman"/>
                <w:b/>
                <w:sz w:val="20"/>
                <w:szCs w:val="20"/>
              </w:rPr>
            </w:pPr>
            <w:r w:rsidRPr="00540E9B">
              <w:rPr>
                <w:rFonts w:ascii="Times New Roman" w:hAnsi="Times New Roman"/>
                <w:b/>
                <w:sz w:val="20"/>
                <w:szCs w:val="20"/>
              </w:rPr>
              <w:t>Sample</w:t>
            </w:r>
          </w:p>
        </w:tc>
        <w:tc>
          <w:tcPr>
            <w:tcW w:w="0" w:type="auto"/>
            <w:tcBorders>
              <w:top w:val="single" w:sz="4" w:space="0" w:color="auto"/>
              <w:left w:val="nil"/>
              <w:bottom w:val="single" w:sz="4" w:space="0" w:color="auto"/>
              <w:right w:val="nil"/>
            </w:tcBorders>
          </w:tcPr>
          <w:p w:rsidR="00540E9B" w:rsidRPr="00540E9B" w:rsidRDefault="00540E9B" w:rsidP="00827BDA">
            <w:pPr>
              <w:spacing w:before="120" w:after="0" w:line="240" w:lineRule="auto"/>
              <w:rPr>
                <w:rFonts w:ascii="Times New Roman" w:hAnsi="Times New Roman"/>
                <w:b/>
                <w:sz w:val="20"/>
                <w:szCs w:val="20"/>
              </w:rPr>
            </w:pPr>
            <w:r w:rsidRPr="00540E9B">
              <w:rPr>
                <w:rFonts w:ascii="Times New Roman" w:hAnsi="Times New Roman"/>
                <w:b/>
                <w:sz w:val="20"/>
                <w:szCs w:val="20"/>
              </w:rPr>
              <w:t>Catalyst Types</w:t>
            </w:r>
          </w:p>
        </w:tc>
        <w:tc>
          <w:tcPr>
            <w:tcW w:w="0" w:type="auto"/>
            <w:tcBorders>
              <w:top w:val="single" w:sz="4" w:space="0" w:color="auto"/>
              <w:left w:val="nil"/>
              <w:bottom w:val="single" w:sz="4" w:space="0" w:color="auto"/>
              <w:right w:val="nil"/>
            </w:tcBorders>
          </w:tcPr>
          <w:p w:rsidR="00540E9B" w:rsidRPr="00540E9B" w:rsidRDefault="00540E9B" w:rsidP="00827BDA">
            <w:pPr>
              <w:spacing w:before="60" w:after="0" w:line="240" w:lineRule="auto"/>
              <w:jc w:val="center"/>
              <w:rPr>
                <w:rFonts w:ascii="Times New Roman" w:hAnsi="Times New Roman"/>
                <w:b/>
                <w:sz w:val="20"/>
                <w:szCs w:val="20"/>
              </w:rPr>
            </w:pPr>
            <w:r w:rsidRPr="00540E9B">
              <w:rPr>
                <w:rFonts w:ascii="Times New Roman" w:hAnsi="Times New Roman"/>
                <w:b/>
                <w:sz w:val="20"/>
                <w:szCs w:val="20"/>
              </w:rPr>
              <w:t>Eon</w:t>
            </w:r>
          </w:p>
          <w:p w:rsidR="00540E9B" w:rsidRPr="00540E9B" w:rsidRDefault="00540E9B" w:rsidP="00827BDA">
            <w:pPr>
              <w:spacing w:after="0" w:line="240" w:lineRule="auto"/>
              <w:jc w:val="center"/>
              <w:rPr>
                <w:rFonts w:ascii="Times New Roman" w:hAnsi="Times New Roman"/>
                <w:b/>
                <w:sz w:val="20"/>
                <w:szCs w:val="20"/>
              </w:rPr>
            </w:pPr>
            <w:r w:rsidRPr="00540E9B">
              <w:rPr>
                <w:rFonts w:ascii="Times New Roman" w:hAnsi="Times New Roman"/>
                <w:b/>
                <w:sz w:val="20"/>
                <w:szCs w:val="20"/>
              </w:rPr>
              <w:t>(V)</w:t>
            </w:r>
          </w:p>
        </w:tc>
        <w:tc>
          <w:tcPr>
            <w:tcW w:w="0" w:type="auto"/>
            <w:tcBorders>
              <w:top w:val="single" w:sz="4" w:space="0" w:color="auto"/>
              <w:left w:val="nil"/>
              <w:bottom w:val="single" w:sz="4" w:space="0" w:color="auto"/>
              <w:right w:val="nil"/>
            </w:tcBorders>
          </w:tcPr>
          <w:p w:rsidR="00540E9B" w:rsidRPr="00540E9B" w:rsidRDefault="00540E9B" w:rsidP="00827BDA">
            <w:pPr>
              <w:spacing w:before="60" w:after="0" w:line="240" w:lineRule="auto"/>
              <w:jc w:val="center"/>
              <w:rPr>
                <w:rFonts w:ascii="Times New Roman" w:hAnsi="Times New Roman"/>
                <w:b/>
                <w:sz w:val="20"/>
                <w:szCs w:val="20"/>
                <w:vertAlign w:val="subscript"/>
              </w:rPr>
            </w:pPr>
            <w:r w:rsidRPr="00540E9B">
              <w:rPr>
                <w:rFonts w:ascii="Times New Roman" w:hAnsi="Times New Roman"/>
                <w:b/>
                <w:sz w:val="20"/>
                <w:szCs w:val="20"/>
              </w:rPr>
              <w:t>I</w:t>
            </w:r>
            <w:r w:rsidRPr="00540E9B">
              <w:rPr>
                <w:rFonts w:ascii="Times New Roman" w:hAnsi="Times New Roman"/>
                <w:b/>
                <w:sz w:val="20"/>
                <w:szCs w:val="20"/>
                <w:vertAlign w:val="subscript"/>
              </w:rPr>
              <w:t>f</w:t>
            </w:r>
          </w:p>
          <w:p w:rsidR="00540E9B" w:rsidRPr="00540E9B" w:rsidRDefault="00540E9B" w:rsidP="00827BDA">
            <w:pPr>
              <w:spacing w:after="0" w:line="240" w:lineRule="auto"/>
              <w:jc w:val="center"/>
              <w:rPr>
                <w:rFonts w:ascii="Times New Roman" w:hAnsi="Times New Roman"/>
                <w:b/>
                <w:sz w:val="20"/>
                <w:szCs w:val="20"/>
              </w:rPr>
            </w:pPr>
            <w:r w:rsidRPr="00540E9B">
              <w:rPr>
                <w:rFonts w:ascii="Times New Roman" w:hAnsi="Times New Roman"/>
                <w:b/>
                <w:sz w:val="20"/>
                <w:szCs w:val="20"/>
              </w:rPr>
              <w:t>(mAcm</w:t>
            </w:r>
            <w:r w:rsidRPr="00540E9B">
              <w:rPr>
                <w:rFonts w:ascii="Times New Roman" w:hAnsi="Times New Roman"/>
                <w:b/>
                <w:sz w:val="20"/>
                <w:szCs w:val="20"/>
                <w:vertAlign w:val="superscript"/>
              </w:rPr>
              <w:t>-2</w:t>
            </w:r>
            <w:r w:rsidRPr="00540E9B">
              <w:rPr>
                <w:rFonts w:ascii="Times New Roman" w:hAnsi="Times New Roman"/>
                <w:b/>
                <w:sz w:val="20"/>
                <w:szCs w:val="20"/>
              </w:rPr>
              <w:t>)</w:t>
            </w:r>
          </w:p>
        </w:tc>
        <w:tc>
          <w:tcPr>
            <w:tcW w:w="0" w:type="auto"/>
            <w:tcBorders>
              <w:top w:val="single" w:sz="4" w:space="0" w:color="auto"/>
              <w:left w:val="nil"/>
              <w:bottom w:val="single" w:sz="4" w:space="0" w:color="auto"/>
              <w:right w:val="nil"/>
            </w:tcBorders>
          </w:tcPr>
          <w:p w:rsidR="00540E9B" w:rsidRPr="00540E9B" w:rsidRDefault="00540E9B" w:rsidP="00827BDA">
            <w:pPr>
              <w:spacing w:before="60" w:after="0" w:line="240" w:lineRule="auto"/>
              <w:jc w:val="center"/>
              <w:rPr>
                <w:rFonts w:ascii="Times New Roman" w:hAnsi="Times New Roman"/>
                <w:b/>
                <w:sz w:val="20"/>
                <w:szCs w:val="20"/>
                <w:vertAlign w:val="subscript"/>
              </w:rPr>
            </w:pPr>
            <w:r w:rsidRPr="00540E9B">
              <w:rPr>
                <w:rFonts w:ascii="Times New Roman" w:hAnsi="Times New Roman"/>
                <w:b/>
                <w:sz w:val="20"/>
                <w:szCs w:val="20"/>
              </w:rPr>
              <w:t>I</w:t>
            </w:r>
            <w:r w:rsidRPr="00540E9B">
              <w:rPr>
                <w:rFonts w:ascii="Times New Roman" w:hAnsi="Times New Roman"/>
                <w:b/>
                <w:sz w:val="20"/>
                <w:szCs w:val="20"/>
                <w:vertAlign w:val="subscript"/>
              </w:rPr>
              <w:t>B</w:t>
            </w:r>
          </w:p>
          <w:p w:rsidR="00540E9B" w:rsidRPr="00540E9B" w:rsidRDefault="00540E9B" w:rsidP="00827BDA">
            <w:pPr>
              <w:spacing w:after="0" w:line="240" w:lineRule="auto"/>
              <w:jc w:val="center"/>
              <w:rPr>
                <w:rFonts w:ascii="Times New Roman" w:hAnsi="Times New Roman"/>
                <w:b/>
                <w:sz w:val="20"/>
                <w:szCs w:val="20"/>
              </w:rPr>
            </w:pPr>
            <w:r w:rsidRPr="00540E9B">
              <w:rPr>
                <w:rFonts w:ascii="Times New Roman" w:hAnsi="Times New Roman"/>
                <w:b/>
                <w:sz w:val="20"/>
                <w:szCs w:val="20"/>
              </w:rPr>
              <w:t>(mAcm</w:t>
            </w:r>
            <w:r w:rsidRPr="00540E9B">
              <w:rPr>
                <w:rFonts w:ascii="Times New Roman" w:hAnsi="Times New Roman"/>
                <w:b/>
                <w:sz w:val="20"/>
                <w:szCs w:val="20"/>
                <w:vertAlign w:val="superscript"/>
              </w:rPr>
              <w:t>-2</w:t>
            </w:r>
            <w:r w:rsidRPr="00540E9B">
              <w:rPr>
                <w:rFonts w:ascii="Times New Roman" w:hAnsi="Times New Roman"/>
                <w:b/>
                <w:sz w:val="20"/>
                <w:szCs w:val="20"/>
              </w:rPr>
              <w:t>)</w:t>
            </w:r>
          </w:p>
        </w:tc>
        <w:tc>
          <w:tcPr>
            <w:tcW w:w="0" w:type="auto"/>
            <w:tcBorders>
              <w:top w:val="single" w:sz="4" w:space="0" w:color="auto"/>
              <w:left w:val="nil"/>
              <w:bottom w:val="single" w:sz="4" w:space="0" w:color="auto"/>
              <w:right w:val="nil"/>
            </w:tcBorders>
          </w:tcPr>
          <w:p w:rsidR="00540E9B" w:rsidRPr="00540E9B" w:rsidRDefault="00540E9B" w:rsidP="00827BDA">
            <w:pPr>
              <w:spacing w:before="120" w:after="0" w:line="240" w:lineRule="auto"/>
              <w:jc w:val="center"/>
              <w:rPr>
                <w:rFonts w:ascii="Times New Roman" w:hAnsi="Times New Roman"/>
                <w:b/>
                <w:sz w:val="20"/>
                <w:szCs w:val="20"/>
              </w:rPr>
            </w:pPr>
            <w:r w:rsidRPr="00540E9B">
              <w:rPr>
                <w:rFonts w:ascii="Times New Roman" w:hAnsi="Times New Roman"/>
                <w:b/>
                <w:sz w:val="20"/>
                <w:szCs w:val="20"/>
              </w:rPr>
              <w:t>I</w:t>
            </w:r>
            <w:r w:rsidRPr="00540E9B">
              <w:rPr>
                <w:rFonts w:ascii="Times New Roman" w:hAnsi="Times New Roman"/>
                <w:b/>
                <w:sz w:val="20"/>
                <w:szCs w:val="20"/>
                <w:vertAlign w:val="subscript"/>
              </w:rPr>
              <w:t>f</w:t>
            </w:r>
            <w:r w:rsidRPr="00540E9B">
              <w:rPr>
                <w:rFonts w:ascii="Times New Roman" w:hAnsi="Times New Roman"/>
                <w:b/>
                <w:sz w:val="20"/>
                <w:szCs w:val="20"/>
              </w:rPr>
              <w:t>/I</w:t>
            </w:r>
            <w:r w:rsidRPr="00540E9B">
              <w:rPr>
                <w:rFonts w:ascii="Times New Roman" w:hAnsi="Times New Roman"/>
                <w:b/>
                <w:sz w:val="20"/>
                <w:szCs w:val="20"/>
                <w:vertAlign w:val="subscript"/>
              </w:rPr>
              <w:t>b</w:t>
            </w:r>
          </w:p>
        </w:tc>
        <w:tc>
          <w:tcPr>
            <w:tcW w:w="0" w:type="auto"/>
            <w:tcBorders>
              <w:top w:val="single" w:sz="4" w:space="0" w:color="auto"/>
              <w:left w:val="nil"/>
              <w:bottom w:val="single" w:sz="4" w:space="0" w:color="auto"/>
              <w:right w:val="nil"/>
            </w:tcBorders>
          </w:tcPr>
          <w:p w:rsidR="00540E9B" w:rsidRPr="00540E9B" w:rsidRDefault="00540E9B" w:rsidP="00827BDA">
            <w:pPr>
              <w:spacing w:before="60" w:after="0" w:line="240" w:lineRule="auto"/>
              <w:jc w:val="center"/>
              <w:rPr>
                <w:rFonts w:ascii="Times New Roman" w:hAnsi="Times New Roman"/>
                <w:b/>
                <w:sz w:val="20"/>
                <w:szCs w:val="20"/>
              </w:rPr>
            </w:pPr>
            <w:r w:rsidRPr="00540E9B">
              <w:rPr>
                <w:rFonts w:ascii="Times New Roman" w:hAnsi="Times New Roman"/>
                <w:b/>
                <w:sz w:val="20"/>
                <w:szCs w:val="20"/>
              </w:rPr>
              <w:t>EASA</w:t>
            </w:r>
          </w:p>
          <w:p w:rsidR="00540E9B" w:rsidRPr="00540E9B" w:rsidRDefault="00540E9B" w:rsidP="00827BDA">
            <w:pPr>
              <w:spacing w:after="60" w:line="240" w:lineRule="auto"/>
              <w:jc w:val="center"/>
              <w:rPr>
                <w:rFonts w:ascii="Times New Roman" w:hAnsi="Times New Roman"/>
                <w:b/>
                <w:sz w:val="20"/>
                <w:szCs w:val="20"/>
                <w:vertAlign w:val="superscript"/>
              </w:rPr>
            </w:pPr>
            <w:r w:rsidRPr="00540E9B">
              <w:rPr>
                <w:rFonts w:ascii="Times New Roman" w:hAnsi="Times New Roman"/>
                <w:b/>
                <w:sz w:val="20"/>
                <w:szCs w:val="20"/>
              </w:rPr>
              <w:t>(m</w:t>
            </w:r>
            <w:r w:rsidRPr="00540E9B">
              <w:rPr>
                <w:rFonts w:ascii="Times New Roman" w:hAnsi="Times New Roman"/>
                <w:b/>
                <w:sz w:val="20"/>
                <w:szCs w:val="20"/>
                <w:vertAlign w:val="superscript"/>
              </w:rPr>
              <w:t>2</w:t>
            </w:r>
            <w:r w:rsidRPr="00540E9B">
              <w:rPr>
                <w:rFonts w:ascii="Times New Roman" w:hAnsi="Times New Roman"/>
                <w:b/>
                <w:sz w:val="20"/>
                <w:szCs w:val="20"/>
              </w:rPr>
              <w:t>g</w:t>
            </w:r>
            <w:r w:rsidRPr="00540E9B">
              <w:rPr>
                <w:rFonts w:ascii="Times New Roman" w:hAnsi="Times New Roman"/>
                <w:b/>
                <w:sz w:val="20"/>
                <w:szCs w:val="20"/>
                <w:vertAlign w:val="superscript"/>
              </w:rPr>
              <w:t>-1</w:t>
            </w:r>
            <w:r w:rsidRPr="00540E9B">
              <w:rPr>
                <w:rFonts w:ascii="Times New Roman" w:hAnsi="Times New Roman"/>
                <w:b/>
                <w:sz w:val="20"/>
                <w:szCs w:val="20"/>
              </w:rPr>
              <w:t>)</w:t>
            </w:r>
          </w:p>
        </w:tc>
      </w:tr>
      <w:tr w:rsidR="00540E9B" w:rsidRPr="00540E9B" w:rsidTr="00827BDA">
        <w:trPr>
          <w:jc w:val="center"/>
        </w:trPr>
        <w:tc>
          <w:tcPr>
            <w:tcW w:w="0" w:type="auto"/>
            <w:tcBorders>
              <w:top w:val="single" w:sz="4" w:space="0" w:color="auto"/>
              <w:left w:val="nil"/>
              <w:bottom w:val="nil"/>
              <w:right w:val="nil"/>
            </w:tcBorders>
          </w:tcPr>
          <w:p w:rsidR="00540E9B" w:rsidRPr="00540E9B" w:rsidRDefault="00540E9B" w:rsidP="00827BDA">
            <w:pPr>
              <w:spacing w:before="60" w:after="0" w:line="240" w:lineRule="auto"/>
              <w:rPr>
                <w:rFonts w:ascii="Times New Roman" w:hAnsi="Times New Roman"/>
                <w:sz w:val="20"/>
                <w:szCs w:val="20"/>
              </w:rPr>
            </w:pPr>
            <w:r w:rsidRPr="00540E9B">
              <w:rPr>
                <w:rFonts w:ascii="Times New Roman" w:hAnsi="Times New Roman"/>
                <w:sz w:val="20"/>
                <w:szCs w:val="20"/>
              </w:rPr>
              <w:t>a</w:t>
            </w:r>
          </w:p>
        </w:tc>
        <w:tc>
          <w:tcPr>
            <w:tcW w:w="0" w:type="auto"/>
            <w:tcBorders>
              <w:top w:val="single" w:sz="4" w:space="0" w:color="auto"/>
              <w:left w:val="nil"/>
              <w:bottom w:val="nil"/>
              <w:right w:val="nil"/>
            </w:tcBorders>
          </w:tcPr>
          <w:p w:rsidR="00540E9B" w:rsidRPr="00540E9B" w:rsidRDefault="00540E9B" w:rsidP="00827BDA">
            <w:pPr>
              <w:spacing w:before="60" w:after="0" w:line="240" w:lineRule="auto"/>
              <w:rPr>
                <w:rFonts w:ascii="Times New Roman" w:hAnsi="Times New Roman"/>
                <w:sz w:val="20"/>
                <w:szCs w:val="20"/>
              </w:rPr>
            </w:pPr>
            <w:r w:rsidRPr="00540E9B">
              <w:rPr>
                <w:rFonts w:ascii="Times New Roman" w:hAnsi="Times New Roman"/>
                <w:sz w:val="20"/>
                <w:szCs w:val="20"/>
              </w:rPr>
              <w:t>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p>
        </w:tc>
        <w:tc>
          <w:tcPr>
            <w:tcW w:w="0" w:type="auto"/>
            <w:tcBorders>
              <w:top w:val="single" w:sz="4" w:space="0" w:color="auto"/>
              <w:left w:val="nil"/>
              <w:bottom w:val="nil"/>
              <w:right w:val="nil"/>
            </w:tcBorders>
          </w:tcPr>
          <w:p w:rsidR="00540E9B" w:rsidRPr="00540E9B" w:rsidRDefault="00540E9B" w:rsidP="00827BDA">
            <w:pPr>
              <w:spacing w:before="60" w:after="0" w:line="240" w:lineRule="auto"/>
              <w:jc w:val="center"/>
              <w:rPr>
                <w:rFonts w:ascii="Times New Roman" w:hAnsi="Times New Roman"/>
                <w:sz w:val="20"/>
                <w:szCs w:val="20"/>
              </w:rPr>
            </w:pPr>
            <w:r w:rsidRPr="00540E9B">
              <w:rPr>
                <w:rFonts w:ascii="Times New Roman" w:hAnsi="Times New Roman"/>
                <w:sz w:val="20"/>
                <w:szCs w:val="20"/>
              </w:rPr>
              <w:t>-0.4152</w:t>
            </w:r>
          </w:p>
        </w:tc>
        <w:tc>
          <w:tcPr>
            <w:tcW w:w="0" w:type="auto"/>
            <w:tcBorders>
              <w:top w:val="single" w:sz="4" w:space="0" w:color="auto"/>
              <w:left w:val="nil"/>
              <w:bottom w:val="nil"/>
              <w:right w:val="nil"/>
            </w:tcBorders>
          </w:tcPr>
          <w:p w:rsidR="00540E9B" w:rsidRPr="00540E9B" w:rsidRDefault="00540E9B" w:rsidP="00827BDA">
            <w:pPr>
              <w:spacing w:before="60" w:after="0" w:line="240" w:lineRule="auto"/>
              <w:jc w:val="center"/>
              <w:rPr>
                <w:rFonts w:ascii="Times New Roman" w:hAnsi="Times New Roman"/>
                <w:sz w:val="20"/>
                <w:szCs w:val="20"/>
              </w:rPr>
            </w:pPr>
            <w:r w:rsidRPr="00540E9B">
              <w:rPr>
                <w:rFonts w:ascii="Times New Roman" w:hAnsi="Times New Roman"/>
                <w:sz w:val="20"/>
                <w:szCs w:val="20"/>
              </w:rPr>
              <w:t>55.28</w:t>
            </w:r>
          </w:p>
        </w:tc>
        <w:tc>
          <w:tcPr>
            <w:tcW w:w="0" w:type="auto"/>
            <w:tcBorders>
              <w:top w:val="single" w:sz="4" w:space="0" w:color="auto"/>
              <w:left w:val="nil"/>
              <w:bottom w:val="nil"/>
              <w:right w:val="nil"/>
            </w:tcBorders>
          </w:tcPr>
          <w:p w:rsidR="00540E9B" w:rsidRPr="00540E9B" w:rsidRDefault="00540E9B" w:rsidP="00827BDA">
            <w:pPr>
              <w:spacing w:before="60" w:after="0" w:line="240" w:lineRule="auto"/>
              <w:jc w:val="center"/>
              <w:rPr>
                <w:rFonts w:ascii="Times New Roman" w:hAnsi="Times New Roman"/>
                <w:sz w:val="20"/>
                <w:szCs w:val="20"/>
              </w:rPr>
            </w:pPr>
            <w:r w:rsidRPr="00540E9B">
              <w:rPr>
                <w:rFonts w:ascii="Times New Roman" w:hAnsi="Times New Roman"/>
                <w:sz w:val="20"/>
                <w:szCs w:val="20"/>
              </w:rPr>
              <w:t>27.75</w:t>
            </w:r>
          </w:p>
        </w:tc>
        <w:tc>
          <w:tcPr>
            <w:tcW w:w="0" w:type="auto"/>
            <w:tcBorders>
              <w:top w:val="single" w:sz="4" w:space="0" w:color="auto"/>
              <w:left w:val="nil"/>
              <w:bottom w:val="nil"/>
              <w:right w:val="nil"/>
            </w:tcBorders>
          </w:tcPr>
          <w:p w:rsidR="00540E9B" w:rsidRPr="00540E9B" w:rsidRDefault="00540E9B" w:rsidP="00827BDA">
            <w:pPr>
              <w:spacing w:before="60" w:after="0" w:line="240" w:lineRule="auto"/>
              <w:jc w:val="center"/>
              <w:rPr>
                <w:rFonts w:ascii="Times New Roman" w:hAnsi="Times New Roman"/>
                <w:sz w:val="20"/>
                <w:szCs w:val="20"/>
              </w:rPr>
            </w:pPr>
            <w:r w:rsidRPr="00540E9B">
              <w:rPr>
                <w:rFonts w:ascii="Times New Roman" w:hAnsi="Times New Roman"/>
                <w:sz w:val="20"/>
                <w:szCs w:val="20"/>
              </w:rPr>
              <w:t>1.99</w:t>
            </w:r>
          </w:p>
        </w:tc>
        <w:tc>
          <w:tcPr>
            <w:tcW w:w="0" w:type="auto"/>
            <w:tcBorders>
              <w:top w:val="single" w:sz="4" w:space="0" w:color="auto"/>
              <w:left w:val="nil"/>
              <w:bottom w:val="nil"/>
              <w:right w:val="nil"/>
            </w:tcBorders>
          </w:tcPr>
          <w:p w:rsidR="00540E9B" w:rsidRPr="00540E9B" w:rsidRDefault="00540E9B" w:rsidP="00827BDA">
            <w:pPr>
              <w:spacing w:before="60" w:after="0" w:line="240" w:lineRule="auto"/>
              <w:jc w:val="center"/>
              <w:rPr>
                <w:rFonts w:ascii="Times New Roman" w:hAnsi="Times New Roman"/>
                <w:sz w:val="20"/>
                <w:szCs w:val="20"/>
              </w:rPr>
            </w:pPr>
            <w:r w:rsidRPr="00540E9B">
              <w:rPr>
                <w:rFonts w:ascii="Times New Roman" w:hAnsi="Times New Roman"/>
                <w:sz w:val="20"/>
                <w:szCs w:val="20"/>
              </w:rPr>
              <w:t>14.12</w:t>
            </w:r>
          </w:p>
        </w:tc>
      </w:tr>
      <w:tr w:rsidR="00540E9B" w:rsidRPr="00540E9B" w:rsidTr="00827BDA">
        <w:trPr>
          <w:jc w:val="center"/>
        </w:trPr>
        <w:tc>
          <w:tcPr>
            <w:tcW w:w="0" w:type="auto"/>
            <w:tcBorders>
              <w:top w:val="nil"/>
              <w:left w:val="nil"/>
              <w:bottom w:val="single" w:sz="4" w:space="0" w:color="auto"/>
              <w:right w:val="nil"/>
            </w:tcBorders>
          </w:tcPr>
          <w:p w:rsidR="00540E9B" w:rsidRPr="00540E9B" w:rsidRDefault="00540E9B" w:rsidP="00827BDA">
            <w:pPr>
              <w:spacing w:before="60" w:after="60" w:line="240" w:lineRule="auto"/>
              <w:rPr>
                <w:rFonts w:ascii="Times New Roman" w:hAnsi="Times New Roman"/>
                <w:sz w:val="20"/>
                <w:szCs w:val="20"/>
              </w:rPr>
            </w:pPr>
            <w:r w:rsidRPr="00540E9B">
              <w:rPr>
                <w:rFonts w:ascii="Times New Roman" w:hAnsi="Times New Roman"/>
                <w:sz w:val="20"/>
                <w:szCs w:val="20"/>
              </w:rPr>
              <w:t>b</w:t>
            </w:r>
          </w:p>
        </w:tc>
        <w:tc>
          <w:tcPr>
            <w:tcW w:w="0" w:type="auto"/>
            <w:tcBorders>
              <w:top w:val="nil"/>
              <w:left w:val="nil"/>
              <w:bottom w:val="single" w:sz="4" w:space="0" w:color="auto"/>
              <w:right w:val="nil"/>
            </w:tcBorders>
          </w:tcPr>
          <w:p w:rsidR="00540E9B" w:rsidRPr="00540E9B" w:rsidRDefault="00540E9B" w:rsidP="00827BDA">
            <w:pPr>
              <w:spacing w:before="60" w:after="60" w:line="240" w:lineRule="auto"/>
              <w:rPr>
                <w:rFonts w:ascii="Times New Roman" w:hAnsi="Times New Roman"/>
                <w:sz w:val="20"/>
                <w:szCs w:val="20"/>
              </w:rPr>
            </w:pPr>
            <w:r w:rsidRPr="00540E9B">
              <w:rPr>
                <w:rFonts w:ascii="Times New Roman" w:hAnsi="Times New Roman"/>
                <w:sz w:val="20"/>
                <w:szCs w:val="20"/>
              </w:rPr>
              <w:t>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p>
        </w:tc>
        <w:tc>
          <w:tcPr>
            <w:tcW w:w="0" w:type="auto"/>
            <w:tcBorders>
              <w:top w:val="nil"/>
              <w:left w:val="nil"/>
              <w:bottom w:val="single" w:sz="4" w:space="0" w:color="auto"/>
              <w:right w:val="nil"/>
            </w:tcBorders>
          </w:tcPr>
          <w:p w:rsidR="00540E9B" w:rsidRPr="00540E9B" w:rsidRDefault="00540E9B" w:rsidP="00827BDA">
            <w:pPr>
              <w:spacing w:before="60" w:after="60" w:line="240" w:lineRule="auto"/>
              <w:jc w:val="center"/>
              <w:rPr>
                <w:rFonts w:ascii="Times New Roman" w:hAnsi="Times New Roman"/>
                <w:sz w:val="20"/>
                <w:szCs w:val="20"/>
              </w:rPr>
            </w:pPr>
            <w:r w:rsidRPr="00540E9B">
              <w:rPr>
                <w:rFonts w:ascii="Times New Roman" w:hAnsi="Times New Roman"/>
                <w:sz w:val="20"/>
                <w:szCs w:val="20"/>
              </w:rPr>
              <w:t>-0.4295</w:t>
            </w:r>
          </w:p>
        </w:tc>
        <w:tc>
          <w:tcPr>
            <w:tcW w:w="0" w:type="auto"/>
            <w:tcBorders>
              <w:top w:val="nil"/>
              <w:left w:val="nil"/>
              <w:bottom w:val="single" w:sz="4" w:space="0" w:color="auto"/>
              <w:right w:val="nil"/>
            </w:tcBorders>
          </w:tcPr>
          <w:p w:rsidR="00540E9B" w:rsidRPr="00540E9B" w:rsidRDefault="00540E9B" w:rsidP="00827BDA">
            <w:pPr>
              <w:spacing w:before="60" w:after="60" w:line="240" w:lineRule="auto"/>
              <w:jc w:val="center"/>
              <w:rPr>
                <w:rFonts w:ascii="Times New Roman" w:hAnsi="Times New Roman"/>
                <w:sz w:val="20"/>
                <w:szCs w:val="20"/>
              </w:rPr>
            </w:pPr>
            <w:r w:rsidRPr="00540E9B">
              <w:rPr>
                <w:rFonts w:ascii="Times New Roman" w:hAnsi="Times New Roman"/>
                <w:sz w:val="20"/>
                <w:szCs w:val="20"/>
              </w:rPr>
              <w:t>41.31</w:t>
            </w:r>
          </w:p>
        </w:tc>
        <w:tc>
          <w:tcPr>
            <w:tcW w:w="0" w:type="auto"/>
            <w:tcBorders>
              <w:top w:val="nil"/>
              <w:left w:val="nil"/>
              <w:bottom w:val="single" w:sz="4" w:space="0" w:color="auto"/>
              <w:right w:val="nil"/>
            </w:tcBorders>
          </w:tcPr>
          <w:p w:rsidR="00540E9B" w:rsidRPr="00540E9B" w:rsidRDefault="00540E9B" w:rsidP="00827BDA">
            <w:pPr>
              <w:spacing w:before="60" w:after="60" w:line="240" w:lineRule="auto"/>
              <w:jc w:val="center"/>
              <w:rPr>
                <w:rFonts w:ascii="Times New Roman" w:hAnsi="Times New Roman"/>
                <w:sz w:val="20"/>
                <w:szCs w:val="20"/>
              </w:rPr>
            </w:pPr>
            <w:r w:rsidRPr="00540E9B">
              <w:rPr>
                <w:rFonts w:ascii="Times New Roman" w:hAnsi="Times New Roman"/>
                <w:sz w:val="20"/>
                <w:szCs w:val="20"/>
              </w:rPr>
              <w:t>21.84</w:t>
            </w:r>
          </w:p>
        </w:tc>
        <w:tc>
          <w:tcPr>
            <w:tcW w:w="0" w:type="auto"/>
            <w:tcBorders>
              <w:top w:val="nil"/>
              <w:left w:val="nil"/>
              <w:bottom w:val="single" w:sz="4" w:space="0" w:color="auto"/>
              <w:right w:val="nil"/>
            </w:tcBorders>
          </w:tcPr>
          <w:p w:rsidR="00540E9B" w:rsidRPr="00540E9B" w:rsidRDefault="00540E9B" w:rsidP="00827BDA">
            <w:pPr>
              <w:spacing w:before="60" w:after="60" w:line="240" w:lineRule="auto"/>
              <w:jc w:val="center"/>
              <w:rPr>
                <w:rFonts w:ascii="Times New Roman" w:hAnsi="Times New Roman"/>
                <w:sz w:val="20"/>
                <w:szCs w:val="20"/>
              </w:rPr>
            </w:pPr>
            <w:r w:rsidRPr="00540E9B">
              <w:rPr>
                <w:rFonts w:ascii="Times New Roman" w:hAnsi="Times New Roman"/>
                <w:sz w:val="20"/>
                <w:szCs w:val="20"/>
              </w:rPr>
              <w:t>1.89</w:t>
            </w:r>
          </w:p>
        </w:tc>
        <w:tc>
          <w:tcPr>
            <w:tcW w:w="0" w:type="auto"/>
            <w:tcBorders>
              <w:top w:val="nil"/>
              <w:left w:val="nil"/>
              <w:bottom w:val="single" w:sz="4" w:space="0" w:color="auto"/>
              <w:right w:val="nil"/>
            </w:tcBorders>
          </w:tcPr>
          <w:p w:rsidR="00540E9B" w:rsidRPr="00540E9B" w:rsidRDefault="00540E9B" w:rsidP="00827BDA">
            <w:pPr>
              <w:spacing w:before="60" w:after="60" w:line="240" w:lineRule="auto"/>
              <w:jc w:val="center"/>
              <w:rPr>
                <w:rFonts w:ascii="Times New Roman" w:hAnsi="Times New Roman"/>
                <w:sz w:val="20"/>
                <w:szCs w:val="20"/>
              </w:rPr>
            </w:pPr>
            <w:r w:rsidRPr="00540E9B">
              <w:rPr>
                <w:rFonts w:ascii="Times New Roman" w:hAnsi="Times New Roman"/>
                <w:sz w:val="20"/>
                <w:szCs w:val="20"/>
              </w:rPr>
              <w:t>12.7</w:t>
            </w:r>
          </w:p>
        </w:tc>
      </w:tr>
    </w:tbl>
    <w:p w:rsidR="00540E9B" w:rsidRPr="00540E9B" w:rsidRDefault="00540E9B" w:rsidP="00827BDA">
      <w:pPr>
        <w:spacing w:after="120" w:line="240" w:lineRule="auto"/>
        <w:jc w:val="both"/>
        <w:rPr>
          <w:rFonts w:ascii="Times New Roman" w:hAnsi="Times New Roman"/>
          <w:sz w:val="20"/>
          <w:szCs w:val="20"/>
        </w:rPr>
      </w:pP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b/>
          <w:sz w:val="20"/>
          <w:szCs w:val="20"/>
        </w:rPr>
        <w:t>Chronoamperometry study</w:t>
      </w:r>
    </w:p>
    <w:p w:rsidR="00540E9B" w:rsidRPr="00540E9B" w:rsidRDefault="00540E9B" w:rsidP="00540E9B">
      <w:pPr>
        <w:spacing w:after="0" w:line="240" w:lineRule="auto"/>
        <w:jc w:val="both"/>
        <w:rPr>
          <w:rFonts w:ascii="Times New Roman" w:hAnsi="Times New Roman"/>
          <w:sz w:val="20"/>
          <w:szCs w:val="20"/>
        </w:rPr>
      </w:pPr>
      <w:r w:rsidRPr="00540E9B">
        <w:rPr>
          <w:rFonts w:ascii="Times New Roman" w:hAnsi="Times New Roman"/>
          <w:sz w:val="20"/>
          <w:szCs w:val="20"/>
        </w:rPr>
        <w:t>The durability of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bimetallic catalysts during long term operations was evaluated </w:t>
      </w:r>
      <w:r w:rsidRPr="00540E9B">
        <w:rPr>
          <w:rFonts w:ascii="Times New Roman" w:hAnsi="Times New Roman"/>
          <w:i/>
          <w:sz w:val="20"/>
          <w:szCs w:val="20"/>
        </w:rPr>
        <w:t xml:space="preserve">via </w:t>
      </w:r>
      <w:r w:rsidRPr="00540E9B">
        <w:rPr>
          <w:rFonts w:ascii="Times New Roman" w:hAnsi="Times New Roman"/>
          <w:sz w:val="20"/>
          <w:szCs w:val="20"/>
        </w:rPr>
        <w:t>chronoamperometry curves. Figure 6 illustrates the chronoamperometry measurements for 3600 seconds in electrolyte solution of 0.5 M NaOH and 0.5 M glycerol. As demonstrated in the chronoamperometry analysis, a decay of current value in the time interval indicates a considerable stability of the catalysts and a tolerance to poisoning by intermediates species. As in the cyclic voltammetry analysis,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demonstrated better activity and stability compared to 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Noticeably, 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inhibited higher initial current density and limiting current density for a long time. It is shown that the presence of Au could improve the stability of the catalyst by giving a balanced adsorption between OH</w:t>
      </w:r>
      <w:r w:rsidRPr="00540E9B">
        <w:rPr>
          <w:rFonts w:ascii="Times New Roman" w:hAnsi="Times New Roman"/>
          <w:sz w:val="20"/>
          <w:szCs w:val="20"/>
          <w:vertAlign w:val="superscript"/>
        </w:rPr>
        <w:t>-</w:t>
      </w:r>
      <w:r w:rsidRPr="00540E9B">
        <w:rPr>
          <w:rFonts w:ascii="Times New Roman" w:hAnsi="Times New Roman"/>
          <w:sz w:val="20"/>
          <w:szCs w:val="20"/>
        </w:rPr>
        <w:t xml:space="preserve"> species from Au and species from glycerol adsorption on Pd [27]. Nevertheless, the current density reduction occurred too fast for both catalysts. Therefore, it is desirable to introduce a catalyst support to improve the stability of the catalysts.</w:t>
      </w:r>
    </w:p>
    <w:p w:rsidR="00540E9B" w:rsidRPr="00540E9B" w:rsidRDefault="00540E9B" w:rsidP="00827BDA">
      <w:pPr>
        <w:spacing w:after="120" w:line="240" w:lineRule="auto"/>
        <w:jc w:val="both"/>
        <w:rPr>
          <w:rFonts w:ascii="Times New Roman" w:hAnsi="Times New Roman"/>
          <w:sz w:val="20"/>
          <w:szCs w:val="20"/>
        </w:rPr>
      </w:pPr>
      <w:r w:rsidRPr="00540E9B">
        <w:rPr>
          <w:rFonts w:ascii="Times New Roman" w:hAnsi="Times New Roman"/>
          <w:sz w:val="20"/>
          <w:szCs w:val="20"/>
        </w:rPr>
        <w:t>.</w:t>
      </w:r>
    </w:p>
    <w:p w:rsidR="00540E9B" w:rsidRPr="00540E9B" w:rsidRDefault="00540E9B" w:rsidP="00827BDA">
      <w:pPr>
        <w:spacing w:after="120" w:line="240" w:lineRule="auto"/>
        <w:jc w:val="center"/>
        <w:rPr>
          <w:rFonts w:ascii="Times New Roman" w:hAnsi="Times New Roman"/>
          <w:sz w:val="20"/>
          <w:szCs w:val="20"/>
        </w:rPr>
      </w:pPr>
      <w:r w:rsidRPr="00540E9B">
        <w:rPr>
          <w:rFonts w:ascii="Times New Roman" w:hAnsi="Times New Roman"/>
          <w:noProof/>
          <w:sz w:val="20"/>
          <w:szCs w:val="20"/>
          <w:lang w:bidi="ar-SA"/>
        </w:rPr>
        <w:drawing>
          <wp:inline distT="0" distB="0" distL="0" distR="0" wp14:anchorId="5DEB3474" wp14:editId="234841A9">
            <wp:extent cx="3600000" cy="2666297"/>
            <wp:effectExtent l="19050" t="19050" r="1968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00000" cy="2666297"/>
                    </a:xfrm>
                    <a:prstGeom prst="rect">
                      <a:avLst/>
                    </a:prstGeom>
                    <a:ln>
                      <a:solidFill>
                        <a:schemeClr val="tx1"/>
                      </a:solidFill>
                    </a:ln>
                  </pic:spPr>
                </pic:pic>
              </a:graphicData>
            </a:graphic>
          </wp:inline>
        </w:drawing>
      </w:r>
    </w:p>
    <w:p w:rsidR="00540E9B" w:rsidRPr="00540E9B" w:rsidRDefault="00540E9B" w:rsidP="00540E9B">
      <w:pPr>
        <w:spacing w:after="0" w:line="240" w:lineRule="auto"/>
        <w:ind w:left="851" w:hanging="851"/>
        <w:jc w:val="both"/>
        <w:rPr>
          <w:rFonts w:ascii="Times New Roman" w:hAnsi="Times New Roman"/>
          <w:sz w:val="20"/>
          <w:szCs w:val="20"/>
        </w:rPr>
      </w:pPr>
      <w:r w:rsidRPr="00540E9B">
        <w:rPr>
          <w:rFonts w:ascii="Times New Roman" w:hAnsi="Times New Roman"/>
          <w:sz w:val="20"/>
          <w:szCs w:val="20"/>
        </w:rPr>
        <w:t xml:space="preserve">Figure 6. </w:t>
      </w:r>
      <w:r w:rsidRPr="00540E9B">
        <w:rPr>
          <w:rFonts w:ascii="Times New Roman" w:hAnsi="Times New Roman"/>
          <w:sz w:val="20"/>
          <w:szCs w:val="20"/>
        </w:rPr>
        <w:tab/>
        <w:t>Chronoamperometry analysis of a)Pd</w:t>
      </w:r>
      <w:r w:rsidRPr="00540E9B">
        <w:rPr>
          <w:rFonts w:ascii="Times New Roman" w:hAnsi="Times New Roman"/>
          <w:sz w:val="20"/>
          <w:szCs w:val="20"/>
          <w:vertAlign w:val="subscript"/>
        </w:rPr>
        <w:t>2</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and b)Pd</w:t>
      </w:r>
      <w:r w:rsidRPr="00540E9B">
        <w:rPr>
          <w:rFonts w:ascii="Times New Roman" w:hAnsi="Times New Roman"/>
          <w:sz w:val="20"/>
          <w:szCs w:val="20"/>
          <w:vertAlign w:val="subscript"/>
        </w:rPr>
        <w:t>4</w:t>
      </w:r>
      <w:r w:rsidRPr="00540E9B">
        <w:rPr>
          <w:rFonts w:ascii="Times New Roman" w:hAnsi="Times New Roman"/>
          <w:sz w:val="20"/>
          <w:szCs w:val="20"/>
        </w:rPr>
        <w:t>Au</w:t>
      </w:r>
      <w:r w:rsidRPr="00540E9B">
        <w:rPr>
          <w:rFonts w:ascii="Times New Roman" w:hAnsi="Times New Roman"/>
          <w:sz w:val="20"/>
          <w:szCs w:val="20"/>
          <w:vertAlign w:val="subscript"/>
        </w:rPr>
        <w:t>1</w:t>
      </w:r>
      <w:r w:rsidRPr="00540E9B">
        <w:rPr>
          <w:rFonts w:ascii="Times New Roman" w:hAnsi="Times New Roman"/>
          <w:sz w:val="20"/>
          <w:szCs w:val="20"/>
        </w:rPr>
        <w:t xml:space="preserve"> for the electrooxidation of 0.5 M glycerol using 0.5M NaOH as an electrolyte scan rate of 50 mV/s</w:t>
      </w:r>
    </w:p>
    <w:p w:rsidR="00AC0033" w:rsidRDefault="00AC0033" w:rsidP="00540E9B">
      <w:pPr>
        <w:spacing w:after="0" w:line="240" w:lineRule="auto"/>
        <w:jc w:val="center"/>
        <w:rPr>
          <w:rFonts w:ascii="Times New Roman" w:hAnsi="Times New Roman"/>
          <w:noProof/>
          <w:sz w:val="20"/>
          <w:szCs w:val="20"/>
          <w:lang w:bidi="ar-SA"/>
        </w:rPr>
      </w:pPr>
    </w:p>
    <w:p w:rsidR="00827BDA" w:rsidRPr="00F447A7" w:rsidRDefault="00827BDA" w:rsidP="00540E9B">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827BDA" w:rsidRPr="00827BDA" w:rsidRDefault="00827BDA" w:rsidP="00827BDA">
      <w:pPr>
        <w:spacing w:after="0" w:line="240" w:lineRule="auto"/>
        <w:jc w:val="both"/>
        <w:rPr>
          <w:rFonts w:ascii="Times New Roman" w:hAnsi="Times New Roman"/>
          <w:color w:val="FF0000"/>
          <w:sz w:val="20"/>
          <w:szCs w:val="20"/>
        </w:rPr>
      </w:pPr>
      <w:r w:rsidRPr="00827BDA">
        <w:rPr>
          <w:rFonts w:ascii="Times New Roman" w:hAnsi="Times New Roman"/>
          <w:sz w:val="20"/>
          <w:szCs w:val="20"/>
        </w:rPr>
        <w:t>In summary, the two types of catalysts, namely Pd</w:t>
      </w:r>
      <w:r w:rsidRPr="00827BDA">
        <w:rPr>
          <w:rFonts w:ascii="Times New Roman" w:hAnsi="Times New Roman"/>
          <w:sz w:val="20"/>
          <w:szCs w:val="20"/>
          <w:vertAlign w:val="subscript"/>
        </w:rPr>
        <w:t>2</w:t>
      </w:r>
      <w:r w:rsidRPr="00827BDA">
        <w:rPr>
          <w:rFonts w:ascii="Times New Roman" w:hAnsi="Times New Roman"/>
          <w:sz w:val="20"/>
          <w:szCs w:val="20"/>
        </w:rPr>
        <w:t>Au</w:t>
      </w:r>
      <w:r w:rsidRPr="00827BDA">
        <w:rPr>
          <w:rFonts w:ascii="Times New Roman" w:hAnsi="Times New Roman"/>
          <w:sz w:val="20"/>
          <w:szCs w:val="20"/>
          <w:vertAlign w:val="subscript"/>
        </w:rPr>
        <w:t>1</w:t>
      </w:r>
      <w:r w:rsidRPr="00827BDA">
        <w:rPr>
          <w:rFonts w:ascii="Times New Roman" w:hAnsi="Times New Roman"/>
          <w:sz w:val="20"/>
          <w:szCs w:val="20"/>
        </w:rPr>
        <w:t xml:space="preserve"> and Pd</w:t>
      </w:r>
      <w:r w:rsidRPr="00827BDA">
        <w:rPr>
          <w:rFonts w:ascii="Times New Roman" w:hAnsi="Times New Roman"/>
          <w:sz w:val="20"/>
          <w:szCs w:val="20"/>
          <w:vertAlign w:val="subscript"/>
        </w:rPr>
        <w:t>4</w:t>
      </w:r>
      <w:r w:rsidRPr="00827BDA">
        <w:rPr>
          <w:rFonts w:ascii="Times New Roman" w:hAnsi="Times New Roman"/>
          <w:sz w:val="20"/>
          <w:szCs w:val="20"/>
        </w:rPr>
        <w:t>Au</w:t>
      </w:r>
      <w:r w:rsidRPr="00827BDA">
        <w:rPr>
          <w:rFonts w:ascii="Times New Roman" w:hAnsi="Times New Roman"/>
          <w:sz w:val="20"/>
          <w:szCs w:val="20"/>
          <w:vertAlign w:val="subscript"/>
        </w:rPr>
        <w:t>1</w:t>
      </w:r>
      <w:r w:rsidRPr="00827BDA">
        <w:rPr>
          <w:rFonts w:ascii="Times New Roman" w:hAnsi="Times New Roman"/>
          <w:sz w:val="20"/>
          <w:szCs w:val="20"/>
        </w:rPr>
        <w:t xml:space="preserve"> have been successfully synthesised by the reduction method. XRD data clearly showed the presence of bimetallic Pd</w:t>
      </w:r>
      <w:r w:rsidRPr="00827BDA">
        <w:rPr>
          <w:rFonts w:ascii="Times New Roman" w:hAnsi="Times New Roman"/>
          <w:sz w:val="20"/>
          <w:szCs w:val="20"/>
          <w:vertAlign w:val="subscript"/>
        </w:rPr>
        <w:t>2</w:t>
      </w:r>
      <w:r w:rsidRPr="00827BDA">
        <w:rPr>
          <w:rFonts w:ascii="Times New Roman" w:hAnsi="Times New Roman"/>
          <w:sz w:val="20"/>
          <w:szCs w:val="20"/>
        </w:rPr>
        <w:t>Au</w:t>
      </w:r>
      <w:r w:rsidRPr="00827BDA">
        <w:rPr>
          <w:rFonts w:ascii="Times New Roman" w:hAnsi="Times New Roman"/>
          <w:sz w:val="20"/>
          <w:szCs w:val="20"/>
          <w:vertAlign w:val="subscript"/>
        </w:rPr>
        <w:t>1</w:t>
      </w:r>
      <w:r w:rsidRPr="00827BDA">
        <w:rPr>
          <w:rFonts w:ascii="Times New Roman" w:hAnsi="Times New Roman"/>
          <w:sz w:val="20"/>
          <w:szCs w:val="20"/>
        </w:rPr>
        <w:t xml:space="preserve"> and Pd</w:t>
      </w:r>
      <w:r w:rsidRPr="00827BDA">
        <w:rPr>
          <w:rFonts w:ascii="Times New Roman" w:hAnsi="Times New Roman"/>
          <w:sz w:val="20"/>
          <w:szCs w:val="20"/>
          <w:vertAlign w:val="subscript"/>
        </w:rPr>
        <w:t>4</w:t>
      </w:r>
      <w:r w:rsidRPr="00827BDA">
        <w:rPr>
          <w:rFonts w:ascii="Times New Roman" w:hAnsi="Times New Roman"/>
          <w:sz w:val="20"/>
          <w:szCs w:val="20"/>
        </w:rPr>
        <w:t>Au</w:t>
      </w:r>
      <w:r w:rsidRPr="00827BDA">
        <w:rPr>
          <w:rFonts w:ascii="Times New Roman" w:hAnsi="Times New Roman"/>
          <w:sz w:val="20"/>
          <w:szCs w:val="20"/>
          <w:vertAlign w:val="subscript"/>
        </w:rPr>
        <w:t>1</w:t>
      </w:r>
      <w:r w:rsidRPr="00827BDA">
        <w:rPr>
          <w:rFonts w:ascii="Times New Roman" w:hAnsi="Times New Roman"/>
          <w:sz w:val="20"/>
          <w:szCs w:val="20"/>
        </w:rPr>
        <w:t xml:space="preserve"> catalysts. These two bimetallic catalysts were compared with each other for the electrooxidation of glycerol in alkaline media. The incorporation of a second metal which is Au modified the electronic configuration of the Pd catalyst which enhanced the activity towards glycerol oxidation. The CV results exhibited that Pd</w:t>
      </w:r>
      <w:r w:rsidRPr="00827BDA">
        <w:rPr>
          <w:rFonts w:ascii="Times New Roman" w:hAnsi="Times New Roman"/>
          <w:sz w:val="20"/>
          <w:szCs w:val="20"/>
          <w:vertAlign w:val="subscript"/>
        </w:rPr>
        <w:t>2</w:t>
      </w:r>
      <w:r w:rsidRPr="00827BDA">
        <w:rPr>
          <w:rFonts w:ascii="Times New Roman" w:hAnsi="Times New Roman"/>
          <w:sz w:val="20"/>
          <w:szCs w:val="20"/>
        </w:rPr>
        <w:t>Au</w:t>
      </w:r>
      <w:r w:rsidRPr="00827BDA">
        <w:rPr>
          <w:rFonts w:ascii="Times New Roman" w:hAnsi="Times New Roman"/>
          <w:sz w:val="20"/>
          <w:szCs w:val="20"/>
          <w:vertAlign w:val="subscript"/>
        </w:rPr>
        <w:t>1</w:t>
      </w:r>
      <w:r w:rsidRPr="00827BDA">
        <w:rPr>
          <w:rFonts w:ascii="Times New Roman" w:hAnsi="Times New Roman"/>
          <w:sz w:val="20"/>
          <w:szCs w:val="20"/>
        </w:rPr>
        <w:t xml:space="preserve"> catalyst showed excellent catalytic activity and high stability for glycerol oxidation compared to Pd</w:t>
      </w:r>
      <w:r w:rsidRPr="00827BDA">
        <w:rPr>
          <w:rFonts w:ascii="Times New Roman" w:hAnsi="Times New Roman"/>
          <w:sz w:val="20"/>
          <w:szCs w:val="20"/>
          <w:vertAlign w:val="subscript"/>
        </w:rPr>
        <w:t>4</w:t>
      </w:r>
      <w:r w:rsidRPr="00827BDA">
        <w:rPr>
          <w:rFonts w:ascii="Times New Roman" w:hAnsi="Times New Roman"/>
          <w:sz w:val="20"/>
          <w:szCs w:val="20"/>
        </w:rPr>
        <w:t>Au</w:t>
      </w:r>
      <w:r w:rsidRPr="00827BDA">
        <w:rPr>
          <w:rFonts w:ascii="Times New Roman" w:hAnsi="Times New Roman"/>
          <w:sz w:val="20"/>
          <w:szCs w:val="20"/>
          <w:vertAlign w:val="subscript"/>
        </w:rPr>
        <w:t xml:space="preserve">1 </w:t>
      </w:r>
      <w:r w:rsidRPr="00827BDA">
        <w:rPr>
          <w:rFonts w:ascii="Times New Roman" w:hAnsi="Times New Roman"/>
          <w:sz w:val="20"/>
          <w:szCs w:val="20"/>
        </w:rPr>
        <w:t>catalyst. Besides that, it could be observed that the onset potential for glycerol oxidation for Pd</w:t>
      </w:r>
      <w:r w:rsidRPr="00827BDA">
        <w:rPr>
          <w:rFonts w:ascii="Times New Roman" w:hAnsi="Times New Roman"/>
          <w:sz w:val="20"/>
          <w:szCs w:val="20"/>
          <w:vertAlign w:val="subscript"/>
        </w:rPr>
        <w:t>2</w:t>
      </w:r>
      <w:r w:rsidRPr="00827BDA">
        <w:rPr>
          <w:rFonts w:ascii="Times New Roman" w:hAnsi="Times New Roman"/>
          <w:sz w:val="20"/>
          <w:szCs w:val="20"/>
        </w:rPr>
        <w:t>Au</w:t>
      </w:r>
      <w:r w:rsidRPr="00827BDA">
        <w:rPr>
          <w:rFonts w:ascii="Times New Roman" w:hAnsi="Times New Roman"/>
          <w:sz w:val="20"/>
          <w:szCs w:val="20"/>
          <w:vertAlign w:val="subscript"/>
        </w:rPr>
        <w:t>1</w:t>
      </w:r>
      <w:r w:rsidRPr="00827BDA">
        <w:rPr>
          <w:rFonts w:ascii="Times New Roman" w:hAnsi="Times New Roman"/>
          <w:sz w:val="20"/>
          <w:szCs w:val="20"/>
        </w:rPr>
        <w:t xml:space="preserve"> was more negative than Pd</w:t>
      </w:r>
      <w:r w:rsidRPr="00827BDA">
        <w:rPr>
          <w:rFonts w:ascii="Times New Roman" w:hAnsi="Times New Roman"/>
          <w:sz w:val="20"/>
          <w:szCs w:val="20"/>
          <w:vertAlign w:val="subscript"/>
        </w:rPr>
        <w:t>4</w:t>
      </w:r>
      <w:r w:rsidRPr="00827BDA">
        <w:rPr>
          <w:rFonts w:ascii="Times New Roman" w:hAnsi="Times New Roman"/>
          <w:sz w:val="20"/>
          <w:szCs w:val="20"/>
        </w:rPr>
        <w:t>Au</w:t>
      </w:r>
      <w:r w:rsidRPr="00827BDA">
        <w:rPr>
          <w:rFonts w:ascii="Times New Roman" w:hAnsi="Times New Roman"/>
          <w:sz w:val="20"/>
          <w:szCs w:val="20"/>
          <w:vertAlign w:val="subscript"/>
        </w:rPr>
        <w:t>1</w:t>
      </w:r>
      <w:r w:rsidRPr="00827BDA">
        <w:rPr>
          <w:rFonts w:ascii="Times New Roman" w:hAnsi="Times New Roman"/>
          <w:sz w:val="20"/>
          <w:szCs w:val="20"/>
        </w:rPr>
        <w:t xml:space="preserve"> which was </w:t>
      </w:r>
      <w:r w:rsidRPr="00827BDA">
        <w:rPr>
          <w:rFonts w:ascii="Times New Roman" w:hAnsi="Times New Roman"/>
          <w:sz w:val="20"/>
          <w:szCs w:val="20"/>
        </w:rPr>
        <w:lastRenderedPageBreak/>
        <w:t>attributed to the reaction that occurred faster. This means the improvement was strongly dependent on the composition (atomic Pd/Au ratio) of the catalysts. In addition, the I</w:t>
      </w:r>
      <w:r w:rsidRPr="00827BDA">
        <w:rPr>
          <w:rFonts w:ascii="Times New Roman" w:hAnsi="Times New Roman"/>
          <w:sz w:val="20"/>
          <w:szCs w:val="20"/>
          <w:vertAlign w:val="subscript"/>
        </w:rPr>
        <w:t>f</w:t>
      </w:r>
      <w:r w:rsidRPr="00827BDA">
        <w:rPr>
          <w:rFonts w:ascii="Times New Roman" w:hAnsi="Times New Roman"/>
          <w:sz w:val="20"/>
          <w:szCs w:val="20"/>
        </w:rPr>
        <w:t>/I</w:t>
      </w:r>
      <w:r w:rsidRPr="00827BDA">
        <w:rPr>
          <w:rFonts w:ascii="Times New Roman" w:hAnsi="Times New Roman"/>
          <w:sz w:val="20"/>
          <w:szCs w:val="20"/>
          <w:vertAlign w:val="subscript"/>
        </w:rPr>
        <w:t xml:space="preserve">b </w:t>
      </w:r>
      <w:r w:rsidRPr="00827BDA">
        <w:rPr>
          <w:rFonts w:ascii="Times New Roman" w:hAnsi="Times New Roman"/>
          <w:sz w:val="20"/>
          <w:szCs w:val="20"/>
        </w:rPr>
        <w:t>ratio which reflected poisoning species for the oxidation of glycerol showed that bimetallic Pd</w:t>
      </w:r>
      <w:r w:rsidRPr="00827BDA">
        <w:rPr>
          <w:rFonts w:ascii="Times New Roman" w:hAnsi="Times New Roman"/>
          <w:sz w:val="20"/>
          <w:szCs w:val="20"/>
          <w:vertAlign w:val="subscript"/>
        </w:rPr>
        <w:t>2</w:t>
      </w:r>
      <w:r w:rsidRPr="00827BDA">
        <w:rPr>
          <w:rFonts w:ascii="Times New Roman" w:hAnsi="Times New Roman"/>
          <w:sz w:val="20"/>
          <w:szCs w:val="20"/>
        </w:rPr>
        <w:t>Au</w:t>
      </w:r>
      <w:r w:rsidRPr="00827BDA">
        <w:rPr>
          <w:rFonts w:ascii="Times New Roman" w:hAnsi="Times New Roman"/>
          <w:sz w:val="20"/>
          <w:szCs w:val="20"/>
          <w:vertAlign w:val="subscript"/>
        </w:rPr>
        <w:t>1</w:t>
      </w:r>
      <w:r w:rsidRPr="00827BDA">
        <w:rPr>
          <w:rFonts w:ascii="Times New Roman" w:hAnsi="Times New Roman"/>
          <w:sz w:val="20"/>
          <w:szCs w:val="20"/>
        </w:rPr>
        <w:t xml:space="preserve"> again had higher ratio value which means bimetallic catalyst has a higher tolerance to the poisoning species. The obtained results confirmed the catalytic activity is affected by the presence of bimetallic active phase. The synthesis method for the development of Pd and Au bimetallic catalysts could be extended to other compositions in order to improve the catalytic activity of the catalysts and in the meantime minimise the utilisation of the noble metals. </w:t>
      </w:r>
    </w:p>
    <w:p w:rsidR="00827BDA" w:rsidRPr="00827BDA" w:rsidRDefault="00827BDA" w:rsidP="00827BDA">
      <w:pPr>
        <w:spacing w:after="0" w:line="240" w:lineRule="auto"/>
        <w:jc w:val="center"/>
        <w:rPr>
          <w:rFonts w:ascii="Times New Roman" w:hAnsi="Times New Roman"/>
          <w:sz w:val="20"/>
          <w:szCs w:val="20"/>
        </w:rPr>
      </w:pPr>
      <w:r w:rsidRPr="00827BDA">
        <w:rPr>
          <w:rFonts w:ascii="Times New Roman" w:hAnsi="Times New Roman"/>
          <w:sz w:val="20"/>
          <w:szCs w:val="20"/>
        </w:rPr>
        <w:t>.</w:t>
      </w:r>
    </w:p>
    <w:p w:rsidR="00827BDA" w:rsidRPr="00827BDA" w:rsidRDefault="00827BDA" w:rsidP="00827BDA">
      <w:pPr>
        <w:spacing w:after="0" w:line="240" w:lineRule="auto"/>
        <w:jc w:val="center"/>
        <w:rPr>
          <w:rFonts w:ascii="Times New Roman" w:hAnsi="Times New Roman"/>
          <w:sz w:val="20"/>
          <w:szCs w:val="20"/>
        </w:rPr>
      </w:pPr>
      <w:r w:rsidRPr="00827BDA">
        <w:rPr>
          <w:rFonts w:ascii="Times New Roman" w:hAnsi="Times New Roman"/>
          <w:b/>
          <w:sz w:val="20"/>
          <w:szCs w:val="20"/>
        </w:rPr>
        <w:t>Acknowledgements</w:t>
      </w:r>
    </w:p>
    <w:p w:rsidR="00827BDA" w:rsidRPr="00827BDA" w:rsidRDefault="00827BDA" w:rsidP="00827BDA">
      <w:pPr>
        <w:spacing w:after="0" w:line="240" w:lineRule="auto"/>
        <w:jc w:val="both"/>
        <w:rPr>
          <w:rFonts w:ascii="Times New Roman" w:hAnsi="Times New Roman"/>
          <w:sz w:val="20"/>
          <w:szCs w:val="20"/>
        </w:rPr>
      </w:pPr>
      <w:r w:rsidRPr="00827BDA">
        <w:rPr>
          <w:rFonts w:ascii="Times New Roman" w:hAnsi="Times New Roman"/>
          <w:sz w:val="20"/>
          <w:szCs w:val="20"/>
        </w:rPr>
        <w:t>The authors gratefully acknowledge the financial support given for this work by the Universiti Kebangsaan Malaysia (UKM) under DIP-2015-002 and Ministry of Education (MOE) under GSP/1/2015/TK01/UKM/01/1.</w:t>
      </w:r>
    </w:p>
    <w:p w:rsidR="00AC0033" w:rsidRPr="00F447A7" w:rsidRDefault="00AC0033" w:rsidP="00AC0033">
      <w:pPr>
        <w:spacing w:after="0" w:line="240" w:lineRule="auto"/>
        <w:jc w:val="center"/>
        <w:rPr>
          <w:rFonts w:ascii="Times New Roman" w:hAnsi="Times New Roman"/>
          <w:noProof/>
          <w:sz w:val="20"/>
          <w:szCs w:val="20"/>
          <w:lang w:bidi="ar-SA"/>
        </w:rPr>
      </w:pPr>
    </w:p>
    <w:p w:rsidR="00AC0033" w:rsidRPr="00F447A7" w:rsidRDefault="00AC0033" w:rsidP="00AC0033">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Kamarudin, M. Z. F., Kamarudin, S. K., Masdar, M. S. and Daud, W. R. W. (2013). Review: Direct ethanol fuel cells. </w:t>
      </w:r>
      <w:r w:rsidRPr="00827BDA">
        <w:rPr>
          <w:rFonts w:ascii="Times New Roman" w:hAnsi="Times New Roman"/>
          <w:i/>
          <w:sz w:val="20"/>
          <w:szCs w:val="20"/>
        </w:rPr>
        <w:t>International Journal of Hydrogen Energy</w:t>
      </w:r>
      <w:r w:rsidRPr="00827BDA">
        <w:rPr>
          <w:rFonts w:ascii="Times New Roman" w:hAnsi="Times New Roman"/>
          <w:sz w:val="20"/>
          <w:szCs w:val="20"/>
        </w:rPr>
        <w:t>,  38(22): 9438–9453.</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Zainoodin, A. M., Kamarudin, S. K., Masdar, M. S., Daud, W. R. W., Mohamad, A. B. and Sahari, J. (2014). High power direct methanol fuel cell with a porous carbon nanofiber anode layer. </w:t>
      </w:r>
      <w:r w:rsidRPr="00827BDA">
        <w:rPr>
          <w:rFonts w:ascii="Times New Roman" w:hAnsi="Times New Roman"/>
          <w:i/>
          <w:sz w:val="20"/>
          <w:szCs w:val="20"/>
        </w:rPr>
        <w:t>Applied Energ</w:t>
      </w:r>
      <w:r w:rsidRPr="00827BDA">
        <w:rPr>
          <w:rFonts w:ascii="Times New Roman" w:hAnsi="Times New Roman"/>
          <w:sz w:val="20"/>
          <w:szCs w:val="20"/>
        </w:rPr>
        <w:t>y, 113: 946–954.</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Bambagioni, V.,  Bianchini, C., Marchionni, A., Filippi, J., Vizza, F., Teddy, J., Serp, P. and Zhiani, M. (2009). Pd and Pt-Ru anode electrocatalysts supported on multi-walled carbon nanotubes and their use in passive and active direct alcohol fuel cells with an anion-exchange membrane (alcohol = methanol, ethanol, glycerol). </w:t>
      </w:r>
      <w:r w:rsidRPr="00827BDA">
        <w:rPr>
          <w:rFonts w:ascii="Times New Roman" w:hAnsi="Times New Roman"/>
          <w:i/>
          <w:sz w:val="20"/>
          <w:szCs w:val="20"/>
        </w:rPr>
        <w:t>Journal of Power Sources</w:t>
      </w:r>
      <w:r w:rsidRPr="00827BDA">
        <w:rPr>
          <w:rFonts w:ascii="Times New Roman" w:hAnsi="Times New Roman"/>
          <w:sz w:val="20"/>
          <w:szCs w:val="20"/>
        </w:rPr>
        <w:t xml:space="preserve">, 190(2):241-251. </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Thiam, H. S., Daud, W. R. W., Kamarudin, S. K., Mohammad, A. B., Kadhum, A. A. H., Loh, K. S., and Majlan, E. H. (2011). Overview on nanostructured membrane in fuel cell applications. </w:t>
      </w:r>
      <w:r w:rsidRPr="00827BDA">
        <w:rPr>
          <w:rFonts w:ascii="Times New Roman" w:hAnsi="Times New Roman"/>
          <w:i/>
          <w:sz w:val="20"/>
          <w:szCs w:val="20"/>
        </w:rPr>
        <w:t>International Journal of Hydrogen Energy</w:t>
      </w:r>
      <w:r w:rsidRPr="00827BDA">
        <w:rPr>
          <w:rFonts w:ascii="Times New Roman" w:hAnsi="Times New Roman"/>
          <w:sz w:val="20"/>
          <w:szCs w:val="20"/>
        </w:rPr>
        <w:t xml:space="preserve">, 36(4):3187–3205. </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Basri, S., Kamarudin, S. K., Daud, W. R. W. and Yaakub, Z. (2010). Nanocatalyst for direct methanol fuel cell (DMFC). </w:t>
      </w:r>
      <w:r w:rsidRPr="00827BDA">
        <w:rPr>
          <w:rFonts w:ascii="Times New Roman" w:hAnsi="Times New Roman"/>
          <w:i/>
          <w:sz w:val="20"/>
          <w:szCs w:val="20"/>
        </w:rPr>
        <w:t>International Journal of Hydrogen Energy</w:t>
      </w:r>
      <w:r w:rsidRPr="00827BDA">
        <w:rPr>
          <w:rFonts w:ascii="Times New Roman" w:hAnsi="Times New Roman"/>
          <w:sz w:val="20"/>
          <w:szCs w:val="20"/>
        </w:rPr>
        <w:t>, 35(15): 7957–7970.</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Zhiani, M., Rostami, H., Majidi, S., and Karami, K. (2013). Bis (dibenzylidene acetone) palladium (0) catalyst for glycerol oxidation in half cell and in alkaline direct glycerol fuel cell. </w:t>
      </w:r>
      <w:r w:rsidRPr="00827BDA">
        <w:rPr>
          <w:rFonts w:ascii="Times New Roman" w:hAnsi="Times New Roman"/>
          <w:i/>
          <w:sz w:val="20"/>
          <w:szCs w:val="20"/>
        </w:rPr>
        <w:t>International Journal of  Hydrogen Energy,</w:t>
      </w:r>
      <w:r w:rsidRPr="00827BDA">
        <w:rPr>
          <w:rFonts w:ascii="Times New Roman" w:hAnsi="Times New Roman"/>
          <w:sz w:val="20"/>
          <w:szCs w:val="20"/>
        </w:rPr>
        <w:t xml:space="preserve"> 38(13):5435–5441.</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Habibi, E. and Razmi, H. (2012). Glycerol electrooxidation on Pd, Pt and Au nanoparticles supported on carbon ceramic electrode in alkaline media. </w:t>
      </w:r>
      <w:r w:rsidRPr="00827BDA">
        <w:rPr>
          <w:rFonts w:ascii="Times New Roman" w:hAnsi="Times New Roman"/>
          <w:i/>
          <w:sz w:val="20"/>
          <w:szCs w:val="20"/>
        </w:rPr>
        <w:t>International Journal of Hydrogen Energy,</w:t>
      </w:r>
      <w:r w:rsidRPr="00827BDA">
        <w:rPr>
          <w:rFonts w:ascii="Times New Roman" w:hAnsi="Times New Roman"/>
          <w:sz w:val="20"/>
          <w:szCs w:val="20"/>
        </w:rPr>
        <w:t xml:space="preserve"> 37(22): 16800–16809. </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Yang, F., Hanna, M. A. and Sun, R. (2014). Value-added uses for crude glycerol-a byproduct of biodiesel production. </w:t>
      </w:r>
      <w:r w:rsidRPr="00827BDA">
        <w:rPr>
          <w:rFonts w:ascii="Times New Roman" w:hAnsi="Times New Roman"/>
          <w:i/>
          <w:sz w:val="20"/>
          <w:szCs w:val="20"/>
        </w:rPr>
        <w:t>Biotechnology for Biofuels</w:t>
      </w:r>
      <w:r w:rsidRPr="00827BDA">
        <w:rPr>
          <w:rFonts w:ascii="Times New Roman" w:hAnsi="Times New Roman"/>
          <w:sz w:val="20"/>
          <w:szCs w:val="20"/>
        </w:rPr>
        <w:t>, 5: 13.</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Li, S. S., Hu, Y. Y., Feng, J. J., Lv, Z. Y., Chen, J. R., and  Wang, A. J. (2014). Rapid room-temperature synthesis of Pd nanodendrites on reduced graphene oxide for catalytic oxidation of ethylene glycol and glycerol. </w:t>
      </w:r>
      <w:r w:rsidRPr="00827BDA">
        <w:rPr>
          <w:rFonts w:ascii="Times New Roman" w:hAnsi="Times New Roman"/>
          <w:i/>
          <w:sz w:val="20"/>
          <w:szCs w:val="20"/>
        </w:rPr>
        <w:t>International Journal of Hydrogen Energy</w:t>
      </w:r>
      <w:r w:rsidRPr="00827BDA">
        <w:rPr>
          <w:rFonts w:ascii="Times New Roman" w:hAnsi="Times New Roman"/>
          <w:sz w:val="20"/>
          <w:szCs w:val="20"/>
        </w:rPr>
        <w:t>, 39(8): 3730–3738.</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Bagheri, S., Julkapli, N. M. and Yehye, W. A. (2014). Catalytic conversion of biodiesel derived raw glycerol to value added products. </w:t>
      </w:r>
      <w:r w:rsidRPr="00827BDA">
        <w:rPr>
          <w:rFonts w:ascii="Times New Roman" w:hAnsi="Times New Roman"/>
          <w:i/>
          <w:sz w:val="20"/>
          <w:szCs w:val="20"/>
        </w:rPr>
        <w:t>Renewable and Sustainable Energy Reviews</w:t>
      </w:r>
      <w:r w:rsidRPr="00827BDA">
        <w:rPr>
          <w:rFonts w:ascii="Times New Roman" w:hAnsi="Times New Roman"/>
          <w:sz w:val="20"/>
          <w:szCs w:val="20"/>
        </w:rPr>
        <w:t>, 41: 113–127.</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Pagliaro, M., Ciriminna, R., Kimura, H., Rossi, M. and Della, Pina C. (2007). From glycerol to value-added products. </w:t>
      </w:r>
      <w:r w:rsidRPr="00827BDA">
        <w:rPr>
          <w:rFonts w:ascii="Times New Roman" w:hAnsi="Times New Roman"/>
          <w:i/>
          <w:sz w:val="20"/>
          <w:szCs w:val="20"/>
        </w:rPr>
        <w:t>Angewandte Chemie - International Edition</w:t>
      </w:r>
      <w:r w:rsidRPr="00827BDA">
        <w:rPr>
          <w:rFonts w:ascii="Times New Roman" w:hAnsi="Times New Roman"/>
          <w:sz w:val="20"/>
          <w:szCs w:val="20"/>
        </w:rPr>
        <w:t>, 46(24): 4434–4440.</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Liu, J. (2017). High performance platinum single atom electrocatalyst for oxygen reduction reaction. </w:t>
      </w:r>
      <w:r w:rsidRPr="00827BDA">
        <w:rPr>
          <w:rFonts w:ascii="Times New Roman" w:hAnsi="Times New Roman"/>
          <w:i/>
          <w:sz w:val="20"/>
          <w:szCs w:val="20"/>
        </w:rPr>
        <w:t>Nature Communications</w:t>
      </w:r>
      <w:r w:rsidRPr="00827BDA">
        <w:rPr>
          <w:rFonts w:ascii="Times New Roman" w:hAnsi="Times New Roman"/>
          <w:sz w:val="20"/>
          <w:szCs w:val="20"/>
        </w:rPr>
        <w:t>, 8: 15938.</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Newton, M. A., Ferri, D., Smolentsev, G., Marchionni, V. and Nachtegaal, M. (2015). Room-temperature carbon monoxide oxidation by oxygen over Pt/Al</w:t>
      </w:r>
      <w:r w:rsidRPr="00827BDA">
        <w:rPr>
          <w:rFonts w:ascii="Times New Roman" w:hAnsi="Times New Roman"/>
          <w:sz w:val="20"/>
          <w:szCs w:val="20"/>
          <w:vertAlign w:val="subscript"/>
        </w:rPr>
        <w:t>2</w:t>
      </w:r>
      <w:r w:rsidRPr="00827BDA">
        <w:rPr>
          <w:rFonts w:ascii="Times New Roman" w:hAnsi="Times New Roman"/>
          <w:sz w:val="20"/>
          <w:szCs w:val="20"/>
        </w:rPr>
        <w:t>O</w:t>
      </w:r>
      <w:r w:rsidRPr="00827BDA">
        <w:rPr>
          <w:rFonts w:ascii="Times New Roman" w:hAnsi="Times New Roman"/>
          <w:sz w:val="20"/>
          <w:szCs w:val="20"/>
          <w:vertAlign w:val="subscript"/>
        </w:rPr>
        <w:t>3</w:t>
      </w:r>
      <w:r w:rsidRPr="00827BDA">
        <w:rPr>
          <w:rFonts w:ascii="Times New Roman" w:hAnsi="Times New Roman"/>
          <w:sz w:val="20"/>
          <w:szCs w:val="20"/>
        </w:rPr>
        <w:t xml:space="preserve"> mediated by reactive platinum carbonates. </w:t>
      </w:r>
      <w:r w:rsidRPr="00827BDA">
        <w:rPr>
          <w:rFonts w:ascii="Times New Roman" w:hAnsi="Times New Roman"/>
          <w:i/>
          <w:sz w:val="20"/>
          <w:szCs w:val="20"/>
        </w:rPr>
        <w:t>Nature Communications</w:t>
      </w:r>
      <w:r w:rsidRPr="00827BDA">
        <w:rPr>
          <w:rFonts w:ascii="Times New Roman" w:hAnsi="Times New Roman"/>
          <w:sz w:val="20"/>
          <w:szCs w:val="20"/>
        </w:rPr>
        <w:t>, 6: 1–7.</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Ruvinsky, P. S., Pronkin, S. N., Zaikovskii, V. I., Bernhardt, P. and Savinova, E. R. (2008). On the enhanced electrocatalytic activity of Pd overlayers on carbon-supported gold particles in hydrogen electrooxidation. </w:t>
      </w:r>
      <w:r w:rsidRPr="00827BDA">
        <w:rPr>
          <w:rFonts w:ascii="Times New Roman" w:hAnsi="Times New Roman"/>
          <w:i/>
          <w:sz w:val="20"/>
          <w:szCs w:val="20"/>
        </w:rPr>
        <w:t>Physical Chemistry Chemical Physics</w:t>
      </w:r>
      <w:r w:rsidRPr="00827BDA">
        <w:rPr>
          <w:rFonts w:ascii="Times New Roman" w:hAnsi="Times New Roman"/>
          <w:sz w:val="20"/>
          <w:szCs w:val="20"/>
        </w:rPr>
        <w:t>, 10(44): 6665–6676.</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Meng, H., Zeng, D. and Xie, F. (2015). Recent development of Pd-based electrocatalysts for proton exchange membrane fuel cells. </w:t>
      </w:r>
      <w:r w:rsidRPr="00827BDA">
        <w:rPr>
          <w:rFonts w:ascii="Times New Roman" w:hAnsi="Times New Roman"/>
          <w:i/>
          <w:sz w:val="20"/>
          <w:szCs w:val="20"/>
        </w:rPr>
        <w:t>Catalysts</w:t>
      </w:r>
      <w:r w:rsidRPr="00827BDA">
        <w:rPr>
          <w:rFonts w:ascii="Times New Roman" w:hAnsi="Times New Roman"/>
          <w:sz w:val="20"/>
          <w:szCs w:val="20"/>
        </w:rPr>
        <w:t>, 5(3): 1221–1274.</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Niu, Z. and Li, Y. (2014). Removal and utilization of capping agents in nanocatalysis. </w:t>
      </w:r>
      <w:r w:rsidRPr="00827BDA">
        <w:rPr>
          <w:rFonts w:ascii="Times New Roman" w:hAnsi="Times New Roman"/>
          <w:i/>
          <w:sz w:val="20"/>
          <w:szCs w:val="20"/>
        </w:rPr>
        <w:t>Chemistry of Materials</w:t>
      </w:r>
      <w:r w:rsidRPr="00827BDA">
        <w:rPr>
          <w:rFonts w:ascii="Times New Roman" w:hAnsi="Times New Roman"/>
          <w:sz w:val="20"/>
          <w:szCs w:val="20"/>
        </w:rPr>
        <w:t>, 26(1): 72–83.</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lastRenderedPageBreak/>
        <w:t xml:space="preserve">Qin, Y. H., Jia, Y. B., Jiang, Y., Niu, D. F., Zhang, X. S., Zhou, X. G., Niu, Li. and Yuan, W. K. (2012). Controllable synthesis of carbon nanofiber supported Pd catalyst for formic acid electrooxidation. </w:t>
      </w:r>
      <w:r w:rsidRPr="00827BDA">
        <w:rPr>
          <w:rFonts w:ascii="Times New Roman" w:hAnsi="Times New Roman"/>
          <w:i/>
          <w:sz w:val="20"/>
          <w:szCs w:val="20"/>
        </w:rPr>
        <w:t>International Journal of Hydrogen Energy</w:t>
      </w:r>
      <w:r w:rsidRPr="00827BDA">
        <w:rPr>
          <w:rFonts w:ascii="Times New Roman" w:hAnsi="Times New Roman"/>
          <w:sz w:val="20"/>
          <w:szCs w:val="20"/>
        </w:rPr>
        <w:t>, 37(9): 7373-7377.</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Marshall, A. T., Golovko, V. and Padayachee, D. (2015). Influence of gold nanoparticle loading in Au/C on the activity towards electrocatalytic glycerol oxidation. </w:t>
      </w:r>
      <w:r w:rsidRPr="00827BDA">
        <w:rPr>
          <w:rFonts w:ascii="Times New Roman" w:hAnsi="Times New Roman"/>
          <w:i/>
          <w:sz w:val="20"/>
          <w:szCs w:val="20"/>
        </w:rPr>
        <w:t>Electrochimica Acta</w:t>
      </w:r>
      <w:r w:rsidRPr="00827BDA">
        <w:rPr>
          <w:rFonts w:ascii="Times New Roman" w:hAnsi="Times New Roman"/>
          <w:sz w:val="20"/>
          <w:szCs w:val="20"/>
        </w:rPr>
        <w:t>, 153: 370–378.</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Yan, W., Tang, Z., Wang, L., Wang, Q., Yang, H. and Chen S. (2016). PdAu alloyed clusters supported by carbon nanosheets as efficient electrocatalysts for oxygen reduction. </w:t>
      </w:r>
      <w:r w:rsidRPr="00827BDA">
        <w:rPr>
          <w:rFonts w:ascii="Times New Roman" w:hAnsi="Times New Roman"/>
          <w:i/>
          <w:sz w:val="20"/>
          <w:szCs w:val="20"/>
        </w:rPr>
        <w:t>International Journal of Hydrogen Energy,</w:t>
      </w:r>
      <w:r w:rsidRPr="00827BDA">
        <w:rPr>
          <w:rFonts w:ascii="Times New Roman" w:hAnsi="Times New Roman"/>
          <w:sz w:val="20"/>
          <w:szCs w:val="20"/>
        </w:rPr>
        <w:t xml:space="preserve"> 42(1): 218-227.</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Wang, W., Kang, Y., Yang, Y., Liu, Y., Chai, D. and Lei Z. (2015). PdSn alloy supported on phenanthroline-functionalized carbon as highly active electrocatalysts for glycerol oxidation. </w:t>
      </w:r>
      <w:r w:rsidRPr="00827BDA">
        <w:rPr>
          <w:rFonts w:ascii="Times New Roman" w:hAnsi="Times New Roman"/>
          <w:i/>
          <w:sz w:val="20"/>
          <w:szCs w:val="20"/>
        </w:rPr>
        <w:t>International Journal of Hydrogen Energy,</w:t>
      </w:r>
      <w:r w:rsidRPr="00827BDA">
        <w:rPr>
          <w:rFonts w:ascii="Times New Roman" w:hAnsi="Times New Roman"/>
          <w:sz w:val="20"/>
          <w:szCs w:val="20"/>
        </w:rPr>
        <w:t xml:space="preserve"> 41(2): 1272–1280.</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Thottoli, A. K., Kaliani A. and Unni A. (2013). Effect of trisodium citrate concentration on the particle growth of ZnS nanoparticles. </w:t>
      </w:r>
      <w:r w:rsidRPr="00827BDA">
        <w:rPr>
          <w:rFonts w:ascii="Times New Roman" w:hAnsi="Times New Roman"/>
          <w:i/>
          <w:sz w:val="20"/>
          <w:szCs w:val="20"/>
        </w:rPr>
        <w:t>Journal of Nanostructure Chemistry</w:t>
      </w:r>
      <w:r w:rsidRPr="00827BDA">
        <w:rPr>
          <w:rFonts w:ascii="Times New Roman" w:hAnsi="Times New Roman"/>
          <w:sz w:val="20"/>
          <w:szCs w:val="20"/>
        </w:rPr>
        <w:t>, 3(1): 56.</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Chen Z., Wang, S., Lian, C., Liu, Y., Wang, D., and Chen, C. (2016). Nano PdAu bimetallic alloy as an effective catalyst for the Buchwald – Hartwig reaction. </w:t>
      </w:r>
      <w:r w:rsidRPr="00827BDA">
        <w:rPr>
          <w:rFonts w:ascii="Times New Roman" w:hAnsi="Times New Roman"/>
          <w:i/>
          <w:sz w:val="20"/>
          <w:szCs w:val="20"/>
        </w:rPr>
        <w:t>Asian Journal Communication</w:t>
      </w:r>
      <w:r w:rsidRPr="00827BDA">
        <w:rPr>
          <w:rFonts w:ascii="Times New Roman" w:hAnsi="Times New Roman"/>
          <w:sz w:val="20"/>
          <w:szCs w:val="20"/>
        </w:rPr>
        <w:t>, 351–355.</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Liang, Z. X., Zhao, T. S., Xu, J. B. and Zhu, L. D. (2009). Mechanism study of the ethanol oxidation reaction on palladium in alkaline media. </w:t>
      </w:r>
      <w:r w:rsidRPr="00827BDA">
        <w:rPr>
          <w:rFonts w:ascii="Times New Roman" w:hAnsi="Times New Roman"/>
          <w:i/>
          <w:sz w:val="20"/>
          <w:szCs w:val="20"/>
        </w:rPr>
        <w:t>Electrochimica Acta</w:t>
      </w:r>
      <w:r w:rsidRPr="00827BDA">
        <w:rPr>
          <w:rFonts w:ascii="Times New Roman" w:hAnsi="Times New Roman"/>
          <w:sz w:val="20"/>
          <w:szCs w:val="20"/>
        </w:rPr>
        <w:t>, 54(8): 2203–2208.</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Simões, M., Baranton, S. and Coutanceau, C. (2010). Electro-oxidation of glycerol at Pd based nano-catalysts for an application in alkaline fuel cells for chemicals and energy cogeneration. </w:t>
      </w:r>
      <w:r w:rsidRPr="00827BDA">
        <w:rPr>
          <w:rFonts w:ascii="Times New Roman" w:hAnsi="Times New Roman"/>
          <w:i/>
          <w:sz w:val="20"/>
          <w:szCs w:val="20"/>
        </w:rPr>
        <w:t>Applied Catalysis B: Environmental</w:t>
      </w:r>
      <w:r w:rsidRPr="00827BDA">
        <w:rPr>
          <w:rFonts w:ascii="Times New Roman" w:hAnsi="Times New Roman"/>
          <w:sz w:val="20"/>
          <w:szCs w:val="20"/>
        </w:rPr>
        <w:t>, 93: 354–362.</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Mahapatra, S. S. and Datta, J. (2011). Characterization of Pt-Pd/C electrocatalyst for methanol oxidation in alkaline medium. </w:t>
      </w:r>
      <w:r w:rsidRPr="00827BDA">
        <w:rPr>
          <w:rFonts w:ascii="Times New Roman" w:hAnsi="Times New Roman"/>
          <w:i/>
          <w:sz w:val="20"/>
          <w:szCs w:val="20"/>
        </w:rPr>
        <w:t>International Journal of Electrochemistry</w:t>
      </w:r>
      <w:r w:rsidRPr="00827BDA">
        <w:rPr>
          <w:rFonts w:ascii="Times New Roman" w:hAnsi="Times New Roman"/>
          <w:sz w:val="20"/>
          <w:szCs w:val="20"/>
        </w:rPr>
        <w:t>, 2011: 1–16.</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Mao, H., Huang, T. and Yu A. (2016). Surface noble metal modified PdM/C (M ¼ Ru, Pt, Au) as anode catalysts for direct ethanol fuel cells. </w:t>
      </w:r>
      <w:r w:rsidRPr="00827BDA">
        <w:rPr>
          <w:rFonts w:ascii="Times New Roman" w:hAnsi="Times New Roman"/>
          <w:i/>
          <w:sz w:val="20"/>
          <w:szCs w:val="20"/>
        </w:rPr>
        <w:t>Journal of Alloy and Compound</w:t>
      </w:r>
      <w:r w:rsidRPr="00827BDA">
        <w:rPr>
          <w:rFonts w:ascii="Times New Roman" w:hAnsi="Times New Roman"/>
          <w:sz w:val="20"/>
          <w:szCs w:val="20"/>
        </w:rPr>
        <w:t>, 676: 390–396.</w:t>
      </w:r>
    </w:p>
    <w:p w:rsidR="00242EEB" w:rsidRPr="00827BDA" w:rsidRDefault="00242EEB" w:rsidP="00827BDA">
      <w:pPr>
        <w:widowControl w:val="0"/>
        <w:numPr>
          <w:ilvl w:val="0"/>
          <w:numId w:val="3"/>
        </w:numPr>
        <w:spacing w:after="0" w:line="240" w:lineRule="auto"/>
        <w:ind w:left="360" w:hanging="360"/>
        <w:jc w:val="both"/>
        <w:rPr>
          <w:rFonts w:ascii="Times New Roman" w:hAnsi="Times New Roman"/>
          <w:sz w:val="20"/>
          <w:szCs w:val="20"/>
        </w:rPr>
      </w:pPr>
      <w:r w:rsidRPr="00827BDA">
        <w:rPr>
          <w:rFonts w:ascii="Times New Roman" w:hAnsi="Times New Roman"/>
          <w:sz w:val="20"/>
          <w:szCs w:val="20"/>
        </w:rPr>
        <w:t xml:space="preserve">Thi, B., Lam, X., Chiku, M., Higuchi, E. and Inoue H. (2015). Preparation of PdAg and PdAu nanoparticle-loaded carbon black catalysts and their electrocatalytic activity for the glycerol oxidation reaction in alkaline medium. </w:t>
      </w:r>
      <w:r w:rsidRPr="00827BDA">
        <w:rPr>
          <w:rFonts w:ascii="Times New Roman" w:hAnsi="Times New Roman"/>
          <w:i/>
          <w:sz w:val="20"/>
          <w:szCs w:val="20"/>
        </w:rPr>
        <w:t>Journal of Power Sources</w:t>
      </w:r>
      <w:r w:rsidRPr="00827BDA">
        <w:rPr>
          <w:rFonts w:ascii="Times New Roman" w:hAnsi="Times New Roman"/>
          <w:sz w:val="20"/>
          <w:szCs w:val="20"/>
        </w:rPr>
        <w:t>, 297: 149–157.</w:t>
      </w:r>
    </w:p>
    <w:p w:rsidR="00242EEB" w:rsidRPr="00827BDA" w:rsidRDefault="00242EEB" w:rsidP="00827BDA">
      <w:pPr>
        <w:spacing w:after="0" w:line="240" w:lineRule="auto"/>
        <w:ind w:left="360" w:hanging="360"/>
        <w:jc w:val="both"/>
        <w:rPr>
          <w:rFonts w:ascii="Times New Roman" w:hAnsi="Times New Roman"/>
          <w:sz w:val="20"/>
          <w:szCs w:val="20"/>
        </w:rPr>
      </w:pPr>
    </w:p>
    <w:p w:rsidR="00AC0033" w:rsidRDefault="00AC0033" w:rsidP="00AC0033">
      <w:pPr>
        <w:spacing w:after="0" w:line="240" w:lineRule="auto"/>
        <w:jc w:val="both"/>
        <w:rPr>
          <w:rFonts w:ascii="Times New Roman" w:hAnsi="Times New Roman"/>
          <w:noProof/>
          <w:sz w:val="20"/>
          <w:szCs w:val="20"/>
          <w:lang w:bidi="ar-SA"/>
        </w:rPr>
      </w:pPr>
    </w:p>
    <w:p w:rsidR="00AC0033" w:rsidRDefault="00AC0033" w:rsidP="00AC0033">
      <w:pPr>
        <w:spacing w:after="0" w:line="240" w:lineRule="auto"/>
        <w:jc w:val="both"/>
        <w:rPr>
          <w:rFonts w:ascii="Times New Roman" w:hAnsi="Times New Roman"/>
          <w:noProof/>
          <w:sz w:val="20"/>
          <w:szCs w:val="20"/>
          <w:lang w:bidi="ar-SA"/>
        </w:rPr>
      </w:pPr>
    </w:p>
    <w:p w:rsidR="00AC0033" w:rsidRPr="007A738C" w:rsidRDefault="00AC0033" w:rsidP="00AC0033">
      <w:pPr>
        <w:spacing w:after="0" w:line="240" w:lineRule="auto"/>
        <w:jc w:val="both"/>
        <w:rPr>
          <w:rFonts w:ascii="Times New Roman" w:hAnsi="Times New Roman"/>
          <w:noProof/>
          <w:lang w:bidi="ar-SA"/>
        </w:rPr>
      </w:pPr>
    </w:p>
    <w:p w:rsidR="00AC0033" w:rsidRPr="00F447A7" w:rsidRDefault="00AC0033" w:rsidP="00F447A7">
      <w:pPr>
        <w:spacing w:after="0" w:line="240" w:lineRule="auto"/>
        <w:jc w:val="center"/>
        <w:rPr>
          <w:rFonts w:ascii="Times New Roman" w:hAnsi="Times New Roman"/>
          <w:noProof/>
          <w:sz w:val="20"/>
          <w:szCs w:val="20"/>
          <w:lang w:bidi="ar-SA"/>
        </w:rPr>
      </w:pPr>
    </w:p>
    <w:sectPr w:rsidR="00AC0033" w:rsidRPr="00F447A7" w:rsidSect="00982CCD">
      <w:headerReference w:type="even" r:id="rId18"/>
      <w:headerReference w:type="default" r:id="rId19"/>
      <w:footerReference w:type="even" r:id="rId20"/>
      <w:footerReference w:type="default" r:id="rId21"/>
      <w:pgSz w:w="12240" w:h="15840" w:code="1"/>
      <w:pgMar w:top="1800" w:right="1469" w:bottom="1699" w:left="1440" w:header="706" w:footer="706" w:gutter="0"/>
      <w:pgNumType w:start="7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D57E7">
      <w:rPr>
        <w:rFonts w:ascii="Times New Roman" w:hAnsi="Times New Roman"/>
        <w:noProof/>
      </w:rPr>
      <w:t>78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D57E7">
      <w:rPr>
        <w:rFonts w:ascii="Times New Roman" w:hAnsi="Times New Roman"/>
        <w:noProof/>
      </w:rPr>
      <w:t>79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0E9B" w:rsidRPr="00540E9B" w:rsidRDefault="00FC3BCF" w:rsidP="00FC3BCF">
    <w:pPr>
      <w:spacing w:after="0" w:line="240" w:lineRule="auto"/>
      <w:ind w:left="2430" w:hanging="2430"/>
      <w:rPr>
        <w:rFonts w:ascii="Times New Roman" w:hAnsi="Times New Roman"/>
        <w:sz w:val="20"/>
        <w:szCs w:val="20"/>
      </w:rPr>
    </w:pPr>
    <w:r>
      <w:rPr>
        <w:rFonts w:ascii="Times New Roman" w:hAnsi="Times New Roman"/>
        <w:sz w:val="20"/>
        <w:szCs w:val="20"/>
      </w:rPr>
      <w:t>Norilhamiah &amp; Siti Kartom</w:t>
    </w:r>
    <w:r w:rsidR="006B72B0" w:rsidRPr="00540E9B">
      <w:rPr>
        <w:rFonts w:ascii="Times New Roman" w:hAnsi="Times New Roman"/>
        <w:sz w:val="20"/>
        <w:szCs w:val="20"/>
      </w:rPr>
      <w:t xml:space="preserve">: </w:t>
    </w:r>
    <w:r w:rsidR="00070F31" w:rsidRPr="00540E9B">
      <w:rPr>
        <w:rFonts w:ascii="Times New Roman" w:hAnsi="Times New Roman"/>
        <w:sz w:val="20"/>
        <w:szCs w:val="20"/>
      </w:rPr>
      <w:t xml:space="preserve"> </w:t>
    </w:r>
    <w:r>
      <w:rPr>
        <w:rFonts w:ascii="Times New Roman" w:hAnsi="Times New Roman"/>
        <w:sz w:val="20"/>
        <w:szCs w:val="20"/>
      </w:rPr>
      <w:t xml:space="preserve"> </w:t>
    </w:r>
    <w:r>
      <w:rPr>
        <w:rFonts w:ascii="Times New Roman" w:hAnsi="Times New Roman"/>
        <w:sz w:val="20"/>
        <w:szCs w:val="20"/>
      </w:rPr>
      <w:tab/>
    </w:r>
    <w:r w:rsidR="00540E9B" w:rsidRPr="00540E9B">
      <w:rPr>
        <w:rFonts w:ascii="Times New Roman" w:hAnsi="Times New Roman"/>
        <w:sz w:val="20"/>
        <w:szCs w:val="20"/>
      </w:rPr>
      <w:t>PdAu BIMETALLIC CATALYST FOR ELECTROOXIDATION OF GLYCEROL USING CYCLIC VOLTAMMETRY ANALYSIS</w:t>
    </w:r>
  </w:p>
  <w:p w:rsidR="00A14DB9" w:rsidRPr="00070F31"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BA7D4B">
      <w:rPr>
        <w:rFonts w:ascii="Times New Roman" w:hAnsi="Times New Roman"/>
        <w:i/>
        <w:lang w:val="en-US"/>
      </w:rPr>
      <w:t>3</w:t>
    </w:r>
    <w:r>
      <w:rPr>
        <w:rFonts w:ascii="Times New Roman" w:hAnsi="Times New Roman"/>
        <w:i/>
      </w:rPr>
      <w:t xml:space="preserve"> </w:t>
    </w:r>
    <w:r w:rsidR="0047088F">
      <w:rPr>
        <w:rFonts w:ascii="Times New Roman" w:hAnsi="Times New Roman"/>
        <w:i/>
        <w:lang w:val="en-US"/>
      </w:rPr>
      <w:t>No 1</w:t>
    </w:r>
    <w:r>
      <w:rPr>
        <w:rFonts w:ascii="Times New Roman" w:hAnsi="Times New Roman"/>
        <w:i/>
      </w:rPr>
      <w:t xml:space="preserve"> (201</w:t>
    </w:r>
    <w:r w:rsidR="00BA7D4B">
      <w:rPr>
        <w:rFonts w:ascii="Times New Roman" w:hAnsi="Times New Roman"/>
        <w:i/>
        <w:lang w:val="en-US"/>
      </w:rPr>
      <w:t>9</w:t>
    </w:r>
    <w:r w:rsidRPr="00D75B35">
      <w:rPr>
        <w:rFonts w:ascii="Times New Roman" w:hAnsi="Times New Roman"/>
        <w:i/>
      </w:rPr>
      <w:t xml:space="preserve">): </w:t>
    </w:r>
    <w:r w:rsidR="00982CCD">
      <w:rPr>
        <w:rFonts w:ascii="Times New Roman" w:hAnsi="Times New Roman"/>
        <w:i/>
        <w:lang w:val="en-US"/>
      </w:rPr>
      <w:t>71</w:t>
    </w:r>
    <w:r>
      <w:rPr>
        <w:rFonts w:ascii="Times New Roman" w:hAnsi="Times New Roman"/>
        <w:i/>
        <w:lang w:val="en-US"/>
      </w:rPr>
      <w:t xml:space="preserve"> </w:t>
    </w:r>
    <w:r w:rsidR="007A0583">
      <w:rPr>
        <w:rFonts w:ascii="Times New Roman" w:hAnsi="Times New Roman"/>
        <w:i/>
        <w:lang w:val="en-US"/>
      </w:rPr>
      <w:t>-</w:t>
    </w:r>
    <w:r w:rsidR="00982CCD">
      <w:rPr>
        <w:rFonts w:ascii="Times New Roman" w:hAnsi="Times New Roman"/>
        <w:i/>
        <w:lang w:val="en-US"/>
      </w:rPr>
      <w:t xml:space="preserve"> 79</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BA7D4B">
      <w:rPr>
        <w:rFonts w:ascii="Times New Roman" w:hAnsi="Times New Roman"/>
        <w:i/>
        <w:lang w:val="en-US"/>
      </w:rPr>
      <w:t>doi.org/10.17576/mjas-2019-23</w:t>
    </w:r>
    <w:r w:rsidR="00B91DE7">
      <w:rPr>
        <w:rFonts w:ascii="Times New Roman" w:hAnsi="Times New Roman"/>
        <w:i/>
        <w:lang w:val="en-US"/>
      </w:rPr>
      <w:t>0</w:t>
    </w:r>
    <w:r w:rsidR="0047088F">
      <w:rPr>
        <w:rFonts w:ascii="Times New Roman" w:hAnsi="Times New Roman"/>
        <w:i/>
        <w:lang w:val="en-US"/>
      </w:rPr>
      <w:t>1</w:t>
    </w:r>
    <w:r w:rsidR="00982CCD">
      <w:rPr>
        <w:rFonts w:ascii="Times New Roman" w:hAnsi="Times New Roman"/>
        <w:i/>
        <w:lang w:val="en-US"/>
      </w:rPr>
      <w:t>-09</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AE969B2"/>
    <w:multiLevelType w:val="multilevel"/>
    <w:tmpl w:val="616E1E42"/>
    <w:lvl w:ilvl="0">
      <w:start w:val="1"/>
      <w:numFmt w:val="decimal"/>
      <w:lvlText w:val="%1."/>
      <w:lvlJc w:val="left"/>
      <w:pPr>
        <w:ind w:left="644" w:hanging="35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16385"/>
    <w:rsid w:val="0003330A"/>
    <w:rsid w:val="00067E6B"/>
    <w:rsid w:val="00070F31"/>
    <w:rsid w:val="00082EB0"/>
    <w:rsid w:val="00084936"/>
    <w:rsid w:val="000875CD"/>
    <w:rsid w:val="000C49FF"/>
    <w:rsid w:val="000D16A1"/>
    <w:rsid w:val="000D2B0C"/>
    <w:rsid w:val="000F77DA"/>
    <w:rsid w:val="001068E8"/>
    <w:rsid w:val="001106D8"/>
    <w:rsid w:val="00117BCD"/>
    <w:rsid w:val="001D035A"/>
    <w:rsid w:val="001D3855"/>
    <w:rsid w:val="001D6F2C"/>
    <w:rsid w:val="00242EEB"/>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D4CDD"/>
    <w:rsid w:val="003D585B"/>
    <w:rsid w:val="003E7DA6"/>
    <w:rsid w:val="003F12FF"/>
    <w:rsid w:val="00401EB9"/>
    <w:rsid w:val="0047088F"/>
    <w:rsid w:val="004760D4"/>
    <w:rsid w:val="00494C46"/>
    <w:rsid w:val="004B43FF"/>
    <w:rsid w:val="004D7E25"/>
    <w:rsid w:val="00502641"/>
    <w:rsid w:val="00540E9B"/>
    <w:rsid w:val="005C6768"/>
    <w:rsid w:val="005E4871"/>
    <w:rsid w:val="00601C8A"/>
    <w:rsid w:val="00620675"/>
    <w:rsid w:val="00623CB8"/>
    <w:rsid w:val="006257E5"/>
    <w:rsid w:val="00634C25"/>
    <w:rsid w:val="006416AB"/>
    <w:rsid w:val="0065447F"/>
    <w:rsid w:val="006768E9"/>
    <w:rsid w:val="00687982"/>
    <w:rsid w:val="0069647A"/>
    <w:rsid w:val="006B3EC8"/>
    <w:rsid w:val="006B72B0"/>
    <w:rsid w:val="006D286E"/>
    <w:rsid w:val="006D695E"/>
    <w:rsid w:val="00725A6A"/>
    <w:rsid w:val="00736CFD"/>
    <w:rsid w:val="007943F3"/>
    <w:rsid w:val="007A0583"/>
    <w:rsid w:val="007A738C"/>
    <w:rsid w:val="007B1349"/>
    <w:rsid w:val="007D45AC"/>
    <w:rsid w:val="007E25BD"/>
    <w:rsid w:val="00802C35"/>
    <w:rsid w:val="0082181A"/>
    <w:rsid w:val="00825624"/>
    <w:rsid w:val="00827BDA"/>
    <w:rsid w:val="0083587A"/>
    <w:rsid w:val="00883CC3"/>
    <w:rsid w:val="008B470E"/>
    <w:rsid w:val="008B5904"/>
    <w:rsid w:val="008D29BF"/>
    <w:rsid w:val="008E1211"/>
    <w:rsid w:val="008E5BBF"/>
    <w:rsid w:val="008E6968"/>
    <w:rsid w:val="009211AF"/>
    <w:rsid w:val="009357B8"/>
    <w:rsid w:val="009767DC"/>
    <w:rsid w:val="00982CCD"/>
    <w:rsid w:val="009866F6"/>
    <w:rsid w:val="009D030D"/>
    <w:rsid w:val="00A14DB9"/>
    <w:rsid w:val="00A4762A"/>
    <w:rsid w:val="00A74A7E"/>
    <w:rsid w:val="00A91EFF"/>
    <w:rsid w:val="00AA3E07"/>
    <w:rsid w:val="00AC0033"/>
    <w:rsid w:val="00AD1B8A"/>
    <w:rsid w:val="00AD427A"/>
    <w:rsid w:val="00AE713F"/>
    <w:rsid w:val="00AF2305"/>
    <w:rsid w:val="00AF2821"/>
    <w:rsid w:val="00B1121C"/>
    <w:rsid w:val="00B25B65"/>
    <w:rsid w:val="00B2770A"/>
    <w:rsid w:val="00B314AD"/>
    <w:rsid w:val="00B75BF6"/>
    <w:rsid w:val="00B7735A"/>
    <w:rsid w:val="00B91DE7"/>
    <w:rsid w:val="00BA1595"/>
    <w:rsid w:val="00BA1F7B"/>
    <w:rsid w:val="00BA7D4B"/>
    <w:rsid w:val="00BB58AF"/>
    <w:rsid w:val="00BE7C30"/>
    <w:rsid w:val="00C055BF"/>
    <w:rsid w:val="00C2226A"/>
    <w:rsid w:val="00C234BA"/>
    <w:rsid w:val="00C94D92"/>
    <w:rsid w:val="00C97340"/>
    <w:rsid w:val="00CA513F"/>
    <w:rsid w:val="00CB3AA6"/>
    <w:rsid w:val="00CC20C2"/>
    <w:rsid w:val="00CE24AA"/>
    <w:rsid w:val="00CF05FF"/>
    <w:rsid w:val="00D340BB"/>
    <w:rsid w:val="00D505D5"/>
    <w:rsid w:val="00D75B35"/>
    <w:rsid w:val="00D76E09"/>
    <w:rsid w:val="00D9736F"/>
    <w:rsid w:val="00D9792A"/>
    <w:rsid w:val="00DD377F"/>
    <w:rsid w:val="00DD57E7"/>
    <w:rsid w:val="00E16130"/>
    <w:rsid w:val="00E25547"/>
    <w:rsid w:val="00E3287E"/>
    <w:rsid w:val="00E54D12"/>
    <w:rsid w:val="00E66197"/>
    <w:rsid w:val="00F31093"/>
    <w:rsid w:val="00F412AF"/>
    <w:rsid w:val="00F43667"/>
    <w:rsid w:val="00F447A7"/>
    <w:rsid w:val="00F4760B"/>
    <w:rsid w:val="00FB4C59"/>
    <w:rsid w:val="00FC3BCF"/>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48CBFD-9E29-4E98-B2ED-C77B46928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9</Pages>
  <Words>3866</Words>
  <Characters>21869</Characters>
  <Application>Microsoft Office Word</Application>
  <DocSecurity>0</DocSecurity>
  <Lines>384</Lines>
  <Paragraphs>138</Paragraphs>
  <ScaleCrop>false</ScaleCrop>
  <HeadingPairs>
    <vt:vector size="2" baseType="variant">
      <vt:variant>
        <vt:lpstr>Title</vt:lpstr>
      </vt:variant>
      <vt:variant>
        <vt:i4>1</vt:i4>
      </vt:variant>
    </vt:vector>
  </HeadingPairs>
  <TitlesOfParts>
    <vt:vector size="1" baseType="lpstr">
      <vt:lpstr>MJAS Vol 23 No 1 (2019)</vt:lpstr>
    </vt:vector>
  </TitlesOfParts>
  <Company>UKM</Company>
  <LinksUpToDate>false</LinksUpToDate>
  <CharactersWithSpaces>25710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23 No 1 (2019)</dc:title>
  <dc:creator>Harun Hj Hamzah</dc:creator>
  <cp:lastModifiedBy>Harun Hamzah</cp:lastModifiedBy>
  <cp:revision>12</cp:revision>
  <cp:lastPrinted>2019-02-13T04:06:00Z</cp:lastPrinted>
  <dcterms:created xsi:type="dcterms:W3CDTF">2019-01-27T09:07:00Z</dcterms:created>
  <dcterms:modified xsi:type="dcterms:W3CDTF">2019-02-13T04:06:00Z</dcterms:modified>
</cp:coreProperties>
</file>