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949423" w14:textId="1177A840" w:rsidR="00524AFF" w:rsidRPr="00F52B56" w:rsidRDefault="001D30F1" w:rsidP="00F52B56">
      <w:pPr>
        <w:spacing w:after="0" w:line="240" w:lineRule="auto"/>
        <w:jc w:val="center"/>
        <w:rPr>
          <w:rFonts w:ascii="Times New Roman" w:hAnsi="Times New Roman" w:cs="Times New Roman"/>
          <w:sz w:val="28"/>
          <w:szCs w:val="28"/>
          <w:lang w:val="en-US"/>
        </w:rPr>
      </w:pPr>
      <w:r w:rsidRPr="00F52B56">
        <w:rPr>
          <w:rFonts w:ascii="Times New Roman" w:hAnsi="Times New Roman" w:cs="Times New Roman"/>
          <w:sz w:val="28"/>
          <w:szCs w:val="28"/>
          <w:lang w:val="en-US"/>
        </w:rPr>
        <w:t>EFFECT</w:t>
      </w:r>
      <w:r w:rsidR="0096055F" w:rsidRPr="00F52B56">
        <w:rPr>
          <w:rFonts w:ascii="Times New Roman" w:hAnsi="Times New Roman" w:cs="Times New Roman"/>
          <w:sz w:val="28"/>
          <w:szCs w:val="28"/>
          <w:lang w:val="en-US"/>
        </w:rPr>
        <w:t xml:space="preserve"> </w:t>
      </w:r>
      <w:r w:rsidRPr="00F52B56">
        <w:rPr>
          <w:rFonts w:ascii="Times New Roman" w:hAnsi="Times New Roman" w:cs="Times New Roman"/>
          <w:sz w:val="28"/>
          <w:szCs w:val="28"/>
          <w:lang w:val="en-US"/>
        </w:rPr>
        <w:t>OF</w:t>
      </w:r>
      <w:r w:rsidR="0096055F" w:rsidRPr="00F52B56">
        <w:rPr>
          <w:rFonts w:ascii="Times New Roman" w:hAnsi="Times New Roman" w:cs="Times New Roman"/>
          <w:sz w:val="28"/>
          <w:szCs w:val="28"/>
          <w:lang w:val="en-US"/>
        </w:rPr>
        <w:t xml:space="preserve"> </w:t>
      </w:r>
      <w:r w:rsidRPr="00F52B56">
        <w:rPr>
          <w:rFonts w:ascii="Times New Roman" w:hAnsi="Times New Roman" w:cs="Times New Roman"/>
          <w:sz w:val="28"/>
          <w:szCs w:val="28"/>
          <w:lang w:val="en-US"/>
        </w:rPr>
        <w:t>EPOXIDISED</w:t>
      </w:r>
      <w:r w:rsidR="0096055F" w:rsidRPr="00F52B56">
        <w:rPr>
          <w:rFonts w:ascii="Times New Roman" w:hAnsi="Times New Roman" w:cs="Times New Roman"/>
          <w:sz w:val="28"/>
          <w:szCs w:val="28"/>
          <w:lang w:val="en-US"/>
        </w:rPr>
        <w:t xml:space="preserve"> </w:t>
      </w:r>
      <w:r w:rsidRPr="00F52B56">
        <w:rPr>
          <w:rFonts w:ascii="Times New Roman" w:hAnsi="Times New Roman" w:cs="Times New Roman"/>
          <w:sz w:val="28"/>
          <w:szCs w:val="28"/>
          <w:lang w:val="en-US"/>
        </w:rPr>
        <w:t>NATURAL</w:t>
      </w:r>
      <w:r w:rsidR="0096055F" w:rsidRPr="00F52B56">
        <w:rPr>
          <w:rFonts w:ascii="Times New Roman" w:hAnsi="Times New Roman" w:cs="Times New Roman"/>
          <w:sz w:val="28"/>
          <w:szCs w:val="28"/>
          <w:lang w:val="en-US"/>
        </w:rPr>
        <w:t xml:space="preserve"> </w:t>
      </w:r>
      <w:r w:rsidRPr="00F52B56">
        <w:rPr>
          <w:rFonts w:ascii="Times New Roman" w:hAnsi="Times New Roman" w:cs="Times New Roman"/>
          <w:sz w:val="28"/>
          <w:szCs w:val="28"/>
          <w:lang w:val="en-US"/>
        </w:rPr>
        <w:t>RUBBERS</w:t>
      </w:r>
      <w:r w:rsidR="0096055F" w:rsidRPr="00F52B56">
        <w:rPr>
          <w:rFonts w:ascii="Times New Roman" w:hAnsi="Times New Roman" w:cs="Times New Roman"/>
          <w:sz w:val="28"/>
          <w:szCs w:val="28"/>
          <w:lang w:val="en-US"/>
        </w:rPr>
        <w:t xml:space="preserve"> </w:t>
      </w:r>
      <w:r w:rsidRPr="00F52B56">
        <w:rPr>
          <w:rFonts w:ascii="Times New Roman" w:hAnsi="Times New Roman" w:cs="Times New Roman"/>
          <w:sz w:val="28"/>
          <w:szCs w:val="28"/>
          <w:lang w:val="en-US"/>
        </w:rPr>
        <w:t>ON</w:t>
      </w:r>
      <w:r w:rsidR="0096055F" w:rsidRPr="00F52B56">
        <w:rPr>
          <w:rFonts w:ascii="Times New Roman" w:hAnsi="Times New Roman" w:cs="Times New Roman"/>
          <w:sz w:val="28"/>
          <w:szCs w:val="28"/>
          <w:lang w:val="en-US"/>
        </w:rPr>
        <w:t xml:space="preserve"> </w:t>
      </w:r>
      <w:r w:rsidRPr="00F52B56">
        <w:rPr>
          <w:rFonts w:ascii="Times New Roman" w:hAnsi="Times New Roman" w:cs="Times New Roman"/>
          <w:sz w:val="28"/>
          <w:szCs w:val="28"/>
          <w:lang w:val="en-US"/>
        </w:rPr>
        <w:t>CALCIUM</w:t>
      </w:r>
      <w:r w:rsidR="0096055F" w:rsidRPr="00F52B56">
        <w:rPr>
          <w:rFonts w:ascii="Times New Roman" w:hAnsi="Times New Roman" w:cs="Times New Roman"/>
          <w:sz w:val="28"/>
          <w:szCs w:val="28"/>
          <w:lang w:val="en-US"/>
        </w:rPr>
        <w:t xml:space="preserve"> </w:t>
      </w:r>
      <w:r w:rsidRPr="00F52B56">
        <w:rPr>
          <w:rFonts w:ascii="Times New Roman" w:hAnsi="Times New Roman" w:cs="Times New Roman"/>
          <w:sz w:val="28"/>
          <w:szCs w:val="28"/>
          <w:lang w:val="en-US"/>
        </w:rPr>
        <w:t>CARBONATE</w:t>
      </w:r>
      <w:r w:rsidR="00772E64" w:rsidRPr="00F52B56">
        <w:rPr>
          <w:rFonts w:ascii="Times New Roman" w:hAnsi="Times New Roman" w:cs="Times New Roman"/>
          <w:sz w:val="28"/>
          <w:szCs w:val="28"/>
          <w:lang w:val="en-US"/>
        </w:rPr>
        <w:t>-</w:t>
      </w:r>
      <w:r w:rsidRPr="00F52B56">
        <w:rPr>
          <w:rFonts w:ascii="Times New Roman" w:hAnsi="Times New Roman" w:cs="Times New Roman"/>
          <w:sz w:val="28"/>
          <w:szCs w:val="28"/>
          <w:lang w:val="en-US"/>
        </w:rPr>
        <w:t>FILLED</w:t>
      </w:r>
      <w:r w:rsidR="0096055F" w:rsidRPr="00F52B56">
        <w:rPr>
          <w:rFonts w:ascii="Times New Roman" w:hAnsi="Times New Roman" w:cs="Times New Roman"/>
          <w:sz w:val="28"/>
          <w:szCs w:val="28"/>
          <w:lang w:val="en-US"/>
        </w:rPr>
        <w:t xml:space="preserve"> </w:t>
      </w:r>
      <w:r w:rsidRPr="00F52B56">
        <w:rPr>
          <w:rFonts w:ascii="Times New Roman" w:hAnsi="Times New Roman" w:cs="Times New Roman"/>
          <w:sz w:val="28"/>
          <w:szCs w:val="28"/>
          <w:lang w:val="en-US"/>
        </w:rPr>
        <w:t>NATURAL</w:t>
      </w:r>
      <w:r w:rsidR="0096055F" w:rsidRPr="00F52B56">
        <w:rPr>
          <w:rFonts w:ascii="Times New Roman" w:hAnsi="Times New Roman" w:cs="Times New Roman"/>
          <w:sz w:val="28"/>
          <w:szCs w:val="28"/>
          <w:lang w:val="en-US"/>
        </w:rPr>
        <w:t xml:space="preserve"> </w:t>
      </w:r>
      <w:r w:rsidRPr="00F52B56">
        <w:rPr>
          <w:rFonts w:ascii="Times New Roman" w:hAnsi="Times New Roman" w:cs="Times New Roman"/>
          <w:sz w:val="28"/>
          <w:szCs w:val="28"/>
          <w:lang w:val="en-US"/>
        </w:rPr>
        <w:t>RUBBER</w:t>
      </w:r>
      <w:r w:rsidR="0096055F" w:rsidRPr="00F52B56">
        <w:rPr>
          <w:rFonts w:ascii="Times New Roman" w:hAnsi="Times New Roman" w:cs="Times New Roman"/>
          <w:sz w:val="28"/>
          <w:szCs w:val="28"/>
          <w:lang w:val="en-US"/>
        </w:rPr>
        <w:t xml:space="preserve"> </w:t>
      </w:r>
      <w:r w:rsidRPr="00F52B56">
        <w:rPr>
          <w:rFonts w:ascii="Times New Roman" w:hAnsi="Times New Roman" w:cs="Times New Roman"/>
          <w:sz w:val="28"/>
          <w:szCs w:val="28"/>
          <w:lang w:val="en-US"/>
        </w:rPr>
        <w:t>COMPOUNDS</w:t>
      </w:r>
    </w:p>
    <w:p w14:paraId="7E03DD4D" w14:textId="77777777" w:rsidR="00524AFF" w:rsidRPr="00F52B56" w:rsidRDefault="00524AFF" w:rsidP="00524AFF">
      <w:pPr>
        <w:spacing w:after="0" w:line="240" w:lineRule="auto"/>
        <w:rPr>
          <w:rFonts w:ascii="Times New Roman" w:hAnsi="Times New Roman" w:cs="Times New Roman"/>
          <w:b/>
          <w:sz w:val="24"/>
          <w:szCs w:val="24"/>
        </w:rPr>
      </w:pPr>
    </w:p>
    <w:p w14:paraId="499090D0" w14:textId="77777777" w:rsidR="00F52B56" w:rsidRDefault="00F52B56" w:rsidP="001D30F1">
      <w:pPr>
        <w:spacing w:after="0" w:line="240" w:lineRule="auto"/>
        <w:jc w:val="center"/>
        <w:rPr>
          <w:rFonts w:ascii="Times New Roman" w:hAnsi="Times New Roman" w:cs="Times New Roman"/>
          <w:sz w:val="24"/>
          <w:szCs w:val="24"/>
          <w:lang w:val="ms-MY"/>
        </w:rPr>
      </w:pPr>
      <w:r w:rsidRPr="00F52B56">
        <w:rPr>
          <w:rFonts w:ascii="Times New Roman" w:hAnsi="Times New Roman" w:cs="Times New Roman"/>
          <w:sz w:val="24"/>
          <w:szCs w:val="24"/>
          <w:lang w:val="ms-MY"/>
        </w:rPr>
        <w:t xml:space="preserve">(Kesan Getah-Getah Asli Terepoksida Terhadap Sebatian-Sebatian </w:t>
      </w:r>
    </w:p>
    <w:p w14:paraId="7CFC6828" w14:textId="4A1066A2" w:rsidR="001D30F1" w:rsidRPr="00F52B56" w:rsidRDefault="00F52B56" w:rsidP="00F52B56">
      <w:pPr>
        <w:spacing w:after="0" w:line="240" w:lineRule="auto"/>
        <w:jc w:val="center"/>
        <w:rPr>
          <w:rFonts w:ascii="Times New Roman" w:hAnsi="Times New Roman" w:cs="Times New Roman"/>
          <w:sz w:val="24"/>
          <w:szCs w:val="24"/>
          <w:lang w:val="ms-MY"/>
        </w:rPr>
      </w:pPr>
      <w:r w:rsidRPr="00F52B56">
        <w:rPr>
          <w:rFonts w:ascii="Times New Roman" w:hAnsi="Times New Roman" w:cs="Times New Roman"/>
          <w:sz w:val="24"/>
          <w:szCs w:val="24"/>
          <w:lang w:val="ms-MY"/>
        </w:rPr>
        <w:t>Getah Asli Terisi Kalsium Karbonat)</w:t>
      </w:r>
    </w:p>
    <w:p w14:paraId="754DC3F6" w14:textId="77777777" w:rsidR="00524AFF" w:rsidRPr="00F52B56" w:rsidRDefault="00524AFF" w:rsidP="00524AFF">
      <w:pPr>
        <w:spacing w:after="0" w:line="240" w:lineRule="auto"/>
        <w:rPr>
          <w:rFonts w:ascii="Times New Roman" w:hAnsi="Times New Roman" w:cs="Times New Roman"/>
          <w:sz w:val="24"/>
          <w:szCs w:val="24"/>
          <w:lang w:val="ms-MY"/>
        </w:rPr>
      </w:pPr>
    </w:p>
    <w:p w14:paraId="4363B146" w14:textId="7C74DB08" w:rsidR="00524AFF" w:rsidRPr="00F52B56" w:rsidRDefault="0096055F" w:rsidP="00255CCA">
      <w:pPr>
        <w:spacing w:after="0" w:line="240" w:lineRule="auto"/>
        <w:jc w:val="center"/>
        <w:rPr>
          <w:rFonts w:ascii="Times New Roman" w:hAnsi="Times New Roman" w:cs="Times New Roman"/>
          <w:sz w:val="20"/>
          <w:szCs w:val="20"/>
          <w:lang w:val="sv-SE"/>
        </w:rPr>
      </w:pPr>
      <w:r w:rsidRPr="00F52B56">
        <w:rPr>
          <w:rFonts w:ascii="Times New Roman" w:hAnsi="Times New Roman" w:cs="Times New Roman"/>
          <w:sz w:val="20"/>
          <w:szCs w:val="20"/>
          <w:lang w:val="sv-SE"/>
        </w:rPr>
        <w:t>Indra Surya</w:t>
      </w:r>
      <w:r w:rsidRPr="00F52B56">
        <w:rPr>
          <w:rFonts w:ascii="Times New Roman" w:hAnsi="Times New Roman" w:cs="Times New Roman"/>
          <w:sz w:val="20"/>
          <w:szCs w:val="20"/>
          <w:vertAlign w:val="superscript"/>
          <w:lang w:val="sv-SE"/>
        </w:rPr>
        <w:t>1*</w:t>
      </w:r>
      <w:r w:rsidRPr="00F52B56">
        <w:rPr>
          <w:rFonts w:ascii="Times New Roman" w:hAnsi="Times New Roman" w:cs="Times New Roman"/>
          <w:sz w:val="20"/>
          <w:szCs w:val="20"/>
          <w:lang w:val="sv-SE"/>
        </w:rPr>
        <w:t>, Seri Maulina</w:t>
      </w:r>
      <w:r w:rsidRPr="00F52B56">
        <w:rPr>
          <w:rFonts w:ascii="Times New Roman" w:hAnsi="Times New Roman" w:cs="Times New Roman"/>
          <w:sz w:val="20"/>
          <w:szCs w:val="20"/>
          <w:vertAlign w:val="superscript"/>
          <w:lang w:val="sv-SE"/>
        </w:rPr>
        <w:t>1</w:t>
      </w:r>
      <w:r w:rsidRPr="00F52B56">
        <w:rPr>
          <w:rFonts w:ascii="Times New Roman" w:hAnsi="Times New Roman" w:cs="Times New Roman"/>
          <w:sz w:val="20"/>
          <w:szCs w:val="20"/>
          <w:lang w:val="sv-SE"/>
        </w:rPr>
        <w:t>, Hanafi Ismail</w:t>
      </w:r>
      <w:r w:rsidRPr="00F52B56">
        <w:rPr>
          <w:rFonts w:ascii="Times New Roman" w:hAnsi="Times New Roman" w:cs="Times New Roman"/>
          <w:sz w:val="20"/>
          <w:szCs w:val="20"/>
          <w:vertAlign w:val="superscript"/>
          <w:lang w:val="sv-SE"/>
        </w:rPr>
        <w:t>2</w:t>
      </w:r>
    </w:p>
    <w:p w14:paraId="083797C1" w14:textId="77777777" w:rsidR="00BA218B" w:rsidRPr="00F52B56" w:rsidRDefault="00BA218B" w:rsidP="00255CCA">
      <w:pPr>
        <w:spacing w:after="0" w:line="240" w:lineRule="auto"/>
        <w:jc w:val="center"/>
        <w:rPr>
          <w:rFonts w:ascii="Times New Roman" w:hAnsi="Times New Roman" w:cs="Times New Roman"/>
          <w:sz w:val="20"/>
          <w:szCs w:val="20"/>
          <w:lang w:val="sv-SE"/>
        </w:rPr>
      </w:pPr>
    </w:p>
    <w:p w14:paraId="59D0C899" w14:textId="77777777" w:rsidR="00F52B56" w:rsidRDefault="0096055F" w:rsidP="00255CCA">
      <w:pPr>
        <w:spacing w:after="0" w:line="240" w:lineRule="auto"/>
        <w:jc w:val="center"/>
        <w:rPr>
          <w:rFonts w:ascii="Times New Roman" w:hAnsi="Times New Roman" w:cs="Times New Roman"/>
          <w:i/>
          <w:noProof/>
          <w:sz w:val="18"/>
          <w:szCs w:val="18"/>
          <w:lang w:val="en-US"/>
        </w:rPr>
      </w:pPr>
      <w:r w:rsidRPr="00F52B56">
        <w:rPr>
          <w:rFonts w:ascii="Times New Roman" w:hAnsi="Times New Roman" w:cs="Times New Roman"/>
          <w:i/>
          <w:noProof/>
          <w:sz w:val="18"/>
          <w:szCs w:val="18"/>
          <w:vertAlign w:val="superscript"/>
        </w:rPr>
        <w:t>1</w:t>
      </w:r>
      <w:r w:rsidRPr="00F52B56">
        <w:rPr>
          <w:rFonts w:ascii="Times New Roman" w:hAnsi="Times New Roman" w:cs="Times New Roman"/>
          <w:i/>
          <w:noProof/>
          <w:sz w:val="18"/>
          <w:szCs w:val="18"/>
          <w:lang w:val="en-US"/>
        </w:rPr>
        <w:t xml:space="preserve">Department of </w:t>
      </w:r>
      <w:r w:rsidR="00255CCA" w:rsidRPr="00F52B56">
        <w:rPr>
          <w:rFonts w:ascii="Times New Roman" w:hAnsi="Times New Roman" w:cs="Times New Roman"/>
          <w:i/>
          <w:noProof/>
          <w:sz w:val="18"/>
          <w:szCs w:val="18"/>
          <w:lang w:val="en-US"/>
        </w:rPr>
        <w:t xml:space="preserve">Chemical Engineering, </w:t>
      </w:r>
    </w:p>
    <w:p w14:paraId="62949C79" w14:textId="723E4458" w:rsidR="00524AFF" w:rsidRPr="00F52B56" w:rsidRDefault="00255CCA" w:rsidP="00255CCA">
      <w:pPr>
        <w:spacing w:after="0" w:line="240" w:lineRule="auto"/>
        <w:jc w:val="center"/>
        <w:rPr>
          <w:rFonts w:ascii="Times New Roman" w:hAnsi="Times New Roman" w:cs="Times New Roman"/>
          <w:i/>
          <w:noProof/>
          <w:sz w:val="18"/>
          <w:szCs w:val="18"/>
          <w:lang w:val="en-US"/>
        </w:rPr>
      </w:pPr>
      <w:r w:rsidRPr="00F52B56">
        <w:rPr>
          <w:rFonts w:ascii="Times New Roman" w:hAnsi="Times New Roman" w:cs="Times New Roman"/>
          <w:i/>
          <w:noProof/>
          <w:sz w:val="18"/>
          <w:szCs w:val="18"/>
          <w:lang w:val="en-US"/>
        </w:rPr>
        <w:t>Universitas</w:t>
      </w:r>
      <w:r w:rsidR="00BA218B" w:rsidRPr="00F52B56">
        <w:rPr>
          <w:rFonts w:ascii="Times New Roman" w:hAnsi="Times New Roman" w:cs="Times New Roman"/>
          <w:i/>
          <w:noProof/>
          <w:sz w:val="18"/>
          <w:szCs w:val="18"/>
          <w:lang w:val="en-US"/>
        </w:rPr>
        <w:t xml:space="preserve"> </w:t>
      </w:r>
      <w:r w:rsidR="0096055F" w:rsidRPr="00F52B56">
        <w:rPr>
          <w:rFonts w:ascii="Times New Roman" w:hAnsi="Times New Roman" w:cs="Times New Roman"/>
          <w:i/>
          <w:noProof/>
          <w:sz w:val="18"/>
          <w:szCs w:val="18"/>
          <w:lang w:val="en-US"/>
        </w:rPr>
        <w:t>Sumatera Utara, Medan, 20155, Indonesia</w:t>
      </w:r>
    </w:p>
    <w:p w14:paraId="26EAD787" w14:textId="77777777" w:rsidR="00F52B56" w:rsidRDefault="0096055F" w:rsidP="00255CCA">
      <w:pPr>
        <w:spacing w:after="0" w:line="240" w:lineRule="auto"/>
        <w:jc w:val="center"/>
        <w:rPr>
          <w:rFonts w:ascii="Times New Roman" w:hAnsi="Times New Roman" w:cs="Times New Roman"/>
          <w:i/>
          <w:noProof/>
          <w:sz w:val="18"/>
          <w:szCs w:val="18"/>
        </w:rPr>
      </w:pPr>
      <w:r w:rsidRPr="00F52B56">
        <w:rPr>
          <w:rFonts w:ascii="Times New Roman" w:hAnsi="Times New Roman" w:cs="Times New Roman"/>
          <w:i/>
          <w:noProof/>
          <w:sz w:val="18"/>
          <w:szCs w:val="18"/>
          <w:vertAlign w:val="superscript"/>
        </w:rPr>
        <w:t>2</w:t>
      </w:r>
      <w:r w:rsidRPr="00F52B56">
        <w:rPr>
          <w:rFonts w:ascii="Times New Roman" w:hAnsi="Times New Roman" w:cs="Times New Roman"/>
          <w:i/>
          <w:noProof/>
          <w:sz w:val="18"/>
          <w:szCs w:val="18"/>
        </w:rPr>
        <w:t xml:space="preserve">School of Materials and Mineral Resources Engineering, </w:t>
      </w:r>
    </w:p>
    <w:p w14:paraId="7A43CA2F" w14:textId="39AC6D53" w:rsidR="00524AFF" w:rsidRPr="00F52B56" w:rsidRDefault="0096055F" w:rsidP="00255CCA">
      <w:pPr>
        <w:spacing w:after="0" w:line="240" w:lineRule="auto"/>
        <w:jc w:val="center"/>
        <w:rPr>
          <w:rFonts w:ascii="Times New Roman" w:hAnsi="Times New Roman" w:cs="Times New Roman"/>
          <w:i/>
          <w:noProof/>
          <w:sz w:val="18"/>
          <w:szCs w:val="18"/>
        </w:rPr>
      </w:pPr>
      <w:r w:rsidRPr="00F52B56">
        <w:rPr>
          <w:rFonts w:ascii="Times New Roman" w:hAnsi="Times New Roman" w:cs="Times New Roman"/>
          <w:i/>
          <w:noProof/>
          <w:sz w:val="18"/>
          <w:szCs w:val="18"/>
        </w:rPr>
        <w:t>Universiti Sains Malaysia, Engineering Campus, Nibong Tebal, 14300, Penang, Malaysia</w:t>
      </w:r>
    </w:p>
    <w:p w14:paraId="15B0736C" w14:textId="77777777" w:rsidR="00524AFF" w:rsidRPr="00F52B56" w:rsidRDefault="00524AFF" w:rsidP="00524AFF">
      <w:pPr>
        <w:spacing w:after="0" w:line="240" w:lineRule="auto"/>
        <w:jc w:val="both"/>
        <w:rPr>
          <w:rFonts w:ascii="Times New Roman" w:hAnsi="Times New Roman" w:cs="Times New Roman"/>
          <w:iCs/>
          <w:sz w:val="18"/>
          <w:szCs w:val="18"/>
        </w:rPr>
      </w:pPr>
    </w:p>
    <w:p w14:paraId="31CBF37E" w14:textId="34127F1A" w:rsidR="00524AFF" w:rsidRDefault="0096055F" w:rsidP="00F52B56">
      <w:pPr>
        <w:spacing w:after="0" w:line="240" w:lineRule="auto"/>
        <w:jc w:val="center"/>
        <w:rPr>
          <w:rFonts w:ascii="Times New Roman" w:hAnsi="Times New Roman" w:cs="Times New Roman"/>
          <w:i/>
          <w:iCs/>
          <w:sz w:val="18"/>
          <w:szCs w:val="18"/>
        </w:rPr>
      </w:pPr>
      <w:r w:rsidRPr="00F52B56">
        <w:rPr>
          <w:rFonts w:ascii="Times New Roman" w:hAnsi="Times New Roman" w:cs="Times New Roman"/>
          <w:i/>
          <w:iCs/>
          <w:sz w:val="18"/>
          <w:szCs w:val="18"/>
        </w:rPr>
        <w:t xml:space="preserve">*Corresponding author: </w:t>
      </w:r>
      <w:r w:rsidR="00255CCA" w:rsidRPr="00F52B56">
        <w:rPr>
          <w:rFonts w:ascii="Times New Roman" w:hAnsi="Times New Roman" w:cs="Times New Roman"/>
          <w:i/>
          <w:noProof/>
          <w:sz w:val="18"/>
          <w:szCs w:val="18"/>
          <w:lang w:val="en-US"/>
        </w:rPr>
        <w:t>indradanas@yahoo.com</w:t>
      </w:r>
    </w:p>
    <w:p w14:paraId="44A2C5F6" w14:textId="77777777" w:rsidR="00F52B56" w:rsidRPr="00F52B56" w:rsidRDefault="00F52B56" w:rsidP="00F52B56">
      <w:pPr>
        <w:spacing w:after="0" w:line="240" w:lineRule="auto"/>
        <w:jc w:val="center"/>
        <w:rPr>
          <w:rFonts w:ascii="Times New Roman" w:hAnsi="Times New Roman" w:cs="Times New Roman"/>
          <w:i/>
          <w:iCs/>
          <w:sz w:val="18"/>
          <w:szCs w:val="18"/>
        </w:rPr>
      </w:pPr>
    </w:p>
    <w:p w14:paraId="784904DB" w14:textId="7AD08796" w:rsidR="00524AFF" w:rsidRPr="00F52B56" w:rsidRDefault="00255CCA" w:rsidP="00F52B56">
      <w:pPr>
        <w:spacing w:after="0" w:line="240" w:lineRule="auto"/>
        <w:jc w:val="center"/>
        <w:rPr>
          <w:rFonts w:ascii="Times New Roman" w:hAnsi="Times New Roman" w:cs="Times New Roman"/>
          <w:noProof/>
          <w:sz w:val="18"/>
          <w:szCs w:val="18"/>
        </w:rPr>
      </w:pPr>
      <w:r w:rsidRPr="00F52B56">
        <w:rPr>
          <w:rFonts w:ascii="Times New Roman" w:hAnsi="Times New Roman" w:cs="Times New Roman"/>
          <w:b/>
          <w:sz w:val="18"/>
          <w:szCs w:val="18"/>
        </w:rPr>
        <w:t>Abstract</w:t>
      </w:r>
    </w:p>
    <w:p w14:paraId="244C4ED4" w14:textId="77777777" w:rsidR="00524AFF" w:rsidRPr="00F52B56" w:rsidRDefault="0096055F" w:rsidP="00F52B56">
      <w:pPr>
        <w:spacing w:after="0" w:line="240" w:lineRule="auto"/>
        <w:jc w:val="both"/>
        <w:rPr>
          <w:rFonts w:ascii="Times New Roman" w:hAnsi="Times New Roman" w:cs="Times New Roman"/>
          <w:b/>
          <w:iCs/>
          <w:sz w:val="18"/>
          <w:szCs w:val="18"/>
          <w:lang w:val="en-MY"/>
        </w:rPr>
      </w:pPr>
      <w:r w:rsidRPr="00F52B56">
        <w:rPr>
          <w:rFonts w:ascii="Times New Roman" w:hAnsi="Times New Roman" w:cs="Times New Roman"/>
          <w:sz w:val="18"/>
          <w:szCs w:val="18"/>
          <w:lang w:val="en-US"/>
        </w:rPr>
        <w:t>By using a semi-efficient vulcanisation system,</w:t>
      </w:r>
      <w:r w:rsidRPr="00F52B56">
        <w:rPr>
          <w:rFonts w:ascii="Times New Roman" w:hAnsi="Times New Roman" w:cs="Times New Roman"/>
          <w:noProof/>
          <w:sz w:val="18"/>
          <w:szCs w:val="18"/>
          <w:lang w:val="en-US"/>
        </w:rPr>
        <w:t xml:space="preserve"> two grades of </w:t>
      </w:r>
      <w:r w:rsidRPr="00F52B56">
        <w:rPr>
          <w:rFonts w:ascii="Times New Roman" w:hAnsi="Times New Roman" w:cs="Times New Roman"/>
          <w:sz w:val="18"/>
          <w:szCs w:val="18"/>
          <w:lang w:val="en-US"/>
        </w:rPr>
        <w:t xml:space="preserve">epoxidised natural rubbers </w:t>
      </w:r>
      <w:r w:rsidRPr="00F52B56">
        <w:rPr>
          <w:rFonts w:ascii="Times New Roman" w:hAnsi="Times New Roman" w:cs="Times New Roman"/>
          <w:noProof/>
          <w:sz w:val="18"/>
          <w:szCs w:val="18"/>
          <w:lang w:val="en-US"/>
        </w:rPr>
        <w:t>(</w:t>
      </w:r>
      <w:r w:rsidRPr="00F52B56">
        <w:rPr>
          <w:rFonts w:ascii="Times New Roman" w:hAnsi="Times New Roman" w:cs="Times New Roman"/>
          <w:sz w:val="18"/>
          <w:szCs w:val="18"/>
          <w:lang w:val="en-US"/>
        </w:rPr>
        <w:t>ENR 25 and ENR 50</w:t>
      </w:r>
      <w:r w:rsidRPr="00F52B56">
        <w:rPr>
          <w:rFonts w:ascii="Times New Roman" w:hAnsi="Times New Roman" w:cs="Times New Roman"/>
          <w:noProof/>
          <w:sz w:val="18"/>
          <w:szCs w:val="18"/>
          <w:lang w:val="en-US"/>
        </w:rPr>
        <w:t>) were incorporated separately into calcium carbonate (CaCO</w:t>
      </w:r>
      <w:r w:rsidRPr="00F52B56">
        <w:rPr>
          <w:rFonts w:ascii="Times New Roman" w:hAnsi="Times New Roman" w:cs="Times New Roman"/>
          <w:noProof/>
          <w:sz w:val="18"/>
          <w:szCs w:val="18"/>
          <w:vertAlign w:val="subscript"/>
          <w:lang w:val="en-US"/>
        </w:rPr>
        <w:t>3</w:t>
      </w:r>
      <w:r w:rsidRPr="00F52B56">
        <w:rPr>
          <w:rFonts w:ascii="Times New Roman" w:hAnsi="Times New Roman" w:cs="Times New Roman"/>
          <w:noProof/>
          <w:sz w:val="18"/>
          <w:szCs w:val="18"/>
          <w:lang w:val="en-US"/>
        </w:rPr>
        <w:t xml:space="preserve">) filled </w:t>
      </w:r>
      <w:r w:rsidRPr="00F52B56">
        <w:rPr>
          <w:rFonts w:ascii="Times New Roman" w:hAnsi="Times New Roman" w:cs="Times New Roman"/>
          <w:sz w:val="18"/>
          <w:szCs w:val="18"/>
          <w:lang w:val="en-US"/>
        </w:rPr>
        <w:t xml:space="preserve">natural rubber (NR) compounds at 5.0, 10.0, 15.0, 20.0 and 25.0 phr. An investigation was carried out to examine the effects of the ENRs on cure characteristics, rubber - filler interaction and crosslink density of the </w:t>
      </w:r>
      <w:r w:rsidRPr="00F52B56">
        <w:rPr>
          <w:rFonts w:ascii="Times New Roman" w:hAnsi="Times New Roman" w:cs="Times New Roman"/>
          <w:noProof/>
          <w:sz w:val="18"/>
          <w:szCs w:val="18"/>
          <w:lang w:val="en-US"/>
        </w:rPr>
        <w:t>CaCO</w:t>
      </w:r>
      <w:r w:rsidRPr="00F52B56">
        <w:rPr>
          <w:rFonts w:ascii="Times New Roman" w:hAnsi="Times New Roman" w:cs="Times New Roman"/>
          <w:noProof/>
          <w:sz w:val="18"/>
          <w:szCs w:val="18"/>
          <w:vertAlign w:val="subscript"/>
          <w:lang w:val="en-US"/>
        </w:rPr>
        <w:t xml:space="preserve">3 </w:t>
      </w:r>
      <w:r w:rsidRPr="00F52B56">
        <w:rPr>
          <w:rFonts w:ascii="Times New Roman" w:hAnsi="Times New Roman" w:cs="Times New Roman"/>
          <w:sz w:val="18"/>
          <w:szCs w:val="18"/>
          <w:lang w:val="en-US"/>
        </w:rPr>
        <w:t xml:space="preserve">filled NR compounds. Results revealed that both ENR 25 and ENR 50 functioned as curatives and compatibilizers. They decreased the scorch time, cure time and minimum torque; increased torque difference, crosslink density and degree of rubber - filler interaction. The higher the ENRs loadings; the lower were the scorch and cure times and the higher were the torque difference, crosslink density and degree of rubber - filler interaction. At a similar loading, ENR 50 exhibited a more pronounced </w:t>
      </w:r>
      <w:r w:rsidRPr="00F52B56">
        <w:rPr>
          <w:rFonts w:ascii="Times New Roman" w:hAnsi="Times New Roman" w:cs="Times New Roman"/>
          <w:sz w:val="18"/>
          <w:szCs w:val="18"/>
        </w:rPr>
        <w:t xml:space="preserve">curative and compatibilization effects </w:t>
      </w:r>
      <w:r w:rsidRPr="00F52B56">
        <w:rPr>
          <w:rFonts w:ascii="Times New Roman" w:hAnsi="Times New Roman" w:cs="Times New Roman"/>
          <w:sz w:val="18"/>
          <w:szCs w:val="18"/>
          <w:lang w:val="en-US"/>
        </w:rPr>
        <w:t>than ENR 25.</w:t>
      </w:r>
      <w:r w:rsidRPr="00F52B56">
        <w:rPr>
          <w:rFonts w:ascii="Times New Roman" w:hAnsi="Times New Roman" w:cs="Times New Roman"/>
          <w:b/>
          <w:iCs/>
          <w:sz w:val="18"/>
          <w:szCs w:val="18"/>
          <w:lang w:val="en-MY"/>
        </w:rPr>
        <w:t xml:space="preserve"> </w:t>
      </w:r>
    </w:p>
    <w:p w14:paraId="1E78EBDE" w14:textId="77777777" w:rsidR="00524AFF" w:rsidRPr="00F52B56" w:rsidRDefault="00524AFF" w:rsidP="007A3C0F">
      <w:pPr>
        <w:spacing w:after="0" w:line="240" w:lineRule="auto"/>
        <w:jc w:val="both"/>
        <w:rPr>
          <w:rFonts w:ascii="Times New Roman" w:hAnsi="Times New Roman" w:cs="Times New Roman"/>
          <w:b/>
          <w:iCs/>
          <w:sz w:val="18"/>
          <w:szCs w:val="18"/>
          <w:lang w:val="en-MY"/>
        </w:rPr>
      </w:pPr>
    </w:p>
    <w:p w14:paraId="1FFD56C0" w14:textId="43D60095" w:rsidR="00524AFF" w:rsidRPr="00F52B56" w:rsidRDefault="0096055F" w:rsidP="007A3C0F">
      <w:pPr>
        <w:spacing w:after="0" w:line="240" w:lineRule="auto"/>
        <w:rPr>
          <w:rFonts w:ascii="Times New Roman" w:hAnsi="Times New Roman" w:cs="Times New Roman"/>
          <w:iCs/>
          <w:sz w:val="18"/>
          <w:szCs w:val="18"/>
          <w:lang w:val="en-MY"/>
        </w:rPr>
      </w:pPr>
      <w:r w:rsidRPr="00F52B56">
        <w:rPr>
          <w:rFonts w:ascii="Times New Roman" w:hAnsi="Times New Roman" w:cs="Times New Roman"/>
          <w:b/>
          <w:iCs/>
          <w:sz w:val="18"/>
          <w:szCs w:val="18"/>
          <w:lang w:val="en-MY"/>
        </w:rPr>
        <w:t xml:space="preserve">Keywords: </w:t>
      </w:r>
      <w:r w:rsidR="00772E64" w:rsidRPr="00F52B56">
        <w:rPr>
          <w:rFonts w:ascii="Times New Roman" w:hAnsi="Times New Roman" w:cs="Times New Roman"/>
          <w:iCs/>
          <w:sz w:val="18"/>
          <w:szCs w:val="18"/>
          <w:lang w:val="en-MY"/>
        </w:rPr>
        <w:t>epoxidised natural rubber, calcium carbonate, cure characteristics, natural rubber, r</w:t>
      </w:r>
      <w:r w:rsidRPr="00F52B56">
        <w:rPr>
          <w:rFonts w:ascii="Times New Roman" w:hAnsi="Times New Roman" w:cs="Times New Roman"/>
          <w:iCs/>
          <w:sz w:val="18"/>
          <w:szCs w:val="18"/>
          <w:lang w:val="en-MY"/>
        </w:rPr>
        <w:t>ubber - filler interaction</w:t>
      </w:r>
    </w:p>
    <w:p w14:paraId="7690838B" w14:textId="77777777" w:rsidR="00524AFF" w:rsidRPr="00F52B56" w:rsidRDefault="00524AFF" w:rsidP="007A3C0F">
      <w:pPr>
        <w:spacing w:after="0" w:line="240" w:lineRule="auto"/>
        <w:jc w:val="both"/>
        <w:rPr>
          <w:rFonts w:ascii="Times New Roman" w:hAnsi="Times New Roman" w:cs="Times New Roman"/>
          <w:iCs/>
          <w:sz w:val="18"/>
          <w:szCs w:val="18"/>
          <w:lang w:val="en-MY"/>
        </w:rPr>
      </w:pPr>
    </w:p>
    <w:p w14:paraId="4E1FB346" w14:textId="77777777" w:rsidR="00855D8D" w:rsidRPr="00F52B56" w:rsidRDefault="00855D8D" w:rsidP="00F52B56">
      <w:pPr>
        <w:spacing w:after="0" w:line="240" w:lineRule="auto"/>
        <w:jc w:val="center"/>
        <w:rPr>
          <w:rFonts w:ascii="Times New Roman" w:hAnsi="Times New Roman" w:cs="Times New Roman"/>
          <w:noProof/>
          <w:sz w:val="18"/>
          <w:szCs w:val="18"/>
          <w:lang w:val="ms-MY"/>
        </w:rPr>
      </w:pPr>
      <w:r w:rsidRPr="00F52B56">
        <w:rPr>
          <w:rFonts w:ascii="Times New Roman" w:hAnsi="Times New Roman" w:cs="Times New Roman"/>
          <w:b/>
          <w:sz w:val="18"/>
          <w:szCs w:val="18"/>
          <w:lang w:val="ms-MY"/>
        </w:rPr>
        <w:t>Abstrak</w:t>
      </w:r>
    </w:p>
    <w:p w14:paraId="312D60D1" w14:textId="77777777" w:rsidR="00855D8D" w:rsidRPr="00F52B56" w:rsidRDefault="00855D8D" w:rsidP="00F52B56">
      <w:pPr>
        <w:spacing w:after="0" w:line="240" w:lineRule="auto"/>
        <w:jc w:val="both"/>
        <w:rPr>
          <w:rFonts w:ascii="Times New Roman" w:hAnsi="Times New Roman" w:cs="Times New Roman"/>
          <w:bCs/>
          <w:iCs/>
          <w:sz w:val="18"/>
          <w:szCs w:val="18"/>
          <w:lang w:val="ms-MY"/>
        </w:rPr>
      </w:pPr>
      <w:r w:rsidRPr="00F52B56">
        <w:rPr>
          <w:rFonts w:ascii="Times New Roman" w:hAnsi="Times New Roman" w:cs="Times New Roman"/>
          <w:bCs/>
          <w:iCs/>
          <w:sz w:val="18"/>
          <w:szCs w:val="18"/>
          <w:lang w:val="ms-MY"/>
        </w:rPr>
        <w:t xml:space="preserve">Dua gred getah asli terepoksida (ENR 25 dan ENR 50) dimasukkan secara berasingan ke dalam sebatian getah asli terisi kalsium karbonat pada 5.0, 10.0, 15.0, 20.0 dan 25.0 phr dengan menggunakan kaedah pemvulkanan separa cekap (semi-EV). </w:t>
      </w:r>
    </w:p>
    <w:p w14:paraId="732B3E77" w14:textId="3D10B482" w:rsidR="00F52B56" w:rsidRDefault="00855D8D" w:rsidP="00F52B56">
      <w:pPr>
        <w:spacing w:after="0" w:line="240" w:lineRule="auto"/>
        <w:jc w:val="both"/>
        <w:rPr>
          <w:rFonts w:ascii="Times New Roman" w:hAnsi="Times New Roman" w:cs="Times New Roman"/>
          <w:bCs/>
          <w:iCs/>
          <w:sz w:val="18"/>
          <w:szCs w:val="18"/>
          <w:lang w:val="ms-MY"/>
        </w:rPr>
      </w:pPr>
      <w:r w:rsidRPr="00F52B56">
        <w:rPr>
          <w:rFonts w:ascii="Times New Roman" w:hAnsi="Times New Roman" w:cs="Times New Roman"/>
          <w:bCs/>
          <w:iCs/>
          <w:sz w:val="18"/>
          <w:szCs w:val="18"/>
          <w:lang w:val="ms-MY"/>
        </w:rPr>
        <w:t xml:space="preserve">Kajian terhadap sebatian untuk mengkaji kesan ENR terhadap ciri-ciri pematangan, interaksi </w:t>
      </w:r>
      <w:r w:rsidR="00701065" w:rsidRPr="00F52B56">
        <w:rPr>
          <w:rFonts w:ascii="Times New Roman" w:hAnsi="Times New Roman" w:cs="Times New Roman"/>
          <w:iCs/>
          <w:sz w:val="18"/>
          <w:szCs w:val="18"/>
          <w:lang w:val="ms-MY"/>
        </w:rPr>
        <w:t>getah-pengisi</w:t>
      </w:r>
      <w:r w:rsidR="00701065" w:rsidRPr="00F52B56">
        <w:rPr>
          <w:rFonts w:ascii="Times New Roman" w:hAnsi="Times New Roman" w:cs="Times New Roman"/>
          <w:bCs/>
          <w:iCs/>
          <w:sz w:val="18"/>
          <w:szCs w:val="18"/>
          <w:lang w:val="ms-MY"/>
        </w:rPr>
        <w:t xml:space="preserve"> </w:t>
      </w:r>
      <w:r w:rsidRPr="00F52B56">
        <w:rPr>
          <w:rFonts w:ascii="Times New Roman" w:hAnsi="Times New Roman" w:cs="Times New Roman"/>
          <w:bCs/>
          <w:iCs/>
          <w:sz w:val="18"/>
          <w:szCs w:val="18"/>
          <w:lang w:val="ms-MY"/>
        </w:rPr>
        <w:t>dan ketumpatan sambung-silang telah dijalankan. Hasil kajian menunjukkan kedua-dua gred ENR berfungsi sebagai kuratif dan</w:t>
      </w:r>
      <w:r w:rsidR="00F52B56">
        <w:rPr>
          <w:rFonts w:ascii="Times New Roman" w:hAnsi="Times New Roman" w:cs="Times New Roman"/>
          <w:bCs/>
          <w:iCs/>
          <w:sz w:val="18"/>
          <w:szCs w:val="18"/>
          <w:lang w:val="ms-MY"/>
        </w:rPr>
        <w:t xml:space="preserve"> pengserasi</w:t>
      </w:r>
      <w:r w:rsidRPr="00F52B56">
        <w:rPr>
          <w:rFonts w:ascii="Times New Roman" w:hAnsi="Times New Roman" w:cs="Times New Roman"/>
          <w:bCs/>
          <w:iCs/>
          <w:sz w:val="18"/>
          <w:szCs w:val="18"/>
          <w:lang w:val="ms-MY"/>
        </w:rPr>
        <w:t>. ENR 25 dan ENR 50 memberikan kesan penurunan terhadap masa</w:t>
      </w:r>
      <w:r w:rsidR="005F63F8">
        <w:rPr>
          <w:rFonts w:ascii="Times New Roman" w:hAnsi="Times New Roman" w:cs="Times New Roman"/>
          <w:bCs/>
          <w:iCs/>
          <w:sz w:val="18"/>
          <w:szCs w:val="18"/>
          <w:lang w:val="ms-MY"/>
        </w:rPr>
        <w:t xml:space="preserve"> pembakaran</w:t>
      </w:r>
      <w:r w:rsidRPr="00F52B56">
        <w:rPr>
          <w:rFonts w:ascii="Times New Roman" w:hAnsi="Times New Roman" w:cs="Times New Roman"/>
          <w:bCs/>
          <w:iCs/>
          <w:sz w:val="18"/>
          <w:szCs w:val="18"/>
          <w:lang w:val="ms-MY"/>
        </w:rPr>
        <w:t>, masa pematangan dan tork minima; peningkatan perbezaan tork, ketumpatan sambung-silang dan darjah interaksi pengisi-getah. Semakin meningkat</w:t>
      </w:r>
      <w:r w:rsidR="005F63F8">
        <w:rPr>
          <w:rFonts w:ascii="Times New Roman" w:hAnsi="Times New Roman" w:cs="Times New Roman"/>
          <w:bCs/>
          <w:iCs/>
          <w:sz w:val="18"/>
          <w:szCs w:val="18"/>
          <w:lang w:val="ms-MY"/>
        </w:rPr>
        <w:t xml:space="preserve"> jumlah</w:t>
      </w:r>
      <w:r w:rsidRPr="00F52B56">
        <w:rPr>
          <w:rFonts w:ascii="Times New Roman" w:hAnsi="Times New Roman" w:cs="Times New Roman"/>
          <w:bCs/>
          <w:iCs/>
          <w:sz w:val="18"/>
          <w:szCs w:val="18"/>
          <w:lang w:val="ms-MY"/>
        </w:rPr>
        <w:t xml:space="preserve"> kedua-dua ENR, semakin rendah nilai masa </w:t>
      </w:r>
      <w:r w:rsidR="005F63F8">
        <w:rPr>
          <w:rFonts w:ascii="Times New Roman" w:hAnsi="Times New Roman" w:cs="Times New Roman"/>
          <w:bCs/>
          <w:iCs/>
          <w:sz w:val="18"/>
          <w:szCs w:val="18"/>
          <w:lang w:val="ms-MY"/>
        </w:rPr>
        <w:t>pembakaran</w:t>
      </w:r>
      <w:r w:rsidRPr="00F52B56">
        <w:rPr>
          <w:rFonts w:ascii="Times New Roman" w:hAnsi="Times New Roman" w:cs="Times New Roman"/>
          <w:bCs/>
          <w:iCs/>
          <w:sz w:val="18"/>
          <w:szCs w:val="18"/>
          <w:lang w:val="ms-MY"/>
        </w:rPr>
        <w:t xml:space="preserve"> dan pematangan dan semakin tinggi nilai perbezaan tork, ketumpatan sambung-silang dan darjah interaksi pengisi-getah. Pada nilai muatan yang sama, ENR 50 menunjukkan kesan yang lebih baik sebagai kuratif dan </w:t>
      </w:r>
      <w:r w:rsidR="005F63F8">
        <w:rPr>
          <w:rFonts w:ascii="Times New Roman" w:hAnsi="Times New Roman" w:cs="Times New Roman"/>
          <w:bCs/>
          <w:iCs/>
          <w:sz w:val="18"/>
          <w:szCs w:val="18"/>
          <w:lang w:val="ms-MY"/>
        </w:rPr>
        <w:t>pengserasi</w:t>
      </w:r>
      <w:r w:rsidRPr="00F52B56">
        <w:rPr>
          <w:rFonts w:ascii="Times New Roman" w:hAnsi="Times New Roman" w:cs="Times New Roman"/>
          <w:bCs/>
          <w:iCs/>
          <w:sz w:val="18"/>
          <w:szCs w:val="18"/>
          <w:lang w:val="ms-MY"/>
        </w:rPr>
        <w:t xml:space="preserve"> berbanding ENR 25.</w:t>
      </w:r>
    </w:p>
    <w:p w14:paraId="22C598CD" w14:textId="77777777" w:rsidR="00F52B56" w:rsidRDefault="00F52B56" w:rsidP="00F52B56">
      <w:pPr>
        <w:spacing w:after="0" w:line="240" w:lineRule="auto"/>
        <w:jc w:val="both"/>
        <w:rPr>
          <w:rFonts w:ascii="Times New Roman" w:hAnsi="Times New Roman" w:cs="Times New Roman"/>
          <w:b/>
          <w:iCs/>
          <w:sz w:val="18"/>
          <w:szCs w:val="18"/>
          <w:lang w:val="en-MY"/>
        </w:rPr>
      </w:pPr>
    </w:p>
    <w:p w14:paraId="7F121B0D" w14:textId="5D084ED8" w:rsidR="00524AFF" w:rsidRPr="00F52B56" w:rsidRDefault="00AF21BB" w:rsidP="00F52B56">
      <w:pPr>
        <w:spacing w:after="0" w:line="240" w:lineRule="auto"/>
        <w:jc w:val="both"/>
        <w:rPr>
          <w:rFonts w:ascii="Times New Roman" w:hAnsi="Times New Roman" w:cs="Times New Roman"/>
          <w:bCs/>
          <w:iCs/>
          <w:sz w:val="18"/>
          <w:szCs w:val="18"/>
          <w:lang w:val="ms-MY"/>
        </w:rPr>
      </w:pPr>
      <w:r w:rsidRPr="00F52B56">
        <w:rPr>
          <w:rFonts w:ascii="Times New Roman" w:hAnsi="Times New Roman" w:cs="Times New Roman"/>
          <w:b/>
          <w:iCs/>
          <w:sz w:val="18"/>
          <w:szCs w:val="18"/>
          <w:lang w:val="ms-MY"/>
        </w:rPr>
        <w:t>Kata kunci</w:t>
      </w:r>
      <w:r w:rsidR="00255CCA" w:rsidRPr="00F52B56">
        <w:rPr>
          <w:rFonts w:ascii="Times New Roman" w:hAnsi="Times New Roman" w:cs="Times New Roman"/>
          <w:b/>
          <w:iCs/>
          <w:sz w:val="18"/>
          <w:szCs w:val="18"/>
          <w:lang w:val="ms-MY"/>
        </w:rPr>
        <w:t xml:space="preserve">: </w:t>
      </w:r>
      <w:r w:rsidR="00772E64" w:rsidRPr="00F52B56">
        <w:rPr>
          <w:rFonts w:ascii="Times New Roman" w:hAnsi="Times New Roman" w:cs="Times New Roman"/>
          <w:iCs/>
          <w:sz w:val="18"/>
          <w:szCs w:val="18"/>
          <w:lang w:val="ms-MY"/>
        </w:rPr>
        <w:t>g</w:t>
      </w:r>
      <w:r w:rsidR="00855D8D" w:rsidRPr="00F52B56">
        <w:rPr>
          <w:rFonts w:ascii="Times New Roman" w:hAnsi="Times New Roman" w:cs="Times New Roman"/>
          <w:iCs/>
          <w:sz w:val="18"/>
          <w:szCs w:val="18"/>
          <w:lang w:val="ms-MY"/>
        </w:rPr>
        <w:t>etah asli terepoksida</w:t>
      </w:r>
      <w:r w:rsidR="00772E64" w:rsidRPr="00F52B56">
        <w:rPr>
          <w:rFonts w:ascii="Times New Roman" w:hAnsi="Times New Roman" w:cs="Times New Roman"/>
          <w:iCs/>
          <w:sz w:val="18"/>
          <w:szCs w:val="18"/>
          <w:lang w:val="ms-MY"/>
        </w:rPr>
        <w:t>,</w:t>
      </w:r>
      <w:r w:rsidR="00855D8D" w:rsidRPr="00F52B56">
        <w:rPr>
          <w:rFonts w:ascii="Times New Roman" w:hAnsi="Times New Roman" w:cs="Times New Roman"/>
          <w:iCs/>
          <w:sz w:val="18"/>
          <w:szCs w:val="18"/>
          <w:lang w:val="ms-MY"/>
        </w:rPr>
        <w:t xml:space="preserve"> </w:t>
      </w:r>
      <w:r w:rsidR="00772E64" w:rsidRPr="00F52B56">
        <w:rPr>
          <w:rFonts w:ascii="Times New Roman" w:hAnsi="Times New Roman" w:cs="Times New Roman"/>
          <w:iCs/>
          <w:sz w:val="18"/>
          <w:szCs w:val="18"/>
          <w:lang w:val="ms-MY"/>
        </w:rPr>
        <w:t>k</w:t>
      </w:r>
      <w:r w:rsidR="00855D8D" w:rsidRPr="00F52B56">
        <w:rPr>
          <w:rFonts w:ascii="Times New Roman" w:hAnsi="Times New Roman" w:cs="Times New Roman"/>
          <w:iCs/>
          <w:sz w:val="18"/>
          <w:szCs w:val="18"/>
          <w:lang w:val="ms-MY"/>
        </w:rPr>
        <w:t>alsium karbonat</w:t>
      </w:r>
      <w:r w:rsidR="00772E64" w:rsidRPr="00F52B56">
        <w:rPr>
          <w:rFonts w:ascii="Times New Roman" w:hAnsi="Times New Roman" w:cs="Times New Roman"/>
          <w:iCs/>
          <w:sz w:val="18"/>
          <w:szCs w:val="18"/>
          <w:lang w:val="ms-MY"/>
        </w:rPr>
        <w:t>,</w:t>
      </w:r>
      <w:r w:rsidR="00855D8D" w:rsidRPr="00F52B56">
        <w:rPr>
          <w:rFonts w:ascii="Times New Roman" w:hAnsi="Times New Roman" w:cs="Times New Roman"/>
          <w:iCs/>
          <w:sz w:val="18"/>
          <w:szCs w:val="18"/>
          <w:lang w:val="ms-MY"/>
        </w:rPr>
        <w:t xml:space="preserve"> </w:t>
      </w:r>
      <w:r w:rsidR="00772E64" w:rsidRPr="00F52B56">
        <w:rPr>
          <w:rFonts w:ascii="Times New Roman" w:hAnsi="Times New Roman" w:cs="Times New Roman"/>
          <w:iCs/>
          <w:sz w:val="18"/>
          <w:szCs w:val="18"/>
          <w:lang w:val="ms-MY"/>
        </w:rPr>
        <w:t>c</w:t>
      </w:r>
      <w:r w:rsidR="00855D8D" w:rsidRPr="00F52B56">
        <w:rPr>
          <w:rFonts w:ascii="Times New Roman" w:hAnsi="Times New Roman" w:cs="Times New Roman"/>
          <w:iCs/>
          <w:sz w:val="18"/>
          <w:szCs w:val="18"/>
          <w:lang w:val="ms-MY"/>
        </w:rPr>
        <w:t>iri-ciri pematangan</w:t>
      </w:r>
      <w:r w:rsidR="00772E64" w:rsidRPr="00F52B56">
        <w:rPr>
          <w:rFonts w:ascii="Times New Roman" w:hAnsi="Times New Roman" w:cs="Times New Roman"/>
          <w:iCs/>
          <w:sz w:val="18"/>
          <w:szCs w:val="18"/>
          <w:lang w:val="ms-MY"/>
        </w:rPr>
        <w:t>,</w:t>
      </w:r>
      <w:r w:rsidR="00855D8D" w:rsidRPr="00F52B56">
        <w:rPr>
          <w:rFonts w:ascii="Times New Roman" w:hAnsi="Times New Roman" w:cs="Times New Roman"/>
          <w:iCs/>
          <w:sz w:val="18"/>
          <w:szCs w:val="18"/>
          <w:lang w:val="ms-MY"/>
        </w:rPr>
        <w:t xml:space="preserve"> </w:t>
      </w:r>
      <w:r w:rsidR="00772E64" w:rsidRPr="00F52B56">
        <w:rPr>
          <w:rFonts w:ascii="Times New Roman" w:hAnsi="Times New Roman" w:cs="Times New Roman"/>
          <w:iCs/>
          <w:sz w:val="18"/>
          <w:szCs w:val="18"/>
          <w:lang w:val="ms-MY"/>
        </w:rPr>
        <w:t>g</w:t>
      </w:r>
      <w:r w:rsidR="00855D8D" w:rsidRPr="00F52B56">
        <w:rPr>
          <w:rFonts w:ascii="Times New Roman" w:hAnsi="Times New Roman" w:cs="Times New Roman"/>
          <w:iCs/>
          <w:sz w:val="18"/>
          <w:szCs w:val="18"/>
          <w:lang w:val="ms-MY"/>
        </w:rPr>
        <w:t>etah asli</w:t>
      </w:r>
      <w:r w:rsidR="00772E64" w:rsidRPr="00F52B56">
        <w:rPr>
          <w:rFonts w:ascii="Times New Roman" w:hAnsi="Times New Roman" w:cs="Times New Roman"/>
          <w:iCs/>
          <w:sz w:val="18"/>
          <w:szCs w:val="18"/>
          <w:lang w:val="ms-MY"/>
        </w:rPr>
        <w:t>,</w:t>
      </w:r>
      <w:r w:rsidR="00855D8D" w:rsidRPr="00F52B56">
        <w:rPr>
          <w:rFonts w:ascii="Times New Roman" w:hAnsi="Times New Roman" w:cs="Times New Roman"/>
          <w:iCs/>
          <w:sz w:val="18"/>
          <w:szCs w:val="18"/>
          <w:lang w:val="ms-MY"/>
        </w:rPr>
        <w:t xml:space="preserve"> </w:t>
      </w:r>
      <w:r w:rsidR="00772E64" w:rsidRPr="00F52B56">
        <w:rPr>
          <w:rFonts w:ascii="Times New Roman" w:hAnsi="Times New Roman" w:cs="Times New Roman"/>
          <w:iCs/>
          <w:sz w:val="18"/>
          <w:szCs w:val="18"/>
          <w:lang w:val="ms-MY"/>
        </w:rPr>
        <w:t>i</w:t>
      </w:r>
      <w:r w:rsidR="00855D8D" w:rsidRPr="00F52B56">
        <w:rPr>
          <w:rFonts w:ascii="Times New Roman" w:hAnsi="Times New Roman" w:cs="Times New Roman"/>
          <w:iCs/>
          <w:sz w:val="18"/>
          <w:szCs w:val="18"/>
          <w:lang w:val="ms-MY"/>
        </w:rPr>
        <w:t xml:space="preserve">nteraksi </w:t>
      </w:r>
      <w:r w:rsidR="00701065" w:rsidRPr="00F52B56">
        <w:rPr>
          <w:rFonts w:ascii="Times New Roman" w:hAnsi="Times New Roman" w:cs="Times New Roman"/>
          <w:iCs/>
          <w:sz w:val="18"/>
          <w:szCs w:val="18"/>
          <w:lang w:val="ms-MY"/>
        </w:rPr>
        <w:t>getah</w:t>
      </w:r>
      <w:r w:rsidR="00855D8D" w:rsidRPr="00F52B56">
        <w:rPr>
          <w:rFonts w:ascii="Times New Roman" w:hAnsi="Times New Roman" w:cs="Times New Roman"/>
          <w:iCs/>
          <w:sz w:val="18"/>
          <w:szCs w:val="18"/>
          <w:lang w:val="ms-MY"/>
        </w:rPr>
        <w:t>-</w:t>
      </w:r>
      <w:r w:rsidR="00701065" w:rsidRPr="00F52B56">
        <w:rPr>
          <w:rFonts w:ascii="Times New Roman" w:hAnsi="Times New Roman" w:cs="Times New Roman"/>
          <w:iCs/>
          <w:sz w:val="18"/>
          <w:szCs w:val="18"/>
          <w:lang w:val="ms-MY"/>
        </w:rPr>
        <w:t>pengisi</w:t>
      </w:r>
    </w:p>
    <w:p w14:paraId="6669F841" w14:textId="77777777" w:rsidR="00EF5D11" w:rsidRPr="00F52B56" w:rsidRDefault="00EF5D11" w:rsidP="007A3C0F">
      <w:pPr>
        <w:spacing w:after="0" w:line="240" w:lineRule="auto"/>
        <w:jc w:val="both"/>
        <w:rPr>
          <w:rFonts w:ascii="Times New Roman" w:hAnsi="Times New Roman" w:cs="Times New Roman"/>
          <w:iCs/>
          <w:sz w:val="24"/>
          <w:szCs w:val="24"/>
          <w:lang w:val="en-MY"/>
        </w:rPr>
      </w:pPr>
    </w:p>
    <w:p w14:paraId="7049B434" w14:textId="56932C2B" w:rsidR="00B119ED" w:rsidRPr="00F52B56" w:rsidRDefault="00AF21BB" w:rsidP="00B119ED">
      <w:pPr>
        <w:spacing w:after="0" w:line="240" w:lineRule="auto"/>
        <w:jc w:val="center"/>
        <w:rPr>
          <w:rFonts w:ascii="Times New Roman" w:hAnsi="Times New Roman" w:cs="Times New Roman"/>
          <w:b/>
          <w:bCs/>
          <w:sz w:val="20"/>
          <w:szCs w:val="20"/>
          <w:lang w:val="en-US"/>
        </w:rPr>
      </w:pPr>
      <w:r w:rsidRPr="00F52B56">
        <w:rPr>
          <w:rFonts w:ascii="Times New Roman" w:hAnsi="Times New Roman" w:cs="Times New Roman"/>
          <w:b/>
          <w:bCs/>
          <w:sz w:val="20"/>
          <w:szCs w:val="20"/>
          <w:lang w:val="en-US"/>
        </w:rPr>
        <w:t>Introduction</w:t>
      </w:r>
    </w:p>
    <w:p w14:paraId="749E3587" w14:textId="56932C2B" w:rsidR="00524AFF" w:rsidRPr="00F52B56" w:rsidRDefault="0096055F" w:rsidP="007A3C0F">
      <w:pPr>
        <w:spacing w:after="0" w:line="240" w:lineRule="auto"/>
        <w:jc w:val="both"/>
        <w:rPr>
          <w:rFonts w:ascii="Times New Roman" w:hAnsi="Times New Roman" w:cs="Times New Roman"/>
          <w:sz w:val="20"/>
          <w:szCs w:val="20"/>
          <w:lang w:val="en-US"/>
        </w:rPr>
      </w:pPr>
      <w:r w:rsidRPr="00F52B56">
        <w:rPr>
          <w:rFonts w:ascii="Times New Roman" w:hAnsi="Times New Roman" w:cs="Times New Roman"/>
          <w:bCs/>
          <w:sz w:val="20"/>
          <w:szCs w:val="20"/>
          <w:lang w:val="en-US"/>
        </w:rPr>
        <w:t xml:space="preserve">In rubber science and technology, fillers can be divided into black and non-black fillers. The black filler is carbon black (CB), and </w:t>
      </w:r>
      <w:r w:rsidRPr="00F52B56">
        <w:rPr>
          <w:rFonts w:ascii="Times New Roman" w:hAnsi="Times New Roman" w:cs="Times New Roman"/>
          <w:sz w:val="20"/>
          <w:szCs w:val="20"/>
        </w:rPr>
        <w:t>non-black fillers are calcium carbonate (CaCO</w:t>
      </w:r>
      <w:r w:rsidRPr="00F52B56">
        <w:rPr>
          <w:rFonts w:ascii="Times New Roman" w:hAnsi="Times New Roman" w:cs="Times New Roman"/>
          <w:sz w:val="20"/>
          <w:szCs w:val="20"/>
          <w:vertAlign w:val="subscript"/>
        </w:rPr>
        <w:t>3</w:t>
      </w:r>
      <w:r w:rsidRPr="00F52B56">
        <w:rPr>
          <w:rFonts w:ascii="Times New Roman" w:hAnsi="Times New Roman" w:cs="Times New Roman"/>
          <w:sz w:val="20"/>
          <w:szCs w:val="20"/>
        </w:rPr>
        <w:t>), kaolin clay, precipitated</w:t>
      </w:r>
      <w:r w:rsidRPr="00F52B56">
        <w:rPr>
          <w:rFonts w:ascii="Times New Roman" w:hAnsi="Times New Roman" w:cs="Times New Roman"/>
          <w:sz w:val="20"/>
          <w:szCs w:val="20"/>
          <w:lang w:val="en-US"/>
        </w:rPr>
        <w:t xml:space="preserve"> silica</w:t>
      </w:r>
      <w:r w:rsidRPr="00F52B56">
        <w:rPr>
          <w:rFonts w:ascii="Times New Roman" w:hAnsi="Times New Roman" w:cs="Times New Roman"/>
          <w:sz w:val="20"/>
          <w:szCs w:val="20"/>
        </w:rPr>
        <w:t xml:space="preserve">, talc, barite, wollastonite, mica, precipitated </w:t>
      </w:r>
      <w:r w:rsidRPr="00F52B56">
        <w:rPr>
          <w:rFonts w:ascii="Times New Roman" w:hAnsi="Times New Roman" w:cs="Times New Roman"/>
          <w:sz w:val="20"/>
          <w:szCs w:val="20"/>
          <w:lang w:val="en-US"/>
        </w:rPr>
        <w:t>silica</w:t>
      </w:r>
      <w:r w:rsidRPr="00F52B56">
        <w:rPr>
          <w:rFonts w:ascii="Times New Roman" w:hAnsi="Times New Roman" w:cs="Times New Roman"/>
          <w:sz w:val="20"/>
          <w:szCs w:val="20"/>
        </w:rPr>
        <w:t>tes, fumed kaolin and</w:t>
      </w:r>
      <w:r w:rsidRPr="00F52B56">
        <w:rPr>
          <w:rFonts w:ascii="Times New Roman" w:hAnsi="Times New Roman" w:cs="Times New Roman"/>
          <w:sz w:val="20"/>
          <w:szCs w:val="20"/>
          <w:lang w:val="en-US"/>
        </w:rPr>
        <w:t xml:space="preserve"> </w:t>
      </w:r>
      <w:r w:rsidRPr="00F52B56">
        <w:rPr>
          <w:rFonts w:ascii="Times New Roman" w:hAnsi="Times New Roman" w:cs="Times New Roman"/>
          <w:sz w:val="20"/>
          <w:szCs w:val="20"/>
        </w:rPr>
        <w:t>diatomite. Of these, the three most widely utilised, by volume and by functionality, are CaCO</w:t>
      </w:r>
      <w:r w:rsidRPr="00F52B56">
        <w:rPr>
          <w:rFonts w:ascii="Times New Roman" w:hAnsi="Times New Roman" w:cs="Times New Roman"/>
          <w:sz w:val="20"/>
          <w:szCs w:val="20"/>
          <w:vertAlign w:val="subscript"/>
        </w:rPr>
        <w:t>3</w:t>
      </w:r>
      <w:r w:rsidRPr="00F52B56">
        <w:rPr>
          <w:rFonts w:ascii="Times New Roman" w:hAnsi="Times New Roman" w:cs="Times New Roman"/>
          <w:sz w:val="20"/>
          <w:szCs w:val="20"/>
          <w:lang w:val="en-US"/>
        </w:rPr>
        <w:t xml:space="preserve">, </w:t>
      </w:r>
      <w:r w:rsidRPr="00F52B56">
        <w:rPr>
          <w:rFonts w:ascii="Times New Roman" w:hAnsi="Times New Roman" w:cs="Times New Roman"/>
          <w:sz w:val="20"/>
          <w:szCs w:val="20"/>
        </w:rPr>
        <w:t xml:space="preserve">precipitated </w:t>
      </w:r>
      <w:r w:rsidRPr="00F52B56">
        <w:rPr>
          <w:rFonts w:ascii="Times New Roman" w:hAnsi="Times New Roman" w:cs="Times New Roman"/>
          <w:sz w:val="20"/>
          <w:szCs w:val="20"/>
          <w:lang w:val="en-US"/>
        </w:rPr>
        <w:t xml:space="preserve">silica and </w:t>
      </w:r>
      <w:r w:rsidRPr="00F52B56">
        <w:rPr>
          <w:rFonts w:ascii="Times New Roman" w:hAnsi="Times New Roman" w:cs="Times New Roman"/>
          <w:sz w:val="20"/>
          <w:szCs w:val="20"/>
        </w:rPr>
        <w:t>kaolin</w:t>
      </w:r>
      <w:r w:rsidRPr="00F52B56">
        <w:rPr>
          <w:rFonts w:ascii="Times New Roman" w:hAnsi="Times New Roman" w:cs="Times New Roman"/>
          <w:sz w:val="20"/>
          <w:szCs w:val="20"/>
          <w:lang w:val="en-US"/>
        </w:rPr>
        <w:t>.</w:t>
      </w:r>
    </w:p>
    <w:p w14:paraId="7D70D004" w14:textId="77777777" w:rsidR="00524AFF" w:rsidRPr="00F52B56" w:rsidRDefault="00524AFF" w:rsidP="007A3C0F">
      <w:pPr>
        <w:spacing w:after="0" w:line="240" w:lineRule="auto"/>
        <w:jc w:val="both"/>
        <w:rPr>
          <w:rFonts w:ascii="Times New Roman" w:hAnsi="Times New Roman" w:cs="Times New Roman"/>
          <w:sz w:val="20"/>
          <w:szCs w:val="20"/>
          <w:lang w:val="en-US"/>
        </w:rPr>
      </w:pPr>
    </w:p>
    <w:p w14:paraId="6BE9224F" w14:textId="4D50306E" w:rsidR="00524AFF" w:rsidRPr="00F52B56" w:rsidRDefault="00772E64" w:rsidP="007A3C0F">
      <w:pPr>
        <w:spacing w:after="0" w:line="240" w:lineRule="auto"/>
        <w:jc w:val="both"/>
        <w:rPr>
          <w:rFonts w:ascii="Times New Roman" w:hAnsi="Times New Roman" w:cs="Times New Roman"/>
          <w:bCs/>
          <w:sz w:val="20"/>
          <w:szCs w:val="20"/>
          <w:lang w:val="en-US"/>
        </w:rPr>
      </w:pPr>
      <w:r w:rsidRPr="00F52B56">
        <w:rPr>
          <w:rFonts w:ascii="Times New Roman" w:hAnsi="Times New Roman" w:cs="Times New Roman"/>
          <w:bCs/>
          <w:sz w:val="20"/>
          <w:szCs w:val="20"/>
        </w:rPr>
        <w:t xml:space="preserve">Due to their inadequate reinforcement levels, </w:t>
      </w:r>
      <w:r w:rsidRPr="00F52B56">
        <w:rPr>
          <w:rFonts w:ascii="Times New Roman" w:hAnsi="Times New Roman" w:cs="Times New Roman"/>
          <w:sz w:val="20"/>
          <w:szCs w:val="20"/>
        </w:rPr>
        <w:t>CaCO</w:t>
      </w:r>
      <w:r w:rsidRPr="00F52B56">
        <w:rPr>
          <w:rFonts w:ascii="Times New Roman" w:hAnsi="Times New Roman" w:cs="Times New Roman"/>
          <w:sz w:val="20"/>
          <w:szCs w:val="20"/>
          <w:vertAlign w:val="subscript"/>
        </w:rPr>
        <w:t>3</w:t>
      </w:r>
      <w:r w:rsidRPr="00F52B56">
        <w:rPr>
          <w:rFonts w:ascii="Times New Roman" w:hAnsi="Times New Roman" w:cs="Times New Roman"/>
          <w:sz w:val="20"/>
          <w:szCs w:val="20"/>
        </w:rPr>
        <w:t xml:space="preserve"> </w:t>
      </w:r>
      <w:r w:rsidRPr="00F52B56">
        <w:rPr>
          <w:rFonts w:ascii="Times New Roman" w:hAnsi="Times New Roman" w:cs="Times New Roman"/>
          <w:bCs/>
          <w:sz w:val="20"/>
          <w:szCs w:val="20"/>
        </w:rPr>
        <w:t xml:space="preserve">and the other non-black fillers are not satisfactory alternatives to CB when it comes to numerous applications </w:t>
      </w:r>
      <w:r w:rsidR="0096055F" w:rsidRPr="00F52B56">
        <w:rPr>
          <w:rFonts w:ascii="Times New Roman" w:hAnsi="Times New Roman" w:cs="Times New Roman"/>
          <w:bCs/>
          <w:noProof/>
          <w:sz w:val="20"/>
          <w:szCs w:val="20"/>
        </w:rPr>
        <w:t>[1]</w:t>
      </w:r>
      <w:r w:rsidR="0096055F" w:rsidRPr="00F52B56">
        <w:rPr>
          <w:rFonts w:ascii="Times New Roman" w:hAnsi="Times New Roman" w:cs="Times New Roman"/>
          <w:bCs/>
          <w:sz w:val="20"/>
          <w:szCs w:val="20"/>
        </w:rPr>
        <w:t xml:space="preserve">. The fundamental problem is their surface chemistry which is more polar and hydrated than CB. It can be considered as a deficiency which causes them to be difficult to wet, disperse and interact with non-polar rubbers such as natural rubber (NR) and styrene butadiene rubber </w:t>
      </w:r>
      <w:r w:rsidR="0096055F" w:rsidRPr="00F52B56">
        <w:rPr>
          <w:rFonts w:ascii="Times New Roman" w:hAnsi="Times New Roman" w:cs="Times New Roman"/>
          <w:bCs/>
          <w:noProof/>
          <w:sz w:val="20"/>
          <w:szCs w:val="20"/>
        </w:rPr>
        <w:t>[2]</w:t>
      </w:r>
      <w:r w:rsidR="0096055F" w:rsidRPr="00F52B56">
        <w:rPr>
          <w:rFonts w:ascii="Times New Roman" w:hAnsi="Times New Roman" w:cs="Times New Roman"/>
          <w:bCs/>
          <w:sz w:val="20"/>
          <w:szCs w:val="20"/>
        </w:rPr>
        <w:t xml:space="preserve">. Numerous methods have been carried on to improve the reactivity of the </w:t>
      </w:r>
      <w:r w:rsidR="0096055F" w:rsidRPr="00F52B56">
        <w:rPr>
          <w:rFonts w:ascii="Times New Roman" w:hAnsi="Times New Roman" w:cs="Times New Roman"/>
          <w:bCs/>
          <w:sz w:val="20"/>
          <w:szCs w:val="20"/>
          <w:lang w:val="en-US"/>
        </w:rPr>
        <w:t>non-black fillers</w:t>
      </w:r>
      <w:r w:rsidR="0096055F" w:rsidRPr="00F52B56">
        <w:rPr>
          <w:rFonts w:ascii="Times New Roman" w:hAnsi="Times New Roman" w:cs="Times New Roman"/>
          <w:bCs/>
          <w:sz w:val="20"/>
          <w:szCs w:val="20"/>
        </w:rPr>
        <w:t xml:space="preserve"> with the rubber phases. One of them is the utilising of a silane-coupling agent. The coupling agent modifies the surface of the</w:t>
      </w:r>
      <w:r w:rsidR="0096055F" w:rsidRPr="00F52B56">
        <w:rPr>
          <w:rFonts w:ascii="Times New Roman" w:hAnsi="Times New Roman" w:cs="Times New Roman"/>
          <w:bCs/>
          <w:sz w:val="20"/>
          <w:szCs w:val="20"/>
          <w:lang w:val="en-US"/>
        </w:rPr>
        <w:t xml:space="preserve"> filler</w:t>
      </w:r>
      <w:r w:rsidR="0096055F" w:rsidRPr="00F52B56">
        <w:rPr>
          <w:rFonts w:ascii="Times New Roman" w:hAnsi="Times New Roman" w:cs="Times New Roman"/>
          <w:bCs/>
          <w:sz w:val="20"/>
          <w:szCs w:val="20"/>
        </w:rPr>
        <w:t xml:space="preserve">. The modified </w:t>
      </w:r>
      <w:r w:rsidR="0096055F" w:rsidRPr="00F52B56">
        <w:rPr>
          <w:rFonts w:ascii="Times New Roman" w:hAnsi="Times New Roman" w:cs="Times New Roman"/>
          <w:bCs/>
          <w:sz w:val="20"/>
          <w:szCs w:val="20"/>
          <w:lang w:val="en-US"/>
        </w:rPr>
        <w:t>polar-filler</w:t>
      </w:r>
      <w:r w:rsidR="0096055F" w:rsidRPr="00F52B56">
        <w:rPr>
          <w:rFonts w:ascii="Times New Roman" w:hAnsi="Times New Roman" w:cs="Times New Roman"/>
          <w:bCs/>
          <w:sz w:val="20"/>
          <w:szCs w:val="20"/>
        </w:rPr>
        <w:t xml:space="preserve"> provides chemically active surfaces that can participate in vulcanisation, providing coupling bonds between silane and both the </w:t>
      </w:r>
      <w:r w:rsidR="0096055F" w:rsidRPr="00F52B56">
        <w:rPr>
          <w:rFonts w:ascii="Times New Roman" w:hAnsi="Times New Roman" w:cs="Times New Roman"/>
          <w:bCs/>
          <w:sz w:val="20"/>
          <w:szCs w:val="20"/>
          <w:lang w:val="en-US"/>
        </w:rPr>
        <w:t>polar-filler</w:t>
      </w:r>
      <w:r w:rsidR="0096055F" w:rsidRPr="00F52B56">
        <w:rPr>
          <w:rFonts w:ascii="Times New Roman" w:hAnsi="Times New Roman" w:cs="Times New Roman"/>
          <w:bCs/>
          <w:sz w:val="20"/>
          <w:szCs w:val="20"/>
        </w:rPr>
        <w:t xml:space="preserve"> and the rubber phases </w:t>
      </w:r>
      <w:r w:rsidR="0096055F" w:rsidRPr="00F52B56">
        <w:rPr>
          <w:rFonts w:ascii="Times New Roman" w:hAnsi="Times New Roman" w:cs="Times New Roman"/>
          <w:bCs/>
          <w:noProof/>
          <w:sz w:val="20"/>
          <w:szCs w:val="20"/>
        </w:rPr>
        <w:t>[3]</w:t>
      </w:r>
      <w:r w:rsidR="0096055F" w:rsidRPr="00F52B56">
        <w:rPr>
          <w:rFonts w:ascii="Times New Roman" w:hAnsi="Times New Roman" w:cs="Times New Roman"/>
          <w:bCs/>
          <w:sz w:val="20"/>
          <w:szCs w:val="20"/>
        </w:rPr>
        <w:t xml:space="preserve">. Those rubber products/vulcanisates show a significant improvement in performance compared to their base materials. </w:t>
      </w:r>
    </w:p>
    <w:p w14:paraId="5CD104A9" w14:textId="77777777" w:rsidR="00524AFF" w:rsidRPr="00F52B56" w:rsidRDefault="00524AFF" w:rsidP="007A3C0F">
      <w:pPr>
        <w:spacing w:after="0" w:line="240" w:lineRule="auto"/>
        <w:jc w:val="both"/>
        <w:rPr>
          <w:rFonts w:ascii="Times New Roman" w:hAnsi="Times New Roman" w:cs="Times New Roman"/>
          <w:bCs/>
          <w:sz w:val="20"/>
          <w:szCs w:val="20"/>
        </w:rPr>
      </w:pPr>
    </w:p>
    <w:p w14:paraId="59ACAAAC" w14:textId="30D34BC6" w:rsidR="00524AFF" w:rsidRPr="00F52B56" w:rsidRDefault="000456FF" w:rsidP="007A3C0F">
      <w:pPr>
        <w:spacing w:after="0" w:line="240" w:lineRule="auto"/>
        <w:jc w:val="both"/>
        <w:rPr>
          <w:rFonts w:ascii="Times New Roman" w:hAnsi="Times New Roman" w:cs="Times New Roman"/>
          <w:bCs/>
          <w:sz w:val="20"/>
          <w:szCs w:val="20"/>
          <w:lang w:val="en-US"/>
        </w:rPr>
      </w:pPr>
      <w:r w:rsidRPr="00F52B56">
        <w:rPr>
          <w:rFonts w:ascii="Times New Roman" w:hAnsi="Times New Roman" w:cs="Times New Roman"/>
          <w:bCs/>
          <w:sz w:val="20"/>
          <w:szCs w:val="20"/>
        </w:rPr>
        <w:t xml:space="preserve">The </w:t>
      </w:r>
      <w:r w:rsidRPr="00F52B56">
        <w:rPr>
          <w:rFonts w:ascii="Times New Roman" w:hAnsi="Times New Roman" w:cs="Times New Roman"/>
          <w:sz w:val="20"/>
          <w:szCs w:val="20"/>
        </w:rPr>
        <w:t>CaCO</w:t>
      </w:r>
      <w:r w:rsidRPr="00F52B56">
        <w:rPr>
          <w:rFonts w:ascii="Times New Roman" w:hAnsi="Times New Roman" w:cs="Times New Roman"/>
          <w:sz w:val="20"/>
          <w:szCs w:val="20"/>
          <w:vertAlign w:val="subscript"/>
        </w:rPr>
        <w:t>3</w:t>
      </w:r>
      <w:r w:rsidR="00D07F95" w:rsidRPr="00F52B56">
        <w:rPr>
          <w:rFonts w:ascii="Times New Roman" w:hAnsi="Times New Roman" w:cs="Times New Roman"/>
          <w:bCs/>
          <w:sz w:val="20"/>
          <w:szCs w:val="20"/>
          <w:lang w:val="en-US"/>
        </w:rPr>
        <w:t>, a type of polar-fillers,</w:t>
      </w:r>
      <w:r w:rsidRPr="00F52B56">
        <w:rPr>
          <w:rFonts w:ascii="Times New Roman" w:hAnsi="Times New Roman" w:cs="Times New Roman"/>
          <w:sz w:val="20"/>
          <w:szCs w:val="20"/>
        </w:rPr>
        <w:t xml:space="preserve"> can be easily dispersed in polar rubbers than in non-polar ones, like NR. Therefore, recipes or formulations </w:t>
      </w:r>
      <w:r w:rsidR="00D07F95" w:rsidRPr="00F52B56">
        <w:rPr>
          <w:rFonts w:ascii="Times New Roman" w:hAnsi="Times New Roman" w:cs="Times New Roman"/>
          <w:sz w:val="20"/>
          <w:szCs w:val="20"/>
        </w:rPr>
        <w:t>of the CaCO</w:t>
      </w:r>
      <w:r w:rsidR="00D07F95" w:rsidRPr="00F52B56">
        <w:rPr>
          <w:rFonts w:ascii="Times New Roman" w:hAnsi="Times New Roman" w:cs="Times New Roman"/>
          <w:sz w:val="20"/>
          <w:szCs w:val="20"/>
          <w:vertAlign w:val="subscript"/>
        </w:rPr>
        <w:t>3</w:t>
      </w:r>
      <w:r w:rsidR="00D07F95" w:rsidRPr="00F52B56">
        <w:rPr>
          <w:rFonts w:ascii="Times New Roman" w:hAnsi="Times New Roman" w:cs="Times New Roman"/>
          <w:sz w:val="20"/>
          <w:szCs w:val="20"/>
        </w:rPr>
        <w:t xml:space="preserve"> – NR system must contain a compatibilizer which promotes a greater rubber – filler interaction. In order to </w:t>
      </w:r>
      <w:r w:rsidR="0096055F" w:rsidRPr="00F52B56">
        <w:rPr>
          <w:rFonts w:ascii="Times New Roman" w:hAnsi="Times New Roman" w:cs="Times New Roman"/>
          <w:bCs/>
          <w:sz w:val="20"/>
          <w:szCs w:val="20"/>
        </w:rPr>
        <w:t xml:space="preserve">overcome the deficiency of </w:t>
      </w:r>
      <w:r w:rsidR="0096055F" w:rsidRPr="00F52B56">
        <w:rPr>
          <w:rFonts w:ascii="Times New Roman" w:hAnsi="Times New Roman" w:cs="Times New Roman"/>
          <w:sz w:val="20"/>
          <w:szCs w:val="20"/>
        </w:rPr>
        <w:t>CaCO</w:t>
      </w:r>
      <w:r w:rsidR="0096055F" w:rsidRPr="00F52B56">
        <w:rPr>
          <w:rFonts w:ascii="Times New Roman" w:hAnsi="Times New Roman" w:cs="Times New Roman"/>
          <w:sz w:val="20"/>
          <w:szCs w:val="20"/>
          <w:vertAlign w:val="subscript"/>
        </w:rPr>
        <w:t>3</w:t>
      </w:r>
      <w:r w:rsidR="00D07F95" w:rsidRPr="00F52B56">
        <w:rPr>
          <w:rFonts w:ascii="Times New Roman" w:hAnsi="Times New Roman" w:cs="Times New Roman"/>
          <w:bCs/>
          <w:sz w:val="20"/>
          <w:szCs w:val="20"/>
        </w:rPr>
        <w:t>, th</w:t>
      </w:r>
      <w:r w:rsidR="0096055F" w:rsidRPr="00F52B56">
        <w:rPr>
          <w:rFonts w:ascii="Times New Roman" w:hAnsi="Times New Roman" w:cs="Times New Roman"/>
          <w:bCs/>
          <w:sz w:val="20"/>
          <w:szCs w:val="20"/>
        </w:rPr>
        <w:t xml:space="preserve">is </w:t>
      </w:r>
      <w:r w:rsidR="00D07F95" w:rsidRPr="00F52B56">
        <w:rPr>
          <w:rFonts w:ascii="Times New Roman" w:hAnsi="Times New Roman" w:cs="Times New Roman"/>
          <w:bCs/>
          <w:sz w:val="20"/>
          <w:szCs w:val="20"/>
        </w:rPr>
        <w:t>research work incorporates</w:t>
      </w:r>
      <w:r w:rsidR="0096055F" w:rsidRPr="00F52B56">
        <w:rPr>
          <w:rFonts w:ascii="Times New Roman" w:hAnsi="Times New Roman" w:cs="Times New Roman"/>
          <w:bCs/>
          <w:sz w:val="20"/>
          <w:szCs w:val="20"/>
        </w:rPr>
        <w:t xml:space="preserve"> </w:t>
      </w:r>
      <w:r w:rsidR="0096055F" w:rsidRPr="00F52B56">
        <w:rPr>
          <w:rFonts w:ascii="Times New Roman" w:hAnsi="Times New Roman" w:cs="Times New Roman"/>
          <w:bCs/>
          <w:sz w:val="20"/>
          <w:szCs w:val="20"/>
          <w:lang w:val="en-US"/>
        </w:rPr>
        <w:t xml:space="preserve">epoxidised natural rubber (ENR) into </w:t>
      </w:r>
      <w:r w:rsidR="0096055F" w:rsidRPr="00F52B56">
        <w:rPr>
          <w:rFonts w:ascii="Times New Roman" w:hAnsi="Times New Roman" w:cs="Times New Roman"/>
          <w:sz w:val="20"/>
          <w:szCs w:val="20"/>
        </w:rPr>
        <w:t>CaCO</w:t>
      </w:r>
      <w:r w:rsidR="0096055F" w:rsidRPr="00F52B56">
        <w:rPr>
          <w:rFonts w:ascii="Times New Roman" w:hAnsi="Times New Roman" w:cs="Times New Roman"/>
          <w:sz w:val="20"/>
          <w:szCs w:val="20"/>
          <w:vertAlign w:val="subscript"/>
        </w:rPr>
        <w:t>3</w:t>
      </w:r>
      <w:r w:rsidR="0096055F" w:rsidRPr="00F52B56">
        <w:rPr>
          <w:rFonts w:ascii="Times New Roman" w:hAnsi="Times New Roman" w:cs="Times New Roman"/>
          <w:bCs/>
          <w:sz w:val="20"/>
          <w:szCs w:val="20"/>
          <w:lang w:val="en-US"/>
        </w:rPr>
        <w:t xml:space="preserve"> filled NR compounds</w:t>
      </w:r>
      <w:r w:rsidR="0096055F" w:rsidRPr="00F52B56">
        <w:rPr>
          <w:rFonts w:ascii="Times New Roman" w:hAnsi="Times New Roman" w:cs="Times New Roman"/>
          <w:bCs/>
          <w:sz w:val="20"/>
          <w:szCs w:val="20"/>
        </w:rPr>
        <w:t xml:space="preserve">. </w:t>
      </w:r>
      <w:r w:rsidR="0096055F" w:rsidRPr="00F52B56">
        <w:rPr>
          <w:rFonts w:ascii="Times New Roman" w:hAnsi="Times New Roman" w:cs="Times New Roman"/>
          <w:bCs/>
          <w:sz w:val="20"/>
          <w:szCs w:val="20"/>
          <w:lang w:val="en-US"/>
        </w:rPr>
        <w:t>ENR</w:t>
      </w:r>
      <w:r w:rsidR="0096055F" w:rsidRPr="00F52B56">
        <w:rPr>
          <w:rFonts w:ascii="Times New Roman" w:hAnsi="Times New Roman" w:cs="Times New Roman"/>
          <w:bCs/>
          <w:sz w:val="20"/>
          <w:szCs w:val="20"/>
        </w:rPr>
        <w:t xml:space="preserve"> is </w:t>
      </w:r>
      <w:r w:rsidR="0096055F" w:rsidRPr="00F52B56">
        <w:rPr>
          <w:rFonts w:ascii="Times New Roman" w:hAnsi="Times New Roman" w:cs="Times New Roman"/>
          <w:bCs/>
          <w:sz w:val="20"/>
          <w:szCs w:val="20"/>
          <w:lang w:val="en-US"/>
        </w:rPr>
        <w:t xml:space="preserve">a polar-rubber and is a product of chemical modification on NR. As the NR is epoxidised, its chemical and physical properties change according to </w:t>
      </w:r>
      <w:r w:rsidR="0096055F" w:rsidRPr="00F52B56">
        <w:rPr>
          <w:rFonts w:ascii="Times New Roman" w:hAnsi="Times New Roman" w:cs="Times New Roman"/>
          <w:bCs/>
          <w:sz w:val="20"/>
          <w:szCs w:val="20"/>
          <w:lang w:val="en-US"/>
        </w:rPr>
        <w:lastRenderedPageBreak/>
        <w:t xml:space="preserve">the extent to which the mole % of modification is introduced </w:t>
      </w:r>
      <w:r w:rsidR="0096055F" w:rsidRPr="00F52B56">
        <w:rPr>
          <w:rFonts w:ascii="Times New Roman" w:hAnsi="Times New Roman" w:cs="Times New Roman"/>
          <w:bCs/>
          <w:noProof/>
          <w:sz w:val="20"/>
          <w:szCs w:val="20"/>
          <w:lang w:val="en-US"/>
        </w:rPr>
        <w:t>[4-5]</w:t>
      </w:r>
      <w:r w:rsidR="0096055F" w:rsidRPr="00F52B56">
        <w:rPr>
          <w:rFonts w:ascii="Times New Roman" w:hAnsi="Times New Roman" w:cs="Times New Roman"/>
          <w:bCs/>
          <w:sz w:val="20"/>
          <w:szCs w:val="20"/>
          <w:lang w:val="en-US"/>
        </w:rPr>
        <w:t xml:space="preserve">. The higher the epoxidation degree, the higher is the degree of polarity </w:t>
      </w:r>
      <w:r w:rsidR="0096055F" w:rsidRPr="00F52B56">
        <w:rPr>
          <w:rFonts w:ascii="Times New Roman" w:hAnsi="Times New Roman" w:cs="Times New Roman"/>
          <w:bCs/>
          <w:noProof/>
          <w:sz w:val="20"/>
          <w:szCs w:val="20"/>
          <w:lang w:val="en-US"/>
        </w:rPr>
        <w:t>[6]</w:t>
      </w:r>
      <w:r w:rsidR="0096055F" w:rsidRPr="00F52B56">
        <w:rPr>
          <w:rFonts w:ascii="Times New Roman" w:hAnsi="Times New Roman" w:cs="Times New Roman"/>
          <w:bCs/>
          <w:sz w:val="20"/>
          <w:szCs w:val="20"/>
          <w:lang w:val="en-US"/>
        </w:rPr>
        <w:t>.</w:t>
      </w:r>
    </w:p>
    <w:p w14:paraId="501C7C2C" w14:textId="77777777" w:rsidR="00524AFF" w:rsidRPr="00F52B56" w:rsidRDefault="00524AFF" w:rsidP="007A3C0F">
      <w:pPr>
        <w:spacing w:after="0" w:line="240" w:lineRule="auto"/>
        <w:jc w:val="both"/>
        <w:rPr>
          <w:rFonts w:ascii="Times New Roman" w:hAnsi="Times New Roman" w:cs="Times New Roman"/>
          <w:sz w:val="20"/>
          <w:szCs w:val="20"/>
          <w:lang w:val="en-US"/>
        </w:rPr>
      </w:pPr>
    </w:p>
    <w:p w14:paraId="6FD48F34" w14:textId="2E903CDD" w:rsidR="00524AFF" w:rsidRPr="00F52B56" w:rsidRDefault="0096055F" w:rsidP="007A3C0F">
      <w:pPr>
        <w:spacing w:after="0" w:line="240" w:lineRule="auto"/>
        <w:jc w:val="both"/>
        <w:rPr>
          <w:rFonts w:ascii="Times New Roman" w:hAnsi="Times New Roman" w:cs="Times New Roman"/>
          <w:sz w:val="20"/>
          <w:szCs w:val="20"/>
          <w:lang w:val="en-US"/>
        </w:rPr>
      </w:pPr>
      <w:r w:rsidRPr="00F52B56">
        <w:rPr>
          <w:rFonts w:ascii="Times New Roman" w:hAnsi="Times New Roman" w:cs="Times New Roman"/>
          <w:sz w:val="20"/>
          <w:szCs w:val="20"/>
          <w:lang w:val="en-US"/>
        </w:rPr>
        <w:t xml:space="preserve">In this </w:t>
      </w:r>
      <w:r w:rsidR="00D07F95" w:rsidRPr="00F52B56">
        <w:rPr>
          <w:rFonts w:ascii="Times New Roman" w:hAnsi="Times New Roman" w:cs="Times New Roman"/>
          <w:sz w:val="20"/>
          <w:szCs w:val="20"/>
          <w:lang w:val="en-US"/>
        </w:rPr>
        <w:t>work</w:t>
      </w:r>
      <w:r w:rsidRPr="00F52B56">
        <w:rPr>
          <w:rFonts w:ascii="Times New Roman" w:hAnsi="Times New Roman" w:cs="Times New Roman"/>
          <w:sz w:val="20"/>
          <w:szCs w:val="20"/>
          <w:lang w:val="en-US"/>
        </w:rPr>
        <w:t xml:space="preserve">, the effects of the incorporation of ENRs on cure characteristics, rubber - filler interaction and crosslink density of </w:t>
      </w:r>
      <w:r w:rsidRPr="00F52B56">
        <w:rPr>
          <w:rFonts w:ascii="Times New Roman" w:hAnsi="Times New Roman" w:cs="Times New Roman"/>
          <w:sz w:val="20"/>
          <w:szCs w:val="20"/>
        </w:rPr>
        <w:t>CaCO</w:t>
      </w:r>
      <w:r w:rsidRPr="00F52B56">
        <w:rPr>
          <w:rFonts w:ascii="Times New Roman" w:hAnsi="Times New Roman" w:cs="Times New Roman"/>
          <w:sz w:val="20"/>
          <w:szCs w:val="20"/>
          <w:vertAlign w:val="subscript"/>
        </w:rPr>
        <w:t xml:space="preserve">3 </w:t>
      </w:r>
      <w:r w:rsidRPr="00F52B56">
        <w:rPr>
          <w:rFonts w:ascii="Times New Roman" w:hAnsi="Times New Roman" w:cs="Times New Roman"/>
          <w:sz w:val="20"/>
          <w:szCs w:val="20"/>
          <w:lang w:val="en-US"/>
        </w:rPr>
        <w:t xml:space="preserve">filled NR compounds were investigated. Two grades of ENRs; ENR 25 and ENR 50 having 25 and 50 mol of epoxidation were </w:t>
      </w:r>
      <w:r w:rsidR="005F63F8" w:rsidRPr="00F52B56">
        <w:rPr>
          <w:rFonts w:ascii="Times New Roman" w:hAnsi="Times New Roman" w:cs="Times New Roman"/>
          <w:sz w:val="20"/>
          <w:szCs w:val="20"/>
          <w:lang w:val="en-US"/>
        </w:rPr>
        <w:t>utilized</w:t>
      </w:r>
      <w:r w:rsidRPr="00F52B56">
        <w:rPr>
          <w:rFonts w:ascii="Times New Roman" w:hAnsi="Times New Roman" w:cs="Times New Roman"/>
          <w:sz w:val="20"/>
          <w:szCs w:val="20"/>
          <w:lang w:val="en-US"/>
        </w:rPr>
        <w:t xml:space="preserve"> as additive ingredients.</w:t>
      </w:r>
    </w:p>
    <w:p w14:paraId="21112637" w14:textId="77777777" w:rsidR="003A6CC2" w:rsidRPr="00F52B56" w:rsidRDefault="003A6CC2" w:rsidP="007A3C0F">
      <w:pPr>
        <w:spacing w:after="0" w:line="240" w:lineRule="auto"/>
        <w:jc w:val="both"/>
        <w:rPr>
          <w:rFonts w:ascii="Times New Roman" w:hAnsi="Times New Roman" w:cs="Times New Roman"/>
          <w:sz w:val="20"/>
          <w:szCs w:val="20"/>
          <w:lang w:val="en-US"/>
        </w:rPr>
      </w:pPr>
    </w:p>
    <w:p w14:paraId="1DB7F782" w14:textId="10282A38" w:rsidR="00524AFF" w:rsidRPr="00F52B56" w:rsidRDefault="007A3C0F" w:rsidP="007A3C0F">
      <w:pPr>
        <w:pStyle w:val="BodyTextIndent"/>
        <w:tabs>
          <w:tab w:val="left" w:pos="709"/>
        </w:tabs>
        <w:ind w:firstLine="0"/>
        <w:jc w:val="center"/>
        <w:rPr>
          <w:rFonts w:cs="Times New Roman"/>
          <w:b/>
        </w:rPr>
      </w:pPr>
      <w:r w:rsidRPr="00F52B56">
        <w:rPr>
          <w:rFonts w:cs="Times New Roman"/>
          <w:b/>
        </w:rPr>
        <w:t>Materials and Methods</w:t>
      </w:r>
    </w:p>
    <w:p w14:paraId="2D3067C9" w14:textId="77777777" w:rsidR="00524AFF" w:rsidRPr="00F52B56" w:rsidRDefault="0096055F" w:rsidP="007A3C0F">
      <w:pPr>
        <w:pStyle w:val="BodyTextIndent"/>
        <w:tabs>
          <w:tab w:val="left" w:pos="709"/>
        </w:tabs>
        <w:ind w:firstLine="0"/>
        <w:rPr>
          <w:rFonts w:cs="Times New Roman"/>
          <w:b/>
        </w:rPr>
      </w:pPr>
      <w:r w:rsidRPr="00F52B56">
        <w:rPr>
          <w:rFonts w:cs="Times New Roman"/>
          <w:b/>
        </w:rPr>
        <w:t>Materials</w:t>
      </w:r>
    </w:p>
    <w:p w14:paraId="350A6835" w14:textId="77777777" w:rsidR="00524AFF" w:rsidRPr="00F52B56" w:rsidRDefault="0096055F" w:rsidP="007A3C0F">
      <w:pPr>
        <w:pStyle w:val="BodyTextIndent"/>
        <w:tabs>
          <w:tab w:val="left" w:pos="0"/>
        </w:tabs>
        <w:ind w:firstLine="0"/>
        <w:rPr>
          <w:rFonts w:cs="Times New Roman"/>
        </w:rPr>
      </w:pPr>
      <w:r w:rsidRPr="00F52B56">
        <w:rPr>
          <w:rFonts w:cs="Times New Roman"/>
          <w:noProof w:val="0"/>
          <w:lang w:val="en-GB"/>
        </w:rPr>
        <w:t xml:space="preserve">NR grade SMR-L was obtained from Guthrie (M) Sdn. Bhd., Seremban, Malaysia. ENR 25 and ENR 50 were supplied by the Rubber Research Institute Malaysia (RRIM). Other compounding ingredients such as sulphur (S), zinc oxide (ZnO), stearic acid, N-isopropyl-N'-phenyl-p-phenylenediamine (IPPD), </w:t>
      </w:r>
      <w:proofErr w:type="spellStart"/>
      <w:r w:rsidRPr="00F52B56">
        <w:rPr>
          <w:rFonts w:cs="Times New Roman"/>
          <w:noProof w:val="0"/>
          <w:lang w:val="en-GB"/>
        </w:rPr>
        <w:t>Mercapto</w:t>
      </w:r>
      <w:proofErr w:type="spellEnd"/>
      <w:r w:rsidRPr="00F52B56">
        <w:rPr>
          <w:rFonts w:cs="Times New Roman"/>
          <w:noProof w:val="0"/>
          <w:lang w:val="en-GB"/>
        </w:rPr>
        <w:t xml:space="preserve"> </w:t>
      </w:r>
      <w:proofErr w:type="spellStart"/>
      <w:r w:rsidRPr="00F52B56">
        <w:rPr>
          <w:rFonts w:cs="Times New Roman"/>
          <w:noProof w:val="0"/>
          <w:lang w:val="en-GB"/>
        </w:rPr>
        <w:t>benzothiazolyl</w:t>
      </w:r>
      <w:proofErr w:type="spellEnd"/>
      <w:r w:rsidRPr="00F52B56">
        <w:rPr>
          <w:rFonts w:cs="Times New Roman"/>
          <w:noProof w:val="0"/>
          <w:lang w:val="en-GB"/>
        </w:rPr>
        <w:t xml:space="preserve"> disulphide (MBTS) and CaCO</w:t>
      </w:r>
      <w:r w:rsidRPr="00F52B56">
        <w:rPr>
          <w:rFonts w:cs="Times New Roman"/>
          <w:noProof w:val="0"/>
          <w:vertAlign w:val="subscript"/>
          <w:lang w:val="en-GB"/>
        </w:rPr>
        <w:t>3</w:t>
      </w:r>
      <w:r w:rsidRPr="00F52B56">
        <w:rPr>
          <w:rFonts w:cs="Times New Roman"/>
          <w:noProof w:val="0"/>
          <w:lang w:val="en-GB"/>
        </w:rPr>
        <w:t xml:space="preserve"> were supplied by Bayer Co. (M) Sdn. Bhd., </w:t>
      </w:r>
      <w:proofErr w:type="spellStart"/>
      <w:r w:rsidRPr="00F52B56">
        <w:rPr>
          <w:rFonts w:cs="Times New Roman"/>
          <w:noProof w:val="0"/>
          <w:lang w:val="en-GB"/>
        </w:rPr>
        <w:t>Petaling</w:t>
      </w:r>
      <w:proofErr w:type="spellEnd"/>
      <w:r w:rsidRPr="00F52B56">
        <w:rPr>
          <w:rFonts w:cs="Times New Roman"/>
          <w:noProof w:val="0"/>
          <w:lang w:val="en-GB"/>
        </w:rPr>
        <w:t xml:space="preserve"> Jaya, Selangor, Malaysia. All materials were used as supplied. </w:t>
      </w:r>
      <w:r w:rsidRPr="00F52B56">
        <w:rPr>
          <w:rFonts w:cs="Times New Roman"/>
          <w:lang w:val="en-US"/>
        </w:rPr>
        <w:t>The molecular structure of ENR is presented in Figure 1.</w:t>
      </w:r>
    </w:p>
    <w:p w14:paraId="5B033ABB" w14:textId="77777777" w:rsidR="00524AFF" w:rsidRPr="00F52B56" w:rsidRDefault="00524AFF" w:rsidP="007A3C0F">
      <w:pPr>
        <w:pStyle w:val="BodyTextIndent"/>
        <w:tabs>
          <w:tab w:val="left" w:pos="709"/>
        </w:tabs>
        <w:ind w:firstLine="0"/>
        <w:rPr>
          <w:rFonts w:cs="Times New Roman"/>
          <w:b/>
        </w:rPr>
      </w:pPr>
    </w:p>
    <w:p w14:paraId="27734815" w14:textId="09C01301" w:rsidR="009F4B3C" w:rsidRDefault="005F63F8" w:rsidP="009F4B3C">
      <w:pPr>
        <w:pStyle w:val="BodyTextIndent"/>
        <w:tabs>
          <w:tab w:val="left" w:pos="709"/>
        </w:tabs>
        <w:ind w:firstLine="0"/>
        <w:jc w:val="center"/>
        <w:rPr>
          <w:rFonts w:cs="Times New Roman"/>
        </w:rPr>
      </w:pPr>
      <w:r w:rsidRPr="00F52B56">
        <w:rPr>
          <w:rFonts w:cs="Times New Roman"/>
        </w:rPr>
        <w:object w:dxaOrig="7223" w:dyaOrig="2236" w14:anchorId="0CA11B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8.7pt;height:73.15pt" o:ole="">
            <v:imagedata r:id="rId7" o:title=""/>
          </v:shape>
          <o:OLEObject Type="Embed" ProgID="ChemDraw.Document.6.0" ShapeID="_x0000_i1025" DrawAspect="Content" ObjectID="_1604995685" r:id="rId8"/>
        </w:object>
      </w:r>
    </w:p>
    <w:p w14:paraId="28A5D2E6" w14:textId="77777777" w:rsidR="005F63F8" w:rsidRPr="00F52B56" w:rsidRDefault="005F63F8" w:rsidP="009F4B3C">
      <w:pPr>
        <w:pStyle w:val="BodyTextIndent"/>
        <w:tabs>
          <w:tab w:val="left" w:pos="709"/>
        </w:tabs>
        <w:ind w:firstLine="0"/>
        <w:jc w:val="center"/>
        <w:rPr>
          <w:rFonts w:cs="Times New Roman"/>
          <w:b/>
        </w:rPr>
      </w:pPr>
    </w:p>
    <w:p w14:paraId="790F8637" w14:textId="030A6056" w:rsidR="009F4B3C" w:rsidRPr="00F52B56" w:rsidRDefault="009F4B3C" w:rsidP="009F4B3C">
      <w:pPr>
        <w:spacing w:after="0" w:line="240" w:lineRule="auto"/>
        <w:ind w:firstLine="567"/>
        <w:jc w:val="center"/>
        <w:rPr>
          <w:rFonts w:ascii="Times New Roman" w:hAnsi="Times New Roman" w:cs="Times New Roman"/>
          <w:sz w:val="20"/>
          <w:szCs w:val="20"/>
        </w:rPr>
      </w:pPr>
      <w:r w:rsidRPr="00F52B56">
        <w:rPr>
          <w:rFonts w:ascii="Times New Roman" w:hAnsi="Times New Roman" w:cs="Times New Roman"/>
          <w:sz w:val="20"/>
          <w:szCs w:val="20"/>
        </w:rPr>
        <w:t xml:space="preserve">Figure 1. The molecular structure of </w:t>
      </w:r>
      <w:r w:rsidR="005F63F8" w:rsidRPr="00F52B56">
        <w:rPr>
          <w:rFonts w:ascii="Times New Roman" w:hAnsi="Times New Roman" w:cs="Times New Roman"/>
          <w:sz w:val="20"/>
          <w:szCs w:val="20"/>
        </w:rPr>
        <w:t>epoxidized</w:t>
      </w:r>
      <w:r w:rsidRPr="00F52B56">
        <w:rPr>
          <w:rFonts w:ascii="Times New Roman" w:hAnsi="Times New Roman" w:cs="Times New Roman"/>
          <w:sz w:val="20"/>
          <w:szCs w:val="20"/>
        </w:rPr>
        <w:t xml:space="preserve"> natural rubber.</w:t>
      </w:r>
    </w:p>
    <w:p w14:paraId="0D4034A1" w14:textId="77777777" w:rsidR="009F4B3C" w:rsidRPr="00F52B56" w:rsidRDefault="009F4B3C" w:rsidP="007A3C0F">
      <w:pPr>
        <w:pStyle w:val="BodyTextIndent"/>
        <w:tabs>
          <w:tab w:val="left" w:pos="709"/>
        </w:tabs>
        <w:ind w:firstLine="0"/>
        <w:rPr>
          <w:rFonts w:cs="Times New Roman"/>
          <w:b/>
        </w:rPr>
      </w:pPr>
    </w:p>
    <w:p w14:paraId="25F104A8" w14:textId="77777777" w:rsidR="00524AFF" w:rsidRPr="00F52B56" w:rsidRDefault="0096055F" w:rsidP="007A3C0F">
      <w:pPr>
        <w:pStyle w:val="BodyTextIndent"/>
        <w:tabs>
          <w:tab w:val="left" w:pos="709"/>
        </w:tabs>
        <w:ind w:firstLine="0"/>
        <w:rPr>
          <w:rFonts w:cs="Times New Roman"/>
          <w:b/>
        </w:rPr>
      </w:pPr>
      <w:r w:rsidRPr="00F52B56">
        <w:rPr>
          <w:rFonts w:cs="Times New Roman"/>
          <w:b/>
        </w:rPr>
        <w:t>Compounding</w:t>
      </w:r>
    </w:p>
    <w:p w14:paraId="2A4C6A03" w14:textId="401E78D1" w:rsidR="00524AFF" w:rsidRDefault="0096055F" w:rsidP="007A3C0F">
      <w:pPr>
        <w:pStyle w:val="BodyTextIndent"/>
        <w:tabs>
          <w:tab w:val="left" w:pos="284"/>
        </w:tabs>
        <w:ind w:firstLine="0"/>
        <w:rPr>
          <w:rFonts w:cs="Times New Roman"/>
        </w:rPr>
      </w:pPr>
      <w:r w:rsidRPr="00F52B56">
        <w:rPr>
          <w:rFonts w:cs="Times New Roman"/>
        </w:rPr>
        <w:t xml:space="preserve">A semi-efficient vulcanisation system was used for the rubber compounding. The compounding procedure was done in accordance with the American Society for Testing and Material (ASTM) – Designation D 3184 – 80. The compounding was performed on a two-roll mill (Model XK-160). Table 1 displays the compound formulation of </w:t>
      </w:r>
      <w:r w:rsidRPr="00F52B56">
        <w:rPr>
          <w:rFonts w:cs="Times New Roman"/>
          <w:noProof w:val="0"/>
          <w:lang w:val="en-GB"/>
        </w:rPr>
        <w:t>CaCO</w:t>
      </w:r>
      <w:r w:rsidRPr="00F52B56">
        <w:rPr>
          <w:rFonts w:cs="Times New Roman"/>
          <w:noProof w:val="0"/>
          <w:vertAlign w:val="subscript"/>
          <w:lang w:val="en-GB"/>
        </w:rPr>
        <w:t>3</w:t>
      </w:r>
      <w:r w:rsidRPr="00F52B56">
        <w:rPr>
          <w:rFonts w:cs="Times New Roman"/>
        </w:rPr>
        <w:t xml:space="preserve"> filled NR compounds with various ENRs loading.</w:t>
      </w:r>
    </w:p>
    <w:p w14:paraId="6C0DBEE5" w14:textId="77777777" w:rsidR="005F63F8" w:rsidRPr="00F52B56" w:rsidRDefault="005F63F8" w:rsidP="007A3C0F">
      <w:pPr>
        <w:pStyle w:val="BodyTextIndent"/>
        <w:tabs>
          <w:tab w:val="left" w:pos="284"/>
        </w:tabs>
        <w:ind w:firstLine="0"/>
        <w:rPr>
          <w:rFonts w:cs="Times New Roman"/>
        </w:rPr>
      </w:pPr>
    </w:p>
    <w:p w14:paraId="18C12BB3" w14:textId="66614748" w:rsidR="004F7F6C" w:rsidRDefault="004F7F6C" w:rsidP="004F7F6C">
      <w:pPr>
        <w:pStyle w:val="BodyTextIndent"/>
        <w:tabs>
          <w:tab w:val="left" w:pos="426"/>
        </w:tabs>
        <w:ind w:left="360"/>
        <w:jc w:val="center"/>
        <w:rPr>
          <w:rFonts w:cs="Times New Roman"/>
        </w:rPr>
      </w:pPr>
      <w:r w:rsidRPr="00F52B56">
        <w:rPr>
          <w:rFonts w:cs="Times New Roman"/>
        </w:rPr>
        <w:t>Table 1. The composition of the CaCO</w:t>
      </w:r>
      <w:r w:rsidRPr="00F52B56">
        <w:rPr>
          <w:rFonts w:cs="Times New Roman"/>
          <w:vertAlign w:val="subscript"/>
        </w:rPr>
        <w:t>3</w:t>
      </w:r>
      <w:r w:rsidRPr="00F52B56">
        <w:rPr>
          <w:rFonts w:cs="Times New Roman"/>
        </w:rPr>
        <w:t xml:space="preserve"> filled NR compounds</w:t>
      </w:r>
    </w:p>
    <w:p w14:paraId="3CF88B2B" w14:textId="77777777" w:rsidR="005F63F8" w:rsidRPr="00F52B56" w:rsidRDefault="005F63F8" w:rsidP="004F7F6C">
      <w:pPr>
        <w:pStyle w:val="BodyTextIndent"/>
        <w:tabs>
          <w:tab w:val="left" w:pos="426"/>
        </w:tabs>
        <w:ind w:left="360"/>
        <w:jc w:val="center"/>
        <w:rPr>
          <w:rFonts w:cs="Times New Roman"/>
        </w:rPr>
      </w:pPr>
    </w:p>
    <w:tbl>
      <w:tblPr>
        <w:tblStyle w:val="TableGrid"/>
        <w:tblW w:w="5162" w:type="dxa"/>
        <w:jc w:val="center"/>
        <w:tblLook w:val="04A0" w:firstRow="1" w:lastRow="0" w:firstColumn="1" w:lastColumn="0" w:noHBand="0" w:noVBand="1"/>
      </w:tblPr>
      <w:tblGrid>
        <w:gridCol w:w="1770"/>
        <w:gridCol w:w="3392"/>
      </w:tblGrid>
      <w:tr w:rsidR="00F52B56" w:rsidRPr="00F52B56" w14:paraId="429CA856" w14:textId="77777777" w:rsidTr="005F63F8">
        <w:trPr>
          <w:trHeight w:val="231"/>
          <w:jc w:val="center"/>
        </w:trPr>
        <w:tc>
          <w:tcPr>
            <w:tcW w:w="0" w:type="auto"/>
            <w:tcBorders>
              <w:left w:val="single" w:sz="2" w:space="0" w:color="FFFFFF" w:themeColor="background1"/>
              <w:right w:val="single" w:sz="2" w:space="0" w:color="FFFFFF" w:themeColor="background1"/>
            </w:tcBorders>
          </w:tcPr>
          <w:p w14:paraId="45B631B7" w14:textId="77777777" w:rsidR="004F7F6C" w:rsidRPr="005F63F8" w:rsidRDefault="004F7F6C" w:rsidP="00524AFF">
            <w:pPr>
              <w:pStyle w:val="BodyTextIndent"/>
              <w:tabs>
                <w:tab w:val="left" w:pos="426"/>
              </w:tabs>
              <w:ind w:left="284"/>
              <w:rPr>
                <w:rFonts w:cs="Times New Roman"/>
                <w:b/>
              </w:rPr>
            </w:pPr>
            <w:r w:rsidRPr="005F63F8">
              <w:rPr>
                <w:rFonts w:cs="Times New Roman"/>
                <w:b/>
              </w:rPr>
              <w:t>Ingredients</w:t>
            </w:r>
          </w:p>
        </w:tc>
        <w:tc>
          <w:tcPr>
            <w:tcW w:w="0" w:type="auto"/>
            <w:tcBorders>
              <w:left w:val="single" w:sz="2" w:space="0" w:color="FFFFFF" w:themeColor="background1"/>
              <w:right w:val="single" w:sz="2" w:space="0" w:color="FFFFFF" w:themeColor="background1"/>
            </w:tcBorders>
          </w:tcPr>
          <w:p w14:paraId="799E2274" w14:textId="77777777" w:rsidR="004F7F6C" w:rsidRPr="005F63F8" w:rsidRDefault="004F7F6C" w:rsidP="00524AFF">
            <w:pPr>
              <w:pStyle w:val="BodyTextIndent"/>
              <w:tabs>
                <w:tab w:val="left" w:pos="426"/>
              </w:tabs>
              <w:ind w:left="284"/>
              <w:rPr>
                <w:rFonts w:cs="Times New Roman"/>
                <w:b/>
                <w:vertAlign w:val="superscript"/>
              </w:rPr>
            </w:pPr>
            <w:r w:rsidRPr="005F63F8">
              <w:rPr>
                <w:rFonts w:cs="Times New Roman"/>
                <w:b/>
              </w:rPr>
              <w:t>Content (phr)</w:t>
            </w:r>
            <w:r w:rsidRPr="005F63F8">
              <w:rPr>
                <w:rFonts w:cs="Times New Roman"/>
                <w:b/>
                <w:vertAlign w:val="superscript"/>
              </w:rPr>
              <w:t>a</w:t>
            </w:r>
          </w:p>
        </w:tc>
      </w:tr>
      <w:tr w:rsidR="00F52B56" w:rsidRPr="00F52B56" w14:paraId="489DE3ED" w14:textId="77777777" w:rsidTr="005F63F8">
        <w:trPr>
          <w:trHeight w:val="1848"/>
          <w:jc w:val="center"/>
        </w:trPr>
        <w:tc>
          <w:tcPr>
            <w:tcW w:w="0" w:type="auto"/>
            <w:tcBorders>
              <w:left w:val="single" w:sz="2" w:space="0" w:color="FFFFFF" w:themeColor="background1"/>
              <w:right w:val="single" w:sz="2" w:space="0" w:color="FFFFFF" w:themeColor="background1"/>
            </w:tcBorders>
          </w:tcPr>
          <w:p w14:paraId="0EF2D02D" w14:textId="77777777" w:rsidR="004F7F6C" w:rsidRPr="00F52B56" w:rsidRDefault="004F7F6C" w:rsidP="00524AFF">
            <w:pPr>
              <w:pStyle w:val="BodyTextIndent"/>
              <w:tabs>
                <w:tab w:val="left" w:pos="426"/>
              </w:tabs>
              <w:ind w:left="284"/>
              <w:rPr>
                <w:rFonts w:cs="Times New Roman"/>
              </w:rPr>
            </w:pPr>
            <w:r w:rsidRPr="00F52B56">
              <w:rPr>
                <w:rFonts w:cs="Times New Roman"/>
              </w:rPr>
              <w:t>SMR-L</w:t>
            </w:r>
          </w:p>
          <w:p w14:paraId="1428F52A" w14:textId="77777777" w:rsidR="004F7F6C" w:rsidRPr="00F52B56" w:rsidRDefault="004F7F6C" w:rsidP="00524AFF">
            <w:pPr>
              <w:pStyle w:val="BodyTextIndent"/>
              <w:tabs>
                <w:tab w:val="left" w:pos="426"/>
              </w:tabs>
              <w:ind w:left="284"/>
              <w:rPr>
                <w:rFonts w:cs="Times New Roman"/>
              </w:rPr>
            </w:pPr>
            <w:r w:rsidRPr="00F52B56">
              <w:rPr>
                <w:rFonts w:cs="Times New Roman"/>
              </w:rPr>
              <w:t>ZnO</w:t>
            </w:r>
          </w:p>
          <w:p w14:paraId="0252032F" w14:textId="77777777" w:rsidR="004F7F6C" w:rsidRPr="00F52B56" w:rsidRDefault="004F7F6C" w:rsidP="00524AFF">
            <w:pPr>
              <w:pStyle w:val="BodyTextIndent"/>
              <w:tabs>
                <w:tab w:val="left" w:pos="426"/>
              </w:tabs>
              <w:ind w:left="284"/>
              <w:rPr>
                <w:rFonts w:cs="Times New Roman"/>
              </w:rPr>
            </w:pPr>
            <w:r w:rsidRPr="00F52B56">
              <w:rPr>
                <w:rFonts w:cs="Times New Roman"/>
              </w:rPr>
              <w:t>Stearic acid</w:t>
            </w:r>
          </w:p>
          <w:p w14:paraId="1F50DB06" w14:textId="77777777" w:rsidR="004F7F6C" w:rsidRPr="00F52B56" w:rsidRDefault="004F7F6C" w:rsidP="00524AFF">
            <w:pPr>
              <w:pStyle w:val="BodyTextIndent"/>
              <w:tabs>
                <w:tab w:val="left" w:pos="426"/>
              </w:tabs>
              <w:ind w:left="284"/>
              <w:rPr>
                <w:rFonts w:cs="Times New Roman"/>
              </w:rPr>
            </w:pPr>
            <w:r w:rsidRPr="00F52B56">
              <w:rPr>
                <w:rFonts w:cs="Times New Roman"/>
              </w:rPr>
              <w:t>IPPD</w:t>
            </w:r>
          </w:p>
          <w:p w14:paraId="7BEF2A74" w14:textId="77777777" w:rsidR="004F7F6C" w:rsidRPr="00F52B56" w:rsidRDefault="004F7F6C" w:rsidP="00524AFF">
            <w:pPr>
              <w:pStyle w:val="BodyTextIndent"/>
              <w:tabs>
                <w:tab w:val="left" w:pos="426"/>
              </w:tabs>
              <w:ind w:left="284"/>
              <w:rPr>
                <w:rFonts w:cs="Times New Roman"/>
              </w:rPr>
            </w:pPr>
            <w:r w:rsidRPr="00F52B56">
              <w:rPr>
                <w:rFonts w:cs="Times New Roman"/>
              </w:rPr>
              <w:t>MBTS</w:t>
            </w:r>
          </w:p>
          <w:p w14:paraId="213C9A9B" w14:textId="77777777" w:rsidR="004F7F6C" w:rsidRPr="00F52B56" w:rsidRDefault="004F7F6C" w:rsidP="00524AFF">
            <w:pPr>
              <w:pStyle w:val="BodyTextIndent"/>
              <w:tabs>
                <w:tab w:val="left" w:pos="426"/>
              </w:tabs>
              <w:ind w:left="284"/>
              <w:rPr>
                <w:rFonts w:cs="Times New Roman"/>
              </w:rPr>
            </w:pPr>
            <w:r w:rsidRPr="00F52B56">
              <w:rPr>
                <w:rFonts w:cs="Times New Roman"/>
              </w:rPr>
              <w:t>S</w:t>
            </w:r>
          </w:p>
          <w:p w14:paraId="2D03E688" w14:textId="77777777" w:rsidR="004F7F6C" w:rsidRPr="00F52B56" w:rsidRDefault="004F7F6C" w:rsidP="00524AFF">
            <w:pPr>
              <w:pStyle w:val="BodyTextIndent"/>
              <w:tabs>
                <w:tab w:val="left" w:pos="426"/>
              </w:tabs>
              <w:ind w:left="284"/>
              <w:rPr>
                <w:rFonts w:cs="Times New Roman"/>
              </w:rPr>
            </w:pPr>
            <w:r w:rsidRPr="00F52B56">
              <w:rPr>
                <w:rFonts w:cs="Times New Roman"/>
              </w:rPr>
              <w:t>CaCO</w:t>
            </w:r>
            <w:r w:rsidRPr="00F52B56">
              <w:rPr>
                <w:rFonts w:cs="Times New Roman"/>
                <w:vertAlign w:val="subscript"/>
              </w:rPr>
              <w:t>3</w:t>
            </w:r>
          </w:p>
          <w:p w14:paraId="09AFA80E" w14:textId="77777777" w:rsidR="004F7F6C" w:rsidRPr="00F52B56" w:rsidRDefault="004F7F6C" w:rsidP="00524AFF">
            <w:pPr>
              <w:pStyle w:val="BodyTextIndent"/>
              <w:tabs>
                <w:tab w:val="left" w:pos="426"/>
              </w:tabs>
              <w:ind w:left="284"/>
              <w:rPr>
                <w:rFonts w:cs="Times New Roman"/>
              </w:rPr>
            </w:pPr>
            <w:r w:rsidRPr="00F52B56">
              <w:rPr>
                <w:rFonts w:cs="Times New Roman"/>
              </w:rPr>
              <w:t>ENRs</w:t>
            </w:r>
            <w:r w:rsidRPr="00F52B56">
              <w:rPr>
                <w:rFonts w:cs="Times New Roman"/>
                <w:vertAlign w:val="superscript"/>
              </w:rPr>
              <w:t>b</w:t>
            </w:r>
          </w:p>
        </w:tc>
        <w:tc>
          <w:tcPr>
            <w:tcW w:w="0" w:type="auto"/>
            <w:tcBorders>
              <w:left w:val="single" w:sz="2" w:space="0" w:color="FFFFFF" w:themeColor="background1"/>
              <w:right w:val="single" w:sz="2" w:space="0" w:color="FFFFFF" w:themeColor="background1"/>
            </w:tcBorders>
          </w:tcPr>
          <w:p w14:paraId="32CEE0DA" w14:textId="77777777" w:rsidR="004F7F6C" w:rsidRPr="00F52B56" w:rsidRDefault="004F7F6C" w:rsidP="00524AFF">
            <w:pPr>
              <w:pStyle w:val="BodyTextIndent"/>
              <w:tabs>
                <w:tab w:val="left" w:pos="426"/>
              </w:tabs>
              <w:ind w:left="284"/>
              <w:rPr>
                <w:rFonts w:cs="Times New Roman"/>
              </w:rPr>
            </w:pPr>
            <w:r w:rsidRPr="00F52B56">
              <w:rPr>
                <w:rFonts w:cs="Times New Roman"/>
              </w:rPr>
              <w:t>100.0</w:t>
            </w:r>
          </w:p>
          <w:p w14:paraId="4594D4C6" w14:textId="77777777" w:rsidR="004F7F6C" w:rsidRPr="00F52B56" w:rsidRDefault="004F7F6C" w:rsidP="00524AFF">
            <w:pPr>
              <w:pStyle w:val="BodyTextIndent"/>
              <w:tabs>
                <w:tab w:val="left" w:pos="426"/>
              </w:tabs>
              <w:ind w:left="284"/>
              <w:rPr>
                <w:rFonts w:cs="Times New Roman"/>
              </w:rPr>
            </w:pPr>
            <w:r w:rsidRPr="00F52B56">
              <w:rPr>
                <w:rFonts w:cs="Times New Roman"/>
              </w:rPr>
              <w:t>5.0</w:t>
            </w:r>
          </w:p>
          <w:p w14:paraId="79B39800" w14:textId="77777777" w:rsidR="004F7F6C" w:rsidRPr="00F52B56" w:rsidRDefault="004F7F6C" w:rsidP="00524AFF">
            <w:pPr>
              <w:pStyle w:val="BodyTextIndent"/>
              <w:tabs>
                <w:tab w:val="left" w:pos="426"/>
              </w:tabs>
              <w:ind w:left="284"/>
              <w:rPr>
                <w:rFonts w:cs="Times New Roman"/>
              </w:rPr>
            </w:pPr>
            <w:r w:rsidRPr="00F52B56">
              <w:rPr>
                <w:rFonts w:cs="Times New Roman"/>
              </w:rPr>
              <w:t>2.0</w:t>
            </w:r>
          </w:p>
          <w:p w14:paraId="79DB43AA" w14:textId="77777777" w:rsidR="004F7F6C" w:rsidRPr="00F52B56" w:rsidRDefault="004F7F6C" w:rsidP="00524AFF">
            <w:pPr>
              <w:pStyle w:val="BodyTextIndent"/>
              <w:tabs>
                <w:tab w:val="left" w:pos="426"/>
              </w:tabs>
              <w:ind w:left="284"/>
              <w:rPr>
                <w:rFonts w:cs="Times New Roman"/>
              </w:rPr>
            </w:pPr>
            <w:r w:rsidRPr="00F52B56">
              <w:rPr>
                <w:rFonts w:cs="Times New Roman"/>
              </w:rPr>
              <w:t>2.0</w:t>
            </w:r>
          </w:p>
          <w:p w14:paraId="6BBFC0C6" w14:textId="77777777" w:rsidR="004F7F6C" w:rsidRPr="00F52B56" w:rsidRDefault="004F7F6C" w:rsidP="00524AFF">
            <w:pPr>
              <w:pStyle w:val="BodyTextIndent"/>
              <w:tabs>
                <w:tab w:val="left" w:pos="426"/>
              </w:tabs>
              <w:ind w:left="284"/>
              <w:rPr>
                <w:rFonts w:cs="Times New Roman"/>
              </w:rPr>
            </w:pPr>
            <w:r w:rsidRPr="00F52B56">
              <w:rPr>
                <w:rFonts w:cs="Times New Roman"/>
              </w:rPr>
              <w:t>1.5</w:t>
            </w:r>
          </w:p>
          <w:p w14:paraId="36535B0D" w14:textId="77777777" w:rsidR="004F7F6C" w:rsidRPr="00F52B56" w:rsidRDefault="004F7F6C" w:rsidP="00524AFF">
            <w:pPr>
              <w:pStyle w:val="BodyTextIndent"/>
              <w:tabs>
                <w:tab w:val="left" w:pos="426"/>
              </w:tabs>
              <w:ind w:left="284"/>
              <w:rPr>
                <w:rFonts w:cs="Times New Roman"/>
              </w:rPr>
            </w:pPr>
            <w:r w:rsidRPr="00F52B56">
              <w:rPr>
                <w:rFonts w:cs="Times New Roman"/>
              </w:rPr>
              <w:t>1.5</w:t>
            </w:r>
          </w:p>
          <w:p w14:paraId="36D8C396" w14:textId="77777777" w:rsidR="004F7F6C" w:rsidRPr="00F52B56" w:rsidRDefault="004F7F6C" w:rsidP="00524AFF">
            <w:pPr>
              <w:pStyle w:val="BodyTextIndent"/>
              <w:tabs>
                <w:tab w:val="left" w:pos="426"/>
              </w:tabs>
              <w:ind w:left="284"/>
              <w:rPr>
                <w:rFonts w:cs="Times New Roman"/>
              </w:rPr>
            </w:pPr>
            <w:r w:rsidRPr="00F52B56">
              <w:rPr>
                <w:rFonts w:cs="Times New Roman"/>
              </w:rPr>
              <w:t>30.0</w:t>
            </w:r>
          </w:p>
          <w:p w14:paraId="34D41E5F" w14:textId="77777777" w:rsidR="004F7F6C" w:rsidRPr="00F52B56" w:rsidRDefault="004F7F6C" w:rsidP="00524AFF">
            <w:pPr>
              <w:pStyle w:val="BodyTextIndent"/>
              <w:tabs>
                <w:tab w:val="left" w:pos="426"/>
              </w:tabs>
              <w:ind w:firstLine="0"/>
              <w:rPr>
                <w:rFonts w:cs="Times New Roman"/>
              </w:rPr>
            </w:pPr>
            <w:r w:rsidRPr="00F52B56">
              <w:rPr>
                <w:rFonts w:cs="Times New Roman"/>
              </w:rPr>
              <w:t xml:space="preserve">         0.0; 5.0; 10.0; 15.0; 20.0 and 25.0</w:t>
            </w:r>
          </w:p>
        </w:tc>
      </w:tr>
    </w:tbl>
    <w:p w14:paraId="18A9492F" w14:textId="26AD1A5B" w:rsidR="004F7F6C" w:rsidRPr="005F63F8" w:rsidRDefault="005F63F8" w:rsidP="004F7F6C">
      <w:pPr>
        <w:pStyle w:val="BodyTextIndent"/>
        <w:tabs>
          <w:tab w:val="left" w:pos="426"/>
        </w:tabs>
        <w:ind w:firstLine="0"/>
        <w:rPr>
          <w:rFonts w:cs="Times New Roman"/>
          <w:i/>
          <w:sz w:val="18"/>
        </w:rPr>
      </w:pPr>
      <w:r>
        <w:rPr>
          <w:rFonts w:cs="Times New Roman"/>
          <w:i/>
          <w:vertAlign w:val="superscript"/>
        </w:rPr>
        <w:tab/>
      </w:r>
      <w:r>
        <w:rPr>
          <w:rFonts w:cs="Times New Roman"/>
          <w:i/>
          <w:vertAlign w:val="superscript"/>
        </w:rPr>
        <w:tab/>
      </w:r>
      <w:r>
        <w:rPr>
          <w:rFonts w:cs="Times New Roman"/>
          <w:i/>
          <w:vertAlign w:val="superscript"/>
        </w:rPr>
        <w:tab/>
        <w:t xml:space="preserve">              </w:t>
      </w:r>
      <w:r w:rsidR="004F7F6C" w:rsidRPr="005F63F8">
        <w:rPr>
          <w:rFonts w:cs="Times New Roman"/>
          <w:i/>
          <w:sz w:val="18"/>
          <w:vertAlign w:val="superscript"/>
        </w:rPr>
        <w:t xml:space="preserve">a </w:t>
      </w:r>
      <w:r w:rsidR="004F7F6C" w:rsidRPr="005F63F8">
        <w:rPr>
          <w:rFonts w:cs="Times New Roman"/>
          <w:i/>
          <w:sz w:val="18"/>
        </w:rPr>
        <w:t>parts per hundred part of SMR-L</w:t>
      </w:r>
      <w:r w:rsidRPr="005F63F8">
        <w:rPr>
          <w:rFonts w:cs="Times New Roman"/>
          <w:i/>
          <w:sz w:val="18"/>
        </w:rPr>
        <w:t xml:space="preserve">, </w:t>
      </w:r>
      <w:r w:rsidR="004F7F6C" w:rsidRPr="005F63F8">
        <w:rPr>
          <w:rFonts w:cs="Times New Roman"/>
          <w:i/>
          <w:sz w:val="18"/>
          <w:vertAlign w:val="superscript"/>
        </w:rPr>
        <w:t xml:space="preserve">b </w:t>
      </w:r>
      <w:r w:rsidR="004F7F6C" w:rsidRPr="005F63F8">
        <w:rPr>
          <w:rFonts w:cs="Times New Roman"/>
          <w:i/>
          <w:sz w:val="18"/>
        </w:rPr>
        <w:t>ENR 25 or ENR 50</w:t>
      </w:r>
    </w:p>
    <w:p w14:paraId="508BCBC8" w14:textId="77777777" w:rsidR="00524AFF" w:rsidRPr="00F52B56" w:rsidRDefault="00524AFF" w:rsidP="007A3C0F">
      <w:pPr>
        <w:pStyle w:val="BodyTextIndent"/>
        <w:tabs>
          <w:tab w:val="left" w:pos="426"/>
        </w:tabs>
        <w:ind w:firstLine="0"/>
        <w:rPr>
          <w:rFonts w:cs="Times New Roman"/>
        </w:rPr>
      </w:pPr>
    </w:p>
    <w:p w14:paraId="1E159791" w14:textId="72298109" w:rsidR="00524AFF" w:rsidRPr="00F52B56" w:rsidRDefault="0096055F" w:rsidP="007A3C0F">
      <w:pPr>
        <w:pStyle w:val="BodyTextIndent"/>
        <w:tabs>
          <w:tab w:val="left" w:pos="284"/>
        </w:tabs>
        <w:ind w:firstLine="0"/>
        <w:rPr>
          <w:rFonts w:cs="Times New Roman"/>
          <w:b/>
        </w:rPr>
      </w:pPr>
      <w:r w:rsidRPr="00F52B56">
        <w:rPr>
          <w:rFonts w:cs="Times New Roman"/>
          <w:b/>
        </w:rPr>
        <w:t xml:space="preserve">Cure </w:t>
      </w:r>
      <w:r w:rsidR="005F63F8">
        <w:rPr>
          <w:rFonts w:cs="Times New Roman"/>
          <w:b/>
        </w:rPr>
        <w:t>c</w:t>
      </w:r>
      <w:r w:rsidRPr="00F52B56">
        <w:rPr>
          <w:rFonts w:cs="Times New Roman"/>
          <w:b/>
        </w:rPr>
        <w:t>haracteristics</w:t>
      </w:r>
    </w:p>
    <w:p w14:paraId="3D645C55" w14:textId="058872A9" w:rsidR="00524AFF" w:rsidRPr="00F52B56" w:rsidRDefault="0096055F" w:rsidP="007A3C0F">
      <w:pPr>
        <w:pStyle w:val="BodyTextIndent"/>
        <w:tabs>
          <w:tab w:val="left" w:pos="284"/>
        </w:tabs>
        <w:ind w:firstLine="0"/>
        <w:rPr>
          <w:rFonts w:cs="Times New Roman"/>
          <w:lang w:val="en-GB"/>
        </w:rPr>
      </w:pPr>
      <w:r w:rsidRPr="00F52B56">
        <w:rPr>
          <w:rFonts w:cs="Times New Roman"/>
          <w:lang w:val="en-GB"/>
        </w:rPr>
        <w:t>The cure characteristics of the CaCO</w:t>
      </w:r>
      <w:r w:rsidRPr="00F52B56">
        <w:rPr>
          <w:rFonts w:cs="Times New Roman"/>
          <w:vertAlign w:val="subscript"/>
          <w:lang w:val="en-GB"/>
        </w:rPr>
        <w:t>3</w:t>
      </w:r>
      <w:r w:rsidRPr="00F52B56">
        <w:rPr>
          <w:rFonts w:cs="Times New Roman"/>
          <w:lang w:val="en-GB"/>
        </w:rPr>
        <w:t xml:space="preserve"> filled NR compounds with and without ENRs were obtained using a Monsanto Moving Die Rheometer (MDR 2000) which was employed to determine the scorch time (ts</w:t>
      </w:r>
      <w:r w:rsidRPr="00F52B56">
        <w:rPr>
          <w:rFonts w:cs="Times New Roman"/>
          <w:vertAlign w:val="subscript"/>
          <w:lang w:val="en-GB"/>
        </w:rPr>
        <w:t>2</w:t>
      </w:r>
      <w:r w:rsidRPr="00F52B56">
        <w:rPr>
          <w:rFonts w:cs="Times New Roman"/>
          <w:lang w:val="en-GB"/>
        </w:rPr>
        <w:t>), cure time (t</w:t>
      </w:r>
      <w:r w:rsidRPr="00F52B56">
        <w:rPr>
          <w:rFonts w:cs="Times New Roman"/>
          <w:vertAlign w:val="subscript"/>
          <w:lang w:val="en-GB"/>
        </w:rPr>
        <w:t>90</w:t>
      </w:r>
      <w:r w:rsidRPr="00F52B56">
        <w:rPr>
          <w:rFonts w:cs="Times New Roman"/>
          <w:lang w:val="en-GB"/>
        </w:rPr>
        <w:t>), minimum torque (M</w:t>
      </w:r>
      <w:r w:rsidRPr="00F52B56">
        <w:rPr>
          <w:rFonts w:cs="Times New Roman"/>
          <w:vertAlign w:val="subscript"/>
          <w:lang w:val="en-GB"/>
        </w:rPr>
        <w:t>L</w:t>
      </w:r>
      <w:r w:rsidRPr="00F52B56">
        <w:rPr>
          <w:rFonts w:cs="Times New Roman"/>
          <w:lang w:val="en-GB"/>
        </w:rPr>
        <w:t>), maximum torque (M</w:t>
      </w:r>
      <w:r w:rsidRPr="00F52B56">
        <w:rPr>
          <w:rFonts w:cs="Times New Roman"/>
          <w:vertAlign w:val="subscript"/>
          <w:lang w:val="en-GB"/>
        </w:rPr>
        <w:t>H</w:t>
      </w:r>
      <w:r w:rsidRPr="00F52B56">
        <w:rPr>
          <w:rFonts w:cs="Times New Roman"/>
          <w:lang w:val="en-GB"/>
        </w:rPr>
        <w:t>) and torque difference (M</w:t>
      </w:r>
      <w:r w:rsidRPr="00F52B56">
        <w:rPr>
          <w:rFonts w:cs="Times New Roman"/>
          <w:vertAlign w:val="subscript"/>
          <w:lang w:val="en-GB"/>
        </w:rPr>
        <w:t>H</w:t>
      </w:r>
      <w:r w:rsidRPr="00F52B56">
        <w:rPr>
          <w:rFonts w:cs="Times New Roman"/>
          <w:lang w:val="en-GB"/>
        </w:rPr>
        <w:t>—M</w:t>
      </w:r>
      <w:r w:rsidRPr="00F52B56">
        <w:rPr>
          <w:rFonts w:cs="Times New Roman"/>
          <w:vertAlign w:val="subscript"/>
          <w:lang w:val="en-GB"/>
        </w:rPr>
        <w:t>L</w:t>
      </w:r>
      <w:r w:rsidRPr="00F52B56">
        <w:rPr>
          <w:rFonts w:cs="Times New Roman"/>
          <w:lang w:val="en-GB"/>
        </w:rPr>
        <w:t>) according to ASTM D2084-11. Samples of the respective compounds were tested at 150</w:t>
      </w:r>
      <w:r w:rsidR="000064C4">
        <w:rPr>
          <w:rFonts w:cs="Times New Roman"/>
          <w:lang w:val="en-GB"/>
        </w:rPr>
        <w:t xml:space="preserve"> </w:t>
      </w:r>
      <w:r w:rsidRPr="00F52B56">
        <w:rPr>
          <w:rFonts w:cs="Times New Roman"/>
          <w:vertAlign w:val="superscript"/>
          <w:lang w:val="en-GB"/>
        </w:rPr>
        <w:t>o</w:t>
      </w:r>
      <w:r w:rsidRPr="00F52B56">
        <w:rPr>
          <w:rFonts w:cs="Times New Roman"/>
          <w:lang w:val="en-GB"/>
        </w:rPr>
        <w:t>C.</w:t>
      </w:r>
    </w:p>
    <w:p w14:paraId="4E370DBB" w14:textId="77777777" w:rsidR="00524AFF" w:rsidRPr="00F52B56" w:rsidRDefault="00524AFF" w:rsidP="007A3C0F">
      <w:pPr>
        <w:pStyle w:val="BodyTextIndent"/>
        <w:tabs>
          <w:tab w:val="left" w:pos="709"/>
        </w:tabs>
        <w:ind w:firstLine="0"/>
        <w:rPr>
          <w:rFonts w:cs="Times New Roman"/>
          <w:noProof w:val="0"/>
          <w:lang w:val="en-GB"/>
        </w:rPr>
      </w:pPr>
    </w:p>
    <w:p w14:paraId="3116AB82" w14:textId="77777777" w:rsidR="00524AFF" w:rsidRPr="00F52B56" w:rsidRDefault="0096055F" w:rsidP="007A3C0F">
      <w:pPr>
        <w:pStyle w:val="1"/>
        <w:spacing w:after="0" w:line="240" w:lineRule="auto"/>
        <w:ind w:left="0"/>
        <w:jc w:val="both"/>
        <w:rPr>
          <w:rFonts w:ascii="Times New Roman" w:hAnsi="Times New Roman" w:cs="Times New Roman"/>
          <w:b/>
          <w:sz w:val="20"/>
          <w:szCs w:val="20"/>
          <w:lang w:val="en-GB"/>
        </w:rPr>
      </w:pPr>
      <w:r w:rsidRPr="00F52B56">
        <w:rPr>
          <w:rFonts w:ascii="Times New Roman" w:hAnsi="Times New Roman" w:cs="Times New Roman"/>
          <w:b/>
          <w:sz w:val="20"/>
          <w:szCs w:val="20"/>
          <w:lang w:val="en-GB"/>
        </w:rPr>
        <w:t>Measurement of Crosslink Density</w:t>
      </w:r>
    </w:p>
    <w:p w14:paraId="4DBE5545" w14:textId="524F584D" w:rsidR="00524AFF" w:rsidRDefault="0096055F" w:rsidP="007A3C0F">
      <w:pPr>
        <w:pStyle w:val="1"/>
        <w:spacing w:after="0" w:line="240" w:lineRule="auto"/>
        <w:ind w:left="0"/>
        <w:jc w:val="both"/>
        <w:rPr>
          <w:rFonts w:ascii="Times New Roman" w:hAnsi="Times New Roman" w:cs="Times New Roman"/>
          <w:sz w:val="20"/>
          <w:szCs w:val="20"/>
          <w:lang w:val="en-GB"/>
        </w:rPr>
      </w:pPr>
      <w:r w:rsidRPr="00F52B56">
        <w:rPr>
          <w:rFonts w:ascii="Times New Roman" w:hAnsi="Times New Roman" w:cs="Times New Roman"/>
          <w:sz w:val="20"/>
          <w:szCs w:val="20"/>
          <w:lang w:val="en-GB"/>
        </w:rPr>
        <w:t>Swelling tests on the CaCO</w:t>
      </w:r>
      <w:r w:rsidRPr="00F52B56">
        <w:rPr>
          <w:rFonts w:ascii="Times New Roman" w:hAnsi="Times New Roman" w:cs="Times New Roman"/>
          <w:sz w:val="20"/>
          <w:szCs w:val="20"/>
          <w:vertAlign w:val="subscript"/>
          <w:lang w:val="en-GB"/>
        </w:rPr>
        <w:t>3</w:t>
      </w:r>
      <w:r w:rsidRPr="00F52B56">
        <w:rPr>
          <w:rFonts w:ascii="Times New Roman" w:hAnsi="Times New Roman" w:cs="Times New Roman"/>
          <w:sz w:val="20"/>
          <w:szCs w:val="20"/>
          <w:lang w:val="en-GB"/>
        </w:rPr>
        <w:t xml:space="preserve"> filled NR vulcanisates were performed in toluene in accordance with ASTM D471-12a. The cured test pieces (30 mm × 5 mm × 2 mm) were weighed using an electric balance and swollen in toluene until equilibrium, which took 72 hours at room temperature. The samples were taken out from the liquid, the toluene was removed from the sample surfaces and the weight was determined. The samples were then dried in the oven at 70</w:t>
      </w:r>
      <w:r w:rsidRPr="00F52B56">
        <w:rPr>
          <w:rFonts w:ascii="Times New Roman" w:hAnsi="Times New Roman" w:cs="Times New Roman"/>
          <w:sz w:val="20"/>
          <w:szCs w:val="20"/>
          <w:vertAlign w:val="superscript"/>
          <w:lang w:val="en-GB"/>
        </w:rPr>
        <w:t>o</w:t>
      </w:r>
      <w:r w:rsidRPr="00F52B56">
        <w:rPr>
          <w:rFonts w:ascii="Times New Roman" w:hAnsi="Times New Roman" w:cs="Times New Roman"/>
          <w:sz w:val="20"/>
          <w:szCs w:val="20"/>
          <w:lang w:val="en-GB"/>
        </w:rPr>
        <w:t>C until constant weights were obtained. The swelling results were used to calculate the molecular weight between two crosslinks (</w:t>
      </w:r>
      <w:r w:rsidRPr="00F52B56">
        <w:rPr>
          <w:rFonts w:ascii="Times New Roman" w:hAnsi="Times New Roman" w:cs="Times New Roman"/>
          <w:i/>
          <w:iCs/>
          <w:sz w:val="20"/>
          <w:szCs w:val="20"/>
          <w:lang w:val="en-GB"/>
        </w:rPr>
        <w:t>M</w:t>
      </w:r>
      <w:r w:rsidRPr="00F52B56">
        <w:rPr>
          <w:rFonts w:ascii="Times New Roman" w:hAnsi="Times New Roman" w:cs="Times New Roman"/>
          <w:i/>
          <w:iCs/>
          <w:sz w:val="20"/>
          <w:szCs w:val="20"/>
          <w:vertAlign w:val="subscript"/>
          <w:lang w:val="en-GB"/>
        </w:rPr>
        <w:t>c</w:t>
      </w:r>
      <w:r w:rsidRPr="00F52B56">
        <w:rPr>
          <w:rFonts w:ascii="Times New Roman" w:hAnsi="Times New Roman" w:cs="Times New Roman"/>
          <w:sz w:val="20"/>
          <w:szCs w:val="20"/>
          <w:lang w:val="en-GB"/>
        </w:rPr>
        <w:t xml:space="preserve">) by applying the Flory-Rehner equation </w:t>
      </w:r>
      <w:r w:rsidRPr="00F52B56">
        <w:rPr>
          <w:rFonts w:ascii="Times New Roman" w:hAnsi="Times New Roman" w:cs="Times New Roman"/>
          <w:noProof/>
          <w:sz w:val="20"/>
          <w:szCs w:val="20"/>
          <w:lang w:val="en-GB"/>
        </w:rPr>
        <w:t>[7-8]</w:t>
      </w:r>
      <w:r w:rsidRPr="00F52B56">
        <w:rPr>
          <w:rFonts w:ascii="Times New Roman" w:hAnsi="Times New Roman" w:cs="Times New Roman"/>
          <w:sz w:val="20"/>
          <w:szCs w:val="20"/>
          <w:lang w:val="en-GB"/>
        </w:rPr>
        <w:t>.</w:t>
      </w:r>
    </w:p>
    <w:p w14:paraId="48FB6F38" w14:textId="77777777" w:rsidR="000064C4" w:rsidRPr="00F52B56" w:rsidRDefault="000064C4" w:rsidP="007A3C0F">
      <w:pPr>
        <w:pStyle w:val="1"/>
        <w:spacing w:after="0" w:line="240" w:lineRule="auto"/>
        <w:ind w:left="0"/>
        <w:jc w:val="both"/>
        <w:rPr>
          <w:rFonts w:ascii="Times New Roman" w:hAnsi="Times New Roman" w:cs="Times New Roman"/>
          <w:sz w:val="20"/>
          <w:szCs w:val="20"/>
          <w:lang w:val="en-GB"/>
        </w:rPr>
      </w:pPr>
    </w:p>
    <w:p w14:paraId="19DA1701" w14:textId="75193F96" w:rsidR="00524AFF" w:rsidRPr="00F52B56" w:rsidRDefault="000064C4" w:rsidP="000064C4">
      <w:pPr>
        <w:pStyle w:val="1"/>
        <w:spacing w:after="0" w:line="240" w:lineRule="auto"/>
        <w:ind w:left="0" w:firstLine="720"/>
        <w:jc w:val="both"/>
        <w:rPr>
          <w:rFonts w:ascii="Times New Roman" w:hAnsi="Times New Roman" w:cs="Times New Roman"/>
          <w:sz w:val="20"/>
          <w:szCs w:val="20"/>
          <w:lang w:val="en-GB"/>
        </w:rPr>
      </w:pPr>
      <w:r w:rsidRPr="00F52B56">
        <w:rPr>
          <w:rFonts w:ascii="Times New Roman" w:hAnsi="Times New Roman" w:cs="Times New Roman"/>
          <w:position w:val="-34"/>
          <w:sz w:val="20"/>
          <w:szCs w:val="20"/>
          <w:lang w:val="en-GB"/>
        </w:rPr>
        <w:object w:dxaOrig="2460" w:dyaOrig="825" w14:anchorId="3FB65268">
          <v:shape id="_x0000_i1026" type="#_x0000_t75" style="width:105.5pt;height:35.4pt" o:ole="">
            <v:imagedata r:id="rId9" o:title=""/>
          </v:shape>
          <o:OLEObject Type="Embed" ProgID="Equation.3" ShapeID="_x0000_i1026" DrawAspect="Content" ObjectID="_1604995686" r:id="rId10"/>
        </w:object>
      </w:r>
      <w:r w:rsidR="0096055F" w:rsidRPr="00F52B56">
        <w:rPr>
          <w:rFonts w:ascii="Times New Roman" w:hAnsi="Times New Roman" w:cs="Times New Roman"/>
          <w:sz w:val="20"/>
          <w:szCs w:val="20"/>
          <w:lang w:val="en-GB"/>
        </w:rPr>
        <w:t xml:space="preserve">   </w:t>
      </w:r>
      <w:r w:rsidR="0096055F" w:rsidRPr="00F52B56">
        <w:rPr>
          <w:rFonts w:ascii="Times New Roman" w:hAnsi="Times New Roman" w:cs="Times New Roman"/>
          <w:sz w:val="20"/>
          <w:szCs w:val="20"/>
          <w:lang w:val="en-GB"/>
        </w:rPr>
        <w:tab/>
      </w:r>
      <w:r>
        <w:rPr>
          <w:rFonts w:ascii="Times New Roman" w:hAnsi="Times New Roman" w:cs="Times New Roman"/>
          <w:sz w:val="20"/>
          <w:szCs w:val="20"/>
          <w:lang w:val="en-GB"/>
        </w:rPr>
        <w:tab/>
      </w:r>
      <w:r>
        <w:rPr>
          <w:rFonts w:ascii="Times New Roman" w:hAnsi="Times New Roman" w:cs="Times New Roman"/>
          <w:sz w:val="20"/>
          <w:szCs w:val="20"/>
          <w:lang w:val="en-GB"/>
        </w:rPr>
        <w:tab/>
      </w:r>
      <w:r>
        <w:rPr>
          <w:rFonts w:ascii="Times New Roman" w:hAnsi="Times New Roman" w:cs="Times New Roman"/>
          <w:sz w:val="20"/>
          <w:szCs w:val="20"/>
          <w:lang w:val="en-GB"/>
        </w:rPr>
        <w:tab/>
      </w:r>
      <w:r>
        <w:rPr>
          <w:rFonts w:ascii="Times New Roman" w:hAnsi="Times New Roman" w:cs="Times New Roman"/>
          <w:sz w:val="20"/>
          <w:szCs w:val="20"/>
          <w:lang w:val="en-GB"/>
        </w:rPr>
        <w:tab/>
      </w:r>
      <w:r>
        <w:rPr>
          <w:rFonts w:ascii="Times New Roman" w:hAnsi="Times New Roman" w:cs="Times New Roman"/>
          <w:sz w:val="20"/>
          <w:szCs w:val="20"/>
          <w:lang w:val="en-GB"/>
        </w:rPr>
        <w:tab/>
      </w:r>
      <w:r>
        <w:rPr>
          <w:rFonts w:ascii="Times New Roman" w:hAnsi="Times New Roman" w:cs="Times New Roman"/>
          <w:sz w:val="20"/>
          <w:szCs w:val="20"/>
          <w:lang w:val="en-GB"/>
        </w:rPr>
        <w:tab/>
      </w:r>
      <w:r>
        <w:rPr>
          <w:rFonts w:ascii="Times New Roman" w:hAnsi="Times New Roman" w:cs="Times New Roman"/>
          <w:sz w:val="20"/>
          <w:szCs w:val="20"/>
          <w:lang w:val="en-GB"/>
        </w:rPr>
        <w:tab/>
        <w:t xml:space="preserve">   </w:t>
      </w:r>
      <w:r w:rsidR="0096055F" w:rsidRPr="00F52B56">
        <w:rPr>
          <w:rFonts w:ascii="Times New Roman" w:hAnsi="Times New Roman" w:cs="Times New Roman"/>
          <w:sz w:val="20"/>
          <w:szCs w:val="20"/>
          <w:lang w:val="en-GB"/>
        </w:rPr>
        <w:t>(1)</w:t>
      </w:r>
    </w:p>
    <w:p w14:paraId="79A0D194" w14:textId="5E30178B" w:rsidR="00524AFF" w:rsidRPr="00F52B56" w:rsidRDefault="000064C4" w:rsidP="000064C4">
      <w:pPr>
        <w:pStyle w:val="1"/>
        <w:spacing w:after="0" w:line="240" w:lineRule="auto"/>
        <w:ind w:left="0" w:firstLine="720"/>
        <w:jc w:val="both"/>
        <w:rPr>
          <w:rFonts w:ascii="Times New Roman" w:hAnsi="Times New Roman" w:cs="Times New Roman"/>
          <w:sz w:val="20"/>
          <w:szCs w:val="20"/>
          <w:lang w:val="en-GB"/>
        </w:rPr>
      </w:pPr>
      <w:r w:rsidRPr="00F52B56">
        <w:rPr>
          <w:rFonts w:ascii="Times New Roman" w:hAnsi="Times New Roman" w:cs="Times New Roman"/>
          <w:position w:val="-30"/>
          <w:sz w:val="20"/>
          <w:szCs w:val="20"/>
          <w:lang w:val="en-GB"/>
        </w:rPr>
        <w:object w:dxaOrig="1125" w:dyaOrig="690" w14:anchorId="123F1D89">
          <v:shape id="_x0000_i1027" type="#_x0000_t75" style="width:46.6pt;height:28.9pt" o:ole="">
            <v:imagedata r:id="rId11" o:title=""/>
          </v:shape>
          <o:OLEObject Type="Embed" ProgID="Equation.3" ShapeID="_x0000_i1027" DrawAspect="Content" ObjectID="_1604995687" r:id="rId12"/>
        </w:object>
      </w:r>
      <w:r w:rsidR="0096055F" w:rsidRPr="00F52B56">
        <w:rPr>
          <w:rFonts w:ascii="Times New Roman" w:hAnsi="Times New Roman" w:cs="Times New Roman"/>
          <w:sz w:val="20"/>
          <w:szCs w:val="20"/>
          <w:lang w:val="en-GB"/>
        </w:rPr>
        <w:tab/>
        <w:t xml:space="preserve">             </w:t>
      </w:r>
      <w:r w:rsidR="003A6CC2" w:rsidRPr="00F52B56">
        <w:rPr>
          <w:rFonts w:ascii="Times New Roman" w:hAnsi="Times New Roman" w:cs="Times New Roman"/>
          <w:sz w:val="20"/>
          <w:szCs w:val="20"/>
          <w:lang w:val="en-GB"/>
        </w:rPr>
        <w:tab/>
      </w:r>
      <w:r w:rsidR="0096055F" w:rsidRPr="00F52B56">
        <w:rPr>
          <w:rFonts w:ascii="Times New Roman" w:hAnsi="Times New Roman" w:cs="Times New Roman"/>
          <w:sz w:val="20"/>
          <w:szCs w:val="20"/>
          <w:lang w:val="en-GB"/>
        </w:rPr>
        <w:t xml:space="preserve"> </w:t>
      </w:r>
      <w:r w:rsidR="0096055F" w:rsidRPr="00F52B56">
        <w:rPr>
          <w:rFonts w:ascii="Times New Roman" w:hAnsi="Times New Roman" w:cs="Times New Roman"/>
          <w:sz w:val="20"/>
          <w:szCs w:val="20"/>
          <w:lang w:val="en-GB"/>
        </w:rPr>
        <w:tab/>
      </w:r>
      <w:r>
        <w:rPr>
          <w:rFonts w:ascii="Times New Roman" w:hAnsi="Times New Roman" w:cs="Times New Roman"/>
          <w:sz w:val="20"/>
          <w:szCs w:val="20"/>
          <w:lang w:val="en-GB"/>
        </w:rPr>
        <w:tab/>
      </w:r>
      <w:r>
        <w:rPr>
          <w:rFonts w:ascii="Times New Roman" w:hAnsi="Times New Roman" w:cs="Times New Roman"/>
          <w:sz w:val="20"/>
          <w:szCs w:val="20"/>
          <w:lang w:val="en-GB"/>
        </w:rPr>
        <w:tab/>
      </w:r>
      <w:r>
        <w:rPr>
          <w:rFonts w:ascii="Times New Roman" w:hAnsi="Times New Roman" w:cs="Times New Roman"/>
          <w:sz w:val="20"/>
          <w:szCs w:val="20"/>
          <w:lang w:val="en-GB"/>
        </w:rPr>
        <w:tab/>
      </w:r>
      <w:r>
        <w:rPr>
          <w:rFonts w:ascii="Times New Roman" w:hAnsi="Times New Roman" w:cs="Times New Roman"/>
          <w:sz w:val="20"/>
          <w:szCs w:val="20"/>
          <w:lang w:val="en-GB"/>
        </w:rPr>
        <w:tab/>
      </w:r>
      <w:r>
        <w:rPr>
          <w:rFonts w:ascii="Times New Roman" w:hAnsi="Times New Roman" w:cs="Times New Roman"/>
          <w:sz w:val="20"/>
          <w:szCs w:val="20"/>
          <w:lang w:val="en-GB"/>
        </w:rPr>
        <w:tab/>
      </w:r>
      <w:r>
        <w:rPr>
          <w:rFonts w:ascii="Times New Roman" w:hAnsi="Times New Roman" w:cs="Times New Roman"/>
          <w:sz w:val="20"/>
          <w:szCs w:val="20"/>
          <w:lang w:val="en-GB"/>
        </w:rPr>
        <w:tab/>
      </w:r>
      <w:r>
        <w:rPr>
          <w:rFonts w:ascii="Times New Roman" w:hAnsi="Times New Roman" w:cs="Times New Roman"/>
          <w:sz w:val="20"/>
          <w:szCs w:val="20"/>
          <w:lang w:val="en-GB"/>
        </w:rPr>
        <w:tab/>
        <w:t xml:space="preserve">   </w:t>
      </w:r>
      <w:r w:rsidR="0096055F" w:rsidRPr="00F52B56">
        <w:rPr>
          <w:rFonts w:ascii="Times New Roman" w:hAnsi="Times New Roman" w:cs="Times New Roman"/>
          <w:sz w:val="20"/>
          <w:szCs w:val="20"/>
          <w:lang w:val="en-GB"/>
        </w:rPr>
        <w:t>(2)</w:t>
      </w:r>
    </w:p>
    <w:p w14:paraId="27A801F7" w14:textId="4938D850" w:rsidR="000064C4" w:rsidRDefault="0096055F" w:rsidP="007A3C0F">
      <w:pPr>
        <w:pStyle w:val="1"/>
        <w:spacing w:after="0" w:line="240" w:lineRule="auto"/>
        <w:ind w:left="0"/>
        <w:jc w:val="both"/>
        <w:rPr>
          <w:rFonts w:ascii="Times New Roman" w:hAnsi="Times New Roman" w:cs="Times New Roman"/>
          <w:sz w:val="20"/>
          <w:szCs w:val="20"/>
          <w:lang w:val="en-GB"/>
        </w:rPr>
      </w:pPr>
      <w:r w:rsidRPr="00F52B56">
        <w:rPr>
          <w:rFonts w:ascii="Times New Roman" w:hAnsi="Times New Roman" w:cs="Times New Roman"/>
          <w:sz w:val="20"/>
          <w:szCs w:val="20"/>
          <w:lang w:val="en-GB"/>
        </w:rPr>
        <w:t xml:space="preserve">where </w:t>
      </w:r>
      <w:proofErr w:type="spellStart"/>
      <w:r w:rsidR="00A67690" w:rsidRPr="00F52B56">
        <w:rPr>
          <w:rFonts w:ascii="Times New Roman" w:hAnsi="Times New Roman" w:cs="Times New Roman"/>
          <w:sz w:val="20"/>
          <w:szCs w:val="20"/>
          <w:lang w:val="en-GB"/>
        </w:rPr>
        <w:t>ρ</w:t>
      </w:r>
      <w:r w:rsidR="00A67690" w:rsidRPr="00F52B56">
        <w:rPr>
          <w:rFonts w:ascii="Times New Roman" w:hAnsi="Times New Roman" w:cs="Times New Roman"/>
          <w:sz w:val="20"/>
          <w:szCs w:val="20"/>
          <w:vertAlign w:val="subscript"/>
          <w:lang w:val="en-GB"/>
        </w:rPr>
        <w:t>r</w:t>
      </w:r>
      <w:proofErr w:type="spellEnd"/>
      <w:r w:rsidRPr="00F52B56">
        <w:rPr>
          <w:rFonts w:ascii="Times New Roman" w:hAnsi="Times New Roman" w:cs="Times New Roman"/>
          <w:sz w:val="20"/>
          <w:szCs w:val="20"/>
          <w:lang w:val="en-GB"/>
        </w:rPr>
        <w:t xml:space="preserve"> is the rubber density (</w:t>
      </w:r>
      <w:proofErr w:type="spellStart"/>
      <w:r w:rsidRPr="00F52B56">
        <w:rPr>
          <w:rFonts w:ascii="Times New Roman" w:hAnsi="Times New Roman" w:cs="Times New Roman"/>
          <w:sz w:val="20"/>
          <w:szCs w:val="20"/>
          <w:lang w:val="en-GB"/>
        </w:rPr>
        <w:t>ρ</w:t>
      </w:r>
      <w:r w:rsidRPr="00F52B56">
        <w:rPr>
          <w:rFonts w:ascii="Times New Roman" w:hAnsi="Times New Roman" w:cs="Times New Roman"/>
          <w:sz w:val="20"/>
          <w:szCs w:val="20"/>
          <w:vertAlign w:val="subscript"/>
          <w:lang w:val="en-GB"/>
        </w:rPr>
        <w:t>r</w:t>
      </w:r>
      <w:proofErr w:type="spellEnd"/>
      <w:r w:rsidRPr="00F52B56">
        <w:rPr>
          <w:rFonts w:ascii="Times New Roman" w:hAnsi="Times New Roman" w:cs="Times New Roman"/>
          <w:sz w:val="20"/>
          <w:szCs w:val="20"/>
          <w:lang w:val="en-GB"/>
        </w:rPr>
        <w:t xml:space="preserve"> of SMR-L = 0.92 g/cm</w:t>
      </w:r>
      <w:r w:rsidRPr="00F52B56">
        <w:rPr>
          <w:rFonts w:ascii="Times New Roman" w:hAnsi="Times New Roman" w:cs="Times New Roman"/>
          <w:sz w:val="20"/>
          <w:szCs w:val="20"/>
          <w:vertAlign w:val="superscript"/>
          <w:lang w:val="en-GB"/>
        </w:rPr>
        <w:t>3</w:t>
      </w:r>
      <w:r w:rsidRPr="00F52B56">
        <w:rPr>
          <w:rFonts w:ascii="Times New Roman" w:hAnsi="Times New Roman" w:cs="Times New Roman"/>
          <w:sz w:val="20"/>
          <w:szCs w:val="20"/>
          <w:lang w:val="en-GB"/>
        </w:rPr>
        <w:t xml:space="preserve">), </w:t>
      </w:r>
      <w:r w:rsidRPr="00F52B56">
        <w:rPr>
          <w:rFonts w:ascii="Times New Roman" w:hAnsi="Times New Roman" w:cs="Times New Roman"/>
          <w:i/>
          <w:iCs/>
          <w:sz w:val="20"/>
          <w:szCs w:val="20"/>
          <w:lang w:val="en-GB"/>
        </w:rPr>
        <w:t>V</w:t>
      </w:r>
      <w:r w:rsidRPr="00F52B56">
        <w:rPr>
          <w:rFonts w:ascii="Times New Roman" w:hAnsi="Times New Roman" w:cs="Times New Roman"/>
          <w:i/>
          <w:iCs/>
          <w:sz w:val="20"/>
          <w:szCs w:val="20"/>
          <w:vertAlign w:val="subscript"/>
          <w:lang w:val="en-GB"/>
        </w:rPr>
        <w:t>s</w:t>
      </w:r>
      <w:r w:rsidRPr="00F52B56">
        <w:rPr>
          <w:rFonts w:ascii="Times New Roman" w:hAnsi="Times New Roman" w:cs="Times New Roman"/>
          <w:sz w:val="20"/>
          <w:szCs w:val="20"/>
          <w:lang w:val="en-GB"/>
        </w:rPr>
        <w:t xml:space="preserve"> is the molar volume of the toluene (</w:t>
      </w:r>
      <w:r w:rsidRPr="00F52B56">
        <w:rPr>
          <w:rFonts w:ascii="Times New Roman" w:hAnsi="Times New Roman" w:cs="Times New Roman"/>
          <w:i/>
          <w:iCs/>
          <w:sz w:val="20"/>
          <w:szCs w:val="20"/>
          <w:lang w:val="en-GB"/>
        </w:rPr>
        <w:t>V</w:t>
      </w:r>
      <w:r w:rsidRPr="00F52B56">
        <w:rPr>
          <w:rFonts w:ascii="Times New Roman" w:hAnsi="Times New Roman" w:cs="Times New Roman"/>
          <w:i/>
          <w:iCs/>
          <w:sz w:val="20"/>
          <w:szCs w:val="20"/>
          <w:vertAlign w:val="subscript"/>
          <w:lang w:val="en-GB"/>
        </w:rPr>
        <w:t>s</w:t>
      </w:r>
      <w:r w:rsidRPr="00F52B56">
        <w:rPr>
          <w:rFonts w:ascii="Times New Roman" w:hAnsi="Times New Roman" w:cs="Times New Roman"/>
          <w:sz w:val="20"/>
          <w:szCs w:val="20"/>
          <w:lang w:val="en-GB"/>
        </w:rPr>
        <w:t xml:space="preserve"> = 106.4 cm</w:t>
      </w:r>
      <w:r w:rsidRPr="00F52B56">
        <w:rPr>
          <w:rFonts w:ascii="Times New Roman" w:hAnsi="Times New Roman" w:cs="Times New Roman"/>
          <w:sz w:val="20"/>
          <w:szCs w:val="20"/>
          <w:vertAlign w:val="superscript"/>
          <w:lang w:val="en-GB"/>
        </w:rPr>
        <w:t>3</w:t>
      </w:r>
      <w:r w:rsidRPr="00F52B56">
        <w:rPr>
          <w:rFonts w:ascii="Times New Roman" w:hAnsi="Times New Roman" w:cs="Times New Roman"/>
          <w:sz w:val="20"/>
          <w:szCs w:val="20"/>
          <w:lang w:val="en-GB"/>
        </w:rPr>
        <w:t xml:space="preserve">/mol), </w:t>
      </w:r>
      <w:proofErr w:type="spellStart"/>
      <w:r w:rsidRPr="00F52B56">
        <w:rPr>
          <w:rFonts w:ascii="Times New Roman" w:hAnsi="Times New Roman" w:cs="Times New Roman"/>
          <w:i/>
          <w:iCs/>
          <w:sz w:val="20"/>
          <w:szCs w:val="20"/>
          <w:lang w:val="en-GB"/>
        </w:rPr>
        <w:t>V</w:t>
      </w:r>
      <w:r w:rsidRPr="00F52B56">
        <w:rPr>
          <w:rFonts w:ascii="Times New Roman" w:hAnsi="Times New Roman" w:cs="Times New Roman"/>
          <w:i/>
          <w:iCs/>
          <w:sz w:val="20"/>
          <w:szCs w:val="20"/>
          <w:vertAlign w:val="subscript"/>
          <w:lang w:val="en-GB"/>
        </w:rPr>
        <w:t>r</w:t>
      </w:r>
      <w:proofErr w:type="spellEnd"/>
      <w:r w:rsidRPr="00F52B56">
        <w:rPr>
          <w:rFonts w:ascii="Times New Roman" w:hAnsi="Times New Roman" w:cs="Times New Roman"/>
          <w:sz w:val="20"/>
          <w:szCs w:val="20"/>
          <w:lang w:val="en-GB"/>
        </w:rPr>
        <w:t xml:space="preserve"> is the volume fraction of the rubber in the swollen specimen, </w:t>
      </w:r>
      <w:proofErr w:type="spellStart"/>
      <w:r w:rsidRPr="00F52B56">
        <w:rPr>
          <w:rFonts w:ascii="Times New Roman" w:hAnsi="Times New Roman" w:cs="Times New Roman"/>
          <w:i/>
          <w:iCs/>
          <w:sz w:val="20"/>
          <w:szCs w:val="20"/>
          <w:lang w:val="en-GB"/>
        </w:rPr>
        <w:t>Q</w:t>
      </w:r>
      <w:r w:rsidRPr="00F52B56">
        <w:rPr>
          <w:rFonts w:ascii="Times New Roman" w:hAnsi="Times New Roman" w:cs="Times New Roman"/>
          <w:i/>
          <w:iCs/>
          <w:sz w:val="20"/>
          <w:szCs w:val="20"/>
          <w:vertAlign w:val="subscript"/>
          <w:lang w:val="en-GB"/>
        </w:rPr>
        <w:t>m</w:t>
      </w:r>
      <w:proofErr w:type="spellEnd"/>
      <w:r w:rsidRPr="00F52B56">
        <w:rPr>
          <w:rFonts w:ascii="Times New Roman" w:hAnsi="Times New Roman" w:cs="Times New Roman"/>
          <w:sz w:val="20"/>
          <w:szCs w:val="20"/>
          <w:lang w:val="en-GB"/>
        </w:rPr>
        <w:t xml:space="preserve"> is the weight increase of the </w:t>
      </w:r>
      <w:proofErr w:type="spellStart"/>
      <w:r w:rsidRPr="00F52B56">
        <w:rPr>
          <w:rFonts w:ascii="Times New Roman" w:hAnsi="Times New Roman" w:cs="Times New Roman"/>
          <w:sz w:val="20"/>
          <w:szCs w:val="20"/>
          <w:lang w:val="en-GB"/>
        </w:rPr>
        <w:t>vulcanisate</w:t>
      </w:r>
      <w:proofErr w:type="spellEnd"/>
      <w:r w:rsidRPr="00F52B56">
        <w:rPr>
          <w:rFonts w:ascii="Times New Roman" w:hAnsi="Times New Roman" w:cs="Times New Roman"/>
          <w:sz w:val="20"/>
          <w:szCs w:val="20"/>
          <w:lang w:val="en-GB"/>
        </w:rPr>
        <w:t xml:space="preserve"> in toluene and </w:t>
      </w:r>
      <w:r w:rsidRPr="00F52B56">
        <w:rPr>
          <w:rFonts w:ascii="Times New Roman" w:hAnsi="Times New Roman" w:cs="Times New Roman"/>
          <w:i/>
          <w:iCs/>
          <w:sz w:val="20"/>
          <w:szCs w:val="20"/>
          <w:lang w:val="en-GB"/>
        </w:rPr>
        <w:t>χ</w:t>
      </w:r>
      <w:r w:rsidRPr="00F52B56">
        <w:rPr>
          <w:rFonts w:ascii="Times New Roman" w:hAnsi="Times New Roman" w:cs="Times New Roman"/>
          <w:sz w:val="20"/>
          <w:szCs w:val="20"/>
          <w:lang w:val="en-GB"/>
        </w:rPr>
        <w:t xml:space="preserve"> is the interaction parameter of the rubber network−solvent (</w:t>
      </w:r>
      <w:r w:rsidRPr="00F52B56">
        <w:rPr>
          <w:rFonts w:ascii="Times New Roman" w:hAnsi="Times New Roman" w:cs="Times New Roman"/>
          <w:i/>
          <w:iCs/>
          <w:sz w:val="20"/>
          <w:szCs w:val="20"/>
          <w:lang w:val="en-GB"/>
        </w:rPr>
        <w:t>χ</w:t>
      </w:r>
      <w:r w:rsidRPr="00F52B56">
        <w:rPr>
          <w:rFonts w:ascii="Times New Roman" w:hAnsi="Times New Roman" w:cs="Times New Roman"/>
          <w:sz w:val="20"/>
          <w:szCs w:val="20"/>
          <w:lang w:val="en-GB"/>
        </w:rPr>
        <w:t xml:space="preserve"> of SMR-L = 0.393). The crosslink density is given </w:t>
      </w:r>
      <w:r w:rsidR="000064C4">
        <w:rPr>
          <w:rFonts w:ascii="Times New Roman" w:hAnsi="Times New Roman" w:cs="Times New Roman"/>
          <w:sz w:val="20"/>
          <w:szCs w:val="20"/>
          <w:lang w:val="en-GB"/>
        </w:rPr>
        <w:t>in equation 3:</w:t>
      </w:r>
    </w:p>
    <w:p w14:paraId="24CF4935" w14:textId="77777777" w:rsidR="000064C4" w:rsidRPr="00F52B56" w:rsidRDefault="000064C4" w:rsidP="007A3C0F">
      <w:pPr>
        <w:pStyle w:val="1"/>
        <w:spacing w:after="0" w:line="240" w:lineRule="auto"/>
        <w:ind w:left="0"/>
        <w:jc w:val="both"/>
        <w:rPr>
          <w:rFonts w:ascii="Times New Roman" w:hAnsi="Times New Roman" w:cs="Times New Roman"/>
          <w:sz w:val="20"/>
          <w:szCs w:val="20"/>
          <w:lang w:val="en-GB"/>
        </w:rPr>
      </w:pPr>
    </w:p>
    <w:p w14:paraId="7C736685" w14:textId="01173F04" w:rsidR="00524AFF" w:rsidRPr="00F52B56" w:rsidRDefault="00A67690" w:rsidP="000064C4">
      <w:pPr>
        <w:pStyle w:val="1"/>
        <w:spacing w:after="0" w:line="240" w:lineRule="auto"/>
        <w:ind w:left="0" w:firstLine="720"/>
        <w:jc w:val="both"/>
        <w:rPr>
          <w:rFonts w:ascii="Times New Roman" w:hAnsi="Times New Roman" w:cs="Times New Roman"/>
          <w:sz w:val="20"/>
          <w:szCs w:val="20"/>
          <w:lang w:val="en-GB"/>
        </w:rPr>
      </w:pPr>
      <w:r w:rsidRPr="00F52B56">
        <w:rPr>
          <w:rFonts w:ascii="Times New Roman" w:hAnsi="Times New Roman" w:cs="Times New Roman"/>
          <w:position w:val="-30"/>
          <w:sz w:val="20"/>
          <w:szCs w:val="20"/>
          <w:lang w:val="en-GB"/>
        </w:rPr>
        <w:object w:dxaOrig="1020" w:dyaOrig="680" w14:anchorId="31AA8B7F">
          <v:shape id="_x0000_i1028" type="#_x0000_t75" style="width:50.8pt;height:33.9pt" o:ole="">
            <v:imagedata r:id="rId13" o:title=""/>
          </v:shape>
          <o:OLEObject Type="Embed" ProgID="Equation.3" ShapeID="_x0000_i1028" DrawAspect="Content" ObjectID="_1604995688" r:id="rId14"/>
        </w:object>
      </w:r>
      <w:r w:rsidR="0096055F" w:rsidRPr="00F52B56">
        <w:rPr>
          <w:rFonts w:ascii="Times New Roman" w:hAnsi="Times New Roman" w:cs="Times New Roman"/>
          <w:sz w:val="20"/>
          <w:szCs w:val="20"/>
          <w:lang w:val="en-GB"/>
        </w:rPr>
        <w:tab/>
        <w:t xml:space="preserve">                     </w:t>
      </w:r>
      <w:r w:rsidR="003A6CC2" w:rsidRPr="00F52B56">
        <w:rPr>
          <w:rFonts w:ascii="Times New Roman" w:hAnsi="Times New Roman" w:cs="Times New Roman"/>
          <w:sz w:val="20"/>
          <w:szCs w:val="20"/>
          <w:lang w:val="en-GB"/>
        </w:rPr>
        <w:tab/>
      </w:r>
      <w:r w:rsidR="000064C4">
        <w:rPr>
          <w:rFonts w:ascii="Times New Roman" w:hAnsi="Times New Roman" w:cs="Times New Roman"/>
          <w:sz w:val="20"/>
          <w:szCs w:val="20"/>
          <w:lang w:val="en-GB"/>
        </w:rPr>
        <w:tab/>
      </w:r>
      <w:r w:rsidR="000064C4">
        <w:rPr>
          <w:rFonts w:ascii="Times New Roman" w:hAnsi="Times New Roman" w:cs="Times New Roman"/>
          <w:sz w:val="20"/>
          <w:szCs w:val="20"/>
          <w:lang w:val="en-GB"/>
        </w:rPr>
        <w:tab/>
      </w:r>
      <w:r w:rsidR="000064C4">
        <w:rPr>
          <w:rFonts w:ascii="Times New Roman" w:hAnsi="Times New Roman" w:cs="Times New Roman"/>
          <w:sz w:val="20"/>
          <w:szCs w:val="20"/>
          <w:lang w:val="en-GB"/>
        </w:rPr>
        <w:tab/>
      </w:r>
      <w:r w:rsidR="000064C4">
        <w:rPr>
          <w:rFonts w:ascii="Times New Roman" w:hAnsi="Times New Roman" w:cs="Times New Roman"/>
          <w:sz w:val="20"/>
          <w:szCs w:val="20"/>
          <w:lang w:val="en-GB"/>
        </w:rPr>
        <w:tab/>
      </w:r>
      <w:r w:rsidR="000064C4">
        <w:rPr>
          <w:rFonts w:ascii="Times New Roman" w:hAnsi="Times New Roman" w:cs="Times New Roman"/>
          <w:sz w:val="20"/>
          <w:szCs w:val="20"/>
          <w:lang w:val="en-GB"/>
        </w:rPr>
        <w:tab/>
      </w:r>
      <w:r w:rsidR="000064C4">
        <w:rPr>
          <w:rFonts w:ascii="Times New Roman" w:hAnsi="Times New Roman" w:cs="Times New Roman"/>
          <w:sz w:val="20"/>
          <w:szCs w:val="20"/>
          <w:lang w:val="en-GB"/>
        </w:rPr>
        <w:tab/>
      </w:r>
      <w:r w:rsidR="000064C4">
        <w:rPr>
          <w:rFonts w:ascii="Times New Roman" w:hAnsi="Times New Roman" w:cs="Times New Roman"/>
          <w:sz w:val="20"/>
          <w:szCs w:val="20"/>
          <w:lang w:val="en-GB"/>
        </w:rPr>
        <w:tab/>
        <w:t xml:space="preserve">   </w:t>
      </w:r>
      <w:r w:rsidR="0096055F" w:rsidRPr="00F52B56">
        <w:rPr>
          <w:rFonts w:ascii="Times New Roman" w:hAnsi="Times New Roman" w:cs="Times New Roman"/>
          <w:sz w:val="20"/>
          <w:szCs w:val="20"/>
          <w:lang w:val="en-GB"/>
        </w:rPr>
        <w:t>(3)</w:t>
      </w:r>
    </w:p>
    <w:p w14:paraId="607A21D1" w14:textId="64F87792" w:rsidR="00A67690" w:rsidRPr="00F52B56" w:rsidRDefault="00A67690" w:rsidP="007A3C0F">
      <w:pPr>
        <w:pStyle w:val="1"/>
        <w:spacing w:after="0" w:line="240" w:lineRule="auto"/>
        <w:ind w:left="0"/>
        <w:jc w:val="both"/>
        <w:rPr>
          <w:rFonts w:ascii="Times New Roman" w:hAnsi="Times New Roman" w:cs="Times New Roman"/>
          <w:sz w:val="20"/>
          <w:szCs w:val="20"/>
          <w:lang w:val="en-GB"/>
        </w:rPr>
      </w:pPr>
      <w:r w:rsidRPr="00F52B56">
        <w:rPr>
          <w:rFonts w:ascii="Times New Roman" w:hAnsi="Times New Roman" w:cs="Times New Roman"/>
          <w:sz w:val="20"/>
          <w:szCs w:val="20"/>
          <w:lang w:val="en-GB"/>
        </w:rPr>
        <w:t xml:space="preserve">where </w:t>
      </w:r>
      <w:proofErr w:type="spellStart"/>
      <w:r w:rsidRPr="00F52B56">
        <w:rPr>
          <w:rFonts w:ascii="Times New Roman" w:hAnsi="Times New Roman" w:cs="Times New Roman"/>
          <w:sz w:val="20"/>
          <w:szCs w:val="20"/>
          <w:lang w:val="en-GB"/>
        </w:rPr>
        <w:t>V</w:t>
      </w:r>
      <w:r w:rsidRPr="00F52B56">
        <w:rPr>
          <w:rFonts w:ascii="Times New Roman" w:hAnsi="Times New Roman" w:cs="Times New Roman"/>
          <w:sz w:val="20"/>
          <w:szCs w:val="20"/>
          <w:vertAlign w:val="subscript"/>
          <w:lang w:val="en-GB"/>
        </w:rPr>
        <w:t>c</w:t>
      </w:r>
      <w:proofErr w:type="spellEnd"/>
      <w:r w:rsidRPr="00F52B56">
        <w:rPr>
          <w:rFonts w:ascii="Times New Roman" w:hAnsi="Times New Roman" w:cs="Times New Roman"/>
          <w:sz w:val="20"/>
          <w:szCs w:val="20"/>
          <w:lang w:val="en-GB"/>
        </w:rPr>
        <w:t xml:space="preserve"> is the </w:t>
      </w:r>
      <w:r w:rsidR="0047456D" w:rsidRPr="00F52B56">
        <w:rPr>
          <w:rFonts w:ascii="Times New Roman" w:hAnsi="Times New Roman" w:cs="Times New Roman"/>
          <w:sz w:val="20"/>
          <w:szCs w:val="20"/>
          <w:lang w:val="en-GB"/>
        </w:rPr>
        <w:t xml:space="preserve">crosslink </w:t>
      </w:r>
      <w:r w:rsidRPr="00F52B56">
        <w:rPr>
          <w:rFonts w:ascii="Times New Roman" w:hAnsi="Times New Roman" w:cs="Times New Roman"/>
          <w:sz w:val="20"/>
          <w:szCs w:val="20"/>
          <w:lang w:val="en-GB"/>
        </w:rPr>
        <w:t>density</w:t>
      </w:r>
      <w:r w:rsidR="0047456D" w:rsidRPr="00F52B56">
        <w:rPr>
          <w:rFonts w:ascii="Times New Roman" w:hAnsi="Times New Roman" w:cs="Times New Roman"/>
          <w:sz w:val="20"/>
          <w:szCs w:val="20"/>
          <w:lang w:val="en-GB"/>
        </w:rPr>
        <w:t xml:space="preserve"> in mol per cubic centimetre.</w:t>
      </w:r>
    </w:p>
    <w:p w14:paraId="4CE151EF" w14:textId="77777777" w:rsidR="00524AFF" w:rsidRPr="00F52B56" w:rsidRDefault="00524AFF" w:rsidP="007A3C0F">
      <w:pPr>
        <w:pStyle w:val="BodyTextIndent"/>
        <w:tabs>
          <w:tab w:val="left" w:pos="709"/>
        </w:tabs>
        <w:ind w:firstLine="0"/>
        <w:rPr>
          <w:rFonts w:cs="Times New Roman"/>
          <w:b/>
          <w:lang w:val="en-GB"/>
        </w:rPr>
      </w:pPr>
    </w:p>
    <w:p w14:paraId="7B111137" w14:textId="6EBFE73E" w:rsidR="00524AFF" w:rsidRPr="00F52B56" w:rsidRDefault="0096055F" w:rsidP="007A3C0F">
      <w:pPr>
        <w:pStyle w:val="BodyTextIndent"/>
        <w:tabs>
          <w:tab w:val="left" w:pos="709"/>
        </w:tabs>
        <w:ind w:firstLine="0"/>
        <w:rPr>
          <w:rFonts w:cs="Times New Roman"/>
          <w:b/>
          <w:lang w:val="en-GB"/>
        </w:rPr>
      </w:pPr>
      <w:r w:rsidRPr="00F52B56">
        <w:rPr>
          <w:rFonts w:cs="Times New Roman"/>
          <w:b/>
          <w:lang w:val="en-GB"/>
        </w:rPr>
        <w:t xml:space="preserve">Measurement </w:t>
      </w:r>
      <w:r w:rsidR="000064C4" w:rsidRPr="00F52B56">
        <w:rPr>
          <w:rFonts w:cs="Times New Roman"/>
          <w:b/>
          <w:lang w:val="en-GB"/>
        </w:rPr>
        <w:t>of rubber - filler interaction</w:t>
      </w:r>
    </w:p>
    <w:p w14:paraId="58CE718D" w14:textId="21EA159F" w:rsidR="00524AFF" w:rsidRDefault="0096055F" w:rsidP="007A3C0F">
      <w:pPr>
        <w:spacing w:after="0" w:line="240" w:lineRule="auto"/>
        <w:jc w:val="both"/>
        <w:rPr>
          <w:rFonts w:ascii="Times New Roman" w:hAnsi="Times New Roman" w:cs="Times New Roman"/>
          <w:sz w:val="20"/>
          <w:szCs w:val="20"/>
        </w:rPr>
      </w:pPr>
      <w:r w:rsidRPr="00F52B56">
        <w:rPr>
          <w:rFonts w:ascii="Times New Roman" w:hAnsi="Times New Roman" w:cs="Times New Roman"/>
          <w:sz w:val="20"/>
          <w:szCs w:val="20"/>
        </w:rPr>
        <w:t xml:space="preserve">The rubber - filler interaction was determined by swelling the cured </w:t>
      </w:r>
      <w:r w:rsidRPr="00F52B56">
        <w:rPr>
          <w:rFonts w:ascii="Times New Roman" w:hAnsi="Times New Roman" w:cs="Times New Roman"/>
          <w:sz w:val="20"/>
          <w:szCs w:val="20"/>
          <w:lang w:val="en-US"/>
        </w:rPr>
        <w:t>CaCO</w:t>
      </w:r>
      <w:r w:rsidRPr="00F52B56">
        <w:rPr>
          <w:rFonts w:ascii="Times New Roman" w:hAnsi="Times New Roman" w:cs="Times New Roman"/>
          <w:sz w:val="20"/>
          <w:szCs w:val="20"/>
          <w:vertAlign w:val="subscript"/>
          <w:lang w:val="en-US"/>
        </w:rPr>
        <w:t>3</w:t>
      </w:r>
      <w:r w:rsidRPr="00F52B56">
        <w:rPr>
          <w:rFonts w:ascii="Times New Roman" w:hAnsi="Times New Roman" w:cs="Times New Roman"/>
          <w:sz w:val="20"/>
          <w:szCs w:val="20"/>
          <w:lang w:val="en-US"/>
        </w:rPr>
        <w:t xml:space="preserve"> </w:t>
      </w:r>
      <w:r w:rsidRPr="00F52B56">
        <w:rPr>
          <w:rFonts w:ascii="Times New Roman" w:hAnsi="Times New Roman" w:cs="Times New Roman"/>
          <w:sz w:val="20"/>
          <w:szCs w:val="20"/>
        </w:rPr>
        <w:t xml:space="preserve">filled </w:t>
      </w:r>
      <w:r w:rsidRPr="00F52B56">
        <w:rPr>
          <w:rFonts w:ascii="Times New Roman" w:hAnsi="Times New Roman" w:cs="Times New Roman"/>
          <w:sz w:val="20"/>
          <w:szCs w:val="20"/>
          <w:lang w:val="en-US"/>
        </w:rPr>
        <w:t>NR</w:t>
      </w:r>
      <w:r w:rsidRPr="00F52B56">
        <w:rPr>
          <w:rFonts w:ascii="Times New Roman" w:hAnsi="Times New Roman" w:cs="Times New Roman"/>
          <w:sz w:val="20"/>
          <w:szCs w:val="20"/>
        </w:rPr>
        <w:t xml:space="preserve"> compounds with and without ENRs in toluene, according to ISO 1817. Test pieces with dimensions of (30mm x 5mm x 2mm) were prepared from the moulded sheets. The initial weights were recorded prior to testing. The test pieces were then immersed in toluene and conditioned at room temperature in a dark environment for 72 hours. After the conditioning period, the weights of the swollen test pieces were recorded. The swollen test pieces were then dried in the oven at 70</w:t>
      </w:r>
      <w:r w:rsidR="000064C4">
        <w:rPr>
          <w:rFonts w:ascii="Times New Roman" w:hAnsi="Times New Roman" w:cs="Times New Roman"/>
          <w:sz w:val="20"/>
          <w:szCs w:val="20"/>
        </w:rPr>
        <w:t xml:space="preserve"> </w:t>
      </w:r>
      <w:proofErr w:type="spellStart"/>
      <w:r w:rsidRPr="00F52B56">
        <w:rPr>
          <w:rFonts w:ascii="Times New Roman" w:hAnsi="Times New Roman" w:cs="Times New Roman"/>
          <w:sz w:val="20"/>
          <w:szCs w:val="20"/>
          <w:vertAlign w:val="superscript"/>
        </w:rPr>
        <w:t>o</w:t>
      </w:r>
      <w:r w:rsidRPr="00F52B56">
        <w:rPr>
          <w:rFonts w:ascii="Times New Roman" w:hAnsi="Times New Roman" w:cs="Times New Roman"/>
          <w:sz w:val="20"/>
          <w:szCs w:val="20"/>
        </w:rPr>
        <w:t>C</w:t>
      </w:r>
      <w:proofErr w:type="spellEnd"/>
      <w:r w:rsidRPr="00F52B56">
        <w:rPr>
          <w:rFonts w:ascii="Times New Roman" w:hAnsi="Times New Roman" w:cs="Times New Roman"/>
          <w:sz w:val="20"/>
          <w:szCs w:val="20"/>
        </w:rPr>
        <w:t xml:space="preserve"> for 15 minutes and were allowed to cool at room temperature for another 15 minutes before the final weights were recorded. The Lorenz and Park’s equation </w:t>
      </w:r>
      <w:r w:rsidRPr="00F52B56">
        <w:rPr>
          <w:rFonts w:ascii="Times New Roman" w:hAnsi="Times New Roman" w:cs="Times New Roman"/>
          <w:noProof/>
          <w:sz w:val="20"/>
          <w:szCs w:val="20"/>
        </w:rPr>
        <w:t>[9-10]</w:t>
      </w:r>
      <w:r w:rsidRPr="00F52B56">
        <w:rPr>
          <w:rFonts w:ascii="Times New Roman" w:hAnsi="Times New Roman" w:cs="Times New Roman"/>
          <w:sz w:val="20"/>
          <w:szCs w:val="20"/>
        </w:rPr>
        <w:t xml:space="preserve"> was applied in this study. The swelling index was calculated according to </w:t>
      </w:r>
      <w:r w:rsidR="000064C4">
        <w:rPr>
          <w:rFonts w:ascii="Times New Roman" w:hAnsi="Times New Roman" w:cs="Times New Roman"/>
          <w:sz w:val="20"/>
          <w:szCs w:val="20"/>
        </w:rPr>
        <w:t>e</w:t>
      </w:r>
      <w:r w:rsidRPr="00F52B56">
        <w:rPr>
          <w:rFonts w:ascii="Times New Roman" w:hAnsi="Times New Roman" w:cs="Times New Roman"/>
          <w:sz w:val="20"/>
          <w:szCs w:val="20"/>
        </w:rPr>
        <w:t>quation 4.</w:t>
      </w:r>
    </w:p>
    <w:p w14:paraId="3AF3C3A6" w14:textId="77777777" w:rsidR="000064C4" w:rsidRPr="00F52B56" w:rsidRDefault="000064C4" w:rsidP="007A3C0F">
      <w:pPr>
        <w:spacing w:after="0" w:line="240" w:lineRule="auto"/>
        <w:jc w:val="both"/>
        <w:rPr>
          <w:rFonts w:ascii="Times New Roman" w:hAnsi="Times New Roman" w:cs="Times New Roman"/>
          <w:sz w:val="20"/>
          <w:szCs w:val="20"/>
        </w:rPr>
      </w:pPr>
    </w:p>
    <w:p w14:paraId="02E710C2" w14:textId="62F591AA" w:rsidR="00524AFF" w:rsidRDefault="0096055F" w:rsidP="000064C4">
      <w:pPr>
        <w:spacing w:after="0" w:line="240" w:lineRule="auto"/>
        <w:ind w:firstLine="720"/>
        <w:jc w:val="both"/>
        <w:rPr>
          <w:rFonts w:ascii="Times New Roman" w:hAnsi="Times New Roman" w:cs="Times New Roman"/>
          <w:sz w:val="20"/>
          <w:szCs w:val="20"/>
        </w:rPr>
      </w:pPr>
      <w:r w:rsidRPr="00F52B56">
        <w:rPr>
          <w:rFonts w:ascii="Times New Roman" w:hAnsi="Times New Roman" w:cs="Times New Roman"/>
          <w:sz w:val="20"/>
          <w:szCs w:val="20"/>
        </w:rPr>
        <w:t>Qf/Qg</w:t>
      </w:r>
      <w:r w:rsidRPr="00F52B56">
        <w:rPr>
          <w:rFonts w:ascii="Times New Roman" w:hAnsi="Times New Roman" w:cs="Times New Roman"/>
          <w:sz w:val="20"/>
          <w:szCs w:val="20"/>
        </w:rPr>
        <w:tab/>
        <w:t>= ae</w:t>
      </w:r>
      <w:r w:rsidRPr="00F52B56">
        <w:rPr>
          <w:rFonts w:ascii="Times New Roman" w:hAnsi="Times New Roman" w:cs="Times New Roman"/>
          <w:sz w:val="20"/>
          <w:szCs w:val="20"/>
          <w:vertAlign w:val="superscript"/>
        </w:rPr>
        <w:t>―z</w:t>
      </w:r>
      <w:r w:rsidRPr="00F52B56">
        <w:rPr>
          <w:rFonts w:ascii="Times New Roman" w:hAnsi="Times New Roman" w:cs="Times New Roman"/>
          <w:sz w:val="20"/>
          <w:szCs w:val="20"/>
        </w:rPr>
        <w:t xml:space="preserve"> + b</w:t>
      </w:r>
      <w:r w:rsidRPr="00F52B56">
        <w:rPr>
          <w:rFonts w:ascii="Times New Roman" w:hAnsi="Times New Roman" w:cs="Times New Roman"/>
          <w:sz w:val="20"/>
          <w:szCs w:val="20"/>
        </w:rPr>
        <w:tab/>
      </w:r>
      <w:r w:rsidRPr="00F52B56">
        <w:rPr>
          <w:rFonts w:ascii="Times New Roman" w:hAnsi="Times New Roman" w:cs="Times New Roman"/>
          <w:sz w:val="20"/>
          <w:szCs w:val="20"/>
        </w:rPr>
        <w:tab/>
      </w:r>
      <w:r w:rsidR="000064C4">
        <w:rPr>
          <w:rFonts w:ascii="Times New Roman" w:hAnsi="Times New Roman" w:cs="Times New Roman"/>
          <w:sz w:val="20"/>
          <w:szCs w:val="20"/>
        </w:rPr>
        <w:tab/>
      </w:r>
      <w:r w:rsidR="000064C4">
        <w:rPr>
          <w:rFonts w:ascii="Times New Roman" w:hAnsi="Times New Roman" w:cs="Times New Roman"/>
          <w:sz w:val="20"/>
          <w:szCs w:val="20"/>
        </w:rPr>
        <w:tab/>
      </w:r>
      <w:r w:rsidR="000064C4">
        <w:rPr>
          <w:rFonts w:ascii="Times New Roman" w:hAnsi="Times New Roman" w:cs="Times New Roman"/>
          <w:sz w:val="20"/>
          <w:szCs w:val="20"/>
        </w:rPr>
        <w:tab/>
      </w:r>
      <w:r w:rsidR="000064C4">
        <w:rPr>
          <w:rFonts w:ascii="Times New Roman" w:hAnsi="Times New Roman" w:cs="Times New Roman"/>
          <w:sz w:val="20"/>
          <w:szCs w:val="20"/>
        </w:rPr>
        <w:tab/>
      </w:r>
      <w:r w:rsidR="000064C4">
        <w:rPr>
          <w:rFonts w:ascii="Times New Roman" w:hAnsi="Times New Roman" w:cs="Times New Roman"/>
          <w:sz w:val="20"/>
          <w:szCs w:val="20"/>
        </w:rPr>
        <w:tab/>
      </w:r>
      <w:r w:rsidR="000064C4">
        <w:rPr>
          <w:rFonts w:ascii="Times New Roman" w:hAnsi="Times New Roman" w:cs="Times New Roman"/>
          <w:sz w:val="20"/>
          <w:szCs w:val="20"/>
        </w:rPr>
        <w:tab/>
      </w:r>
      <w:r w:rsidR="000064C4">
        <w:rPr>
          <w:rFonts w:ascii="Times New Roman" w:hAnsi="Times New Roman" w:cs="Times New Roman"/>
          <w:sz w:val="20"/>
          <w:szCs w:val="20"/>
        </w:rPr>
        <w:tab/>
      </w:r>
      <w:proofErr w:type="gramStart"/>
      <w:r w:rsidR="000064C4">
        <w:rPr>
          <w:rFonts w:ascii="Times New Roman" w:hAnsi="Times New Roman" w:cs="Times New Roman"/>
          <w:sz w:val="20"/>
          <w:szCs w:val="20"/>
        </w:rPr>
        <w:t xml:space="preserve">   </w:t>
      </w:r>
      <w:r w:rsidRPr="00F52B56">
        <w:rPr>
          <w:rFonts w:ascii="Times New Roman" w:hAnsi="Times New Roman" w:cs="Times New Roman"/>
          <w:sz w:val="20"/>
          <w:szCs w:val="20"/>
        </w:rPr>
        <w:t>(</w:t>
      </w:r>
      <w:proofErr w:type="gramEnd"/>
      <w:r w:rsidRPr="00F52B56">
        <w:rPr>
          <w:rFonts w:ascii="Times New Roman" w:hAnsi="Times New Roman" w:cs="Times New Roman"/>
          <w:sz w:val="20"/>
          <w:szCs w:val="20"/>
        </w:rPr>
        <w:t>4)</w:t>
      </w:r>
    </w:p>
    <w:p w14:paraId="01E202D9" w14:textId="77777777" w:rsidR="000064C4" w:rsidRPr="00F52B56" w:rsidRDefault="000064C4" w:rsidP="000064C4">
      <w:pPr>
        <w:spacing w:after="0" w:line="240" w:lineRule="auto"/>
        <w:ind w:firstLine="720"/>
        <w:jc w:val="both"/>
        <w:rPr>
          <w:rFonts w:ascii="Times New Roman" w:hAnsi="Times New Roman" w:cs="Times New Roman"/>
          <w:sz w:val="20"/>
          <w:szCs w:val="20"/>
        </w:rPr>
      </w:pPr>
    </w:p>
    <w:p w14:paraId="7A05ACC1" w14:textId="21CADD11" w:rsidR="00524AFF" w:rsidRDefault="0096055F" w:rsidP="007A3C0F">
      <w:pPr>
        <w:spacing w:after="0" w:line="240" w:lineRule="auto"/>
        <w:jc w:val="both"/>
        <w:rPr>
          <w:rFonts w:ascii="Times New Roman" w:hAnsi="Times New Roman" w:cs="Times New Roman"/>
          <w:sz w:val="20"/>
          <w:szCs w:val="20"/>
        </w:rPr>
      </w:pPr>
      <w:r w:rsidRPr="00F52B56">
        <w:rPr>
          <w:rFonts w:ascii="Times New Roman" w:hAnsi="Times New Roman" w:cs="Times New Roman"/>
          <w:sz w:val="20"/>
          <w:szCs w:val="20"/>
        </w:rPr>
        <w:t xml:space="preserve">where the subscripts f and g referred to filled and gum vulcanisates, respectively; z was the ratio by weight of filler to hydrocarbon rubber in the </w:t>
      </w:r>
      <w:r w:rsidR="000064C4" w:rsidRPr="00F52B56">
        <w:rPr>
          <w:rFonts w:ascii="Times New Roman" w:hAnsi="Times New Roman" w:cs="Times New Roman"/>
          <w:sz w:val="20"/>
          <w:szCs w:val="20"/>
        </w:rPr>
        <w:t>vulcanizate</w:t>
      </w:r>
      <w:r w:rsidRPr="00F52B56">
        <w:rPr>
          <w:rFonts w:ascii="Times New Roman" w:hAnsi="Times New Roman" w:cs="Times New Roman"/>
          <w:sz w:val="20"/>
          <w:szCs w:val="20"/>
        </w:rPr>
        <w:t xml:space="preserve">; while a and b were constants. The lower the Qf/Qg value, the greater the rubber - filler interaction is </w:t>
      </w:r>
      <w:r w:rsidRPr="00F52B56">
        <w:rPr>
          <w:rFonts w:ascii="Times New Roman" w:hAnsi="Times New Roman" w:cs="Times New Roman"/>
          <w:noProof/>
          <w:sz w:val="20"/>
          <w:szCs w:val="20"/>
        </w:rPr>
        <w:t>[10]</w:t>
      </w:r>
      <w:r w:rsidRPr="00F52B56">
        <w:rPr>
          <w:rFonts w:ascii="Times New Roman" w:hAnsi="Times New Roman" w:cs="Times New Roman"/>
          <w:sz w:val="20"/>
          <w:szCs w:val="20"/>
        </w:rPr>
        <w:t>.</w:t>
      </w:r>
      <w:r w:rsidR="000064C4">
        <w:rPr>
          <w:rFonts w:ascii="Times New Roman" w:hAnsi="Times New Roman" w:cs="Times New Roman"/>
          <w:sz w:val="20"/>
          <w:szCs w:val="20"/>
        </w:rPr>
        <w:t xml:space="preserve"> </w:t>
      </w:r>
      <w:r w:rsidRPr="00F52B56">
        <w:rPr>
          <w:rFonts w:ascii="Times New Roman" w:hAnsi="Times New Roman" w:cs="Times New Roman"/>
          <w:sz w:val="20"/>
          <w:szCs w:val="20"/>
        </w:rPr>
        <w:t xml:space="preserve">In this study, the weight of the toluene uptake per gram of hydrocarbon rubber (Q) was calculated based on </w:t>
      </w:r>
      <w:r w:rsidR="000064C4">
        <w:rPr>
          <w:rFonts w:ascii="Times New Roman" w:hAnsi="Times New Roman" w:cs="Times New Roman"/>
          <w:sz w:val="20"/>
          <w:szCs w:val="20"/>
        </w:rPr>
        <w:t>e</w:t>
      </w:r>
      <w:r w:rsidRPr="00F52B56">
        <w:rPr>
          <w:rFonts w:ascii="Times New Roman" w:hAnsi="Times New Roman" w:cs="Times New Roman"/>
          <w:sz w:val="20"/>
          <w:szCs w:val="20"/>
        </w:rPr>
        <w:t>quation 5.</w:t>
      </w:r>
    </w:p>
    <w:p w14:paraId="7E8F922A" w14:textId="77777777" w:rsidR="000064C4" w:rsidRPr="00F52B56" w:rsidRDefault="000064C4" w:rsidP="007A3C0F">
      <w:pPr>
        <w:spacing w:after="0" w:line="240" w:lineRule="auto"/>
        <w:jc w:val="both"/>
        <w:rPr>
          <w:rFonts w:ascii="Times New Roman" w:hAnsi="Times New Roman" w:cs="Times New Roman"/>
          <w:sz w:val="20"/>
          <w:szCs w:val="20"/>
        </w:rPr>
      </w:pPr>
    </w:p>
    <w:p w14:paraId="46C15270" w14:textId="207898A7" w:rsidR="00524AFF" w:rsidRPr="00F52B56" w:rsidRDefault="0096055F" w:rsidP="000064C4">
      <w:pPr>
        <w:spacing w:after="0" w:line="240" w:lineRule="auto"/>
        <w:ind w:firstLine="720"/>
        <w:jc w:val="both"/>
        <w:rPr>
          <w:rFonts w:ascii="Times New Roman" w:hAnsi="Times New Roman" w:cs="Times New Roman"/>
          <w:sz w:val="20"/>
          <w:szCs w:val="20"/>
        </w:rPr>
      </w:pPr>
      <w:r w:rsidRPr="00F52B56">
        <w:rPr>
          <w:rFonts w:ascii="Times New Roman" w:hAnsi="Times New Roman" w:cs="Times New Roman"/>
          <w:sz w:val="20"/>
          <w:szCs w:val="20"/>
        </w:rPr>
        <w:t xml:space="preserve">Q = </w:t>
      </w:r>
      <w:r w:rsidRPr="00F52B56">
        <w:rPr>
          <w:rFonts w:ascii="Times New Roman" w:hAnsi="Times New Roman" w:cs="Times New Roman"/>
          <w:sz w:val="20"/>
          <w:szCs w:val="20"/>
        </w:rPr>
        <w:sym w:font="Symbol" w:char="F05B"/>
      </w:r>
      <w:r w:rsidRPr="00F52B56">
        <w:rPr>
          <w:rFonts w:ascii="Times New Roman" w:hAnsi="Times New Roman" w:cs="Times New Roman"/>
          <w:sz w:val="20"/>
          <w:szCs w:val="20"/>
        </w:rPr>
        <w:t>Swollen ― Dried weight</w:t>
      </w:r>
      <w:r w:rsidRPr="00F52B56">
        <w:rPr>
          <w:rFonts w:ascii="Times New Roman" w:hAnsi="Times New Roman" w:cs="Times New Roman"/>
          <w:sz w:val="20"/>
          <w:szCs w:val="20"/>
        </w:rPr>
        <w:sym w:font="Symbol" w:char="F05D"/>
      </w:r>
      <w:r w:rsidRPr="00F52B56">
        <w:rPr>
          <w:rFonts w:ascii="Times New Roman" w:hAnsi="Times New Roman" w:cs="Times New Roman"/>
          <w:sz w:val="20"/>
          <w:szCs w:val="20"/>
        </w:rPr>
        <w:t>/</w:t>
      </w:r>
      <w:r w:rsidRPr="00F52B56">
        <w:rPr>
          <w:rFonts w:ascii="Times New Roman" w:hAnsi="Times New Roman" w:cs="Times New Roman"/>
          <w:sz w:val="20"/>
          <w:szCs w:val="20"/>
        </w:rPr>
        <w:sym w:font="Symbol" w:char="F05B"/>
      </w:r>
      <w:r w:rsidRPr="00F52B56">
        <w:rPr>
          <w:rFonts w:ascii="Times New Roman" w:hAnsi="Times New Roman" w:cs="Times New Roman"/>
          <w:sz w:val="20"/>
          <w:szCs w:val="20"/>
        </w:rPr>
        <w:t>Initial weight x 100/Formula weight</w:t>
      </w:r>
      <w:r w:rsidRPr="00F52B56">
        <w:rPr>
          <w:rFonts w:ascii="Times New Roman" w:hAnsi="Times New Roman" w:cs="Times New Roman"/>
          <w:sz w:val="20"/>
          <w:szCs w:val="20"/>
        </w:rPr>
        <w:sym w:font="Symbol" w:char="F05D"/>
      </w:r>
      <w:r w:rsidRPr="00F52B56">
        <w:rPr>
          <w:rFonts w:ascii="Times New Roman" w:hAnsi="Times New Roman" w:cs="Times New Roman"/>
          <w:sz w:val="20"/>
          <w:szCs w:val="20"/>
        </w:rPr>
        <w:tab/>
      </w:r>
      <w:r w:rsidR="000064C4">
        <w:rPr>
          <w:rFonts w:ascii="Times New Roman" w:hAnsi="Times New Roman" w:cs="Times New Roman"/>
          <w:sz w:val="20"/>
          <w:szCs w:val="20"/>
        </w:rPr>
        <w:tab/>
      </w:r>
      <w:r w:rsidR="000064C4">
        <w:rPr>
          <w:rFonts w:ascii="Times New Roman" w:hAnsi="Times New Roman" w:cs="Times New Roman"/>
          <w:sz w:val="20"/>
          <w:szCs w:val="20"/>
        </w:rPr>
        <w:tab/>
      </w:r>
      <w:r w:rsidR="000064C4">
        <w:rPr>
          <w:rFonts w:ascii="Times New Roman" w:hAnsi="Times New Roman" w:cs="Times New Roman"/>
          <w:sz w:val="20"/>
          <w:szCs w:val="20"/>
        </w:rPr>
        <w:tab/>
      </w:r>
      <w:proofErr w:type="gramStart"/>
      <w:r w:rsidR="000064C4">
        <w:rPr>
          <w:rFonts w:ascii="Times New Roman" w:hAnsi="Times New Roman" w:cs="Times New Roman"/>
          <w:sz w:val="20"/>
          <w:szCs w:val="20"/>
        </w:rPr>
        <w:t xml:space="preserve">   </w:t>
      </w:r>
      <w:r w:rsidRPr="00F52B56">
        <w:rPr>
          <w:rFonts w:ascii="Times New Roman" w:hAnsi="Times New Roman" w:cs="Times New Roman"/>
          <w:sz w:val="20"/>
          <w:szCs w:val="20"/>
        </w:rPr>
        <w:t>(</w:t>
      </w:r>
      <w:proofErr w:type="gramEnd"/>
      <w:r w:rsidRPr="00F52B56">
        <w:rPr>
          <w:rFonts w:ascii="Times New Roman" w:hAnsi="Times New Roman" w:cs="Times New Roman"/>
          <w:sz w:val="20"/>
          <w:szCs w:val="20"/>
        </w:rPr>
        <w:t>5)</w:t>
      </w:r>
    </w:p>
    <w:p w14:paraId="1B7A41AC" w14:textId="77777777" w:rsidR="007D1A49" w:rsidRPr="00F52B56" w:rsidRDefault="007D1A49" w:rsidP="007A3C0F">
      <w:pPr>
        <w:pStyle w:val="1"/>
        <w:spacing w:after="0" w:line="240" w:lineRule="auto"/>
        <w:ind w:left="0"/>
        <w:jc w:val="both"/>
        <w:rPr>
          <w:rFonts w:ascii="Times New Roman" w:hAnsi="Times New Roman" w:cs="Times New Roman"/>
          <w:sz w:val="20"/>
          <w:szCs w:val="20"/>
          <w:lang w:val="en-GB"/>
        </w:rPr>
      </w:pPr>
    </w:p>
    <w:p w14:paraId="43717BDE" w14:textId="185EB937" w:rsidR="00524AFF" w:rsidRPr="00F52B56" w:rsidRDefault="007A3C0F" w:rsidP="007A3C0F">
      <w:pPr>
        <w:spacing w:after="0" w:line="240" w:lineRule="auto"/>
        <w:jc w:val="center"/>
        <w:rPr>
          <w:rFonts w:ascii="Times New Roman" w:hAnsi="Times New Roman" w:cs="Times New Roman"/>
          <w:b/>
          <w:sz w:val="20"/>
          <w:szCs w:val="20"/>
          <w:lang w:val="sl-SI"/>
        </w:rPr>
      </w:pPr>
      <w:r w:rsidRPr="00F52B56">
        <w:rPr>
          <w:rFonts w:ascii="Times New Roman" w:hAnsi="Times New Roman" w:cs="Times New Roman"/>
          <w:b/>
          <w:sz w:val="20"/>
          <w:szCs w:val="20"/>
          <w:lang w:val="sl-SI"/>
        </w:rPr>
        <w:t>Result</w:t>
      </w:r>
      <w:r w:rsidR="00772E64" w:rsidRPr="00F52B56">
        <w:rPr>
          <w:rFonts w:ascii="Times New Roman" w:hAnsi="Times New Roman" w:cs="Times New Roman"/>
          <w:b/>
          <w:sz w:val="20"/>
          <w:szCs w:val="20"/>
          <w:lang w:val="sl-SI"/>
        </w:rPr>
        <w:t>s</w:t>
      </w:r>
      <w:r w:rsidRPr="00F52B56">
        <w:rPr>
          <w:rFonts w:ascii="Times New Roman" w:hAnsi="Times New Roman" w:cs="Times New Roman"/>
          <w:b/>
          <w:sz w:val="20"/>
          <w:szCs w:val="20"/>
          <w:lang w:val="sl-SI"/>
        </w:rPr>
        <w:t xml:space="preserve"> and Discussion</w:t>
      </w:r>
    </w:p>
    <w:p w14:paraId="73A9C3BE" w14:textId="772AF185" w:rsidR="00524AFF" w:rsidRPr="00F52B56" w:rsidRDefault="0096055F" w:rsidP="007A3C0F">
      <w:pPr>
        <w:spacing w:after="0" w:line="240" w:lineRule="auto"/>
        <w:jc w:val="both"/>
        <w:rPr>
          <w:rFonts w:ascii="Times New Roman" w:hAnsi="Times New Roman" w:cs="Times New Roman"/>
          <w:b/>
          <w:sz w:val="20"/>
          <w:szCs w:val="20"/>
          <w:lang w:val="sl-SI"/>
        </w:rPr>
      </w:pPr>
      <w:r w:rsidRPr="00F52B56">
        <w:rPr>
          <w:rFonts w:ascii="Times New Roman" w:hAnsi="Times New Roman" w:cs="Times New Roman"/>
          <w:b/>
          <w:sz w:val="20"/>
          <w:szCs w:val="20"/>
          <w:lang w:val="sl-SI"/>
        </w:rPr>
        <w:t xml:space="preserve">The </w:t>
      </w:r>
      <w:r w:rsidR="004F0425" w:rsidRPr="00F52B56">
        <w:rPr>
          <w:rFonts w:ascii="Times New Roman" w:hAnsi="Times New Roman" w:cs="Times New Roman"/>
          <w:b/>
          <w:sz w:val="20"/>
          <w:szCs w:val="20"/>
          <w:lang w:val="sl-SI"/>
        </w:rPr>
        <w:t>cure characteristics</w:t>
      </w:r>
    </w:p>
    <w:p w14:paraId="26A2825F" w14:textId="374F20A2" w:rsidR="001F6392" w:rsidRDefault="0096055F" w:rsidP="007A3C0F">
      <w:pPr>
        <w:spacing w:after="0" w:line="240" w:lineRule="auto"/>
        <w:jc w:val="both"/>
        <w:rPr>
          <w:rFonts w:ascii="Times New Roman" w:hAnsi="Times New Roman" w:cs="Times New Roman"/>
          <w:sz w:val="20"/>
          <w:szCs w:val="20"/>
        </w:rPr>
      </w:pPr>
      <w:r w:rsidRPr="00F52B56">
        <w:rPr>
          <w:rFonts w:ascii="Times New Roman" w:hAnsi="Times New Roman" w:cs="Times New Roman"/>
          <w:sz w:val="20"/>
          <w:szCs w:val="20"/>
          <w:lang w:val="en-US"/>
        </w:rPr>
        <w:t>The effects of ENRs on the cure characteristics of the CaCO</w:t>
      </w:r>
      <w:r w:rsidRPr="00F52B56">
        <w:rPr>
          <w:rFonts w:ascii="Times New Roman" w:hAnsi="Times New Roman" w:cs="Times New Roman"/>
          <w:sz w:val="20"/>
          <w:szCs w:val="20"/>
          <w:vertAlign w:val="subscript"/>
          <w:lang w:val="en-US"/>
        </w:rPr>
        <w:t>3</w:t>
      </w:r>
      <w:r w:rsidRPr="00F52B56">
        <w:rPr>
          <w:rFonts w:ascii="Times New Roman" w:hAnsi="Times New Roman" w:cs="Times New Roman"/>
          <w:sz w:val="20"/>
          <w:szCs w:val="20"/>
          <w:lang w:val="en-US"/>
        </w:rPr>
        <w:t xml:space="preserve"> filled NR compounds are shown in Figures 2-6. The cure characteristics were measured at 150</w:t>
      </w:r>
      <w:r w:rsidR="004F0425">
        <w:rPr>
          <w:rFonts w:ascii="Times New Roman" w:hAnsi="Times New Roman" w:cs="Times New Roman"/>
          <w:sz w:val="20"/>
          <w:szCs w:val="20"/>
          <w:lang w:val="en-US"/>
        </w:rPr>
        <w:t xml:space="preserve"> </w:t>
      </w:r>
      <w:proofErr w:type="spellStart"/>
      <w:r w:rsidRPr="00F52B56">
        <w:rPr>
          <w:rFonts w:ascii="Times New Roman" w:hAnsi="Times New Roman" w:cs="Times New Roman"/>
          <w:sz w:val="20"/>
          <w:szCs w:val="20"/>
          <w:vertAlign w:val="superscript"/>
          <w:lang w:val="en-US"/>
        </w:rPr>
        <w:t>o</w:t>
      </w:r>
      <w:r w:rsidRPr="00F52B56">
        <w:rPr>
          <w:rFonts w:ascii="Times New Roman" w:hAnsi="Times New Roman" w:cs="Times New Roman"/>
          <w:sz w:val="20"/>
          <w:szCs w:val="20"/>
          <w:lang w:val="en-US"/>
        </w:rPr>
        <w:t>C</w:t>
      </w:r>
      <w:proofErr w:type="spellEnd"/>
      <w:r w:rsidRPr="00F52B56">
        <w:rPr>
          <w:rFonts w:ascii="Times New Roman" w:hAnsi="Times New Roman" w:cs="Times New Roman"/>
          <w:sz w:val="20"/>
          <w:szCs w:val="20"/>
          <w:lang w:val="en-US"/>
        </w:rPr>
        <w:t xml:space="preserve"> including scorch time, cure time, minimum torque, maximum torque and torque differences. </w:t>
      </w:r>
      <w:r w:rsidRPr="00F52B56">
        <w:rPr>
          <w:rFonts w:ascii="Times New Roman" w:hAnsi="Times New Roman" w:cs="Times New Roman"/>
          <w:sz w:val="20"/>
          <w:szCs w:val="20"/>
        </w:rPr>
        <w:t>As shown in Figure 2, the scorch times (ts</w:t>
      </w:r>
      <w:r w:rsidRPr="00F52B56">
        <w:rPr>
          <w:rFonts w:ascii="Times New Roman" w:hAnsi="Times New Roman" w:cs="Times New Roman"/>
          <w:sz w:val="20"/>
          <w:szCs w:val="20"/>
          <w:vertAlign w:val="subscript"/>
        </w:rPr>
        <w:t>2</w:t>
      </w:r>
      <w:r w:rsidRPr="00F52B56">
        <w:rPr>
          <w:rFonts w:ascii="Times New Roman" w:hAnsi="Times New Roman" w:cs="Times New Roman"/>
          <w:sz w:val="20"/>
          <w:szCs w:val="20"/>
        </w:rPr>
        <w:t xml:space="preserve">) of </w:t>
      </w:r>
      <w:r w:rsidRPr="00F52B56">
        <w:rPr>
          <w:rFonts w:ascii="Times New Roman" w:hAnsi="Times New Roman" w:cs="Times New Roman"/>
          <w:sz w:val="20"/>
          <w:szCs w:val="20"/>
          <w:lang w:val="en-US"/>
        </w:rPr>
        <w:t>CaCO</w:t>
      </w:r>
      <w:r w:rsidRPr="00F52B56">
        <w:rPr>
          <w:rFonts w:ascii="Times New Roman" w:hAnsi="Times New Roman" w:cs="Times New Roman"/>
          <w:sz w:val="20"/>
          <w:szCs w:val="20"/>
          <w:vertAlign w:val="subscript"/>
          <w:lang w:val="en-US"/>
        </w:rPr>
        <w:t xml:space="preserve">3 </w:t>
      </w:r>
      <w:r w:rsidRPr="00F52B56">
        <w:rPr>
          <w:rFonts w:ascii="Times New Roman" w:hAnsi="Times New Roman" w:cs="Times New Roman"/>
          <w:sz w:val="20"/>
          <w:szCs w:val="20"/>
        </w:rPr>
        <w:t xml:space="preserve">filled NR compounds with ENRs were lower than those of without ENRs (control compounds). In this case, ENRs functioned as curative ingredients which facilitated the starting point of vulcanisation or curing reaction. Curative ingredients play an important role in determining the cure characteristics of rubber compounds </w:t>
      </w:r>
      <w:r w:rsidRPr="00F52B56">
        <w:rPr>
          <w:rFonts w:ascii="Times New Roman" w:hAnsi="Times New Roman" w:cs="Times New Roman"/>
          <w:noProof/>
          <w:sz w:val="20"/>
          <w:szCs w:val="20"/>
        </w:rPr>
        <w:t>[11]</w:t>
      </w:r>
      <w:r w:rsidRPr="00F52B56">
        <w:rPr>
          <w:rFonts w:ascii="Times New Roman" w:hAnsi="Times New Roman" w:cs="Times New Roman"/>
          <w:sz w:val="20"/>
          <w:szCs w:val="20"/>
        </w:rPr>
        <w:t>. They affect the rate and nature of the curing process.</w:t>
      </w:r>
    </w:p>
    <w:p w14:paraId="71A3B5C0" w14:textId="39478974" w:rsidR="004F0425" w:rsidRDefault="004F0425" w:rsidP="007A3C0F">
      <w:pPr>
        <w:spacing w:after="0" w:line="240" w:lineRule="auto"/>
        <w:jc w:val="both"/>
        <w:rPr>
          <w:rFonts w:ascii="Times New Roman" w:hAnsi="Times New Roman" w:cs="Times New Roman"/>
          <w:sz w:val="20"/>
          <w:szCs w:val="20"/>
        </w:rPr>
      </w:pPr>
    </w:p>
    <w:p w14:paraId="08710255" w14:textId="72732C86" w:rsidR="004F0425" w:rsidRPr="00F52B56" w:rsidRDefault="004F0425" w:rsidP="004F0425">
      <w:pPr>
        <w:spacing w:after="0" w:line="240" w:lineRule="auto"/>
        <w:jc w:val="center"/>
        <w:rPr>
          <w:rFonts w:ascii="Times New Roman" w:hAnsi="Times New Roman" w:cs="Times New Roman"/>
          <w:sz w:val="20"/>
          <w:szCs w:val="20"/>
        </w:rPr>
      </w:pPr>
      <w:r w:rsidRPr="00F52B56">
        <w:rPr>
          <w:noProof/>
          <w:lang w:val="en-US"/>
        </w:rPr>
        <w:drawing>
          <wp:inline distT="0" distB="0" distL="0" distR="0" wp14:anchorId="478012FB" wp14:editId="1A509CA4">
            <wp:extent cx="3600000" cy="2160000"/>
            <wp:effectExtent l="0" t="0" r="635" b="1206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284E138" w14:textId="77777777" w:rsidR="00EF5D11" w:rsidRPr="00F52B56" w:rsidRDefault="00EF5D11" w:rsidP="004F0425">
      <w:pPr>
        <w:spacing w:after="0" w:line="240" w:lineRule="auto"/>
        <w:rPr>
          <w:rFonts w:ascii="Times New Roman" w:hAnsi="Times New Roman" w:cs="Times New Roman"/>
          <w:sz w:val="20"/>
          <w:szCs w:val="20"/>
          <w:lang w:val="en-US"/>
        </w:rPr>
      </w:pPr>
    </w:p>
    <w:p w14:paraId="1C7094CB" w14:textId="6586B52E" w:rsidR="006232A6" w:rsidRPr="00F52B56" w:rsidRDefault="006232A6" w:rsidP="00DB5BB4">
      <w:pPr>
        <w:spacing w:after="0" w:line="240" w:lineRule="auto"/>
        <w:ind w:firstLine="567"/>
        <w:jc w:val="center"/>
        <w:rPr>
          <w:rFonts w:ascii="Times New Roman" w:hAnsi="Times New Roman" w:cs="Times New Roman"/>
          <w:sz w:val="20"/>
          <w:szCs w:val="20"/>
          <w:lang w:val="en-US"/>
        </w:rPr>
      </w:pPr>
      <w:r w:rsidRPr="00F52B56">
        <w:rPr>
          <w:rFonts w:ascii="Times New Roman" w:hAnsi="Times New Roman" w:cs="Times New Roman"/>
          <w:sz w:val="20"/>
          <w:szCs w:val="20"/>
          <w:lang w:val="en-US"/>
        </w:rPr>
        <w:t>Figure 2. The effect of ENRs loading on scorch time (ts</w:t>
      </w:r>
      <w:r w:rsidRPr="00F52B56">
        <w:rPr>
          <w:rFonts w:ascii="Times New Roman" w:hAnsi="Times New Roman" w:cs="Times New Roman"/>
          <w:sz w:val="20"/>
          <w:szCs w:val="20"/>
          <w:vertAlign w:val="subscript"/>
          <w:lang w:val="en-US"/>
        </w:rPr>
        <w:t>2</w:t>
      </w:r>
      <w:r w:rsidRPr="00F52B56">
        <w:rPr>
          <w:rFonts w:ascii="Times New Roman" w:hAnsi="Times New Roman" w:cs="Times New Roman"/>
          <w:sz w:val="20"/>
          <w:szCs w:val="20"/>
          <w:lang w:val="en-US"/>
        </w:rPr>
        <w:t>) of the CaCO</w:t>
      </w:r>
      <w:r w:rsidRPr="00F52B56">
        <w:rPr>
          <w:rFonts w:ascii="Times New Roman" w:hAnsi="Times New Roman" w:cs="Times New Roman"/>
          <w:sz w:val="20"/>
          <w:szCs w:val="20"/>
          <w:vertAlign w:val="subscript"/>
          <w:lang w:val="en-US"/>
        </w:rPr>
        <w:t>3</w:t>
      </w:r>
      <w:r w:rsidRPr="00F52B56">
        <w:rPr>
          <w:rFonts w:ascii="Times New Roman" w:hAnsi="Times New Roman" w:cs="Times New Roman"/>
          <w:sz w:val="20"/>
          <w:szCs w:val="20"/>
          <w:lang w:val="en-US"/>
        </w:rPr>
        <w:t xml:space="preserve"> filled NR compounds</w:t>
      </w:r>
    </w:p>
    <w:p w14:paraId="44F0237C" w14:textId="77777777" w:rsidR="006232A6" w:rsidRPr="00F52B56" w:rsidRDefault="006232A6" w:rsidP="006232A6">
      <w:pPr>
        <w:spacing w:after="0" w:line="240" w:lineRule="auto"/>
        <w:jc w:val="center"/>
        <w:rPr>
          <w:rFonts w:ascii="Times New Roman" w:hAnsi="Times New Roman" w:cs="Times New Roman"/>
          <w:sz w:val="20"/>
          <w:szCs w:val="20"/>
        </w:rPr>
      </w:pPr>
    </w:p>
    <w:p w14:paraId="4E4E2CAE" w14:textId="1613F108" w:rsidR="00524AFF" w:rsidRPr="00F52B56" w:rsidRDefault="0096055F" w:rsidP="007A3C0F">
      <w:pPr>
        <w:spacing w:after="0" w:line="240" w:lineRule="auto"/>
        <w:jc w:val="both"/>
        <w:rPr>
          <w:rFonts w:ascii="Times New Roman" w:hAnsi="Times New Roman" w:cs="Times New Roman"/>
          <w:sz w:val="20"/>
          <w:szCs w:val="20"/>
        </w:rPr>
      </w:pPr>
      <w:r w:rsidRPr="00F52B56">
        <w:rPr>
          <w:rFonts w:ascii="Times New Roman" w:hAnsi="Times New Roman" w:cs="Times New Roman"/>
          <w:sz w:val="20"/>
          <w:szCs w:val="20"/>
          <w:lang w:val="en-US"/>
        </w:rPr>
        <w:lastRenderedPageBreak/>
        <w:t>Figure 3 shows that the addition of each 5.0 phr of ENR 25 or ENR 50 into the control compounds decreased the cure time (t</w:t>
      </w:r>
      <w:r w:rsidRPr="00F52B56">
        <w:rPr>
          <w:rFonts w:ascii="Times New Roman" w:hAnsi="Times New Roman" w:cs="Times New Roman"/>
          <w:sz w:val="20"/>
          <w:szCs w:val="20"/>
          <w:vertAlign w:val="subscript"/>
          <w:lang w:val="en-US"/>
        </w:rPr>
        <w:t>90</w:t>
      </w:r>
      <w:r w:rsidRPr="00F52B56">
        <w:rPr>
          <w:rFonts w:ascii="Times New Roman" w:hAnsi="Times New Roman" w:cs="Times New Roman"/>
          <w:sz w:val="20"/>
          <w:szCs w:val="20"/>
          <w:lang w:val="en-US"/>
        </w:rPr>
        <w:t xml:space="preserve">). A decreasing cure time means an enhancement in cure rate. Again, </w:t>
      </w:r>
      <w:r w:rsidRPr="00F52B56">
        <w:rPr>
          <w:rFonts w:ascii="Times New Roman" w:hAnsi="Times New Roman" w:cs="Times New Roman"/>
          <w:sz w:val="20"/>
          <w:szCs w:val="20"/>
        </w:rPr>
        <w:t xml:space="preserve">this indicates that ENRs functioned as curative ingredients which enhanced the cure rate. The cure enhancement was attributed to the </w:t>
      </w:r>
      <w:r w:rsidRPr="00F52B56">
        <w:rPr>
          <w:rFonts w:ascii="Times New Roman" w:hAnsi="Times New Roman" w:cs="Times New Roman"/>
          <w:sz w:val="20"/>
          <w:szCs w:val="20"/>
          <w:lang w:val="en-US"/>
        </w:rPr>
        <w:t>epoxide groups of ENRs which played an important role in the curing of the CaCO</w:t>
      </w:r>
      <w:r w:rsidRPr="00F52B56">
        <w:rPr>
          <w:rFonts w:ascii="Times New Roman" w:hAnsi="Times New Roman" w:cs="Times New Roman"/>
          <w:sz w:val="20"/>
          <w:szCs w:val="20"/>
          <w:vertAlign w:val="subscript"/>
          <w:lang w:val="en-US"/>
        </w:rPr>
        <w:t>3</w:t>
      </w:r>
      <w:r w:rsidRPr="00F52B56">
        <w:rPr>
          <w:rFonts w:ascii="Times New Roman" w:hAnsi="Times New Roman" w:cs="Times New Roman"/>
          <w:sz w:val="20"/>
          <w:szCs w:val="20"/>
          <w:lang w:val="en-US"/>
        </w:rPr>
        <w:t xml:space="preserve"> filled NR compounds. The epoxide groups activated the adjacent double bonds</w:t>
      </w:r>
      <w:r w:rsidRPr="00F52B56">
        <w:rPr>
          <w:rFonts w:ascii="Times New Roman" w:hAnsi="Times New Roman" w:cs="Times New Roman"/>
          <w:sz w:val="20"/>
          <w:szCs w:val="20"/>
        </w:rPr>
        <w:t xml:space="preserve"> of the rubbers and hence, a faster cure rate was observed </w:t>
      </w:r>
      <w:r w:rsidRPr="00F52B56">
        <w:rPr>
          <w:rFonts w:ascii="Times New Roman" w:hAnsi="Times New Roman" w:cs="Times New Roman"/>
          <w:noProof/>
          <w:sz w:val="20"/>
          <w:szCs w:val="20"/>
        </w:rPr>
        <w:t>[12]</w:t>
      </w:r>
      <w:r w:rsidR="009F4B3C" w:rsidRPr="00F52B56">
        <w:rPr>
          <w:rFonts w:ascii="Times New Roman" w:hAnsi="Times New Roman" w:cs="Times New Roman"/>
          <w:sz w:val="20"/>
          <w:szCs w:val="20"/>
        </w:rPr>
        <w:t>.</w:t>
      </w:r>
    </w:p>
    <w:p w14:paraId="10692FA3" w14:textId="77777777" w:rsidR="00DB5BB4" w:rsidRPr="00F52B56" w:rsidRDefault="00DB5BB4" w:rsidP="007A3C0F">
      <w:pPr>
        <w:spacing w:after="0" w:line="240" w:lineRule="auto"/>
        <w:jc w:val="both"/>
        <w:rPr>
          <w:rFonts w:ascii="Times New Roman" w:hAnsi="Times New Roman" w:cs="Times New Roman"/>
          <w:sz w:val="20"/>
          <w:szCs w:val="20"/>
        </w:rPr>
      </w:pPr>
    </w:p>
    <w:p w14:paraId="2E554154" w14:textId="17E9528F" w:rsidR="00DB5BB4" w:rsidRPr="00F52B56" w:rsidRDefault="00DB5BB4" w:rsidP="00DB5BB4">
      <w:pPr>
        <w:spacing w:after="0" w:line="240" w:lineRule="auto"/>
        <w:jc w:val="center"/>
        <w:rPr>
          <w:rFonts w:ascii="Times New Roman" w:hAnsi="Times New Roman" w:cs="Times New Roman"/>
          <w:sz w:val="20"/>
          <w:szCs w:val="20"/>
        </w:rPr>
      </w:pPr>
      <w:r w:rsidRPr="00F52B56">
        <w:rPr>
          <w:noProof/>
          <w:lang w:val="en-US"/>
        </w:rPr>
        <w:drawing>
          <wp:inline distT="0" distB="0" distL="0" distR="0" wp14:anchorId="6D10EBA6" wp14:editId="5C22F6E1">
            <wp:extent cx="3600000" cy="2160000"/>
            <wp:effectExtent l="0" t="0" r="635" b="1206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EC10B97" w14:textId="77777777" w:rsidR="00EF5D11" w:rsidRPr="00F52B56" w:rsidRDefault="00EF5D11" w:rsidP="009F4B3C">
      <w:pPr>
        <w:spacing w:after="0" w:line="240" w:lineRule="auto"/>
        <w:ind w:firstLine="567"/>
        <w:jc w:val="center"/>
        <w:rPr>
          <w:rFonts w:ascii="Times New Roman" w:hAnsi="Times New Roman" w:cs="Times New Roman"/>
          <w:sz w:val="20"/>
          <w:szCs w:val="20"/>
          <w:lang w:val="en-US"/>
        </w:rPr>
      </w:pPr>
    </w:p>
    <w:p w14:paraId="3B416B99" w14:textId="18399D53" w:rsidR="009F4B3C" w:rsidRPr="00F52B56" w:rsidRDefault="009F4B3C" w:rsidP="009F4B3C">
      <w:pPr>
        <w:spacing w:after="0" w:line="240" w:lineRule="auto"/>
        <w:ind w:firstLine="567"/>
        <w:jc w:val="center"/>
        <w:rPr>
          <w:rFonts w:ascii="Times New Roman" w:hAnsi="Times New Roman" w:cs="Times New Roman"/>
          <w:sz w:val="20"/>
          <w:szCs w:val="20"/>
          <w:lang w:val="en-US"/>
        </w:rPr>
      </w:pPr>
      <w:r w:rsidRPr="00F52B56">
        <w:rPr>
          <w:rFonts w:ascii="Times New Roman" w:hAnsi="Times New Roman" w:cs="Times New Roman"/>
          <w:sz w:val="20"/>
          <w:szCs w:val="20"/>
          <w:lang w:val="en-US"/>
        </w:rPr>
        <w:t>Figure 3. The effect of ENRs loading on cure time (t</w:t>
      </w:r>
      <w:r w:rsidRPr="00F52B56">
        <w:rPr>
          <w:rFonts w:ascii="Times New Roman" w:hAnsi="Times New Roman" w:cs="Times New Roman"/>
          <w:sz w:val="20"/>
          <w:szCs w:val="20"/>
          <w:vertAlign w:val="subscript"/>
          <w:lang w:val="en-US"/>
        </w:rPr>
        <w:t>90</w:t>
      </w:r>
      <w:r w:rsidRPr="00F52B56">
        <w:rPr>
          <w:rFonts w:ascii="Times New Roman" w:hAnsi="Times New Roman" w:cs="Times New Roman"/>
          <w:sz w:val="20"/>
          <w:szCs w:val="20"/>
          <w:lang w:val="en-US"/>
        </w:rPr>
        <w:t>) of the CaCO</w:t>
      </w:r>
      <w:r w:rsidRPr="00F52B56">
        <w:rPr>
          <w:rFonts w:ascii="Times New Roman" w:hAnsi="Times New Roman" w:cs="Times New Roman"/>
          <w:sz w:val="20"/>
          <w:szCs w:val="20"/>
          <w:vertAlign w:val="subscript"/>
          <w:lang w:val="en-US"/>
        </w:rPr>
        <w:t>3</w:t>
      </w:r>
      <w:r w:rsidRPr="00F52B56">
        <w:rPr>
          <w:rFonts w:ascii="Times New Roman" w:hAnsi="Times New Roman" w:cs="Times New Roman"/>
          <w:sz w:val="20"/>
          <w:szCs w:val="20"/>
          <w:lang w:val="en-US"/>
        </w:rPr>
        <w:t xml:space="preserve"> filled NR compounds.</w:t>
      </w:r>
    </w:p>
    <w:p w14:paraId="57C9B2EF" w14:textId="77777777" w:rsidR="009F4B3C" w:rsidRPr="00F52B56" w:rsidRDefault="009F4B3C" w:rsidP="009F4B3C">
      <w:pPr>
        <w:spacing w:after="0" w:line="240" w:lineRule="auto"/>
        <w:jc w:val="both"/>
        <w:rPr>
          <w:rFonts w:ascii="Times New Roman" w:hAnsi="Times New Roman" w:cs="Times New Roman"/>
          <w:sz w:val="20"/>
          <w:szCs w:val="20"/>
          <w:lang w:val="en-US"/>
        </w:rPr>
      </w:pPr>
    </w:p>
    <w:p w14:paraId="487F03E4" w14:textId="77777777" w:rsidR="00524AFF" w:rsidRPr="00F52B56" w:rsidRDefault="0096055F" w:rsidP="00524AFF">
      <w:pPr>
        <w:spacing w:after="0" w:line="240" w:lineRule="auto"/>
        <w:jc w:val="both"/>
        <w:rPr>
          <w:rFonts w:ascii="Times New Roman" w:hAnsi="Times New Roman" w:cs="Times New Roman"/>
          <w:sz w:val="20"/>
          <w:szCs w:val="20"/>
          <w:lang w:val="en-US"/>
        </w:rPr>
      </w:pPr>
      <w:r w:rsidRPr="00F52B56">
        <w:rPr>
          <w:rFonts w:ascii="Times New Roman" w:hAnsi="Times New Roman" w:cs="Times New Roman"/>
          <w:sz w:val="20"/>
          <w:szCs w:val="20"/>
        </w:rPr>
        <w:t>It can be seen from Figures 2 and 3 that the higher the ENRs loading, the lower were the scorch and cure times. It was attributed to the more and more epoxide groups presented in CaCO</w:t>
      </w:r>
      <w:r w:rsidRPr="00F52B56">
        <w:rPr>
          <w:rFonts w:ascii="Times New Roman" w:hAnsi="Times New Roman" w:cs="Times New Roman"/>
          <w:sz w:val="20"/>
          <w:szCs w:val="20"/>
          <w:vertAlign w:val="subscript"/>
        </w:rPr>
        <w:t>3</w:t>
      </w:r>
      <w:r w:rsidRPr="00F52B56">
        <w:rPr>
          <w:rFonts w:ascii="Times New Roman" w:hAnsi="Times New Roman" w:cs="Times New Roman"/>
          <w:sz w:val="20"/>
          <w:szCs w:val="20"/>
        </w:rPr>
        <w:t xml:space="preserve"> filled NR compounds. </w:t>
      </w:r>
      <w:r w:rsidRPr="00F52B56">
        <w:rPr>
          <w:rFonts w:ascii="Times New Roman" w:hAnsi="Times New Roman" w:cs="Times New Roman"/>
          <w:sz w:val="20"/>
          <w:szCs w:val="20"/>
          <w:lang w:val="en-US"/>
        </w:rPr>
        <w:t>At a similar ENR loading, the scorch and cure times of ENR 50 were shorter than those of ENR 25. It was simply attributed to the degree of epoxidation of ENRs; ENR 50 has more epoxide groups than ENR 25.</w:t>
      </w:r>
    </w:p>
    <w:p w14:paraId="4BC5155F" w14:textId="77777777" w:rsidR="00524AFF" w:rsidRPr="00F52B56" w:rsidRDefault="00524AFF" w:rsidP="00524AFF">
      <w:pPr>
        <w:spacing w:after="0" w:line="240" w:lineRule="auto"/>
        <w:ind w:firstLine="709"/>
        <w:jc w:val="both"/>
        <w:rPr>
          <w:rFonts w:ascii="Times New Roman" w:hAnsi="Times New Roman" w:cs="Times New Roman"/>
          <w:sz w:val="20"/>
          <w:szCs w:val="20"/>
          <w:lang w:val="en-US"/>
        </w:rPr>
      </w:pPr>
    </w:p>
    <w:p w14:paraId="62D1CBA8" w14:textId="77777777" w:rsidR="00524AFF" w:rsidRPr="00F52B56" w:rsidRDefault="0096055F" w:rsidP="00524AFF">
      <w:pPr>
        <w:pStyle w:val="ListParagraph"/>
        <w:spacing w:after="0" w:line="240" w:lineRule="auto"/>
        <w:ind w:left="0"/>
        <w:jc w:val="both"/>
        <w:rPr>
          <w:rFonts w:ascii="Times New Roman" w:hAnsi="Times New Roman" w:cs="Times New Roman"/>
          <w:sz w:val="20"/>
          <w:szCs w:val="20"/>
        </w:rPr>
      </w:pPr>
      <w:r w:rsidRPr="00F52B56">
        <w:rPr>
          <w:rFonts w:ascii="Times New Roman" w:hAnsi="Times New Roman" w:cs="Times New Roman"/>
          <w:sz w:val="20"/>
          <w:szCs w:val="20"/>
          <w:lang w:val="en-US"/>
        </w:rPr>
        <w:t xml:space="preserve">Figure 4 shows that the addition of each 5.0 phr of ENR 25 or ENR 50 into the control compounds decreased the minimum torque; however, the minimum torque was constant with further increases of ENRs loadings. </w:t>
      </w:r>
      <w:r w:rsidRPr="00F52B56">
        <w:rPr>
          <w:rFonts w:ascii="Times New Roman" w:hAnsi="Times New Roman" w:cs="Times New Roman"/>
          <w:sz w:val="20"/>
          <w:szCs w:val="20"/>
        </w:rPr>
        <w:t xml:space="preserve">The minimum torque indicates qualitatively the filler-filler inter agglomeration </w:t>
      </w:r>
      <w:r w:rsidRPr="00F52B56">
        <w:rPr>
          <w:rFonts w:ascii="Times New Roman" w:hAnsi="Times New Roman" w:cs="Times New Roman"/>
          <w:noProof/>
          <w:sz w:val="20"/>
          <w:szCs w:val="20"/>
        </w:rPr>
        <w:t>[13]</w:t>
      </w:r>
      <w:r w:rsidRPr="00F52B56">
        <w:rPr>
          <w:rFonts w:ascii="Times New Roman" w:hAnsi="Times New Roman" w:cs="Times New Roman"/>
          <w:sz w:val="20"/>
          <w:szCs w:val="20"/>
        </w:rPr>
        <w:t xml:space="preserve"> and it can also be used to measure the relative viscosity of a rubber compound </w:t>
      </w:r>
      <w:r w:rsidRPr="00F52B56">
        <w:rPr>
          <w:rFonts w:ascii="Times New Roman" w:hAnsi="Times New Roman" w:cs="Times New Roman"/>
          <w:noProof/>
          <w:sz w:val="20"/>
          <w:szCs w:val="20"/>
        </w:rPr>
        <w:t>[1]</w:t>
      </w:r>
      <w:r w:rsidRPr="00F52B56">
        <w:rPr>
          <w:rFonts w:ascii="Times New Roman" w:hAnsi="Times New Roman" w:cs="Times New Roman"/>
          <w:sz w:val="20"/>
          <w:szCs w:val="20"/>
        </w:rPr>
        <w:t>. The lower the value, the weaker the filler - filler interaction is; resulting in a lower viscosity of a rubber compound. Actually, the incorporation of ENRs into the filled NR compounds, its effect was the same as an increase in total rubber content of the filled NR compound. This affected in an increase in the concentration of rubber phases and a decrease in viscosity of the filled NR compounds. As a consequent, the processability or degree of CaCO</w:t>
      </w:r>
      <w:r w:rsidRPr="00F52B56">
        <w:rPr>
          <w:rFonts w:ascii="Times New Roman" w:hAnsi="Times New Roman" w:cs="Times New Roman"/>
          <w:sz w:val="20"/>
          <w:szCs w:val="20"/>
          <w:vertAlign w:val="subscript"/>
        </w:rPr>
        <w:t>3</w:t>
      </w:r>
      <w:r w:rsidRPr="00F52B56">
        <w:rPr>
          <w:rFonts w:ascii="Times New Roman" w:hAnsi="Times New Roman" w:cs="Times New Roman"/>
          <w:sz w:val="20"/>
          <w:szCs w:val="20"/>
        </w:rPr>
        <w:t xml:space="preserve"> or filler dispersion in the rubbers systems was improved.</w:t>
      </w:r>
    </w:p>
    <w:p w14:paraId="4EE68F6C" w14:textId="77777777" w:rsidR="00EF5D11" w:rsidRPr="00F52B56" w:rsidRDefault="00EF5D11" w:rsidP="00EF5D11">
      <w:pPr>
        <w:shd w:val="clear" w:color="auto" w:fill="FFFFFF"/>
        <w:spacing w:after="0" w:line="240" w:lineRule="auto"/>
        <w:jc w:val="both"/>
        <w:rPr>
          <w:rFonts w:ascii="Times New Roman" w:eastAsia="Times New Roman" w:hAnsi="Times New Roman" w:cs="Times New Roman"/>
          <w:sz w:val="20"/>
          <w:szCs w:val="20"/>
          <w:highlight w:val="yellow"/>
        </w:rPr>
      </w:pPr>
    </w:p>
    <w:p w14:paraId="74F38004" w14:textId="0FBBBDFD" w:rsidR="006C21DC" w:rsidRPr="00F52B56" w:rsidRDefault="006C21DC" w:rsidP="00EF5D11">
      <w:pPr>
        <w:shd w:val="clear" w:color="auto" w:fill="FFFFFF"/>
        <w:spacing w:after="0" w:line="240" w:lineRule="auto"/>
        <w:jc w:val="both"/>
        <w:rPr>
          <w:rFonts w:ascii="Times New Roman" w:hAnsi="Times New Roman" w:cs="Times New Roman"/>
          <w:sz w:val="20"/>
          <w:szCs w:val="20"/>
        </w:rPr>
      </w:pPr>
      <w:r w:rsidRPr="00F52B56">
        <w:rPr>
          <w:rFonts w:ascii="Times New Roman" w:eastAsia="Times New Roman" w:hAnsi="Times New Roman" w:cs="Times New Roman"/>
          <w:sz w:val="20"/>
          <w:szCs w:val="20"/>
        </w:rPr>
        <w:t>The same minimum torque observed at 5 – 25 phr ENR loading for both NR25 and ENR50 was due to the almost equal of viscosity of both ENRs. E</w:t>
      </w:r>
      <w:r w:rsidRPr="00F52B56">
        <w:rPr>
          <w:rFonts w:ascii="Times New Roman" w:hAnsi="Times New Roman" w:cs="Times New Roman"/>
          <w:sz w:val="20"/>
          <w:szCs w:val="20"/>
        </w:rPr>
        <w:t>NRs are less viscous than NR</w:t>
      </w:r>
      <w:r w:rsidR="00524AFF" w:rsidRPr="00F52B56">
        <w:rPr>
          <w:rFonts w:ascii="Times New Roman" w:hAnsi="Times New Roman" w:cs="Times New Roman"/>
          <w:sz w:val="20"/>
          <w:szCs w:val="20"/>
        </w:rPr>
        <w:t xml:space="preserve"> and, the viscosity of </w:t>
      </w:r>
      <w:r w:rsidRPr="00F52B56">
        <w:rPr>
          <w:rFonts w:ascii="Times New Roman" w:hAnsi="Times New Roman" w:cs="Times New Roman"/>
          <w:sz w:val="20"/>
          <w:szCs w:val="20"/>
        </w:rPr>
        <w:t xml:space="preserve">ENR 25 </w:t>
      </w:r>
      <w:r w:rsidR="00524AFF" w:rsidRPr="00F52B56">
        <w:rPr>
          <w:rFonts w:ascii="Times New Roman" w:hAnsi="Times New Roman" w:cs="Times New Roman"/>
          <w:sz w:val="20"/>
          <w:szCs w:val="20"/>
        </w:rPr>
        <w:t>is quite equal to the</w:t>
      </w:r>
      <w:r w:rsidRPr="00F52B56">
        <w:rPr>
          <w:rFonts w:ascii="Times New Roman" w:hAnsi="Times New Roman" w:cs="Times New Roman"/>
          <w:sz w:val="20"/>
          <w:szCs w:val="20"/>
        </w:rPr>
        <w:t xml:space="preserve"> viscosity </w:t>
      </w:r>
      <w:r w:rsidR="00524AFF" w:rsidRPr="00F52B56">
        <w:rPr>
          <w:rFonts w:ascii="Times New Roman" w:hAnsi="Times New Roman" w:cs="Times New Roman"/>
          <w:sz w:val="20"/>
          <w:szCs w:val="20"/>
        </w:rPr>
        <w:t>of</w:t>
      </w:r>
      <w:r w:rsidRPr="00F52B56">
        <w:rPr>
          <w:rFonts w:ascii="Times New Roman" w:hAnsi="Times New Roman" w:cs="Times New Roman"/>
          <w:sz w:val="20"/>
          <w:szCs w:val="20"/>
        </w:rPr>
        <w:t xml:space="preserve"> ENR 50.</w:t>
      </w:r>
    </w:p>
    <w:p w14:paraId="63518C26" w14:textId="77777777" w:rsidR="003A6CC2" w:rsidRPr="00F52B56" w:rsidRDefault="003A6CC2" w:rsidP="007A3C0F">
      <w:pPr>
        <w:pStyle w:val="ListParagraph"/>
        <w:spacing w:after="0" w:line="240" w:lineRule="auto"/>
        <w:ind w:left="0"/>
        <w:jc w:val="both"/>
        <w:rPr>
          <w:rFonts w:ascii="Times New Roman" w:hAnsi="Times New Roman" w:cs="Times New Roman"/>
          <w:sz w:val="20"/>
          <w:szCs w:val="20"/>
        </w:rPr>
      </w:pPr>
    </w:p>
    <w:p w14:paraId="6E1CBE65" w14:textId="7CAD1585" w:rsidR="00DB5BB4" w:rsidRPr="00F52B56" w:rsidRDefault="00DB5BB4" w:rsidP="00DB5BB4">
      <w:pPr>
        <w:pStyle w:val="ListParagraph"/>
        <w:spacing w:after="0" w:line="240" w:lineRule="auto"/>
        <w:ind w:left="0"/>
        <w:jc w:val="center"/>
        <w:rPr>
          <w:rFonts w:ascii="Times New Roman" w:hAnsi="Times New Roman" w:cs="Times New Roman"/>
          <w:sz w:val="20"/>
          <w:szCs w:val="20"/>
        </w:rPr>
      </w:pPr>
      <w:r w:rsidRPr="00F52B56">
        <w:rPr>
          <w:noProof/>
          <w:lang w:val="en-US" w:eastAsia="en-US"/>
        </w:rPr>
        <w:drawing>
          <wp:inline distT="0" distB="0" distL="0" distR="0" wp14:anchorId="171F79DE" wp14:editId="2B528919">
            <wp:extent cx="3600000" cy="2160000"/>
            <wp:effectExtent l="0" t="0" r="635" b="1206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A6C5166" w14:textId="77777777" w:rsidR="009F4B3C" w:rsidRPr="00F52B56" w:rsidRDefault="009F4B3C" w:rsidP="007A3C0F">
      <w:pPr>
        <w:pStyle w:val="ListParagraph"/>
        <w:spacing w:after="0" w:line="240" w:lineRule="auto"/>
        <w:ind w:left="0"/>
        <w:jc w:val="both"/>
        <w:rPr>
          <w:rFonts w:ascii="Times New Roman" w:hAnsi="Times New Roman" w:cs="Times New Roman"/>
          <w:sz w:val="20"/>
          <w:szCs w:val="20"/>
        </w:rPr>
      </w:pPr>
    </w:p>
    <w:p w14:paraId="3DC536C3" w14:textId="18624918" w:rsidR="009F4B3C" w:rsidRPr="00F52B56" w:rsidRDefault="009F4B3C" w:rsidP="009F4B3C">
      <w:pPr>
        <w:spacing w:after="0" w:line="240" w:lineRule="auto"/>
        <w:ind w:firstLine="567"/>
        <w:jc w:val="center"/>
        <w:rPr>
          <w:rFonts w:ascii="Times New Roman" w:hAnsi="Times New Roman" w:cs="Times New Roman"/>
          <w:sz w:val="20"/>
          <w:szCs w:val="20"/>
          <w:lang w:val="en-US"/>
        </w:rPr>
      </w:pPr>
      <w:r w:rsidRPr="00F52B56">
        <w:rPr>
          <w:rFonts w:ascii="Times New Roman" w:hAnsi="Times New Roman" w:cs="Times New Roman"/>
          <w:sz w:val="20"/>
          <w:szCs w:val="20"/>
          <w:lang w:val="en-US"/>
        </w:rPr>
        <w:t>Figure 4. The effect of ENRs loading on minimum torque of the CaCO</w:t>
      </w:r>
      <w:r w:rsidRPr="00F52B56">
        <w:rPr>
          <w:rFonts w:ascii="Times New Roman" w:hAnsi="Times New Roman" w:cs="Times New Roman"/>
          <w:sz w:val="20"/>
          <w:szCs w:val="20"/>
          <w:vertAlign w:val="subscript"/>
          <w:lang w:val="en-US"/>
        </w:rPr>
        <w:t>3</w:t>
      </w:r>
      <w:r w:rsidRPr="00F52B56">
        <w:rPr>
          <w:rFonts w:ascii="Times New Roman" w:hAnsi="Times New Roman" w:cs="Times New Roman"/>
          <w:sz w:val="20"/>
          <w:szCs w:val="20"/>
          <w:lang w:val="en-US"/>
        </w:rPr>
        <w:t xml:space="preserve"> filled NR compounds</w:t>
      </w:r>
    </w:p>
    <w:p w14:paraId="45CABFDE" w14:textId="77777777" w:rsidR="009F4B3C" w:rsidRPr="00F52B56" w:rsidRDefault="009F4B3C" w:rsidP="009F4B3C">
      <w:pPr>
        <w:pStyle w:val="ListParagraph"/>
        <w:spacing w:after="0" w:line="240" w:lineRule="auto"/>
        <w:ind w:left="0"/>
        <w:jc w:val="center"/>
        <w:rPr>
          <w:rFonts w:ascii="Times New Roman" w:hAnsi="Times New Roman" w:cs="Times New Roman"/>
          <w:sz w:val="20"/>
          <w:szCs w:val="20"/>
        </w:rPr>
      </w:pPr>
    </w:p>
    <w:p w14:paraId="707B074E" w14:textId="73F7ED24" w:rsidR="00524AFF" w:rsidRPr="00F52B56" w:rsidRDefault="0096055F" w:rsidP="007A3C0F">
      <w:pPr>
        <w:spacing w:after="0" w:line="240" w:lineRule="auto"/>
        <w:jc w:val="both"/>
        <w:rPr>
          <w:rFonts w:ascii="Times New Roman" w:hAnsi="Times New Roman" w:cs="Times New Roman"/>
          <w:sz w:val="20"/>
          <w:szCs w:val="20"/>
        </w:rPr>
      </w:pPr>
      <w:r w:rsidRPr="00F52B56">
        <w:rPr>
          <w:rFonts w:ascii="Times New Roman" w:hAnsi="Times New Roman" w:cs="Times New Roman"/>
          <w:sz w:val="20"/>
          <w:szCs w:val="20"/>
          <w:lang w:val="en-US"/>
        </w:rPr>
        <w:lastRenderedPageBreak/>
        <w:t xml:space="preserve">Figure 5 shows that the additions of 5.0 phr of each type of the ENRs slightly increased the maximum torque. </w:t>
      </w:r>
      <w:r w:rsidRPr="00F52B56">
        <w:rPr>
          <w:rFonts w:ascii="Times New Roman" w:hAnsi="Times New Roman" w:cs="Times New Roman"/>
          <w:sz w:val="20"/>
          <w:szCs w:val="20"/>
        </w:rPr>
        <w:t xml:space="preserve">The maximum torque corresponds with measurement of stock modulus which was increased in this case. It was attributed to the nature of rubber - filler interaction including intercalation and exfoliation </w:t>
      </w:r>
      <w:r w:rsidRPr="00F52B56">
        <w:rPr>
          <w:rFonts w:ascii="Times New Roman" w:hAnsi="Times New Roman" w:cs="Times New Roman"/>
          <w:noProof/>
          <w:sz w:val="20"/>
          <w:szCs w:val="20"/>
        </w:rPr>
        <w:t>[14]</w:t>
      </w:r>
      <w:r w:rsidRPr="00F52B56">
        <w:rPr>
          <w:rFonts w:ascii="Times New Roman" w:hAnsi="Times New Roman" w:cs="Times New Roman"/>
          <w:sz w:val="20"/>
          <w:szCs w:val="20"/>
        </w:rPr>
        <w:t xml:space="preserve">. The increases in maximum torque were more pronounced whenever the ENRs </w:t>
      </w:r>
      <w:r w:rsidRPr="00F52B56">
        <w:rPr>
          <w:rFonts w:ascii="Times New Roman" w:hAnsi="Times New Roman" w:cs="Times New Roman"/>
          <w:sz w:val="20"/>
          <w:szCs w:val="20"/>
          <w:lang w:val="en-US"/>
        </w:rPr>
        <w:t xml:space="preserve">loadings were further increased up to 25.0 phr. </w:t>
      </w:r>
      <w:r w:rsidRPr="00F52B56">
        <w:rPr>
          <w:rFonts w:ascii="Times New Roman" w:hAnsi="Times New Roman" w:cs="Times New Roman"/>
          <w:sz w:val="20"/>
          <w:szCs w:val="20"/>
        </w:rPr>
        <w:t xml:space="preserve">The intercalation, exfoliation and rubber - filler interaction </w:t>
      </w:r>
      <w:r w:rsidR="004F0425" w:rsidRPr="00F52B56">
        <w:rPr>
          <w:rFonts w:ascii="Times New Roman" w:hAnsi="Times New Roman" w:cs="Times New Roman"/>
          <w:sz w:val="20"/>
          <w:szCs w:val="20"/>
        </w:rPr>
        <w:t>was</w:t>
      </w:r>
      <w:r w:rsidRPr="00F52B56">
        <w:rPr>
          <w:rFonts w:ascii="Times New Roman" w:hAnsi="Times New Roman" w:cs="Times New Roman"/>
          <w:sz w:val="20"/>
          <w:szCs w:val="20"/>
        </w:rPr>
        <w:t xml:space="preserve"> further increased. In this case, the ENRs might be considered as compatibilizers in the CaCO</w:t>
      </w:r>
      <w:r w:rsidRPr="00F52B56">
        <w:rPr>
          <w:rFonts w:ascii="Times New Roman" w:hAnsi="Times New Roman" w:cs="Times New Roman"/>
          <w:sz w:val="20"/>
          <w:szCs w:val="20"/>
          <w:vertAlign w:val="subscript"/>
        </w:rPr>
        <w:t>3</w:t>
      </w:r>
      <w:r w:rsidRPr="00F52B56">
        <w:rPr>
          <w:rFonts w:ascii="Times New Roman" w:hAnsi="Times New Roman" w:cs="Times New Roman"/>
          <w:sz w:val="20"/>
          <w:szCs w:val="20"/>
        </w:rPr>
        <w:t xml:space="preserve"> filled NR compounds.</w:t>
      </w:r>
    </w:p>
    <w:p w14:paraId="15F61BAF" w14:textId="77777777" w:rsidR="009F4B3C" w:rsidRPr="00F52B56" w:rsidRDefault="009F4B3C" w:rsidP="007A3C0F">
      <w:pPr>
        <w:spacing w:after="0" w:line="240" w:lineRule="auto"/>
        <w:jc w:val="both"/>
        <w:rPr>
          <w:rFonts w:ascii="Times New Roman" w:hAnsi="Times New Roman" w:cs="Times New Roman"/>
          <w:sz w:val="20"/>
          <w:szCs w:val="20"/>
        </w:rPr>
      </w:pPr>
    </w:p>
    <w:p w14:paraId="1D90D0E2" w14:textId="29ED6CC3" w:rsidR="009F4B3C" w:rsidRPr="00F52B56" w:rsidRDefault="00DB5BB4" w:rsidP="009F4B3C">
      <w:pPr>
        <w:spacing w:after="0" w:line="240" w:lineRule="auto"/>
        <w:jc w:val="center"/>
        <w:rPr>
          <w:rFonts w:ascii="Times New Roman" w:hAnsi="Times New Roman" w:cs="Times New Roman"/>
          <w:sz w:val="20"/>
          <w:szCs w:val="20"/>
          <w:lang w:val="en-US"/>
        </w:rPr>
      </w:pPr>
      <w:r w:rsidRPr="00F52B56">
        <w:rPr>
          <w:noProof/>
          <w:lang w:val="en-US"/>
        </w:rPr>
        <w:drawing>
          <wp:inline distT="0" distB="0" distL="0" distR="0" wp14:anchorId="1472411F" wp14:editId="496BE7DC">
            <wp:extent cx="3600000" cy="2160000"/>
            <wp:effectExtent l="0" t="0" r="635" b="1206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FDBA1AF" w14:textId="77777777" w:rsidR="00DB5BB4" w:rsidRPr="00F52B56" w:rsidRDefault="00DB5BB4" w:rsidP="009F4B3C">
      <w:pPr>
        <w:spacing w:after="0" w:line="240" w:lineRule="auto"/>
        <w:jc w:val="center"/>
        <w:rPr>
          <w:rFonts w:ascii="Times New Roman" w:hAnsi="Times New Roman" w:cs="Times New Roman"/>
          <w:sz w:val="20"/>
          <w:szCs w:val="20"/>
          <w:lang w:val="en-US"/>
        </w:rPr>
      </w:pPr>
    </w:p>
    <w:p w14:paraId="0888DABA" w14:textId="2A819CDF" w:rsidR="009F4B3C" w:rsidRPr="00F52B56" w:rsidRDefault="009F4B3C" w:rsidP="009F4B3C">
      <w:pPr>
        <w:spacing w:after="0" w:line="240" w:lineRule="auto"/>
        <w:ind w:firstLine="567"/>
        <w:jc w:val="center"/>
        <w:rPr>
          <w:rFonts w:ascii="Times New Roman" w:hAnsi="Times New Roman" w:cs="Times New Roman"/>
          <w:sz w:val="20"/>
          <w:szCs w:val="20"/>
          <w:lang w:val="en-US"/>
        </w:rPr>
      </w:pPr>
      <w:r w:rsidRPr="00F52B56">
        <w:rPr>
          <w:rFonts w:ascii="Times New Roman" w:hAnsi="Times New Roman" w:cs="Times New Roman"/>
          <w:sz w:val="20"/>
          <w:szCs w:val="20"/>
          <w:lang w:val="en-US"/>
        </w:rPr>
        <w:t>Figure 5. The effect of ENRs loading on maximum torque of the CaCO</w:t>
      </w:r>
      <w:r w:rsidRPr="00F52B56">
        <w:rPr>
          <w:rFonts w:ascii="Times New Roman" w:hAnsi="Times New Roman" w:cs="Times New Roman"/>
          <w:sz w:val="20"/>
          <w:szCs w:val="20"/>
          <w:vertAlign w:val="subscript"/>
          <w:lang w:val="en-US"/>
        </w:rPr>
        <w:t>3</w:t>
      </w:r>
      <w:r w:rsidRPr="00F52B56">
        <w:rPr>
          <w:rFonts w:ascii="Times New Roman" w:hAnsi="Times New Roman" w:cs="Times New Roman"/>
          <w:sz w:val="20"/>
          <w:szCs w:val="20"/>
          <w:lang w:val="en-US"/>
        </w:rPr>
        <w:t xml:space="preserve"> filled NR compounds</w:t>
      </w:r>
    </w:p>
    <w:p w14:paraId="1C93940B" w14:textId="77777777" w:rsidR="009F4B3C" w:rsidRPr="00F52B56" w:rsidRDefault="009F4B3C" w:rsidP="007A3C0F">
      <w:pPr>
        <w:spacing w:after="0" w:line="240" w:lineRule="auto"/>
        <w:ind w:firstLine="720"/>
        <w:jc w:val="center"/>
        <w:rPr>
          <w:rFonts w:ascii="Times New Roman" w:hAnsi="Times New Roman" w:cs="Times New Roman"/>
          <w:sz w:val="20"/>
          <w:szCs w:val="20"/>
          <w:lang w:val="en-US"/>
        </w:rPr>
      </w:pPr>
    </w:p>
    <w:p w14:paraId="79959F1E" w14:textId="5C36B265" w:rsidR="00524AFF" w:rsidRPr="00F52B56" w:rsidRDefault="0096055F" w:rsidP="007A3C0F">
      <w:pPr>
        <w:spacing w:after="0" w:line="240" w:lineRule="auto"/>
        <w:jc w:val="both"/>
        <w:rPr>
          <w:rFonts w:ascii="Times New Roman" w:hAnsi="Times New Roman" w:cs="Times New Roman"/>
          <w:sz w:val="20"/>
          <w:szCs w:val="20"/>
        </w:rPr>
      </w:pPr>
      <w:r w:rsidRPr="00F52B56">
        <w:rPr>
          <w:rFonts w:ascii="Times New Roman" w:hAnsi="Times New Roman" w:cs="Times New Roman"/>
          <w:sz w:val="20"/>
          <w:szCs w:val="20"/>
          <w:lang w:val="en-US"/>
        </w:rPr>
        <w:t xml:space="preserve">Figure 6 shows the effect of ENRs on the torque </w:t>
      </w:r>
      <w:r w:rsidRPr="00F52B56">
        <w:rPr>
          <w:rFonts w:ascii="Times New Roman" w:hAnsi="Times New Roman" w:cs="Times New Roman"/>
          <w:sz w:val="20"/>
          <w:szCs w:val="20"/>
        </w:rPr>
        <w:t>difference (</w:t>
      </w:r>
      <w:r w:rsidRPr="00F52B56">
        <w:rPr>
          <w:rFonts w:ascii="Times New Roman" w:hAnsi="Times New Roman" w:cs="Times New Roman"/>
          <w:sz w:val="20"/>
          <w:szCs w:val="20"/>
          <w:lang w:val="en-US"/>
        </w:rPr>
        <w:t>M</w:t>
      </w:r>
      <w:r w:rsidRPr="00F52B56">
        <w:rPr>
          <w:rFonts w:ascii="Times New Roman" w:hAnsi="Times New Roman" w:cs="Times New Roman"/>
          <w:sz w:val="20"/>
          <w:szCs w:val="20"/>
          <w:vertAlign w:val="subscript"/>
          <w:lang w:val="en-US"/>
        </w:rPr>
        <w:t>H</w:t>
      </w:r>
      <w:r w:rsidRPr="00F52B56">
        <w:rPr>
          <w:rFonts w:ascii="Times New Roman" w:hAnsi="Times New Roman" w:cs="Times New Roman"/>
          <w:sz w:val="20"/>
          <w:szCs w:val="20"/>
          <w:lang w:val="en-US"/>
        </w:rPr>
        <w:t>―M</w:t>
      </w:r>
      <w:r w:rsidRPr="00F52B56">
        <w:rPr>
          <w:rFonts w:ascii="Times New Roman" w:hAnsi="Times New Roman" w:cs="Times New Roman"/>
          <w:sz w:val="20"/>
          <w:szCs w:val="20"/>
          <w:vertAlign w:val="subscript"/>
          <w:lang w:val="en-US"/>
        </w:rPr>
        <w:t>L</w:t>
      </w:r>
      <w:r w:rsidRPr="00F52B56">
        <w:rPr>
          <w:rFonts w:ascii="Times New Roman" w:hAnsi="Times New Roman" w:cs="Times New Roman"/>
          <w:sz w:val="20"/>
          <w:szCs w:val="20"/>
          <w:lang w:val="en-US"/>
        </w:rPr>
        <w:t>) of the CaCO</w:t>
      </w:r>
      <w:r w:rsidRPr="00F52B56">
        <w:rPr>
          <w:rFonts w:ascii="Times New Roman" w:hAnsi="Times New Roman" w:cs="Times New Roman"/>
          <w:sz w:val="20"/>
          <w:szCs w:val="20"/>
          <w:vertAlign w:val="subscript"/>
          <w:lang w:val="en-US"/>
        </w:rPr>
        <w:t>3</w:t>
      </w:r>
      <w:r w:rsidRPr="00F52B56">
        <w:rPr>
          <w:rFonts w:ascii="Times New Roman" w:hAnsi="Times New Roman" w:cs="Times New Roman"/>
          <w:sz w:val="20"/>
          <w:szCs w:val="20"/>
          <w:lang w:val="en-US"/>
        </w:rPr>
        <w:t xml:space="preserve"> filled NR compounds. </w:t>
      </w:r>
      <w:r w:rsidRPr="00F52B56">
        <w:rPr>
          <w:rFonts w:ascii="Times New Roman" w:hAnsi="Times New Roman" w:cs="Times New Roman"/>
          <w:sz w:val="20"/>
          <w:szCs w:val="20"/>
        </w:rPr>
        <w:t xml:space="preserve">It is believed that torque difference indicates the total crosslink density of a rubber compound </w:t>
      </w:r>
      <w:r w:rsidRPr="00F52B56">
        <w:rPr>
          <w:rFonts w:ascii="Times New Roman" w:hAnsi="Times New Roman" w:cs="Times New Roman"/>
          <w:noProof/>
          <w:sz w:val="20"/>
          <w:szCs w:val="20"/>
        </w:rPr>
        <w:t>[14-16]</w:t>
      </w:r>
      <w:r w:rsidRPr="00F52B56">
        <w:rPr>
          <w:rFonts w:ascii="Times New Roman" w:hAnsi="Times New Roman" w:cs="Times New Roman"/>
          <w:sz w:val="20"/>
          <w:szCs w:val="20"/>
        </w:rPr>
        <w:t xml:space="preserve">. The greater the torque difference, the higher is the total crosslink density. Generally, the total crosslink density of a rubber compound contains sulphide and physical crosslinks </w:t>
      </w:r>
      <w:r w:rsidRPr="00F52B56">
        <w:rPr>
          <w:rFonts w:ascii="Times New Roman" w:hAnsi="Times New Roman" w:cs="Times New Roman"/>
          <w:noProof/>
          <w:sz w:val="20"/>
          <w:szCs w:val="20"/>
        </w:rPr>
        <w:t>[17</w:t>
      </w:r>
      <w:r w:rsidR="000D1657">
        <w:rPr>
          <w:rFonts w:ascii="Times New Roman" w:hAnsi="Times New Roman" w:cs="Times New Roman"/>
          <w:noProof/>
          <w:sz w:val="20"/>
          <w:szCs w:val="20"/>
        </w:rPr>
        <w:t xml:space="preserve">, </w:t>
      </w:r>
      <w:r w:rsidRPr="00F52B56">
        <w:rPr>
          <w:rFonts w:ascii="Times New Roman" w:hAnsi="Times New Roman" w:cs="Times New Roman"/>
          <w:noProof/>
          <w:sz w:val="20"/>
          <w:szCs w:val="20"/>
        </w:rPr>
        <w:t>18]</w:t>
      </w:r>
      <w:r w:rsidRPr="00F52B56">
        <w:rPr>
          <w:rFonts w:ascii="Times New Roman" w:hAnsi="Times New Roman" w:cs="Times New Roman"/>
          <w:sz w:val="20"/>
          <w:szCs w:val="20"/>
        </w:rPr>
        <w:t xml:space="preserve">. </w:t>
      </w:r>
      <w:r w:rsidRPr="00F52B56">
        <w:rPr>
          <w:rFonts w:ascii="Times New Roman" w:hAnsi="Times New Roman" w:cs="Times New Roman"/>
          <w:sz w:val="20"/>
          <w:szCs w:val="20"/>
          <w:lang w:val="en-US"/>
        </w:rPr>
        <w:t xml:space="preserve">ENRs can undergo acid catalyst ring-opening reactions </w:t>
      </w:r>
      <w:r w:rsidRPr="000D1657">
        <w:rPr>
          <w:rFonts w:ascii="Times New Roman" w:hAnsi="Times New Roman" w:cs="Times New Roman"/>
          <w:i/>
          <w:sz w:val="20"/>
          <w:szCs w:val="20"/>
          <w:lang w:val="en-US"/>
        </w:rPr>
        <w:t>via</w:t>
      </w:r>
      <w:r w:rsidRPr="00F52B56">
        <w:rPr>
          <w:rFonts w:ascii="Times New Roman" w:hAnsi="Times New Roman" w:cs="Times New Roman"/>
          <w:sz w:val="20"/>
          <w:szCs w:val="20"/>
          <w:lang w:val="en-US"/>
        </w:rPr>
        <w:t xml:space="preserve"> ether crosslinks during curing, resulting in an increase in crosslink density </w:t>
      </w:r>
      <w:r w:rsidRPr="00F52B56">
        <w:rPr>
          <w:rFonts w:ascii="Times New Roman" w:hAnsi="Times New Roman" w:cs="Times New Roman"/>
          <w:noProof/>
          <w:sz w:val="20"/>
          <w:szCs w:val="20"/>
          <w:lang w:val="en-US"/>
        </w:rPr>
        <w:t>[4]</w:t>
      </w:r>
      <w:r w:rsidRPr="00F52B56">
        <w:rPr>
          <w:rFonts w:ascii="Times New Roman" w:hAnsi="Times New Roman" w:cs="Times New Roman"/>
          <w:sz w:val="20"/>
          <w:szCs w:val="20"/>
          <w:lang w:val="en-US"/>
        </w:rPr>
        <w:t>.</w:t>
      </w:r>
      <w:r w:rsidR="000D1657">
        <w:rPr>
          <w:rFonts w:ascii="Times New Roman" w:hAnsi="Times New Roman" w:cs="Times New Roman"/>
          <w:sz w:val="20"/>
          <w:szCs w:val="20"/>
          <w:lang w:val="en-US"/>
        </w:rPr>
        <w:t xml:space="preserve"> </w:t>
      </w:r>
      <w:r w:rsidRPr="00F52B56">
        <w:rPr>
          <w:rFonts w:ascii="Times New Roman" w:hAnsi="Times New Roman" w:cs="Times New Roman"/>
          <w:sz w:val="20"/>
          <w:szCs w:val="20"/>
        </w:rPr>
        <w:t>Therefore, the total crosslink density of the CaCO</w:t>
      </w:r>
      <w:r w:rsidRPr="00F52B56">
        <w:rPr>
          <w:rFonts w:ascii="Times New Roman" w:hAnsi="Times New Roman" w:cs="Times New Roman"/>
          <w:sz w:val="20"/>
          <w:szCs w:val="20"/>
          <w:vertAlign w:val="subscript"/>
        </w:rPr>
        <w:t>3</w:t>
      </w:r>
      <w:r w:rsidRPr="00F52B56">
        <w:rPr>
          <w:rFonts w:ascii="Times New Roman" w:hAnsi="Times New Roman" w:cs="Times New Roman"/>
          <w:sz w:val="20"/>
          <w:szCs w:val="20"/>
        </w:rPr>
        <w:t xml:space="preserve"> filled NR compounds might contain sulphide, </w:t>
      </w:r>
      <w:r w:rsidRPr="00F52B56">
        <w:rPr>
          <w:rFonts w:ascii="Times New Roman" w:hAnsi="Times New Roman" w:cs="Times New Roman"/>
          <w:sz w:val="20"/>
          <w:szCs w:val="20"/>
          <w:lang w:val="en-US"/>
        </w:rPr>
        <w:t>ether</w:t>
      </w:r>
      <w:r w:rsidRPr="00F52B56">
        <w:rPr>
          <w:rFonts w:ascii="Times New Roman" w:hAnsi="Times New Roman" w:cs="Times New Roman"/>
          <w:sz w:val="20"/>
          <w:szCs w:val="20"/>
        </w:rPr>
        <w:t xml:space="preserve"> and physical crossli</w:t>
      </w:r>
      <w:r w:rsidR="009F4B3C" w:rsidRPr="00F52B56">
        <w:rPr>
          <w:rFonts w:ascii="Times New Roman" w:hAnsi="Times New Roman" w:cs="Times New Roman"/>
          <w:sz w:val="20"/>
          <w:szCs w:val="20"/>
        </w:rPr>
        <w:t>nks due to the presence of ENR.</w:t>
      </w:r>
    </w:p>
    <w:p w14:paraId="4A7A6DA3" w14:textId="77777777" w:rsidR="003A6CC2" w:rsidRPr="00F52B56" w:rsidRDefault="003A6CC2" w:rsidP="007A3C0F">
      <w:pPr>
        <w:spacing w:after="0" w:line="240" w:lineRule="auto"/>
        <w:jc w:val="both"/>
        <w:rPr>
          <w:rFonts w:ascii="Times New Roman" w:hAnsi="Times New Roman" w:cs="Times New Roman"/>
          <w:sz w:val="20"/>
          <w:szCs w:val="20"/>
        </w:rPr>
      </w:pPr>
    </w:p>
    <w:p w14:paraId="3532D401" w14:textId="312297CE" w:rsidR="009F4B3C" w:rsidRPr="00F52B56" w:rsidRDefault="00DB5BB4" w:rsidP="00DB5BB4">
      <w:pPr>
        <w:spacing w:after="0" w:line="240" w:lineRule="auto"/>
        <w:jc w:val="center"/>
        <w:rPr>
          <w:rFonts w:ascii="Times New Roman" w:hAnsi="Times New Roman" w:cs="Times New Roman"/>
          <w:sz w:val="20"/>
          <w:szCs w:val="20"/>
        </w:rPr>
      </w:pPr>
      <w:r w:rsidRPr="00F52B56">
        <w:rPr>
          <w:noProof/>
          <w:lang w:val="en-US"/>
        </w:rPr>
        <w:drawing>
          <wp:inline distT="0" distB="0" distL="0" distR="0" wp14:anchorId="17268810" wp14:editId="16666E2C">
            <wp:extent cx="3600000" cy="2160000"/>
            <wp:effectExtent l="0" t="0" r="635" b="1206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1966648" w14:textId="77777777" w:rsidR="00DB5BB4" w:rsidRPr="00F52B56" w:rsidRDefault="00DB5BB4" w:rsidP="00DB5BB4">
      <w:pPr>
        <w:spacing w:after="0" w:line="240" w:lineRule="auto"/>
        <w:jc w:val="center"/>
        <w:rPr>
          <w:rFonts w:ascii="Times New Roman" w:hAnsi="Times New Roman" w:cs="Times New Roman"/>
          <w:sz w:val="20"/>
          <w:szCs w:val="20"/>
        </w:rPr>
      </w:pPr>
    </w:p>
    <w:p w14:paraId="5DB3587E" w14:textId="2A7D351A" w:rsidR="009F4B3C" w:rsidRPr="00F52B56" w:rsidRDefault="009F4B3C" w:rsidP="009F4B3C">
      <w:pPr>
        <w:spacing w:after="0" w:line="240" w:lineRule="auto"/>
        <w:ind w:firstLine="567"/>
        <w:jc w:val="center"/>
        <w:rPr>
          <w:rFonts w:ascii="Times New Roman" w:hAnsi="Times New Roman" w:cs="Times New Roman"/>
          <w:sz w:val="20"/>
          <w:szCs w:val="20"/>
          <w:lang w:val="en-US"/>
        </w:rPr>
      </w:pPr>
      <w:r w:rsidRPr="00F52B56">
        <w:rPr>
          <w:rFonts w:ascii="Times New Roman" w:hAnsi="Times New Roman" w:cs="Times New Roman"/>
          <w:sz w:val="20"/>
          <w:szCs w:val="20"/>
          <w:lang w:val="en-US"/>
        </w:rPr>
        <w:t>Figure 6. The effect of ENRs loading on torque difference of the CaCO</w:t>
      </w:r>
      <w:r w:rsidRPr="00F52B56">
        <w:rPr>
          <w:rFonts w:ascii="Times New Roman" w:hAnsi="Times New Roman" w:cs="Times New Roman"/>
          <w:sz w:val="20"/>
          <w:szCs w:val="20"/>
          <w:vertAlign w:val="subscript"/>
          <w:lang w:val="en-US"/>
        </w:rPr>
        <w:t>3</w:t>
      </w:r>
      <w:r w:rsidRPr="00F52B56">
        <w:rPr>
          <w:rFonts w:ascii="Times New Roman" w:hAnsi="Times New Roman" w:cs="Times New Roman"/>
          <w:sz w:val="20"/>
          <w:szCs w:val="20"/>
          <w:lang w:val="en-US"/>
        </w:rPr>
        <w:t xml:space="preserve"> filled NR compounds</w:t>
      </w:r>
    </w:p>
    <w:p w14:paraId="15DDDFE2" w14:textId="77777777" w:rsidR="00524AFF" w:rsidRPr="00F52B56" w:rsidRDefault="00524AFF" w:rsidP="00EF5D11">
      <w:pPr>
        <w:spacing w:after="0" w:line="240" w:lineRule="auto"/>
        <w:jc w:val="both"/>
        <w:rPr>
          <w:rFonts w:ascii="Times New Roman" w:hAnsi="Times New Roman" w:cs="Times New Roman"/>
          <w:sz w:val="20"/>
          <w:szCs w:val="20"/>
        </w:rPr>
      </w:pPr>
    </w:p>
    <w:p w14:paraId="7BE2A775" w14:textId="498EE359" w:rsidR="00524AFF" w:rsidRDefault="0096055F" w:rsidP="007A3C0F">
      <w:pPr>
        <w:spacing w:after="0" w:line="240" w:lineRule="auto"/>
        <w:jc w:val="both"/>
        <w:rPr>
          <w:rFonts w:ascii="Times New Roman" w:hAnsi="Times New Roman" w:cs="Times New Roman"/>
          <w:sz w:val="20"/>
          <w:szCs w:val="20"/>
        </w:rPr>
      </w:pPr>
      <w:r w:rsidRPr="00F52B56">
        <w:rPr>
          <w:rFonts w:ascii="Times New Roman" w:hAnsi="Times New Roman" w:cs="Times New Roman"/>
          <w:sz w:val="20"/>
          <w:szCs w:val="20"/>
          <w:lang w:val="en-US"/>
        </w:rPr>
        <w:t xml:space="preserve">As shown in Figure 6, the addition of 5.0 phr of ENR 25 or ENR 50 </w:t>
      </w:r>
      <w:r w:rsidRPr="00F52B56">
        <w:rPr>
          <w:rFonts w:ascii="Times New Roman" w:hAnsi="Times New Roman" w:cs="Times New Roman"/>
          <w:sz w:val="20"/>
          <w:szCs w:val="20"/>
        </w:rPr>
        <w:t>increased the torque difference (</w:t>
      </w:r>
      <w:r w:rsidRPr="00F52B56">
        <w:rPr>
          <w:rFonts w:ascii="Times New Roman" w:hAnsi="Times New Roman" w:cs="Times New Roman"/>
          <w:sz w:val="20"/>
          <w:szCs w:val="20"/>
          <w:lang w:val="en-US"/>
        </w:rPr>
        <w:t>M</w:t>
      </w:r>
      <w:r w:rsidRPr="00F52B56">
        <w:rPr>
          <w:rFonts w:ascii="Times New Roman" w:hAnsi="Times New Roman" w:cs="Times New Roman"/>
          <w:sz w:val="20"/>
          <w:szCs w:val="20"/>
          <w:vertAlign w:val="subscript"/>
          <w:lang w:val="en-US"/>
        </w:rPr>
        <w:t>H</w:t>
      </w:r>
      <w:r w:rsidRPr="00F52B56">
        <w:rPr>
          <w:rFonts w:ascii="Times New Roman" w:hAnsi="Times New Roman" w:cs="Times New Roman"/>
          <w:sz w:val="20"/>
          <w:szCs w:val="20"/>
          <w:lang w:val="en-US"/>
        </w:rPr>
        <w:t>―M</w:t>
      </w:r>
      <w:r w:rsidRPr="00F52B56">
        <w:rPr>
          <w:rFonts w:ascii="Times New Roman" w:hAnsi="Times New Roman" w:cs="Times New Roman"/>
          <w:sz w:val="20"/>
          <w:szCs w:val="20"/>
          <w:vertAlign w:val="subscript"/>
          <w:lang w:val="en-US"/>
        </w:rPr>
        <w:t>L</w:t>
      </w:r>
      <w:r w:rsidRPr="00F52B56">
        <w:rPr>
          <w:rFonts w:ascii="Times New Roman" w:hAnsi="Times New Roman" w:cs="Times New Roman"/>
          <w:sz w:val="20"/>
          <w:szCs w:val="20"/>
          <w:lang w:val="en-US"/>
        </w:rPr>
        <w:t>)</w:t>
      </w:r>
      <w:r w:rsidRPr="00F52B56">
        <w:rPr>
          <w:rFonts w:ascii="Times New Roman" w:hAnsi="Times New Roman" w:cs="Times New Roman"/>
          <w:sz w:val="20"/>
          <w:szCs w:val="20"/>
        </w:rPr>
        <w:t xml:space="preserve"> of the control compound. The higher the ENRs loadings, the higher were the torque differences. It was attributed to the functions of ENRs not only as curative ingredients but also as compatibilizers. During curing, the curatives ENRs enhanced the rate and state/degree of the formations of sulphide and ether crosslinks. Simultaneously, they reduced filler – filler agglomeration and improved rubber – filler interaction, respectively. The rubber – filler interaction is defined as physical crosslinks </w:t>
      </w:r>
      <w:r w:rsidRPr="00F52B56">
        <w:rPr>
          <w:rFonts w:ascii="Times New Roman" w:hAnsi="Times New Roman" w:cs="Times New Roman"/>
          <w:noProof/>
          <w:sz w:val="20"/>
          <w:szCs w:val="20"/>
        </w:rPr>
        <w:t>[18</w:t>
      </w:r>
      <w:r w:rsidR="003258BE">
        <w:rPr>
          <w:rFonts w:ascii="Times New Roman" w:hAnsi="Times New Roman" w:cs="Times New Roman"/>
          <w:noProof/>
          <w:sz w:val="20"/>
          <w:szCs w:val="20"/>
        </w:rPr>
        <w:t xml:space="preserve">, </w:t>
      </w:r>
      <w:r w:rsidRPr="00F52B56">
        <w:rPr>
          <w:rFonts w:ascii="Times New Roman" w:hAnsi="Times New Roman" w:cs="Times New Roman"/>
          <w:noProof/>
          <w:sz w:val="20"/>
          <w:szCs w:val="20"/>
        </w:rPr>
        <w:t>19]</w:t>
      </w:r>
      <w:r w:rsidRPr="00F52B56">
        <w:rPr>
          <w:rFonts w:ascii="Times New Roman" w:hAnsi="Times New Roman" w:cs="Times New Roman"/>
          <w:sz w:val="20"/>
          <w:szCs w:val="20"/>
        </w:rPr>
        <w:t>.</w:t>
      </w:r>
    </w:p>
    <w:p w14:paraId="50DB8A10" w14:textId="77777777" w:rsidR="003258BE" w:rsidRPr="00F52B56" w:rsidRDefault="003258BE" w:rsidP="007A3C0F">
      <w:pPr>
        <w:spacing w:after="0" w:line="240" w:lineRule="auto"/>
        <w:jc w:val="both"/>
        <w:rPr>
          <w:rFonts w:ascii="Times New Roman" w:hAnsi="Times New Roman" w:cs="Times New Roman"/>
          <w:sz w:val="20"/>
          <w:szCs w:val="20"/>
          <w:lang w:val="en-US"/>
        </w:rPr>
      </w:pPr>
    </w:p>
    <w:p w14:paraId="413F22D9" w14:textId="77777777" w:rsidR="00524AFF" w:rsidRPr="00F52B56" w:rsidRDefault="0096055F" w:rsidP="007A3C0F">
      <w:pPr>
        <w:tabs>
          <w:tab w:val="left" w:pos="5812"/>
        </w:tabs>
        <w:spacing w:after="0" w:line="240" w:lineRule="auto"/>
        <w:jc w:val="both"/>
        <w:rPr>
          <w:rFonts w:ascii="Times New Roman" w:hAnsi="Times New Roman" w:cs="Times New Roman"/>
          <w:sz w:val="20"/>
          <w:szCs w:val="20"/>
          <w:lang w:val="en-US"/>
        </w:rPr>
      </w:pPr>
      <w:r w:rsidRPr="00F52B56">
        <w:rPr>
          <w:rFonts w:ascii="Times New Roman" w:hAnsi="Times New Roman" w:cs="Times New Roman"/>
          <w:sz w:val="20"/>
          <w:szCs w:val="20"/>
          <w:lang w:val="en-US"/>
        </w:rPr>
        <w:t xml:space="preserve">At a similar ENR loading, the torque differences of ENR 50 were higher than those of ENR 25. Again, it showed that the degree of epoxidation has played an important role in the curing process of the filled NR compounds. </w:t>
      </w:r>
      <w:r w:rsidRPr="00F52B56">
        <w:rPr>
          <w:rFonts w:ascii="Times New Roman" w:hAnsi="Times New Roman" w:cs="Times New Roman"/>
          <w:sz w:val="20"/>
          <w:szCs w:val="20"/>
          <w:lang w:val="en-US"/>
        </w:rPr>
        <w:lastRenderedPageBreak/>
        <w:t xml:space="preserve">ENR 50 systems with more epoxide groups produced a higher degree of additional ether crosslinks than ENR 25 systems. </w:t>
      </w:r>
    </w:p>
    <w:p w14:paraId="6ACE7554" w14:textId="77777777" w:rsidR="00524AFF" w:rsidRPr="00F52B56" w:rsidRDefault="00524AFF" w:rsidP="007A3C0F">
      <w:pPr>
        <w:spacing w:after="0" w:line="240" w:lineRule="auto"/>
        <w:jc w:val="both"/>
        <w:rPr>
          <w:rFonts w:ascii="Times New Roman" w:hAnsi="Times New Roman" w:cs="Times New Roman"/>
          <w:sz w:val="20"/>
          <w:szCs w:val="20"/>
          <w:lang w:val="en-US"/>
        </w:rPr>
      </w:pPr>
    </w:p>
    <w:p w14:paraId="0D77FC4C" w14:textId="73F6A3B6" w:rsidR="00524AFF" w:rsidRPr="00F52B56" w:rsidRDefault="0096055F" w:rsidP="007A3C0F">
      <w:pPr>
        <w:spacing w:after="0" w:line="240" w:lineRule="auto"/>
        <w:jc w:val="both"/>
        <w:rPr>
          <w:rFonts w:ascii="Times New Roman" w:hAnsi="Times New Roman" w:cs="Times New Roman"/>
          <w:b/>
          <w:sz w:val="20"/>
          <w:szCs w:val="20"/>
          <w:lang w:val="sl-SI"/>
        </w:rPr>
      </w:pPr>
      <w:r w:rsidRPr="00F52B56">
        <w:rPr>
          <w:rFonts w:ascii="Times New Roman" w:hAnsi="Times New Roman" w:cs="Times New Roman"/>
          <w:b/>
          <w:sz w:val="20"/>
          <w:szCs w:val="20"/>
          <w:lang w:val="sl-SI"/>
        </w:rPr>
        <w:t xml:space="preserve">The </w:t>
      </w:r>
      <w:r w:rsidR="003258BE" w:rsidRPr="00F52B56">
        <w:rPr>
          <w:rFonts w:ascii="Times New Roman" w:hAnsi="Times New Roman" w:cs="Times New Roman"/>
          <w:b/>
          <w:sz w:val="20"/>
          <w:szCs w:val="20"/>
          <w:lang w:val="sl-SI"/>
        </w:rPr>
        <w:t>rubber - filler interaction</w:t>
      </w:r>
    </w:p>
    <w:p w14:paraId="4F16AEEC" w14:textId="3BE1B2F5" w:rsidR="00524AFF" w:rsidRDefault="0096055F" w:rsidP="007A3C0F">
      <w:pPr>
        <w:pStyle w:val="ListParagraph"/>
        <w:spacing w:after="0" w:line="240" w:lineRule="auto"/>
        <w:ind w:left="0"/>
        <w:jc w:val="both"/>
        <w:rPr>
          <w:rFonts w:ascii="Times New Roman" w:hAnsi="Times New Roman" w:cs="Times New Roman"/>
          <w:sz w:val="20"/>
          <w:szCs w:val="20"/>
        </w:rPr>
      </w:pPr>
      <w:r w:rsidRPr="00F52B56">
        <w:rPr>
          <w:rFonts w:ascii="Times New Roman" w:hAnsi="Times New Roman" w:cs="Times New Roman"/>
          <w:sz w:val="20"/>
          <w:szCs w:val="20"/>
        </w:rPr>
        <w:t xml:space="preserve">The rubber - filler interaction, based on the Lorenz and Park’s equation is shown in Figure 7. For both ENRs systems, it can be seen that the Qf/Qg values were decreased by increasing the ENRs loadings from 5.0 to 25.0 phr. A lower Qf/Qg value indicates a greater rubber - filler interaction </w:t>
      </w:r>
      <w:r w:rsidRPr="00F52B56">
        <w:rPr>
          <w:rFonts w:ascii="Times New Roman" w:hAnsi="Times New Roman" w:cs="Times New Roman"/>
          <w:noProof/>
          <w:sz w:val="20"/>
          <w:szCs w:val="20"/>
        </w:rPr>
        <w:t>[8, 10]</w:t>
      </w:r>
      <w:r w:rsidRPr="00F52B56">
        <w:rPr>
          <w:rFonts w:ascii="Times New Roman" w:hAnsi="Times New Roman" w:cs="Times New Roman"/>
          <w:sz w:val="20"/>
          <w:szCs w:val="20"/>
        </w:rPr>
        <w:t>. A greater degree of rubber - filler interaction of the filled compounds with ENRs was attributed not only to the additional rubber phase amount (as discussed earlier) but also to the polarity of ENRs. Due to the presence of epoxide groups, ENRs are polar rubbers and they are relatively compatible with polar fillers such as CaCO</w:t>
      </w:r>
      <w:r w:rsidRPr="00F52B56">
        <w:rPr>
          <w:rFonts w:ascii="Times New Roman" w:hAnsi="Times New Roman" w:cs="Times New Roman"/>
          <w:sz w:val="20"/>
          <w:szCs w:val="20"/>
          <w:vertAlign w:val="subscript"/>
        </w:rPr>
        <w:t>3</w:t>
      </w:r>
      <w:r w:rsidRPr="00F52B56">
        <w:rPr>
          <w:rFonts w:ascii="Times New Roman" w:hAnsi="Times New Roman" w:cs="Times New Roman"/>
          <w:sz w:val="20"/>
          <w:szCs w:val="20"/>
        </w:rPr>
        <w:t xml:space="preserve"> and silica compared NR. Surely, </w:t>
      </w:r>
      <w:r w:rsidR="0047456D" w:rsidRPr="00F52B56">
        <w:rPr>
          <w:rFonts w:ascii="Times New Roman" w:hAnsi="Times New Roman" w:cs="Times New Roman"/>
          <w:sz w:val="20"/>
          <w:szCs w:val="20"/>
        </w:rPr>
        <w:t xml:space="preserve">such </w:t>
      </w:r>
      <w:r w:rsidRPr="00F52B56">
        <w:rPr>
          <w:rFonts w:ascii="Times New Roman" w:hAnsi="Times New Roman" w:cs="Times New Roman"/>
          <w:sz w:val="20"/>
          <w:szCs w:val="20"/>
        </w:rPr>
        <w:t>compatib</w:t>
      </w:r>
      <w:r w:rsidR="0047456D" w:rsidRPr="00F52B56">
        <w:rPr>
          <w:rFonts w:ascii="Times New Roman" w:hAnsi="Times New Roman" w:cs="Times New Roman"/>
          <w:sz w:val="20"/>
          <w:szCs w:val="20"/>
        </w:rPr>
        <w:t xml:space="preserve">ility </w:t>
      </w:r>
      <w:r w:rsidRPr="00F52B56">
        <w:rPr>
          <w:rFonts w:ascii="Times New Roman" w:hAnsi="Times New Roman" w:cs="Times New Roman"/>
          <w:sz w:val="20"/>
          <w:szCs w:val="20"/>
        </w:rPr>
        <w:t xml:space="preserve">should produce a </w:t>
      </w:r>
      <w:r w:rsidR="0047456D" w:rsidRPr="00F52B56">
        <w:rPr>
          <w:rFonts w:ascii="Times New Roman" w:hAnsi="Times New Roman" w:cs="Times New Roman"/>
          <w:sz w:val="20"/>
          <w:szCs w:val="20"/>
        </w:rPr>
        <w:t>greater</w:t>
      </w:r>
      <w:r w:rsidRPr="00F52B56">
        <w:rPr>
          <w:rFonts w:ascii="Times New Roman" w:hAnsi="Times New Roman" w:cs="Times New Roman"/>
          <w:sz w:val="20"/>
          <w:szCs w:val="20"/>
        </w:rPr>
        <w:t xml:space="preserve"> rubber </w:t>
      </w:r>
      <w:r w:rsidRPr="00F52B56">
        <w:rPr>
          <w:rFonts w:ascii="Times New Roman" w:hAnsi="Times New Roman" w:cs="Times New Roman"/>
          <w:sz w:val="20"/>
          <w:szCs w:val="20"/>
          <w:lang w:val="en-US"/>
        </w:rPr>
        <w:t>-</w:t>
      </w:r>
      <w:r w:rsidR="0047456D" w:rsidRPr="00F52B56">
        <w:rPr>
          <w:rFonts w:ascii="Times New Roman" w:hAnsi="Times New Roman" w:cs="Times New Roman"/>
          <w:sz w:val="20"/>
          <w:szCs w:val="20"/>
        </w:rPr>
        <w:t xml:space="preserve"> filler interaction</w:t>
      </w:r>
      <w:r w:rsidRPr="00F52B56">
        <w:rPr>
          <w:rFonts w:ascii="Times New Roman" w:hAnsi="Times New Roman" w:cs="Times New Roman"/>
          <w:sz w:val="20"/>
          <w:szCs w:val="20"/>
        </w:rPr>
        <w:t>.</w:t>
      </w:r>
    </w:p>
    <w:p w14:paraId="329FEA06" w14:textId="77777777" w:rsidR="003258BE" w:rsidRPr="00F52B56" w:rsidRDefault="003258BE" w:rsidP="007A3C0F">
      <w:pPr>
        <w:pStyle w:val="ListParagraph"/>
        <w:spacing w:after="0" w:line="240" w:lineRule="auto"/>
        <w:ind w:left="0"/>
        <w:jc w:val="both"/>
        <w:rPr>
          <w:rFonts w:ascii="Times New Roman" w:hAnsi="Times New Roman" w:cs="Times New Roman"/>
          <w:sz w:val="20"/>
          <w:szCs w:val="20"/>
        </w:rPr>
      </w:pPr>
    </w:p>
    <w:p w14:paraId="3441803B" w14:textId="77777777" w:rsidR="00524AFF" w:rsidRPr="00F52B56" w:rsidRDefault="0096055F" w:rsidP="007A3C0F">
      <w:pPr>
        <w:tabs>
          <w:tab w:val="left" w:pos="5812"/>
        </w:tabs>
        <w:spacing w:after="0" w:line="240" w:lineRule="auto"/>
        <w:jc w:val="both"/>
        <w:rPr>
          <w:rFonts w:ascii="Times New Roman" w:hAnsi="Times New Roman" w:cs="Times New Roman"/>
          <w:sz w:val="20"/>
          <w:szCs w:val="20"/>
          <w:lang w:val="en-US"/>
        </w:rPr>
      </w:pPr>
      <w:r w:rsidRPr="00F52B56">
        <w:rPr>
          <w:rFonts w:ascii="Times New Roman" w:hAnsi="Times New Roman" w:cs="Times New Roman"/>
          <w:sz w:val="20"/>
          <w:szCs w:val="20"/>
        </w:rPr>
        <w:t>At a similar ENR loading,</w:t>
      </w:r>
      <w:r w:rsidRPr="00F52B56">
        <w:rPr>
          <w:rFonts w:ascii="Times New Roman" w:hAnsi="Times New Roman" w:cs="Times New Roman"/>
          <w:sz w:val="20"/>
          <w:szCs w:val="20"/>
          <w:lang w:val="en-US"/>
        </w:rPr>
        <w:t xml:space="preserve"> the rubber - filler interactions of ENR 50 were greater than those of ENR 25. It was simply attributed polarity degree of those ENRs. Compared to ENR 25, ENR 50 has more epoxide groups and hence, makes it more polar and it has a stronger interaction with CaCO</w:t>
      </w:r>
      <w:r w:rsidRPr="00F52B56">
        <w:rPr>
          <w:rFonts w:ascii="Times New Roman" w:hAnsi="Times New Roman" w:cs="Times New Roman"/>
          <w:sz w:val="20"/>
          <w:szCs w:val="20"/>
          <w:vertAlign w:val="subscript"/>
          <w:lang w:val="en-US"/>
        </w:rPr>
        <w:t>3</w:t>
      </w:r>
      <w:r w:rsidRPr="00F52B56">
        <w:rPr>
          <w:rFonts w:ascii="Times New Roman" w:hAnsi="Times New Roman" w:cs="Times New Roman"/>
          <w:sz w:val="20"/>
          <w:szCs w:val="20"/>
          <w:lang w:val="en-US"/>
        </w:rPr>
        <w:t>.</w:t>
      </w:r>
    </w:p>
    <w:p w14:paraId="66E07B00" w14:textId="77777777" w:rsidR="009F4B3C" w:rsidRPr="00F52B56" w:rsidRDefault="009F4B3C" w:rsidP="007A3C0F">
      <w:pPr>
        <w:tabs>
          <w:tab w:val="left" w:pos="5812"/>
        </w:tabs>
        <w:spacing w:after="0" w:line="240" w:lineRule="auto"/>
        <w:jc w:val="both"/>
        <w:rPr>
          <w:rFonts w:ascii="Times New Roman" w:hAnsi="Times New Roman" w:cs="Times New Roman"/>
          <w:sz w:val="20"/>
          <w:szCs w:val="20"/>
          <w:lang w:val="en-US"/>
        </w:rPr>
      </w:pPr>
    </w:p>
    <w:p w14:paraId="4CDB9726" w14:textId="1F427914" w:rsidR="009F4B3C" w:rsidRPr="00F52B56" w:rsidRDefault="009F4B3C" w:rsidP="009F4B3C">
      <w:pPr>
        <w:tabs>
          <w:tab w:val="left" w:pos="5812"/>
        </w:tabs>
        <w:spacing w:after="0" w:line="240" w:lineRule="auto"/>
        <w:jc w:val="center"/>
        <w:rPr>
          <w:rFonts w:ascii="Times New Roman" w:hAnsi="Times New Roman" w:cs="Times New Roman"/>
          <w:sz w:val="20"/>
          <w:szCs w:val="20"/>
          <w:lang w:val="en-US"/>
        </w:rPr>
      </w:pPr>
      <w:r w:rsidRPr="00F52B56">
        <w:rPr>
          <w:rFonts w:ascii="Times New Roman" w:hAnsi="Times New Roman" w:cs="Times New Roman"/>
          <w:noProof/>
          <w:sz w:val="24"/>
          <w:szCs w:val="24"/>
          <w:lang w:val="en-US"/>
        </w:rPr>
        <w:drawing>
          <wp:inline distT="0" distB="0" distL="0" distR="0" wp14:anchorId="542BB9CC" wp14:editId="1DBCA74C">
            <wp:extent cx="3600000" cy="2160000"/>
            <wp:effectExtent l="0" t="0" r="635" b="12065"/>
            <wp:docPr id="1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82834DE" w14:textId="77777777" w:rsidR="009F4B3C" w:rsidRPr="00F52B56" w:rsidRDefault="009F4B3C" w:rsidP="009F4B3C">
      <w:pPr>
        <w:spacing w:after="0" w:line="240" w:lineRule="auto"/>
        <w:ind w:firstLine="567"/>
        <w:jc w:val="center"/>
        <w:rPr>
          <w:rFonts w:ascii="Times New Roman" w:hAnsi="Times New Roman" w:cs="Times New Roman"/>
          <w:sz w:val="20"/>
          <w:szCs w:val="20"/>
          <w:lang w:val="en-US"/>
        </w:rPr>
      </w:pPr>
    </w:p>
    <w:p w14:paraId="69D961BD" w14:textId="3AB47F11" w:rsidR="009F4B3C" w:rsidRPr="00F52B56" w:rsidRDefault="009F4B3C" w:rsidP="009F4B3C">
      <w:pPr>
        <w:spacing w:after="0" w:line="240" w:lineRule="auto"/>
        <w:ind w:firstLine="567"/>
        <w:jc w:val="center"/>
        <w:rPr>
          <w:rFonts w:ascii="Times New Roman" w:hAnsi="Times New Roman" w:cs="Times New Roman"/>
          <w:sz w:val="20"/>
          <w:szCs w:val="20"/>
          <w:lang w:val="en-US"/>
        </w:rPr>
      </w:pPr>
      <w:r w:rsidRPr="00F52B56">
        <w:rPr>
          <w:rFonts w:ascii="Times New Roman" w:hAnsi="Times New Roman" w:cs="Times New Roman"/>
          <w:sz w:val="20"/>
          <w:szCs w:val="20"/>
          <w:lang w:val="en-US"/>
        </w:rPr>
        <w:t>Figure 7. The effect of ENRs loading on Qf/Qg values of the CaCO</w:t>
      </w:r>
      <w:r w:rsidRPr="00F52B56">
        <w:rPr>
          <w:rFonts w:ascii="Times New Roman" w:hAnsi="Times New Roman" w:cs="Times New Roman"/>
          <w:sz w:val="20"/>
          <w:szCs w:val="20"/>
          <w:vertAlign w:val="subscript"/>
          <w:lang w:val="en-US"/>
        </w:rPr>
        <w:t>3</w:t>
      </w:r>
      <w:r w:rsidRPr="00F52B56">
        <w:rPr>
          <w:rFonts w:ascii="Times New Roman" w:hAnsi="Times New Roman" w:cs="Times New Roman"/>
          <w:sz w:val="20"/>
          <w:szCs w:val="20"/>
          <w:lang w:val="en-US"/>
        </w:rPr>
        <w:t xml:space="preserve"> filled NR compounds</w:t>
      </w:r>
    </w:p>
    <w:p w14:paraId="185401B7" w14:textId="77777777" w:rsidR="009F4B3C" w:rsidRPr="00F52B56" w:rsidRDefault="009F4B3C" w:rsidP="00EF5D11">
      <w:pPr>
        <w:tabs>
          <w:tab w:val="left" w:pos="5812"/>
        </w:tabs>
        <w:spacing w:after="0" w:line="240" w:lineRule="auto"/>
        <w:rPr>
          <w:rFonts w:ascii="Times New Roman" w:hAnsi="Times New Roman" w:cs="Times New Roman"/>
          <w:sz w:val="20"/>
          <w:szCs w:val="20"/>
          <w:lang w:val="en-US"/>
        </w:rPr>
      </w:pPr>
    </w:p>
    <w:p w14:paraId="0D431B12" w14:textId="543B6501" w:rsidR="00524AFF" w:rsidRPr="00F52B56" w:rsidRDefault="0096055F" w:rsidP="007A3C0F">
      <w:pPr>
        <w:spacing w:after="0" w:line="240" w:lineRule="auto"/>
        <w:jc w:val="both"/>
        <w:rPr>
          <w:rFonts w:ascii="Times New Roman" w:hAnsi="Times New Roman" w:cs="Times New Roman"/>
          <w:b/>
          <w:sz w:val="20"/>
          <w:szCs w:val="20"/>
          <w:lang w:val="sl-SI"/>
        </w:rPr>
      </w:pPr>
      <w:r w:rsidRPr="00F52B56">
        <w:rPr>
          <w:rFonts w:ascii="Times New Roman" w:hAnsi="Times New Roman" w:cs="Times New Roman"/>
          <w:b/>
          <w:sz w:val="20"/>
          <w:szCs w:val="20"/>
          <w:lang w:val="sl-SI"/>
        </w:rPr>
        <w:t xml:space="preserve">The </w:t>
      </w:r>
      <w:r w:rsidR="003258BE" w:rsidRPr="00F52B56">
        <w:rPr>
          <w:rFonts w:ascii="Times New Roman" w:hAnsi="Times New Roman" w:cs="Times New Roman"/>
          <w:b/>
          <w:sz w:val="20"/>
          <w:szCs w:val="20"/>
          <w:lang w:val="sl-SI"/>
        </w:rPr>
        <w:t>total crosslink density</w:t>
      </w:r>
    </w:p>
    <w:p w14:paraId="53266397" w14:textId="2ADD6342" w:rsidR="00524AFF" w:rsidRPr="00F52B56" w:rsidRDefault="0096055F" w:rsidP="007A3C0F">
      <w:pPr>
        <w:spacing w:after="0" w:line="240" w:lineRule="auto"/>
        <w:jc w:val="both"/>
        <w:rPr>
          <w:rFonts w:ascii="Times New Roman" w:hAnsi="Times New Roman" w:cs="Times New Roman"/>
          <w:sz w:val="20"/>
          <w:szCs w:val="20"/>
          <w:lang w:val="en-US"/>
        </w:rPr>
      </w:pPr>
      <w:r w:rsidRPr="00F52B56">
        <w:rPr>
          <w:rFonts w:ascii="Times New Roman" w:hAnsi="Times New Roman" w:cs="Times New Roman"/>
          <w:sz w:val="20"/>
          <w:szCs w:val="20"/>
          <w:lang w:val="en-US"/>
        </w:rPr>
        <w:t xml:space="preserve">The effect of ENRs on the total </w:t>
      </w:r>
      <w:r w:rsidRPr="00F52B56">
        <w:rPr>
          <w:rFonts w:ascii="Times New Roman" w:hAnsi="Times New Roman" w:cs="Times New Roman"/>
          <w:sz w:val="20"/>
          <w:szCs w:val="20"/>
        </w:rPr>
        <w:t xml:space="preserve">crosslink density </w:t>
      </w:r>
      <w:r w:rsidRPr="00F52B56">
        <w:rPr>
          <w:rFonts w:ascii="Times New Roman" w:hAnsi="Times New Roman" w:cs="Times New Roman"/>
          <w:sz w:val="20"/>
          <w:szCs w:val="20"/>
          <w:lang w:val="en-US"/>
        </w:rPr>
        <w:t>of the CaCO</w:t>
      </w:r>
      <w:r w:rsidRPr="00F52B56">
        <w:rPr>
          <w:rFonts w:ascii="Times New Roman" w:hAnsi="Times New Roman" w:cs="Times New Roman"/>
          <w:sz w:val="20"/>
          <w:szCs w:val="20"/>
          <w:vertAlign w:val="subscript"/>
          <w:lang w:val="en-US"/>
        </w:rPr>
        <w:t>3</w:t>
      </w:r>
      <w:r w:rsidRPr="00F52B56">
        <w:rPr>
          <w:rFonts w:ascii="Times New Roman" w:hAnsi="Times New Roman" w:cs="Times New Roman"/>
          <w:sz w:val="20"/>
          <w:szCs w:val="20"/>
          <w:lang w:val="en-US"/>
        </w:rPr>
        <w:t xml:space="preserve"> filled NR </w:t>
      </w:r>
      <w:r w:rsidRPr="00F52B56">
        <w:rPr>
          <w:rFonts w:ascii="Times New Roman" w:hAnsi="Times New Roman" w:cs="Times New Roman"/>
          <w:sz w:val="20"/>
          <w:szCs w:val="20"/>
        </w:rPr>
        <w:t xml:space="preserve">vulcanisates </w:t>
      </w:r>
      <w:r w:rsidRPr="00F52B56">
        <w:rPr>
          <w:rFonts w:ascii="Times New Roman" w:hAnsi="Times New Roman" w:cs="Times New Roman"/>
          <w:sz w:val="20"/>
          <w:szCs w:val="20"/>
          <w:lang w:val="en-US"/>
        </w:rPr>
        <w:t xml:space="preserve">is shown in Figure 8. </w:t>
      </w:r>
      <w:r w:rsidRPr="00F52B56">
        <w:rPr>
          <w:rFonts w:ascii="Times New Roman" w:hAnsi="Times New Roman" w:cs="Times New Roman"/>
          <w:sz w:val="20"/>
          <w:szCs w:val="20"/>
        </w:rPr>
        <w:t xml:space="preserve">The total crosslink density was determined by the Flory—Rehner approach. The additions of 5.0 phr of </w:t>
      </w:r>
      <w:r w:rsidR="001F6392" w:rsidRPr="00F52B56">
        <w:rPr>
          <w:rFonts w:ascii="Times New Roman" w:hAnsi="Times New Roman" w:cs="Times New Roman"/>
          <w:sz w:val="20"/>
          <w:szCs w:val="20"/>
        </w:rPr>
        <w:t xml:space="preserve">each </w:t>
      </w:r>
      <w:r w:rsidRPr="00F52B56">
        <w:rPr>
          <w:rFonts w:ascii="Times New Roman" w:hAnsi="Times New Roman" w:cs="Times New Roman"/>
          <w:sz w:val="20"/>
          <w:szCs w:val="20"/>
        </w:rPr>
        <w:t>ENR</w:t>
      </w:r>
      <w:r w:rsidR="001F6392" w:rsidRPr="00F52B56">
        <w:rPr>
          <w:rFonts w:ascii="Times New Roman" w:hAnsi="Times New Roman" w:cs="Times New Roman"/>
          <w:sz w:val="20"/>
          <w:szCs w:val="20"/>
        </w:rPr>
        <w:t>s</w:t>
      </w:r>
      <w:r w:rsidRPr="00F52B56">
        <w:rPr>
          <w:rFonts w:ascii="Times New Roman" w:hAnsi="Times New Roman" w:cs="Times New Roman"/>
          <w:sz w:val="20"/>
          <w:szCs w:val="20"/>
        </w:rPr>
        <w:t xml:space="preserve"> into the </w:t>
      </w:r>
      <w:r w:rsidRPr="00F52B56">
        <w:rPr>
          <w:rFonts w:ascii="Times New Roman" w:hAnsi="Times New Roman" w:cs="Times New Roman"/>
          <w:sz w:val="20"/>
          <w:szCs w:val="20"/>
          <w:lang w:val="en-US"/>
        </w:rPr>
        <w:t>CaCO</w:t>
      </w:r>
      <w:r w:rsidRPr="00F52B56">
        <w:rPr>
          <w:rFonts w:ascii="Times New Roman" w:hAnsi="Times New Roman" w:cs="Times New Roman"/>
          <w:sz w:val="20"/>
          <w:szCs w:val="20"/>
          <w:vertAlign w:val="subscript"/>
          <w:lang w:val="en-US"/>
        </w:rPr>
        <w:t xml:space="preserve">3 </w:t>
      </w:r>
      <w:r w:rsidRPr="00F52B56">
        <w:rPr>
          <w:rFonts w:ascii="Times New Roman" w:hAnsi="Times New Roman" w:cs="Times New Roman"/>
          <w:sz w:val="20"/>
          <w:szCs w:val="20"/>
        </w:rPr>
        <w:t>filled NR compound increased the total crosslink density and further increases the ENRs loadings increased the total crosslink density. This observation is in line with the result of the torque difference as presented in Figure 6. This surely confirms that torque difference indicates the degree of crosslink density of the filled NR compounds.</w:t>
      </w:r>
      <w:r w:rsidR="003258BE">
        <w:rPr>
          <w:rFonts w:ascii="Times New Roman" w:hAnsi="Times New Roman" w:cs="Times New Roman"/>
          <w:sz w:val="20"/>
          <w:szCs w:val="20"/>
          <w:lang w:val="en-US"/>
        </w:rPr>
        <w:t xml:space="preserve"> </w:t>
      </w:r>
      <w:r w:rsidRPr="00F52B56">
        <w:rPr>
          <w:rFonts w:ascii="Times New Roman" w:hAnsi="Times New Roman" w:cs="Times New Roman"/>
          <w:sz w:val="20"/>
          <w:szCs w:val="20"/>
        </w:rPr>
        <w:t>At a similar ENR loading,</w:t>
      </w:r>
      <w:r w:rsidRPr="00F52B56">
        <w:rPr>
          <w:rFonts w:ascii="Times New Roman" w:hAnsi="Times New Roman" w:cs="Times New Roman"/>
          <w:sz w:val="20"/>
          <w:szCs w:val="20"/>
          <w:lang w:val="en-US"/>
        </w:rPr>
        <w:t xml:space="preserve"> the total crosslink density of ENR 50 systems was higher than that of ENR 25 systems. It was attributed a higher degree of sulphide, ether and physical crosslinks altogether of ENR 50 systems compared to ENR 25 systems.</w:t>
      </w:r>
    </w:p>
    <w:p w14:paraId="362028AA" w14:textId="77777777" w:rsidR="00DB5BB4" w:rsidRPr="00F52B56" w:rsidRDefault="00DB5BB4" w:rsidP="007A3C0F">
      <w:pPr>
        <w:spacing w:after="0" w:line="240" w:lineRule="auto"/>
        <w:jc w:val="both"/>
        <w:rPr>
          <w:rFonts w:ascii="Times New Roman" w:hAnsi="Times New Roman" w:cs="Times New Roman"/>
          <w:sz w:val="20"/>
          <w:szCs w:val="20"/>
          <w:lang w:val="en-US"/>
        </w:rPr>
      </w:pPr>
    </w:p>
    <w:p w14:paraId="7BBCA963" w14:textId="2BBB31C8" w:rsidR="009F4B3C" w:rsidRDefault="00DB5BB4" w:rsidP="003258BE">
      <w:pPr>
        <w:spacing w:after="0" w:line="240" w:lineRule="auto"/>
        <w:jc w:val="center"/>
        <w:rPr>
          <w:rFonts w:ascii="Times New Roman" w:hAnsi="Times New Roman" w:cs="Times New Roman"/>
          <w:sz w:val="20"/>
          <w:szCs w:val="20"/>
          <w:lang w:val="sl-SI"/>
        </w:rPr>
      </w:pPr>
      <w:r w:rsidRPr="00F52B56">
        <w:rPr>
          <w:noProof/>
          <w:lang w:val="en-US"/>
        </w:rPr>
        <w:drawing>
          <wp:inline distT="0" distB="0" distL="0" distR="0" wp14:anchorId="16008C90" wp14:editId="5AB754D0">
            <wp:extent cx="3600000" cy="2160000"/>
            <wp:effectExtent l="0" t="0" r="635" b="1206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77184E5" w14:textId="77777777" w:rsidR="003258BE" w:rsidRPr="00F52B56" w:rsidRDefault="003258BE" w:rsidP="003258BE">
      <w:pPr>
        <w:spacing w:after="0" w:line="240" w:lineRule="auto"/>
        <w:jc w:val="center"/>
        <w:rPr>
          <w:rFonts w:ascii="Times New Roman" w:hAnsi="Times New Roman" w:cs="Times New Roman"/>
          <w:sz w:val="20"/>
          <w:szCs w:val="20"/>
          <w:lang w:val="sl-SI"/>
        </w:rPr>
      </w:pPr>
    </w:p>
    <w:p w14:paraId="5599E5FC" w14:textId="7E6426F6" w:rsidR="009F4B3C" w:rsidRPr="00F52B56" w:rsidRDefault="009F4B3C" w:rsidP="009F4B3C">
      <w:pPr>
        <w:spacing w:after="0" w:line="240" w:lineRule="auto"/>
        <w:ind w:firstLine="567"/>
        <w:jc w:val="center"/>
        <w:rPr>
          <w:rFonts w:ascii="Times New Roman" w:hAnsi="Times New Roman" w:cs="Times New Roman"/>
          <w:sz w:val="20"/>
          <w:szCs w:val="20"/>
          <w:lang w:val="en-US"/>
        </w:rPr>
      </w:pPr>
      <w:r w:rsidRPr="00F52B56">
        <w:rPr>
          <w:rFonts w:ascii="Times New Roman" w:hAnsi="Times New Roman" w:cs="Times New Roman"/>
          <w:sz w:val="20"/>
          <w:szCs w:val="20"/>
          <w:lang w:val="en-US"/>
        </w:rPr>
        <w:lastRenderedPageBreak/>
        <w:t>Figure 8. The effect of ENRs loading on crosslink density of the CaCO</w:t>
      </w:r>
      <w:r w:rsidRPr="00F52B56">
        <w:rPr>
          <w:rFonts w:ascii="Times New Roman" w:hAnsi="Times New Roman" w:cs="Times New Roman"/>
          <w:sz w:val="20"/>
          <w:szCs w:val="20"/>
          <w:vertAlign w:val="subscript"/>
          <w:lang w:val="en-US"/>
        </w:rPr>
        <w:t>3</w:t>
      </w:r>
      <w:r w:rsidRPr="00F52B56">
        <w:rPr>
          <w:rFonts w:ascii="Times New Roman" w:hAnsi="Times New Roman" w:cs="Times New Roman"/>
          <w:sz w:val="20"/>
          <w:szCs w:val="20"/>
          <w:lang w:val="en-US"/>
        </w:rPr>
        <w:t xml:space="preserve"> filled NR compounds.</w:t>
      </w:r>
    </w:p>
    <w:p w14:paraId="680F01E0" w14:textId="77777777" w:rsidR="009F4B3C" w:rsidRPr="00F52B56" w:rsidRDefault="009F4B3C" w:rsidP="009F4B3C">
      <w:pPr>
        <w:spacing w:after="0" w:line="240" w:lineRule="auto"/>
        <w:jc w:val="center"/>
        <w:rPr>
          <w:rFonts w:ascii="Times New Roman" w:hAnsi="Times New Roman" w:cs="Times New Roman"/>
          <w:sz w:val="20"/>
          <w:szCs w:val="20"/>
          <w:lang w:val="sl-SI"/>
        </w:rPr>
      </w:pPr>
    </w:p>
    <w:p w14:paraId="0FC3ADC6" w14:textId="77777777" w:rsidR="007A3C0F" w:rsidRPr="00F52B56" w:rsidRDefault="007A3C0F" w:rsidP="007A3C0F">
      <w:pPr>
        <w:spacing w:after="0" w:line="240" w:lineRule="auto"/>
        <w:jc w:val="center"/>
        <w:rPr>
          <w:rFonts w:ascii="Times New Roman" w:hAnsi="Times New Roman" w:cs="Times New Roman"/>
          <w:b/>
          <w:sz w:val="20"/>
          <w:szCs w:val="20"/>
          <w:lang w:val="en-US"/>
        </w:rPr>
      </w:pPr>
    </w:p>
    <w:p w14:paraId="02C76DCD" w14:textId="7462DCF6" w:rsidR="00524AFF" w:rsidRPr="00F52B56" w:rsidRDefault="007A3C0F" w:rsidP="007A3C0F">
      <w:pPr>
        <w:spacing w:after="0" w:line="240" w:lineRule="auto"/>
        <w:jc w:val="center"/>
        <w:rPr>
          <w:rFonts w:ascii="Times New Roman" w:hAnsi="Times New Roman" w:cs="Times New Roman"/>
          <w:b/>
          <w:sz w:val="20"/>
          <w:szCs w:val="20"/>
          <w:lang w:val="en-US"/>
        </w:rPr>
      </w:pPr>
      <w:r w:rsidRPr="00F52B56">
        <w:rPr>
          <w:rFonts w:ascii="Times New Roman" w:hAnsi="Times New Roman" w:cs="Times New Roman"/>
          <w:b/>
          <w:sz w:val="20"/>
          <w:szCs w:val="20"/>
          <w:lang w:val="en-US"/>
        </w:rPr>
        <w:t>Conclusion</w:t>
      </w:r>
    </w:p>
    <w:p w14:paraId="2F15954A" w14:textId="5BE5D23C" w:rsidR="00524AFF" w:rsidRPr="003258BE" w:rsidRDefault="003258BE" w:rsidP="003258BE">
      <w:pPr>
        <w:spacing w:after="0" w:line="240" w:lineRule="auto"/>
        <w:jc w:val="both"/>
        <w:rPr>
          <w:rFonts w:ascii="Times New Roman" w:hAnsi="Times New Roman" w:cs="Times New Roman"/>
          <w:sz w:val="20"/>
          <w:szCs w:val="20"/>
        </w:rPr>
      </w:pPr>
      <w:r w:rsidRPr="003258BE">
        <w:rPr>
          <w:rFonts w:ascii="Times New Roman" w:hAnsi="Times New Roman" w:cs="Times New Roman"/>
          <w:sz w:val="20"/>
          <w:szCs w:val="20"/>
        </w:rPr>
        <w:t>Epoxidized</w:t>
      </w:r>
      <w:r w:rsidR="0096055F" w:rsidRPr="003258BE">
        <w:rPr>
          <w:rFonts w:ascii="Times New Roman" w:hAnsi="Times New Roman" w:cs="Times New Roman"/>
          <w:sz w:val="20"/>
          <w:szCs w:val="20"/>
        </w:rPr>
        <w:t xml:space="preserve"> natural rubbers functioned as curatives ingredients in calcium carbonate filled natural rubber compounds. They decreased the scorch and cure times; increased the maximum torque and torque difference of calcium carbonate filled natural rubber compounds.</w:t>
      </w:r>
      <w:r>
        <w:rPr>
          <w:rFonts w:ascii="Times New Roman" w:hAnsi="Times New Roman" w:cs="Times New Roman"/>
          <w:sz w:val="20"/>
          <w:szCs w:val="20"/>
        </w:rPr>
        <w:t xml:space="preserve"> </w:t>
      </w:r>
      <w:r w:rsidRPr="003258BE">
        <w:rPr>
          <w:rFonts w:ascii="Times New Roman" w:hAnsi="Times New Roman" w:cs="Times New Roman"/>
          <w:sz w:val="20"/>
          <w:szCs w:val="20"/>
        </w:rPr>
        <w:t>Epoxidized</w:t>
      </w:r>
      <w:r w:rsidR="0096055F" w:rsidRPr="003258BE">
        <w:rPr>
          <w:rFonts w:ascii="Times New Roman" w:hAnsi="Times New Roman" w:cs="Times New Roman"/>
          <w:sz w:val="20"/>
          <w:szCs w:val="20"/>
        </w:rPr>
        <w:t xml:space="preserve"> natural rubbers also functioned as compatibilizers. They improved the filler dispersion, rubber - filler interaction and crosslink density of calcium carbonate filled natural rubber compounds.</w:t>
      </w:r>
      <w:r>
        <w:rPr>
          <w:rFonts w:ascii="Times New Roman" w:hAnsi="Times New Roman" w:cs="Times New Roman"/>
          <w:sz w:val="20"/>
          <w:szCs w:val="20"/>
        </w:rPr>
        <w:t xml:space="preserve"> </w:t>
      </w:r>
      <w:r w:rsidR="0096055F" w:rsidRPr="003258BE">
        <w:rPr>
          <w:rFonts w:ascii="Times New Roman" w:hAnsi="Times New Roman" w:cs="Times New Roman"/>
          <w:sz w:val="20"/>
          <w:szCs w:val="20"/>
        </w:rPr>
        <w:t xml:space="preserve">The higher the loading of </w:t>
      </w:r>
      <w:r w:rsidRPr="003258BE">
        <w:rPr>
          <w:rFonts w:ascii="Times New Roman" w:hAnsi="Times New Roman" w:cs="Times New Roman"/>
          <w:sz w:val="20"/>
          <w:szCs w:val="20"/>
        </w:rPr>
        <w:t>epoxidized</w:t>
      </w:r>
      <w:r w:rsidR="0096055F" w:rsidRPr="003258BE">
        <w:rPr>
          <w:rFonts w:ascii="Times New Roman" w:hAnsi="Times New Roman" w:cs="Times New Roman"/>
          <w:sz w:val="20"/>
          <w:szCs w:val="20"/>
        </w:rPr>
        <w:t xml:space="preserve"> natural rubber in the calcium carbonate filled natural rubber compounds; the more pronounced were the curative and compatibilization effects.</w:t>
      </w:r>
      <w:r>
        <w:rPr>
          <w:rFonts w:ascii="Times New Roman" w:hAnsi="Times New Roman" w:cs="Times New Roman"/>
          <w:sz w:val="20"/>
          <w:szCs w:val="20"/>
        </w:rPr>
        <w:t xml:space="preserve"> </w:t>
      </w:r>
      <w:r w:rsidR="0096055F" w:rsidRPr="003258BE">
        <w:rPr>
          <w:rFonts w:ascii="Times New Roman" w:hAnsi="Times New Roman" w:cs="Times New Roman"/>
          <w:sz w:val="20"/>
          <w:szCs w:val="20"/>
        </w:rPr>
        <w:t>At a similar loading, the curative and compatibilization effects of epoxidi</w:t>
      </w:r>
      <w:r>
        <w:rPr>
          <w:rFonts w:ascii="Times New Roman" w:hAnsi="Times New Roman" w:cs="Times New Roman"/>
          <w:sz w:val="20"/>
          <w:szCs w:val="20"/>
        </w:rPr>
        <w:t>z</w:t>
      </w:r>
      <w:r w:rsidR="0096055F" w:rsidRPr="003258BE">
        <w:rPr>
          <w:rFonts w:ascii="Times New Roman" w:hAnsi="Times New Roman" w:cs="Times New Roman"/>
          <w:sz w:val="20"/>
          <w:szCs w:val="20"/>
        </w:rPr>
        <w:t>ed natural rubber with 50 mol epoxidation were higher than those of epoxidi</w:t>
      </w:r>
      <w:r>
        <w:rPr>
          <w:rFonts w:ascii="Times New Roman" w:hAnsi="Times New Roman" w:cs="Times New Roman"/>
          <w:sz w:val="20"/>
          <w:szCs w:val="20"/>
        </w:rPr>
        <w:t>z</w:t>
      </w:r>
      <w:r w:rsidR="0096055F" w:rsidRPr="003258BE">
        <w:rPr>
          <w:rFonts w:ascii="Times New Roman" w:hAnsi="Times New Roman" w:cs="Times New Roman"/>
          <w:sz w:val="20"/>
          <w:szCs w:val="20"/>
        </w:rPr>
        <w:t>ed natural rubber with 25 mol epoxidation.</w:t>
      </w:r>
      <w:r w:rsidR="0096055F" w:rsidRPr="003258BE">
        <w:rPr>
          <w:rFonts w:ascii="Times New Roman" w:hAnsi="Times New Roman" w:cs="Times New Roman"/>
          <w:sz w:val="20"/>
          <w:szCs w:val="20"/>
          <w:lang w:val="en-US"/>
        </w:rPr>
        <w:t xml:space="preserve"> </w:t>
      </w:r>
    </w:p>
    <w:p w14:paraId="10656F4A" w14:textId="77777777" w:rsidR="00524AFF" w:rsidRPr="00F52B56" w:rsidRDefault="00524AFF" w:rsidP="007A3C0F">
      <w:pPr>
        <w:spacing w:after="0" w:line="240" w:lineRule="auto"/>
        <w:jc w:val="both"/>
        <w:rPr>
          <w:rFonts w:ascii="Times New Roman" w:hAnsi="Times New Roman" w:cs="Times New Roman"/>
          <w:sz w:val="20"/>
          <w:szCs w:val="20"/>
          <w:lang w:val="en-US"/>
        </w:rPr>
      </w:pPr>
    </w:p>
    <w:p w14:paraId="10CD6784" w14:textId="60EE47B0" w:rsidR="00524AFF" w:rsidRPr="00F52B56" w:rsidRDefault="007A3C0F" w:rsidP="007A3C0F">
      <w:pPr>
        <w:spacing w:after="0" w:line="240" w:lineRule="auto"/>
        <w:jc w:val="center"/>
        <w:rPr>
          <w:rFonts w:ascii="Times New Roman" w:hAnsi="Times New Roman" w:cs="Times New Roman"/>
          <w:b/>
          <w:bCs/>
          <w:sz w:val="20"/>
          <w:szCs w:val="20"/>
        </w:rPr>
      </w:pPr>
      <w:r w:rsidRPr="00F52B56">
        <w:rPr>
          <w:rFonts w:ascii="Times New Roman" w:hAnsi="Times New Roman" w:cs="Times New Roman"/>
          <w:b/>
          <w:bCs/>
          <w:sz w:val="20"/>
          <w:szCs w:val="20"/>
        </w:rPr>
        <w:t>Acknowledgement</w:t>
      </w:r>
    </w:p>
    <w:p w14:paraId="3308EFF2" w14:textId="77777777" w:rsidR="00524AFF" w:rsidRPr="00F52B56" w:rsidRDefault="0096055F" w:rsidP="007A3C0F">
      <w:pPr>
        <w:spacing w:after="0" w:line="240" w:lineRule="auto"/>
        <w:jc w:val="both"/>
        <w:rPr>
          <w:rFonts w:ascii="Times New Roman" w:eastAsia="Times New Roman" w:hAnsi="Times New Roman" w:cs="Times New Roman"/>
          <w:sz w:val="20"/>
          <w:szCs w:val="20"/>
          <w:lang w:val="en-US" w:eastAsia="id-ID"/>
        </w:rPr>
      </w:pPr>
      <w:r w:rsidRPr="00F52B56">
        <w:rPr>
          <w:rFonts w:ascii="Times New Roman" w:hAnsi="Times New Roman" w:cs="Times New Roman"/>
          <w:sz w:val="20"/>
          <w:szCs w:val="20"/>
        </w:rPr>
        <w:t xml:space="preserve">The authors would like to thank </w:t>
      </w:r>
      <w:r w:rsidRPr="00F52B56">
        <w:rPr>
          <w:rFonts w:ascii="Times New Roman" w:hAnsi="Times New Roman" w:cs="Times New Roman"/>
          <w:sz w:val="20"/>
          <w:szCs w:val="20"/>
          <w:lang w:val="en-US"/>
        </w:rPr>
        <w:t xml:space="preserve">the </w:t>
      </w:r>
      <w:r w:rsidRPr="00F52B56">
        <w:rPr>
          <w:rFonts w:ascii="Times New Roman" w:eastAsia="Times New Roman" w:hAnsi="Times New Roman" w:cs="Times New Roman"/>
          <w:bCs/>
          <w:sz w:val="20"/>
          <w:szCs w:val="20"/>
          <w:lang w:eastAsia="id-ID"/>
        </w:rPr>
        <w:t xml:space="preserve">Directorate General of Higher Education Ministry of Education </w:t>
      </w:r>
      <w:r w:rsidRPr="00F52B56">
        <w:rPr>
          <w:rFonts w:ascii="Times New Roman" w:eastAsia="Times New Roman" w:hAnsi="Times New Roman" w:cs="Times New Roman"/>
          <w:bCs/>
          <w:sz w:val="20"/>
          <w:szCs w:val="20"/>
          <w:lang w:val="en-US" w:eastAsia="id-ID"/>
        </w:rPr>
        <w:t xml:space="preserve">and Culture </w:t>
      </w:r>
      <w:r w:rsidRPr="00F52B56">
        <w:rPr>
          <w:rFonts w:ascii="Times New Roman" w:eastAsia="Times New Roman" w:hAnsi="Times New Roman" w:cs="Times New Roman"/>
          <w:bCs/>
          <w:sz w:val="20"/>
          <w:szCs w:val="20"/>
          <w:lang w:eastAsia="id-ID"/>
        </w:rPr>
        <w:t>of Republic Indonesia</w:t>
      </w:r>
      <w:r w:rsidRPr="00F52B56">
        <w:rPr>
          <w:rFonts w:ascii="Times New Roman" w:eastAsia="Times New Roman" w:hAnsi="Times New Roman" w:cs="Times New Roman"/>
          <w:bCs/>
          <w:sz w:val="20"/>
          <w:szCs w:val="20"/>
          <w:lang w:val="en-US" w:eastAsia="id-ID"/>
        </w:rPr>
        <w:t xml:space="preserve"> for a research grant (</w:t>
      </w:r>
      <w:proofErr w:type="spellStart"/>
      <w:r w:rsidRPr="00F52B56">
        <w:rPr>
          <w:rFonts w:ascii="Times New Roman" w:eastAsia="Times New Roman" w:hAnsi="Times New Roman" w:cs="Times New Roman"/>
          <w:bCs/>
          <w:sz w:val="20"/>
          <w:szCs w:val="20"/>
          <w:lang w:val="en-US" w:eastAsia="id-ID"/>
        </w:rPr>
        <w:t>Penelitian</w:t>
      </w:r>
      <w:proofErr w:type="spellEnd"/>
      <w:r w:rsidRPr="00F52B56">
        <w:rPr>
          <w:rFonts w:ascii="Times New Roman" w:eastAsia="Times New Roman" w:hAnsi="Times New Roman" w:cs="Times New Roman"/>
          <w:bCs/>
          <w:sz w:val="20"/>
          <w:szCs w:val="20"/>
          <w:lang w:val="en-US" w:eastAsia="id-ID"/>
        </w:rPr>
        <w:t xml:space="preserve"> Fundamental,</w:t>
      </w:r>
      <w:r w:rsidRPr="00F52B56">
        <w:rPr>
          <w:rFonts w:ascii="Times New Roman" w:hAnsi="Times New Roman" w:cs="Times New Roman"/>
          <w:sz w:val="20"/>
          <w:szCs w:val="20"/>
          <w:lang w:val="en-US"/>
        </w:rPr>
        <w:t xml:space="preserve"> 1608/UN5.</w:t>
      </w:r>
      <w:proofErr w:type="gramStart"/>
      <w:r w:rsidRPr="00F52B56">
        <w:rPr>
          <w:rFonts w:ascii="Times New Roman" w:hAnsi="Times New Roman" w:cs="Times New Roman"/>
          <w:sz w:val="20"/>
          <w:szCs w:val="20"/>
          <w:lang w:val="en-US"/>
        </w:rPr>
        <w:t>1.R</w:t>
      </w:r>
      <w:proofErr w:type="gramEnd"/>
      <w:r w:rsidRPr="00F52B56">
        <w:rPr>
          <w:rFonts w:ascii="Times New Roman" w:hAnsi="Times New Roman" w:cs="Times New Roman"/>
          <w:sz w:val="20"/>
          <w:szCs w:val="20"/>
          <w:lang w:val="en-US"/>
        </w:rPr>
        <w:t xml:space="preserve">/KEU/2012) and </w:t>
      </w:r>
      <w:r w:rsidRPr="00F52B56">
        <w:rPr>
          <w:rFonts w:ascii="Times New Roman" w:hAnsi="Times New Roman" w:cs="Times New Roman"/>
          <w:sz w:val="20"/>
          <w:szCs w:val="20"/>
        </w:rPr>
        <w:t xml:space="preserve">Universiti </w:t>
      </w:r>
      <w:proofErr w:type="spellStart"/>
      <w:r w:rsidRPr="00F52B56">
        <w:rPr>
          <w:rFonts w:ascii="Times New Roman" w:hAnsi="Times New Roman" w:cs="Times New Roman"/>
          <w:sz w:val="20"/>
          <w:szCs w:val="20"/>
        </w:rPr>
        <w:t>Sains</w:t>
      </w:r>
      <w:proofErr w:type="spellEnd"/>
      <w:r w:rsidRPr="00F52B56">
        <w:rPr>
          <w:rFonts w:ascii="Times New Roman" w:hAnsi="Times New Roman" w:cs="Times New Roman"/>
          <w:sz w:val="20"/>
          <w:szCs w:val="20"/>
        </w:rPr>
        <w:t xml:space="preserve"> Malaysia for providing the materials and research facilities.</w:t>
      </w:r>
    </w:p>
    <w:p w14:paraId="78E9EB35" w14:textId="77777777" w:rsidR="00524AFF" w:rsidRPr="00F52B56" w:rsidRDefault="00524AFF" w:rsidP="007A3C0F">
      <w:pPr>
        <w:tabs>
          <w:tab w:val="left" w:pos="426"/>
        </w:tabs>
        <w:spacing w:after="0" w:line="240" w:lineRule="auto"/>
        <w:jc w:val="both"/>
        <w:rPr>
          <w:rFonts w:ascii="Times New Roman" w:hAnsi="Times New Roman" w:cs="Times New Roman"/>
          <w:b/>
          <w:sz w:val="20"/>
          <w:szCs w:val="20"/>
          <w:lang w:val="sl-SI"/>
        </w:rPr>
      </w:pPr>
    </w:p>
    <w:p w14:paraId="079B60A5" w14:textId="77777777" w:rsidR="003C3185" w:rsidRPr="00F52B56" w:rsidRDefault="003C3185" w:rsidP="007A3C0F">
      <w:pPr>
        <w:tabs>
          <w:tab w:val="left" w:pos="426"/>
        </w:tabs>
        <w:spacing w:after="0" w:line="240" w:lineRule="auto"/>
        <w:jc w:val="both"/>
        <w:rPr>
          <w:rFonts w:ascii="Times New Roman" w:hAnsi="Times New Roman" w:cs="Times New Roman"/>
          <w:b/>
          <w:sz w:val="20"/>
          <w:szCs w:val="20"/>
          <w:lang w:val="sl-SI"/>
        </w:rPr>
      </w:pPr>
    </w:p>
    <w:p w14:paraId="7DD9885D" w14:textId="696ADDF5" w:rsidR="00524AFF" w:rsidRDefault="007A3C0F" w:rsidP="007A3C0F">
      <w:pPr>
        <w:tabs>
          <w:tab w:val="left" w:pos="284"/>
        </w:tabs>
        <w:spacing w:after="0" w:line="240" w:lineRule="auto"/>
        <w:jc w:val="center"/>
        <w:rPr>
          <w:rFonts w:ascii="Times New Roman" w:hAnsi="Times New Roman" w:cs="Times New Roman"/>
          <w:b/>
          <w:sz w:val="20"/>
          <w:szCs w:val="20"/>
          <w:lang w:val="en-US"/>
        </w:rPr>
      </w:pPr>
      <w:r w:rsidRPr="00F52B56">
        <w:rPr>
          <w:rFonts w:ascii="Times New Roman" w:hAnsi="Times New Roman" w:cs="Times New Roman"/>
          <w:b/>
          <w:sz w:val="20"/>
          <w:szCs w:val="20"/>
          <w:lang w:val="en-US"/>
        </w:rPr>
        <w:t>References</w:t>
      </w:r>
    </w:p>
    <w:p w14:paraId="43D1E78E" w14:textId="77777777" w:rsidR="00067CC3" w:rsidRPr="00F52B56" w:rsidRDefault="00067CC3" w:rsidP="007A3C0F">
      <w:pPr>
        <w:tabs>
          <w:tab w:val="left" w:pos="284"/>
        </w:tabs>
        <w:spacing w:after="0" w:line="240" w:lineRule="auto"/>
        <w:jc w:val="center"/>
        <w:rPr>
          <w:rFonts w:ascii="Times New Roman" w:hAnsi="Times New Roman" w:cs="Times New Roman"/>
          <w:b/>
          <w:sz w:val="20"/>
          <w:szCs w:val="20"/>
          <w:lang w:val="en-US"/>
        </w:rPr>
      </w:pPr>
      <w:bookmarkStart w:id="0" w:name="_GoBack"/>
      <w:bookmarkEnd w:id="0"/>
    </w:p>
    <w:p w14:paraId="5A9041FD" w14:textId="77777777" w:rsidR="006E0FEA" w:rsidRDefault="006A7D93" w:rsidP="006E0FEA">
      <w:pPr>
        <w:pStyle w:val="ListParagraph"/>
        <w:numPr>
          <w:ilvl w:val="0"/>
          <w:numId w:val="24"/>
        </w:numPr>
        <w:spacing w:after="0" w:line="240" w:lineRule="auto"/>
        <w:ind w:hanging="720"/>
        <w:jc w:val="both"/>
        <w:rPr>
          <w:rFonts w:ascii="Times New Roman" w:hAnsi="Times New Roman" w:cs="Times New Roman"/>
          <w:noProof/>
          <w:sz w:val="20"/>
          <w:szCs w:val="20"/>
          <w:lang w:val="en-US"/>
        </w:rPr>
      </w:pPr>
      <w:r w:rsidRPr="006E0FEA">
        <w:rPr>
          <w:rFonts w:ascii="Times New Roman" w:hAnsi="Times New Roman" w:cs="Times New Roman"/>
          <w:noProof/>
          <w:sz w:val="20"/>
          <w:szCs w:val="20"/>
          <w:lang w:val="en-US"/>
        </w:rPr>
        <w:t xml:space="preserve">Surya, I., Ismail, H. and Azura, A. (2013). Alkanolamide as an accelerator, filler-dispersant and a plasticizer in silica-filled natural rubber compounds. </w:t>
      </w:r>
      <w:r w:rsidRPr="006E0FEA">
        <w:rPr>
          <w:rFonts w:ascii="Times New Roman" w:hAnsi="Times New Roman" w:cs="Times New Roman"/>
          <w:i/>
          <w:noProof/>
          <w:sz w:val="20"/>
          <w:szCs w:val="20"/>
          <w:lang w:val="en-US"/>
        </w:rPr>
        <w:t>Polymer Testing</w:t>
      </w:r>
      <w:r w:rsidRPr="006E0FEA">
        <w:rPr>
          <w:rFonts w:ascii="Times New Roman" w:hAnsi="Times New Roman" w:cs="Times New Roman"/>
          <w:noProof/>
          <w:sz w:val="20"/>
          <w:szCs w:val="20"/>
          <w:lang w:val="en-US"/>
        </w:rPr>
        <w:t>, 32(8): 1313-1321.</w:t>
      </w:r>
    </w:p>
    <w:p w14:paraId="39EDB9C2" w14:textId="77777777" w:rsidR="006E0FEA" w:rsidRDefault="006A7D93" w:rsidP="006E0FEA">
      <w:pPr>
        <w:pStyle w:val="ListParagraph"/>
        <w:numPr>
          <w:ilvl w:val="0"/>
          <w:numId w:val="24"/>
        </w:numPr>
        <w:spacing w:after="0" w:line="240" w:lineRule="auto"/>
        <w:ind w:hanging="720"/>
        <w:jc w:val="both"/>
        <w:rPr>
          <w:rFonts w:ascii="Times New Roman" w:hAnsi="Times New Roman" w:cs="Times New Roman"/>
          <w:noProof/>
          <w:sz w:val="20"/>
          <w:szCs w:val="20"/>
          <w:lang w:val="en-US"/>
        </w:rPr>
      </w:pPr>
      <w:r w:rsidRPr="006E0FEA">
        <w:rPr>
          <w:rFonts w:ascii="Times New Roman" w:hAnsi="Times New Roman" w:cs="Times New Roman"/>
          <w:noProof/>
          <w:sz w:val="20"/>
          <w:szCs w:val="20"/>
          <w:lang w:val="en-US"/>
        </w:rPr>
        <w:t xml:space="preserve">Fetterman, M. Q. (1984). The unique properties of precipitated silica in the design of high performance rubber. </w:t>
      </w:r>
      <w:r w:rsidRPr="006E0FEA">
        <w:rPr>
          <w:rFonts w:ascii="Times New Roman" w:hAnsi="Times New Roman" w:cs="Times New Roman"/>
          <w:i/>
          <w:noProof/>
          <w:sz w:val="20"/>
          <w:szCs w:val="20"/>
          <w:lang w:val="en-US"/>
        </w:rPr>
        <w:t>Elastomerics</w:t>
      </w:r>
      <w:r w:rsidRPr="006E0FEA">
        <w:rPr>
          <w:rFonts w:ascii="Times New Roman" w:hAnsi="Times New Roman" w:cs="Times New Roman"/>
          <w:noProof/>
          <w:sz w:val="20"/>
          <w:szCs w:val="20"/>
          <w:lang w:val="en-US"/>
        </w:rPr>
        <w:t>, 116(9): 18-31.</w:t>
      </w:r>
    </w:p>
    <w:p w14:paraId="5E3B426C" w14:textId="77777777" w:rsidR="006E0FEA" w:rsidRDefault="006A7D93" w:rsidP="006E0FEA">
      <w:pPr>
        <w:pStyle w:val="ListParagraph"/>
        <w:numPr>
          <w:ilvl w:val="0"/>
          <w:numId w:val="24"/>
        </w:numPr>
        <w:spacing w:after="0" w:line="240" w:lineRule="auto"/>
        <w:ind w:hanging="720"/>
        <w:jc w:val="both"/>
        <w:rPr>
          <w:rFonts w:ascii="Times New Roman" w:hAnsi="Times New Roman" w:cs="Times New Roman"/>
          <w:noProof/>
          <w:sz w:val="20"/>
          <w:szCs w:val="20"/>
          <w:lang w:val="en-US"/>
        </w:rPr>
      </w:pPr>
      <w:r w:rsidRPr="006E0FEA">
        <w:rPr>
          <w:rFonts w:ascii="Times New Roman" w:hAnsi="Times New Roman" w:cs="Times New Roman"/>
          <w:noProof/>
          <w:sz w:val="20"/>
          <w:szCs w:val="20"/>
          <w:lang w:val="en-US"/>
        </w:rPr>
        <w:t xml:space="preserve">Ranney, M. and Pagano, C. (1971). Silane coupling agent effects in ethylene propylene diene terpolymers. </w:t>
      </w:r>
      <w:r w:rsidRPr="006E0FEA">
        <w:rPr>
          <w:rFonts w:ascii="Times New Roman" w:hAnsi="Times New Roman" w:cs="Times New Roman"/>
          <w:i/>
          <w:noProof/>
          <w:sz w:val="20"/>
          <w:szCs w:val="20"/>
          <w:lang w:val="en-US"/>
        </w:rPr>
        <w:t xml:space="preserve">Rubber </w:t>
      </w:r>
      <w:r w:rsidR="00FD3E74" w:rsidRPr="006E0FEA">
        <w:rPr>
          <w:rFonts w:ascii="Times New Roman" w:hAnsi="Times New Roman" w:cs="Times New Roman"/>
          <w:i/>
          <w:noProof/>
          <w:sz w:val="20"/>
          <w:szCs w:val="20"/>
          <w:lang w:val="en-US"/>
        </w:rPr>
        <w:t>C</w:t>
      </w:r>
      <w:r w:rsidRPr="006E0FEA">
        <w:rPr>
          <w:rFonts w:ascii="Times New Roman" w:hAnsi="Times New Roman" w:cs="Times New Roman"/>
          <w:i/>
          <w:noProof/>
          <w:sz w:val="20"/>
          <w:szCs w:val="20"/>
          <w:lang w:val="en-US"/>
        </w:rPr>
        <w:t>hemistry and Technology</w:t>
      </w:r>
      <w:r w:rsidRPr="006E0FEA">
        <w:rPr>
          <w:rFonts w:ascii="Times New Roman" w:hAnsi="Times New Roman" w:cs="Times New Roman"/>
          <w:noProof/>
          <w:sz w:val="20"/>
          <w:szCs w:val="20"/>
          <w:lang w:val="en-US"/>
        </w:rPr>
        <w:t>, 44(4): 1080-1092.</w:t>
      </w:r>
    </w:p>
    <w:p w14:paraId="5E2F83DC" w14:textId="77777777" w:rsidR="006E0FEA" w:rsidRDefault="00FD3E74" w:rsidP="006E0FEA">
      <w:pPr>
        <w:pStyle w:val="ListParagraph"/>
        <w:numPr>
          <w:ilvl w:val="0"/>
          <w:numId w:val="24"/>
        </w:numPr>
        <w:spacing w:after="0" w:line="240" w:lineRule="auto"/>
        <w:ind w:hanging="720"/>
        <w:jc w:val="both"/>
        <w:rPr>
          <w:rFonts w:ascii="Times New Roman" w:hAnsi="Times New Roman" w:cs="Times New Roman"/>
          <w:noProof/>
          <w:sz w:val="20"/>
          <w:szCs w:val="20"/>
          <w:lang w:val="en-US"/>
        </w:rPr>
      </w:pPr>
      <w:r w:rsidRPr="006E0FEA">
        <w:rPr>
          <w:rFonts w:ascii="Times New Roman" w:hAnsi="Times New Roman" w:cs="Times New Roman"/>
          <w:noProof/>
          <w:sz w:val="20"/>
          <w:szCs w:val="20"/>
          <w:lang w:val="en-US"/>
        </w:rPr>
        <w:t xml:space="preserve">Ismail, H. and Chia, H. (1998). The effects of multifunctional additive and epoxidation in silica filled natural rubber compounds. </w:t>
      </w:r>
      <w:r w:rsidRPr="006E0FEA">
        <w:rPr>
          <w:rFonts w:ascii="Times New Roman" w:hAnsi="Times New Roman" w:cs="Times New Roman"/>
          <w:i/>
          <w:noProof/>
          <w:sz w:val="20"/>
          <w:szCs w:val="20"/>
          <w:lang w:val="en-US"/>
        </w:rPr>
        <w:t>Polymer Testing</w:t>
      </w:r>
      <w:r w:rsidRPr="006E0FEA">
        <w:rPr>
          <w:rFonts w:ascii="Times New Roman" w:hAnsi="Times New Roman" w:cs="Times New Roman"/>
          <w:noProof/>
          <w:sz w:val="20"/>
          <w:szCs w:val="20"/>
          <w:lang w:val="en-US"/>
        </w:rPr>
        <w:t>, 17(3): 199-210.</w:t>
      </w:r>
    </w:p>
    <w:p w14:paraId="7E423791" w14:textId="77777777" w:rsidR="006E0FEA" w:rsidRDefault="00FD3E74" w:rsidP="006E0FEA">
      <w:pPr>
        <w:pStyle w:val="ListParagraph"/>
        <w:numPr>
          <w:ilvl w:val="0"/>
          <w:numId w:val="24"/>
        </w:numPr>
        <w:spacing w:after="0" w:line="240" w:lineRule="auto"/>
        <w:ind w:hanging="720"/>
        <w:jc w:val="both"/>
        <w:rPr>
          <w:rFonts w:ascii="Times New Roman" w:hAnsi="Times New Roman" w:cs="Times New Roman"/>
          <w:noProof/>
          <w:sz w:val="20"/>
          <w:szCs w:val="20"/>
          <w:lang w:val="en-US"/>
        </w:rPr>
      </w:pPr>
      <w:r w:rsidRPr="006E0FEA">
        <w:rPr>
          <w:rFonts w:ascii="Times New Roman" w:hAnsi="Times New Roman" w:cs="Times New Roman"/>
          <w:noProof/>
          <w:sz w:val="20"/>
          <w:szCs w:val="20"/>
          <w:lang w:val="en-US"/>
        </w:rPr>
        <w:t xml:space="preserve">Ismail, H. and Suzaimah, S. (2000). Styrene butadiene rubber/epoxidized natural rubber blends: </w:t>
      </w:r>
      <w:r w:rsidR="006E0FEA">
        <w:rPr>
          <w:rFonts w:ascii="Times New Roman" w:hAnsi="Times New Roman" w:cs="Times New Roman"/>
          <w:noProof/>
          <w:sz w:val="20"/>
          <w:szCs w:val="20"/>
          <w:lang w:val="en-US"/>
        </w:rPr>
        <w:t>D</w:t>
      </w:r>
      <w:r w:rsidRPr="006E0FEA">
        <w:rPr>
          <w:rFonts w:ascii="Times New Roman" w:hAnsi="Times New Roman" w:cs="Times New Roman"/>
          <w:noProof/>
          <w:sz w:val="20"/>
          <w:szCs w:val="20"/>
          <w:lang w:val="en-US"/>
        </w:rPr>
        <w:t xml:space="preserve">ynamic properties, curing characteristics and swelling studies. </w:t>
      </w:r>
      <w:r w:rsidRPr="006E0FEA">
        <w:rPr>
          <w:rFonts w:ascii="Times New Roman" w:hAnsi="Times New Roman" w:cs="Times New Roman"/>
          <w:i/>
          <w:noProof/>
          <w:sz w:val="20"/>
          <w:szCs w:val="20"/>
          <w:lang w:val="en-US"/>
        </w:rPr>
        <w:t>Polymer Testing</w:t>
      </w:r>
      <w:r w:rsidRPr="006E0FEA">
        <w:rPr>
          <w:rFonts w:ascii="Times New Roman" w:hAnsi="Times New Roman" w:cs="Times New Roman"/>
          <w:noProof/>
          <w:sz w:val="20"/>
          <w:szCs w:val="20"/>
          <w:lang w:val="en-US"/>
        </w:rPr>
        <w:t>, 19</w:t>
      </w:r>
      <w:r w:rsidR="002566BE" w:rsidRPr="006E0FEA">
        <w:rPr>
          <w:rFonts w:ascii="Times New Roman" w:hAnsi="Times New Roman" w:cs="Times New Roman"/>
          <w:noProof/>
          <w:sz w:val="20"/>
          <w:szCs w:val="20"/>
          <w:lang w:val="en-US"/>
        </w:rPr>
        <w:t xml:space="preserve"> </w:t>
      </w:r>
      <w:r w:rsidRPr="006E0FEA">
        <w:rPr>
          <w:rFonts w:ascii="Times New Roman" w:hAnsi="Times New Roman" w:cs="Times New Roman"/>
          <w:noProof/>
          <w:sz w:val="20"/>
          <w:szCs w:val="20"/>
          <w:lang w:val="en-US"/>
        </w:rPr>
        <w:t>(8): 879</w:t>
      </w:r>
      <w:r w:rsidR="009275AC" w:rsidRPr="006E0FEA">
        <w:rPr>
          <w:rFonts w:ascii="Times New Roman" w:hAnsi="Times New Roman" w:cs="Times New Roman"/>
          <w:noProof/>
          <w:sz w:val="20"/>
          <w:szCs w:val="20"/>
          <w:lang w:val="en-US"/>
        </w:rPr>
        <w:t xml:space="preserve"> </w:t>
      </w:r>
      <w:r w:rsidRPr="006E0FEA">
        <w:rPr>
          <w:rFonts w:ascii="Times New Roman" w:hAnsi="Times New Roman" w:cs="Times New Roman"/>
          <w:noProof/>
          <w:sz w:val="20"/>
          <w:szCs w:val="20"/>
          <w:lang w:val="en-US"/>
        </w:rPr>
        <w:t>-</w:t>
      </w:r>
      <w:r w:rsidR="009275AC" w:rsidRPr="006E0FEA">
        <w:rPr>
          <w:rFonts w:ascii="Times New Roman" w:hAnsi="Times New Roman" w:cs="Times New Roman"/>
          <w:noProof/>
          <w:sz w:val="20"/>
          <w:szCs w:val="20"/>
          <w:lang w:val="en-US"/>
        </w:rPr>
        <w:t xml:space="preserve"> </w:t>
      </w:r>
      <w:r w:rsidRPr="006E0FEA">
        <w:rPr>
          <w:rFonts w:ascii="Times New Roman" w:hAnsi="Times New Roman" w:cs="Times New Roman"/>
          <w:noProof/>
          <w:sz w:val="20"/>
          <w:szCs w:val="20"/>
          <w:lang w:val="en-US"/>
        </w:rPr>
        <w:t>888.</w:t>
      </w:r>
    </w:p>
    <w:p w14:paraId="520960AF" w14:textId="77777777" w:rsidR="006E0FEA" w:rsidRDefault="00FD3E74" w:rsidP="006E0FEA">
      <w:pPr>
        <w:pStyle w:val="ListParagraph"/>
        <w:numPr>
          <w:ilvl w:val="0"/>
          <w:numId w:val="24"/>
        </w:numPr>
        <w:spacing w:after="0" w:line="240" w:lineRule="auto"/>
        <w:ind w:hanging="720"/>
        <w:jc w:val="both"/>
        <w:rPr>
          <w:rFonts w:ascii="Times New Roman" w:hAnsi="Times New Roman" w:cs="Times New Roman"/>
          <w:noProof/>
          <w:sz w:val="20"/>
          <w:szCs w:val="20"/>
          <w:lang w:val="en-US"/>
        </w:rPr>
      </w:pPr>
      <w:r w:rsidRPr="006E0FEA">
        <w:rPr>
          <w:rFonts w:ascii="Times New Roman" w:hAnsi="Times New Roman" w:cs="Times New Roman"/>
          <w:noProof/>
          <w:sz w:val="20"/>
          <w:szCs w:val="20"/>
          <w:lang w:val="en-US"/>
        </w:rPr>
        <w:t xml:space="preserve">Baker, C., Gelling, I. and Newell, R. (1985). Epoxidized natural rubber. </w:t>
      </w:r>
      <w:r w:rsidRPr="006E0FEA">
        <w:rPr>
          <w:rFonts w:ascii="Times New Roman" w:hAnsi="Times New Roman" w:cs="Times New Roman"/>
          <w:i/>
          <w:noProof/>
          <w:sz w:val="20"/>
          <w:szCs w:val="20"/>
          <w:lang w:val="en-US"/>
        </w:rPr>
        <w:t>Rubber Chemistry and Technology</w:t>
      </w:r>
      <w:r w:rsidRPr="006E0FEA">
        <w:rPr>
          <w:rFonts w:ascii="Times New Roman" w:hAnsi="Times New Roman" w:cs="Times New Roman"/>
          <w:noProof/>
          <w:sz w:val="20"/>
          <w:szCs w:val="20"/>
          <w:lang w:val="en-US"/>
        </w:rPr>
        <w:t>, 58(1): 67-85.</w:t>
      </w:r>
    </w:p>
    <w:p w14:paraId="04417075" w14:textId="77777777" w:rsidR="006E0FEA" w:rsidRDefault="00FD3E74" w:rsidP="006E0FEA">
      <w:pPr>
        <w:pStyle w:val="ListParagraph"/>
        <w:numPr>
          <w:ilvl w:val="0"/>
          <w:numId w:val="24"/>
        </w:numPr>
        <w:spacing w:after="0" w:line="240" w:lineRule="auto"/>
        <w:ind w:hanging="720"/>
        <w:jc w:val="both"/>
        <w:rPr>
          <w:rFonts w:ascii="Times New Roman" w:hAnsi="Times New Roman" w:cs="Times New Roman"/>
          <w:noProof/>
          <w:sz w:val="20"/>
          <w:szCs w:val="20"/>
          <w:lang w:val="en-US"/>
        </w:rPr>
      </w:pPr>
      <w:r w:rsidRPr="006E0FEA">
        <w:rPr>
          <w:rFonts w:ascii="Times New Roman" w:hAnsi="Times New Roman" w:cs="Times New Roman"/>
          <w:noProof/>
          <w:sz w:val="20"/>
          <w:szCs w:val="20"/>
          <w:lang w:val="en-US"/>
        </w:rPr>
        <w:t>Flory, P. J. and Rehner</w:t>
      </w:r>
      <w:r w:rsidR="006E0FEA">
        <w:rPr>
          <w:rFonts w:ascii="Times New Roman" w:hAnsi="Times New Roman" w:cs="Times New Roman"/>
          <w:noProof/>
          <w:sz w:val="20"/>
          <w:szCs w:val="20"/>
          <w:lang w:val="en-US"/>
        </w:rPr>
        <w:t xml:space="preserve"> </w:t>
      </w:r>
      <w:r w:rsidRPr="006E0FEA">
        <w:rPr>
          <w:rFonts w:ascii="Times New Roman" w:hAnsi="Times New Roman" w:cs="Times New Roman"/>
          <w:noProof/>
          <w:sz w:val="20"/>
          <w:szCs w:val="20"/>
          <w:lang w:val="en-US"/>
        </w:rPr>
        <w:t>Jr</w:t>
      </w:r>
      <w:r w:rsidR="006E0FEA">
        <w:rPr>
          <w:rFonts w:ascii="Times New Roman" w:hAnsi="Times New Roman" w:cs="Times New Roman"/>
          <w:noProof/>
          <w:sz w:val="20"/>
          <w:szCs w:val="20"/>
          <w:lang w:val="en-US"/>
        </w:rPr>
        <w:t>.,</w:t>
      </w:r>
      <w:r w:rsidRPr="006E0FEA">
        <w:rPr>
          <w:rFonts w:ascii="Times New Roman" w:hAnsi="Times New Roman" w:cs="Times New Roman"/>
          <w:noProof/>
          <w:sz w:val="20"/>
          <w:szCs w:val="20"/>
          <w:lang w:val="en-US"/>
        </w:rPr>
        <w:t xml:space="preserve"> J. (1943). Statistical mechanics of crosslinked polymer networks II. Swelling. </w:t>
      </w:r>
      <w:r w:rsidRPr="006E0FEA">
        <w:rPr>
          <w:rFonts w:ascii="Times New Roman" w:hAnsi="Times New Roman" w:cs="Times New Roman"/>
          <w:i/>
          <w:noProof/>
          <w:sz w:val="20"/>
          <w:szCs w:val="20"/>
          <w:lang w:val="en-US"/>
        </w:rPr>
        <w:t>Journal of Chemical Physics</w:t>
      </w:r>
      <w:r w:rsidRPr="006E0FEA">
        <w:rPr>
          <w:rFonts w:ascii="Times New Roman" w:hAnsi="Times New Roman" w:cs="Times New Roman"/>
          <w:noProof/>
          <w:sz w:val="20"/>
          <w:szCs w:val="20"/>
          <w:lang w:val="en-US"/>
        </w:rPr>
        <w:t>, 11: 521</w:t>
      </w:r>
      <w:r w:rsidR="009275AC" w:rsidRPr="006E0FEA">
        <w:rPr>
          <w:rFonts w:ascii="Times New Roman" w:hAnsi="Times New Roman" w:cs="Times New Roman"/>
          <w:noProof/>
          <w:sz w:val="20"/>
          <w:szCs w:val="20"/>
          <w:lang w:val="en-US"/>
        </w:rPr>
        <w:t>-526</w:t>
      </w:r>
      <w:r w:rsidRPr="006E0FEA">
        <w:rPr>
          <w:rFonts w:ascii="Times New Roman" w:hAnsi="Times New Roman" w:cs="Times New Roman"/>
          <w:noProof/>
          <w:sz w:val="20"/>
          <w:szCs w:val="20"/>
          <w:lang w:val="en-US"/>
        </w:rPr>
        <w:t>.</w:t>
      </w:r>
    </w:p>
    <w:p w14:paraId="02897E15" w14:textId="77777777" w:rsidR="006E0FEA" w:rsidRDefault="009275AC" w:rsidP="006E0FEA">
      <w:pPr>
        <w:pStyle w:val="ListParagraph"/>
        <w:numPr>
          <w:ilvl w:val="0"/>
          <w:numId w:val="24"/>
        </w:numPr>
        <w:spacing w:after="0" w:line="240" w:lineRule="auto"/>
        <w:ind w:hanging="720"/>
        <w:jc w:val="both"/>
        <w:rPr>
          <w:rFonts w:ascii="Times New Roman" w:hAnsi="Times New Roman" w:cs="Times New Roman"/>
          <w:noProof/>
          <w:sz w:val="20"/>
          <w:szCs w:val="20"/>
          <w:lang w:val="en-US"/>
        </w:rPr>
      </w:pPr>
      <w:r w:rsidRPr="006E0FEA">
        <w:rPr>
          <w:rFonts w:ascii="Times New Roman" w:hAnsi="Times New Roman" w:cs="Times New Roman"/>
          <w:noProof/>
          <w:sz w:val="20"/>
          <w:szCs w:val="20"/>
          <w:lang w:val="en-US"/>
        </w:rPr>
        <w:t xml:space="preserve">Surya, I. and Ismail, H. (2016). The effect of the addition of alkanolamide on properties of carbon black-filled natural rubber (SMR-L) compounds cured using various curing systems. </w:t>
      </w:r>
      <w:r w:rsidRPr="006E0FEA">
        <w:rPr>
          <w:rFonts w:ascii="Times New Roman" w:hAnsi="Times New Roman" w:cs="Times New Roman"/>
          <w:i/>
          <w:noProof/>
          <w:sz w:val="20"/>
          <w:szCs w:val="20"/>
          <w:lang w:val="en-US"/>
        </w:rPr>
        <w:t>Polymer Testing</w:t>
      </w:r>
      <w:r w:rsidRPr="006E0FEA">
        <w:rPr>
          <w:rFonts w:ascii="Times New Roman" w:hAnsi="Times New Roman" w:cs="Times New Roman"/>
          <w:noProof/>
          <w:sz w:val="20"/>
          <w:szCs w:val="20"/>
          <w:lang w:val="en-US"/>
        </w:rPr>
        <w:t>, 50: 276-282.</w:t>
      </w:r>
    </w:p>
    <w:p w14:paraId="4236AC8E" w14:textId="77777777" w:rsidR="006E0FEA" w:rsidRDefault="002566BE" w:rsidP="006E0FEA">
      <w:pPr>
        <w:pStyle w:val="ListParagraph"/>
        <w:numPr>
          <w:ilvl w:val="0"/>
          <w:numId w:val="24"/>
        </w:numPr>
        <w:spacing w:after="0" w:line="240" w:lineRule="auto"/>
        <w:ind w:hanging="720"/>
        <w:jc w:val="both"/>
        <w:rPr>
          <w:rFonts w:ascii="Times New Roman" w:hAnsi="Times New Roman" w:cs="Times New Roman"/>
          <w:noProof/>
          <w:sz w:val="20"/>
          <w:szCs w:val="20"/>
          <w:lang w:val="en-US"/>
        </w:rPr>
      </w:pPr>
      <w:r w:rsidRPr="006E0FEA">
        <w:rPr>
          <w:rFonts w:ascii="Times New Roman" w:hAnsi="Times New Roman" w:cs="Times New Roman"/>
          <w:noProof/>
          <w:sz w:val="20"/>
          <w:szCs w:val="20"/>
          <w:lang w:val="en-US"/>
        </w:rPr>
        <w:t xml:space="preserve">Lorenz, O. and Parks, C. (1961). The crosslinking efficiency of some vulcanizing agents in natural rubber. </w:t>
      </w:r>
      <w:r w:rsidRPr="006E0FEA">
        <w:rPr>
          <w:rFonts w:ascii="Times New Roman" w:hAnsi="Times New Roman" w:cs="Times New Roman"/>
          <w:i/>
          <w:noProof/>
          <w:sz w:val="20"/>
          <w:szCs w:val="20"/>
          <w:lang w:val="en-US"/>
        </w:rPr>
        <w:t>Journal of Polymer Science</w:t>
      </w:r>
      <w:r w:rsidRPr="006E0FEA">
        <w:rPr>
          <w:rFonts w:ascii="Times New Roman" w:hAnsi="Times New Roman" w:cs="Times New Roman"/>
          <w:noProof/>
          <w:sz w:val="20"/>
          <w:szCs w:val="20"/>
          <w:lang w:val="en-US"/>
        </w:rPr>
        <w:t>, 50(154): 299-312.</w:t>
      </w:r>
    </w:p>
    <w:p w14:paraId="57557C48" w14:textId="77777777" w:rsidR="006E0FEA" w:rsidRDefault="002566BE" w:rsidP="006E0FEA">
      <w:pPr>
        <w:pStyle w:val="ListParagraph"/>
        <w:numPr>
          <w:ilvl w:val="0"/>
          <w:numId w:val="24"/>
        </w:numPr>
        <w:spacing w:after="0" w:line="240" w:lineRule="auto"/>
        <w:ind w:hanging="720"/>
        <w:jc w:val="both"/>
        <w:rPr>
          <w:rFonts w:ascii="Times New Roman" w:hAnsi="Times New Roman" w:cs="Times New Roman"/>
          <w:noProof/>
          <w:sz w:val="20"/>
          <w:szCs w:val="20"/>
          <w:lang w:val="en-US"/>
        </w:rPr>
      </w:pPr>
      <w:r w:rsidRPr="006E0FEA">
        <w:rPr>
          <w:rFonts w:ascii="Times New Roman" w:hAnsi="Times New Roman" w:cs="Times New Roman"/>
          <w:noProof/>
          <w:sz w:val="20"/>
          <w:szCs w:val="20"/>
          <w:lang w:val="en-US"/>
        </w:rPr>
        <w:t xml:space="preserve">Ismail, H., Shaari, S. and Othman, N. (2011). The effect of chitosan loading on the curing characteristics, mechanical and morphological properties of chitosan-filled natural rubber (NR), epoxidised natural rubber (ENR) and styrene-butadiene rubber (SBR) compounds. </w:t>
      </w:r>
      <w:r w:rsidRPr="006E0FEA">
        <w:rPr>
          <w:rFonts w:ascii="Times New Roman" w:hAnsi="Times New Roman" w:cs="Times New Roman"/>
          <w:i/>
          <w:noProof/>
          <w:sz w:val="20"/>
          <w:szCs w:val="20"/>
          <w:lang w:val="en-US"/>
        </w:rPr>
        <w:t>Polymer Testing</w:t>
      </w:r>
      <w:r w:rsidRPr="006E0FEA">
        <w:rPr>
          <w:rFonts w:ascii="Times New Roman" w:hAnsi="Times New Roman" w:cs="Times New Roman"/>
          <w:noProof/>
          <w:sz w:val="20"/>
          <w:szCs w:val="20"/>
          <w:lang w:val="en-US"/>
        </w:rPr>
        <w:t>, 30(7): 784-790.</w:t>
      </w:r>
    </w:p>
    <w:p w14:paraId="0CA1808D" w14:textId="77777777" w:rsidR="006E0FEA" w:rsidRDefault="002566BE" w:rsidP="006E0FEA">
      <w:pPr>
        <w:pStyle w:val="ListParagraph"/>
        <w:numPr>
          <w:ilvl w:val="0"/>
          <w:numId w:val="24"/>
        </w:numPr>
        <w:spacing w:after="0" w:line="240" w:lineRule="auto"/>
        <w:ind w:hanging="720"/>
        <w:jc w:val="both"/>
        <w:rPr>
          <w:rFonts w:ascii="Times New Roman" w:hAnsi="Times New Roman" w:cs="Times New Roman"/>
          <w:noProof/>
          <w:sz w:val="20"/>
          <w:szCs w:val="20"/>
          <w:lang w:val="en-US"/>
        </w:rPr>
      </w:pPr>
      <w:r w:rsidRPr="006E0FEA">
        <w:rPr>
          <w:rFonts w:ascii="Times New Roman" w:hAnsi="Times New Roman" w:cs="Times New Roman"/>
          <w:noProof/>
          <w:sz w:val="20"/>
          <w:szCs w:val="20"/>
          <w:lang w:val="en-US"/>
        </w:rPr>
        <w:t xml:space="preserve">Rodgers, B. (2004). </w:t>
      </w:r>
      <w:r w:rsidRPr="006E0FEA">
        <w:rPr>
          <w:rFonts w:ascii="Times New Roman" w:hAnsi="Times New Roman" w:cs="Times New Roman"/>
          <w:i/>
          <w:noProof/>
          <w:sz w:val="20"/>
          <w:szCs w:val="20"/>
          <w:lang w:val="en-US"/>
        </w:rPr>
        <w:t xml:space="preserve">Rubber </w:t>
      </w:r>
      <w:r w:rsidR="006E0FEA" w:rsidRPr="006E0FEA">
        <w:rPr>
          <w:rFonts w:ascii="Times New Roman" w:hAnsi="Times New Roman" w:cs="Times New Roman"/>
          <w:noProof/>
          <w:sz w:val="20"/>
          <w:szCs w:val="20"/>
          <w:lang w:val="en-US"/>
        </w:rPr>
        <w:t xml:space="preserve">compounding: </w:t>
      </w:r>
      <w:r w:rsidR="006E0FEA">
        <w:rPr>
          <w:rFonts w:ascii="Times New Roman" w:hAnsi="Times New Roman" w:cs="Times New Roman"/>
          <w:noProof/>
          <w:sz w:val="20"/>
          <w:szCs w:val="20"/>
          <w:lang w:val="en-US"/>
        </w:rPr>
        <w:t>C</w:t>
      </w:r>
      <w:r w:rsidR="006E0FEA" w:rsidRPr="006E0FEA">
        <w:rPr>
          <w:rFonts w:ascii="Times New Roman" w:hAnsi="Times New Roman" w:cs="Times New Roman"/>
          <w:noProof/>
          <w:sz w:val="20"/>
          <w:szCs w:val="20"/>
          <w:lang w:val="en-US"/>
        </w:rPr>
        <w:t xml:space="preserve">hemistry and applications: </w:t>
      </w:r>
      <w:r w:rsidRPr="006E0FEA">
        <w:rPr>
          <w:rFonts w:ascii="Times New Roman" w:hAnsi="Times New Roman" w:cs="Times New Roman"/>
          <w:noProof/>
          <w:sz w:val="20"/>
          <w:szCs w:val="20"/>
          <w:lang w:val="en-US"/>
        </w:rPr>
        <w:t>CRC</w:t>
      </w:r>
      <w:r w:rsidR="00F205CA" w:rsidRPr="006E0FEA">
        <w:rPr>
          <w:rFonts w:ascii="Times New Roman" w:hAnsi="Times New Roman" w:cs="Times New Roman"/>
          <w:noProof/>
          <w:sz w:val="20"/>
          <w:szCs w:val="20"/>
          <w:lang w:val="en-US"/>
        </w:rPr>
        <w:t xml:space="preserve"> Press</w:t>
      </w:r>
      <w:r w:rsidRPr="006E0FEA">
        <w:rPr>
          <w:rFonts w:ascii="Times New Roman" w:hAnsi="Times New Roman" w:cs="Times New Roman"/>
          <w:noProof/>
          <w:sz w:val="20"/>
          <w:szCs w:val="20"/>
          <w:lang w:val="en-US"/>
        </w:rPr>
        <w:t>.</w:t>
      </w:r>
    </w:p>
    <w:p w14:paraId="03A09525" w14:textId="77777777" w:rsidR="006E0FEA" w:rsidRDefault="00F205CA" w:rsidP="006E0FEA">
      <w:pPr>
        <w:pStyle w:val="ListParagraph"/>
        <w:numPr>
          <w:ilvl w:val="0"/>
          <w:numId w:val="24"/>
        </w:numPr>
        <w:spacing w:after="0" w:line="240" w:lineRule="auto"/>
        <w:ind w:hanging="720"/>
        <w:jc w:val="both"/>
        <w:rPr>
          <w:rFonts w:ascii="Times New Roman" w:hAnsi="Times New Roman" w:cs="Times New Roman"/>
          <w:noProof/>
          <w:sz w:val="20"/>
          <w:szCs w:val="20"/>
          <w:lang w:val="en-US"/>
        </w:rPr>
      </w:pPr>
      <w:r w:rsidRPr="006E0FEA">
        <w:rPr>
          <w:rFonts w:ascii="Times New Roman" w:hAnsi="Times New Roman" w:cs="Times New Roman"/>
          <w:noProof/>
          <w:sz w:val="20"/>
          <w:szCs w:val="20"/>
          <w:lang w:val="en-US"/>
        </w:rPr>
        <w:t xml:space="preserve">Poh, B., Ismail, H., Quah, E. and Chin, P. (2001). Cure and mechanical properties of filled SMR L/ENR 25 and SMR L/SBR blends. </w:t>
      </w:r>
      <w:r w:rsidRPr="006E0FEA">
        <w:rPr>
          <w:rFonts w:ascii="Times New Roman" w:hAnsi="Times New Roman" w:cs="Times New Roman"/>
          <w:i/>
          <w:noProof/>
          <w:sz w:val="20"/>
          <w:szCs w:val="20"/>
          <w:lang w:val="en-US"/>
        </w:rPr>
        <w:t>Journal of Applied Polymer Science</w:t>
      </w:r>
      <w:r w:rsidRPr="006E0FEA">
        <w:rPr>
          <w:rFonts w:ascii="Times New Roman" w:hAnsi="Times New Roman" w:cs="Times New Roman"/>
          <w:noProof/>
          <w:sz w:val="20"/>
          <w:szCs w:val="20"/>
          <w:lang w:val="en-US"/>
        </w:rPr>
        <w:t>, 81(1): 47-52.</w:t>
      </w:r>
    </w:p>
    <w:p w14:paraId="4906AC29" w14:textId="77777777" w:rsidR="006E0FEA" w:rsidRDefault="00F205CA" w:rsidP="006E0FEA">
      <w:pPr>
        <w:pStyle w:val="ListParagraph"/>
        <w:numPr>
          <w:ilvl w:val="0"/>
          <w:numId w:val="24"/>
        </w:numPr>
        <w:spacing w:after="0" w:line="240" w:lineRule="auto"/>
        <w:ind w:hanging="720"/>
        <w:jc w:val="both"/>
        <w:rPr>
          <w:rFonts w:ascii="Times New Roman" w:hAnsi="Times New Roman" w:cs="Times New Roman"/>
          <w:noProof/>
          <w:sz w:val="20"/>
          <w:szCs w:val="20"/>
          <w:lang w:val="en-US"/>
        </w:rPr>
      </w:pPr>
      <w:r w:rsidRPr="006E0FEA">
        <w:rPr>
          <w:rFonts w:ascii="Times New Roman" w:hAnsi="Times New Roman" w:cs="Times New Roman"/>
          <w:noProof/>
          <w:sz w:val="20"/>
          <w:szCs w:val="20"/>
          <w:lang w:val="en-US"/>
        </w:rPr>
        <w:t xml:space="preserve">Manna, A. K., De, P., Tripathy, D., De, S. and Peiffer, D. G. (1999). Bonding between precipitated silica and epoxidized natural rubber in the presence of silane coupling agent. </w:t>
      </w:r>
      <w:r w:rsidRPr="006E0FEA">
        <w:rPr>
          <w:rFonts w:ascii="Times New Roman" w:hAnsi="Times New Roman" w:cs="Times New Roman"/>
          <w:i/>
          <w:noProof/>
          <w:sz w:val="20"/>
          <w:szCs w:val="20"/>
          <w:lang w:val="en-US"/>
        </w:rPr>
        <w:t>Journal of Applied Polymer Science</w:t>
      </w:r>
      <w:r w:rsidRPr="006E0FEA">
        <w:rPr>
          <w:rFonts w:ascii="Times New Roman" w:hAnsi="Times New Roman" w:cs="Times New Roman"/>
          <w:noProof/>
          <w:sz w:val="20"/>
          <w:szCs w:val="20"/>
          <w:lang w:val="en-US"/>
        </w:rPr>
        <w:t>, 74(2): 389-398.</w:t>
      </w:r>
    </w:p>
    <w:p w14:paraId="592076E5" w14:textId="77777777" w:rsidR="006E0FEA" w:rsidRDefault="00F205CA" w:rsidP="006E0FEA">
      <w:pPr>
        <w:pStyle w:val="ListParagraph"/>
        <w:numPr>
          <w:ilvl w:val="0"/>
          <w:numId w:val="24"/>
        </w:numPr>
        <w:spacing w:after="0" w:line="240" w:lineRule="auto"/>
        <w:ind w:hanging="720"/>
        <w:jc w:val="both"/>
        <w:rPr>
          <w:rFonts w:ascii="Times New Roman" w:hAnsi="Times New Roman" w:cs="Times New Roman"/>
          <w:noProof/>
          <w:sz w:val="20"/>
          <w:szCs w:val="20"/>
          <w:lang w:val="en-US"/>
        </w:rPr>
      </w:pPr>
      <w:r w:rsidRPr="006E0FEA">
        <w:rPr>
          <w:rFonts w:ascii="Times New Roman" w:hAnsi="Times New Roman" w:cs="Times New Roman"/>
          <w:noProof/>
          <w:sz w:val="20"/>
          <w:szCs w:val="20"/>
          <w:lang w:val="en-US"/>
        </w:rPr>
        <w:t>Teh, P., Mohd Ishak, Z., H</w:t>
      </w:r>
      <w:r w:rsidR="00360EE2" w:rsidRPr="006E0FEA">
        <w:rPr>
          <w:rFonts w:ascii="Times New Roman" w:hAnsi="Times New Roman" w:cs="Times New Roman"/>
          <w:noProof/>
          <w:sz w:val="20"/>
          <w:szCs w:val="20"/>
          <w:lang w:val="en-US"/>
        </w:rPr>
        <w:t xml:space="preserve">ashim, A., Karger-Kocsis, J. and </w:t>
      </w:r>
      <w:r w:rsidRPr="006E0FEA">
        <w:rPr>
          <w:rFonts w:ascii="Times New Roman" w:hAnsi="Times New Roman" w:cs="Times New Roman"/>
          <w:noProof/>
          <w:sz w:val="20"/>
          <w:szCs w:val="20"/>
          <w:lang w:val="en-US"/>
        </w:rPr>
        <w:t xml:space="preserve">Ishiaku, U. (2004). Effects of epoxidized natural rubber as a compatibilizer in melt compounded natural rubber–organoclay nanocomposites. </w:t>
      </w:r>
      <w:r w:rsidRPr="006E0FEA">
        <w:rPr>
          <w:rFonts w:ascii="Times New Roman" w:hAnsi="Times New Roman" w:cs="Times New Roman"/>
          <w:i/>
          <w:noProof/>
          <w:sz w:val="20"/>
          <w:szCs w:val="20"/>
          <w:lang w:val="en-US"/>
        </w:rPr>
        <w:t xml:space="preserve">European </w:t>
      </w:r>
      <w:r w:rsidR="00360EE2" w:rsidRPr="006E0FEA">
        <w:rPr>
          <w:rFonts w:ascii="Times New Roman" w:hAnsi="Times New Roman" w:cs="Times New Roman"/>
          <w:i/>
          <w:noProof/>
          <w:sz w:val="20"/>
          <w:szCs w:val="20"/>
          <w:lang w:val="en-US"/>
        </w:rPr>
        <w:t>P</w:t>
      </w:r>
      <w:r w:rsidRPr="006E0FEA">
        <w:rPr>
          <w:rFonts w:ascii="Times New Roman" w:hAnsi="Times New Roman" w:cs="Times New Roman"/>
          <w:i/>
          <w:noProof/>
          <w:sz w:val="20"/>
          <w:szCs w:val="20"/>
          <w:lang w:val="en-US"/>
        </w:rPr>
        <w:t xml:space="preserve">olymer </w:t>
      </w:r>
      <w:r w:rsidR="00360EE2" w:rsidRPr="006E0FEA">
        <w:rPr>
          <w:rFonts w:ascii="Times New Roman" w:hAnsi="Times New Roman" w:cs="Times New Roman"/>
          <w:i/>
          <w:noProof/>
          <w:sz w:val="20"/>
          <w:szCs w:val="20"/>
          <w:lang w:val="en-US"/>
        </w:rPr>
        <w:t>J</w:t>
      </w:r>
      <w:r w:rsidRPr="006E0FEA">
        <w:rPr>
          <w:rFonts w:ascii="Times New Roman" w:hAnsi="Times New Roman" w:cs="Times New Roman"/>
          <w:i/>
          <w:noProof/>
          <w:sz w:val="20"/>
          <w:szCs w:val="20"/>
          <w:lang w:val="en-US"/>
        </w:rPr>
        <w:t>ournal</w:t>
      </w:r>
      <w:r w:rsidRPr="006E0FEA">
        <w:rPr>
          <w:rFonts w:ascii="Times New Roman" w:hAnsi="Times New Roman" w:cs="Times New Roman"/>
          <w:noProof/>
          <w:sz w:val="20"/>
          <w:szCs w:val="20"/>
          <w:lang w:val="en-US"/>
        </w:rPr>
        <w:t>, 40(11)</w:t>
      </w:r>
      <w:r w:rsidR="00360EE2" w:rsidRPr="006E0FEA">
        <w:rPr>
          <w:rFonts w:ascii="Times New Roman" w:hAnsi="Times New Roman" w:cs="Times New Roman"/>
          <w:noProof/>
          <w:sz w:val="20"/>
          <w:szCs w:val="20"/>
          <w:lang w:val="en-US"/>
        </w:rPr>
        <w:t>:</w:t>
      </w:r>
      <w:r w:rsidRPr="006E0FEA">
        <w:rPr>
          <w:rFonts w:ascii="Times New Roman" w:hAnsi="Times New Roman" w:cs="Times New Roman"/>
          <w:noProof/>
          <w:sz w:val="20"/>
          <w:szCs w:val="20"/>
          <w:lang w:val="en-US"/>
        </w:rPr>
        <w:t xml:space="preserve"> 2513-2521.</w:t>
      </w:r>
    </w:p>
    <w:p w14:paraId="7F05344F" w14:textId="77777777" w:rsidR="006E0FEA" w:rsidRDefault="00360EE2" w:rsidP="006E0FEA">
      <w:pPr>
        <w:pStyle w:val="ListParagraph"/>
        <w:numPr>
          <w:ilvl w:val="0"/>
          <w:numId w:val="24"/>
        </w:numPr>
        <w:spacing w:after="0" w:line="240" w:lineRule="auto"/>
        <w:ind w:hanging="720"/>
        <w:jc w:val="both"/>
        <w:rPr>
          <w:rFonts w:ascii="Times New Roman" w:hAnsi="Times New Roman" w:cs="Times New Roman"/>
          <w:noProof/>
          <w:sz w:val="20"/>
          <w:szCs w:val="20"/>
          <w:lang w:val="en-US"/>
        </w:rPr>
      </w:pPr>
      <w:r w:rsidRPr="006E0FEA">
        <w:rPr>
          <w:rFonts w:ascii="Times New Roman" w:hAnsi="Times New Roman" w:cs="Times New Roman"/>
          <w:noProof/>
          <w:sz w:val="20"/>
          <w:szCs w:val="20"/>
          <w:lang w:val="en-US"/>
        </w:rPr>
        <w:t xml:space="preserve">Ramesan, M., Mathew, G., Kuriakose, B. and Alex, R. (2001). Role of dichlorocarbene modified styrene butadiene rubber in compatibilisation of styrene butadiene rubber and chloroprene rubber blends. </w:t>
      </w:r>
      <w:r w:rsidRPr="006E0FEA">
        <w:rPr>
          <w:rFonts w:ascii="Times New Roman" w:hAnsi="Times New Roman" w:cs="Times New Roman"/>
          <w:i/>
          <w:noProof/>
          <w:sz w:val="20"/>
          <w:szCs w:val="20"/>
          <w:lang w:val="en-US"/>
        </w:rPr>
        <w:t>European Polymer Journal</w:t>
      </w:r>
      <w:r w:rsidRPr="006E0FEA">
        <w:rPr>
          <w:rFonts w:ascii="Times New Roman" w:hAnsi="Times New Roman" w:cs="Times New Roman"/>
          <w:noProof/>
          <w:sz w:val="20"/>
          <w:szCs w:val="20"/>
          <w:lang w:val="en-US"/>
        </w:rPr>
        <w:t>, 37(4): 719-728.</w:t>
      </w:r>
    </w:p>
    <w:p w14:paraId="3E9E69F6" w14:textId="77777777" w:rsidR="006E0FEA" w:rsidRDefault="00360EE2" w:rsidP="006E0FEA">
      <w:pPr>
        <w:pStyle w:val="ListParagraph"/>
        <w:numPr>
          <w:ilvl w:val="0"/>
          <w:numId w:val="24"/>
        </w:numPr>
        <w:spacing w:after="0" w:line="240" w:lineRule="auto"/>
        <w:ind w:hanging="720"/>
        <w:jc w:val="both"/>
        <w:rPr>
          <w:rFonts w:ascii="Times New Roman" w:hAnsi="Times New Roman" w:cs="Times New Roman"/>
          <w:noProof/>
          <w:sz w:val="20"/>
          <w:szCs w:val="20"/>
          <w:lang w:val="en-US"/>
        </w:rPr>
      </w:pPr>
      <w:r w:rsidRPr="006E0FEA">
        <w:rPr>
          <w:rFonts w:ascii="Times New Roman" w:hAnsi="Times New Roman" w:cs="Times New Roman"/>
          <w:noProof/>
          <w:sz w:val="20"/>
          <w:szCs w:val="20"/>
          <w:lang w:val="en-US"/>
        </w:rPr>
        <w:t xml:space="preserve">Surya, I. and Ismail, H. (2016). Alkanolamide as a novel accelerator and vulcanising agent in carbon black-filled polychloroprene rubber compounds. </w:t>
      </w:r>
      <w:r w:rsidRPr="006E0FEA">
        <w:rPr>
          <w:rFonts w:ascii="Times New Roman" w:hAnsi="Times New Roman" w:cs="Times New Roman"/>
          <w:i/>
          <w:noProof/>
          <w:sz w:val="20"/>
          <w:szCs w:val="20"/>
          <w:lang w:val="en-US"/>
        </w:rPr>
        <w:t>Plastics, Rubber and Composites</w:t>
      </w:r>
      <w:r w:rsidRPr="006E0FEA">
        <w:rPr>
          <w:rFonts w:ascii="Times New Roman" w:hAnsi="Times New Roman" w:cs="Times New Roman"/>
          <w:noProof/>
          <w:sz w:val="20"/>
          <w:szCs w:val="20"/>
          <w:lang w:val="en-US"/>
        </w:rPr>
        <w:t>, 45(7): 287-293</w:t>
      </w:r>
      <w:r w:rsidR="006E0FEA">
        <w:rPr>
          <w:rFonts w:ascii="Times New Roman" w:hAnsi="Times New Roman" w:cs="Times New Roman"/>
          <w:noProof/>
          <w:sz w:val="20"/>
          <w:szCs w:val="20"/>
          <w:lang w:val="en-US"/>
        </w:rPr>
        <w:t>.</w:t>
      </w:r>
    </w:p>
    <w:p w14:paraId="1A239EFB" w14:textId="2A1AD137" w:rsidR="00360EE2" w:rsidRPr="006E0FEA" w:rsidRDefault="00360EE2" w:rsidP="006E0FEA">
      <w:pPr>
        <w:pStyle w:val="ListParagraph"/>
        <w:numPr>
          <w:ilvl w:val="0"/>
          <w:numId w:val="24"/>
        </w:numPr>
        <w:spacing w:after="0" w:line="240" w:lineRule="auto"/>
        <w:ind w:hanging="720"/>
        <w:jc w:val="both"/>
        <w:rPr>
          <w:rFonts w:ascii="Times New Roman" w:hAnsi="Times New Roman" w:cs="Times New Roman"/>
          <w:noProof/>
          <w:sz w:val="20"/>
          <w:szCs w:val="20"/>
          <w:lang w:val="en-US"/>
        </w:rPr>
      </w:pPr>
      <w:r w:rsidRPr="006E0FEA">
        <w:rPr>
          <w:rFonts w:ascii="Times New Roman" w:hAnsi="Times New Roman" w:cs="Times New Roman"/>
          <w:noProof/>
          <w:sz w:val="20"/>
          <w:szCs w:val="20"/>
          <w:lang w:val="en-US"/>
        </w:rPr>
        <w:t xml:space="preserve">Polmanteer, K. and Lentz, C. (1975). Reinforcement studies-effect of silica structure on properties and crosslink density. </w:t>
      </w:r>
      <w:r w:rsidRPr="006E0FEA">
        <w:rPr>
          <w:rFonts w:ascii="Times New Roman" w:hAnsi="Times New Roman" w:cs="Times New Roman"/>
          <w:i/>
          <w:noProof/>
          <w:sz w:val="20"/>
          <w:szCs w:val="20"/>
          <w:lang w:val="en-US"/>
        </w:rPr>
        <w:t>Rubber Chemistry and Technology</w:t>
      </w:r>
      <w:r w:rsidRPr="006E0FEA">
        <w:rPr>
          <w:rFonts w:ascii="Times New Roman" w:hAnsi="Times New Roman" w:cs="Times New Roman"/>
          <w:noProof/>
          <w:sz w:val="20"/>
          <w:szCs w:val="20"/>
          <w:lang w:val="en-US"/>
        </w:rPr>
        <w:t>, 48(5): 795-809.</w:t>
      </w:r>
    </w:p>
    <w:p w14:paraId="07028705" w14:textId="6EFC0470" w:rsidR="00360EE2" w:rsidRPr="00F52B56" w:rsidRDefault="00360EE2" w:rsidP="006870B3">
      <w:pPr>
        <w:spacing w:after="0" w:line="240" w:lineRule="auto"/>
        <w:ind w:left="567" w:hanging="567"/>
        <w:jc w:val="both"/>
        <w:rPr>
          <w:rFonts w:ascii="Times New Roman" w:hAnsi="Times New Roman" w:cs="Times New Roman"/>
          <w:noProof/>
          <w:sz w:val="20"/>
          <w:szCs w:val="20"/>
          <w:lang w:val="en-US"/>
        </w:rPr>
      </w:pPr>
      <w:r w:rsidRPr="00F52B56">
        <w:rPr>
          <w:rFonts w:ascii="Times New Roman" w:hAnsi="Times New Roman" w:cs="Times New Roman"/>
          <w:noProof/>
          <w:sz w:val="20"/>
          <w:szCs w:val="20"/>
          <w:lang w:val="en-US"/>
        </w:rPr>
        <w:lastRenderedPageBreak/>
        <w:t xml:space="preserve">18. </w:t>
      </w:r>
      <w:r w:rsidR="003C3185" w:rsidRPr="00F52B56">
        <w:rPr>
          <w:rFonts w:ascii="Times New Roman" w:hAnsi="Times New Roman" w:cs="Times New Roman"/>
          <w:noProof/>
          <w:sz w:val="20"/>
          <w:szCs w:val="20"/>
          <w:lang w:val="en-US"/>
        </w:rPr>
        <w:tab/>
      </w:r>
      <w:r w:rsidRPr="00F52B56">
        <w:rPr>
          <w:rFonts w:ascii="Times New Roman" w:hAnsi="Times New Roman" w:cs="Times New Roman"/>
          <w:noProof/>
          <w:sz w:val="20"/>
          <w:szCs w:val="20"/>
          <w:lang w:val="en-US"/>
        </w:rPr>
        <w:t xml:space="preserve">Surya, I., Ismail, H. and </w:t>
      </w:r>
      <w:r w:rsidR="006870B3" w:rsidRPr="00F52B56">
        <w:rPr>
          <w:rFonts w:ascii="Times New Roman" w:hAnsi="Times New Roman" w:cs="Times New Roman"/>
          <w:noProof/>
          <w:sz w:val="20"/>
          <w:szCs w:val="20"/>
          <w:lang w:val="en-US"/>
        </w:rPr>
        <w:t>Azura, A. (2015</w:t>
      </w:r>
      <w:r w:rsidRPr="00F52B56">
        <w:rPr>
          <w:rFonts w:ascii="Times New Roman" w:hAnsi="Times New Roman" w:cs="Times New Roman"/>
          <w:noProof/>
          <w:sz w:val="20"/>
          <w:szCs w:val="20"/>
          <w:lang w:val="en-US"/>
        </w:rPr>
        <w:t xml:space="preserve">). The effect of alkanolamide loading on properties of carbon black-filled natural rubber (SMR-L), epoxidised natural rubber (ENR), and styrene-butadiene rubber (SBR) compounds. </w:t>
      </w:r>
      <w:r w:rsidRPr="00F52B56">
        <w:rPr>
          <w:rFonts w:ascii="Times New Roman" w:hAnsi="Times New Roman" w:cs="Times New Roman"/>
          <w:i/>
          <w:noProof/>
          <w:sz w:val="20"/>
          <w:szCs w:val="20"/>
          <w:lang w:val="en-US"/>
        </w:rPr>
        <w:t>Polymer Testing</w:t>
      </w:r>
      <w:r w:rsidRPr="00F52B56">
        <w:rPr>
          <w:rFonts w:ascii="Times New Roman" w:hAnsi="Times New Roman" w:cs="Times New Roman"/>
          <w:noProof/>
          <w:sz w:val="20"/>
          <w:szCs w:val="20"/>
          <w:lang w:val="en-US"/>
        </w:rPr>
        <w:t>, 42: 208-214.</w:t>
      </w:r>
    </w:p>
    <w:p w14:paraId="4CDDD412" w14:textId="090D0761" w:rsidR="006870B3" w:rsidRPr="00F52B56" w:rsidRDefault="006870B3" w:rsidP="006870B3">
      <w:pPr>
        <w:spacing w:after="0" w:line="240" w:lineRule="auto"/>
        <w:ind w:left="567" w:hanging="567"/>
        <w:jc w:val="both"/>
        <w:rPr>
          <w:rFonts w:ascii="Times New Roman" w:hAnsi="Times New Roman" w:cs="Times New Roman"/>
          <w:noProof/>
          <w:sz w:val="20"/>
          <w:szCs w:val="20"/>
          <w:lang w:val="en-US"/>
        </w:rPr>
      </w:pPr>
      <w:r w:rsidRPr="00F52B56">
        <w:rPr>
          <w:rFonts w:ascii="Times New Roman" w:hAnsi="Times New Roman" w:cs="Times New Roman"/>
          <w:sz w:val="20"/>
          <w:szCs w:val="20"/>
          <w:lang w:val="en-US"/>
        </w:rPr>
        <w:t xml:space="preserve">19. </w:t>
      </w:r>
      <w:r w:rsidR="003C3185" w:rsidRPr="00F52B56">
        <w:rPr>
          <w:rFonts w:ascii="Times New Roman" w:hAnsi="Times New Roman" w:cs="Times New Roman"/>
          <w:sz w:val="20"/>
          <w:szCs w:val="20"/>
          <w:lang w:val="en-US"/>
        </w:rPr>
        <w:tab/>
      </w:r>
      <w:r w:rsidRPr="00F52B56">
        <w:rPr>
          <w:rFonts w:ascii="Times New Roman" w:hAnsi="Times New Roman" w:cs="Times New Roman"/>
          <w:noProof/>
          <w:sz w:val="20"/>
          <w:szCs w:val="20"/>
          <w:lang w:val="en-US"/>
        </w:rPr>
        <w:t xml:space="preserve">Nunes, R., Fonseca, J. and Pereira, M. (2000). Polymer–filler interactions and mechanical properties of a polyurethane elastomer. </w:t>
      </w:r>
      <w:r w:rsidRPr="00F52B56">
        <w:rPr>
          <w:rFonts w:ascii="Times New Roman" w:hAnsi="Times New Roman" w:cs="Times New Roman"/>
          <w:i/>
          <w:noProof/>
          <w:sz w:val="20"/>
          <w:szCs w:val="20"/>
          <w:lang w:val="en-US"/>
        </w:rPr>
        <w:t>Polymer Testing</w:t>
      </w:r>
      <w:r w:rsidRPr="00F52B56">
        <w:rPr>
          <w:rFonts w:ascii="Times New Roman" w:hAnsi="Times New Roman" w:cs="Times New Roman"/>
          <w:noProof/>
          <w:sz w:val="20"/>
          <w:szCs w:val="20"/>
          <w:lang w:val="en-US"/>
        </w:rPr>
        <w:t>, 19(1): 93-103.</w:t>
      </w:r>
    </w:p>
    <w:p w14:paraId="604C0457" w14:textId="4B31B447" w:rsidR="00524AFF" w:rsidRPr="00F52B56" w:rsidRDefault="00524AFF" w:rsidP="006870B3">
      <w:pPr>
        <w:tabs>
          <w:tab w:val="left" w:pos="284"/>
        </w:tabs>
        <w:spacing w:after="0" w:line="240" w:lineRule="auto"/>
        <w:ind w:left="567" w:hanging="567"/>
        <w:jc w:val="both"/>
        <w:rPr>
          <w:rFonts w:ascii="Times New Roman" w:hAnsi="Times New Roman" w:cs="Times New Roman"/>
          <w:sz w:val="20"/>
          <w:szCs w:val="20"/>
          <w:lang w:val="en-US"/>
        </w:rPr>
      </w:pPr>
    </w:p>
    <w:sectPr w:rsidR="00524AFF" w:rsidRPr="00F52B56" w:rsidSect="00F52B56">
      <w:footerReference w:type="default" r:id="rId22"/>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2ABD04" w14:textId="77777777" w:rsidR="00181C06" w:rsidRDefault="00181C06">
      <w:pPr>
        <w:spacing w:after="0" w:line="240" w:lineRule="auto"/>
      </w:pPr>
      <w:r>
        <w:separator/>
      </w:r>
    </w:p>
  </w:endnote>
  <w:endnote w:type="continuationSeparator" w:id="0">
    <w:p w14:paraId="703E70C5" w14:textId="77777777" w:rsidR="00181C06" w:rsidRDefault="00181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7FAEE" w14:textId="195E8D40" w:rsidR="00524AFF" w:rsidRPr="005747AB" w:rsidRDefault="00524AFF">
    <w:pPr>
      <w:pStyle w:val="Footer"/>
      <w:jc w:val="center"/>
      <w:rPr>
        <w:rFonts w:ascii="Times New Roman" w:hAnsi="Times New Roman" w:cs="Times New Roman"/>
        <w:sz w:val="24"/>
        <w:szCs w:val="24"/>
      </w:rPr>
    </w:pPr>
  </w:p>
  <w:p w14:paraId="19023EA0" w14:textId="77777777" w:rsidR="00524AFF" w:rsidRDefault="00524A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EDD90B" w14:textId="77777777" w:rsidR="00181C06" w:rsidRDefault="00181C06">
      <w:pPr>
        <w:spacing w:after="0" w:line="240" w:lineRule="auto"/>
      </w:pPr>
      <w:r>
        <w:separator/>
      </w:r>
    </w:p>
  </w:footnote>
  <w:footnote w:type="continuationSeparator" w:id="0">
    <w:p w14:paraId="3354348D" w14:textId="77777777" w:rsidR="00181C06" w:rsidRDefault="00181C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243C1"/>
    <w:multiLevelType w:val="multilevel"/>
    <w:tmpl w:val="EB00FEC6"/>
    <w:lvl w:ilvl="0">
      <w:start w:val="2"/>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2F351FB"/>
    <w:multiLevelType w:val="hybridMultilevel"/>
    <w:tmpl w:val="9E6654C4"/>
    <w:lvl w:ilvl="0" w:tplc="5F40B78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15744E"/>
    <w:multiLevelType w:val="multilevel"/>
    <w:tmpl w:val="31EA29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7D22D9"/>
    <w:multiLevelType w:val="hybridMultilevel"/>
    <w:tmpl w:val="0EC27738"/>
    <w:lvl w:ilvl="0" w:tplc="5BCCF96E">
      <w:start w:val="1"/>
      <w:numFmt w:val="decimal"/>
      <w:lvlText w:val="%1."/>
      <w:lvlJc w:val="left"/>
      <w:pPr>
        <w:ind w:left="2160" w:hanging="360"/>
      </w:pPr>
      <w:rPr>
        <w:rFonts w:hint="default"/>
      </w:rPr>
    </w:lvl>
    <w:lvl w:ilvl="1" w:tplc="AC1E6B52" w:tentative="1">
      <w:start w:val="1"/>
      <w:numFmt w:val="lowerLetter"/>
      <w:lvlText w:val="%2."/>
      <w:lvlJc w:val="left"/>
      <w:pPr>
        <w:ind w:left="2880" w:hanging="360"/>
      </w:pPr>
    </w:lvl>
    <w:lvl w:ilvl="2" w:tplc="8544ED14" w:tentative="1">
      <w:start w:val="1"/>
      <w:numFmt w:val="lowerRoman"/>
      <w:lvlText w:val="%3."/>
      <w:lvlJc w:val="right"/>
      <w:pPr>
        <w:ind w:left="3600" w:hanging="180"/>
      </w:pPr>
    </w:lvl>
    <w:lvl w:ilvl="3" w:tplc="BDA26328" w:tentative="1">
      <w:start w:val="1"/>
      <w:numFmt w:val="decimal"/>
      <w:lvlText w:val="%4."/>
      <w:lvlJc w:val="left"/>
      <w:pPr>
        <w:ind w:left="4320" w:hanging="360"/>
      </w:pPr>
    </w:lvl>
    <w:lvl w:ilvl="4" w:tplc="50E6D6C0" w:tentative="1">
      <w:start w:val="1"/>
      <w:numFmt w:val="lowerLetter"/>
      <w:lvlText w:val="%5."/>
      <w:lvlJc w:val="left"/>
      <w:pPr>
        <w:ind w:left="5040" w:hanging="360"/>
      </w:pPr>
    </w:lvl>
    <w:lvl w:ilvl="5" w:tplc="3A66BD32" w:tentative="1">
      <w:start w:val="1"/>
      <w:numFmt w:val="lowerRoman"/>
      <w:lvlText w:val="%6."/>
      <w:lvlJc w:val="right"/>
      <w:pPr>
        <w:ind w:left="5760" w:hanging="180"/>
      </w:pPr>
    </w:lvl>
    <w:lvl w:ilvl="6" w:tplc="CE0C2FEE" w:tentative="1">
      <w:start w:val="1"/>
      <w:numFmt w:val="decimal"/>
      <w:lvlText w:val="%7."/>
      <w:lvlJc w:val="left"/>
      <w:pPr>
        <w:ind w:left="6480" w:hanging="360"/>
      </w:pPr>
    </w:lvl>
    <w:lvl w:ilvl="7" w:tplc="0AB8727E" w:tentative="1">
      <w:start w:val="1"/>
      <w:numFmt w:val="lowerLetter"/>
      <w:lvlText w:val="%8."/>
      <w:lvlJc w:val="left"/>
      <w:pPr>
        <w:ind w:left="7200" w:hanging="360"/>
      </w:pPr>
    </w:lvl>
    <w:lvl w:ilvl="8" w:tplc="A5C4F8E8" w:tentative="1">
      <w:start w:val="1"/>
      <w:numFmt w:val="lowerRoman"/>
      <w:lvlText w:val="%9."/>
      <w:lvlJc w:val="right"/>
      <w:pPr>
        <w:ind w:left="7920" w:hanging="180"/>
      </w:pPr>
    </w:lvl>
  </w:abstractNum>
  <w:abstractNum w:abstractNumId="4" w15:restartNumberingAfterBreak="0">
    <w:nsid w:val="0B0A4139"/>
    <w:multiLevelType w:val="hybridMultilevel"/>
    <w:tmpl w:val="F500B9EC"/>
    <w:lvl w:ilvl="0" w:tplc="04A8E98A">
      <w:start w:val="1"/>
      <w:numFmt w:val="bullet"/>
      <w:lvlText w:val="•"/>
      <w:lvlJc w:val="left"/>
      <w:pPr>
        <w:tabs>
          <w:tab w:val="num" w:pos="720"/>
        </w:tabs>
        <w:ind w:left="720" w:hanging="360"/>
      </w:pPr>
      <w:rPr>
        <w:rFonts w:ascii="Times New Roman" w:hAnsi="Times New Roman" w:hint="default"/>
      </w:rPr>
    </w:lvl>
    <w:lvl w:ilvl="1" w:tplc="02305702" w:tentative="1">
      <w:start w:val="1"/>
      <w:numFmt w:val="bullet"/>
      <w:lvlText w:val="•"/>
      <w:lvlJc w:val="left"/>
      <w:pPr>
        <w:tabs>
          <w:tab w:val="num" w:pos="1440"/>
        </w:tabs>
        <w:ind w:left="1440" w:hanging="360"/>
      </w:pPr>
      <w:rPr>
        <w:rFonts w:ascii="Times New Roman" w:hAnsi="Times New Roman" w:hint="default"/>
      </w:rPr>
    </w:lvl>
    <w:lvl w:ilvl="2" w:tplc="45646AA0" w:tentative="1">
      <w:start w:val="1"/>
      <w:numFmt w:val="bullet"/>
      <w:lvlText w:val="•"/>
      <w:lvlJc w:val="left"/>
      <w:pPr>
        <w:tabs>
          <w:tab w:val="num" w:pos="2160"/>
        </w:tabs>
        <w:ind w:left="2160" w:hanging="360"/>
      </w:pPr>
      <w:rPr>
        <w:rFonts w:ascii="Times New Roman" w:hAnsi="Times New Roman" w:hint="default"/>
      </w:rPr>
    </w:lvl>
    <w:lvl w:ilvl="3" w:tplc="D592C996" w:tentative="1">
      <w:start w:val="1"/>
      <w:numFmt w:val="bullet"/>
      <w:lvlText w:val="•"/>
      <w:lvlJc w:val="left"/>
      <w:pPr>
        <w:tabs>
          <w:tab w:val="num" w:pos="2880"/>
        </w:tabs>
        <w:ind w:left="2880" w:hanging="360"/>
      </w:pPr>
      <w:rPr>
        <w:rFonts w:ascii="Times New Roman" w:hAnsi="Times New Roman" w:hint="default"/>
      </w:rPr>
    </w:lvl>
    <w:lvl w:ilvl="4" w:tplc="1A8008D2" w:tentative="1">
      <w:start w:val="1"/>
      <w:numFmt w:val="bullet"/>
      <w:lvlText w:val="•"/>
      <w:lvlJc w:val="left"/>
      <w:pPr>
        <w:tabs>
          <w:tab w:val="num" w:pos="3600"/>
        </w:tabs>
        <w:ind w:left="3600" w:hanging="360"/>
      </w:pPr>
      <w:rPr>
        <w:rFonts w:ascii="Times New Roman" w:hAnsi="Times New Roman" w:hint="default"/>
      </w:rPr>
    </w:lvl>
    <w:lvl w:ilvl="5" w:tplc="E5382C9E" w:tentative="1">
      <w:start w:val="1"/>
      <w:numFmt w:val="bullet"/>
      <w:lvlText w:val="•"/>
      <w:lvlJc w:val="left"/>
      <w:pPr>
        <w:tabs>
          <w:tab w:val="num" w:pos="4320"/>
        </w:tabs>
        <w:ind w:left="4320" w:hanging="360"/>
      </w:pPr>
      <w:rPr>
        <w:rFonts w:ascii="Times New Roman" w:hAnsi="Times New Roman" w:hint="default"/>
      </w:rPr>
    </w:lvl>
    <w:lvl w:ilvl="6" w:tplc="FCF630DE" w:tentative="1">
      <w:start w:val="1"/>
      <w:numFmt w:val="bullet"/>
      <w:lvlText w:val="•"/>
      <w:lvlJc w:val="left"/>
      <w:pPr>
        <w:tabs>
          <w:tab w:val="num" w:pos="5040"/>
        </w:tabs>
        <w:ind w:left="5040" w:hanging="360"/>
      </w:pPr>
      <w:rPr>
        <w:rFonts w:ascii="Times New Roman" w:hAnsi="Times New Roman" w:hint="default"/>
      </w:rPr>
    </w:lvl>
    <w:lvl w:ilvl="7" w:tplc="19D44452" w:tentative="1">
      <w:start w:val="1"/>
      <w:numFmt w:val="bullet"/>
      <w:lvlText w:val="•"/>
      <w:lvlJc w:val="left"/>
      <w:pPr>
        <w:tabs>
          <w:tab w:val="num" w:pos="5760"/>
        </w:tabs>
        <w:ind w:left="5760" w:hanging="360"/>
      </w:pPr>
      <w:rPr>
        <w:rFonts w:ascii="Times New Roman" w:hAnsi="Times New Roman" w:hint="default"/>
      </w:rPr>
    </w:lvl>
    <w:lvl w:ilvl="8" w:tplc="87900F5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0123905"/>
    <w:multiLevelType w:val="hybridMultilevel"/>
    <w:tmpl w:val="0EE0F6AC"/>
    <w:lvl w:ilvl="0" w:tplc="36665262">
      <w:start w:val="1"/>
      <w:numFmt w:val="decimal"/>
      <w:lvlText w:val="%1."/>
      <w:lvlJc w:val="left"/>
      <w:pPr>
        <w:ind w:left="1080" w:hanging="360"/>
      </w:pPr>
      <w:rPr>
        <w:rFonts w:hint="default"/>
      </w:rPr>
    </w:lvl>
    <w:lvl w:ilvl="1" w:tplc="01964C18" w:tentative="1">
      <w:start w:val="1"/>
      <w:numFmt w:val="lowerLetter"/>
      <w:lvlText w:val="%2."/>
      <w:lvlJc w:val="left"/>
      <w:pPr>
        <w:ind w:left="1800" w:hanging="360"/>
      </w:pPr>
    </w:lvl>
    <w:lvl w:ilvl="2" w:tplc="B1C67FE6" w:tentative="1">
      <w:start w:val="1"/>
      <w:numFmt w:val="lowerRoman"/>
      <w:lvlText w:val="%3."/>
      <w:lvlJc w:val="right"/>
      <w:pPr>
        <w:ind w:left="2520" w:hanging="180"/>
      </w:pPr>
    </w:lvl>
    <w:lvl w:ilvl="3" w:tplc="1B641210" w:tentative="1">
      <w:start w:val="1"/>
      <w:numFmt w:val="decimal"/>
      <w:lvlText w:val="%4."/>
      <w:lvlJc w:val="left"/>
      <w:pPr>
        <w:ind w:left="3240" w:hanging="360"/>
      </w:pPr>
    </w:lvl>
    <w:lvl w:ilvl="4" w:tplc="38848046" w:tentative="1">
      <w:start w:val="1"/>
      <w:numFmt w:val="lowerLetter"/>
      <w:lvlText w:val="%5."/>
      <w:lvlJc w:val="left"/>
      <w:pPr>
        <w:ind w:left="3960" w:hanging="360"/>
      </w:pPr>
    </w:lvl>
    <w:lvl w:ilvl="5" w:tplc="68B68854" w:tentative="1">
      <w:start w:val="1"/>
      <w:numFmt w:val="lowerRoman"/>
      <w:lvlText w:val="%6."/>
      <w:lvlJc w:val="right"/>
      <w:pPr>
        <w:ind w:left="4680" w:hanging="180"/>
      </w:pPr>
    </w:lvl>
    <w:lvl w:ilvl="6" w:tplc="63122022" w:tentative="1">
      <w:start w:val="1"/>
      <w:numFmt w:val="decimal"/>
      <w:lvlText w:val="%7."/>
      <w:lvlJc w:val="left"/>
      <w:pPr>
        <w:ind w:left="5400" w:hanging="360"/>
      </w:pPr>
    </w:lvl>
    <w:lvl w:ilvl="7" w:tplc="16425B48" w:tentative="1">
      <w:start w:val="1"/>
      <w:numFmt w:val="lowerLetter"/>
      <w:lvlText w:val="%8."/>
      <w:lvlJc w:val="left"/>
      <w:pPr>
        <w:ind w:left="6120" w:hanging="360"/>
      </w:pPr>
    </w:lvl>
    <w:lvl w:ilvl="8" w:tplc="5E44CC00" w:tentative="1">
      <w:start w:val="1"/>
      <w:numFmt w:val="lowerRoman"/>
      <w:lvlText w:val="%9."/>
      <w:lvlJc w:val="right"/>
      <w:pPr>
        <w:ind w:left="6840" w:hanging="180"/>
      </w:pPr>
    </w:lvl>
  </w:abstractNum>
  <w:abstractNum w:abstractNumId="6" w15:restartNumberingAfterBreak="0">
    <w:nsid w:val="16724F27"/>
    <w:multiLevelType w:val="multilevel"/>
    <w:tmpl w:val="A12817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4B5EAC"/>
    <w:multiLevelType w:val="hybridMultilevel"/>
    <w:tmpl w:val="5EFEC8B0"/>
    <w:lvl w:ilvl="0" w:tplc="481CEA98">
      <w:start w:val="1"/>
      <w:numFmt w:val="decimal"/>
      <w:lvlText w:val="%1."/>
      <w:lvlJc w:val="left"/>
      <w:pPr>
        <w:ind w:left="720" w:hanging="360"/>
      </w:pPr>
      <w:rPr>
        <w:rFonts w:hint="default"/>
      </w:rPr>
    </w:lvl>
    <w:lvl w:ilvl="1" w:tplc="4E9C3E42" w:tentative="1">
      <w:start w:val="1"/>
      <w:numFmt w:val="lowerLetter"/>
      <w:lvlText w:val="%2."/>
      <w:lvlJc w:val="left"/>
      <w:pPr>
        <w:ind w:left="1440" w:hanging="360"/>
      </w:pPr>
    </w:lvl>
    <w:lvl w:ilvl="2" w:tplc="DBD4E160" w:tentative="1">
      <w:start w:val="1"/>
      <w:numFmt w:val="lowerRoman"/>
      <w:lvlText w:val="%3."/>
      <w:lvlJc w:val="right"/>
      <w:pPr>
        <w:ind w:left="2160" w:hanging="180"/>
      </w:pPr>
    </w:lvl>
    <w:lvl w:ilvl="3" w:tplc="E4DEC25C" w:tentative="1">
      <w:start w:val="1"/>
      <w:numFmt w:val="decimal"/>
      <w:lvlText w:val="%4."/>
      <w:lvlJc w:val="left"/>
      <w:pPr>
        <w:ind w:left="2880" w:hanging="360"/>
      </w:pPr>
    </w:lvl>
    <w:lvl w:ilvl="4" w:tplc="B782ADFA" w:tentative="1">
      <w:start w:val="1"/>
      <w:numFmt w:val="lowerLetter"/>
      <w:lvlText w:val="%5."/>
      <w:lvlJc w:val="left"/>
      <w:pPr>
        <w:ind w:left="3600" w:hanging="360"/>
      </w:pPr>
    </w:lvl>
    <w:lvl w:ilvl="5" w:tplc="CAEC45E0" w:tentative="1">
      <w:start w:val="1"/>
      <w:numFmt w:val="lowerRoman"/>
      <w:lvlText w:val="%6."/>
      <w:lvlJc w:val="right"/>
      <w:pPr>
        <w:ind w:left="4320" w:hanging="180"/>
      </w:pPr>
    </w:lvl>
    <w:lvl w:ilvl="6" w:tplc="178258E0" w:tentative="1">
      <w:start w:val="1"/>
      <w:numFmt w:val="decimal"/>
      <w:lvlText w:val="%7."/>
      <w:lvlJc w:val="left"/>
      <w:pPr>
        <w:ind w:left="5040" w:hanging="360"/>
      </w:pPr>
    </w:lvl>
    <w:lvl w:ilvl="7" w:tplc="240650CC" w:tentative="1">
      <w:start w:val="1"/>
      <w:numFmt w:val="lowerLetter"/>
      <w:lvlText w:val="%8."/>
      <w:lvlJc w:val="left"/>
      <w:pPr>
        <w:ind w:left="5760" w:hanging="360"/>
      </w:pPr>
    </w:lvl>
    <w:lvl w:ilvl="8" w:tplc="173E136E" w:tentative="1">
      <w:start w:val="1"/>
      <w:numFmt w:val="lowerRoman"/>
      <w:lvlText w:val="%9."/>
      <w:lvlJc w:val="right"/>
      <w:pPr>
        <w:ind w:left="6480" w:hanging="180"/>
      </w:pPr>
    </w:lvl>
  </w:abstractNum>
  <w:abstractNum w:abstractNumId="8" w15:restartNumberingAfterBreak="0">
    <w:nsid w:val="22572C8B"/>
    <w:multiLevelType w:val="hybridMultilevel"/>
    <w:tmpl w:val="9034B092"/>
    <w:lvl w:ilvl="0" w:tplc="AAA64246">
      <w:start w:val="3"/>
      <w:numFmt w:val="lowerLetter"/>
      <w:lvlText w:val="(%1)"/>
      <w:lvlJc w:val="left"/>
      <w:pPr>
        <w:ind w:left="600" w:hanging="360"/>
      </w:pPr>
      <w:rPr>
        <w:rFonts w:hint="default"/>
      </w:rPr>
    </w:lvl>
    <w:lvl w:ilvl="1" w:tplc="E9E485D8" w:tentative="1">
      <w:start w:val="1"/>
      <w:numFmt w:val="lowerLetter"/>
      <w:lvlText w:val="%2."/>
      <w:lvlJc w:val="left"/>
      <w:pPr>
        <w:ind w:left="1320" w:hanging="360"/>
      </w:pPr>
    </w:lvl>
    <w:lvl w:ilvl="2" w:tplc="4148E670" w:tentative="1">
      <w:start w:val="1"/>
      <w:numFmt w:val="lowerRoman"/>
      <w:lvlText w:val="%3."/>
      <w:lvlJc w:val="right"/>
      <w:pPr>
        <w:ind w:left="2040" w:hanging="180"/>
      </w:pPr>
    </w:lvl>
    <w:lvl w:ilvl="3" w:tplc="00725DC4" w:tentative="1">
      <w:start w:val="1"/>
      <w:numFmt w:val="decimal"/>
      <w:lvlText w:val="%4."/>
      <w:lvlJc w:val="left"/>
      <w:pPr>
        <w:ind w:left="2760" w:hanging="360"/>
      </w:pPr>
    </w:lvl>
    <w:lvl w:ilvl="4" w:tplc="C366D5C6" w:tentative="1">
      <w:start w:val="1"/>
      <w:numFmt w:val="lowerLetter"/>
      <w:lvlText w:val="%5."/>
      <w:lvlJc w:val="left"/>
      <w:pPr>
        <w:ind w:left="3480" w:hanging="360"/>
      </w:pPr>
    </w:lvl>
    <w:lvl w:ilvl="5" w:tplc="A648ADE4" w:tentative="1">
      <w:start w:val="1"/>
      <w:numFmt w:val="lowerRoman"/>
      <w:lvlText w:val="%6."/>
      <w:lvlJc w:val="right"/>
      <w:pPr>
        <w:ind w:left="4200" w:hanging="180"/>
      </w:pPr>
    </w:lvl>
    <w:lvl w:ilvl="6" w:tplc="89E82B2C" w:tentative="1">
      <w:start w:val="1"/>
      <w:numFmt w:val="decimal"/>
      <w:lvlText w:val="%7."/>
      <w:lvlJc w:val="left"/>
      <w:pPr>
        <w:ind w:left="4920" w:hanging="360"/>
      </w:pPr>
    </w:lvl>
    <w:lvl w:ilvl="7" w:tplc="84064CD8" w:tentative="1">
      <w:start w:val="1"/>
      <w:numFmt w:val="lowerLetter"/>
      <w:lvlText w:val="%8."/>
      <w:lvlJc w:val="left"/>
      <w:pPr>
        <w:ind w:left="5640" w:hanging="360"/>
      </w:pPr>
    </w:lvl>
    <w:lvl w:ilvl="8" w:tplc="5ED8ECE8" w:tentative="1">
      <w:start w:val="1"/>
      <w:numFmt w:val="lowerRoman"/>
      <w:lvlText w:val="%9."/>
      <w:lvlJc w:val="right"/>
      <w:pPr>
        <w:ind w:left="6360" w:hanging="180"/>
      </w:pPr>
    </w:lvl>
  </w:abstractNum>
  <w:abstractNum w:abstractNumId="9" w15:restartNumberingAfterBreak="0">
    <w:nsid w:val="33F2779A"/>
    <w:multiLevelType w:val="hybridMultilevel"/>
    <w:tmpl w:val="27CC3516"/>
    <w:lvl w:ilvl="0" w:tplc="5CD84918">
      <w:start w:val="1"/>
      <w:numFmt w:val="bullet"/>
      <w:lvlText w:val="•"/>
      <w:lvlJc w:val="left"/>
      <w:pPr>
        <w:tabs>
          <w:tab w:val="num" w:pos="720"/>
        </w:tabs>
        <w:ind w:left="720" w:hanging="360"/>
      </w:pPr>
      <w:rPr>
        <w:rFonts w:ascii="Times New Roman" w:hAnsi="Times New Roman" w:hint="default"/>
      </w:rPr>
    </w:lvl>
    <w:lvl w:ilvl="1" w:tplc="81CCEB54" w:tentative="1">
      <w:start w:val="1"/>
      <w:numFmt w:val="bullet"/>
      <w:lvlText w:val="•"/>
      <w:lvlJc w:val="left"/>
      <w:pPr>
        <w:tabs>
          <w:tab w:val="num" w:pos="1440"/>
        </w:tabs>
        <w:ind w:left="1440" w:hanging="360"/>
      </w:pPr>
      <w:rPr>
        <w:rFonts w:ascii="Times New Roman" w:hAnsi="Times New Roman" w:hint="default"/>
      </w:rPr>
    </w:lvl>
    <w:lvl w:ilvl="2" w:tplc="72D0019E" w:tentative="1">
      <w:start w:val="1"/>
      <w:numFmt w:val="bullet"/>
      <w:lvlText w:val="•"/>
      <w:lvlJc w:val="left"/>
      <w:pPr>
        <w:tabs>
          <w:tab w:val="num" w:pos="2160"/>
        </w:tabs>
        <w:ind w:left="2160" w:hanging="360"/>
      </w:pPr>
      <w:rPr>
        <w:rFonts w:ascii="Times New Roman" w:hAnsi="Times New Roman" w:hint="default"/>
      </w:rPr>
    </w:lvl>
    <w:lvl w:ilvl="3" w:tplc="691CD81C" w:tentative="1">
      <w:start w:val="1"/>
      <w:numFmt w:val="bullet"/>
      <w:lvlText w:val="•"/>
      <w:lvlJc w:val="left"/>
      <w:pPr>
        <w:tabs>
          <w:tab w:val="num" w:pos="2880"/>
        </w:tabs>
        <w:ind w:left="2880" w:hanging="360"/>
      </w:pPr>
      <w:rPr>
        <w:rFonts w:ascii="Times New Roman" w:hAnsi="Times New Roman" w:hint="default"/>
      </w:rPr>
    </w:lvl>
    <w:lvl w:ilvl="4" w:tplc="6CB6004A" w:tentative="1">
      <w:start w:val="1"/>
      <w:numFmt w:val="bullet"/>
      <w:lvlText w:val="•"/>
      <w:lvlJc w:val="left"/>
      <w:pPr>
        <w:tabs>
          <w:tab w:val="num" w:pos="3600"/>
        </w:tabs>
        <w:ind w:left="3600" w:hanging="360"/>
      </w:pPr>
      <w:rPr>
        <w:rFonts w:ascii="Times New Roman" w:hAnsi="Times New Roman" w:hint="default"/>
      </w:rPr>
    </w:lvl>
    <w:lvl w:ilvl="5" w:tplc="5B5C59E8" w:tentative="1">
      <w:start w:val="1"/>
      <w:numFmt w:val="bullet"/>
      <w:lvlText w:val="•"/>
      <w:lvlJc w:val="left"/>
      <w:pPr>
        <w:tabs>
          <w:tab w:val="num" w:pos="4320"/>
        </w:tabs>
        <w:ind w:left="4320" w:hanging="360"/>
      </w:pPr>
      <w:rPr>
        <w:rFonts w:ascii="Times New Roman" w:hAnsi="Times New Roman" w:hint="default"/>
      </w:rPr>
    </w:lvl>
    <w:lvl w:ilvl="6" w:tplc="85E65044" w:tentative="1">
      <w:start w:val="1"/>
      <w:numFmt w:val="bullet"/>
      <w:lvlText w:val="•"/>
      <w:lvlJc w:val="left"/>
      <w:pPr>
        <w:tabs>
          <w:tab w:val="num" w:pos="5040"/>
        </w:tabs>
        <w:ind w:left="5040" w:hanging="360"/>
      </w:pPr>
      <w:rPr>
        <w:rFonts w:ascii="Times New Roman" w:hAnsi="Times New Roman" w:hint="default"/>
      </w:rPr>
    </w:lvl>
    <w:lvl w:ilvl="7" w:tplc="CF883398" w:tentative="1">
      <w:start w:val="1"/>
      <w:numFmt w:val="bullet"/>
      <w:lvlText w:val="•"/>
      <w:lvlJc w:val="left"/>
      <w:pPr>
        <w:tabs>
          <w:tab w:val="num" w:pos="5760"/>
        </w:tabs>
        <w:ind w:left="5760" w:hanging="360"/>
      </w:pPr>
      <w:rPr>
        <w:rFonts w:ascii="Times New Roman" w:hAnsi="Times New Roman" w:hint="default"/>
      </w:rPr>
    </w:lvl>
    <w:lvl w:ilvl="8" w:tplc="971EE29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6CE7F60"/>
    <w:multiLevelType w:val="multilevel"/>
    <w:tmpl w:val="2546584E"/>
    <w:lvl w:ilvl="0">
      <w:start w:val="1"/>
      <w:numFmt w:val="decimal"/>
      <w:lvlText w:val="%1."/>
      <w:lvlJc w:val="left"/>
      <w:pPr>
        <w:ind w:left="786" w:hanging="360"/>
      </w:pPr>
      <w:rPr>
        <w:rFonts w:hint="default"/>
        <w:b/>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8041605"/>
    <w:multiLevelType w:val="hybridMultilevel"/>
    <w:tmpl w:val="AED812A0"/>
    <w:lvl w:ilvl="0" w:tplc="4A3AF8F6">
      <w:start w:val="1"/>
      <w:numFmt w:val="lowerLetter"/>
      <w:lvlText w:val="(%1)"/>
      <w:lvlJc w:val="left"/>
      <w:pPr>
        <w:ind w:left="720" w:hanging="360"/>
      </w:pPr>
      <w:rPr>
        <w:rFonts w:hint="default"/>
      </w:rPr>
    </w:lvl>
    <w:lvl w:ilvl="1" w:tplc="7FF42708" w:tentative="1">
      <w:start w:val="1"/>
      <w:numFmt w:val="lowerLetter"/>
      <w:lvlText w:val="%2."/>
      <w:lvlJc w:val="left"/>
      <w:pPr>
        <w:ind w:left="1440" w:hanging="360"/>
      </w:pPr>
    </w:lvl>
    <w:lvl w:ilvl="2" w:tplc="DC9A8654" w:tentative="1">
      <w:start w:val="1"/>
      <w:numFmt w:val="lowerRoman"/>
      <w:lvlText w:val="%3."/>
      <w:lvlJc w:val="right"/>
      <w:pPr>
        <w:ind w:left="2160" w:hanging="180"/>
      </w:pPr>
    </w:lvl>
    <w:lvl w:ilvl="3" w:tplc="C60E7D7E" w:tentative="1">
      <w:start w:val="1"/>
      <w:numFmt w:val="decimal"/>
      <w:lvlText w:val="%4."/>
      <w:lvlJc w:val="left"/>
      <w:pPr>
        <w:ind w:left="2880" w:hanging="360"/>
      </w:pPr>
    </w:lvl>
    <w:lvl w:ilvl="4" w:tplc="B6FEB8FC" w:tentative="1">
      <w:start w:val="1"/>
      <w:numFmt w:val="lowerLetter"/>
      <w:lvlText w:val="%5."/>
      <w:lvlJc w:val="left"/>
      <w:pPr>
        <w:ind w:left="3600" w:hanging="360"/>
      </w:pPr>
    </w:lvl>
    <w:lvl w:ilvl="5" w:tplc="30C4574C" w:tentative="1">
      <w:start w:val="1"/>
      <w:numFmt w:val="lowerRoman"/>
      <w:lvlText w:val="%6."/>
      <w:lvlJc w:val="right"/>
      <w:pPr>
        <w:ind w:left="4320" w:hanging="180"/>
      </w:pPr>
    </w:lvl>
    <w:lvl w:ilvl="6" w:tplc="835E4E76" w:tentative="1">
      <w:start w:val="1"/>
      <w:numFmt w:val="decimal"/>
      <w:lvlText w:val="%7."/>
      <w:lvlJc w:val="left"/>
      <w:pPr>
        <w:ind w:left="5040" w:hanging="360"/>
      </w:pPr>
    </w:lvl>
    <w:lvl w:ilvl="7" w:tplc="7E7E21C6" w:tentative="1">
      <w:start w:val="1"/>
      <w:numFmt w:val="lowerLetter"/>
      <w:lvlText w:val="%8."/>
      <w:lvlJc w:val="left"/>
      <w:pPr>
        <w:ind w:left="5760" w:hanging="360"/>
      </w:pPr>
    </w:lvl>
    <w:lvl w:ilvl="8" w:tplc="303000BA" w:tentative="1">
      <w:start w:val="1"/>
      <w:numFmt w:val="lowerRoman"/>
      <w:lvlText w:val="%9."/>
      <w:lvlJc w:val="right"/>
      <w:pPr>
        <w:ind w:left="6480" w:hanging="180"/>
      </w:pPr>
    </w:lvl>
  </w:abstractNum>
  <w:abstractNum w:abstractNumId="12" w15:restartNumberingAfterBreak="0">
    <w:nsid w:val="4CE370B6"/>
    <w:multiLevelType w:val="multilevel"/>
    <w:tmpl w:val="F392EDB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6345862"/>
    <w:multiLevelType w:val="hybridMultilevel"/>
    <w:tmpl w:val="A6A4766E"/>
    <w:lvl w:ilvl="0" w:tplc="BFEA27D0">
      <w:start w:val="1"/>
      <w:numFmt w:val="decimal"/>
      <w:lvlText w:val="%1."/>
      <w:lvlJc w:val="left"/>
      <w:pPr>
        <w:ind w:left="720" w:hanging="360"/>
      </w:pPr>
      <w:rPr>
        <w:rFonts w:hint="default"/>
      </w:rPr>
    </w:lvl>
    <w:lvl w:ilvl="1" w:tplc="B502C584" w:tentative="1">
      <w:start w:val="1"/>
      <w:numFmt w:val="lowerLetter"/>
      <w:lvlText w:val="%2."/>
      <w:lvlJc w:val="left"/>
      <w:pPr>
        <w:ind w:left="1440" w:hanging="360"/>
      </w:pPr>
    </w:lvl>
    <w:lvl w:ilvl="2" w:tplc="047A14E0" w:tentative="1">
      <w:start w:val="1"/>
      <w:numFmt w:val="lowerRoman"/>
      <w:lvlText w:val="%3."/>
      <w:lvlJc w:val="right"/>
      <w:pPr>
        <w:ind w:left="2160" w:hanging="180"/>
      </w:pPr>
    </w:lvl>
    <w:lvl w:ilvl="3" w:tplc="45424B94" w:tentative="1">
      <w:start w:val="1"/>
      <w:numFmt w:val="decimal"/>
      <w:lvlText w:val="%4."/>
      <w:lvlJc w:val="left"/>
      <w:pPr>
        <w:ind w:left="2880" w:hanging="360"/>
      </w:pPr>
    </w:lvl>
    <w:lvl w:ilvl="4" w:tplc="E6C4A686" w:tentative="1">
      <w:start w:val="1"/>
      <w:numFmt w:val="lowerLetter"/>
      <w:lvlText w:val="%5."/>
      <w:lvlJc w:val="left"/>
      <w:pPr>
        <w:ind w:left="3600" w:hanging="360"/>
      </w:pPr>
    </w:lvl>
    <w:lvl w:ilvl="5" w:tplc="F69C7AD8" w:tentative="1">
      <w:start w:val="1"/>
      <w:numFmt w:val="lowerRoman"/>
      <w:lvlText w:val="%6."/>
      <w:lvlJc w:val="right"/>
      <w:pPr>
        <w:ind w:left="4320" w:hanging="180"/>
      </w:pPr>
    </w:lvl>
    <w:lvl w:ilvl="6" w:tplc="3E42FCDE" w:tentative="1">
      <w:start w:val="1"/>
      <w:numFmt w:val="decimal"/>
      <w:lvlText w:val="%7."/>
      <w:lvlJc w:val="left"/>
      <w:pPr>
        <w:ind w:left="5040" w:hanging="360"/>
      </w:pPr>
    </w:lvl>
    <w:lvl w:ilvl="7" w:tplc="764CA45E" w:tentative="1">
      <w:start w:val="1"/>
      <w:numFmt w:val="lowerLetter"/>
      <w:lvlText w:val="%8."/>
      <w:lvlJc w:val="left"/>
      <w:pPr>
        <w:ind w:left="5760" w:hanging="360"/>
      </w:pPr>
    </w:lvl>
    <w:lvl w:ilvl="8" w:tplc="347016F0" w:tentative="1">
      <w:start w:val="1"/>
      <w:numFmt w:val="lowerRoman"/>
      <w:lvlText w:val="%9."/>
      <w:lvlJc w:val="right"/>
      <w:pPr>
        <w:ind w:left="6480" w:hanging="180"/>
      </w:pPr>
    </w:lvl>
  </w:abstractNum>
  <w:abstractNum w:abstractNumId="14" w15:restartNumberingAfterBreak="0">
    <w:nsid w:val="5A036CD7"/>
    <w:multiLevelType w:val="hybridMultilevel"/>
    <w:tmpl w:val="978A0482"/>
    <w:lvl w:ilvl="0" w:tplc="9AA64EC8">
      <w:start w:val="1"/>
      <w:numFmt w:val="lowerLetter"/>
      <w:lvlText w:val="(%1)"/>
      <w:lvlJc w:val="left"/>
      <w:pPr>
        <w:ind w:left="1080" w:hanging="360"/>
      </w:pPr>
      <w:rPr>
        <w:rFonts w:hint="default"/>
      </w:rPr>
    </w:lvl>
    <w:lvl w:ilvl="1" w:tplc="D2F6B0EA" w:tentative="1">
      <w:start w:val="1"/>
      <w:numFmt w:val="lowerLetter"/>
      <w:lvlText w:val="%2."/>
      <w:lvlJc w:val="left"/>
      <w:pPr>
        <w:ind w:left="1800" w:hanging="360"/>
      </w:pPr>
    </w:lvl>
    <w:lvl w:ilvl="2" w:tplc="8F24DCEC" w:tentative="1">
      <w:start w:val="1"/>
      <w:numFmt w:val="lowerRoman"/>
      <w:lvlText w:val="%3."/>
      <w:lvlJc w:val="right"/>
      <w:pPr>
        <w:ind w:left="2520" w:hanging="180"/>
      </w:pPr>
    </w:lvl>
    <w:lvl w:ilvl="3" w:tplc="025862D4" w:tentative="1">
      <w:start w:val="1"/>
      <w:numFmt w:val="decimal"/>
      <w:lvlText w:val="%4."/>
      <w:lvlJc w:val="left"/>
      <w:pPr>
        <w:ind w:left="3240" w:hanging="360"/>
      </w:pPr>
    </w:lvl>
    <w:lvl w:ilvl="4" w:tplc="BA501D16" w:tentative="1">
      <w:start w:val="1"/>
      <w:numFmt w:val="lowerLetter"/>
      <w:lvlText w:val="%5."/>
      <w:lvlJc w:val="left"/>
      <w:pPr>
        <w:ind w:left="3960" w:hanging="360"/>
      </w:pPr>
    </w:lvl>
    <w:lvl w:ilvl="5" w:tplc="4BA0B228" w:tentative="1">
      <w:start w:val="1"/>
      <w:numFmt w:val="lowerRoman"/>
      <w:lvlText w:val="%6."/>
      <w:lvlJc w:val="right"/>
      <w:pPr>
        <w:ind w:left="4680" w:hanging="180"/>
      </w:pPr>
    </w:lvl>
    <w:lvl w:ilvl="6" w:tplc="3F5C2296" w:tentative="1">
      <w:start w:val="1"/>
      <w:numFmt w:val="decimal"/>
      <w:lvlText w:val="%7."/>
      <w:lvlJc w:val="left"/>
      <w:pPr>
        <w:ind w:left="5400" w:hanging="360"/>
      </w:pPr>
    </w:lvl>
    <w:lvl w:ilvl="7" w:tplc="1DACC0D0" w:tentative="1">
      <w:start w:val="1"/>
      <w:numFmt w:val="lowerLetter"/>
      <w:lvlText w:val="%8."/>
      <w:lvlJc w:val="left"/>
      <w:pPr>
        <w:ind w:left="6120" w:hanging="360"/>
      </w:pPr>
    </w:lvl>
    <w:lvl w:ilvl="8" w:tplc="5D1C7E60" w:tentative="1">
      <w:start w:val="1"/>
      <w:numFmt w:val="lowerRoman"/>
      <w:lvlText w:val="%9."/>
      <w:lvlJc w:val="right"/>
      <w:pPr>
        <w:ind w:left="6840" w:hanging="180"/>
      </w:pPr>
    </w:lvl>
  </w:abstractNum>
  <w:abstractNum w:abstractNumId="15" w15:restartNumberingAfterBreak="0">
    <w:nsid w:val="5D956366"/>
    <w:multiLevelType w:val="multilevel"/>
    <w:tmpl w:val="0408F5F0"/>
    <w:lvl w:ilvl="0">
      <w:start w:val="2"/>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8263672"/>
    <w:multiLevelType w:val="hybridMultilevel"/>
    <w:tmpl w:val="639E4164"/>
    <w:lvl w:ilvl="0" w:tplc="5F84BEFE">
      <w:start w:val="1"/>
      <w:numFmt w:val="lowerLetter"/>
      <w:lvlText w:val="(%1)"/>
      <w:lvlJc w:val="left"/>
      <w:pPr>
        <w:ind w:left="720" w:hanging="360"/>
      </w:pPr>
      <w:rPr>
        <w:rFonts w:hint="default"/>
      </w:rPr>
    </w:lvl>
    <w:lvl w:ilvl="1" w:tplc="C8202764" w:tentative="1">
      <w:start w:val="1"/>
      <w:numFmt w:val="lowerLetter"/>
      <w:lvlText w:val="%2."/>
      <w:lvlJc w:val="left"/>
      <w:pPr>
        <w:ind w:left="1440" w:hanging="360"/>
      </w:pPr>
    </w:lvl>
    <w:lvl w:ilvl="2" w:tplc="B546D494" w:tentative="1">
      <w:start w:val="1"/>
      <w:numFmt w:val="lowerRoman"/>
      <w:lvlText w:val="%3."/>
      <w:lvlJc w:val="right"/>
      <w:pPr>
        <w:ind w:left="2160" w:hanging="180"/>
      </w:pPr>
    </w:lvl>
    <w:lvl w:ilvl="3" w:tplc="C6AC3E7E" w:tentative="1">
      <w:start w:val="1"/>
      <w:numFmt w:val="decimal"/>
      <w:lvlText w:val="%4."/>
      <w:lvlJc w:val="left"/>
      <w:pPr>
        <w:ind w:left="2880" w:hanging="360"/>
      </w:pPr>
    </w:lvl>
    <w:lvl w:ilvl="4" w:tplc="BC56D77A" w:tentative="1">
      <w:start w:val="1"/>
      <w:numFmt w:val="lowerLetter"/>
      <w:lvlText w:val="%5."/>
      <w:lvlJc w:val="left"/>
      <w:pPr>
        <w:ind w:left="3600" w:hanging="360"/>
      </w:pPr>
    </w:lvl>
    <w:lvl w:ilvl="5" w:tplc="20CA685C" w:tentative="1">
      <w:start w:val="1"/>
      <w:numFmt w:val="lowerRoman"/>
      <w:lvlText w:val="%6."/>
      <w:lvlJc w:val="right"/>
      <w:pPr>
        <w:ind w:left="4320" w:hanging="180"/>
      </w:pPr>
    </w:lvl>
    <w:lvl w:ilvl="6" w:tplc="FC503C50" w:tentative="1">
      <w:start w:val="1"/>
      <w:numFmt w:val="decimal"/>
      <w:lvlText w:val="%7."/>
      <w:lvlJc w:val="left"/>
      <w:pPr>
        <w:ind w:left="5040" w:hanging="360"/>
      </w:pPr>
    </w:lvl>
    <w:lvl w:ilvl="7" w:tplc="42123A06" w:tentative="1">
      <w:start w:val="1"/>
      <w:numFmt w:val="lowerLetter"/>
      <w:lvlText w:val="%8."/>
      <w:lvlJc w:val="left"/>
      <w:pPr>
        <w:ind w:left="5760" w:hanging="360"/>
      </w:pPr>
    </w:lvl>
    <w:lvl w:ilvl="8" w:tplc="52969A50" w:tentative="1">
      <w:start w:val="1"/>
      <w:numFmt w:val="lowerRoman"/>
      <w:lvlText w:val="%9."/>
      <w:lvlJc w:val="right"/>
      <w:pPr>
        <w:ind w:left="6480" w:hanging="180"/>
      </w:pPr>
    </w:lvl>
  </w:abstractNum>
  <w:abstractNum w:abstractNumId="17" w15:restartNumberingAfterBreak="0">
    <w:nsid w:val="7AA96C7F"/>
    <w:multiLevelType w:val="hybridMultilevel"/>
    <w:tmpl w:val="8B0E215A"/>
    <w:lvl w:ilvl="0" w:tplc="6FB4CCE0">
      <w:start w:val="1"/>
      <w:numFmt w:val="decimal"/>
      <w:lvlText w:val="%1."/>
      <w:lvlJc w:val="left"/>
      <w:pPr>
        <w:ind w:left="720" w:hanging="360"/>
      </w:pPr>
      <w:rPr>
        <w:rFonts w:hint="default"/>
      </w:rPr>
    </w:lvl>
    <w:lvl w:ilvl="1" w:tplc="6B9E29FA" w:tentative="1">
      <w:start w:val="1"/>
      <w:numFmt w:val="lowerLetter"/>
      <w:lvlText w:val="%2."/>
      <w:lvlJc w:val="left"/>
      <w:pPr>
        <w:ind w:left="1440" w:hanging="360"/>
      </w:pPr>
    </w:lvl>
    <w:lvl w:ilvl="2" w:tplc="C8D2BBA4" w:tentative="1">
      <w:start w:val="1"/>
      <w:numFmt w:val="lowerRoman"/>
      <w:lvlText w:val="%3."/>
      <w:lvlJc w:val="right"/>
      <w:pPr>
        <w:ind w:left="2160" w:hanging="180"/>
      </w:pPr>
    </w:lvl>
    <w:lvl w:ilvl="3" w:tplc="10387D30" w:tentative="1">
      <w:start w:val="1"/>
      <w:numFmt w:val="decimal"/>
      <w:lvlText w:val="%4."/>
      <w:lvlJc w:val="left"/>
      <w:pPr>
        <w:ind w:left="2880" w:hanging="360"/>
      </w:pPr>
    </w:lvl>
    <w:lvl w:ilvl="4" w:tplc="F9DC047E" w:tentative="1">
      <w:start w:val="1"/>
      <w:numFmt w:val="lowerLetter"/>
      <w:lvlText w:val="%5."/>
      <w:lvlJc w:val="left"/>
      <w:pPr>
        <w:ind w:left="3600" w:hanging="360"/>
      </w:pPr>
    </w:lvl>
    <w:lvl w:ilvl="5" w:tplc="B2B09DD0" w:tentative="1">
      <w:start w:val="1"/>
      <w:numFmt w:val="lowerRoman"/>
      <w:lvlText w:val="%6."/>
      <w:lvlJc w:val="right"/>
      <w:pPr>
        <w:ind w:left="4320" w:hanging="180"/>
      </w:pPr>
    </w:lvl>
    <w:lvl w:ilvl="6" w:tplc="CB368266" w:tentative="1">
      <w:start w:val="1"/>
      <w:numFmt w:val="decimal"/>
      <w:lvlText w:val="%7."/>
      <w:lvlJc w:val="left"/>
      <w:pPr>
        <w:ind w:left="5040" w:hanging="360"/>
      </w:pPr>
    </w:lvl>
    <w:lvl w:ilvl="7" w:tplc="05247E4A" w:tentative="1">
      <w:start w:val="1"/>
      <w:numFmt w:val="lowerLetter"/>
      <w:lvlText w:val="%8."/>
      <w:lvlJc w:val="left"/>
      <w:pPr>
        <w:ind w:left="5760" w:hanging="360"/>
      </w:pPr>
    </w:lvl>
    <w:lvl w:ilvl="8" w:tplc="505A191E" w:tentative="1">
      <w:start w:val="1"/>
      <w:numFmt w:val="lowerRoman"/>
      <w:lvlText w:val="%9."/>
      <w:lvlJc w:val="right"/>
      <w:pPr>
        <w:ind w:left="6480" w:hanging="180"/>
      </w:pPr>
    </w:lvl>
  </w:abstractNum>
  <w:abstractNum w:abstractNumId="18" w15:restartNumberingAfterBreak="0">
    <w:nsid w:val="7BD7495C"/>
    <w:multiLevelType w:val="hybridMultilevel"/>
    <w:tmpl w:val="7F4AC5EC"/>
    <w:lvl w:ilvl="0" w:tplc="E3F00E8A">
      <w:start w:val="1"/>
      <w:numFmt w:val="decimal"/>
      <w:lvlText w:val="%1."/>
      <w:lvlJc w:val="left"/>
      <w:pPr>
        <w:ind w:left="720" w:hanging="360"/>
      </w:pPr>
      <w:rPr>
        <w:rFonts w:hint="default"/>
      </w:rPr>
    </w:lvl>
    <w:lvl w:ilvl="1" w:tplc="4A8EA45C" w:tentative="1">
      <w:start w:val="1"/>
      <w:numFmt w:val="lowerLetter"/>
      <w:lvlText w:val="%2."/>
      <w:lvlJc w:val="left"/>
      <w:pPr>
        <w:ind w:left="1440" w:hanging="360"/>
      </w:pPr>
    </w:lvl>
    <w:lvl w:ilvl="2" w:tplc="0F0C98C4" w:tentative="1">
      <w:start w:val="1"/>
      <w:numFmt w:val="lowerRoman"/>
      <w:lvlText w:val="%3."/>
      <w:lvlJc w:val="right"/>
      <w:pPr>
        <w:ind w:left="2160" w:hanging="180"/>
      </w:pPr>
    </w:lvl>
    <w:lvl w:ilvl="3" w:tplc="3562435E" w:tentative="1">
      <w:start w:val="1"/>
      <w:numFmt w:val="decimal"/>
      <w:lvlText w:val="%4."/>
      <w:lvlJc w:val="left"/>
      <w:pPr>
        <w:ind w:left="2880" w:hanging="360"/>
      </w:pPr>
    </w:lvl>
    <w:lvl w:ilvl="4" w:tplc="03CAB058" w:tentative="1">
      <w:start w:val="1"/>
      <w:numFmt w:val="lowerLetter"/>
      <w:lvlText w:val="%5."/>
      <w:lvlJc w:val="left"/>
      <w:pPr>
        <w:ind w:left="3600" w:hanging="360"/>
      </w:pPr>
    </w:lvl>
    <w:lvl w:ilvl="5" w:tplc="CE46FEE0" w:tentative="1">
      <w:start w:val="1"/>
      <w:numFmt w:val="lowerRoman"/>
      <w:lvlText w:val="%6."/>
      <w:lvlJc w:val="right"/>
      <w:pPr>
        <w:ind w:left="4320" w:hanging="180"/>
      </w:pPr>
    </w:lvl>
    <w:lvl w:ilvl="6" w:tplc="78CED332" w:tentative="1">
      <w:start w:val="1"/>
      <w:numFmt w:val="decimal"/>
      <w:lvlText w:val="%7."/>
      <w:lvlJc w:val="left"/>
      <w:pPr>
        <w:ind w:left="5040" w:hanging="360"/>
      </w:pPr>
    </w:lvl>
    <w:lvl w:ilvl="7" w:tplc="C6EE4100" w:tentative="1">
      <w:start w:val="1"/>
      <w:numFmt w:val="lowerLetter"/>
      <w:lvlText w:val="%8."/>
      <w:lvlJc w:val="left"/>
      <w:pPr>
        <w:ind w:left="5760" w:hanging="360"/>
      </w:pPr>
    </w:lvl>
    <w:lvl w:ilvl="8" w:tplc="30DA6E06" w:tentative="1">
      <w:start w:val="1"/>
      <w:numFmt w:val="lowerRoman"/>
      <w:lvlText w:val="%9."/>
      <w:lvlJc w:val="right"/>
      <w:pPr>
        <w:ind w:left="6480" w:hanging="180"/>
      </w:pPr>
    </w:lvl>
  </w:abstractNum>
  <w:num w:numId="1">
    <w:abstractNumId w:val="12"/>
  </w:num>
  <w:num w:numId="2">
    <w:abstractNumId w:val="18"/>
  </w:num>
  <w:num w:numId="3">
    <w:abstractNumId w:val="13"/>
  </w:num>
  <w:num w:numId="4">
    <w:abstractNumId w:val="3"/>
  </w:num>
  <w:num w:numId="5">
    <w:abstractNumId w:val="17"/>
  </w:num>
  <w:num w:numId="6">
    <w:abstractNumId w:val="10"/>
  </w:num>
  <w:num w:numId="7">
    <w:abstractNumId w:val="14"/>
  </w:num>
  <w:num w:numId="8">
    <w:abstractNumId w:val="16"/>
  </w:num>
  <w:num w:numId="9">
    <w:abstractNumId w:val="11"/>
  </w:num>
  <w:num w:numId="10">
    <w:abstractNumId w:val="8"/>
  </w:num>
  <w:num w:numId="11">
    <w:abstractNumId w:val="0"/>
  </w:num>
  <w:num w:numId="12">
    <w:abstractNumId w:val="15"/>
  </w:num>
  <w:num w:numId="13">
    <w:abstractNumId w:val="9"/>
  </w:num>
  <w:num w:numId="14">
    <w:abstractNumId w:val="4"/>
  </w:num>
  <w:num w:numId="15">
    <w:abstractNumId w:val="5"/>
  </w:num>
  <w:num w:numId="16">
    <w:abstractNumId w:val="7"/>
  </w:num>
  <w:num w:numId="17">
    <w:abstractNumId w:val="6"/>
  </w:num>
  <w:num w:numId="18">
    <w:abstractNumId w:val="6"/>
    <w:lvlOverride w:ilvl="0">
      <w:lvl w:ilvl="0">
        <w:numFmt w:val="decimal"/>
        <w:lvlText w:val=""/>
        <w:lvlJc w:val="left"/>
      </w:lvl>
    </w:lvlOverride>
    <w:lvlOverride w:ilvl="1">
      <w:lvl w:ilvl="1">
        <w:numFmt w:val="decimal"/>
        <w:lvlText w:val="%2."/>
        <w:lvlJc w:val="left"/>
      </w:lvl>
    </w:lvlOverride>
  </w:num>
  <w:num w:numId="19">
    <w:abstractNumId w:val="6"/>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20">
    <w:abstractNumId w:val="6"/>
    <w:lvlOverride w:ilvl="0">
      <w:lvl w:ilvl="0">
        <w:numFmt w:val="decimal"/>
        <w:lvlText w:val=""/>
        <w:lvlJc w:val="left"/>
      </w:lvl>
    </w:lvlOverride>
    <w:lvlOverride w:ilvl="1">
      <w:lvl w:ilvl="1">
        <w:numFmt w:val="decimal"/>
        <w:lvlText w:val="%2."/>
        <w:lvlJc w:val="left"/>
        <w:pPr>
          <w:tabs>
            <w:tab w:val="num" w:pos="1440"/>
          </w:tabs>
          <w:ind w:left="1440" w:hanging="360"/>
        </w:pPr>
      </w:lvl>
    </w:lvlOverride>
  </w:num>
  <w:num w:numId="21">
    <w:abstractNumId w:val="2"/>
  </w:num>
  <w:num w:numId="22">
    <w:abstractNumId w:val="2"/>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23">
    <w:abstractNumId w:val="2"/>
    <w:lvlOverride w:ilvl="0">
      <w:lvl w:ilvl="0">
        <w:numFmt w:val="decimal"/>
        <w:lvlText w:val=""/>
        <w:lvlJc w:val="left"/>
      </w:lvl>
    </w:lvlOverride>
    <w:lvlOverride w:ilvl="1">
      <w:lvl w:ilvl="1">
        <w:numFmt w:val="decimal"/>
        <w:lvlText w:val="%2."/>
        <w:lvlJc w:val="left"/>
        <w:pPr>
          <w:tabs>
            <w:tab w:val="num" w:pos="1440"/>
          </w:tabs>
          <w:ind w:left="1440" w:hanging="360"/>
        </w:pPr>
      </w:lvl>
    </w:lvlOverride>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ENInstantFormat&gt;"/>
  </w:docVars>
  <w:rsids>
    <w:rsidRoot w:val="002977E8"/>
    <w:rsid w:val="000064C4"/>
    <w:rsid w:val="000456FF"/>
    <w:rsid w:val="00067CC3"/>
    <w:rsid w:val="00077085"/>
    <w:rsid w:val="000D1657"/>
    <w:rsid w:val="00181C06"/>
    <w:rsid w:val="001D30F1"/>
    <w:rsid w:val="001F6392"/>
    <w:rsid w:val="00255CCA"/>
    <w:rsid w:val="002566BE"/>
    <w:rsid w:val="002977E8"/>
    <w:rsid w:val="002A32E4"/>
    <w:rsid w:val="00317061"/>
    <w:rsid w:val="003258BE"/>
    <w:rsid w:val="00360EE2"/>
    <w:rsid w:val="003A6CC2"/>
    <w:rsid w:val="003C3185"/>
    <w:rsid w:val="0047456D"/>
    <w:rsid w:val="004E09EA"/>
    <w:rsid w:val="004F0425"/>
    <w:rsid w:val="004F7F6C"/>
    <w:rsid w:val="00524AFF"/>
    <w:rsid w:val="0057010D"/>
    <w:rsid w:val="005F63F8"/>
    <w:rsid w:val="006232A6"/>
    <w:rsid w:val="00645E60"/>
    <w:rsid w:val="006870B3"/>
    <w:rsid w:val="006A7D93"/>
    <w:rsid w:val="006C21DC"/>
    <w:rsid w:val="006E0FEA"/>
    <w:rsid w:val="00701065"/>
    <w:rsid w:val="00720AB7"/>
    <w:rsid w:val="00737993"/>
    <w:rsid w:val="00771879"/>
    <w:rsid w:val="00772E64"/>
    <w:rsid w:val="007A3C0F"/>
    <w:rsid w:val="007D1A49"/>
    <w:rsid w:val="007D5229"/>
    <w:rsid w:val="007E43DD"/>
    <w:rsid w:val="00855D8D"/>
    <w:rsid w:val="0088117E"/>
    <w:rsid w:val="008D7E72"/>
    <w:rsid w:val="009275AC"/>
    <w:rsid w:val="0096055F"/>
    <w:rsid w:val="009F4B3C"/>
    <w:rsid w:val="00A67690"/>
    <w:rsid w:val="00AE2065"/>
    <w:rsid w:val="00AE32A2"/>
    <w:rsid w:val="00AF21BB"/>
    <w:rsid w:val="00B119ED"/>
    <w:rsid w:val="00BA218B"/>
    <w:rsid w:val="00D07F95"/>
    <w:rsid w:val="00DB5BB4"/>
    <w:rsid w:val="00EF5D11"/>
    <w:rsid w:val="00F205CA"/>
    <w:rsid w:val="00F52B56"/>
    <w:rsid w:val="00FA68A0"/>
    <w:rsid w:val="00FD3E74"/>
    <w:rsid w:val="00FF0DB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2E5EC6AA"/>
  <w15:docId w15:val="{827F4F8B-5C65-4258-B93B-81873B5AB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30F1"/>
    <w:rPr>
      <w:lang w:val="en-GB"/>
    </w:rPr>
  </w:style>
  <w:style w:type="paragraph" w:styleId="Heading1">
    <w:name w:val="heading 1"/>
    <w:basedOn w:val="Normal"/>
    <w:next w:val="Normal"/>
    <w:link w:val="Heading1Char"/>
    <w:qFormat/>
    <w:rsid w:val="00504E75"/>
    <w:pPr>
      <w:keepNext/>
      <w:overflowPunct w:val="0"/>
      <w:autoSpaceDE w:val="0"/>
      <w:autoSpaceDN w:val="0"/>
      <w:adjustRightInd w:val="0"/>
      <w:spacing w:before="240" w:after="80" w:line="240" w:lineRule="auto"/>
      <w:jc w:val="center"/>
      <w:textAlignment w:val="baseline"/>
      <w:outlineLvl w:val="0"/>
    </w:pPr>
    <w:rPr>
      <w:rFonts w:ascii="Times New Roman" w:eastAsia="Times New Roman" w:hAnsi="Times New Roman" w:cs="Angsana New"/>
      <w:caps/>
      <w:kern w:val="28"/>
      <w:sz w:val="20"/>
      <w:szCs w:val="20"/>
      <w:lang w:val="en-US"/>
    </w:rPr>
  </w:style>
  <w:style w:type="paragraph" w:styleId="Heading2">
    <w:name w:val="heading 2"/>
    <w:basedOn w:val="Normal"/>
    <w:next w:val="Normal"/>
    <w:link w:val="Heading2Char"/>
    <w:uiPriority w:val="9"/>
    <w:semiHidden/>
    <w:unhideWhenUsed/>
    <w:qFormat/>
    <w:rsid w:val="00A346D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346D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4E75"/>
    <w:rPr>
      <w:rFonts w:ascii="Times New Roman" w:eastAsia="Times New Roman" w:hAnsi="Times New Roman" w:cs="Angsana New"/>
      <w:caps/>
      <w:kern w:val="28"/>
      <w:sz w:val="20"/>
      <w:szCs w:val="20"/>
      <w:lang w:val="en-US"/>
    </w:rPr>
  </w:style>
  <w:style w:type="paragraph" w:styleId="Caption">
    <w:name w:val="caption"/>
    <w:basedOn w:val="Normal"/>
    <w:next w:val="Normal"/>
    <w:qFormat/>
    <w:rsid w:val="00504E75"/>
    <w:pPr>
      <w:framePr w:w="9072" w:hSpace="187" w:vSpace="187" w:wrap="notBeside" w:vAnchor="text" w:hAnchor="page" w:xAlign="center" w:y="1"/>
      <w:overflowPunct w:val="0"/>
      <w:autoSpaceDE w:val="0"/>
      <w:autoSpaceDN w:val="0"/>
      <w:adjustRightInd w:val="0"/>
      <w:spacing w:after="0" w:line="240" w:lineRule="auto"/>
      <w:jc w:val="center"/>
      <w:textAlignment w:val="baseline"/>
    </w:pPr>
    <w:rPr>
      <w:rFonts w:ascii="Times New Roman" w:eastAsia="Times New Roman" w:hAnsi="Times New Roman" w:cs="Angsana New"/>
      <w:b/>
      <w:bCs/>
      <w:sz w:val="24"/>
      <w:szCs w:val="20"/>
      <w:lang w:val="sl-SI"/>
    </w:rPr>
  </w:style>
  <w:style w:type="paragraph" w:customStyle="1" w:styleId="Abstract">
    <w:name w:val="Abstract"/>
    <w:basedOn w:val="Normal"/>
    <w:next w:val="Normal"/>
    <w:rsid w:val="00504E75"/>
    <w:pPr>
      <w:overflowPunct w:val="0"/>
      <w:autoSpaceDE w:val="0"/>
      <w:autoSpaceDN w:val="0"/>
      <w:adjustRightInd w:val="0"/>
      <w:spacing w:before="20" w:after="0" w:line="240" w:lineRule="auto"/>
      <w:textAlignment w:val="baseline"/>
    </w:pPr>
    <w:rPr>
      <w:rFonts w:ascii="Times New Roman" w:eastAsia="Times New Roman" w:hAnsi="Times New Roman" w:cs="Angsana New"/>
      <w:b/>
      <w:sz w:val="18"/>
      <w:szCs w:val="20"/>
      <w:lang w:val="en-US"/>
    </w:rPr>
  </w:style>
  <w:style w:type="paragraph" w:styleId="BodyTextIndent">
    <w:name w:val="Body Text Indent"/>
    <w:basedOn w:val="Normal"/>
    <w:link w:val="BodyTextIndentChar"/>
    <w:rsid w:val="00504E75"/>
    <w:pPr>
      <w:overflowPunct w:val="0"/>
      <w:autoSpaceDE w:val="0"/>
      <w:autoSpaceDN w:val="0"/>
      <w:adjustRightInd w:val="0"/>
      <w:spacing w:after="0" w:line="240" w:lineRule="auto"/>
      <w:ind w:firstLine="284"/>
      <w:jc w:val="both"/>
      <w:textAlignment w:val="baseline"/>
    </w:pPr>
    <w:rPr>
      <w:rFonts w:ascii="Times New Roman" w:eastAsia="Times New Roman" w:hAnsi="Times New Roman" w:cs="Angsana New"/>
      <w:noProof/>
      <w:sz w:val="20"/>
      <w:szCs w:val="20"/>
      <w:lang w:val="sl-SI"/>
    </w:rPr>
  </w:style>
  <w:style w:type="character" w:customStyle="1" w:styleId="BodyTextIndentChar">
    <w:name w:val="Body Text Indent Char"/>
    <w:basedOn w:val="DefaultParagraphFont"/>
    <w:link w:val="BodyTextIndent"/>
    <w:rsid w:val="00504E75"/>
    <w:rPr>
      <w:rFonts w:ascii="Times New Roman" w:eastAsia="Times New Roman" w:hAnsi="Times New Roman" w:cs="Angsana New"/>
      <w:noProof/>
      <w:sz w:val="20"/>
      <w:szCs w:val="20"/>
      <w:lang w:val="sl-SI"/>
    </w:rPr>
  </w:style>
  <w:style w:type="paragraph" w:customStyle="1" w:styleId="1">
    <w:name w:val="รายการย่อหน้า1"/>
    <w:basedOn w:val="Normal"/>
    <w:uiPriority w:val="34"/>
    <w:qFormat/>
    <w:rsid w:val="00504E75"/>
    <w:pPr>
      <w:ind w:left="720"/>
      <w:contextualSpacing/>
    </w:pPr>
    <w:rPr>
      <w:rFonts w:ascii="Calibri" w:eastAsia="Calibri" w:hAnsi="Calibri" w:cs="Angsana New"/>
      <w:szCs w:val="28"/>
      <w:lang w:val="en-US" w:bidi="th-TH"/>
    </w:rPr>
  </w:style>
  <w:style w:type="table" w:styleId="TableGrid">
    <w:name w:val="Table Grid"/>
    <w:basedOn w:val="TableNormal"/>
    <w:rsid w:val="00504E7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rsid w:val="00504E75"/>
    <w:pPr>
      <w:overflowPunct w:val="0"/>
      <w:autoSpaceDE w:val="0"/>
      <w:autoSpaceDN w:val="0"/>
      <w:adjustRightInd w:val="0"/>
      <w:spacing w:after="0" w:line="240" w:lineRule="auto"/>
      <w:textAlignment w:val="baseline"/>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504E75"/>
    <w:rPr>
      <w:rFonts w:ascii="Tahoma" w:eastAsia="Times New Roman" w:hAnsi="Tahoma" w:cs="Tahoma"/>
      <w:sz w:val="16"/>
      <w:szCs w:val="16"/>
      <w:lang w:val="en-GB"/>
    </w:rPr>
  </w:style>
  <w:style w:type="character" w:customStyle="1" w:styleId="apple-style-span">
    <w:name w:val="apple-style-span"/>
    <w:basedOn w:val="DefaultParagraphFont"/>
    <w:rsid w:val="00504E75"/>
  </w:style>
  <w:style w:type="character" w:customStyle="1" w:styleId="inlmmlbox">
    <w:name w:val="inlmmlbox"/>
    <w:basedOn w:val="DefaultParagraphFont"/>
    <w:rsid w:val="00504E75"/>
  </w:style>
  <w:style w:type="paragraph" w:styleId="ListParagraph">
    <w:name w:val="List Paragraph"/>
    <w:basedOn w:val="Normal"/>
    <w:uiPriority w:val="34"/>
    <w:qFormat/>
    <w:rsid w:val="00504E75"/>
    <w:pPr>
      <w:ind w:left="720"/>
      <w:contextualSpacing/>
    </w:pPr>
    <w:rPr>
      <w:rFonts w:eastAsiaTheme="minorEastAsia"/>
      <w:lang w:eastAsia="id-ID"/>
    </w:rPr>
  </w:style>
  <w:style w:type="paragraph" w:styleId="Title">
    <w:name w:val="Title"/>
    <w:basedOn w:val="Normal"/>
    <w:link w:val="TitleChar"/>
    <w:qFormat/>
    <w:rsid w:val="00504E75"/>
    <w:pPr>
      <w:spacing w:after="0" w:line="480" w:lineRule="auto"/>
      <w:jc w:val="center"/>
    </w:pPr>
    <w:rPr>
      <w:rFonts w:ascii="Times New Roman" w:eastAsia="Times New Roman" w:hAnsi="Times New Roman" w:cs="Times New Roman"/>
      <w:b/>
      <w:sz w:val="24"/>
      <w:szCs w:val="20"/>
      <w:lang w:val="en-US"/>
    </w:rPr>
  </w:style>
  <w:style w:type="character" w:customStyle="1" w:styleId="TitleChar">
    <w:name w:val="Title Char"/>
    <w:basedOn w:val="DefaultParagraphFont"/>
    <w:link w:val="Title"/>
    <w:rsid w:val="00504E75"/>
    <w:rPr>
      <w:rFonts w:ascii="Times New Roman" w:eastAsia="Times New Roman" w:hAnsi="Times New Roman" w:cs="Times New Roman"/>
      <w:b/>
      <w:sz w:val="24"/>
      <w:szCs w:val="20"/>
      <w:lang w:val="en-US"/>
    </w:rPr>
  </w:style>
  <w:style w:type="paragraph" w:styleId="BodyText">
    <w:name w:val="Body Text"/>
    <w:basedOn w:val="Normal"/>
    <w:link w:val="BodyTextChar"/>
    <w:uiPriority w:val="99"/>
    <w:unhideWhenUsed/>
    <w:rsid w:val="00504E75"/>
    <w:pPr>
      <w:spacing w:after="120"/>
    </w:pPr>
  </w:style>
  <w:style w:type="character" w:customStyle="1" w:styleId="BodyTextChar">
    <w:name w:val="Body Text Char"/>
    <w:basedOn w:val="DefaultParagraphFont"/>
    <w:link w:val="BodyText"/>
    <w:uiPriority w:val="99"/>
    <w:rsid w:val="00504E75"/>
    <w:rPr>
      <w:lang w:val="en-GB"/>
    </w:rPr>
  </w:style>
  <w:style w:type="paragraph" w:styleId="Header">
    <w:name w:val="header"/>
    <w:basedOn w:val="Normal"/>
    <w:link w:val="HeaderChar"/>
    <w:uiPriority w:val="99"/>
    <w:unhideWhenUsed/>
    <w:rsid w:val="00504E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E75"/>
    <w:rPr>
      <w:lang w:val="en-GB"/>
    </w:rPr>
  </w:style>
  <w:style w:type="paragraph" w:styleId="Footer">
    <w:name w:val="footer"/>
    <w:basedOn w:val="Normal"/>
    <w:link w:val="FooterChar"/>
    <w:uiPriority w:val="99"/>
    <w:unhideWhenUsed/>
    <w:rsid w:val="00504E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E75"/>
    <w:rPr>
      <w:lang w:val="en-GB"/>
    </w:rPr>
  </w:style>
  <w:style w:type="character" w:styleId="Hyperlink">
    <w:name w:val="Hyperlink"/>
    <w:basedOn w:val="DefaultParagraphFont"/>
    <w:uiPriority w:val="99"/>
    <w:unhideWhenUsed/>
    <w:rsid w:val="00504E75"/>
    <w:rPr>
      <w:color w:val="0000FF" w:themeColor="hyperlink"/>
      <w:u w:val="single"/>
    </w:rPr>
  </w:style>
  <w:style w:type="character" w:styleId="LineNumber">
    <w:name w:val="line number"/>
    <w:basedOn w:val="DefaultParagraphFont"/>
    <w:uiPriority w:val="99"/>
    <w:semiHidden/>
    <w:unhideWhenUsed/>
    <w:rsid w:val="00504E75"/>
  </w:style>
  <w:style w:type="character" w:customStyle="1" w:styleId="Heading2Char">
    <w:name w:val="Heading 2 Char"/>
    <w:basedOn w:val="DefaultParagraphFont"/>
    <w:link w:val="Heading2"/>
    <w:uiPriority w:val="9"/>
    <w:semiHidden/>
    <w:rsid w:val="00A346DA"/>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uiPriority w:val="9"/>
    <w:semiHidden/>
    <w:rsid w:val="00A346DA"/>
    <w:rPr>
      <w:rFonts w:asciiTheme="majorHAnsi" w:eastAsiaTheme="majorEastAsia" w:hAnsiTheme="majorHAnsi" w:cstheme="majorBidi"/>
      <w:b/>
      <w:bCs/>
      <w:color w:val="4F81BD" w:themeColor="accent1"/>
      <w:lang w:val="en-GB"/>
    </w:rPr>
  </w:style>
  <w:style w:type="character" w:customStyle="1" w:styleId="apple-converted-space">
    <w:name w:val="apple-converted-space"/>
    <w:basedOn w:val="DefaultParagraphFont"/>
    <w:rsid w:val="007B1D67"/>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lang w:val="en-GB"/>
    </w:rPr>
  </w:style>
  <w:style w:type="paragraph" w:styleId="CommentSubject">
    <w:name w:val="annotation subject"/>
    <w:basedOn w:val="CommentText"/>
    <w:next w:val="CommentText"/>
    <w:link w:val="CommentSubjectChar"/>
    <w:uiPriority w:val="99"/>
    <w:semiHidden/>
    <w:unhideWhenUsed/>
    <w:rsid w:val="00AE2065"/>
    <w:rPr>
      <w:b/>
      <w:bCs/>
    </w:rPr>
  </w:style>
  <w:style w:type="character" w:customStyle="1" w:styleId="CommentSubjectChar">
    <w:name w:val="Comment Subject Char"/>
    <w:basedOn w:val="CommentTextChar"/>
    <w:link w:val="CommentSubject"/>
    <w:uiPriority w:val="99"/>
    <w:semiHidden/>
    <w:rsid w:val="00AE2065"/>
    <w:rPr>
      <w:b/>
      <w:bCs/>
      <w:sz w:val="20"/>
      <w:szCs w:val="20"/>
      <w:lang w:val="en-GB"/>
    </w:rPr>
  </w:style>
  <w:style w:type="character" w:styleId="UnresolvedMention">
    <w:name w:val="Unresolved Mention"/>
    <w:basedOn w:val="DefaultParagraphFont"/>
    <w:uiPriority w:val="99"/>
    <w:semiHidden/>
    <w:unhideWhenUsed/>
    <w:rsid w:val="00F52B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chart" Target="charts/chart4.xml"/><Relationship Id="rId3" Type="http://schemas.openxmlformats.org/officeDocument/2006/relationships/settings" Target="settings.xml"/><Relationship Id="rId21" Type="http://schemas.openxmlformats.org/officeDocument/2006/relationships/chart" Target="charts/chart7.xm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chart" Target="charts/chart3.xml"/><Relationship Id="rId2" Type="http://schemas.openxmlformats.org/officeDocument/2006/relationships/styles" Target="styles.xml"/><Relationship Id="rId16" Type="http://schemas.openxmlformats.org/officeDocument/2006/relationships/chart" Target="charts/chart2.xml"/><Relationship Id="rId20" Type="http://schemas.openxmlformats.org/officeDocument/2006/relationships/chart" Target="charts/chart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chart" Target="charts/chart5.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enovo\Desktop\MPIC%20Revision\The%20Properties(ok).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Lenovo\Desktop\MPIC%20Revision\The%20Properties(ok).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Lenovo\Desktop\MPIC%20Revision\The%20Properties(ok).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Lenovo\Desktop\MPIC%20Revision\The%20Properties(ok).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Lenovo\Desktop\MPIC%20Revision\The%20Properties(ok).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LENOVO\Desktop\PAPERS%20IN%20WRITING%20PROCESS\Old%20Data\The%20Propertie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Lenovo\Desktop\MPIC%20Revision\The%20Properties(ok).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scorch!$B$1</c:f>
              <c:strCache>
                <c:ptCount val="1"/>
                <c:pt idx="0">
                  <c:v>ENR 25</c:v>
                </c:pt>
              </c:strCache>
            </c:strRef>
          </c:tx>
          <c:spPr>
            <a:solidFill>
              <a:schemeClr val="bg1">
                <a:lumMod val="85000"/>
              </a:schemeClr>
            </a:solidFill>
            <a:ln w="19050">
              <a:solidFill>
                <a:schemeClr val="tx1"/>
              </a:solidFill>
            </a:ln>
          </c:spPr>
          <c:invertIfNegative val="0"/>
          <c:dLbls>
            <c:dLbl>
              <c:idx val="0"/>
              <c:layout>
                <c:manualLayout>
                  <c:x val="1.9444444444444445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25E-4702-9C00-E507B17F0592}"/>
                </c:ext>
              </c:extLst>
            </c:dLbl>
            <c:spPr>
              <a:noFill/>
              <a:ln>
                <a:noFill/>
              </a:ln>
              <a:effectLst/>
            </c:spPr>
            <c:txPr>
              <a:bodyPr wrap="square" lIns="38100" tIns="19050" rIns="38100" bIns="19050" anchor="ctr">
                <a:spAutoFit/>
              </a:bodyPr>
              <a:lstStyle/>
              <a:p>
                <a:pPr>
                  <a:defRPr sz="9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scorch!$A$2:$A$7</c:f>
              <c:numCache>
                <c:formatCode>0.0</c:formatCode>
                <c:ptCount val="6"/>
                <c:pt idx="0">
                  <c:v>0</c:v>
                </c:pt>
                <c:pt idx="1">
                  <c:v>5</c:v>
                </c:pt>
                <c:pt idx="2">
                  <c:v>10</c:v>
                </c:pt>
                <c:pt idx="3">
                  <c:v>15</c:v>
                </c:pt>
                <c:pt idx="4">
                  <c:v>20</c:v>
                </c:pt>
                <c:pt idx="5">
                  <c:v>25</c:v>
                </c:pt>
              </c:numCache>
            </c:numRef>
          </c:cat>
          <c:val>
            <c:numRef>
              <c:f>scorch!$B$2:$B$7</c:f>
              <c:numCache>
                <c:formatCode>0.00</c:formatCode>
                <c:ptCount val="6"/>
                <c:pt idx="0">
                  <c:v>5.19</c:v>
                </c:pt>
                <c:pt idx="1">
                  <c:v>4.5599999999999996</c:v>
                </c:pt>
                <c:pt idx="2">
                  <c:v>4.29</c:v>
                </c:pt>
                <c:pt idx="3">
                  <c:v>4.2</c:v>
                </c:pt>
                <c:pt idx="4">
                  <c:v>3.81</c:v>
                </c:pt>
                <c:pt idx="5">
                  <c:v>3.67</c:v>
                </c:pt>
              </c:numCache>
            </c:numRef>
          </c:val>
          <c:extLst>
            <c:ext xmlns:c16="http://schemas.microsoft.com/office/drawing/2014/chart" uri="{C3380CC4-5D6E-409C-BE32-E72D297353CC}">
              <c16:uniqueId val="{00000001-925E-4702-9C00-E507B17F0592}"/>
            </c:ext>
          </c:extLst>
        </c:ser>
        <c:ser>
          <c:idx val="1"/>
          <c:order val="1"/>
          <c:tx>
            <c:strRef>
              <c:f>scorch!$C$1</c:f>
              <c:strCache>
                <c:ptCount val="1"/>
                <c:pt idx="0">
                  <c:v>ENR 50</c:v>
                </c:pt>
              </c:strCache>
            </c:strRef>
          </c:tx>
          <c:spPr>
            <a:solidFill>
              <a:schemeClr val="tx1">
                <a:lumMod val="50000"/>
                <a:lumOff val="50000"/>
              </a:schemeClr>
            </a:solidFill>
            <a:ln w="19050">
              <a:solidFill>
                <a:sysClr val="windowText" lastClr="000000"/>
              </a:solidFill>
            </a:ln>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2-925E-4702-9C00-E507B17F0592}"/>
                </c:ext>
              </c:extLst>
            </c:dLbl>
            <c:dLbl>
              <c:idx val="1"/>
              <c:layout>
                <c:manualLayout>
                  <c:x val="1.3888888888888904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25E-4702-9C00-E507B17F0592}"/>
                </c:ext>
              </c:extLst>
            </c:dLbl>
            <c:dLbl>
              <c:idx val="2"/>
              <c:layout>
                <c:manualLayout>
                  <c:x val="1.1111111111111122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25E-4702-9C00-E507B17F0592}"/>
                </c:ext>
              </c:extLst>
            </c:dLbl>
            <c:dLbl>
              <c:idx val="3"/>
              <c:layout>
                <c:manualLayout>
                  <c:x val="1.3888888888888904E-2"/>
                  <c:y val="-3.6453776611257005E-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25E-4702-9C00-E507B17F0592}"/>
                </c:ext>
              </c:extLst>
            </c:dLbl>
            <c:dLbl>
              <c:idx val="4"/>
              <c:layout>
                <c:manualLayout>
                  <c:x val="1.3888888888888904E-2"/>
                  <c:y val="4.2437781360066833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25E-4702-9C00-E507B17F0592}"/>
                </c:ext>
              </c:extLst>
            </c:dLbl>
            <c:dLbl>
              <c:idx val="5"/>
              <c:layout>
                <c:manualLayout>
                  <c:x val="1.3888888888888904E-2"/>
                  <c:y val="4.2437781360066833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25E-4702-9C00-E507B17F0592}"/>
                </c:ext>
              </c:extLst>
            </c:dLbl>
            <c:spPr>
              <a:noFill/>
              <a:ln>
                <a:noFill/>
              </a:ln>
              <a:effectLst/>
            </c:spPr>
            <c:txPr>
              <a:bodyPr wrap="square" lIns="38100" tIns="19050" rIns="38100" bIns="19050" anchor="ctr">
                <a:spAutoFit/>
              </a:bodyPr>
              <a:lstStyle/>
              <a:p>
                <a:pPr>
                  <a:defRPr sz="9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scorch!$A$2:$A$7</c:f>
              <c:numCache>
                <c:formatCode>0.0</c:formatCode>
                <c:ptCount val="6"/>
                <c:pt idx="0">
                  <c:v>0</c:v>
                </c:pt>
                <c:pt idx="1">
                  <c:v>5</c:v>
                </c:pt>
                <c:pt idx="2">
                  <c:v>10</c:v>
                </c:pt>
                <c:pt idx="3">
                  <c:v>15</c:v>
                </c:pt>
                <c:pt idx="4">
                  <c:v>20</c:v>
                </c:pt>
                <c:pt idx="5">
                  <c:v>25</c:v>
                </c:pt>
              </c:numCache>
            </c:numRef>
          </c:cat>
          <c:val>
            <c:numRef>
              <c:f>scorch!$C$2:$C$7</c:f>
              <c:numCache>
                <c:formatCode>0.00</c:formatCode>
                <c:ptCount val="6"/>
                <c:pt idx="0">
                  <c:v>5.19</c:v>
                </c:pt>
                <c:pt idx="1">
                  <c:v>3.96</c:v>
                </c:pt>
                <c:pt idx="2">
                  <c:v>3.71</c:v>
                </c:pt>
                <c:pt idx="3">
                  <c:v>3.47</c:v>
                </c:pt>
                <c:pt idx="4">
                  <c:v>3.28</c:v>
                </c:pt>
                <c:pt idx="5">
                  <c:v>3.27</c:v>
                </c:pt>
              </c:numCache>
            </c:numRef>
          </c:val>
          <c:extLst>
            <c:ext xmlns:c16="http://schemas.microsoft.com/office/drawing/2014/chart" uri="{C3380CC4-5D6E-409C-BE32-E72D297353CC}">
              <c16:uniqueId val="{00000008-925E-4702-9C00-E507B17F0592}"/>
            </c:ext>
          </c:extLst>
        </c:ser>
        <c:dLbls>
          <c:showLegendKey val="0"/>
          <c:showVal val="0"/>
          <c:showCatName val="0"/>
          <c:showSerName val="0"/>
          <c:showPercent val="0"/>
          <c:showBubbleSize val="0"/>
        </c:dLbls>
        <c:gapWidth val="150"/>
        <c:axId val="-612690944"/>
        <c:axId val="-612688224"/>
      </c:barChart>
      <c:catAx>
        <c:axId val="-612690944"/>
        <c:scaling>
          <c:orientation val="minMax"/>
        </c:scaling>
        <c:delete val="0"/>
        <c:axPos val="b"/>
        <c:title>
          <c:tx>
            <c:rich>
              <a:bodyPr/>
              <a:lstStyle/>
              <a:p>
                <a:pPr>
                  <a:defRPr sz="900"/>
                </a:pPr>
                <a:r>
                  <a:rPr lang="en-US" sz="900"/>
                  <a:t>ENRs Loading (phr)</a:t>
                </a:r>
                <a:endParaRPr lang="id-ID" sz="900"/>
              </a:p>
            </c:rich>
          </c:tx>
          <c:overlay val="0"/>
        </c:title>
        <c:numFmt formatCode="0.0" sourceLinked="1"/>
        <c:majorTickMark val="out"/>
        <c:minorTickMark val="none"/>
        <c:tickLblPos val="nextTo"/>
        <c:txPr>
          <a:bodyPr/>
          <a:lstStyle/>
          <a:p>
            <a:pPr>
              <a:defRPr sz="900"/>
            </a:pPr>
            <a:endParaRPr lang="en-US"/>
          </a:p>
        </c:txPr>
        <c:crossAx val="-612688224"/>
        <c:crosses val="autoZero"/>
        <c:auto val="1"/>
        <c:lblAlgn val="ctr"/>
        <c:lblOffset val="100"/>
        <c:noMultiLvlLbl val="0"/>
      </c:catAx>
      <c:valAx>
        <c:axId val="-612688224"/>
        <c:scaling>
          <c:orientation val="minMax"/>
        </c:scaling>
        <c:delete val="0"/>
        <c:axPos val="l"/>
        <c:majorGridlines>
          <c:spPr>
            <a:ln w="3175">
              <a:prstDash val="sysDot"/>
            </a:ln>
          </c:spPr>
        </c:majorGridlines>
        <c:title>
          <c:tx>
            <c:rich>
              <a:bodyPr/>
              <a:lstStyle/>
              <a:p>
                <a:pPr>
                  <a:defRPr sz="900"/>
                </a:pPr>
                <a:r>
                  <a:rPr lang="en-US" sz="900"/>
                  <a:t>Scorch time (minutes)</a:t>
                </a:r>
                <a:endParaRPr lang="id-ID" sz="900"/>
              </a:p>
            </c:rich>
          </c:tx>
          <c:overlay val="0"/>
        </c:title>
        <c:numFmt formatCode="0" sourceLinked="0"/>
        <c:majorTickMark val="out"/>
        <c:minorTickMark val="none"/>
        <c:tickLblPos val="nextTo"/>
        <c:txPr>
          <a:bodyPr/>
          <a:lstStyle/>
          <a:p>
            <a:pPr>
              <a:defRPr sz="900"/>
            </a:pPr>
            <a:endParaRPr lang="en-US"/>
          </a:p>
        </c:txPr>
        <c:crossAx val="-612690944"/>
        <c:crosses val="autoZero"/>
        <c:crossBetween val="between"/>
        <c:majorUnit val="3"/>
      </c:valAx>
    </c:plotArea>
    <c:legend>
      <c:legendPos val="t"/>
      <c:overlay val="0"/>
      <c:txPr>
        <a:bodyPr/>
        <a:lstStyle/>
        <a:p>
          <a:pPr>
            <a:defRPr sz="900"/>
          </a:pPr>
          <a:endParaRPr lang="en-US"/>
        </a:p>
      </c:txPr>
    </c:legend>
    <c:plotVisOnly val="1"/>
    <c:dispBlanksAs val="gap"/>
    <c:showDLblsOverMax val="0"/>
  </c:chart>
  <c:spPr>
    <a:ln w="6350">
      <a:solidFill>
        <a:schemeClr val="tx1"/>
      </a:solidFill>
    </a:ln>
  </c:spPr>
  <c:txPr>
    <a:bodyPr/>
    <a:lstStyle/>
    <a:p>
      <a:pPr algn="just">
        <a:defRPr sz="1000">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cure!$B$1</c:f>
              <c:strCache>
                <c:ptCount val="1"/>
                <c:pt idx="0">
                  <c:v>ENR 25</c:v>
                </c:pt>
              </c:strCache>
            </c:strRef>
          </c:tx>
          <c:spPr>
            <a:solidFill>
              <a:schemeClr val="bg1">
                <a:lumMod val="85000"/>
              </a:schemeClr>
            </a:solidFill>
            <a:ln w="19050">
              <a:solidFill>
                <a:schemeClr val="tx1"/>
              </a:solidFill>
            </a:ln>
          </c:spPr>
          <c:invertIfNegative val="0"/>
          <c:dLbls>
            <c:dLbl>
              <c:idx val="0"/>
              <c:layout>
                <c:manualLayout>
                  <c:x val="1.9444444444444445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0A4-4DAB-B552-A5DE6440A011}"/>
                </c:ext>
              </c:extLst>
            </c:dLbl>
            <c:spPr>
              <a:noFill/>
              <a:ln>
                <a:noFill/>
              </a:ln>
              <a:effectLst/>
            </c:spPr>
            <c:txPr>
              <a:bodyPr wrap="square" lIns="38100" tIns="19050" rIns="38100" bIns="19050" anchor="ctr">
                <a:spAutoFit/>
              </a:bodyPr>
              <a:lstStyle/>
              <a:p>
                <a:pPr>
                  <a:defRPr sz="9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cure!$A$2:$A$7</c:f>
              <c:numCache>
                <c:formatCode>0.0</c:formatCode>
                <c:ptCount val="6"/>
                <c:pt idx="0">
                  <c:v>0</c:v>
                </c:pt>
                <c:pt idx="1">
                  <c:v>5</c:v>
                </c:pt>
                <c:pt idx="2">
                  <c:v>10</c:v>
                </c:pt>
                <c:pt idx="3">
                  <c:v>15</c:v>
                </c:pt>
                <c:pt idx="4">
                  <c:v>20</c:v>
                </c:pt>
                <c:pt idx="5">
                  <c:v>25</c:v>
                </c:pt>
              </c:numCache>
            </c:numRef>
          </c:cat>
          <c:val>
            <c:numRef>
              <c:f>cure!$B$2:$B$7</c:f>
              <c:numCache>
                <c:formatCode>0.00</c:formatCode>
                <c:ptCount val="6"/>
                <c:pt idx="0">
                  <c:v>8.1300000000000008</c:v>
                </c:pt>
                <c:pt idx="1">
                  <c:v>7.39</c:v>
                </c:pt>
                <c:pt idx="2">
                  <c:v>6.97</c:v>
                </c:pt>
                <c:pt idx="3">
                  <c:v>6.86</c:v>
                </c:pt>
                <c:pt idx="4">
                  <c:v>6.35</c:v>
                </c:pt>
                <c:pt idx="5">
                  <c:v>6.1</c:v>
                </c:pt>
              </c:numCache>
            </c:numRef>
          </c:val>
          <c:extLst>
            <c:ext xmlns:c16="http://schemas.microsoft.com/office/drawing/2014/chart" uri="{C3380CC4-5D6E-409C-BE32-E72D297353CC}">
              <c16:uniqueId val="{00000001-00A4-4DAB-B552-A5DE6440A011}"/>
            </c:ext>
          </c:extLst>
        </c:ser>
        <c:ser>
          <c:idx val="1"/>
          <c:order val="1"/>
          <c:tx>
            <c:strRef>
              <c:f>cure!$C$1</c:f>
              <c:strCache>
                <c:ptCount val="1"/>
                <c:pt idx="0">
                  <c:v>ENR 50</c:v>
                </c:pt>
              </c:strCache>
            </c:strRef>
          </c:tx>
          <c:spPr>
            <a:solidFill>
              <a:schemeClr val="tx1">
                <a:lumMod val="50000"/>
                <a:lumOff val="50000"/>
              </a:schemeClr>
            </a:solidFill>
            <a:ln w="19050">
              <a:solidFill>
                <a:sysClr val="windowText" lastClr="000000"/>
              </a:solidFill>
            </a:ln>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2-00A4-4DAB-B552-A5DE6440A011}"/>
                </c:ext>
              </c:extLst>
            </c:dLbl>
            <c:dLbl>
              <c:idx val="1"/>
              <c:layout>
                <c:manualLayout>
                  <c:x val="1.3888888888888911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0A4-4DAB-B552-A5DE6440A011}"/>
                </c:ext>
              </c:extLst>
            </c:dLbl>
            <c:dLbl>
              <c:idx val="2"/>
              <c:layout>
                <c:manualLayout>
                  <c:x val="1.1111111111111125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0A4-4DAB-B552-A5DE6440A011}"/>
                </c:ext>
              </c:extLst>
            </c:dLbl>
            <c:dLbl>
              <c:idx val="3"/>
              <c:layout>
                <c:manualLayout>
                  <c:x val="1.3888888888888911E-2"/>
                  <c:y val="-3.6453776611257042E-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0A4-4DAB-B552-A5DE6440A011}"/>
                </c:ext>
              </c:extLst>
            </c:dLbl>
            <c:dLbl>
              <c:idx val="4"/>
              <c:layout>
                <c:manualLayout>
                  <c:x val="1.3888888888888911E-2"/>
                  <c:y val="4.2437781360066913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0A4-4DAB-B552-A5DE6440A011}"/>
                </c:ext>
              </c:extLst>
            </c:dLbl>
            <c:dLbl>
              <c:idx val="5"/>
              <c:layout>
                <c:manualLayout>
                  <c:x val="1.3888888888888911E-2"/>
                  <c:y val="4.2437781360066913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0A4-4DAB-B552-A5DE6440A011}"/>
                </c:ext>
              </c:extLst>
            </c:dLbl>
            <c:spPr>
              <a:noFill/>
              <a:ln>
                <a:noFill/>
              </a:ln>
              <a:effectLst/>
            </c:spPr>
            <c:txPr>
              <a:bodyPr wrap="square" lIns="38100" tIns="19050" rIns="38100" bIns="19050" anchor="ctr">
                <a:spAutoFit/>
              </a:bodyPr>
              <a:lstStyle/>
              <a:p>
                <a:pPr>
                  <a:defRPr sz="9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cure!$A$2:$A$7</c:f>
              <c:numCache>
                <c:formatCode>0.0</c:formatCode>
                <c:ptCount val="6"/>
                <c:pt idx="0">
                  <c:v>0</c:v>
                </c:pt>
                <c:pt idx="1">
                  <c:v>5</c:v>
                </c:pt>
                <c:pt idx="2">
                  <c:v>10</c:v>
                </c:pt>
                <c:pt idx="3">
                  <c:v>15</c:v>
                </c:pt>
                <c:pt idx="4">
                  <c:v>20</c:v>
                </c:pt>
                <c:pt idx="5">
                  <c:v>25</c:v>
                </c:pt>
              </c:numCache>
            </c:numRef>
          </c:cat>
          <c:val>
            <c:numRef>
              <c:f>cure!$C$2:$C$7</c:f>
              <c:numCache>
                <c:formatCode>0.00</c:formatCode>
                <c:ptCount val="6"/>
                <c:pt idx="0">
                  <c:v>8.1300000000000008</c:v>
                </c:pt>
                <c:pt idx="1">
                  <c:v>6.76</c:v>
                </c:pt>
                <c:pt idx="2">
                  <c:v>6.22</c:v>
                </c:pt>
                <c:pt idx="3">
                  <c:v>5.9</c:v>
                </c:pt>
                <c:pt idx="4">
                  <c:v>5.75</c:v>
                </c:pt>
                <c:pt idx="5">
                  <c:v>5.6</c:v>
                </c:pt>
              </c:numCache>
            </c:numRef>
          </c:val>
          <c:extLst>
            <c:ext xmlns:c16="http://schemas.microsoft.com/office/drawing/2014/chart" uri="{C3380CC4-5D6E-409C-BE32-E72D297353CC}">
              <c16:uniqueId val="{00000008-00A4-4DAB-B552-A5DE6440A011}"/>
            </c:ext>
          </c:extLst>
        </c:ser>
        <c:dLbls>
          <c:showLegendKey val="0"/>
          <c:showVal val="0"/>
          <c:showCatName val="0"/>
          <c:showSerName val="0"/>
          <c:showPercent val="0"/>
          <c:showBubbleSize val="0"/>
        </c:dLbls>
        <c:gapWidth val="150"/>
        <c:axId val="-612687680"/>
        <c:axId val="-612687136"/>
      </c:barChart>
      <c:catAx>
        <c:axId val="-612687680"/>
        <c:scaling>
          <c:orientation val="minMax"/>
        </c:scaling>
        <c:delete val="0"/>
        <c:axPos val="b"/>
        <c:title>
          <c:tx>
            <c:rich>
              <a:bodyPr/>
              <a:lstStyle/>
              <a:p>
                <a:pPr>
                  <a:defRPr sz="900"/>
                </a:pPr>
                <a:r>
                  <a:rPr lang="en-US" sz="900"/>
                  <a:t>ENRs Loading (phr)</a:t>
                </a:r>
                <a:endParaRPr lang="id-ID" sz="900"/>
              </a:p>
            </c:rich>
          </c:tx>
          <c:overlay val="0"/>
        </c:title>
        <c:numFmt formatCode="0.0" sourceLinked="1"/>
        <c:majorTickMark val="out"/>
        <c:minorTickMark val="none"/>
        <c:tickLblPos val="nextTo"/>
        <c:txPr>
          <a:bodyPr/>
          <a:lstStyle/>
          <a:p>
            <a:pPr>
              <a:defRPr sz="900"/>
            </a:pPr>
            <a:endParaRPr lang="en-US"/>
          </a:p>
        </c:txPr>
        <c:crossAx val="-612687136"/>
        <c:crosses val="autoZero"/>
        <c:auto val="1"/>
        <c:lblAlgn val="ctr"/>
        <c:lblOffset val="100"/>
        <c:noMultiLvlLbl val="0"/>
      </c:catAx>
      <c:valAx>
        <c:axId val="-612687136"/>
        <c:scaling>
          <c:orientation val="minMax"/>
        </c:scaling>
        <c:delete val="0"/>
        <c:axPos val="l"/>
        <c:majorGridlines>
          <c:spPr>
            <a:ln w="3175">
              <a:prstDash val="sysDot"/>
            </a:ln>
          </c:spPr>
        </c:majorGridlines>
        <c:title>
          <c:tx>
            <c:rich>
              <a:bodyPr/>
              <a:lstStyle/>
              <a:p>
                <a:pPr>
                  <a:defRPr sz="900"/>
                </a:pPr>
                <a:r>
                  <a:rPr lang="en-US" sz="900"/>
                  <a:t>Cure time (min.)</a:t>
                </a:r>
                <a:endParaRPr lang="id-ID" sz="900"/>
              </a:p>
            </c:rich>
          </c:tx>
          <c:overlay val="0"/>
        </c:title>
        <c:numFmt formatCode="0" sourceLinked="0"/>
        <c:majorTickMark val="out"/>
        <c:minorTickMark val="none"/>
        <c:tickLblPos val="nextTo"/>
        <c:txPr>
          <a:bodyPr/>
          <a:lstStyle/>
          <a:p>
            <a:pPr>
              <a:defRPr sz="900"/>
            </a:pPr>
            <a:endParaRPr lang="en-US"/>
          </a:p>
        </c:txPr>
        <c:crossAx val="-612687680"/>
        <c:crosses val="autoZero"/>
        <c:crossBetween val="between"/>
        <c:majorUnit val="3"/>
      </c:valAx>
    </c:plotArea>
    <c:legend>
      <c:legendPos val="t"/>
      <c:overlay val="0"/>
      <c:txPr>
        <a:bodyPr/>
        <a:lstStyle/>
        <a:p>
          <a:pPr>
            <a:defRPr sz="900"/>
          </a:pPr>
          <a:endParaRPr lang="en-US"/>
        </a:p>
      </c:txPr>
    </c:legend>
    <c:plotVisOnly val="1"/>
    <c:dispBlanksAs val="gap"/>
    <c:showDLblsOverMax val="0"/>
  </c:chart>
  <c:spPr>
    <a:ln w="6350">
      <a:solidFill>
        <a:schemeClr val="tx1"/>
      </a:solidFill>
    </a:ln>
  </c:spPr>
  <c:txPr>
    <a:bodyPr/>
    <a:lstStyle/>
    <a:p>
      <a:pPr>
        <a:defRPr sz="1000">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ML!$B$1</c:f>
              <c:strCache>
                <c:ptCount val="1"/>
                <c:pt idx="0">
                  <c:v>ENR 25</c:v>
                </c:pt>
              </c:strCache>
            </c:strRef>
          </c:tx>
          <c:spPr>
            <a:solidFill>
              <a:schemeClr val="bg1">
                <a:lumMod val="85000"/>
              </a:schemeClr>
            </a:solidFill>
            <a:ln w="19050">
              <a:solidFill>
                <a:schemeClr val="tx1"/>
              </a:solidFill>
            </a:ln>
          </c:spPr>
          <c:invertIfNegative val="0"/>
          <c:cat>
            <c:numRef>
              <c:f>ML!$A$2:$A$7</c:f>
              <c:numCache>
                <c:formatCode>0.0</c:formatCode>
                <c:ptCount val="6"/>
                <c:pt idx="0">
                  <c:v>0</c:v>
                </c:pt>
                <c:pt idx="1">
                  <c:v>5</c:v>
                </c:pt>
                <c:pt idx="2">
                  <c:v>10</c:v>
                </c:pt>
                <c:pt idx="3">
                  <c:v>15</c:v>
                </c:pt>
                <c:pt idx="4">
                  <c:v>20</c:v>
                </c:pt>
                <c:pt idx="5">
                  <c:v>25</c:v>
                </c:pt>
              </c:numCache>
            </c:numRef>
          </c:cat>
          <c:val>
            <c:numRef>
              <c:f>ML!$B$2:$B$7</c:f>
              <c:numCache>
                <c:formatCode>0.00</c:formatCode>
                <c:ptCount val="6"/>
                <c:pt idx="0">
                  <c:v>7.0000000000000007E-2</c:v>
                </c:pt>
                <c:pt idx="1">
                  <c:v>0.04</c:v>
                </c:pt>
                <c:pt idx="2">
                  <c:v>0.04</c:v>
                </c:pt>
                <c:pt idx="3">
                  <c:v>0.04</c:v>
                </c:pt>
                <c:pt idx="4">
                  <c:v>0.04</c:v>
                </c:pt>
                <c:pt idx="5">
                  <c:v>0.04</c:v>
                </c:pt>
              </c:numCache>
            </c:numRef>
          </c:val>
          <c:extLst>
            <c:ext xmlns:c16="http://schemas.microsoft.com/office/drawing/2014/chart" uri="{C3380CC4-5D6E-409C-BE32-E72D297353CC}">
              <c16:uniqueId val="{00000000-D782-472A-B1B9-CA04AC2E2CC4}"/>
            </c:ext>
          </c:extLst>
        </c:ser>
        <c:ser>
          <c:idx val="1"/>
          <c:order val="1"/>
          <c:tx>
            <c:strRef>
              <c:f>ML!$C$1</c:f>
              <c:strCache>
                <c:ptCount val="1"/>
                <c:pt idx="0">
                  <c:v>ENR 50</c:v>
                </c:pt>
              </c:strCache>
            </c:strRef>
          </c:tx>
          <c:spPr>
            <a:solidFill>
              <a:schemeClr val="tx1">
                <a:lumMod val="50000"/>
                <a:lumOff val="50000"/>
              </a:schemeClr>
            </a:solidFill>
            <a:ln w="19050">
              <a:solidFill>
                <a:sysClr val="windowText" lastClr="000000"/>
              </a:solidFill>
            </a:ln>
          </c:spPr>
          <c:invertIfNegative val="0"/>
          <c:dLbls>
            <c:dLbl>
              <c:idx val="0"/>
              <c:layout>
                <c:manualLayout>
                  <c:x val="-1.9444444444444445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782-472A-B1B9-CA04AC2E2CC4}"/>
                </c:ext>
              </c:extLst>
            </c:dLbl>
            <c:dLbl>
              <c:idx val="1"/>
              <c:layout>
                <c:manualLayout>
                  <c:x val="-1.9444444444444445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782-472A-B1B9-CA04AC2E2CC4}"/>
                </c:ext>
              </c:extLst>
            </c:dLbl>
            <c:dLbl>
              <c:idx val="2"/>
              <c:layout>
                <c:manualLayout>
                  <c:x val="-1.666666666666667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782-472A-B1B9-CA04AC2E2CC4}"/>
                </c:ext>
              </c:extLst>
            </c:dLbl>
            <c:dLbl>
              <c:idx val="3"/>
              <c:layout>
                <c:manualLayout>
                  <c:x val="-1.666666666666667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782-472A-B1B9-CA04AC2E2CC4}"/>
                </c:ext>
              </c:extLst>
            </c:dLbl>
            <c:dLbl>
              <c:idx val="4"/>
              <c:layout>
                <c:manualLayout>
                  <c:x val="-2.222222222222223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782-472A-B1B9-CA04AC2E2CC4}"/>
                </c:ext>
              </c:extLst>
            </c:dLbl>
            <c:dLbl>
              <c:idx val="5"/>
              <c:layout>
                <c:manualLayout>
                  <c:x val="-1.666666666666667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782-472A-B1B9-CA04AC2E2CC4}"/>
                </c:ext>
              </c:extLst>
            </c:dLbl>
            <c:spPr>
              <a:noFill/>
              <a:ln>
                <a:noFill/>
              </a:ln>
              <a:effectLst/>
            </c:spPr>
            <c:txPr>
              <a:bodyPr wrap="square" lIns="38100" tIns="19050" rIns="38100" bIns="19050" anchor="ctr">
                <a:spAutoFit/>
              </a:bodyPr>
              <a:lstStyle/>
              <a:p>
                <a:pPr>
                  <a:defRPr sz="9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ML!$A$2:$A$7</c:f>
              <c:numCache>
                <c:formatCode>0.0</c:formatCode>
                <c:ptCount val="6"/>
                <c:pt idx="0">
                  <c:v>0</c:v>
                </c:pt>
                <c:pt idx="1">
                  <c:v>5</c:v>
                </c:pt>
                <c:pt idx="2">
                  <c:v>10</c:v>
                </c:pt>
                <c:pt idx="3">
                  <c:v>15</c:v>
                </c:pt>
                <c:pt idx="4">
                  <c:v>20</c:v>
                </c:pt>
                <c:pt idx="5">
                  <c:v>25</c:v>
                </c:pt>
              </c:numCache>
            </c:numRef>
          </c:cat>
          <c:val>
            <c:numRef>
              <c:f>ML!$C$2:$C$7</c:f>
              <c:numCache>
                <c:formatCode>0.00</c:formatCode>
                <c:ptCount val="6"/>
                <c:pt idx="0">
                  <c:v>7.0000000000000007E-2</c:v>
                </c:pt>
                <c:pt idx="1">
                  <c:v>0.04</c:v>
                </c:pt>
                <c:pt idx="2">
                  <c:v>0.04</c:v>
                </c:pt>
                <c:pt idx="3">
                  <c:v>0.04</c:v>
                </c:pt>
                <c:pt idx="4">
                  <c:v>0.04</c:v>
                </c:pt>
                <c:pt idx="5">
                  <c:v>0.04</c:v>
                </c:pt>
              </c:numCache>
            </c:numRef>
          </c:val>
          <c:extLst>
            <c:ext xmlns:c16="http://schemas.microsoft.com/office/drawing/2014/chart" uri="{C3380CC4-5D6E-409C-BE32-E72D297353CC}">
              <c16:uniqueId val="{00000007-D782-472A-B1B9-CA04AC2E2CC4}"/>
            </c:ext>
          </c:extLst>
        </c:ser>
        <c:dLbls>
          <c:showLegendKey val="0"/>
          <c:showVal val="0"/>
          <c:showCatName val="0"/>
          <c:showSerName val="0"/>
          <c:showPercent val="0"/>
          <c:showBubbleSize val="0"/>
        </c:dLbls>
        <c:gapWidth val="150"/>
        <c:axId val="-612695840"/>
        <c:axId val="-612686048"/>
      </c:barChart>
      <c:catAx>
        <c:axId val="-612695840"/>
        <c:scaling>
          <c:orientation val="minMax"/>
        </c:scaling>
        <c:delete val="0"/>
        <c:axPos val="b"/>
        <c:title>
          <c:tx>
            <c:rich>
              <a:bodyPr/>
              <a:lstStyle/>
              <a:p>
                <a:pPr>
                  <a:defRPr sz="900"/>
                </a:pPr>
                <a:r>
                  <a:rPr lang="en-US" sz="900"/>
                  <a:t>ENRs Loading (phr)</a:t>
                </a:r>
                <a:endParaRPr lang="id-ID" sz="900"/>
              </a:p>
            </c:rich>
          </c:tx>
          <c:overlay val="0"/>
        </c:title>
        <c:numFmt formatCode="0.0" sourceLinked="1"/>
        <c:majorTickMark val="out"/>
        <c:minorTickMark val="none"/>
        <c:tickLblPos val="nextTo"/>
        <c:txPr>
          <a:bodyPr/>
          <a:lstStyle/>
          <a:p>
            <a:pPr>
              <a:defRPr sz="900"/>
            </a:pPr>
            <a:endParaRPr lang="en-US"/>
          </a:p>
        </c:txPr>
        <c:crossAx val="-612686048"/>
        <c:crosses val="autoZero"/>
        <c:auto val="1"/>
        <c:lblAlgn val="ctr"/>
        <c:lblOffset val="100"/>
        <c:noMultiLvlLbl val="0"/>
      </c:catAx>
      <c:valAx>
        <c:axId val="-612686048"/>
        <c:scaling>
          <c:orientation val="minMax"/>
          <c:max val="0.1"/>
        </c:scaling>
        <c:delete val="0"/>
        <c:axPos val="l"/>
        <c:majorGridlines>
          <c:spPr>
            <a:ln w="3175">
              <a:prstDash val="sysDot"/>
            </a:ln>
          </c:spPr>
        </c:majorGridlines>
        <c:title>
          <c:tx>
            <c:rich>
              <a:bodyPr/>
              <a:lstStyle/>
              <a:p>
                <a:pPr>
                  <a:defRPr sz="900"/>
                </a:pPr>
                <a:r>
                  <a:rPr lang="en-US" sz="900"/>
                  <a:t>Minimum torque (dN.m)</a:t>
                </a:r>
                <a:endParaRPr lang="id-ID" sz="900"/>
              </a:p>
            </c:rich>
          </c:tx>
          <c:layout>
            <c:manualLayout>
              <c:xMode val="edge"/>
              <c:yMode val="edge"/>
              <c:x val="3.0555555555555555E-2"/>
              <c:y val="0.20023111694371537"/>
            </c:manualLayout>
          </c:layout>
          <c:overlay val="0"/>
        </c:title>
        <c:numFmt formatCode="0.00" sourceLinked="1"/>
        <c:majorTickMark val="out"/>
        <c:minorTickMark val="none"/>
        <c:tickLblPos val="nextTo"/>
        <c:txPr>
          <a:bodyPr/>
          <a:lstStyle/>
          <a:p>
            <a:pPr>
              <a:defRPr sz="900"/>
            </a:pPr>
            <a:endParaRPr lang="en-US"/>
          </a:p>
        </c:txPr>
        <c:crossAx val="-612695840"/>
        <c:crosses val="autoZero"/>
        <c:crossBetween val="between"/>
        <c:majorUnit val="2.0000000000000007E-2"/>
      </c:valAx>
    </c:plotArea>
    <c:legend>
      <c:legendPos val="t"/>
      <c:overlay val="0"/>
      <c:txPr>
        <a:bodyPr/>
        <a:lstStyle/>
        <a:p>
          <a:pPr>
            <a:defRPr sz="900"/>
          </a:pPr>
          <a:endParaRPr lang="en-US"/>
        </a:p>
      </c:txPr>
    </c:legend>
    <c:plotVisOnly val="1"/>
    <c:dispBlanksAs val="gap"/>
    <c:showDLblsOverMax val="0"/>
  </c:chart>
  <c:spPr>
    <a:ln w="6350">
      <a:solidFill>
        <a:schemeClr val="tx1"/>
      </a:solidFill>
    </a:ln>
  </c:spPr>
  <c:txPr>
    <a:bodyPr/>
    <a:lstStyle/>
    <a:p>
      <a:pPr>
        <a:defRPr sz="1000">
          <a:latin typeface="Times New Roman" pitchFamily="18" charset="0"/>
          <a:cs typeface="Times New Roman"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MH!$B$1</c:f>
              <c:strCache>
                <c:ptCount val="1"/>
                <c:pt idx="0">
                  <c:v>ENR 25</c:v>
                </c:pt>
              </c:strCache>
            </c:strRef>
          </c:tx>
          <c:spPr>
            <a:solidFill>
              <a:schemeClr val="bg1">
                <a:lumMod val="85000"/>
              </a:schemeClr>
            </a:solidFill>
            <a:ln w="19050">
              <a:solidFill>
                <a:schemeClr val="tx1"/>
              </a:solidFill>
            </a:ln>
          </c:spPr>
          <c:invertIfNegative val="0"/>
          <c:dLbls>
            <c:dLbl>
              <c:idx val="0"/>
              <c:layout>
                <c:manualLayout>
                  <c:x val="1.9444444444444445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A61-4459-A0AC-B67365896888}"/>
                </c:ext>
              </c:extLst>
            </c:dLbl>
            <c:dLbl>
              <c:idx val="1"/>
              <c:layout>
                <c:manualLayout>
                  <c:x val="-5.5555555555555558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A61-4459-A0AC-B67365896888}"/>
                </c:ext>
              </c:extLst>
            </c:dLbl>
            <c:dLbl>
              <c:idx val="2"/>
              <c:layout>
                <c:manualLayout>
                  <c:x val="-5.5555555555555558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A61-4459-A0AC-B67365896888}"/>
                </c:ext>
              </c:extLst>
            </c:dLbl>
            <c:dLbl>
              <c:idx val="3"/>
              <c:layout>
                <c:manualLayout>
                  <c:x val="-5.5555555555555558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A61-4459-A0AC-B67365896888}"/>
                </c:ext>
              </c:extLst>
            </c:dLbl>
            <c:dLbl>
              <c:idx val="4"/>
              <c:layout>
                <c:manualLayout>
                  <c:x val="-5.5555555555556555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A61-4459-A0AC-B67365896888}"/>
                </c:ext>
              </c:extLst>
            </c:dLbl>
            <c:dLbl>
              <c:idx val="5"/>
              <c:layout>
                <c:manualLayout>
                  <c:x val="-2.7777777777777861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A61-4459-A0AC-B67365896888}"/>
                </c:ext>
              </c:extLst>
            </c:dLbl>
            <c:spPr>
              <a:noFill/>
              <a:ln>
                <a:noFill/>
              </a:ln>
              <a:effectLst/>
            </c:spPr>
            <c:txPr>
              <a:bodyPr wrap="square" lIns="38100" tIns="19050" rIns="38100" bIns="19050" anchor="ctr">
                <a:spAutoFit/>
              </a:bodyPr>
              <a:lstStyle/>
              <a:p>
                <a:pPr>
                  <a:defRPr sz="9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MH!$A$2:$A$7</c:f>
              <c:numCache>
                <c:formatCode>0.0</c:formatCode>
                <c:ptCount val="6"/>
                <c:pt idx="0">
                  <c:v>0</c:v>
                </c:pt>
                <c:pt idx="1">
                  <c:v>5</c:v>
                </c:pt>
                <c:pt idx="2">
                  <c:v>10</c:v>
                </c:pt>
                <c:pt idx="3">
                  <c:v>15</c:v>
                </c:pt>
                <c:pt idx="4">
                  <c:v>20</c:v>
                </c:pt>
                <c:pt idx="5">
                  <c:v>25</c:v>
                </c:pt>
              </c:numCache>
            </c:numRef>
          </c:cat>
          <c:val>
            <c:numRef>
              <c:f>MH!$B$2:$B$7</c:f>
              <c:numCache>
                <c:formatCode>0.00</c:formatCode>
                <c:ptCount val="6"/>
                <c:pt idx="0">
                  <c:v>5.69</c:v>
                </c:pt>
                <c:pt idx="1">
                  <c:v>5.75</c:v>
                </c:pt>
                <c:pt idx="2">
                  <c:v>5.91</c:v>
                </c:pt>
                <c:pt idx="3">
                  <c:v>5.97</c:v>
                </c:pt>
                <c:pt idx="4">
                  <c:v>6.05</c:v>
                </c:pt>
                <c:pt idx="5">
                  <c:v>6.08</c:v>
                </c:pt>
              </c:numCache>
            </c:numRef>
          </c:val>
          <c:extLst>
            <c:ext xmlns:c16="http://schemas.microsoft.com/office/drawing/2014/chart" uri="{C3380CC4-5D6E-409C-BE32-E72D297353CC}">
              <c16:uniqueId val="{00000006-CA61-4459-A0AC-B67365896888}"/>
            </c:ext>
          </c:extLst>
        </c:ser>
        <c:ser>
          <c:idx val="1"/>
          <c:order val="1"/>
          <c:tx>
            <c:strRef>
              <c:f>MH!$C$1</c:f>
              <c:strCache>
                <c:ptCount val="1"/>
                <c:pt idx="0">
                  <c:v>ENR 50</c:v>
                </c:pt>
              </c:strCache>
            </c:strRef>
          </c:tx>
          <c:spPr>
            <a:solidFill>
              <a:schemeClr val="tx1">
                <a:lumMod val="50000"/>
                <a:lumOff val="50000"/>
              </a:schemeClr>
            </a:solidFill>
            <a:ln w="19050">
              <a:solidFill>
                <a:sysClr val="windowText" lastClr="000000"/>
              </a:solidFill>
            </a:ln>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7-CA61-4459-A0AC-B67365896888}"/>
                </c:ext>
              </c:extLst>
            </c:dLbl>
            <c:dLbl>
              <c:idx val="1"/>
              <c:layout>
                <c:manualLayout>
                  <c:x val="1.944433255597857E-2"/>
                  <c:y val="-2.940311673037339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A61-4459-A0AC-B67365896888}"/>
                </c:ext>
              </c:extLst>
            </c:dLbl>
            <c:dLbl>
              <c:idx val="2"/>
              <c:layout>
                <c:manualLayout>
                  <c:x val="1.9444332555978508E-2"/>
                  <c:y val="-1.764187003822405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A61-4459-A0AC-B67365896888}"/>
                </c:ext>
              </c:extLst>
            </c:dLbl>
            <c:dLbl>
              <c:idx val="3"/>
              <c:layout>
                <c:manualLayout>
                  <c:x val="1.6666689816004433E-2"/>
                  <c:y val="-2.352295642550708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A61-4459-A0AC-B67365896888}"/>
                </c:ext>
              </c:extLst>
            </c:dLbl>
            <c:dLbl>
              <c:idx val="4"/>
              <c:layout>
                <c:manualLayout>
                  <c:x val="1.944433255597857E-2"/>
                  <c:y val="-2.940311673037341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A61-4459-A0AC-B67365896888}"/>
                </c:ext>
              </c:extLst>
            </c:dLbl>
            <c:dLbl>
              <c:idx val="5"/>
              <c:layout>
                <c:manualLayout>
                  <c:x val="1.944433255597857E-2"/>
                  <c:y val="-2.352249338429876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CA61-4459-A0AC-B67365896888}"/>
                </c:ext>
              </c:extLst>
            </c:dLbl>
            <c:spPr>
              <a:noFill/>
              <a:ln>
                <a:noFill/>
              </a:ln>
              <a:effectLst/>
            </c:spPr>
            <c:txPr>
              <a:bodyPr wrap="square" lIns="38100" tIns="19050" rIns="38100" bIns="19050" anchor="ctr">
                <a:spAutoFit/>
              </a:bodyPr>
              <a:lstStyle/>
              <a:p>
                <a:pPr>
                  <a:defRPr sz="9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MH!$A$2:$A$7</c:f>
              <c:numCache>
                <c:formatCode>0.0</c:formatCode>
                <c:ptCount val="6"/>
                <c:pt idx="0">
                  <c:v>0</c:v>
                </c:pt>
                <c:pt idx="1">
                  <c:v>5</c:v>
                </c:pt>
                <c:pt idx="2">
                  <c:v>10</c:v>
                </c:pt>
                <c:pt idx="3">
                  <c:v>15</c:v>
                </c:pt>
                <c:pt idx="4">
                  <c:v>20</c:v>
                </c:pt>
                <c:pt idx="5">
                  <c:v>25</c:v>
                </c:pt>
              </c:numCache>
            </c:numRef>
          </c:cat>
          <c:val>
            <c:numRef>
              <c:f>MH!$C$2:$C$7</c:f>
              <c:numCache>
                <c:formatCode>0.00</c:formatCode>
                <c:ptCount val="6"/>
                <c:pt idx="0">
                  <c:v>5.69</c:v>
                </c:pt>
                <c:pt idx="1">
                  <c:v>5.79</c:v>
                </c:pt>
                <c:pt idx="2">
                  <c:v>5.94</c:v>
                </c:pt>
                <c:pt idx="3">
                  <c:v>5.99</c:v>
                </c:pt>
                <c:pt idx="4">
                  <c:v>6.09</c:v>
                </c:pt>
                <c:pt idx="5">
                  <c:v>6.13</c:v>
                </c:pt>
              </c:numCache>
            </c:numRef>
          </c:val>
          <c:extLst>
            <c:ext xmlns:c16="http://schemas.microsoft.com/office/drawing/2014/chart" uri="{C3380CC4-5D6E-409C-BE32-E72D297353CC}">
              <c16:uniqueId val="{0000000D-CA61-4459-A0AC-B67365896888}"/>
            </c:ext>
          </c:extLst>
        </c:ser>
        <c:dLbls>
          <c:showLegendKey val="0"/>
          <c:showVal val="0"/>
          <c:showCatName val="0"/>
          <c:showSerName val="0"/>
          <c:showPercent val="0"/>
          <c:showBubbleSize val="0"/>
        </c:dLbls>
        <c:gapWidth val="150"/>
        <c:axId val="-612694208"/>
        <c:axId val="-612692576"/>
      </c:barChart>
      <c:catAx>
        <c:axId val="-612694208"/>
        <c:scaling>
          <c:orientation val="minMax"/>
        </c:scaling>
        <c:delete val="0"/>
        <c:axPos val="b"/>
        <c:title>
          <c:tx>
            <c:rich>
              <a:bodyPr/>
              <a:lstStyle/>
              <a:p>
                <a:pPr>
                  <a:defRPr sz="900"/>
                </a:pPr>
                <a:r>
                  <a:rPr lang="en-US" sz="900"/>
                  <a:t>ENRs Loading (phr)</a:t>
                </a:r>
                <a:endParaRPr lang="id-ID" sz="900"/>
              </a:p>
            </c:rich>
          </c:tx>
          <c:overlay val="0"/>
        </c:title>
        <c:numFmt formatCode="0.0" sourceLinked="1"/>
        <c:majorTickMark val="out"/>
        <c:minorTickMark val="none"/>
        <c:tickLblPos val="nextTo"/>
        <c:txPr>
          <a:bodyPr/>
          <a:lstStyle/>
          <a:p>
            <a:pPr>
              <a:defRPr sz="900"/>
            </a:pPr>
            <a:endParaRPr lang="en-US"/>
          </a:p>
        </c:txPr>
        <c:crossAx val="-612692576"/>
        <c:crosses val="autoZero"/>
        <c:auto val="1"/>
        <c:lblAlgn val="ctr"/>
        <c:lblOffset val="100"/>
        <c:noMultiLvlLbl val="0"/>
      </c:catAx>
      <c:valAx>
        <c:axId val="-612692576"/>
        <c:scaling>
          <c:orientation val="minMax"/>
          <c:max val="8"/>
        </c:scaling>
        <c:delete val="0"/>
        <c:axPos val="l"/>
        <c:majorGridlines>
          <c:spPr>
            <a:ln w="3175">
              <a:prstDash val="sysDot"/>
            </a:ln>
          </c:spPr>
        </c:majorGridlines>
        <c:title>
          <c:tx>
            <c:rich>
              <a:bodyPr/>
              <a:lstStyle/>
              <a:p>
                <a:pPr>
                  <a:defRPr/>
                </a:pPr>
                <a:r>
                  <a:rPr lang="en-US"/>
                  <a:t>Maximum torque (dN.m)</a:t>
                </a:r>
                <a:endParaRPr lang="id-ID"/>
              </a:p>
            </c:rich>
          </c:tx>
          <c:layout>
            <c:manualLayout>
              <c:xMode val="edge"/>
              <c:yMode val="edge"/>
              <c:x val="3.0555555555555555E-2"/>
              <c:y val="0.20949037620297467"/>
            </c:manualLayout>
          </c:layout>
          <c:overlay val="0"/>
        </c:title>
        <c:numFmt formatCode="0" sourceLinked="0"/>
        <c:majorTickMark val="out"/>
        <c:minorTickMark val="none"/>
        <c:tickLblPos val="nextTo"/>
        <c:txPr>
          <a:bodyPr/>
          <a:lstStyle/>
          <a:p>
            <a:pPr>
              <a:defRPr sz="900"/>
            </a:pPr>
            <a:endParaRPr lang="en-US"/>
          </a:p>
        </c:txPr>
        <c:crossAx val="-612694208"/>
        <c:crosses val="autoZero"/>
        <c:crossBetween val="between"/>
        <c:majorUnit val="2"/>
      </c:valAx>
    </c:plotArea>
    <c:legend>
      <c:legendPos val="t"/>
      <c:overlay val="0"/>
      <c:txPr>
        <a:bodyPr/>
        <a:lstStyle/>
        <a:p>
          <a:pPr>
            <a:defRPr sz="900"/>
          </a:pPr>
          <a:endParaRPr lang="en-US"/>
        </a:p>
      </c:txPr>
    </c:legend>
    <c:plotVisOnly val="1"/>
    <c:dispBlanksAs val="gap"/>
    <c:showDLblsOverMax val="0"/>
  </c:chart>
  <c:spPr>
    <a:ln w="6350"/>
  </c:spPr>
  <c:txPr>
    <a:bodyPr/>
    <a:lstStyle/>
    <a:p>
      <a:pPr>
        <a:defRPr sz="1000">
          <a:latin typeface="Times New Roman" pitchFamily="18" charset="0"/>
          <a:cs typeface="Times New Roman"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'Diff torque'!$B$1</c:f>
              <c:strCache>
                <c:ptCount val="1"/>
                <c:pt idx="0">
                  <c:v>ENR 25</c:v>
                </c:pt>
              </c:strCache>
            </c:strRef>
          </c:tx>
          <c:spPr>
            <a:solidFill>
              <a:schemeClr val="bg1">
                <a:lumMod val="85000"/>
              </a:schemeClr>
            </a:solidFill>
            <a:ln w="19050">
              <a:solidFill>
                <a:schemeClr val="tx1"/>
              </a:solidFill>
            </a:ln>
          </c:spPr>
          <c:invertIfNegative val="0"/>
          <c:dLbls>
            <c:dLbl>
              <c:idx val="0"/>
              <c:layout>
                <c:manualLayout>
                  <c:x val="1.9444444444444445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EC6-4902-A71E-E14F580B9251}"/>
                </c:ext>
              </c:extLst>
            </c:dLbl>
            <c:dLbl>
              <c:idx val="1"/>
              <c:layout>
                <c:manualLayout>
                  <c:x val="-5.5555555555555558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EC6-4902-A71E-E14F580B9251}"/>
                </c:ext>
              </c:extLst>
            </c:dLbl>
            <c:dLbl>
              <c:idx val="2"/>
              <c:layout>
                <c:manualLayout>
                  <c:x val="-5.5555555555555558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EC6-4902-A71E-E14F580B9251}"/>
                </c:ext>
              </c:extLst>
            </c:dLbl>
            <c:dLbl>
              <c:idx val="3"/>
              <c:layout>
                <c:manualLayout>
                  <c:x val="-5.5555555555555558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EC6-4902-A71E-E14F580B9251}"/>
                </c:ext>
              </c:extLst>
            </c:dLbl>
            <c:dLbl>
              <c:idx val="4"/>
              <c:layout>
                <c:manualLayout>
                  <c:x val="-5.5555555555556555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EC6-4902-A71E-E14F580B9251}"/>
                </c:ext>
              </c:extLst>
            </c:dLbl>
            <c:dLbl>
              <c:idx val="5"/>
              <c:layout>
                <c:manualLayout>
                  <c:x val="-2.7777777777777835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EC6-4902-A71E-E14F580B9251}"/>
                </c:ext>
              </c:extLst>
            </c:dLbl>
            <c:spPr>
              <a:noFill/>
              <a:ln>
                <a:noFill/>
              </a:ln>
              <a:effectLst/>
            </c:spPr>
            <c:txPr>
              <a:bodyPr wrap="square" lIns="38100" tIns="19050" rIns="38100" bIns="19050" anchor="ctr">
                <a:spAutoFit/>
              </a:bodyPr>
              <a:lstStyle/>
              <a:p>
                <a:pPr>
                  <a:defRPr sz="9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'Diff torque'!$A$2:$A$7</c:f>
              <c:numCache>
                <c:formatCode>0.0</c:formatCode>
                <c:ptCount val="6"/>
                <c:pt idx="0">
                  <c:v>0</c:v>
                </c:pt>
                <c:pt idx="1">
                  <c:v>5</c:v>
                </c:pt>
                <c:pt idx="2">
                  <c:v>10</c:v>
                </c:pt>
                <c:pt idx="3">
                  <c:v>15</c:v>
                </c:pt>
                <c:pt idx="4">
                  <c:v>20</c:v>
                </c:pt>
                <c:pt idx="5">
                  <c:v>25</c:v>
                </c:pt>
              </c:numCache>
            </c:numRef>
          </c:cat>
          <c:val>
            <c:numRef>
              <c:f>'Diff torque'!$B$2:$B$7</c:f>
              <c:numCache>
                <c:formatCode>0.00</c:formatCode>
                <c:ptCount val="6"/>
                <c:pt idx="0">
                  <c:v>5.62</c:v>
                </c:pt>
                <c:pt idx="1">
                  <c:v>5.71</c:v>
                </c:pt>
                <c:pt idx="2">
                  <c:v>5.87</c:v>
                </c:pt>
                <c:pt idx="3">
                  <c:v>5.93</c:v>
                </c:pt>
                <c:pt idx="4">
                  <c:v>6.01</c:v>
                </c:pt>
                <c:pt idx="5">
                  <c:v>6.04</c:v>
                </c:pt>
              </c:numCache>
            </c:numRef>
          </c:val>
          <c:extLst>
            <c:ext xmlns:c16="http://schemas.microsoft.com/office/drawing/2014/chart" uri="{C3380CC4-5D6E-409C-BE32-E72D297353CC}">
              <c16:uniqueId val="{00000006-8EC6-4902-A71E-E14F580B9251}"/>
            </c:ext>
          </c:extLst>
        </c:ser>
        <c:ser>
          <c:idx val="1"/>
          <c:order val="1"/>
          <c:tx>
            <c:strRef>
              <c:f>'Diff torque'!$C$1</c:f>
              <c:strCache>
                <c:ptCount val="1"/>
                <c:pt idx="0">
                  <c:v>ENR 50</c:v>
                </c:pt>
              </c:strCache>
            </c:strRef>
          </c:tx>
          <c:spPr>
            <a:solidFill>
              <a:schemeClr val="tx1">
                <a:lumMod val="50000"/>
                <a:lumOff val="50000"/>
              </a:schemeClr>
            </a:solidFill>
            <a:ln w="19050">
              <a:solidFill>
                <a:sysClr val="windowText" lastClr="000000"/>
              </a:solidFill>
            </a:ln>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7-8EC6-4902-A71E-E14F580B9251}"/>
                </c:ext>
              </c:extLst>
            </c:dLbl>
            <c:dLbl>
              <c:idx val="1"/>
              <c:layout>
                <c:manualLayout>
                  <c:x val="1.2388414404629127E-2"/>
                  <c:y val="-3.528374007644810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EC6-4902-A71E-E14F580B9251}"/>
                </c:ext>
              </c:extLst>
            </c:dLbl>
            <c:dLbl>
              <c:idx val="2"/>
              <c:layout>
                <c:manualLayout>
                  <c:x val="1.5916373480303784E-2"/>
                  <c:y val="-2.940311673037341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EC6-4902-A71E-E14F580B9251}"/>
                </c:ext>
              </c:extLst>
            </c:dLbl>
            <c:dLbl>
              <c:idx val="3"/>
              <c:layout>
                <c:manualLayout>
                  <c:x val="1.6666689816004433E-2"/>
                  <c:y val="-2.940357977158179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EC6-4902-A71E-E14F580B9251}"/>
                </c:ext>
              </c:extLst>
            </c:dLbl>
            <c:dLbl>
              <c:idx val="4"/>
              <c:layout>
                <c:manualLayout>
                  <c:x val="1.591637348030385E-2"/>
                  <c:y val="-3.528374007644810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EC6-4902-A71E-E14F580B9251}"/>
                </c:ext>
              </c:extLst>
            </c:dLbl>
            <c:dLbl>
              <c:idx val="5"/>
              <c:layout>
                <c:manualLayout>
                  <c:x val="1.591637348030385E-2"/>
                  <c:y val="-4.704498676859747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8EC6-4902-A71E-E14F580B9251}"/>
                </c:ext>
              </c:extLst>
            </c:dLbl>
            <c:spPr>
              <a:noFill/>
              <a:ln>
                <a:noFill/>
              </a:ln>
              <a:effectLst/>
            </c:spPr>
            <c:txPr>
              <a:bodyPr wrap="square" lIns="38100" tIns="19050" rIns="38100" bIns="19050" anchor="ctr">
                <a:spAutoFit/>
              </a:bodyPr>
              <a:lstStyle/>
              <a:p>
                <a:pPr>
                  <a:defRPr sz="9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'Diff torque'!$A$2:$A$7</c:f>
              <c:numCache>
                <c:formatCode>0.0</c:formatCode>
                <c:ptCount val="6"/>
                <c:pt idx="0">
                  <c:v>0</c:v>
                </c:pt>
                <c:pt idx="1">
                  <c:v>5</c:v>
                </c:pt>
                <c:pt idx="2">
                  <c:v>10</c:v>
                </c:pt>
                <c:pt idx="3">
                  <c:v>15</c:v>
                </c:pt>
                <c:pt idx="4">
                  <c:v>20</c:v>
                </c:pt>
                <c:pt idx="5">
                  <c:v>25</c:v>
                </c:pt>
              </c:numCache>
            </c:numRef>
          </c:cat>
          <c:val>
            <c:numRef>
              <c:f>'Diff torque'!$C$2:$C$7</c:f>
              <c:numCache>
                <c:formatCode>0.00</c:formatCode>
                <c:ptCount val="6"/>
                <c:pt idx="0">
                  <c:v>5.62</c:v>
                </c:pt>
                <c:pt idx="1">
                  <c:v>5.75</c:v>
                </c:pt>
                <c:pt idx="2">
                  <c:v>5.9</c:v>
                </c:pt>
                <c:pt idx="3">
                  <c:v>5.95</c:v>
                </c:pt>
                <c:pt idx="4">
                  <c:v>6.05</c:v>
                </c:pt>
                <c:pt idx="5">
                  <c:v>6.09</c:v>
                </c:pt>
              </c:numCache>
            </c:numRef>
          </c:val>
          <c:extLst>
            <c:ext xmlns:c16="http://schemas.microsoft.com/office/drawing/2014/chart" uri="{C3380CC4-5D6E-409C-BE32-E72D297353CC}">
              <c16:uniqueId val="{0000000D-8EC6-4902-A71E-E14F580B9251}"/>
            </c:ext>
          </c:extLst>
        </c:ser>
        <c:dLbls>
          <c:showLegendKey val="0"/>
          <c:showVal val="0"/>
          <c:showCatName val="0"/>
          <c:showSerName val="0"/>
          <c:showPercent val="0"/>
          <c:showBubbleSize val="0"/>
        </c:dLbls>
        <c:gapWidth val="150"/>
        <c:axId val="-612692032"/>
        <c:axId val="-612691488"/>
      </c:barChart>
      <c:catAx>
        <c:axId val="-612692032"/>
        <c:scaling>
          <c:orientation val="minMax"/>
        </c:scaling>
        <c:delete val="0"/>
        <c:axPos val="b"/>
        <c:title>
          <c:tx>
            <c:rich>
              <a:bodyPr/>
              <a:lstStyle/>
              <a:p>
                <a:pPr>
                  <a:defRPr sz="900"/>
                </a:pPr>
                <a:r>
                  <a:rPr lang="en-US" sz="900"/>
                  <a:t>ENRs Loading (phr)</a:t>
                </a:r>
                <a:endParaRPr lang="id-ID" sz="900"/>
              </a:p>
            </c:rich>
          </c:tx>
          <c:overlay val="0"/>
        </c:title>
        <c:numFmt formatCode="0.0" sourceLinked="1"/>
        <c:majorTickMark val="out"/>
        <c:minorTickMark val="none"/>
        <c:tickLblPos val="nextTo"/>
        <c:txPr>
          <a:bodyPr/>
          <a:lstStyle/>
          <a:p>
            <a:pPr>
              <a:defRPr sz="900"/>
            </a:pPr>
            <a:endParaRPr lang="en-US"/>
          </a:p>
        </c:txPr>
        <c:crossAx val="-612691488"/>
        <c:crosses val="autoZero"/>
        <c:auto val="1"/>
        <c:lblAlgn val="ctr"/>
        <c:lblOffset val="100"/>
        <c:noMultiLvlLbl val="0"/>
      </c:catAx>
      <c:valAx>
        <c:axId val="-612691488"/>
        <c:scaling>
          <c:orientation val="minMax"/>
          <c:max val="8"/>
        </c:scaling>
        <c:delete val="0"/>
        <c:axPos val="l"/>
        <c:majorGridlines>
          <c:spPr>
            <a:ln w="3175">
              <a:prstDash val="sysDot"/>
            </a:ln>
          </c:spPr>
        </c:majorGridlines>
        <c:title>
          <c:tx>
            <c:rich>
              <a:bodyPr/>
              <a:lstStyle/>
              <a:p>
                <a:pPr>
                  <a:defRPr sz="900"/>
                </a:pPr>
                <a:r>
                  <a:rPr lang="en-US" sz="900"/>
                  <a:t>Torque difference (dN.m)</a:t>
                </a:r>
                <a:endParaRPr lang="id-ID" sz="900"/>
              </a:p>
            </c:rich>
          </c:tx>
          <c:layout>
            <c:manualLayout>
              <c:xMode val="edge"/>
              <c:yMode val="edge"/>
              <c:x val="3.0555555555555555E-2"/>
              <c:y val="0.19560148731408575"/>
            </c:manualLayout>
          </c:layout>
          <c:overlay val="0"/>
        </c:title>
        <c:numFmt formatCode="0" sourceLinked="0"/>
        <c:majorTickMark val="out"/>
        <c:minorTickMark val="none"/>
        <c:tickLblPos val="nextTo"/>
        <c:txPr>
          <a:bodyPr/>
          <a:lstStyle/>
          <a:p>
            <a:pPr>
              <a:defRPr sz="900"/>
            </a:pPr>
            <a:endParaRPr lang="en-US"/>
          </a:p>
        </c:txPr>
        <c:crossAx val="-612692032"/>
        <c:crosses val="autoZero"/>
        <c:crossBetween val="between"/>
        <c:majorUnit val="2"/>
      </c:valAx>
    </c:plotArea>
    <c:legend>
      <c:legendPos val="t"/>
      <c:overlay val="0"/>
      <c:txPr>
        <a:bodyPr/>
        <a:lstStyle/>
        <a:p>
          <a:pPr>
            <a:defRPr sz="900"/>
          </a:pPr>
          <a:endParaRPr lang="en-US"/>
        </a:p>
      </c:txPr>
    </c:legend>
    <c:plotVisOnly val="1"/>
    <c:dispBlanksAs val="gap"/>
    <c:showDLblsOverMax val="0"/>
  </c:chart>
  <c:spPr>
    <a:ln w="6350"/>
  </c:spPr>
  <c:txPr>
    <a:bodyPr/>
    <a:lstStyle/>
    <a:p>
      <a:pPr>
        <a:defRPr sz="1000">
          <a:latin typeface="Times New Roman" pitchFamily="18" charset="0"/>
          <a:cs typeface="Times New Roman" pitchFamily="18"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QfQg!$B$1</c:f>
              <c:strCache>
                <c:ptCount val="1"/>
                <c:pt idx="0">
                  <c:v>ENR 25</c:v>
                </c:pt>
              </c:strCache>
            </c:strRef>
          </c:tx>
          <c:spPr>
            <a:solidFill>
              <a:schemeClr val="bg1">
                <a:lumMod val="85000"/>
              </a:schemeClr>
            </a:solidFill>
            <a:ln w="19050">
              <a:solidFill>
                <a:schemeClr val="tx1"/>
              </a:solidFill>
            </a:ln>
          </c:spPr>
          <c:invertIfNegative val="0"/>
          <c:cat>
            <c:numRef>
              <c:f>QfQg!$A$2:$A$7</c:f>
              <c:numCache>
                <c:formatCode>0.0</c:formatCode>
                <c:ptCount val="6"/>
                <c:pt idx="0">
                  <c:v>0</c:v>
                </c:pt>
                <c:pt idx="1">
                  <c:v>5</c:v>
                </c:pt>
                <c:pt idx="2">
                  <c:v>10</c:v>
                </c:pt>
                <c:pt idx="3">
                  <c:v>15</c:v>
                </c:pt>
                <c:pt idx="4">
                  <c:v>20</c:v>
                </c:pt>
                <c:pt idx="5">
                  <c:v>25</c:v>
                </c:pt>
              </c:numCache>
            </c:numRef>
          </c:cat>
          <c:val>
            <c:numRef>
              <c:f>QfQg!$B$2:$B$7</c:f>
              <c:numCache>
                <c:formatCode>0.000</c:formatCode>
                <c:ptCount val="6"/>
                <c:pt idx="0">
                  <c:v>1.06847</c:v>
                </c:pt>
                <c:pt idx="1">
                  <c:v>1.049629999999985</c:v>
                </c:pt>
                <c:pt idx="2">
                  <c:v>1.0217999999999825</c:v>
                </c:pt>
                <c:pt idx="3">
                  <c:v>1.0080899999999999</c:v>
                </c:pt>
                <c:pt idx="4">
                  <c:v>1.000003</c:v>
                </c:pt>
                <c:pt idx="5">
                  <c:v>0.97430000000000005</c:v>
                </c:pt>
              </c:numCache>
            </c:numRef>
          </c:val>
          <c:extLst>
            <c:ext xmlns:c16="http://schemas.microsoft.com/office/drawing/2014/chart" uri="{C3380CC4-5D6E-409C-BE32-E72D297353CC}">
              <c16:uniqueId val="{00000000-5B90-43F4-908F-37F522E084B6}"/>
            </c:ext>
          </c:extLst>
        </c:ser>
        <c:ser>
          <c:idx val="1"/>
          <c:order val="1"/>
          <c:tx>
            <c:strRef>
              <c:f>QfQg!$C$1</c:f>
              <c:strCache>
                <c:ptCount val="1"/>
                <c:pt idx="0">
                  <c:v>ENR 50</c:v>
                </c:pt>
              </c:strCache>
            </c:strRef>
          </c:tx>
          <c:spPr>
            <a:solidFill>
              <a:schemeClr val="tx1">
                <a:lumMod val="50000"/>
                <a:lumOff val="50000"/>
              </a:schemeClr>
            </a:solidFill>
            <a:ln w="19050">
              <a:solidFill>
                <a:sysClr val="windowText" lastClr="000000"/>
              </a:solidFill>
            </a:ln>
          </c:spPr>
          <c:invertIfNegative val="0"/>
          <c:cat>
            <c:numRef>
              <c:f>QfQg!$A$2:$A$7</c:f>
              <c:numCache>
                <c:formatCode>0.0</c:formatCode>
                <c:ptCount val="6"/>
                <c:pt idx="0">
                  <c:v>0</c:v>
                </c:pt>
                <c:pt idx="1">
                  <c:v>5</c:v>
                </c:pt>
                <c:pt idx="2">
                  <c:v>10</c:v>
                </c:pt>
                <c:pt idx="3">
                  <c:v>15</c:v>
                </c:pt>
                <c:pt idx="4">
                  <c:v>20</c:v>
                </c:pt>
                <c:pt idx="5">
                  <c:v>25</c:v>
                </c:pt>
              </c:numCache>
            </c:numRef>
          </c:cat>
          <c:val>
            <c:numRef>
              <c:f>QfQg!$C$2:$C$7</c:f>
              <c:numCache>
                <c:formatCode>0.000</c:formatCode>
                <c:ptCount val="6"/>
                <c:pt idx="0">
                  <c:v>1.06847</c:v>
                </c:pt>
                <c:pt idx="1">
                  <c:v>1.0024599999999999</c:v>
                </c:pt>
                <c:pt idx="2">
                  <c:v>0.99725999999999959</c:v>
                </c:pt>
                <c:pt idx="3">
                  <c:v>0.99809999999999999</c:v>
                </c:pt>
                <c:pt idx="4">
                  <c:v>0.97990000000000599</c:v>
                </c:pt>
                <c:pt idx="5">
                  <c:v>0.95980000000000065</c:v>
                </c:pt>
              </c:numCache>
            </c:numRef>
          </c:val>
          <c:extLst>
            <c:ext xmlns:c16="http://schemas.microsoft.com/office/drawing/2014/chart" uri="{C3380CC4-5D6E-409C-BE32-E72D297353CC}">
              <c16:uniqueId val="{00000007-5B90-43F4-908F-37F522E084B6}"/>
            </c:ext>
          </c:extLst>
        </c:ser>
        <c:dLbls>
          <c:showLegendKey val="0"/>
          <c:showVal val="0"/>
          <c:showCatName val="0"/>
          <c:showSerName val="0"/>
          <c:showPercent val="0"/>
          <c:showBubbleSize val="0"/>
        </c:dLbls>
        <c:gapWidth val="150"/>
        <c:axId val="-737498384"/>
        <c:axId val="-737497840"/>
      </c:barChart>
      <c:catAx>
        <c:axId val="-737498384"/>
        <c:scaling>
          <c:orientation val="minMax"/>
        </c:scaling>
        <c:delete val="0"/>
        <c:axPos val="b"/>
        <c:title>
          <c:tx>
            <c:rich>
              <a:bodyPr/>
              <a:lstStyle/>
              <a:p>
                <a:pPr>
                  <a:defRPr sz="900"/>
                </a:pPr>
                <a:r>
                  <a:rPr lang="en-US" sz="900"/>
                  <a:t>ENRs Loading (phr)</a:t>
                </a:r>
                <a:endParaRPr lang="id-ID" sz="900"/>
              </a:p>
            </c:rich>
          </c:tx>
          <c:overlay val="0"/>
        </c:title>
        <c:numFmt formatCode="0.0" sourceLinked="1"/>
        <c:majorTickMark val="out"/>
        <c:minorTickMark val="none"/>
        <c:tickLblPos val="nextTo"/>
        <c:txPr>
          <a:bodyPr/>
          <a:lstStyle/>
          <a:p>
            <a:pPr>
              <a:defRPr sz="900"/>
            </a:pPr>
            <a:endParaRPr lang="en-US"/>
          </a:p>
        </c:txPr>
        <c:crossAx val="-737497840"/>
        <c:crosses val="autoZero"/>
        <c:auto val="1"/>
        <c:lblAlgn val="ctr"/>
        <c:lblOffset val="100"/>
        <c:noMultiLvlLbl val="0"/>
      </c:catAx>
      <c:valAx>
        <c:axId val="-737497840"/>
        <c:scaling>
          <c:orientation val="minMax"/>
          <c:min val="0"/>
        </c:scaling>
        <c:delete val="0"/>
        <c:axPos val="l"/>
        <c:majorGridlines>
          <c:spPr>
            <a:ln w="3175">
              <a:prstDash val="sysDot"/>
            </a:ln>
          </c:spPr>
        </c:majorGridlines>
        <c:title>
          <c:tx>
            <c:rich>
              <a:bodyPr/>
              <a:lstStyle/>
              <a:p>
                <a:pPr>
                  <a:defRPr sz="900"/>
                </a:pPr>
                <a:r>
                  <a:rPr lang="en-GB" sz="900"/>
                  <a:t>Value of Qf/Qg</a:t>
                </a:r>
                <a:endParaRPr lang="id-ID" sz="900"/>
              </a:p>
            </c:rich>
          </c:tx>
          <c:overlay val="0"/>
        </c:title>
        <c:numFmt formatCode="0.00" sourceLinked="0"/>
        <c:majorTickMark val="out"/>
        <c:minorTickMark val="none"/>
        <c:tickLblPos val="nextTo"/>
        <c:txPr>
          <a:bodyPr/>
          <a:lstStyle/>
          <a:p>
            <a:pPr>
              <a:defRPr sz="900"/>
            </a:pPr>
            <a:endParaRPr lang="en-US"/>
          </a:p>
        </c:txPr>
        <c:crossAx val="-737498384"/>
        <c:crosses val="autoZero"/>
        <c:crossBetween val="between"/>
        <c:majorUnit val="0.4"/>
      </c:valAx>
    </c:plotArea>
    <c:legend>
      <c:legendPos val="t"/>
      <c:overlay val="0"/>
      <c:txPr>
        <a:bodyPr/>
        <a:lstStyle/>
        <a:p>
          <a:pPr>
            <a:defRPr sz="900"/>
          </a:pPr>
          <a:endParaRPr lang="en-US"/>
        </a:p>
      </c:txPr>
    </c:legend>
    <c:plotVisOnly val="1"/>
    <c:dispBlanksAs val="gap"/>
    <c:showDLblsOverMax val="0"/>
  </c:chart>
  <c:spPr>
    <a:ln w="6350">
      <a:solidFill>
        <a:schemeClr val="tx1"/>
      </a:solidFill>
    </a:ln>
  </c:spPr>
  <c:txPr>
    <a:bodyPr/>
    <a:lstStyle/>
    <a:p>
      <a:pPr>
        <a:defRPr sz="1000">
          <a:latin typeface="Times New Roman" pitchFamily="18" charset="0"/>
          <a:cs typeface="Times New Roman" pitchFamily="18"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xlink!$B$1</c:f>
              <c:strCache>
                <c:ptCount val="1"/>
                <c:pt idx="0">
                  <c:v>ENR 25</c:v>
                </c:pt>
              </c:strCache>
            </c:strRef>
          </c:tx>
          <c:spPr>
            <a:solidFill>
              <a:schemeClr val="bg1">
                <a:lumMod val="85000"/>
              </a:schemeClr>
            </a:solidFill>
            <a:ln w="19050">
              <a:solidFill>
                <a:schemeClr val="tx1"/>
              </a:solidFill>
            </a:ln>
          </c:spPr>
          <c:invertIfNegative val="0"/>
          <c:dLbls>
            <c:dLbl>
              <c:idx val="0"/>
              <c:layout>
                <c:manualLayout>
                  <c:x val="1.666666666666668E-2"/>
                  <c:y val="4.629629629629632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49E-486B-B460-672C1E1DCF4B}"/>
                </c:ext>
              </c:extLst>
            </c:dLbl>
            <c:dLbl>
              <c:idx val="1"/>
              <c:delete val="1"/>
              <c:extLst>
                <c:ext xmlns:c15="http://schemas.microsoft.com/office/drawing/2012/chart" uri="{CE6537A1-D6FC-4f65-9D91-7224C49458BB}"/>
                <c:ext xmlns:c16="http://schemas.microsoft.com/office/drawing/2014/chart" uri="{C3380CC4-5D6E-409C-BE32-E72D297353CC}">
                  <c16:uniqueId val="{00000001-F49E-486B-B460-672C1E1DCF4B}"/>
                </c:ext>
              </c:extLst>
            </c:dLbl>
            <c:dLbl>
              <c:idx val="2"/>
              <c:delete val="1"/>
              <c:extLst>
                <c:ext xmlns:c15="http://schemas.microsoft.com/office/drawing/2012/chart" uri="{CE6537A1-D6FC-4f65-9D91-7224C49458BB}"/>
                <c:ext xmlns:c16="http://schemas.microsoft.com/office/drawing/2014/chart" uri="{C3380CC4-5D6E-409C-BE32-E72D297353CC}">
                  <c16:uniqueId val="{00000002-F49E-486B-B460-672C1E1DCF4B}"/>
                </c:ext>
              </c:extLst>
            </c:dLbl>
            <c:dLbl>
              <c:idx val="3"/>
              <c:delete val="1"/>
              <c:extLst>
                <c:ext xmlns:c15="http://schemas.microsoft.com/office/drawing/2012/chart" uri="{CE6537A1-D6FC-4f65-9D91-7224C49458BB}"/>
                <c:ext xmlns:c16="http://schemas.microsoft.com/office/drawing/2014/chart" uri="{C3380CC4-5D6E-409C-BE32-E72D297353CC}">
                  <c16:uniqueId val="{00000003-F49E-486B-B460-672C1E1DCF4B}"/>
                </c:ext>
              </c:extLst>
            </c:dLbl>
            <c:dLbl>
              <c:idx val="4"/>
              <c:delete val="1"/>
              <c:extLst>
                <c:ext xmlns:c15="http://schemas.microsoft.com/office/drawing/2012/chart" uri="{CE6537A1-D6FC-4f65-9D91-7224C49458BB}"/>
                <c:ext xmlns:c16="http://schemas.microsoft.com/office/drawing/2014/chart" uri="{C3380CC4-5D6E-409C-BE32-E72D297353CC}">
                  <c16:uniqueId val="{00000004-F49E-486B-B460-672C1E1DCF4B}"/>
                </c:ext>
              </c:extLst>
            </c:dLbl>
            <c:dLbl>
              <c:idx val="5"/>
              <c:delete val="1"/>
              <c:extLst>
                <c:ext xmlns:c15="http://schemas.microsoft.com/office/drawing/2012/chart" uri="{CE6537A1-D6FC-4f65-9D91-7224C49458BB}"/>
                <c:ext xmlns:c16="http://schemas.microsoft.com/office/drawing/2014/chart" uri="{C3380CC4-5D6E-409C-BE32-E72D297353CC}">
                  <c16:uniqueId val="{00000005-F49E-486B-B460-672C1E1DCF4B}"/>
                </c:ext>
              </c:extLst>
            </c:dLbl>
            <c:spPr>
              <a:noFill/>
              <a:ln>
                <a:noFill/>
              </a:ln>
              <a:effectLst/>
            </c:spPr>
            <c:txPr>
              <a:bodyPr wrap="square" lIns="38100" tIns="19050" rIns="38100" bIns="19050" anchor="ctr">
                <a:spAutoFit/>
              </a:bodyPr>
              <a:lstStyle/>
              <a:p>
                <a:pPr>
                  <a:defRPr sz="9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plus"/>
            <c:errValType val="percentage"/>
            <c:noEndCap val="0"/>
            <c:val val="5"/>
          </c:errBars>
          <c:cat>
            <c:numRef>
              <c:f>xlink!$A$2:$A$7</c:f>
              <c:numCache>
                <c:formatCode>0.0</c:formatCode>
                <c:ptCount val="6"/>
                <c:pt idx="0">
                  <c:v>0</c:v>
                </c:pt>
                <c:pt idx="1">
                  <c:v>5</c:v>
                </c:pt>
                <c:pt idx="2">
                  <c:v>10</c:v>
                </c:pt>
                <c:pt idx="3">
                  <c:v>15</c:v>
                </c:pt>
                <c:pt idx="4">
                  <c:v>20</c:v>
                </c:pt>
                <c:pt idx="5">
                  <c:v>25</c:v>
                </c:pt>
              </c:numCache>
            </c:numRef>
          </c:cat>
          <c:val>
            <c:numRef>
              <c:f>xlink!$B$2:$B$7</c:f>
              <c:numCache>
                <c:formatCode>0.000</c:formatCode>
                <c:ptCount val="6"/>
                <c:pt idx="0">
                  <c:v>49.271999999999998</c:v>
                </c:pt>
                <c:pt idx="1">
                  <c:v>49.491</c:v>
                </c:pt>
                <c:pt idx="2">
                  <c:v>49.518999999999998</c:v>
                </c:pt>
                <c:pt idx="3">
                  <c:v>52.070999999999998</c:v>
                </c:pt>
                <c:pt idx="4">
                  <c:v>52.253</c:v>
                </c:pt>
                <c:pt idx="5">
                  <c:v>53.685000000000002</c:v>
                </c:pt>
              </c:numCache>
            </c:numRef>
          </c:val>
          <c:extLst>
            <c:ext xmlns:c16="http://schemas.microsoft.com/office/drawing/2014/chart" uri="{C3380CC4-5D6E-409C-BE32-E72D297353CC}">
              <c16:uniqueId val="{00000006-F49E-486B-B460-672C1E1DCF4B}"/>
            </c:ext>
          </c:extLst>
        </c:ser>
        <c:ser>
          <c:idx val="1"/>
          <c:order val="1"/>
          <c:tx>
            <c:strRef>
              <c:f>xlink!$C$1</c:f>
              <c:strCache>
                <c:ptCount val="1"/>
                <c:pt idx="0">
                  <c:v>ENR 50</c:v>
                </c:pt>
              </c:strCache>
            </c:strRef>
          </c:tx>
          <c:spPr>
            <a:solidFill>
              <a:schemeClr val="tx1">
                <a:lumMod val="50000"/>
                <a:lumOff val="50000"/>
              </a:schemeClr>
            </a:solidFill>
            <a:ln w="19050">
              <a:solidFill>
                <a:sysClr val="windowText" lastClr="000000"/>
              </a:solidFill>
            </a:ln>
          </c:spPr>
          <c:invertIfNegative val="0"/>
          <c:errBars>
            <c:errBarType val="plus"/>
            <c:errValType val="percentage"/>
            <c:noEndCap val="0"/>
            <c:val val="5"/>
          </c:errBars>
          <c:cat>
            <c:numRef>
              <c:f>xlink!$A$2:$A$7</c:f>
              <c:numCache>
                <c:formatCode>0.0</c:formatCode>
                <c:ptCount val="6"/>
                <c:pt idx="0">
                  <c:v>0</c:v>
                </c:pt>
                <c:pt idx="1">
                  <c:v>5</c:v>
                </c:pt>
                <c:pt idx="2">
                  <c:v>10</c:v>
                </c:pt>
                <c:pt idx="3">
                  <c:v>15</c:v>
                </c:pt>
                <c:pt idx="4">
                  <c:v>20</c:v>
                </c:pt>
                <c:pt idx="5">
                  <c:v>25</c:v>
                </c:pt>
              </c:numCache>
            </c:numRef>
          </c:cat>
          <c:val>
            <c:numRef>
              <c:f>xlink!$C$2:$C$7</c:f>
              <c:numCache>
                <c:formatCode>0.000</c:formatCode>
                <c:ptCount val="6"/>
                <c:pt idx="0">
                  <c:v>49.271999999999998</c:v>
                </c:pt>
                <c:pt idx="1">
                  <c:v>49.8</c:v>
                </c:pt>
                <c:pt idx="2">
                  <c:v>51.18</c:v>
                </c:pt>
                <c:pt idx="3">
                  <c:v>53.371000000000002</c:v>
                </c:pt>
                <c:pt idx="4">
                  <c:v>53.398000000000003</c:v>
                </c:pt>
                <c:pt idx="5">
                  <c:v>54.7</c:v>
                </c:pt>
              </c:numCache>
            </c:numRef>
          </c:val>
          <c:extLst>
            <c:ext xmlns:c16="http://schemas.microsoft.com/office/drawing/2014/chart" uri="{C3380CC4-5D6E-409C-BE32-E72D297353CC}">
              <c16:uniqueId val="{00000007-F49E-486B-B460-672C1E1DCF4B}"/>
            </c:ext>
          </c:extLst>
        </c:ser>
        <c:dLbls>
          <c:showLegendKey val="0"/>
          <c:showVal val="0"/>
          <c:showCatName val="0"/>
          <c:showSerName val="0"/>
          <c:showPercent val="0"/>
          <c:showBubbleSize val="0"/>
        </c:dLbls>
        <c:gapWidth val="150"/>
        <c:axId val="-737492400"/>
        <c:axId val="-737496752"/>
      </c:barChart>
      <c:catAx>
        <c:axId val="-737492400"/>
        <c:scaling>
          <c:orientation val="minMax"/>
        </c:scaling>
        <c:delete val="0"/>
        <c:axPos val="b"/>
        <c:title>
          <c:tx>
            <c:rich>
              <a:bodyPr/>
              <a:lstStyle/>
              <a:p>
                <a:pPr>
                  <a:defRPr sz="900"/>
                </a:pPr>
                <a:r>
                  <a:rPr lang="en-US" sz="900"/>
                  <a:t>ENRs Loading (phr)</a:t>
                </a:r>
                <a:endParaRPr lang="id-ID" sz="900"/>
              </a:p>
            </c:rich>
          </c:tx>
          <c:overlay val="0"/>
        </c:title>
        <c:numFmt formatCode="0.0" sourceLinked="1"/>
        <c:majorTickMark val="out"/>
        <c:minorTickMark val="none"/>
        <c:tickLblPos val="nextTo"/>
        <c:txPr>
          <a:bodyPr/>
          <a:lstStyle/>
          <a:p>
            <a:pPr>
              <a:defRPr sz="900"/>
            </a:pPr>
            <a:endParaRPr lang="en-US"/>
          </a:p>
        </c:txPr>
        <c:crossAx val="-737496752"/>
        <c:crosses val="autoZero"/>
        <c:auto val="1"/>
        <c:lblAlgn val="ctr"/>
        <c:lblOffset val="100"/>
        <c:noMultiLvlLbl val="0"/>
      </c:catAx>
      <c:valAx>
        <c:axId val="-737496752"/>
        <c:scaling>
          <c:orientation val="minMax"/>
          <c:max val="60"/>
        </c:scaling>
        <c:delete val="0"/>
        <c:axPos val="l"/>
        <c:majorGridlines>
          <c:spPr>
            <a:ln w="3175">
              <a:prstDash val="sysDot"/>
            </a:ln>
          </c:spPr>
        </c:majorGridlines>
        <c:title>
          <c:tx>
            <c:rich>
              <a:bodyPr/>
              <a:lstStyle/>
              <a:p>
                <a:pPr>
                  <a:defRPr sz="800"/>
                </a:pPr>
                <a:r>
                  <a:rPr lang="en-US" sz="800"/>
                  <a:t>Crosslink density, </a:t>
                </a:r>
              </a:p>
              <a:p>
                <a:pPr>
                  <a:defRPr sz="800"/>
                </a:pPr>
                <a:r>
                  <a:rPr lang="en-US" sz="800"/>
                  <a:t>(x10-5 mol/cm3)</a:t>
                </a:r>
                <a:endParaRPr lang="id-ID" sz="800"/>
              </a:p>
            </c:rich>
          </c:tx>
          <c:layout>
            <c:manualLayout>
              <c:xMode val="edge"/>
              <c:yMode val="edge"/>
              <c:x val="2.7777777777777776E-2"/>
              <c:y val="0.27430519101778944"/>
            </c:manualLayout>
          </c:layout>
          <c:overlay val="0"/>
        </c:title>
        <c:numFmt formatCode="0" sourceLinked="0"/>
        <c:majorTickMark val="out"/>
        <c:minorTickMark val="none"/>
        <c:tickLblPos val="nextTo"/>
        <c:txPr>
          <a:bodyPr/>
          <a:lstStyle/>
          <a:p>
            <a:pPr>
              <a:defRPr sz="900"/>
            </a:pPr>
            <a:endParaRPr lang="en-US"/>
          </a:p>
        </c:txPr>
        <c:crossAx val="-737492400"/>
        <c:crosses val="autoZero"/>
        <c:crossBetween val="between"/>
        <c:majorUnit val="20"/>
      </c:valAx>
    </c:plotArea>
    <c:legend>
      <c:legendPos val="t"/>
      <c:overlay val="0"/>
      <c:txPr>
        <a:bodyPr/>
        <a:lstStyle/>
        <a:p>
          <a:pPr>
            <a:defRPr sz="900"/>
          </a:pPr>
          <a:endParaRPr lang="en-US"/>
        </a:p>
      </c:txPr>
    </c:legend>
    <c:plotVisOnly val="1"/>
    <c:dispBlanksAs val="gap"/>
    <c:showDLblsOverMax val="0"/>
  </c:chart>
  <c:spPr>
    <a:ln w="6350"/>
  </c:spPr>
  <c:txPr>
    <a:bodyPr/>
    <a:lstStyle/>
    <a:p>
      <a:pPr>
        <a:defRPr sz="100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8</Pages>
  <Words>3251</Words>
  <Characters>18535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Reviewer</cp:lastModifiedBy>
  <cp:revision>8</cp:revision>
  <dcterms:created xsi:type="dcterms:W3CDTF">2018-04-03T00:06:00Z</dcterms:created>
  <dcterms:modified xsi:type="dcterms:W3CDTF">2018-11-29T03:21:00Z</dcterms:modified>
</cp:coreProperties>
</file>