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52B9A" w:rsidRDefault="00152B9A" w:rsidP="00152B9A">
      <w:pPr>
        <w:spacing w:after="0" w:line="240" w:lineRule="auto"/>
        <w:jc w:val="center"/>
        <w:outlineLvl w:val="0"/>
        <w:rPr>
          <w:rFonts w:ascii="Times New Roman" w:hAnsi="Times New Roman"/>
          <w:sz w:val="28"/>
          <w:szCs w:val="28"/>
        </w:rPr>
      </w:pPr>
      <w:r w:rsidRPr="003D156D">
        <w:rPr>
          <w:rFonts w:ascii="Times New Roman" w:hAnsi="Times New Roman"/>
          <w:sz w:val="28"/>
          <w:szCs w:val="28"/>
        </w:rPr>
        <w:t xml:space="preserve">FORMATION OF VANILLIN AND VANILLIC ACID FROM KRAFT LIGNIN THROUGH GREEN CHEMICAL OXIDATION </w:t>
      </w:r>
    </w:p>
    <w:p w:rsidR="00152B9A" w:rsidRPr="00A31070" w:rsidRDefault="00152B9A" w:rsidP="00152B9A">
      <w:pPr>
        <w:spacing w:after="0" w:line="240" w:lineRule="auto"/>
        <w:jc w:val="center"/>
        <w:outlineLvl w:val="0"/>
        <w:rPr>
          <w:rFonts w:ascii="Times New Roman" w:hAnsi="Times New Roman"/>
          <w:sz w:val="24"/>
          <w:szCs w:val="24"/>
        </w:rPr>
      </w:pPr>
    </w:p>
    <w:p w:rsidR="00152B9A" w:rsidRPr="00152B9A" w:rsidRDefault="00152B9A" w:rsidP="00152B9A">
      <w:pPr>
        <w:spacing w:after="0" w:line="240" w:lineRule="auto"/>
        <w:jc w:val="center"/>
        <w:outlineLvl w:val="0"/>
        <w:rPr>
          <w:rFonts w:ascii="Times New Roman" w:hAnsi="Times New Roman"/>
          <w:sz w:val="24"/>
          <w:szCs w:val="24"/>
          <w:lang w:val="ms-MY"/>
        </w:rPr>
      </w:pPr>
      <w:r w:rsidRPr="00876B8D">
        <w:rPr>
          <w:rFonts w:ascii="Times New Roman" w:hAnsi="Times New Roman"/>
          <w:sz w:val="24"/>
          <w:szCs w:val="24"/>
        </w:rPr>
        <w:t>(</w:t>
      </w:r>
      <w:r w:rsidRPr="00981C6E">
        <w:rPr>
          <w:rFonts w:ascii="Times New Roman" w:hAnsi="Times New Roman"/>
          <w:sz w:val="24"/>
          <w:szCs w:val="24"/>
          <w:lang w:val="ms-MY"/>
        </w:rPr>
        <w:t>Pembentukan Vanillin dan Asid Vanillik dari Kraft Lignin melalui Proses Pengoksidaan Kimia Hijau</w:t>
      </w:r>
      <w:r w:rsidRPr="00876B8D">
        <w:rPr>
          <w:rFonts w:ascii="Times New Roman" w:hAnsi="Times New Roman"/>
          <w:sz w:val="24"/>
          <w:szCs w:val="24"/>
        </w:rPr>
        <w:t>)</w:t>
      </w:r>
    </w:p>
    <w:p w:rsidR="00152B9A" w:rsidRPr="00152B9A" w:rsidRDefault="00152B9A" w:rsidP="00152B9A">
      <w:pPr>
        <w:spacing w:after="0" w:line="240" w:lineRule="auto"/>
        <w:jc w:val="center"/>
        <w:outlineLvl w:val="0"/>
        <w:rPr>
          <w:rFonts w:ascii="Times New Roman" w:hAnsi="Times New Roman"/>
          <w:sz w:val="20"/>
          <w:szCs w:val="20"/>
        </w:rPr>
      </w:pPr>
    </w:p>
    <w:p w:rsidR="00152B9A" w:rsidRPr="00152B9A" w:rsidRDefault="00152B9A" w:rsidP="00152B9A">
      <w:pPr>
        <w:spacing w:after="0" w:line="240" w:lineRule="auto"/>
        <w:jc w:val="center"/>
        <w:outlineLvl w:val="0"/>
        <w:rPr>
          <w:rFonts w:ascii="Times New Roman" w:hAnsi="Times New Roman"/>
          <w:sz w:val="20"/>
          <w:szCs w:val="20"/>
        </w:rPr>
      </w:pPr>
      <w:r w:rsidRPr="00152B9A">
        <w:rPr>
          <w:rFonts w:ascii="Times New Roman" w:hAnsi="Times New Roman"/>
          <w:sz w:val="20"/>
          <w:szCs w:val="20"/>
        </w:rPr>
        <w:t>Nabilah Ismail</w:t>
      </w:r>
      <w:r w:rsidRPr="00152B9A">
        <w:rPr>
          <w:rFonts w:ascii="Times New Roman" w:hAnsi="Times New Roman"/>
          <w:sz w:val="20"/>
          <w:szCs w:val="20"/>
          <w:vertAlign w:val="superscript"/>
        </w:rPr>
        <w:t>1</w:t>
      </w:r>
      <w:r w:rsidRPr="00152B9A">
        <w:rPr>
          <w:rFonts w:ascii="Times New Roman" w:hAnsi="Times New Roman"/>
          <w:sz w:val="20"/>
          <w:szCs w:val="20"/>
        </w:rPr>
        <w:t>* and Leonard James Wright</w:t>
      </w:r>
      <w:r w:rsidRPr="00152B9A">
        <w:rPr>
          <w:rFonts w:ascii="Times New Roman" w:hAnsi="Times New Roman"/>
          <w:sz w:val="20"/>
          <w:szCs w:val="20"/>
          <w:vertAlign w:val="superscript"/>
        </w:rPr>
        <w:t>2</w:t>
      </w:r>
    </w:p>
    <w:p w:rsidR="00152B9A" w:rsidRPr="00152B9A" w:rsidRDefault="00152B9A" w:rsidP="00152B9A">
      <w:pPr>
        <w:spacing w:after="0" w:line="240" w:lineRule="auto"/>
        <w:jc w:val="center"/>
        <w:outlineLvl w:val="0"/>
        <w:rPr>
          <w:rFonts w:ascii="Times New Roman" w:hAnsi="Times New Roman"/>
          <w:sz w:val="18"/>
          <w:szCs w:val="18"/>
        </w:rPr>
      </w:pPr>
    </w:p>
    <w:p w:rsidR="00152B9A" w:rsidRPr="003D156D" w:rsidRDefault="00152B9A" w:rsidP="00152B9A">
      <w:pPr>
        <w:spacing w:after="0" w:line="240" w:lineRule="auto"/>
        <w:jc w:val="center"/>
        <w:outlineLvl w:val="0"/>
        <w:rPr>
          <w:rFonts w:ascii="Times New Roman" w:hAnsi="Times New Roman"/>
          <w:i/>
          <w:sz w:val="18"/>
          <w:szCs w:val="18"/>
        </w:rPr>
      </w:pPr>
      <w:r w:rsidRPr="003D156D">
        <w:rPr>
          <w:rFonts w:ascii="Times New Roman" w:hAnsi="Times New Roman"/>
          <w:i/>
          <w:sz w:val="18"/>
          <w:szCs w:val="18"/>
          <w:vertAlign w:val="superscript"/>
        </w:rPr>
        <w:t>1</w:t>
      </w:r>
      <w:r w:rsidRPr="003D156D">
        <w:rPr>
          <w:rFonts w:ascii="Times New Roman" w:hAnsi="Times New Roman"/>
          <w:i/>
          <w:sz w:val="18"/>
          <w:szCs w:val="18"/>
        </w:rPr>
        <w:t>School of Fundamental Science</w:t>
      </w:r>
      <w:r>
        <w:rPr>
          <w:rFonts w:ascii="Times New Roman" w:hAnsi="Times New Roman"/>
          <w:i/>
          <w:sz w:val="18"/>
          <w:szCs w:val="18"/>
        </w:rPr>
        <w:t>s</w:t>
      </w:r>
      <w:r w:rsidRPr="003D156D">
        <w:rPr>
          <w:rFonts w:ascii="Times New Roman" w:hAnsi="Times New Roman"/>
          <w:i/>
          <w:sz w:val="18"/>
          <w:szCs w:val="18"/>
        </w:rPr>
        <w:t xml:space="preserve">, </w:t>
      </w:r>
    </w:p>
    <w:p w:rsidR="00152B9A" w:rsidRPr="003D156D" w:rsidRDefault="00152B9A" w:rsidP="00152B9A">
      <w:pPr>
        <w:spacing w:after="0" w:line="240" w:lineRule="auto"/>
        <w:jc w:val="center"/>
        <w:outlineLvl w:val="0"/>
        <w:rPr>
          <w:rFonts w:ascii="Times New Roman" w:hAnsi="Times New Roman"/>
          <w:i/>
          <w:sz w:val="18"/>
          <w:szCs w:val="18"/>
        </w:rPr>
      </w:pPr>
      <w:r w:rsidRPr="003D156D">
        <w:rPr>
          <w:rFonts w:ascii="Times New Roman" w:hAnsi="Times New Roman"/>
          <w:i/>
          <w:sz w:val="18"/>
          <w:szCs w:val="18"/>
        </w:rPr>
        <w:t xml:space="preserve">Universiti Malaysia Terengganu, 21030 Kuala Terengganu, </w:t>
      </w:r>
      <w:r>
        <w:rPr>
          <w:rFonts w:ascii="Times New Roman" w:hAnsi="Times New Roman"/>
          <w:i/>
          <w:sz w:val="18"/>
          <w:szCs w:val="18"/>
        </w:rPr>
        <w:t xml:space="preserve">Terengganu, </w:t>
      </w:r>
      <w:r w:rsidRPr="003D156D">
        <w:rPr>
          <w:rFonts w:ascii="Times New Roman" w:hAnsi="Times New Roman"/>
          <w:i/>
          <w:sz w:val="18"/>
          <w:szCs w:val="18"/>
        </w:rPr>
        <w:t>Malaysia</w:t>
      </w:r>
    </w:p>
    <w:p w:rsidR="00152B9A" w:rsidRPr="003D156D" w:rsidRDefault="00152B9A" w:rsidP="00152B9A">
      <w:pPr>
        <w:spacing w:after="0" w:line="240" w:lineRule="auto"/>
        <w:jc w:val="center"/>
        <w:outlineLvl w:val="0"/>
        <w:rPr>
          <w:rFonts w:ascii="Times New Roman" w:hAnsi="Times New Roman"/>
          <w:i/>
          <w:sz w:val="18"/>
          <w:szCs w:val="18"/>
        </w:rPr>
      </w:pPr>
      <w:r w:rsidRPr="003D156D">
        <w:rPr>
          <w:rFonts w:ascii="Times New Roman" w:hAnsi="Times New Roman"/>
          <w:i/>
          <w:sz w:val="18"/>
          <w:szCs w:val="18"/>
        </w:rPr>
        <w:t xml:space="preserve"> </w:t>
      </w:r>
      <w:r w:rsidRPr="003D156D">
        <w:rPr>
          <w:rFonts w:ascii="Times New Roman" w:hAnsi="Times New Roman"/>
          <w:i/>
          <w:sz w:val="18"/>
          <w:szCs w:val="18"/>
          <w:vertAlign w:val="superscript"/>
        </w:rPr>
        <w:t>2</w:t>
      </w:r>
      <w:r w:rsidRPr="003D156D">
        <w:rPr>
          <w:rFonts w:ascii="Times New Roman" w:hAnsi="Times New Roman"/>
          <w:i/>
          <w:sz w:val="18"/>
          <w:szCs w:val="18"/>
        </w:rPr>
        <w:t>Centre for Green Chemical Science</w:t>
      </w:r>
      <w:r>
        <w:rPr>
          <w:rFonts w:ascii="Times New Roman" w:hAnsi="Times New Roman"/>
          <w:i/>
          <w:sz w:val="18"/>
          <w:szCs w:val="18"/>
        </w:rPr>
        <w:t>s,</w:t>
      </w:r>
    </w:p>
    <w:p w:rsidR="00152B9A" w:rsidRPr="003D156D" w:rsidRDefault="00152B9A" w:rsidP="00152B9A">
      <w:pPr>
        <w:spacing w:after="0" w:line="240" w:lineRule="auto"/>
        <w:jc w:val="center"/>
        <w:outlineLvl w:val="0"/>
        <w:rPr>
          <w:rFonts w:ascii="Times New Roman" w:hAnsi="Times New Roman"/>
          <w:b/>
          <w:color w:val="548DD4" w:themeColor="text2" w:themeTint="99"/>
          <w:sz w:val="18"/>
          <w:szCs w:val="18"/>
        </w:rPr>
      </w:pPr>
      <w:r w:rsidRPr="003D156D">
        <w:rPr>
          <w:rFonts w:ascii="Times New Roman" w:hAnsi="Times New Roman"/>
          <w:i/>
          <w:sz w:val="18"/>
          <w:szCs w:val="18"/>
        </w:rPr>
        <w:t>University of Auckland, 23 Symonds St, Priva</w:t>
      </w:r>
      <w:r>
        <w:rPr>
          <w:rFonts w:ascii="Times New Roman" w:hAnsi="Times New Roman"/>
          <w:i/>
          <w:sz w:val="18"/>
          <w:szCs w:val="18"/>
        </w:rPr>
        <w:t xml:space="preserve">te Bag 92019, Auckland, New Zealand </w:t>
      </w:r>
    </w:p>
    <w:p w:rsidR="00152B9A" w:rsidRPr="003D156D" w:rsidRDefault="00152B9A" w:rsidP="00152B9A">
      <w:pPr>
        <w:spacing w:after="0" w:line="240" w:lineRule="auto"/>
        <w:jc w:val="center"/>
        <w:outlineLvl w:val="0"/>
        <w:rPr>
          <w:rFonts w:ascii="Times New Roman" w:hAnsi="Times New Roman"/>
          <w:b/>
          <w:color w:val="548DD4" w:themeColor="text2" w:themeTint="99"/>
          <w:sz w:val="18"/>
          <w:szCs w:val="18"/>
        </w:rPr>
      </w:pPr>
    </w:p>
    <w:p w:rsidR="00152B9A" w:rsidRPr="008535CC" w:rsidRDefault="00152B9A" w:rsidP="00152B9A">
      <w:pPr>
        <w:spacing w:after="0" w:line="240" w:lineRule="auto"/>
        <w:jc w:val="center"/>
        <w:outlineLvl w:val="0"/>
        <w:rPr>
          <w:i/>
        </w:rPr>
      </w:pPr>
      <w:r w:rsidRPr="00152B9A">
        <w:rPr>
          <w:rFonts w:ascii="Times New Roman" w:hAnsi="Times New Roman"/>
          <w:i/>
          <w:sz w:val="18"/>
          <w:szCs w:val="18"/>
        </w:rPr>
        <w:t>*</w:t>
      </w:r>
      <w:r w:rsidRPr="008535CC">
        <w:rPr>
          <w:rFonts w:ascii="Times New Roman" w:hAnsi="Times New Roman"/>
          <w:i/>
          <w:sz w:val="18"/>
          <w:szCs w:val="18"/>
        </w:rPr>
        <w:t xml:space="preserve">Corresponding author: </w:t>
      </w:r>
      <w:r w:rsidRPr="00152B9A">
        <w:rPr>
          <w:rFonts w:ascii="Times New Roman" w:hAnsi="Times New Roman"/>
          <w:i/>
          <w:sz w:val="18"/>
          <w:szCs w:val="18"/>
        </w:rPr>
        <w:t>nabilah.i@umt.edu.my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D2529">
        <w:rPr>
          <w:rFonts w:ascii="Times New Roman" w:hAnsi="Times New Roman"/>
          <w:noProof/>
          <w:sz w:val="18"/>
          <w:szCs w:val="18"/>
          <w:lang w:bidi="ar-SA"/>
        </w:rPr>
        <w:t>16 September 2018</w:t>
      </w:r>
      <w:r>
        <w:rPr>
          <w:rFonts w:ascii="Times New Roman" w:hAnsi="Times New Roman"/>
          <w:noProof/>
          <w:sz w:val="18"/>
          <w:szCs w:val="18"/>
          <w:lang w:bidi="ar-SA"/>
        </w:rPr>
        <w:t xml:space="preserve">; Accepted: </w:t>
      </w:r>
      <w:r w:rsidR="002D2529">
        <w:rPr>
          <w:rFonts w:ascii="Times New Roman" w:hAnsi="Times New Roman"/>
          <w:noProof/>
          <w:sz w:val="18"/>
          <w:szCs w:val="18"/>
          <w:lang w:bidi="ar-SA"/>
        </w:rPr>
        <w:t>22 November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52B9A" w:rsidRDefault="00152B9A" w:rsidP="00152B9A">
      <w:pPr>
        <w:spacing w:after="0" w:line="240" w:lineRule="auto"/>
        <w:jc w:val="both"/>
        <w:outlineLvl w:val="0"/>
        <w:rPr>
          <w:rFonts w:ascii="Times New Roman" w:hAnsi="Times New Roman"/>
          <w:sz w:val="18"/>
          <w:szCs w:val="18"/>
        </w:rPr>
      </w:pPr>
      <w:r w:rsidRPr="003D156D">
        <w:rPr>
          <w:rFonts w:ascii="Times New Roman" w:hAnsi="Times New Roman"/>
          <w:sz w:val="18"/>
          <w:szCs w:val="18"/>
        </w:rPr>
        <w:t>The development of efficient methods to produce useful small molecules such as vanillin and vanillic acid from kraft lignin is an important goal for a sustainable production of fine chemicals. It is generally known that oxidative treatments of kraft lignin can cause partial oxidative depolymerization to produce vanillin, but the conditions required are usually harsh and the yields are low. Therefore, the possibility of achieving the same reaction at 25 °C using an alternative green chemical catalytic oxidation process involving hydrogen peroxide and an Fe(TAML</w:t>
      </w:r>
      <w:r w:rsidRPr="003D156D">
        <w:rPr>
          <w:rFonts w:ascii="Times New Roman" w:hAnsi="Times New Roman"/>
          <w:sz w:val="18"/>
          <w:szCs w:val="18"/>
          <w:vertAlign w:val="superscript"/>
        </w:rPr>
        <w:t>®</w:t>
      </w:r>
      <w:r w:rsidRPr="003D156D">
        <w:rPr>
          <w:rFonts w:ascii="Times New Roman" w:hAnsi="Times New Roman"/>
          <w:sz w:val="18"/>
          <w:szCs w:val="18"/>
        </w:rPr>
        <w:t>) oxidation catalyst was investigated. Preliminary experiments using this method at 25 °C with kraft lignin resulted in the formation of small amounts of vanillin (ca. 5%) as well as vanillic acid (&lt;1%). The influence of key parameters including the concentrations of the catalyst (2.0-4.0 µM) and H</w:t>
      </w:r>
      <w:r w:rsidRPr="003D156D">
        <w:rPr>
          <w:rFonts w:ascii="Times New Roman" w:hAnsi="Times New Roman"/>
          <w:sz w:val="18"/>
          <w:szCs w:val="18"/>
          <w:vertAlign w:val="subscript"/>
        </w:rPr>
        <w:t>2</w:t>
      </w:r>
      <w:r w:rsidRPr="003D156D">
        <w:rPr>
          <w:rFonts w:ascii="Times New Roman" w:hAnsi="Times New Roman"/>
          <w:sz w:val="18"/>
          <w:szCs w:val="18"/>
        </w:rPr>
        <w:t>O</w:t>
      </w:r>
      <w:r w:rsidRPr="003D156D">
        <w:rPr>
          <w:rFonts w:ascii="Times New Roman" w:hAnsi="Times New Roman"/>
          <w:sz w:val="18"/>
          <w:szCs w:val="18"/>
          <w:vertAlign w:val="subscript"/>
        </w:rPr>
        <w:t>2</w:t>
      </w:r>
      <w:r w:rsidRPr="003D156D">
        <w:rPr>
          <w:rFonts w:ascii="Times New Roman" w:hAnsi="Times New Roman"/>
          <w:sz w:val="18"/>
          <w:szCs w:val="18"/>
        </w:rPr>
        <w:t xml:space="preserve"> (0.5-2.0 mM) on the amount of these compounds formed were reported.</w:t>
      </w:r>
    </w:p>
    <w:p w:rsidR="00152B9A" w:rsidRPr="003D156D" w:rsidRDefault="00152B9A" w:rsidP="00152B9A">
      <w:pPr>
        <w:spacing w:after="0" w:line="240" w:lineRule="auto"/>
        <w:jc w:val="both"/>
        <w:outlineLvl w:val="0"/>
        <w:rPr>
          <w:rFonts w:ascii="Times New Roman" w:hAnsi="Times New Roman"/>
          <w:sz w:val="18"/>
          <w:szCs w:val="18"/>
        </w:rPr>
      </w:pPr>
    </w:p>
    <w:p w:rsidR="00152B9A" w:rsidRDefault="00152B9A" w:rsidP="00152B9A">
      <w:pPr>
        <w:spacing w:after="0" w:line="240" w:lineRule="auto"/>
        <w:jc w:val="both"/>
        <w:rPr>
          <w:rFonts w:ascii="Times New Roman" w:hAnsi="Times New Roman"/>
          <w:sz w:val="18"/>
          <w:szCs w:val="18"/>
        </w:rPr>
      </w:pPr>
      <w:r w:rsidRPr="003D156D">
        <w:rPr>
          <w:rFonts w:ascii="Times New Roman" w:hAnsi="Times New Roman"/>
          <w:b/>
          <w:sz w:val="18"/>
          <w:szCs w:val="18"/>
        </w:rPr>
        <w:t>Keywords</w:t>
      </w:r>
      <w:r w:rsidRPr="003D156D">
        <w:rPr>
          <w:rFonts w:ascii="Times New Roman" w:hAnsi="Times New Roman"/>
          <w:sz w:val="18"/>
          <w:szCs w:val="18"/>
        </w:rPr>
        <w:t xml:space="preserve">: </w:t>
      </w:r>
      <w:r>
        <w:rPr>
          <w:rFonts w:ascii="Times New Roman" w:hAnsi="Times New Roman"/>
          <w:sz w:val="18"/>
          <w:szCs w:val="18"/>
        </w:rPr>
        <w:t xml:space="preserve"> </w:t>
      </w:r>
      <w:r w:rsidRPr="003D156D">
        <w:rPr>
          <w:rFonts w:ascii="Times New Roman" w:hAnsi="Times New Roman"/>
          <w:sz w:val="18"/>
          <w:szCs w:val="18"/>
        </w:rPr>
        <w:t>Fe(TAML</w:t>
      </w:r>
      <w:r w:rsidRPr="003D156D">
        <w:rPr>
          <w:rFonts w:ascii="Times New Roman" w:hAnsi="Times New Roman"/>
          <w:sz w:val="18"/>
          <w:szCs w:val="18"/>
          <w:vertAlign w:val="superscript"/>
        </w:rPr>
        <w:t>®</w:t>
      </w:r>
      <w:r w:rsidRPr="003D156D">
        <w:rPr>
          <w:rFonts w:ascii="Times New Roman" w:hAnsi="Times New Roman"/>
          <w:sz w:val="18"/>
          <w:szCs w:val="18"/>
        </w:rPr>
        <w:t>), hydrogen peroxide, kraft lignin, vanillin, vanillic acid</w:t>
      </w:r>
    </w:p>
    <w:p w:rsidR="00152B9A" w:rsidRPr="003D156D" w:rsidRDefault="00152B9A" w:rsidP="00152B9A">
      <w:pPr>
        <w:spacing w:after="0" w:line="240" w:lineRule="auto"/>
        <w:jc w:val="center"/>
        <w:rPr>
          <w:rFonts w:ascii="Times New Roman" w:hAnsi="Times New Roman"/>
          <w:sz w:val="18"/>
          <w:szCs w:val="18"/>
        </w:rPr>
      </w:pPr>
    </w:p>
    <w:p w:rsidR="00152B9A" w:rsidRPr="008535CC" w:rsidRDefault="00152B9A" w:rsidP="00152B9A">
      <w:pPr>
        <w:spacing w:after="0" w:line="240" w:lineRule="auto"/>
        <w:jc w:val="center"/>
        <w:outlineLvl w:val="0"/>
        <w:rPr>
          <w:rFonts w:ascii="Times New Roman" w:hAnsi="Times New Roman"/>
          <w:b/>
          <w:sz w:val="18"/>
          <w:szCs w:val="18"/>
          <w:lang w:val="ms-MY"/>
        </w:rPr>
      </w:pPr>
      <w:r w:rsidRPr="008535CC">
        <w:rPr>
          <w:rFonts w:ascii="Times New Roman" w:hAnsi="Times New Roman"/>
          <w:b/>
          <w:sz w:val="18"/>
          <w:szCs w:val="18"/>
          <w:lang w:val="ms-MY"/>
        </w:rPr>
        <w:t>Abstrak</w:t>
      </w:r>
    </w:p>
    <w:p w:rsidR="00152B9A" w:rsidRPr="008535CC" w:rsidRDefault="00152B9A" w:rsidP="00152B9A">
      <w:pPr>
        <w:spacing w:after="0" w:line="240" w:lineRule="auto"/>
        <w:jc w:val="both"/>
        <w:outlineLvl w:val="0"/>
        <w:rPr>
          <w:rFonts w:ascii="Times New Roman" w:hAnsi="Times New Roman"/>
          <w:sz w:val="18"/>
          <w:szCs w:val="18"/>
          <w:lang w:val="ms-MY"/>
        </w:rPr>
      </w:pPr>
      <w:r w:rsidRPr="008535CC">
        <w:rPr>
          <w:rFonts w:ascii="Times New Roman" w:hAnsi="Times New Roman"/>
          <w:sz w:val="18"/>
          <w:szCs w:val="18"/>
          <w:lang w:val="ms-MY"/>
        </w:rPr>
        <w:t>Pembangunan kaedah yang berkesan untuk menghasilkan molekul kecil yang berguna seperti vanillin dan asid vanillik dari kraft lignin adalah penting bagi penghasilan bahan kimia yang mampan. Adalah diketahui bahawa pengoksidaan kraft lignin mampu mengakibatkan depolimerisasi oksidatif separa untuk memberikan vanilin, tetapi kondisi yang diperlukan biasanya kasar dan hasilnya rendah. Oleh itu, kemungkinan untuk mencapai tindak balas yang sama pada 25 °C menggunakan proses pengoksidaan pemangkin kimia alternatif yang melibatkan hidrogen peroksida dan pemangkin pengoksidaan Fe (TAML®) disiasat. Eksperimen awal menggunakan kaedah ini pada 25 °C dengan kraft lignin mengakibatkan pembentukan sejumlah kecil vanillin (sekitar 5%) serta asid vanillik(&lt;1%). Pengaruh parameter utama termasuk kepekatan pemangkin (2.0-4.0 µM) dan H</w:t>
      </w:r>
      <w:r w:rsidRPr="008535CC">
        <w:rPr>
          <w:rFonts w:ascii="Times New Roman" w:hAnsi="Times New Roman"/>
          <w:sz w:val="18"/>
          <w:szCs w:val="18"/>
          <w:vertAlign w:val="subscript"/>
          <w:lang w:val="ms-MY"/>
        </w:rPr>
        <w:t>2</w:t>
      </w:r>
      <w:r w:rsidRPr="008535CC">
        <w:rPr>
          <w:rFonts w:ascii="Times New Roman" w:hAnsi="Times New Roman"/>
          <w:sz w:val="18"/>
          <w:szCs w:val="18"/>
          <w:lang w:val="ms-MY"/>
        </w:rPr>
        <w:t>O</w:t>
      </w:r>
      <w:r w:rsidRPr="008535CC">
        <w:rPr>
          <w:rFonts w:ascii="Times New Roman" w:hAnsi="Times New Roman"/>
          <w:sz w:val="18"/>
          <w:szCs w:val="18"/>
          <w:vertAlign w:val="subscript"/>
          <w:lang w:val="ms-MY"/>
        </w:rPr>
        <w:t>2</w:t>
      </w:r>
      <w:r w:rsidRPr="008535CC">
        <w:rPr>
          <w:rFonts w:ascii="Times New Roman" w:hAnsi="Times New Roman"/>
          <w:sz w:val="18"/>
          <w:szCs w:val="18"/>
          <w:lang w:val="ms-MY"/>
        </w:rPr>
        <w:t xml:space="preserve"> (0.5-2.0 mM), keatas jumlah pembentukan sebatian ini dilaporkan. </w:t>
      </w:r>
    </w:p>
    <w:p w:rsidR="00152B9A" w:rsidRPr="008535CC" w:rsidRDefault="00152B9A" w:rsidP="00152B9A">
      <w:pPr>
        <w:spacing w:after="0" w:line="240" w:lineRule="auto"/>
        <w:jc w:val="both"/>
        <w:outlineLvl w:val="0"/>
        <w:rPr>
          <w:rFonts w:ascii="Times New Roman" w:hAnsi="Times New Roman"/>
          <w:sz w:val="18"/>
          <w:szCs w:val="18"/>
          <w:lang w:val="ms-MY"/>
        </w:rPr>
      </w:pPr>
    </w:p>
    <w:p w:rsidR="00152B9A" w:rsidRPr="008535CC" w:rsidRDefault="00152B9A" w:rsidP="00152B9A">
      <w:pPr>
        <w:spacing w:after="0" w:line="240" w:lineRule="auto"/>
        <w:jc w:val="both"/>
        <w:outlineLvl w:val="0"/>
        <w:rPr>
          <w:rFonts w:ascii="Times New Roman" w:hAnsi="Times New Roman"/>
          <w:b/>
          <w:sz w:val="18"/>
          <w:szCs w:val="18"/>
          <w:lang w:val="ms-MY"/>
        </w:rPr>
      </w:pPr>
      <w:r w:rsidRPr="008535CC">
        <w:rPr>
          <w:rFonts w:ascii="Times New Roman" w:hAnsi="Times New Roman"/>
          <w:b/>
          <w:sz w:val="18"/>
          <w:szCs w:val="18"/>
          <w:lang w:val="ms-MY"/>
        </w:rPr>
        <w:t>Kata kunci:</w:t>
      </w:r>
      <w:r>
        <w:rPr>
          <w:rFonts w:ascii="Times New Roman" w:hAnsi="Times New Roman"/>
          <w:b/>
          <w:sz w:val="18"/>
          <w:szCs w:val="18"/>
          <w:lang w:val="ms-MY"/>
        </w:rPr>
        <w:t xml:space="preserve"> </w:t>
      </w:r>
      <w:r w:rsidRPr="008535CC">
        <w:rPr>
          <w:rFonts w:ascii="Times New Roman" w:hAnsi="Times New Roman"/>
          <w:b/>
          <w:sz w:val="18"/>
          <w:szCs w:val="18"/>
          <w:lang w:val="ms-MY"/>
        </w:rPr>
        <w:t xml:space="preserve"> </w:t>
      </w:r>
      <w:r w:rsidRPr="008535CC">
        <w:rPr>
          <w:rFonts w:ascii="Times New Roman" w:hAnsi="Times New Roman"/>
          <w:sz w:val="18"/>
          <w:szCs w:val="18"/>
          <w:lang w:val="ms-MY"/>
        </w:rPr>
        <w:t>Fe(TAML</w:t>
      </w:r>
      <w:r w:rsidRPr="008535CC">
        <w:rPr>
          <w:rFonts w:ascii="Times New Roman" w:hAnsi="Times New Roman"/>
          <w:sz w:val="18"/>
          <w:szCs w:val="18"/>
          <w:vertAlign w:val="superscript"/>
          <w:lang w:val="ms-MY"/>
        </w:rPr>
        <w:t>®</w:t>
      </w:r>
      <w:r w:rsidRPr="008535CC">
        <w:rPr>
          <w:rFonts w:ascii="Times New Roman" w:hAnsi="Times New Roman"/>
          <w:sz w:val="18"/>
          <w:szCs w:val="18"/>
          <w:lang w:val="ms-MY"/>
        </w:rPr>
        <w:t xml:space="preserve">), hidrogen peroksida, kraft </w:t>
      </w:r>
      <w:r>
        <w:rPr>
          <w:rFonts w:ascii="Times New Roman" w:hAnsi="Times New Roman"/>
          <w:sz w:val="18"/>
          <w:szCs w:val="18"/>
          <w:lang w:val="ms-MY"/>
        </w:rPr>
        <w:t>lignin, vanillin, asid vanillik</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52B9A" w:rsidRPr="00152B9A" w:rsidRDefault="00152B9A" w:rsidP="00152B9A">
      <w:pPr>
        <w:spacing w:after="0" w:line="240" w:lineRule="auto"/>
        <w:jc w:val="both"/>
        <w:rPr>
          <w:rFonts w:ascii="Times New Roman" w:hAnsi="Times New Roman"/>
          <w:sz w:val="20"/>
          <w:szCs w:val="20"/>
        </w:rPr>
      </w:pPr>
      <w:r w:rsidRPr="00152B9A">
        <w:rPr>
          <w:rFonts w:ascii="Times New Roman" w:hAnsi="Times New Roman"/>
          <w:sz w:val="20"/>
          <w:szCs w:val="20"/>
        </w:rPr>
        <w:t xml:space="preserve">There is an increasing worldwide drive to develop sustainable alternatives in the use of fossil carbon (coal, oil and gas) as fuels and feedstock for the chemical industry. Lignin is the second-most abundant renewable polymer on earth next to cellulose and can contribute up to 30% of the weight of lignocellulosic biomass. Furthermore, lignin represents one of the very few abundant natural resources that, in principle, could serve as a renewable source of </w:t>
      </w:r>
      <w:r w:rsidRPr="00152B9A">
        <w:rPr>
          <w:rFonts w:ascii="Times New Roman" w:hAnsi="Times New Roman"/>
          <w:sz w:val="20"/>
          <w:szCs w:val="20"/>
        </w:rPr>
        <w:lastRenderedPageBreak/>
        <w:t>small aromatic building blocks for other more complex organic molecules [1 – 4]. However, the production of smaller organic molecules from lignin is generally hampered by the nature of lignin as an insoluble, complex three-dimensional amorphous polymer, which</w:t>
      </w:r>
      <w:r w:rsidRPr="00152B9A">
        <w:rPr>
          <w:rFonts w:ascii="Times New Roman" w:hAnsi="Times New Roman"/>
          <w:color w:val="000000"/>
          <w:sz w:val="20"/>
          <w:szCs w:val="20"/>
        </w:rPr>
        <w:t xml:space="preserve"> is formed by the radical polymerization of </w:t>
      </w:r>
      <w:r w:rsidRPr="00152B9A">
        <w:rPr>
          <w:rFonts w:ascii="Times New Roman" w:hAnsi="Times New Roman"/>
          <w:sz w:val="20"/>
          <w:szCs w:val="20"/>
        </w:rPr>
        <w:t>three types of hydroxycinnamyl alcohol precursors (</w:t>
      </w:r>
      <w:r w:rsidRPr="00152B9A">
        <w:rPr>
          <w:rFonts w:ascii="Times New Roman" w:hAnsi="Times New Roman"/>
          <w:i/>
          <w:sz w:val="20"/>
          <w:szCs w:val="20"/>
        </w:rPr>
        <w:t>p</w:t>
      </w:r>
      <w:r w:rsidRPr="00152B9A">
        <w:rPr>
          <w:rFonts w:ascii="Times New Roman" w:hAnsi="Times New Roman"/>
          <w:sz w:val="20"/>
          <w:szCs w:val="20"/>
        </w:rPr>
        <w:t xml:space="preserve">-coumaryl, coniferyl, and sinapyl alcohols) known as monolignols, and the resulting polymer contains numerous types of ether (C-O-C) as well as carbon-carbon (C-C) linkages that connect the monomer units. Therefore, unlike many other polymers, lignin does not have a simple repeating chemical structure. Furthermore, many connecting groups are not easily cleaved. Consequently, it is very difficult to obtain high yield of simple, useful organic molecules through the depolymerization of lignin [2].  </w:t>
      </w:r>
    </w:p>
    <w:p w:rsidR="00152B9A" w:rsidRPr="00152B9A" w:rsidRDefault="00152B9A" w:rsidP="00152B9A">
      <w:pPr>
        <w:spacing w:after="0" w:line="240" w:lineRule="auto"/>
        <w:jc w:val="both"/>
        <w:rPr>
          <w:rFonts w:ascii="Times New Roman" w:hAnsi="Times New Roman"/>
          <w:sz w:val="20"/>
          <w:szCs w:val="20"/>
        </w:rPr>
      </w:pPr>
    </w:p>
    <w:p w:rsidR="00152B9A" w:rsidRPr="00152B9A" w:rsidRDefault="00152B9A" w:rsidP="00152B9A">
      <w:pPr>
        <w:spacing w:after="0" w:line="240" w:lineRule="auto"/>
        <w:jc w:val="both"/>
        <w:outlineLvl w:val="0"/>
        <w:rPr>
          <w:rFonts w:ascii="Times New Roman" w:hAnsi="Times New Roman"/>
          <w:sz w:val="20"/>
          <w:szCs w:val="20"/>
        </w:rPr>
      </w:pPr>
      <w:r w:rsidRPr="00152B9A">
        <w:rPr>
          <w:rFonts w:ascii="Times New Roman" w:hAnsi="Times New Roman"/>
          <w:sz w:val="20"/>
          <w:szCs w:val="20"/>
        </w:rPr>
        <w:t xml:space="preserve">Kraft lignin, on the other hand, is lignin that has been partially broken down and solubilized. It is produced during the pulping of wood to obtain cellulose fibers for making paper. Globally, more than 72 million tons of kraft lignin are annually produced this way. During kraft pulping, strong alkali and sulfide solution at high temperatures partially break down and solubilize the lignin. After removing the cellulose by filtration, the highly modified, soluble kraft lignin is usually burnt in the recovery boiler to produce heat. However, it has long been recognized that the enormous amounts of kraft lignin produced this way could be much better utilized if an efficient method is found to break it down into small molecules that either were of intrinsic commercial value or could be used as platform compounds for producing fine chemicals [5, 6]. </w:t>
      </w:r>
    </w:p>
    <w:p w:rsidR="00152B9A" w:rsidRPr="00152B9A" w:rsidRDefault="00152B9A" w:rsidP="00152B9A">
      <w:pPr>
        <w:spacing w:after="0" w:line="240" w:lineRule="auto"/>
        <w:jc w:val="both"/>
        <w:outlineLvl w:val="0"/>
        <w:rPr>
          <w:rFonts w:ascii="Times New Roman" w:hAnsi="Times New Roman"/>
          <w:sz w:val="20"/>
          <w:szCs w:val="20"/>
        </w:rPr>
      </w:pPr>
    </w:p>
    <w:p w:rsidR="00152B9A" w:rsidRPr="00152B9A" w:rsidRDefault="00152B9A" w:rsidP="00152B9A">
      <w:pPr>
        <w:spacing w:after="0" w:line="240" w:lineRule="auto"/>
        <w:jc w:val="both"/>
        <w:rPr>
          <w:rFonts w:ascii="Times New Roman" w:hAnsi="Times New Roman"/>
          <w:sz w:val="20"/>
          <w:szCs w:val="20"/>
        </w:rPr>
      </w:pPr>
      <w:r w:rsidRPr="00152B9A">
        <w:rPr>
          <w:rFonts w:ascii="Times New Roman" w:hAnsi="Times New Roman"/>
          <w:sz w:val="20"/>
          <w:szCs w:val="20"/>
        </w:rPr>
        <w:t>Numerous methods for the depolymerization of kraft lignin to produce fine chemicals have been investigated including hydrolysis, reduction, oxidation and pyrolysis. Among these, oxidation has been the most studied as it tends to give better yield of usefully functionalized molecules. Oxygen is by far the most common oxidant that has been utilized although high temperatures and high oxygen pressures are needed to obtain moderate yield of aromatic compounds [7, 8].  Remarkably, there are very few studies in which hydrogen peroxide has been used for the oxidative depolymerization of kraft lignin [9]. Notably, it has been reported that in the presence of catalytic amounts of simple transition metal salts namely MnSO</w:t>
      </w:r>
      <w:r w:rsidRPr="00152B9A">
        <w:rPr>
          <w:rFonts w:ascii="Times New Roman" w:hAnsi="Times New Roman"/>
          <w:sz w:val="20"/>
          <w:szCs w:val="20"/>
          <w:vertAlign w:val="subscript"/>
        </w:rPr>
        <w:t>4</w:t>
      </w:r>
      <w:r w:rsidRPr="00152B9A">
        <w:rPr>
          <w:rFonts w:ascii="Times New Roman" w:hAnsi="Times New Roman"/>
          <w:sz w:val="20"/>
          <w:szCs w:val="20"/>
        </w:rPr>
        <w:t>, FeSO</w:t>
      </w:r>
      <w:r w:rsidRPr="00152B9A">
        <w:rPr>
          <w:rFonts w:ascii="Times New Roman" w:hAnsi="Times New Roman"/>
          <w:sz w:val="20"/>
          <w:szCs w:val="20"/>
          <w:vertAlign w:val="subscript"/>
        </w:rPr>
        <w:t>4</w:t>
      </w:r>
      <w:r w:rsidRPr="00152B9A">
        <w:rPr>
          <w:rFonts w:ascii="Times New Roman" w:hAnsi="Times New Roman"/>
          <w:sz w:val="20"/>
          <w:szCs w:val="20"/>
        </w:rPr>
        <w:t xml:space="preserve"> or Na</w:t>
      </w:r>
      <w:r w:rsidRPr="00152B9A">
        <w:rPr>
          <w:rFonts w:ascii="Times New Roman" w:hAnsi="Times New Roman"/>
          <w:sz w:val="20"/>
          <w:szCs w:val="20"/>
          <w:vertAlign w:val="subscript"/>
        </w:rPr>
        <w:t>2</w:t>
      </w:r>
      <w:r w:rsidRPr="00152B9A">
        <w:rPr>
          <w:rFonts w:ascii="Times New Roman" w:hAnsi="Times New Roman"/>
          <w:sz w:val="20"/>
          <w:szCs w:val="20"/>
        </w:rPr>
        <w:t>WO</w:t>
      </w:r>
      <w:r w:rsidRPr="00152B9A">
        <w:rPr>
          <w:rFonts w:ascii="Times New Roman" w:hAnsi="Times New Roman"/>
          <w:sz w:val="20"/>
          <w:szCs w:val="20"/>
          <w:vertAlign w:val="subscript"/>
        </w:rPr>
        <w:t>4</w:t>
      </w:r>
      <w:r w:rsidRPr="00152B9A">
        <w:rPr>
          <w:rFonts w:ascii="Times New Roman" w:hAnsi="Times New Roman"/>
          <w:sz w:val="20"/>
          <w:szCs w:val="20"/>
        </w:rPr>
        <w:t>, very small amounts of aromatic compounds including vanillin can be produced on treatment with hydrogen peroxide under mild conditions, but the yields are ≤ 0.51 wt.% [7].</w:t>
      </w:r>
    </w:p>
    <w:p w:rsidR="00152B9A" w:rsidRPr="00152B9A" w:rsidRDefault="00152B9A" w:rsidP="00152B9A">
      <w:pPr>
        <w:spacing w:after="0" w:line="240" w:lineRule="auto"/>
        <w:jc w:val="both"/>
        <w:rPr>
          <w:rFonts w:ascii="Times New Roman" w:hAnsi="Times New Roman"/>
          <w:sz w:val="20"/>
          <w:szCs w:val="20"/>
        </w:rPr>
      </w:pPr>
    </w:p>
    <w:p w:rsidR="00152B9A" w:rsidRPr="00152B9A" w:rsidRDefault="00152B9A" w:rsidP="00152B9A">
      <w:pPr>
        <w:spacing w:after="0" w:line="240" w:lineRule="auto"/>
        <w:jc w:val="both"/>
        <w:rPr>
          <w:rFonts w:ascii="Times New Roman" w:hAnsi="Times New Roman"/>
          <w:sz w:val="20"/>
          <w:szCs w:val="20"/>
        </w:rPr>
      </w:pPr>
      <w:r w:rsidRPr="00152B9A">
        <w:rPr>
          <w:rFonts w:ascii="Times New Roman" w:hAnsi="Times New Roman"/>
          <w:sz w:val="20"/>
          <w:szCs w:val="20"/>
        </w:rPr>
        <w:t>This study has a long-standing interest in the use of the Fe(TAML</w:t>
      </w:r>
      <w:r w:rsidRPr="00152B9A">
        <w:rPr>
          <w:rFonts w:ascii="Times New Roman" w:hAnsi="Times New Roman"/>
          <w:sz w:val="20"/>
          <w:szCs w:val="20"/>
          <w:vertAlign w:val="superscript"/>
        </w:rPr>
        <w:t>®</w:t>
      </w:r>
      <w:r w:rsidRPr="00152B9A">
        <w:rPr>
          <w:rFonts w:ascii="Times New Roman" w:hAnsi="Times New Roman"/>
          <w:sz w:val="20"/>
          <w:szCs w:val="20"/>
        </w:rPr>
        <w:t>) complex, FeB* (see Figure 1) to catalyze the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bleaching (oxidation) of residual lignin on cellulose fibers obtained from the kraft pulping process [10 – 13]. The use of hydrogen peroxide as the oxidant for this purpose is particularly attractive as it is readily available, inexpensive and unlike chlorine-based bleaches, it does not form organo-chlorine by-products, which led this study to consider whether or not the same catalytic oxidation system could be adapted to oxidatively depolymerize kraft lignin and produce aromatic compounds like vanillin under mild conditions if very limited amounts of hydrogen peroxide were employed.  The oxidation catalyst, FeB*, is non-toxic and comprises elements commonly found in the biological systems.  It is water-soluble and is a very potent and efficient activator of hydrogen peroxide, even at nanomolar concentrations [14, 15].  When the catalyst is eventually degraded, it is transformed into environmentally benign byproducts. Importantly, the hydrogen peroxide oxidation of organic compounds catalyzed by FeB* occurred rapidly at 25 °C [14, 15]. In this paper, a small amount of vanillin (up to 5%) as well as vanillic acid (ca. 1%) was observed upon the treatment of kraft lignin with the FeB*/H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system at 25 °C.  The results showed that partial depolymerization of kraft lignin occurred under these conditions. The influence of key parameters such as the concentrations of the catalyst and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on the amounts of these compounds formed was also presented. </w:t>
      </w:r>
    </w:p>
    <w:p w:rsidR="00152B9A" w:rsidRPr="00152B9A" w:rsidRDefault="00152B9A" w:rsidP="00152B9A">
      <w:pPr>
        <w:spacing w:after="120" w:line="240" w:lineRule="auto"/>
        <w:jc w:val="both"/>
        <w:rPr>
          <w:rFonts w:ascii="Times New Roman" w:hAnsi="Times New Roman"/>
          <w:sz w:val="20"/>
          <w:szCs w:val="20"/>
        </w:rPr>
      </w:pPr>
    </w:p>
    <w:p w:rsidR="00152B9A" w:rsidRPr="00152B9A" w:rsidRDefault="00152B9A" w:rsidP="00152B9A">
      <w:pPr>
        <w:spacing w:after="120" w:line="240" w:lineRule="auto"/>
        <w:jc w:val="center"/>
        <w:rPr>
          <w:rFonts w:ascii="Times New Roman" w:hAnsi="Times New Roman"/>
          <w:sz w:val="20"/>
          <w:szCs w:val="20"/>
        </w:rPr>
      </w:pPr>
      <w:r w:rsidRPr="00152B9A">
        <w:rPr>
          <w:rFonts w:ascii="Times New Roman" w:hAnsi="Times New Roman"/>
          <w:sz w:val="20"/>
          <w:szCs w:val="20"/>
        </w:rPr>
        <w:object w:dxaOrig="4716" w:dyaOrig="2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6pt;height:93.8pt" o:ole="">
            <v:imagedata r:id="rId11" o:title=""/>
          </v:shape>
          <o:OLEObject Type="Embed" ProgID="ChemDraw.Document.6.0" ShapeID="_x0000_i1025" DrawAspect="Content" ObjectID="_1606202852" r:id="rId12"/>
        </w:object>
      </w:r>
    </w:p>
    <w:p w:rsidR="00152B9A" w:rsidRPr="00152B9A" w:rsidRDefault="00152B9A" w:rsidP="00567B80">
      <w:pPr>
        <w:spacing w:after="0" w:line="240" w:lineRule="auto"/>
        <w:jc w:val="center"/>
        <w:rPr>
          <w:rFonts w:ascii="Times New Roman" w:hAnsi="Times New Roman"/>
          <w:sz w:val="20"/>
          <w:szCs w:val="20"/>
        </w:rPr>
      </w:pPr>
      <w:r w:rsidRPr="00152B9A">
        <w:rPr>
          <w:rFonts w:ascii="Times New Roman" w:hAnsi="Times New Roman"/>
          <w:sz w:val="20"/>
          <w:szCs w:val="20"/>
        </w:rPr>
        <w:t>Figure 1.</w:t>
      </w:r>
      <w:r w:rsidRPr="00152B9A">
        <w:rPr>
          <w:rFonts w:ascii="Times New Roman" w:hAnsi="Times New Roman"/>
          <w:b/>
          <w:sz w:val="20"/>
          <w:szCs w:val="20"/>
        </w:rPr>
        <w:t xml:space="preserve"> </w:t>
      </w:r>
      <w:r>
        <w:rPr>
          <w:rFonts w:ascii="Times New Roman" w:hAnsi="Times New Roman"/>
          <w:b/>
          <w:sz w:val="20"/>
          <w:szCs w:val="20"/>
        </w:rPr>
        <w:t xml:space="preserve"> </w:t>
      </w:r>
      <w:r w:rsidRPr="00152B9A">
        <w:rPr>
          <w:rFonts w:ascii="Times New Roman" w:hAnsi="Times New Roman"/>
          <w:sz w:val="20"/>
          <w:szCs w:val="20"/>
        </w:rPr>
        <w:t>Molecular structure of the Fe(TAML</w:t>
      </w:r>
      <w:r w:rsidRPr="00152B9A">
        <w:rPr>
          <w:rFonts w:ascii="Times New Roman" w:hAnsi="Times New Roman"/>
          <w:sz w:val="20"/>
          <w:szCs w:val="20"/>
          <w:vertAlign w:val="superscript"/>
        </w:rPr>
        <w:t>®</w:t>
      </w:r>
      <w:r w:rsidRPr="00152B9A">
        <w:rPr>
          <w:rFonts w:ascii="Times New Roman" w:hAnsi="Times New Roman"/>
          <w:sz w:val="20"/>
          <w:szCs w:val="20"/>
        </w:rPr>
        <w:t>) compound FeB*</w:t>
      </w:r>
    </w:p>
    <w:p w:rsidR="00152B9A" w:rsidRPr="00152B9A" w:rsidRDefault="00152B9A" w:rsidP="00152B9A">
      <w:pPr>
        <w:spacing w:after="0" w:line="240" w:lineRule="auto"/>
        <w:jc w:val="center"/>
        <w:rPr>
          <w:rFonts w:ascii="Times New Roman" w:hAnsi="Times New Roman"/>
          <w:sz w:val="20"/>
          <w:szCs w:val="20"/>
        </w:rPr>
      </w:pPr>
    </w:p>
    <w:p w:rsidR="00152B9A" w:rsidRPr="00152B9A" w:rsidRDefault="00152B9A" w:rsidP="00152B9A">
      <w:pPr>
        <w:spacing w:after="0" w:line="240" w:lineRule="auto"/>
        <w:jc w:val="center"/>
        <w:rPr>
          <w:rFonts w:ascii="Times New Roman" w:hAnsi="Times New Roman"/>
          <w:b/>
          <w:sz w:val="20"/>
          <w:szCs w:val="20"/>
        </w:rPr>
      </w:pPr>
      <w:r w:rsidRPr="00152B9A">
        <w:rPr>
          <w:rFonts w:ascii="Times New Roman" w:hAnsi="Times New Roman"/>
          <w:b/>
          <w:sz w:val="20"/>
          <w:szCs w:val="20"/>
        </w:rPr>
        <w:t>Materials and Methods</w:t>
      </w:r>
    </w:p>
    <w:p w:rsidR="00152B9A" w:rsidRPr="00152B9A" w:rsidRDefault="00152B9A" w:rsidP="00152B9A">
      <w:pPr>
        <w:spacing w:after="0" w:line="240" w:lineRule="auto"/>
        <w:jc w:val="both"/>
        <w:outlineLvl w:val="0"/>
        <w:rPr>
          <w:rFonts w:ascii="Times New Roman" w:hAnsi="Times New Roman"/>
          <w:b/>
          <w:color w:val="548DD4" w:themeColor="text2" w:themeTint="99"/>
          <w:sz w:val="20"/>
          <w:szCs w:val="20"/>
        </w:rPr>
      </w:pPr>
      <w:r w:rsidRPr="00152B9A">
        <w:rPr>
          <w:rFonts w:ascii="Times New Roman" w:hAnsi="Times New Roman"/>
          <w:b/>
          <w:sz w:val="20"/>
          <w:szCs w:val="20"/>
        </w:rPr>
        <w:t xml:space="preserve">Generals procedures </w:t>
      </w:r>
    </w:p>
    <w:p w:rsidR="00152B9A" w:rsidRPr="00152B9A" w:rsidRDefault="00152B9A" w:rsidP="00152B9A">
      <w:pPr>
        <w:spacing w:after="0" w:line="240" w:lineRule="auto"/>
        <w:jc w:val="both"/>
        <w:outlineLvl w:val="0"/>
        <w:rPr>
          <w:rFonts w:ascii="Times New Roman" w:hAnsi="Times New Roman"/>
          <w:sz w:val="20"/>
          <w:szCs w:val="20"/>
        </w:rPr>
      </w:pPr>
      <w:r w:rsidRPr="00152B9A">
        <w:rPr>
          <w:rFonts w:ascii="Times New Roman" w:hAnsi="Times New Roman"/>
          <w:sz w:val="20"/>
          <w:szCs w:val="20"/>
        </w:rPr>
        <w:t>All chemical reagents were analytical grade and used without purification. Softwood kraft lignin samples were obtained from Sigma Aldrich (37,095-9) (SAKL) while hardwood kraft lignin was obtained from Scion Ltd. NZ (</w:t>
      </w:r>
      <w:r w:rsidRPr="00152B9A">
        <w:rPr>
          <w:rFonts w:ascii="Times New Roman" w:hAnsi="Times New Roman"/>
          <w:i/>
          <w:sz w:val="20"/>
          <w:szCs w:val="20"/>
        </w:rPr>
        <w:t>Eucalyptus regnans</w:t>
      </w:r>
      <w:r w:rsidRPr="00152B9A">
        <w:rPr>
          <w:rFonts w:ascii="Times New Roman" w:hAnsi="Times New Roman"/>
          <w:sz w:val="20"/>
          <w:szCs w:val="20"/>
        </w:rPr>
        <w:t>) (SCKL). The iron TAML catalyst FeB* was collected from GreenOx Catalysts, Inc. 4400 Fifth Ave, Suite 713 Pittsburgh, PA 15213, USA and used without further purification. The effective M</w:t>
      </w:r>
      <w:r w:rsidRPr="00152B9A">
        <w:rPr>
          <w:rFonts w:ascii="Times New Roman" w:hAnsi="Times New Roman"/>
          <w:sz w:val="20"/>
          <w:szCs w:val="20"/>
          <w:vertAlign w:val="subscript"/>
        </w:rPr>
        <w:t>r</w:t>
      </w:r>
      <w:r w:rsidRPr="00152B9A">
        <w:rPr>
          <w:rFonts w:ascii="Times New Roman" w:hAnsi="Times New Roman"/>
          <w:sz w:val="20"/>
          <w:szCs w:val="20"/>
        </w:rPr>
        <w:t xml:space="preserve"> of 667.32 g mol</w:t>
      </w:r>
      <w:r w:rsidRPr="00152B9A">
        <w:rPr>
          <w:rFonts w:ascii="Times New Roman" w:hAnsi="Times New Roman"/>
          <w:sz w:val="20"/>
          <w:szCs w:val="20"/>
          <w:vertAlign w:val="superscript"/>
        </w:rPr>
        <w:t>-1</w:t>
      </w:r>
      <w:r w:rsidRPr="00152B9A">
        <w:rPr>
          <w:rFonts w:ascii="Times New Roman" w:hAnsi="Times New Roman"/>
          <w:sz w:val="20"/>
          <w:szCs w:val="20"/>
        </w:rPr>
        <w:t xml:space="preserve"> supplied by the manufacturer was used to calculate catalyst concentrations of the solutions prepared. The catalyst solutions were prepared in deionized water and used within three days. Meanwhile, the Na</w:t>
      </w:r>
      <w:r w:rsidRPr="00152B9A">
        <w:rPr>
          <w:rFonts w:ascii="Times New Roman" w:hAnsi="Times New Roman"/>
          <w:sz w:val="20"/>
          <w:szCs w:val="20"/>
          <w:vertAlign w:val="subscript"/>
        </w:rPr>
        <w:t>2</w:t>
      </w:r>
      <w:r w:rsidRPr="00152B9A">
        <w:rPr>
          <w:rFonts w:ascii="Times New Roman" w:hAnsi="Times New Roman"/>
          <w:sz w:val="20"/>
          <w:szCs w:val="20"/>
        </w:rPr>
        <w:t>CO</w:t>
      </w:r>
      <w:r w:rsidRPr="00152B9A">
        <w:rPr>
          <w:rFonts w:ascii="Times New Roman" w:hAnsi="Times New Roman"/>
          <w:sz w:val="20"/>
          <w:szCs w:val="20"/>
          <w:vertAlign w:val="subscript"/>
        </w:rPr>
        <w:t>3</w:t>
      </w:r>
      <w:r w:rsidRPr="00152B9A">
        <w:rPr>
          <w:rFonts w:ascii="Times New Roman" w:hAnsi="Times New Roman"/>
          <w:sz w:val="20"/>
          <w:szCs w:val="20"/>
        </w:rPr>
        <w:t>/NaHCO</w:t>
      </w:r>
      <w:r w:rsidRPr="00152B9A">
        <w:rPr>
          <w:rFonts w:ascii="Times New Roman" w:hAnsi="Times New Roman"/>
          <w:sz w:val="20"/>
          <w:szCs w:val="20"/>
          <w:vertAlign w:val="subscript"/>
        </w:rPr>
        <w:t>3</w:t>
      </w:r>
      <w:r w:rsidRPr="00152B9A">
        <w:rPr>
          <w:rFonts w:ascii="Times New Roman" w:hAnsi="Times New Roman"/>
          <w:sz w:val="20"/>
          <w:szCs w:val="20"/>
        </w:rPr>
        <w:t xml:space="preserve"> buffer solutions (pH 9.5, 0.010 mol L</w:t>
      </w:r>
      <w:r w:rsidRPr="00152B9A">
        <w:rPr>
          <w:rFonts w:ascii="Times New Roman" w:hAnsi="Times New Roman"/>
          <w:sz w:val="20"/>
          <w:szCs w:val="20"/>
          <w:vertAlign w:val="superscript"/>
        </w:rPr>
        <w:t>-1</w:t>
      </w:r>
      <w:r w:rsidRPr="00152B9A">
        <w:rPr>
          <w:rFonts w:ascii="Times New Roman" w:hAnsi="Times New Roman"/>
          <w:sz w:val="20"/>
          <w:szCs w:val="20"/>
        </w:rPr>
        <w:t>) were prepared using a standard literature procedure [16].</w:t>
      </w:r>
      <w:r w:rsidRPr="00152B9A">
        <w:rPr>
          <w:rFonts w:ascii="Times New Roman" w:hAnsi="Times New Roman"/>
          <w:b/>
          <w:sz w:val="20"/>
          <w:szCs w:val="20"/>
        </w:rPr>
        <w:t xml:space="preserve"> </w:t>
      </w:r>
      <w:r w:rsidRPr="00152B9A">
        <w:rPr>
          <w:rFonts w:ascii="Times New Roman" w:hAnsi="Times New Roman"/>
          <w:sz w:val="20"/>
          <w:szCs w:val="20"/>
        </w:rPr>
        <w:t xml:space="preserve">The pH of each buffer solution prepared was checked using a Sartorius PB-10 pH meter fitted with a Sartorius pH/ATC electrode. </w:t>
      </w:r>
      <w:r w:rsidRPr="00152B9A">
        <w:rPr>
          <w:rFonts w:ascii="Times New Roman" w:hAnsi="Times New Roman"/>
          <w:sz w:val="20"/>
          <w:szCs w:val="20"/>
          <w:lang w:val="en-NZ"/>
        </w:rPr>
        <w:t xml:space="preserve">Hydrogen peroxide stock solutions were made by diluting a commercial solution (~30% w/v) to approximately 1% w/v with deionised water. The solutions were then </w:t>
      </w:r>
      <w:r w:rsidRPr="00152B9A">
        <w:rPr>
          <w:rFonts w:ascii="Times New Roman" w:hAnsi="Times New Roman"/>
          <w:sz w:val="20"/>
          <w:szCs w:val="20"/>
          <w:lang w:val="en-AU"/>
        </w:rPr>
        <w:t xml:space="preserve">standardized by </w:t>
      </w:r>
      <w:r w:rsidRPr="00152B9A">
        <w:rPr>
          <w:rFonts w:ascii="Times New Roman" w:hAnsi="Times New Roman"/>
          <w:sz w:val="20"/>
          <w:szCs w:val="20"/>
          <w:lang w:val="en-NZ"/>
        </w:rPr>
        <w:t>UV-Vis absorbance measurement</w:t>
      </w:r>
      <w:r w:rsidRPr="00152B9A">
        <w:rPr>
          <w:rFonts w:ascii="Times New Roman" w:hAnsi="Times New Roman"/>
          <w:sz w:val="20"/>
          <w:szCs w:val="20"/>
          <w:lang w:val="en-AU"/>
        </w:rPr>
        <w:t xml:space="preserve"> in quartz cuvette cells at 230 nm using </w:t>
      </w:r>
      <w:r w:rsidRPr="00152B9A">
        <w:rPr>
          <w:rFonts w:ascii="Times New Roman" w:hAnsi="Times New Roman"/>
          <w:sz w:val="20"/>
          <w:szCs w:val="20"/>
          <w:lang w:val="en-NZ"/>
        </w:rPr>
        <w:t>ε = 72.8 mol</w:t>
      </w:r>
      <w:r w:rsidRPr="00152B9A">
        <w:rPr>
          <w:rFonts w:ascii="Times New Roman" w:hAnsi="Times New Roman"/>
          <w:sz w:val="20"/>
          <w:szCs w:val="20"/>
          <w:vertAlign w:val="superscript"/>
          <w:lang w:val="en-NZ"/>
        </w:rPr>
        <w:t>-1</w:t>
      </w:r>
      <w:r w:rsidRPr="00152B9A">
        <w:rPr>
          <w:rFonts w:ascii="Times New Roman" w:hAnsi="Times New Roman"/>
          <w:sz w:val="20"/>
          <w:szCs w:val="20"/>
          <w:lang w:val="en-NZ"/>
        </w:rPr>
        <w:t xml:space="preserve"> L cm</w:t>
      </w:r>
      <w:r w:rsidRPr="00152B9A">
        <w:rPr>
          <w:rFonts w:ascii="Times New Roman" w:hAnsi="Times New Roman"/>
          <w:sz w:val="20"/>
          <w:szCs w:val="20"/>
          <w:vertAlign w:val="superscript"/>
          <w:lang w:val="en-NZ"/>
        </w:rPr>
        <w:t>-1</w:t>
      </w:r>
      <w:r w:rsidRPr="00152B9A">
        <w:rPr>
          <w:rFonts w:ascii="Times New Roman" w:hAnsi="Times New Roman"/>
          <w:sz w:val="20"/>
          <w:szCs w:val="20"/>
          <w:lang w:val="en-NZ"/>
        </w:rPr>
        <w:t xml:space="preserve"> [17].</w:t>
      </w:r>
      <w:r w:rsidRPr="00152B9A">
        <w:rPr>
          <w:rFonts w:ascii="Times New Roman" w:hAnsi="Times New Roman"/>
          <w:sz w:val="20"/>
          <w:szCs w:val="20"/>
          <w:lang w:val="en-AU"/>
        </w:rPr>
        <w:t xml:space="preserve"> </w:t>
      </w:r>
      <w:r w:rsidRPr="00152B9A">
        <w:rPr>
          <w:rFonts w:ascii="Times New Roman" w:hAnsi="Times New Roman"/>
          <w:sz w:val="20"/>
          <w:szCs w:val="20"/>
          <w:lang w:val="en-NZ"/>
        </w:rPr>
        <w:t xml:space="preserve">UV-Vis </w:t>
      </w:r>
      <w:r w:rsidRPr="00152B9A">
        <w:rPr>
          <w:rFonts w:ascii="Times New Roman" w:hAnsi="Times New Roman"/>
          <w:sz w:val="20"/>
          <w:szCs w:val="20"/>
          <w:lang w:val="en-AU"/>
        </w:rPr>
        <w:t xml:space="preserve">measurements were made </w:t>
      </w:r>
      <w:r w:rsidRPr="00152B9A">
        <w:rPr>
          <w:rFonts w:ascii="Times New Roman" w:hAnsi="Times New Roman"/>
          <w:sz w:val="20"/>
          <w:szCs w:val="20"/>
          <w:lang w:val="en-NZ"/>
        </w:rPr>
        <w:t xml:space="preserve">using a double beam Perkin Elmer Lamda 35 UV-Visible </w:t>
      </w:r>
      <w:r w:rsidRPr="00152B9A">
        <w:rPr>
          <w:rFonts w:ascii="Times New Roman" w:hAnsi="Times New Roman"/>
          <w:sz w:val="20"/>
          <w:szCs w:val="20"/>
          <w:lang w:val="en-AU"/>
        </w:rPr>
        <w:t>spectrophotometer with a slit width of 1.0 nm and a scan speed of 480 nm/min</w:t>
      </w:r>
      <w:r w:rsidRPr="00152B9A">
        <w:rPr>
          <w:rFonts w:ascii="Times New Roman" w:hAnsi="Times New Roman"/>
          <w:sz w:val="20"/>
          <w:szCs w:val="20"/>
          <w:lang w:val="en-NZ"/>
        </w:rPr>
        <w:t>.</w:t>
      </w:r>
      <w:r w:rsidRPr="00152B9A">
        <w:rPr>
          <w:rFonts w:ascii="Times New Roman" w:hAnsi="Times New Roman"/>
          <w:sz w:val="20"/>
          <w:szCs w:val="20"/>
          <w:lang w:val="en-AU"/>
        </w:rPr>
        <w:t xml:space="preserve"> Concentrations were determined from the average of three triplicate measurements. The results were confirmed by titration with standard thiosulphate solution (ca. 0.1M concentration accurately determined by iodometric titration [18].</w:t>
      </w:r>
      <w:r w:rsidRPr="00152B9A">
        <w:rPr>
          <w:rFonts w:ascii="Times New Roman" w:hAnsi="Times New Roman"/>
          <w:sz w:val="20"/>
          <w:szCs w:val="20"/>
        </w:rPr>
        <w:t xml:space="preserve"> </w:t>
      </w:r>
    </w:p>
    <w:p w:rsidR="00152B9A" w:rsidRPr="00152B9A" w:rsidRDefault="00152B9A" w:rsidP="00152B9A">
      <w:pPr>
        <w:spacing w:after="0" w:line="240" w:lineRule="auto"/>
        <w:jc w:val="both"/>
        <w:outlineLvl w:val="0"/>
        <w:rPr>
          <w:rFonts w:ascii="Times New Roman" w:hAnsi="Times New Roman"/>
          <w:sz w:val="20"/>
          <w:szCs w:val="20"/>
        </w:rPr>
      </w:pPr>
    </w:p>
    <w:p w:rsidR="00152B9A" w:rsidRPr="00152B9A" w:rsidRDefault="00152B9A" w:rsidP="00152B9A">
      <w:pPr>
        <w:spacing w:after="0" w:line="240" w:lineRule="auto"/>
        <w:jc w:val="both"/>
        <w:rPr>
          <w:rFonts w:ascii="Times New Roman" w:hAnsi="Times New Roman"/>
          <w:sz w:val="20"/>
          <w:szCs w:val="20"/>
        </w:rPr>
      </w:pPr>
      <w:r w:rsidRPr="00152B9A">
        <w:rPr>
          <w:rFonts w:ascii="Times New Roman" w:hAnsi="Times New Roman"/>
          <w:sz w:val="20"/>
          <w:szCs w:val="20"/>
        </w:rPr>
        <w:t>To prepare the standard calibration curves for the analysis of both vanillin and vanillic acid by HPLC, a set of solutions of pure compounds with concentrations of 1.00 x 10</w:t>
      </w:r>
      <w:r w:rsidRPr="00152B9A">
        <w:rPr>
          <w:rFonts w:ascii="Times New Roman" w:hAnsi="Times New Roman"/>
          <w:sz w:val="20"/>
          <w:szCs w:val="20"/>
          <w:vertAlign w:val="superscript"/>
        </w:rPr>
        <w:t>-5</w:t>
      </w:r>
      <w:r w:rsidRPr="00152B9A">
        <w:rPr>
          <w:rFonts w:ascii="Times New Roman" w:hAnsi="Times New Roman"/>
          <w:sz w:val="20"/>
          <w:szCs w:val="20"/>
        </w:rPr>
        <w:t>, 3.00 x 10</w:t>
      </w:r>
      <w:r w:rsidRPr="00152B9A">
        <w:rPr>
          <w:rFonts w:ascii="Times New Roman" w:hAnsi="Times New Roman"/>
          <w:sz w:val="20"/>
          <w:szCs w:val="20"/>
          <w:vertAlign w:val="superscript"/>
        </w:rPr>
        <w:t>-5</w:t>
      </w:r>
      <w:r w:rsidRPr="00152B9A">
        <w:rPr>
          <w:rFonts w:ascii="Times New Roman" w:hAnsi="Times New Roman"/>
          <w:sz w:val="20"/>
          <w:szCs w:val="20"/>
        </w:rPr>
        <w:t>, 6.00 x 10</w:t>
      </w:r>
      <w:r w:rsidRPr="00152B9A">
        <w:rPr>
          <w:rFonts w:ascii="Times New Roman" w:hAnsi="Times New Roman"/>
          <w:sz w:val="20"/>
          <w:szCs w:val="20"/>
          <w:vertAlign w:val="superscript"/>
        </w:rPr>
        <w:t>-5</w:t>
      </w:r>
      <w:r w:rsidRPr="00152B9A">
        <w:rPr>
          <w:rFonts w:ascii="Times New Roman" w:hAnsi="Times New Roman"/>
          <w:sz w:val="20"/>
          <w:szCs w:val="20"/>
        </w:rPr>
        <w:t>, 9.00 x 10</w:t>
      </w:r>
      <w:r w:rsidRPr="00152B9A">
        <w:rPr>
          <w:rFonts w:ascii="Times New Roman" w:hAnsi="Times New Roman"/>
          <w:sz w:val="20"/>
          <w:szCs w:val="20"/>
          <w:vertAlign w:val="superscript"/>
        </w:rPr>
        <w:t>-5</w:t>
      </w:r>
      <w:r w:rsidRPr="00152B9A">
        <w:rPr>
          <w:rFonts w:ascii="Times New Roman" w:hAnsi="Times New Roman"/>
          <w:sz w:val="20"/>
          <w:szCs w:val="20"/>
        </w:rPr>
        <w:t xml:space="preserve"> and 1.20 x    10</w:t>
      </w:r>
      <w:r w:rsidRPr="00152B9A">
        <w:rPr>
          <w:rFonts w:ascii="Times New Roman" w:hAnsi="Times New Roman"/>
          <w:sz w:val="20"/>
          <w:szCs w:val="20"/>
          <w:vertAlign w:val="superscript"/>
        </w:rPr>
        <w:t>-4</w:t>
      </w:r>
      <w:r w:rsidRPr="00152B9A">
        <w:rPr>
          <w:rFonts w:ascii="Times New Roman" w:hAnsi="Times New Roman"/>
          <w:sz w:val="20"/>
          <w:szCs w:val="20"/>
        </w:rPr>
        <w:t xml:space="preserve"> mol L</w:t>
      </w:r>
      <w:r w:rsidRPr="00152B9A">
        <w:rPr>
          <w:rFonts w:ascii="Times New Roman" w:hAnsi="Times New Roman"/>
          <w:sz w:val="20"/>
          <w:szCs w:val="20"/>
          <w:vertAlign w:val="superscript"/>
        </w:rPr>
        <w:t>-1</w:t>
      </w:r>
      <w:r w:rsidRPr="00152B9A">
        <w:rPr>
          <w:rFonts w:ascii="Times New Roman" w:hAnsi="Times New Roman"/>
          <w:sz w:val="20"/>
          <w:szCs w:val="20"/>
        </w:rPr>
        <w:t xml:space="preserve"> were prepared in Na</w:t>
      </w:r>
      <w:r w:rsidRPr="00152B9A">
        <w:rPr>
          <w:rFonts w:ascii="Times New Roman" w:hAnsi="Times New Roman"/>
          <w:sz w:val="20"/>
          <w:szCs w:val="20"/>
          <w:vertAlign w:val="subscript"/>
        </w:rPr>
        <w:t>2</w:t>
      </w:r>
      <w:r w:rsidRPr="00152B9A">
        <w:rPr>
          <w:rFonts w:ascii="Times New Roman" w:hAnsi="Times New Roman"/>
          <w:sz w:val="20"/>
          <w:szCs w:val="20"/>
        </w:rPr>
        <w:t>CO</w:t>
      </w:r>
      <w:r w:rsidRPr="00152B9A">
        <w:rPr>
          <w:rFonts w:ascii="Times New Roman" w:hAnsi="Times New Roman"/>
          <w:sz w:val="20"/>
          <w:szCs w:val="20"/>
          <w:vertAlign w:val="subscript"/>
        </w:rPr>
        <w:t>3</w:t>
      </w:r>
      <w:r w:rsidRPr="00152B9A">
        <w:rPr>
          <w:rFonts w:ascii="Times New Roman" w:hAnsi="Times New Roman"/>
          <w:sz w:val="20"/>
          <w:szCs w:val="20"/>
        </w:rPr>
        <w:t>/NaHCO</w:t>
      </w:r>
      <w:r w:rsidRPr="00152B9A">
        <w:rPr>
          <w:rFonts w:ascii="Times New Roman" w:hAnsi="Times New Roman"/>
          <w:sz w:val="20"/>
          <w:szCs w:val="20"/>
          <w:vertAlign w:val="subscript"/>
        </w:rPr>
        <w:t>3</w:t>
      </w:r>
      <w:r w:rsidRPr="00152B9A">
        <w:rPr>
          <w:rFonts w:ascii="Times New Roman" w:hAnsi="Times New Roman"/>
          <w:sz w:val="20"/>
          <w:szCs w:val="20"/>
        </w:rPr>
        <w:t xml:space="preserve"> buffer solution (pH 9.5, 0.010 mol L</w:t>
      </w:r>
      <w:r w:rsidRPr="00152B9A">
        <w:rPr>
          <w:rFonts w:ascii="Times New Roman" w:hAnsi="Times New Roman"/>
          <w:sz w:val="20"/>
          <w:szCs w:val="20"/>
          <w:vertAlign w:val="superscript"/>
        </w:rPr>
        <w:t>-1</w:t>
      </w:r>
      <w:r w:rsidRPr="00152B9A">
        <w:rPr>
          <w:rFonts w:ascii="Times New Roman" w:hAnsi="Times New Roman"/>
          <w:sz w:val="20"/>
          <w:szCs w:val="20"/>
        </w:rPr>
        <w:t>). To an aliquot (10.0 mL) of each solution, acetic acid (1.50 mL of 0.10 mol L</w:t>
      </w:r>
      <w:r w:rsidRPr="00152B9A">
        <w:rPr>
          <w:rFonts w:ascii="Times New Roman" w:hAnsi="Times New Roman"/>
          <w:sz w:val="20"/>
          <w:szCs w:val="20"/>
          <w:vertAlign w:val="superscript"/>
        </w:rPr>
        <w:t>-1</w:t>
      </w:r>
      <w:r w:rsidRPr="00152B9A">
        <w:rPr>
          <w:rFonts w:ascii="Times New Roman" w:hAnsi="Times New Roman"/>
          <w:sz w:val="20"/>
          <w:szCs w:val="20"/>
        </w:rPr>
        <w:t xml:space="preserve"> solution) was added to reduce the pH to ~5.5.  After filtration through a small membrane filter, the resulting solution was analyzed by HPLC (injection volume 100 µL, UV-Vis detector set at 270 nm) using the same conditions detailed below for analyzing the lignin samples.</w:t>
      </w:r>
    </w:p>
    <w:p w:rsidR="00152B9A" w:rsidRPr="00152B9A" w:rsidRDefault="00152B9A" w:rsidP="00152B9A">
      <w:pPr>
        <w:spacing w:after="0" w:line="240" w:lineRule="auto"/>
        <w:jc w:val="both"/>
        <w:rPr>
          <w:rFonts w:ascii="Times New Roman" w:hAnsi="Times New Roman"/>
          <w:sz w:val="20"/>
          <w:szCs w:val="20"/>
        </w:rPr>
      </w:pPr>
    </w:p>
    <w:p w:rsidR="00152B9A" w:rsidRPr="00152B9A" w:rsidRDefault="00152B9A" w:rsidP="00152B9A">
      <w:pPr>
        <w:spacing w:after="0" w:line="240" w:lineRule="auto"/>
        <w:jc w:val="both"/>
        <w:rPr>
          <w:rFonts w:ascii="Times New Roman" w:hAnsi="Times New Roman"/>
          <w:sz w:val="20"/>
          <w:szCs w:val="20"/>
        </w:rPr>
      </w:pPr>
      <w:r w:rsidRPr="00152B9A">
        <w:rPr>
          <w:rFonts w:ascii="Times New Roman" w:hAnsi="Times New Roman"/>
          <w:b/>
          <w:sz w:val="20"/>
          <w:szCs w:val="20"/>
        </w:rPr>
        <w:t>Lignin oxidative depolymerization reactions</w:t>
      </w:r>
    </w:p>
    <w:p w:rsidR="00152B9A" w:rsidRPr="00152B9A" w:rsidRDefault="00152B9A" w:rsidP="00152B9A">
      <w:pPr>
        <w:spacing w:after="0" w:line="240" w:lineRule="auto"/>
        <w:jc w:val="both"/>
        <w:rPr>
          <w:rFonts w:ascii="Times New Roman" w:hAnsi="Times New Roman"/>
          <w:sz w:val="20"/>
          <w:szCs w:val="20"/>
        </w:rPr>
      </w:pPr>
      <w:r w:rsidRPr="00152B9A">
        <w:rPr>
          <w:rFonts w:ascii="Times New Roman" w:hAnsi="Times New Roman"/>
          <w:sz w:val="20"/>
          <w:szCs w:val="20"/>
        </w:rPr>
        <w:t>In this typical experiment with the temperature maintained at 25 °C, a sample of lignin (12.5 mg) was placed in a 100 mL beaker and Na</w:t>
      </w:r>
      <w:r w:rsidRPr="00152B9A">
        <w:rPr>
          <w:rFonts w:ascii="Times New Roman" w:hAnsi="Times New Roman"/>
          <w:sz w:val="20"/>
          <w:szCs w:val="20"/>
          <w:vertAlign w:val="subscript"/>
        </w:rPr>
        <w:t>2</w:t>
      </w:r>
      <w:r w:rsidRPr="00152B9A">
        <w:rPr>
          <w:rFonts w:ascii="Times New Roman" w:hAnsi="Times New Roman"/>
          <w:sz w:val="20"/>
          <w:szCs w:val="20"/>
        </w:rPr>
        <w:t>CO</w:t>
      </w:r>
      <w:r w:rsidRPr="00152B9A">
        <w:rPr>
          <w:rFonts w:ascii="Times New Roman" w:hAnsi="Times New Roman"/>
          <w:sz w:val="20"/>
          <w:szCs w:val="20"/>
          <w:vertAlign w:val="subscript"/>
        </w:rPr>
        <w:t>3</w:t>
      </w:r>
      <w:r w:rsidRPr="00152B9A">
        <w:rPr>
          <w:rFonts w:ascii="Times New Roman" w:hAnsi="Times New Roman"/>
          <w:sz w:val="20"/>
          <w:szCs w:val="20"/>
        </w:rPr>
        <w:t>/NaHCO</w:t>
      </w:r>
      <w:r w:rsidRPr="00152B9A">
        <w:rPr>
          <w:rFonts w:ascii="Times New Roman" w:hAnsi="Times New Roman"/>
          <w:sz w:val="20"/>
          <w:szCs w:val="20"/>
          <w:vertAlign w:val="subscript"/>
        </w:rPr>
        <w:t>3</w:t>
      </w:r>
      <w:r w:rsidRPr="00152B9A">
        <w:rPr>
          <w:rFonts w:ascii="Times New Roman" w:hAnsi="Times New Roman"/>
          <w:sz w:val="20"/>
          <w:szCs w:val="20"/>
        </w:rPr>
        <w:t xml:space="preserve"> buffer solution (40 mL of a 0.010 mol L</w:t>
      </w:r>
      <w:r w:rsidRPr="00152B9A">
        <w:rPr>
          <w:rFonts w:ascii="Times New Roman" w:hAnsi="Times New Roman"/>
          <w:sz w:val="20"/>
          <w:szCs w:val="20"/>
          <w:vertAlign w:val="superscript"/>
        </w:rPr>
        <w:t xml:space="preserve">-1 </w:t>
      </w:r>
      <w:r w:rsidRPr="00152B9A">
        <w:rPr>
          <w:rFonts w:ascii="Times New Roman" w:hAnsi="Times New Roman"/>
          <w:sz w:val="20"/>
          <w:szCs w:val="20"/>
        </w:rPr>
        <w:t>solution, pH 9.5) was added. While stirring with a magnetic stir bar, aliquots of standard FeB* solution and standard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solution were then added so that the overall concentrations of FeB* and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would be 2.00 µM and 1.00 mM, respectively, once the total solution volume had reached 50 mL by the addition of more buffer solution. The additional buffer solution was added as soon as possible after the adding the FeB* and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The resulting mixture (50 mL) was then stirred at 25 °C for 1 hour. After this time, catalase was added to destroy the remaining hydrogen peroxide and stop the reaction. After one hour, the solution was checked with a peroxide test strip to confirm that all the hydrogen peroxides have been destroyed. An aliquot (10.0 mL) of the solution was removed and acetic acid (1.50 mL of 0.10 mol L</w:t>
      </w:r>
      <w:r w:rsidRPr="00152B9A">
        <w:rPr>
          <w:rFonts w:ascii="Times New Roman" w:hAnsi="Times New Roman"/>
          <w:sz w:val="20"/>
          <w:szCs w:val="20"/>
          <w:vertAlign w:val="superscript"/>
        </w:rPr>
        <w:t>-1</w:t>
      </w:r>
      <w:r w:rsidRPr="00152B9A">
        <w:rPr>
          <w:rFonts w:ascii="Times New Roman" w:hAnsi="Times New Roman"/>
          <w:sz w:val="20"/>
          <w:szCs w:val="20"/>
        </w:rPr>
        <w:t xml:space="preserve"> solution) was added to acidify the solution to pH ~5.5. After filtration through a small membrane filter of 0.4 nm, the resulting solution was analyzed by HPLC using the conditions detailed below. Experiments were carried out using the two different lignins (SAKL and SCKL) with different concentrations of FeB* and hydrogen peroxide.</w:t>
      </w:r>
    </w:p>
    <w:p w:rsidR="00152B9A" w:rsidRPr="00152B9A" w:rsidRDefault="00152B9A" w:rsidP="00152B9A">
      <w:pPr>
        <w:spacing w:after="0" w:line="240" w:lineRule="auto"/>
        <w:jc w:val="both"/>
        <w:rPr>
          <w:rFonts w:ascii="Times New Roman" w:hAnsi="Times New Roman"/>
          <w:b/>
          <w:color w:val="548DD4" w:themeColor="text2" w:themeTint="99"/>
          <w:sz w:val="20"/>
          <w:szCs w:val="20"/>
        </w:rPr>
      </w:pPr>
    </w:p>
    <w:p w:rsidR="00152B9A" w:rsidRPr="00152B9A" w:rsidRDefault="00152B9A" w:rsidP="00152B9A">
      <w:pPr>
        <w:spacing w:after="0" w:line="240" w:lineRule="auto"/>
        <w:jc w:val="both"/>
        <w:rPr>
          <w:rFonts w:ascii="Times New Roman" w:hAnsi="Times New Roman"/>
          <w:b/>
          <w:color w:val="548DD4" w:themeColor="text2" w:themeTint="99"/>
          <w:sz w:val="20"/>
          <w:szCs w:val="20"/>
        </w:rPr>
      </w:pPr>
      <w:r w:rsidRPr="00152B9A">
        <w:rPr>
          <w:rFonts w:ascii="Times New Roman" w:hAnsi="Times New Roman"/>
          <w:b/>
          <w:sz w:val="20"/>
          <w:szCs w:val="20"/>
        </w:rPr>
        <w:t xml:space="preserve">HPLC analysis </w:t>
      </w:r>
    </w:p>
    <w:p w:rsidR="00152B9A" w:rsidRPr="00152B9A" w:rsidRDefault="00152B9A" w:rsidP="00152B9A">
      <w:pPr>
        <w:spacing w:after="0" w:line="240" w:lineRule="auto"/>
        <w:jc w:val="both"/>
        <w:rPr>
          <w:rFonts w:ascii="Times New Roman" w:hAnsi="Times New Roman"/>
          <w:sz w:val="20"/>
          <w:szCs w:val="20"/>
        </w:rPr>
      </w:pPr>
      <w:r w:rsidRPr="00152B9A">
        <w:rPr>
          <w:rFonts w:ascii="Times New Roman" w:hAnsi="Times New Roman"/>
          <w:sz w:val="20"/>
          <w:szCs w:val="20"/>
        </w:rPr>
        <w:t>Measurements were made on a Shimadzu LC-20AT HPLC with an SPL-20A UV-Vis detector. The column used was a ProntoSIL EPS column-W RP C18 reverse-phase HPLC column (25 x 0.46 cm, 10 µm). The column temperature was 25 °C, while the diode array detector was set to measure absorbance at 270 with a flow rate of 1.0 mL/min and injection volume of 100 µL. The mobile phases were; Solvent A comprising milli-Q water acidified with 1.25% (v/v) acetic acid and Solvent B that contains pure methanol. Samples were eluted using the following conditions; t = 0, Solvent A 95%; t = 5 min, Solvent A 90% (linear gradient); t = 10 minutes, Solvent A 90% (isocratic); t = 40 minutes, Solvent A 65% (linear gradient); t = 50 minutes Solvent A 65% (isocratic). Between each analysis, the column was eluted with Solvent B (100%) for 15 minutes followed by elution with Solvent A (95%) for 5 minutes [19].</w:t>
      </w:r>
    </w:p>
    <w:p w:rsidR="006768E9" w:rsidRDefault="006768E9" w:rsidP="00152B9A">
      <w:pPr>
        <w:spacing w:after="0" w:line="240" w:lineRule="auto"/>
        <w:jc w:val="center"/>
        <w:rPr>
          <w:rFonts w:ascii="Times New Roman" w:hAnsi="Times New Roman"/>
          <w:noProof/>
          <w:sz w:val="20"/>
          <w:szCs w:val="20"/>
          <w:lang w:bidi="ar-SA"/>
        </w:rPr>
      </w:pPr>
    </w:p>
    <w:p w:rsidR="00567B80" w:rsidRDefault="00567B80" w:rsidP="00152B9A">
      <w:pPr>
        <w:spacing w:after="0" w:line="240" w:lineRule="auto"/>
        <w:jc w:val="center"/>
        <w:rPr>
          <w:rFonts w:ascii="Times New Roman" w:hAnsi="Times New Roman"/>
          <w:noProof/>
          <w:sz w:val="20"/>
          <w:szCs w:val="20"/>
          <w:lang w:bidi="ar-SA"/>
        </w:rPr>
      </w:pPr>
    </w:p>
    <w:p w:rsidR="00567B80" w:rsidRPr="00F447A7" w:rsidRDefault="00567B80" w:rsidP="00152B9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67B80" w:rsidRPr="00567B80" w:rsidRDefault="00567B80" w:rsidP="00567B80">
      <w:pPr>
        <w:spacing w:after="0" w:line="240" w:lineRule="auto"/>
        <w:jc w:val="both"/>
        <w:outlineLvl w:val="0"/>
        <w:rPr>
          <w:rFonts w:ascii="Times New Roman" w:hAnsi="Times New Roman"/>
          <w:sz w:val="20"/>
          <w:szCs w:val="20"/>
        </w:rPr>
      </w:pPr>
      <w:r>
        <w:rPr>
          <w:rFonts w:ascii="Times New Roman" w:hAnsi="Times New Roman"/>
          <w:sz w:val="20"/>
          <w:szCs w:val="20"/>
        </w:rPr>
        <w:t>T</w:t>
      </w:r>
      <w:r w:rsidRPr="00567B80">
        <w:rPr>
          <w:rFonts w:ascii="Times New Roman" w:hAnsi="Times New Roman"/>
          <w:sz w:val="20"/>
          <w:szCs w:val="20"/>
        </w:rPr>
        <w:t xml:space="preserve">he production of vanillin and vanillic acid from Kraft lignin through a catalytic oxidative treatment at 25°C was investigated. The formation of these two products was studied since preliminary experiments indicated that they were the major water-soluble products formed under the conditions used. The catalytic oxidation system employed was hydrogen peroxide in the presence of FeB* at 25 °C in alkaline (pH 9.5) solution. The rates at which FeB* catalyzes hydrogen peroxide oxidations of organic substrates were very rapid at 25 °C in the basic solution and reached a maximum at pH </w:t>
      </w:r>
      <w:r w:rsidRPr="00567B80">
        <w:rPr>
          <w:rFonts w:ascii="Times New Roman" w:hAnsi="Times New Roman"/>
          <w:i/>
          <w:sz w:val="20"/>
          <w:szCs w:val="20"/>
        </w:rPr>
        <w:t>ca.</w:t>
      </w:r>
      <w:r w:rsidRPr="00567B80">
        <w:rPr>
          <w:rFonts w:ascii="Times New Roman" w:hAnsi="Times New Roman"/>
          <w:sz w:val="20"/>
          <w:szCs w:val="20"/>
        </w:rPr>
        <w:t>10.8. At pH 9.5, the rates of oxidation were slower by more than an order of magnitude. Since it was anticipated that catalytic oxidation and/or polymerization of the vanillin produced could occur in unwanted side-reactions, this study opted to carry out the reactions at this lower pH to minimize the rates of these reactions. In a further attempt to limit unwanted oxidation of the products, this study also restricted the amount of hydrogen peroxide used to 1.36 mg per 10.0 mg lignin. There have been no previous reports on the use of this catalytic oxidation system for vanillin and vanillic acid production from kraft lignin.</w:t>
      </w:r>
    </w:p>
    <w:p w:rsidR="00567B80" w:rsidRPr="00567B80" w:rsidRDefault="00567B80" w:rsidP="00567B80">
      <w:pPr>
        <w:spacing w:after="0" w:line="240" w:lineRule="auto"/>
        <w:jc w:val="both"/>
        <w:outlineLvl w:val="0"/>
        <w:rPr>
          <w:rFonts w:ascii="Times New Roman" w:hAnsi="Times New Roman"/>
          <w:sz w:val="20"/>
          <w:szCs w:val="20"/>
        </w:rPr>
      </w:pPr>
    </w:p>
    <w:p w:rsidR="00567B80" w:rsidRPr="00567B80" w:rsidRDefault="00567B80" w:rsidP="00567B80">
      <w:pPr>
        <w:spacing w:after="0" w:line="240" w:lineRule="auto"/>
        <w:jc w:val="both"/>
        <w:outlineLvl w:val="0"/>
        <w:rPr>
          <w:rFonts w:ascii="Times New Roman" w:hAnsi="Times New Roman"/>
          <w:sz w:val="20"/>
          <w:szCs w:val="20"/>
        </w:rPr>
      </w:pPr>
      <w:r w:rsidRPr="00567B80">
        <w:rPr>
          <w:rFonts w:ascii="Times New Roman" w:hAnsi="Times New Roman"/>
          <w:sz w:val="20"/>
          <w:szCs w:val="20"/>
        </w:rPr>
        <w:t>In the blank reactions in which neither hydrogen peroxide nor the FeB* catalyst was present, only a very small amount of vanillin was obtained from each kraft lignin (Entry 1, Table 1). The other two blank reactions in which only the FeB* catalyst or only hydrogen peroxide was added (entries 2 and 3, Table 1) provided some unexpected results.  In the reactions to which only FeB* (4.00 µM) was added (entry 2, Table 1), the amount of vanillin produced from the SCKL lignin had increased from 0.46% to 1.47% (a factor of 3.2).  For the SAKL lignin, an increase was also observed, which was much smaller from 0.87% to 1.07% (a factor of 1.23).  There was no clear evidence as to why the increased amounts of vanillin were produced in both cases. However, one possibility is that FeB* had utilized atmospheric oxygen as an oxidant for these reactions. Oxidation reactions using oxygen and the catalyst FeB* have been reported previously [20]. The other blank reactions in which the kraft lignin samples were stirred in alkaline buffer with hydrogen peroxide alone at 20 °C resulted in unexpectedly large amounts of vanillin formed (Entry 3, Table 1). Under these conditions, similar amounts (5.19% and 5.48%) of vanillin were obtained from both lignin samples.</w:t>
      </w:r>
    </w:p>
    <w:p w:rsidR="00567B80" w:rsidRPr="00567B80" w:rsidRDefault="00567B80" w:rsidP="00567B80">
      <w:pPr>
        <w:spacing w:after="0" w:line="240" w:lineRule="auto"/>
        <w:jc w:val="both"/>
        <w:outlineLvl w:val="0"/>
        <w:rPr>
          <w:rFonts w:ascii="Times New Roman" w:hAnsi="Times New Roman"/>
          <w:sz w:val="20"/>
          <w:szCs w:val="20"/>
        </w:rPr>
      </w:pPr>
    </w:p>
    <w:p w:rsidR="00567B80" w:rsidRPr="00567B80" w:rsidRDefault="00567B80" w:rsidP="00567B80">
      <w:pPr>
        <w:spacing w:after="0" w:line="240" w:lineRule="auto"/>
        <w:jc w:val="both"/>
        <w:rPr>
          <w:rFonts w:ascii="Times New Roman" w:hAnsi="Times New Roman"/>
          <w:sz w:val="20"/>
          <w:szCs w:val="20"/>
        </w:rPr>
      </w:pPr>
      <w:r w:rsidRPr="00567B80">
        <w:rPr>
          <w:rFonts w:ascii="Times New Roman" w:hAnsi="Times New Roman"/>
          <w:sz w:val="20"/>
          <w:szCs w:val="20"/>
        </w:rPr>
        <w:t>The reaction of the two kraft lignins with hydrogen peroxide and catalyst FeB* (entries 4-7, Table 1) produced vanillin, but the amounts varied considerably depending on the amounts of hydrogen peroxide and catalyst used. In all cases, the amounts of vanillin were less than 1%, except for Entry 6 in which the concentrations of FeB* and 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were 4.00 µM and 1.00 mM, respectively. With the SCKL lignin, a considerable amount of vanillin (4.27%) was produced, which was slightly less than the amount formed by hydrogen peroxide alone (5.18%). However, for the SAKL lignin, the results were very different. Although this ratio also produced the largest amount of vanillin from all the FeB*/H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reactions (entries 4-7, Table 1), the amount was only 1.07%, which was considerably less than the amount formed by hydrogen peroxide alone (5.48%).  Again, this underscores how differently sourced kraft lignins can display very different reactivity.</w:t>
      </w:r>
    </w:p>
    <w:p w:rsidR="00567B80" w:rsidRPr="00567B80" w:rsidRDefault="00567B80" w:rsidP="00567B80">
      <w:pPr>
        <w:spacing w:after="0" w:line="240" w:lineRule="auto"/>
        <w:jc w:val="both"/>
        <w:rPr>
          <w:rFonts w:ascii="Times New Roman" w:hAnsi="Times New Roman"/>
          <w:sz w:val="20"/>
          <w:szCs w:val="20"/>
        </w:rPr>
      </w:pPr>
    </w:p>
    <w:p w:rsidR="00567B80" w:rsidRPr="00567B80" w:rsidRDefault="00567B80" w:rsidP="00567B80">
      <w:pPr>
        <w:spacing w:after="120" w:line="240" w:lineRule="auto"/>
        <w:ind w:left="706" w:hanging="706"/>
        <w:jc w:val="center"/>
        <w:outlineLvl w:val="0"/>
        <w:rPr>
          <w:rFonts w:ascii="Times New Roman" w:hAnsi="Times New Roman"/>
          <w:sz w:val="20"/>
          <w:szCs w:val="20"/>
        </w:rPr>
      </w:pPr>
      <w:r w:rsidRPr="00567B80">
        <w:rPr>
          <w:rFonts w:ascii="Times New Roman" w:hAnsi="Times New Roman"/>
          <w:sz w:val="20"/>
          <w:szCs w:val="20"/>
        </w:rPr>
        <w:t xml:space="preserve">Table 1. </w:t>
      </w:r>
      <w:r>
        <w:rPr>
          <w:rFonts w:ascii="Times New Roman" w:hAnsi="Times New Roman"/>
          <w:sz w:val="20"/>
          <w:szCs w:val="20"/>
        </w:rPr>
        <w:t xml:space="preserve"> </w:t>
      </w:r>
      <w:r w:rsidRPr="00567B80">
        <w:rPr>
          <w:rFonts w:ascii="Times New Roman" w:hAnsi="Times New Roman"/>
          <w:color w:val="000000" w:themeColor="text1"/>
          <w:sz w:val="20"/>
          <w:szCs w:val="20"/>
        </w:rPr>
        <w:t>Formation of vanillin from SCKL and SAKL kraft lignins after treatment with different concentrations of hydrogen peroxide and the oxidation catalyst FeB* at 25 °C and pH 9.5 for one hour</w:t>
      </w:r>
    </w:p>
    <w:tbl>
      <w:tblPr>
        <w:tblStyle w:val="TableGrid"/>
        <w:tblW w:w="8101" w:type="dxa"/>
        <w:jc w:val="center"/>
        <w:tblLook w:val="04A0" w:firstRow="1" w:lastRow="0" w:firstColumn="1" w:lastColumn="0" w:noHBand="0" w:noVBand="1"/>
      </w:tblPr>
      <w:tblGrid>
        <w:gridCol w:w="928"/>
        <w:gridCol w:w="1268"/>
        <w:gridCol w:w="1222"/>
        <w:gridCol w:w="1132"/>
        <w:gridCol w:w="1211"/>
        <w:gridCol w:w="1071"/>
        <w:gridCol w:w="1269"/>
      </w:tblGrid>
      <w:tr w:rsidR="00567B80" w:rsidRPr="00567B80" w:rsidTr="00567B80">
        <w:trPr>
          <w:trHeight w:val="245"/>
          <w:jc w:val="center"/>
        </w:trPr>
        <w:tc>
          <w:tcPr>
            <w:tcW w:w="928" w:type="dxa"/>
            <w:vMerge w:val="restart"/>
            <w:tcBorders>
              <w:top w:val="single" w:sz="4" w:space="0" w:color="auto"/>
              <w:left w:val="nil"/>
              <w:bottom w:val="nil"/>
              <w:right w:val="nil"/>
            </w:tcBorders>
          </w:tcPr>
          <w:p w:rsidR="00567B80" w:rsidRPr="00567B80" w:rsidRDefault="00567B80" w:rsidP="00567B80">
            <w:pPr>
              <w:spacing w:before="240" w:after="0" w:line="240" w:lineRule="auto"/>
              <w:rPr>
                <w:rFonts w:ascii="Times New Roman" w:hAnsi="Times New Roman" w:cs="Times New Roman"/>
                <w:b/>
                <w:sz w:val="20"/>
                <w:szCs w:val="20"/>
              </w:rPr>
            </w:pPr>
            <w:r w:rsidRPr="00567B80">
              <w:rPr>
                <w:rFonts w:ascii="Times New Roman" w:hAnsi="Times New Roman" w:cs="Times New Roman"/>
                <w:b/>
                <w:sz w:val="20"/>
                <w:szCs w:val="20"/>
              </w:rPr>
              <w:t>Entry Number</w:t>
            </w:r>
          </w:p>
        </w:tc>
        <w:tc>
          <w:tcPr>
            <w:tcW w:w="2490" w:type="dxa"/>
            <w:gridSpan w:val="2"/>
            <w:vMerge w:val="restart"/>
            <w:tcBorders>
              <w:top w:val="single" w:sz="4" w:space="0" w:color="auto"/>
              <w:left w:val="nil"/>
              <w:bottom w:val="nil"/>
              <w:right w:val="nil"/>
            </w:tcBorders>
          </w:tcPr>
          <w:p w:rsidR="00567B80" w:rsidRPr="00567B80" w:rsidRDefault="00567B80" w:rsidP="00567B80">
            <w:pPr>
              <w:spacing w:before="60"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Concentrations of Reagents</w:t>
            </w:r>
          </w:p>
          <w:p w:rsidR="00567B80" w:rsidRPr="00567B80" w:rsidRDefault="00567B80" w:rsidP="00036D1D">
            <w:pPr>
              <w:spacing w:after="0" w:line="240" w:lineRule="auto"/>
              <w:jc w:val="both"/>
              <w:rPr>
                <w:rFonts w:ascii="Times New Roman" w:hAnsi="Times New Roman" w:cs="Times New Roman"/>
                <w:b/>
                <w:sz w:val="20"/>
                <w:szCs w:val="20"/>
              </w:rPr>
            </w:pPr>
          </w:p>
        </w:tc>
        <w:tc>
          <w:tcPr>
            <w:tcW w:w="4683" w:type="dxa"/>
            <w:gridSpan w:val="4"/>
            <w:tcBorders>
              <w:top w:val="single" w:sz="4" w:space="0" w:color="auto"/>
              <w:left w:val="nil"/>
              <w:bottom w:val="single" w:sz="4" w:space="0" w:color="auto"/>
              <w:right w:val="nil"/>
            </w:tcBorders>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b/>
                <w:sz w:val="20"/>
                <w:szCs w:val="20"/>
              </w:rPr>
              <w:t>Kraft Lignin Source</w:t>
            </w:r>
          </w:p>
        </w:tc>
      </w:tr>
      <w:tr w:rsidR="00567B80" w:rsidRPr="00567B80" w:rsidTr="00567B80">
        <w:trPr>
          <w:trHeight w:val="56"/>
          <w:jc w:val="center"/>
        </w:trPr>
        <w:tc>
          <w:tcPr>
            <w:tcW w:w="928" w:type="dxa"/>
            <w:vMerge/>
            <w:tcBorders>
              <w:top w:val="nil"/>
              <w:left w:val="nil"/>
              <w:bottom w:val="nil"/>
              <w:right w:val="nil"/>
            </w:tcBorders>
            <w:vAlign w:val="center"/>
          </w:tcPr>
          <w:p w:rsidR="00567B80" w:rsidRPr="00567B80" w:rsidRDefault="00567B80" w:rsidP="00567B80">
            <w:pPr>
              <w:spacing w:after="0" w:line="240" w:lineRule="auto"/>
              <w:rPr>
                <w:rFonts w:ascii="Times New Roman" w:hAnsi="Times New Roman" w:cs="Times New Roman"/>
                <w:b/>
                <w:sz w:val="20"/>
                <w:szCs w:val="20"/>
              </w:rPr>
            </w:pPr>
          </w:p>
        </w:tc>
        <w:tc>
          <w:tcPr>
            <w:tcW w:w="2490" w:type="dxa"/>
            <w:gridSpan w:val="2"/>
            <w:vMerge/>
            <w:tcBorders>
              <w:top w:val="nil"/>
              <w:left w:val="nil"/>
              <w:bottom w:val="nil"/>
              <w:right w:val="nil"/>
            </w:tcBorders>
            <w:vAlign w:val="center"/>
          </w:tcPr>
          <w:p w:rsidR="00567B80" w:rsidRPr="00567B80" w:rsidRDefault="00567B80" w:rsidP="00036D1D">
            <w:pPr>
              <w:spacing w:after="0" w:line="240" w:lineRule="auto"/>
              <w:jc w:val="both"/>
              <w:rPr>
                <w:rFonts w:ascii="Times New Roman" w:hAnsi="Times New Roman" w:cs="Times New Roman"/>
                <w:b/>
                <w:sz w:val="20"/>
                <w:szCs w:val="20"/>
              </w:rPr>
            </w:pPr>
          </w:p>
        </w:tc>
        <w:tc>
          <w:tcPr>
            <w:tcW w:w="2343" w:type="dxa"/>
            <w:gridSpan w:val="2"/>
            <w:tcBorders>
              <w:top w:val="single" w:sz="4" w:space="0" w:color="auto"/>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SCKL</w:t>
            </w:r>
          </w:p>
        </w:tc>
        <w:tc>
          <w:tcPr>
            <w:tcW w:w="2340" w:type="dxa"/>
            <w:gridSpan w:val="2"/>
            <w:tcBorders>
              <w:top w:val="single" w:sz="4" w:space="0" w:color="auto"/>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SAKL</w:t>
            </w:r>
          </w:p>
        </w:tc>
      </w:tr>
      <w:tr w:rsidR="00567B80" w:rsidRPr="00567B80" w:rsidTr="00567B80">
        <w:trPr>
          <w:trHeight w:val="251"/>
          <w:jc w:val="center"/>
        </w:trPr>
        <w:tc>
          <w:tcPr>
            <w:tcW w:w="928" w:type="dxa"/>
            <w:vMerge/>
            <w:tcBorders>
              <w:top w:val="nil"/>
              <w:left w:val="nil"/>
              <w:bottom w:val="single" w:sz="4" w:space="0" w:color="auto"/>
              <w:right w:val="nil"/>
            </w:tcBorders>
            <w:vAlign w:val="center"/>
          </w:tcPr>
          <w:p w:rsidR="00567B80" w:rsidRPr="00567B80" w:rsidRDefault="00567B80" w:rsidP="00567B80">
            <w:pPr>
              <w:spacing w:after="0" w:line="240" w:lineRule="auto"/>
              <w:rPr>
                <w:rFonts w:ascii="Times New Roman" w:hAnsi="Times New Roman" w:cs="Times New Roman"/>
                <w:b/>
                <w:sz w:val="20"/>
                <w:szCs w:val="20"/>
              </w:rPr>
            </w:pPr>
          </w:p>
        </w:tc>
        <w:tc>
          <w:tcPr>
            <w:tcW w:w="1268" w:type="dxa"/>
            <w:tcBorders>
              <w:top w:val="nil"/>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[FeB*]</w:t>
            </w:r>
          </w:p>
          <w:p w:rsidR="00567B80" w:rsidRPr="00567B80" w:rsidRDefault="00567B80" w:rsidP="00567B80">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(µM)</w:t>
            </w:r>
          </w:p>
        </w:tc>
        <w:tc>
          <w:tcPr>
            <w:tcW w:w="1222" w:type="dxa"/>
            <w:tcBorders>
              <w:top w:val="nil"/>
              <w:left w:val="nil"/>
              <w:bottom w:val="single" w:sz="4" w:space="0" w:color="auto"/>
              <w:right w:val="nil"/>
            </w:tcBorders>
            <w:vAlign w:val="center"/>
          </w:tcPr>
          <w:p w:rsidR="00567B80" w:rsidRPr="00567B80" w:rsidRDefault="00567B80" w:rsidP="00567B80">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[H</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O</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 (mM)</w:t>
            </w:r>
          </w:p>
        </w:tc>
        <w:tc>
          <w:tcPr>
            <w:tcW w:w="1132" w:type="dxa"/>
            <w:tcBorders>
              <w:top w:val="single" w:sz="4" w:space="0" w:color="auto"/>
              <w:left w:val="nil"/>
              <w:bottom w:val="single" w:sz="4" w:space="0" w:color="auto"/>
              <w:right w:val="nil"/>
            </w:tcBorders>
            <w:vAlign w:val="center"/>
          </w:tcPr>
          <w:p w:rsidR="00567B80" w:rsidRPr="00567B80" w:rsidRDefault="00567B80" w:rsidP="00567B80">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[Vanillin] (mg/L)</w:t>
            </w:r>
          </w:p>
        </w:tc>
        <w:tc>
          <w:tcPr>
            <w:tcW w:w="1211" w:type="dxa"/>
            <w:tcBorders>
              <w:top w:val="single" w:sz="4" w:space="0" w:color="auto"/>
              <w:left w:val="nil"/>
              <w:bottom w:val="single" w:sz="4" w:space="0" w:color="auto"/>
              <w:right w:val="nil"/>
            </w:tcBorders>
            <w:vAlign w:val="center"/>
          </w:tcPr>
          <w:p w:rsidR="00567B80" w:rsidRPr="00567B80" w:rsidRDefault="00567B80" w:rsidP="00567B80">
            <w:pPr>
              <w:spacing w:after="6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567B80">
              <w:rPr>
                <w:rFonts w:ascii="Times New Roman" w:hAnsi="Times New Roman" w:cs="Times New Roman"/>
                <w:b/>
                <w:sz w:val="20"/>
                <w:szCs w:val="20"/>
              </w:rPr>
              <w:t>Vanillin (by wt.)</w:t>
            </w:r>
          </w:p>
        </w:tc>
        <w:tc>
          <w:tcPr>
            <w:tcW w:w="1071" w:type="dxa"/>
            <w:tcBorders>
              <w:top w:val="single" w:sz="4" w:space="0" w:color="auto"/>
              <w:left w:val="nil"/>
              <w:bottom w:val="single" w:sz="4" w:space="0" w:color="auto"/>
              <w:right w:val="nil"/>
            </w:tcBorders>
            <w:vAlign w:val="center"/>
          </w:tcPr>
          <w:p w:rsidR="00567B80" w:rsidRPr="00567B80" w:rsidRDefault="00567B80" w:rsidP="00567B80">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[Vanillin] (mg/L)</w:t>
            </w:r>
          </w:p>
        </w:tc>
        <w:tc>
          <w:tcPr>
            <w:tcW w:w="1269" w:type="dxa"/>
            <w:tcBorders>
              <w:top w:val="single" w:sz="4" w:space="0" w:color="auto"/>
              <w:left w:val="nil"/>
              <w:bottom w:val="single" w:sz="4" w:space="0" w:color="auto"/>
              <w:right w:val="nil"/>
            </w:tcBorders>
            <w:vAlign w:val="center"/>
          </w:tcPr>
          <w:p w:rsidR="00567B80" w:rsidRPr="00567B80" w:rsidRDefault="00567B80" w:rsidP="00567B80">
            <w:pPr>
              <w:spacing w:after="6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567B80">
              <w:rPr>
                <w:rFonts w:ascii="Times New Roman" w:hAnsi="Times New Roman" w:cs="Times New Roman"/>
                <w:b/>
                <w:sz w:val="20"/>
                <w:szCs w:val="20"/>
              </w:rPr>
              <w:t>Vanillin (by wt.)</w:t>
            </w:r>
          </w:p>
        </w:tc>
      </w:tr>
      <w:tr w:rsidR="00567B80" w:rsidRPr="00567B80" w:rsidTr="00567B80">
        <w:trPr>
          <w:trHeight w:val="57"/>
          <w:jc w:val="center"/>
        </w:trPr>
        <w:tc>
          <w:tcPr>
            <w:tcW w:w="928" w:type="dxa"/>
            <w:tcBorders>
              <w:top w:val="single" w:sz="4" w:space="0" w:color="auto"/>
              <w:left w:val="nil"/>
              <w:bottom w:val="nil"/>
              <w:right w:val="nil"/>
            </w:tcBorders>
            <w:vAlign w:val="center"/>
          </w:tcPr>
          <w:p w:rsidR="00567B80" w:rsidRPr="00567B80" w:rsidRDefault="00567B80" w:rsidP="00567B80">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1</w:t>
            </w:r>
          </w:p>
        </w:tc>
        <w:tc>
          <w:tcPr>
            <w:tcW w:w="1268" w:type="dxa"/>
            <w:tcBorders>
              <w:top w:val="single" w:sz="4" w:space="0" w:color="auto"/>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222" w:type="dxa"/>
            <w:tcBorders>
              <w:top w:val="single" w:sz="4" w:space="0" w:color="auto"/>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32" w:type="dxa"/>
            <w:tcBorders>
              <w:top w:val="single" w:sz="4" w:space="0" w:color="auto"/>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1.15</w:t>
            </w:r>
          </w:p>
        </w:tc>
        <w:tc>
          <w:tcPr>
            <w:tcW w:w="1211" w:type="dxa"/>
            <w:tcBorders>
              <w:top w:val="single" w:sz="4" w:space="0" w:color="auto"/>
              <w:left w:val="nil"/>
              <w:bottom w:val="nil"/>
              <w:right w:val="nil"/>
            </w:tcBorders>
            <w:vAlign w:val="center"/>
          </w:tcPr>
          <w:p w:rsidR="00567B80" w:rsidRPr="00567B80" w:rsidRDefault="00567B80" w:rsidP="00567B80">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0.46</w:t>
            </w:r>
          </w:p>
        </w:tc>
        <w:tc>
          <w:tcPr>
            <w:tcW w:w="1071" w:type="dxa"/>
            <w:tcBorders>
              <w:top w:val="single" w:sz="4" w:space="0" w:color="auto"/>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2.18</w:t>
            </w:r>
          </w:p>
        </w:tc>
        <w:tc>
          <w:tcPr>
            <w:tcW w:w="1269" w:type="dxa"/>
            <w:tcBorders>
              <w:top w:val="single" w:sz="4" w:space="0" w:color="auto"/>
              <w:left w:val="nil"/>
              <w:bottom w:val="nil"/>
              <w:right w:val="nil"/>
            </w:tcBorders>
            <w:vAlign w:val="center"/>
          </w:tcPr>
          <w:p w:rsidR="00567B80" w:rsidRPr="00567B80" w:rsidRDefault="00567B80" w:rsidP="00567B80">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0.87</w:t>
            </w:r>
          </w:p>
        </w:tc>
      </w:tr>
      <w:tr w:rsidR="00567B80" w:rsidRPr="00567B80" w:rsidTr="00567B80">
        <w:trPr>
          <w:trHeight w:val="67"/>
          <w:jc w:val="center"/>
        </w:trPr>
        <w:tc>
          <w:tcPr>
            <w:tcW w:w="928" w:type="dxa"/>
            <w:tcBorders>
              <w:top w:val="nil"/>
              <w:left w:val="nil"/>
              <w:bottom w:val="nil"/>
              <w:right w:val="nil"/>
            </w:tcBorders>
            <w:vAlign w:val="center"/>
          </w:tcPr>
          <w:p w:rsidR="00567B80" w:rsidRPr="00567B80" w:rsidRDefault="00567B80" w:rsidP="00567B80">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2</w:t>
            </w:r>
          </w:p>
        </w:tc>
        <w:tc>
          <w:tcPr>
            <w:tcW w:w="1268"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22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3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3.67</w:t>
            </w:r>
          </w:p>
        </w:tc>
        <w:tc>
          <w:tcPr>
            <w:tcW w:w="121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1.47</w:t>
            </w:r>
          </w:p>
        </w:tc>
        <w:tc>
          <w:tcPr>
            <w:tcW w:w="107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2.68</w:t>
            </w:r>
          </w:p>
        </w:tc>
        <w:tc>
          <w:tcPr>
            <w:tcW w:w="1269"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1.07</w:t>
            </w:r>
          </w:p>
        </w:tc>
      </w:tr>
      <w:tr w:rsidR="00567B80" w:rsidRPr="00567B80" w:rsidTr="00567B80">
        <w:trPr>
          <w:trHeight w:val="71"/>
          <w:jc w:val="center"/>
        </w:trPr>
        <w:tc>
          <w:tcPr>
            <w:tcW w:w="928" w:type="dxa"/>
            <w:tcBorders>
              <w:top w:val="nil"/>
              <w:left w:val="nil"/>
              <w:bottom w:val="nil"/>
              <w:right w:val="nil"/>
            </w:tcBorders>
            <w:vAlign w:val="center"/>
          </w:tcPr>
          <w:p w:rsidR="00567B80" w:rsidRPr="00567B80" w:rsidRDefault="00567B80" w:rsidP="00567B80">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3</w:t>
            </w:r>
          </w:p>
        </w:tc>
        <w:tc>
          <w:tcPr>
            <w:tcW w:w="1268"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22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13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13.0</w:t>
            </w:r>
          </w:p>
        </w:tc>
        <w:tc>
          <w:tcPr>
            <w:tcW w:w="121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5.19</w:t>
            </w:r>
          </w:p>
        </w:tc>
        <w:tc>
          <w:tcPr>
            <w:tcW w:w="107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13.7</w:t>
            </w:r>
          </w:p>
        </w:tc>
        <w:tc>
          <w:tcPr>
            <w:tcW w:w="1269"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5.48</w:t>
            </w:r>
          </w:p>
        </w:tc>
      </w:tr>
      <w:tr w:rsidR="00567B80" w:rsidRPr="00567B80" w:rsidTr="00567B80">
        <w:trPr>
          <w:trHeight w:val="67"/>
          <w:jc w:val="center"/>
        </w:trPr>
        <w:tc>
          <w:tcPr>
            <w:tcW w:w="928" w:type="dxa"/>
            <w:tcBorders>
              <w:top w:val="nil"/>
              <w:left w:val="nil"/>
              <w:bottom w:val="nil"/>
              <w:right w:val="nil"/>
            </w:tcBorders>
            <w:vAlign w:val="center"/>
          </w:tcPr>
          <w:p w:rsidR="00567B80" w:rsidRPr="00567B80" w:rsidRDefault="00567B80" w:rsidP="00567B80">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4</w:t>
            </w:r>
          </w:p>
        </w:tc>
        <w:tc>
          <w:tcPr>
            <w:tcW w:w="1268"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22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13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1.67</w:t>
            </w:r>
          </w:p>
        </w:tc>
        <w:tc>
          <w:tcPr>
            <w:tcW w:w="121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0.67</w:t>
            </w:r>
          </w:p>
        </w:tc>
        <w:tc>
          <w:tcPr>
            <w:tcW w:w="107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0.51</w:t>
            </w:r>
          </w:p>
        </w:tc>
        <w:tc>
          <w:tcPr>
            <w:tcW w:w="1269"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0.22</w:t>
            </w:r>
          </w:p>
        </w:tc>
      </w:tr>
      <w:tr w:rsidR="00567B80" w:rsidRPr="00567B80" w:rsidTr="00567B80">
        <w:trPr>
          <w:trHeight w:val="67"/>
          <w:jc w:val="center"/>
        </w:trPr>
        <w:tc>
          <w:tcPr>
            <w:tcW w:w="928" w:type="dxa"/>
            <w:tcBorders>
              <w:top w:val="nil"/>
              <w:left w:val="nil"/>
              <w:bottom w:val="nil"/>
              <w:right w:val="nil"/>
            </w:tcBorders>
            <w:vAlign w:val="center"/>
          </w:tcPr>
          <w:p w:rsidR="00567B80" w:rsidRPr="00567B80" w:rsidRDefault="00567B80" w:rsidP="00567B80">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5</w:t>
            </w:r>
          </w:p>
        </w:tc>
        <w:tc>
          <w:tcPr>
            <w:tcW w:w="1268"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22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13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1.81</w:t>
            </w:r>
          </w:p>
        </w:tc>
        <w:tc>
          <w:tcPr>
            <w:tcW w:w="121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0.72</w:t>
            </w:r>
          </w:p>
        </w:tc>
        <w:tc>
          <w:tcPr>
            <w:tcW w:w="107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1.59</w:t>
            </w:r>
          </w:p>
        </w:tc>
        <w:tc>
          <w:tcPr>
            <w:tcW w:w="1269"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0.64</w:t>
            </w:r>
          </w:p>
        </w:tc>
      </w:tr>
      <w:tr w:rsidR="00567B80" w:rsidRPr="00567B80" w:rsidTr="00567B80">
        <w:trPr>
          <w:trHeight w:val="111"/>
          <w:jc w:val="center"/>
        </w:trPr>
        <w:tc>
          <w:tcPr>
            <w:tcW w:w="928" w:type="dxa"/>
            <w:tcBorders>
              <w:top w:val="nil"/>
              <w:left w:val="nil"/>
              <w:bottom w:val="nil"/>
              <w:right w:val="nil"/>
            </w:tcBorders>
            <w:vAlign w:val="center"/>
          </w:tcPr>
          <w:p w:rsidR="00567B80" w:rsidRPr="00567B80" w:rsidRDefault="00567B80" w:rsidP="00567B80">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6</w:t>
            </w:r>
          </w:p>
        </w:tc>
        <w:tc>
          <w:tcPr>
            <w:tcW w:w="1268"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22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132"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10.7</w:t>
            </w:r>
          </w:p>
        </w:tc>
        <w:tc>
          <w:tcPr>
            <w:tcW w:w="121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4.27</w:t>
            </w:r>
          </w:p>
        </w:tc>
        <w:tc>
          <w:tcPr>
            <w:tcW w:w="1071"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2.67</w:t>
            </w:r>
          </w:p>
        </w:tc>
        <w:tc>
          <w:tcPr>
            <w:tcW w:w="1269" w:type="dxa"/>
            <w:tcBorders>
              <w:top w:val="nil"/>
              <w:left w:val="nil"/>
              <w:bottom w:val="nil"/>
              <w:right w:val="nil"/>
            </w:tcBorders>
            <w:vAlign w:val="center"/>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1.07</w:t>
            </w:r>
          </w:p>
        </w:tc>
      </w:tr>
      <w:tr w:rsidR="00567B80" w:rsidRPr="00567B80" w:rsidTr="00567B80">
        <w:trPr>
          <w:trHeight w:val="67"/>
          <w:jc w:val="center"/>
        </w:trPr>
        <w:tc>
          <w:tcPr>
            <w:tcW w:w="928" w:type="dxa"/>
            <w:tcBorders>
              <w:top w:val="nil"/>
              <w:left w:val="nil"/>
              <w:bottom w:val="single" w:sz="4" w:space="0" w:color="auto"/>
              <w:right w:val="nil"/>
            </w:tcBorders>
            <w:vAlign w:val="center"/>
          </w:tcPr>
          <w:p w:rsidR="00567B80" w:rsidRPr="00567B80" w:rsidRDefault="00567B80" w:rsidP="00567B80">
            <w:pPr>
              <w:spacing w:before="60" w:after="60" w:line="240" w:lineRule="auto"/>
              <w:rPr>
                <w:rFonts w:ascii="Times New Roman" w:hAnsi="Times New Roman" w:cs="Times New Roman"/>
                <w:sz w:val="20"/>
                <w:szCs w:val="20"/>
              </w:rPr>
            </w:pPr>
            <w:r w:rsidRPr="00567B80">
              <w:rPr>
                <w:rFonts w:ascii="Times New Roman" w:hAnsi="Times New Roman" w:cs="Times New Roman"/>
                <w:sz w:val="20"/>
                <w:szCs w:val="20"/>
              </w:rPr>
              <w:t>7</w:t>
            </w:r>
          </w:p>
        </w:tc>
        <w:tc>
          <w:tcPr>
            <w:tcW w:w="1268" w:type="dxa"/>
            <w:tcBorders>
              <w:top w:val="nil"/>
              <w:left w:val="nil"/>
              <w:bottom w:val="single" w:sz="4" w:space="0" w:color="auto"/>
              <w:right w:val="nil"/>
            </w:tcBorders>
            <w:vAlign w:val="center"/>
          </w:tcPr>
          <w:p w:rsidR="00567B80" w:rsidRPr="00567B80" w:rsidRDefault="00567B80" w:rsidP="00567B80">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222" w:type="dxa"/>
            <w:tcBorders>
              <w:top w:val="nil"/>
              <w:left w:val="nil"/>
              <w:bottom w:val="single" w:sz="4" w:space="0" w:color="auto"/>
              <w:right w:val="nil"/>
            </w:tcBorders>
            <w:vAlign w:val="center"/>
          </w:tcPr>
          <w:p w:rsidR="00567B80" w:rsidRPr="00567B80" w:rsidRDefault="00567B80" w:rsidP="00567B80">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0.50</w:t>
            </w:r>
          </w:p>
        </w:tc>
        <w:tc>
          <w:tcPr>
            <w:tcW w:w="1132" w:type="dxa"/>
            <w:tcBorders>
              <w:top w:val="nil"/>
              <w:left w:val="nil"/>
              <w:bottom w:val="single" w:sz="4" w:space="0" w:color="auto"/>
              <w:right w:val="nil"/>
            </w:tcBorders>
            <w:vAlign w:val="center"/>
          </w:tcPr>
          <w:p w:rsidR="00567B80" w:rsidRPr="00567B80" w:rsidRDefault="00567B80" w:rsidP="00567B80">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1.75</w:t>
            </w:r>
          </w:p>
        </w:tc>
        <w:tc>
          <w:tcPr>
            <w:tcW w:w="1211" w:type="dxa"/>
            <w:tcBorders>
              <w:top w:val="nil"/>
              <w:left w:val="nil"/>
              <w:bottom w:val="single" w:sz="4" w:space="0" w:color="auto"/>
              <w:right w:val="nil"/>
            </w:tcBorders>
            <w:vAlign w:val="center"/>
          </w:tcPr>
          <w:p w:rsidR="00567B80" w:rsidRPr="00567B80" w:rsidRDefault="00567B80" w:rsidP="00567B80">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0.70</w:t>
            </w:r>
          </w:p>
        </w:tc>
        <w:tc>
          <w:tcPr>
            <w:tcW w:w="1071" w:type="dxa"/>
            <w:tcBorders>
              <w:top w:val="nil"/>
              <w:left w:val="nil"/>
              <w:bottom w:val="single" w:sz="4" w:space="0" w:color="auto"/>
              <w:right w:val="nil"/>
            </w:tcBorders>
            <w:vAlign w:val="center"/>
          </w:tcPr>
          <w:p w:rsidR="00567B80" w:rsidRPr="00567B80" w:rsidRDefault="00567B80" w:rsidP="00567B80">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1.01</w:t>
            </w:r>
          </w:p>
        </w:tc>
        <w:tc>
          <w:tcPr>
            <w:tcW w:w="1269" w:type="dxa"/>
            <w:tcBorders>
              <w:top w:val="nil"/>
              <w:left w:val="nil"/>
              <w:bottom w:val="single" w:sz="4" w:space="0" w:color="auto"/>
              <w:right w:val="nil"/>
            </w:tcBorders>
            <w:vAlign w:val="center"/>
          </w:tcPr>
          <w:p w:rsidR="00567B80" w:rsidRPr="00567B80" w:rsidRDefault="00567B80" w:rsidP="00567B80">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0.40</w:t>
            </w:r>
          </w:p>
        </w:tc>
      </w:tr>
    </w:tbl>
    <w:p w:rsidR="00567B80" w:rsidRPr="00567B80" w:rsidRDefault="00567B80" w:rsidP="00567B80">
      <w:pPr>
        <w:pStyle w:val="Caption"/>
        <w:keepNext/>
        <w:spacing w:after="0"/>
        <w:jc w:val="both"/>
        <w:rPr>
          <w:rFonts w:ascii="Times New Roman" w:hAnsi="Times New Roman" w:cs="Times New Roman"/>
          <w:i w:val="0"/>
          <w:color w:val="000000" w:themeColor="text1"/>
          <w:sz w:val="20"/>
          <w:szCs w:val="20"/>
        </w:rPr>
      </w:pPr>
    </w:p>
    <w:p w:rsidR="00567B80" w:rsidRPr="00567B80" w:rsidRDefault="00567B80" w:rsidP="00567B80">
      <w:pPr>
        <w:spacing w:after="0" w:line="240" w:lineRule="auto"/>
        <w:jc w:val="both"/>
        <w:rPr>
          <w:rFonts w:ascii="Times New Roman" w:hAnsi="Times New Roman"/>
          <w:sz w:val="20"/>
          <w:szCs w:val="20"/>
        </w:rPr>
      </w:pPr>
      <w:r w:rsidRPr="00567B80">
        <w:rPr>
          <w:rFonts w:ascii="Times New Roman" w:hAnsi="Times New Roman"/>
          <w:sz w:val="20"/>
          <w:szCs w:val="20"/>
        </w:rPr>
        <w:t>The amounts of vanillic acid formed during each of the oxidative reactions are presented in Table 2. In each case, the amounts of vanillic acid were much less than the amounts of vanillin obtained. Interestingly, the same conditions that produced the largest amounts of vanillin also produced the largest amounts of vanillic acid. Thus, upon treatment with hydrogen peroxide alone (Entry 3, Table 2) 0.46% and 0.75% of vanillic acid were obtained from the SCKL and SAKL lignins, respectively. For the other two blank reactions (entries 1 and 2, Table 2) relatively larger amounts of vanillic acid were formed from the SAKL lignin than that of the SCKL lignin. In all cases, the FeB*/H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oxidation system produced less vanillic acid than the amount obtained using hydrogen peroxide alone (entries 4-7, Table 2).  For the FeB* catalyzed reactions, it was again when the concentrations of FeB* and 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were 4.00 µM and 1.00 mM, respectively, that the maximum amount of vanillic acid was formed (Entry 6, Table 2). </w:t>
      </w:r>
    </w:p>
    <w:p w:rsidR="00567B80" w:rsidRPr="00567B80" w:rsidRDefault="00567B80" w:rsidP="00567B80">
      <w:pPr>
        <w:pStyle w:val="Caption"/>
        <w:keepNext/>
        <w:spacing w:after="120"/>
        <w:jc w:val="both"/>
        <w:rPr>
          <w:rFonts w:ascii="Times New Roman" w:hAnsi="Times New Roman" w:cs="Times New Roman"/>
          <w:i w:val="0"/>
          <w:color w:val="000000" w:themeColor="text1"/>
          <w:sz w:val="20"/>
          <w:szCs w:val="20"/>
        </w:rPr>
      </w:pPr>
    </w:p>
    <w:p w:rsidR="00567B80" w:rsidRDefault="00567B80" w:rsidP="00567B80">
      <w:pPr>
        <w:pStyle w:val="Caption"/>
        <w:keepNext/>
        <w:spacing w:after="0"/>
        <w:jc w:val="center"/>
        <w:rPr>
          <w:rFonts w:ascii="Times New Roman" w:hAnsi="Times New Roman" w:cs="Times New Roman"/>
          <w:i w:val="0"/>
          <w:color w:val="000000" w:themeColor="text1"/>
          <w:sz w:val="20"/>
          <w:szCs w:val="20"/>
        </w:rPr>
      </w:pPr>
      <w:r w:rsidRPr="00567B80">
        <w:rPr>
          <w:rFonts w:ascii="Times New Roman" w:hAnsi="Times New Roman" w:cs="Times New Roman"/>
          <w:i w:val="0"/>
          <w:color w:val="000000" w:themeColor="text1"/>
          <w:sz w:val="20"/>
          <w:szCs w:val="20"/>
        </w:rPr>
        <w:t xml:space="preserve">Table 2. </w:t>
      </w:r>
      <w:r>
        <w:rPr>
          <w:rFonts w:ascii="Times New Roman" w:hAnsi="Times New Roman" w:cs="Times New Roman"/>
          <w:i w:val="0"/>
          <w:color w:val="000000" w:themeColor="text1"/>
          <w:sz w:val="20"/>
          <w:szCs w:val="20"/>
        </w:rPr>
        <w:t xml:space="preserve"> </w:t>
      </w:r>
      <w:r w:rsidRPr="00567B80">
        <w:rPr>
          <w:rFonts w:ascii="Times New Roman" w:hAnsi="Times New Roman" w:cs="Times New Roman"/>
          <w:i w:val="0"/>
          <w:color w:val="000000" w:themeColor="text1"/>
          <w:sz w:val="20"/>
          <w:szCs w:val="20"/>
        </w:rPr>
        <w:t>Formation of vanillic acid from SCKL and SAKL kraft lignins</w:t>
      </w:r>
      <w:r>
        <w:rPr>
          <w:rFonts w:ascii="Times New Roman" w:hAnsi="Times New Roman" w:cs="Times New Roman"/>
          <w:i w:val="0"/>
          <w:color w:val="000000" w:themeColor="text1"/>
          <w:sz w:val="20"/>
          <w:szCs w:val="20"/>
        </w:rPr>
        <w:t xml:space="preserve"> after treatment with different </w:t>
      </w:r>
      <w:r w:rsidRPr="00567B80">
        <w:rPr>
          <w:rFonts w:ascii="Times New Roman" w:hAnsi="Times New Roman" w:cs="Times New Roman"/>
          <w:i w:val="0"/>
          <w:color w:val="000000" w:themeColor="text1"/>
          <w:sz w:val="20"/>
          <w:szCs w:val="20"/>
        </w:rPr>
        <w:t xml:space="preserve">concentrations of hydrogen peroxide and the oxidation catalyst FeB* </w:t>
      </w:r>
    </w:p>
    <w:p w:rsidR="00567B80" w:rsidRPr="00567B80" w:rsidRDefault="00567B80" w:rsidP="00567B80">
      <w:pPr>
        <w:pStyle w:val="Caption"/>
        <w:keepNext/>
        <w:spacing w:after="120"/>
        <w:jc w:val="center"/>
        <w:rPr>
          <w:rFonts w:ascii="Times New Roman" w:hAnsi="Times New Roman" w:cs="Times New Roman"/>
          <w:i w:val="0"/>
          <w:color w:val="000000" w:themeColor="text1"/>
          <w:sz w:val="20"/>
          <w:szCs w:val="20"/>
        </w:rPr>
      </w:pPr>
      <w:r w:rsidRPr="00567B80">
        <w:rPr>
          <w:rFonts w:ascii="Times New Roman" w:hAnsi="Times New Roman" w:cs="Times New Roman"/>
          <w:i w:val="0"/>
          <w:color w:val="000000" w:themeColor="text1"/>
          <w:sz w:val="20"/>
          <w:szCs w:val="20"/>
        </w:rPr>
        <w:t>at 25 °C and pH 9.5 for one hour</w:t>
      </w:r>
    </w:p>
    <w:tbl>
      <w:tblPr>
        <w:tblStyle w:val="TableGrid"/>
        <w:tblW w:w="8840" w:type="dxa"/>
        <w:jc w:val="center"/>
        <w:tblLayout w:type="fixed"/>
        <w:tblLook w:val="04A0" w:firstRow="1" w:lastRow="0" w:firstColumn="1" w:lastColumn="0" w:noHBand="0" w:noVBand="1"/>
      </w:tblPr>
      <w:tblGrid>
        <w:gridCol w:w="993"/>
        <w:gridCol w:w="1368"/>
        <w:gridCol w:w="1183"/>
        <w:gridCol w:w="1491"/>
        <w:gridCol w:w="1215"/>
        <w:gridCol w:w="1405"/>
        <w:gridCol w:w="1185"/>
      </w:tblGrid>
      <w:tr w:rsidR="00567B80" w:rsidRPr="00567B80" w:rsidTr="00803325">
        <w:trPr>
          <w:trHeight w:val="184"/>
          <w:jc w:val="center"/>
        </w:trPr>
        <w:tc>
          <w:tcPr>
            <w:tcW w:w="993" w:type="dxa"/>
            <w:vMerge w:val="restart"/>
            <w:tcBorders>
              <w:top w:val="single" w:sz="4" w:space="0" w:color="auto"/>
              <w:left w:val="nil"/>
              <w:bottom w:val="nil"/>
              <w:right w:val="nil"/>
            </w:tcBorders>
          </w:tcPr>
          <w:p w:rsidR="00567B80" w:rsidRPr="00567B80" w:rsidRDefault="00567B80" w:rsidP="00803325">
            <w:pPr>
              <w:spacing w:before="240" w:after="0" w:line="240" w:lineRule="auto"/>
              <w:rPr>
                <w:rFonts w:ascii="Times New Roman" w:hAnsi="Times New Roman" w:cs="Times New Roman"/>
                <w:b/>
                <w:sz w:val="20"/>
                <w:szCs w:val="20"/>
              </w:rPr>
            </w:pPr>
            <w:r w:rsidRPr="00567B80">
              <w:rPr>
                <w:rFonts w:ascii="Times New Roman" w:hAnsi="Times New Roman" w:cs="Times New Roman"/>
                <w:b/>
                <w:sz w:val="20"/>
                <w:szCs w:val="20"/>
              </w:rPr>
              <w:t>Entry Number</w:t>
            </w:r>
          </w:p>
        </w:tc>
        <w:tc>
          <w:tcPr>
            <w:tcW w:w="2551" w:type="dxa"/>
            <w:gridSpan w:val="2"/>
            <w:vMerge w:val="restart"/>
            <w:tcBorders>
              <w:top w:val="single" w:sz="4" w:space="0" w:color="auto"/>
              <w:left w:val="nil"/>
              <w:bottom w:val="nil"/>
              <w:right w:val="nil"/>
            </w:tcBorders>
          </w:tcPr>
          <w:p w:rsidR="00567B80" w:rsidRPr="00567B80" w:rsidRDefault="00567B80" w:rsidP="00567B80">
            <w:pPr>
              <w:spacing w:before="60"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Concentrations of Reagents</w:t>
            </w:r>
          </w:p>
          <w:p w:rsidR="00567B80" w:rsidRPr="00567B80" w:rsidRDefault="00567B80" w:rsidP="00036D1D">
            <w:pPr>
              <w:spacing w:after="0" w:line="240" w:lineRule="auto"/>
              <w:jc w:val="both"/>
              <w:rPr>
                <w:rFonts w:ascii="Times New Roman" w:hAnsi="Times New Roman" w:cs="Times New Roman"/>
                <w:b/>
                <w:sz w:val="20"/>
                <w:szCs w:val="20"/>
              </w:rPr>
            </w:pPr>
          </w:p>
        </w:tc>
        <w:tc>
          <w:tcPr>
            <w:tcW w:w="5296" w:type="dxa"/>
            <w:gridSpan w:val="4"/>
            <w:tcBorders>
              <w:top w:val="single" w:sz="4" w:space="0" w:color="auto"/>
              <w:left w:val="nil"/>
              <w:bottom w:val="single" w:sz="4" w:space="0" w:color="auto"/>
              <w:right w:val="nil"/>
            </w:tcBorders>
          </w:tcPr>
          <w:p w:rsidR="00567B80" w:rsidRPr="00567B80" w:rsidRDefault="00567B80" w:rsidP="00567B80">
            <w:pPr>
              <w:spacing w:before="60" w:after="0" w:line="240" w:lineRule="auto"/>
              <w:jc w:val="center"/>
              <w:rPr>
                <w:rFonts w:ascii="Times New Roman" w:hAnsi="Times New Roman" w:cs="Times New Roman"/>
                <w:sz w:val="20"/>
                <w:szCs w:val="20"/>
              </w:rPr>
            </w:pPr>
            <w:r w:rsidRPr="00567B80">
              <w:rPr>
                <w:rFonts w:ascii="Times New Roman" w:hAnsi="Times New Roman" w:cs="Times New Roman"/>
                <w:b/>
                <w:sz w:val="20"/>
                <w:szCs w:val="20"/>
              </w:rPr>
              <w:t>Kraft Lignin Source</w:t>
            </w:r>
          </w:p>
        </w:tc>
      </w:tr>
      <w:tr w:rsidR="00567B80" w:rsidRPr="00567B80" w:rsidTr="00803325">
        <w:trPr>
          <w:trHeight w:val="66"/>
          <w:jc w:val="center"/>
        </w:trPr>
        <w:tc>
          <w:tcPr>
            <w:tcW w:w="993" w:type="dxa"/>
            <w:vMerge/>
            <w:tcBorders>
              <w:top w:val="nil"/>
              <w:left w:val="nil"/>
              <w:bottom w:val="nil"/>
              <w:right w:val="nil"/>
            </w:tcBorders>
            <w:vAlign w:val="center"/>
          </w:tcPr>
          <w:p w:rsidR="00567B80" w:rsidRPr="00567B80" w:rsidRDefault="00567B80" w:rsidP="00803325">
            <w:pPr>
              <w:spacing w:after="0" w:line="240" w:lineRule="auto"/>
              <w:rPr>
                <w:rFonts w:ascii="Times New Roman" w:hAnsi="Times New Roman" w:cs="Times New Roman"/>
                <w:b/>
                <w:sz w:val="20"/>
                <w:szCs w:val="20"/>
              </w:rPr>
            </w:pPr>
          </w:p>
        </w:tc>
        <w:tc>
          <w:tcPr>
            <w:tcW w:w="2551" w:type="dxa"/>
            <w:gridSpan w:val="2"/>
            <w:vMerge/>
            <w:tcBorders>
              <w:top w:val="nil"/>
              <w:left w:val="nil"/>
              <w:bottom w:val="nil"/>
              <w:right w:val="nil"/>
            </w:tcBorders>
            <w:vAlign w:val="center"/>
          </w:tcPr>
          <w:p w:rsidR="00567B80" w:rsidRPr="00567B80" w:rsidRDefault="00567B80" w:rsidP="00036D1D">
            <w:pPr>
              <w:spacing w:after="0" w:line="240" w:lineRule="auto"/>
              <w:jc w:val="both"/>
              <w:rPr>
                <w:rFonts w:ascii="Times New Roman" w:hAnsi="Times New Roman" w:cs="Times New Roman"/>
                <w:b/>
                <w:sz w:val="20"/>
                <w:szCs w:val="20"/>
              </w:rPr>
            </w:pPr>
          </w:p>
        </w:tc>
        <w:tc>
          <w:tcPr>
            <w:tcW w:w="2706" w:type="dxa"/>
            <w:gridSpan w:val="2"/>
            <w:tcBorders>
              <w:top w:val="single" w:sz="4" w:space="0" w:color="auto"/>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SCKL</w:t>
            </w:r>
          </w:p>
        </w:tc>
        <w:tc>
          <w:tcPr>
            <w:tcW w:w="2590" w:type="dxa"/>
            <w:gridSpan w:val="2"/>
            <w:tcBorders>
              <w:top w:val="single" w:sz="4" w:space="0" w:color="auto"/>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SAKL</w:t>
            </w:r>
          </w:p>
        </w:tc>
      </w:tr>
      <w:tr w:rsidR="00567B80" w:rsidRPr="00567B80" w:rsidTr="00803325">
        <w:trPr>
          <w:trHeight w:val="313"/>
          <w:jc w:val="center"/>
        </w:trPr>
        <w:tc>
          <w:tcPr>
            <w:tcW w:w="993" w:type="dxa"/>
            <w:vMerge/>
            <w:tcBorders>
              <w:top w:val="nil"/>
              <w:left w:val="nil"/>
              <w:bottom w:val="single" w:sz="4" w:space="0" w:color="auto"/>
              <w:right w:val="nil"/>
            </w:tcBorders>
            <w:vAlign w:val="center"/>
          </w:tcPr>
          <w:p w:rsidR="00567B80" w:rsidRPr="00567B80" w:rsidRDefault="00567B80" w:rsidP="00803325">
            <w:pPr>
              <w:spacing w:after="0" w:line="240" w:lineRule="auto"/>
              <w:rPr>
                <w:rFonts w:ascii="Times New Roman" w:hAnsi="Times New Roman" w:cs="Times New Roman"/>
                <w:b/>
                <w:sz w:val="20"/>
                <w:szCs w:val="20"/>
              </w:rPr>
            </w:pPr>
          </w:p>
        </w:tc>
        <w:tc>
          <w:tcPr>
            <w:tcW w:w="1368" w:type="dxa"/>
            <w:tcBorders>
              <w:top w:val="nil"/>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[FeB*]</w:t>
            </w:r>
          </w:p>
          <w:p w:rsidR="00567B80" w:rsidRPr="00567B80" w:rsidRDefault="00567B80" w:rsidP="0080332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(µM)</w:t>
            </w:r>
          </w:p>
        </w:tc>
        <w:tc>
          <w:tcPr>
            <w:tcW w:w="1183" w:type="dxa"/>
            <w:tcBorders>
              <w:top w:val="nil"/>
              <w:left w:val="nil"/>
              <w:bottom w:val="single" w:sz="4" w:space="0" w:color="auto"/>
              <w:right w:val="nil"/>
            </w:tcBorders>
            <w:vAlign w:val="center"/>
          </w:tcPr>
          <w:p w:rsidR="00567B80" w:rsidRPr="00567B80" w:rsidRDefault="00567B80" w:rsidP="00567B80">
            <w:pPr>
              <w:spacing w:after="0" w:line="240" w:lineRule="auto"/>
              <w:ind w:left="-250" w:firstLine="194"/>
              <w:jc w:val="center"/>
              <w:rPr>
                <w:rFonts w:ascii="Times New Roman" w:hAnsi="Times New Roman" w:cs="Times New Roman"/>
                <w:b/>
                <w:sz w:val="20"/>
                <w:szCs w:val="20"/>
              </w:rPr>
            </w:pPr>
            <w:r w:rsidRPr="00567B80">
              <w:rPr>
                <w:rFonts w:ascii="Times New Roman" w:hAnsi="Times New Roman" w:cs="Times New Roman"/>
                <w:b/>
                <w:sz w:val="20"/>
                <w:szCs w:val="20"/>
              </w:rPr>
              <w:t>[H</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O</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w:t>
            </w:r>
          </w:p>
          <w:p w:rsidR="00567B80" w:rsidRPr="00567B80" w:rsidRDefault="00567B80" w:rsidP="00803325">
            <w:pPr>
              <w:spacing w:after="60" w:line="240" w:lineRule="auto"/>
              <w:ind w:left="-245" w:firstLine="187"/>
              <w:jc w:val="center"/>
              <w:rPr>
                <w:rFonts w:ascii="Times New Roman" w:hAnsi="Times New Roman" w:cs="Times New Roman"/>
                <w:b/>
                <w:sz w:val="20"/>
                <w:szCs w:val="20"/>
              </w:rPr>
            </w:pPr>
            <w:r w:rsidRPr="00567B80">
              <w:rPr>
                <w:rFonts w:ascii="Times New Roman" w:hAnsi="Times New Roman" w:cs="Times New Roman"/>
                <w:b/>
                <w:sz w:val="20"/>
                <w:szCs w:val="20"/>
              </w:rPr>
              <w:t>(mM)</w:t>
            </w:r>
          </w:p>
        </w:tc>
        <w:tc>
          <w:tcPr>
            <w:tcW w:w="1491" w:type="dxa"/>
            <w:tcBorders>
              <w:top w:val="single" w:sz="4" w:space="0" w:color="auto"/>
              <w:left w:val="nil"/>
              <w:bottom w:val="single" w:sz="4" w:space="0" w:color="auto"/>
              <w:right w:val="nil"/>
            </w:tcBorders>
            <w:vAlign w:val="center"/>
          </w:tcPr>
          <w:p w:rsidR="00567B80" w:rsidRPr="00567B80" w:rsidRDefault="00567B80" w:rsidP="0080332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[Vanillic Acid] (mg/L)</w:t>
            </w:r>
          </w:p>
        </w:tc>
        <w:tc>
          <w:tcPr>
            <w:tcW w:w="1215" w:type="dxa"/>
            <w:tcBorders>
              <w:top w:val="single" w:sz="4" w:space="0" w:color="auto"/>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 Vanillic Acid</w:t>
            </w:r>
          </w:p>
          <w:p w:rsidR="00567B80" w:rsidRPr="00567B80" w:rsidRDefault="00567B80" w:rsidP="00567B80">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(by wt.)</w:t>
            </w:r>
          </w:p>
        </w:tc>
        <w:tc>
          <w:tcPr>
            <w:tcW w:w="1405" w:type="dxa"/>
            <w:tcBorders>
              <w:top w:val="single" w:sz="4" w:space="0" w:color="auto"/>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[Vanillic acid] (mg/L)</w:t>
            </w:r>
          </w:p>
        </w:tc>
        <w:tc>
          <w:tcPr>
            <w:tcW w:w="1185" w:type="dxa"/>
            <w:tcBorders>
              <w:top w:val="single" w:sz="4" w:space="0" w:color="auto"/>
              <w:left w:val="nil"/>
              <w:bottom w:val="single" w:sz="4" w:space="0" w:color="auto"/>
              <w:right w:val="nil"/>
            </w:tcBorders>
            <w:vAlign w:val="center"/>
          </w:tcPr>
          <w:p w:rsidR="00567B80" w:rsidRPr="00567B80" w:rsidRDefault="00567B80" w:rsidP="00567B80">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 Vanillic Acid</w:t>
            </w:r>
          </w:p>
          <w:p w:rsidR="00567B80" w:rsidRPr="00567B80" w:rsidRDefault="00567B80" w:rsidP="00567B80">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(by wt.)</w:t>
            </w:r>
          </w:p>
        </w:tc>
      </w:tr>
      <w:tr w:rsidR="00567B80" w:rsidRPr="00567B80" w:rsidTr="00803325">
        <w:trPr>
          <w:trHeight w:val="56"/>
          <w:jc w:val="center"/>
        </w:trPr>
        <w:tc>
          <w:tcPr>
            <w:tcW w:w="993" w:type="dxa"/>
            <w:tcBorders>
              <w:top w:val="single" w:sz="4" w:space="0" w:color="auto"/>
              <w:left w:val="nil"/>
              <w:bottom w:val="nil"/>
              <w:right w:val="nil"/>
            </w:tcBorders>
            <w:vAlign w:val="center"/>
          </w:tcPr>
          <w:p w:rsidR="00567B80" w:rsidRPr="00567B80" w:rsidRDefault="00567B80" w:rsidP="0080332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1</w:t>
            </w:r>
          </w:p>
        </w:tc>
        <w:tc>
          <w:tcPr>
            <w:tcW w:w="1368" w:type="dxa"/>
            <w:tcBorders>
              <w:top w:val="single" w:sz="4" w:space="0" w:color="auto"/>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83" w:type="dxa"/>
            <w:tcBorders>
              <w:top w:val="single" w:sz="4" w:space="0" w:color="auto"/>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491" w:type="dxa"/>
            <w:tcBorders>
              <w:top w:val="single" w:sz="4" w:space="0" w:color="auto"/>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0.05</w:t>
            </w:r>
          </w:p>
        </w:tc>
        <w:tc>
          <w:tcPr>
            <w:tcW w:w="1215" w:type="dxa"/>
            <w:tcBorders>
              <w:top w:val="single" w:sz="4" w:space="0" w:color="auto"/>
              <w:left w:val="nil"/>
              <w:bottom w:val="nil"/>
              <w:right w:val="nil"/>
            </w:tcBorders>
            <w:vAlign w:val="center"/>
          </w:tcPr>
          <w:p w:rsidR="00567B80" w:rsidRPr="00567B80" w:rsidRDefault="00567B80" w:rsidP="00803325">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0.02</w:t>
            </w:r>
          </w:p>
        </w:tc>
        <w:tc>
          <w:tcPr>
            <w:tcW w:w="1405" w:type="dxa"/>
            <w:tcBorders>
              <w:top w:val="single" w:sz="4" w:space="0" w:color="auto"/>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0.86</w:t>
            </w:r>
          </w:p>
        </w:tc>
        <w:tc>
          <w:tcPr>
            <w:tcW w:w="1185" w:type="dxa"/>
            <w:tcBorders>
              <w:top w:val="single" w:sz="4" w:space="0" w:color="auto"/>
              <w:left w:val="nil"/>
              <w:bottom w:val="nil"/>
              <w:right w:val="nil"/>
            </w:tcBorders>
            <w:vAlign w:val="center"/>
          </w:tcPr>
          <w:p w:rsidR="00567B80" w:rsidRPr="00567B80" w:rsidRDefault="00567B80" w:rsidP="00803325">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0.34</w:t>
            </w:r>
          </w:p>
        </w:tc>
      </w:tr>
      <w:tr w:rsidR="00567B80" w:rsidRPr="00567B80" w:rsidTr="00036D1D">
        <w:trPr>
          <w:trHeight w:val="66"/>
          <w:jc w:val="center"/>
        </w:trPr>
        <w:tc>
          <w:tcPr>
            <w:tcW w:w="993" w:type="dxa"/>
            <w:tcBorders>
              <w:top w:val="nil"/>
              <w:left w:val="nil"/>
              <w:bottom w:val="nil"/>
              <w:right w:val="nil"/>
            </w:tcBorders>
            <w:vAlign w:val="center"/>
          </w:tcPr>
          <w:p w:rsidR="00567B80" w:rsidRPr="00567B80" w:rsidRDefault="00567B80" w:rsidP="0080332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2</w:t>
            </w:r>
          </w:p>
        </w:tc>
        <w:tc>
          <w:tcPr>
            <w:tcW w:w="1368"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183"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491"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0.40</w:t>
            </w:r>
          </w:p>
        </w:tc>
        <w:tc>
          <w:tcPr>
            <w:tcW w:w="121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0.16</w:t>
            </w:r>
          </w:p>
        </w:tc>
        <w:tc>
          <w:tcPr>
            <w:tcW w:w="140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1.30</w:t>
            </w:r>
          </w:p>
        </w:tc>
        <w:tc>
          <w:tcPr>
            <w:tcW w:w="118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0.52</w:t>
            </w:r>
          </w:p>
        </w:tc>
      </w:tr>
      <w:tr w:rsidR="00567B80" w:rsidRPr="00567B80" w:rsidTr="00036D1D">
        <w:trPr>
          <w:trHeight w:val="66"/>
          <w:jc w:val="center"/>
        </w:trPr>
        <w:tc>
          <w:tcPr>
            <w:tcW w:w="993" w:type="dxa"/>
            <w:tcBorders>
              <w:top w:val="nil"/>
              <w:left w:val="nil"/>
              <w:bottom w:val="nil"/>
              <w:right w:val="nil"/>
            </w:tcBorders>
            <w:vAlign w:val="center"/>
          </w:tcPr>
          <w:p w:rsidR="00567B80" w:rsidRPr="00567B80" w:rsidRDefault="00567B80" w:rsidP="0080332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3</w:t>
            </w:r>
          </w:p>
        </w:tc>
        <w:tc>
          <w:tcPr>
            <w:tcW w:w="1368"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83"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491"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1.15</w:t>
            </w:r>
          </w:p>
        </w:tc>
        <w:tc>
          <w:tcPr>
            <w:tcW w:w="121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0.46</w:t>
            </w:r>
          </w:p>
        </w:tc>
        <w:tc>
          <w:tcPr>
            <w:tcW w:w="140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1.88</w:t>
            </w:r>
          </w:p>
        </w:tc>
        <w:tc>
          <w:tcPr>
            <w:tcW w:w="118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0.75</w:t>
            </w:r>
          </w:p>
        </w:tc>
      </w:tr>
      <w:tr w:rsidR="00567B80" w:rsidRPr="00567B80" w:rsidTr="00036D1D">
        <w:trPr>
          <w:trHeight w:val="66"/>
          <w:jc w:val="center"/>
        </w:trPr>
        <w:tc>
          <w:tcPr>
            <w:tcW w:w="993" w:type="dxa"/>
            <w:tcBorders>
              <w:top w:val="nil"/>
              <w:left w:val="nil"/>
              <w:bottom w:val="nil"/>
              <w:right w:val="nil"/>
            </w:tcBorders>
            <w:vAlign w:val="center"/>
          </w:tcPr>
          <w:p w:rsidR="00567B80" w:rsidRPr="00567B80" w:rsidRDefault="00567B80" w:rsidP="0080332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4</w:t>
            </w:r>
          </w:p>
        </w:tc>
        <w:tc>
          <w:tcPr>
            <w:tcW w:w="1368"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183"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491"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0.15</w:t>
            </w:r>
          </w:p>
        </w:tc>
        <w:tc>
          <w:tcPr>
            <w:tcW w:w="121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0.06</w:t>
            </w:r>
          </w:p>
        </w:tc>
        <w:tc>
          <w:tcPr>
            <w:tcW w:w="140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0.12</w:t>
            </w:r>
          </w:p>
        </w:tc>
        <w:tc>
          <w:tcPr>
            <w:tcW w:w="118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0.05</w:t>
            </w:r>
          </w:p>
        </w:tc>
      </w:tr>
      <w:tr w:rsidR="00567B80" w:rsidRPr="00567B80" w:rsidTr="00036D1D">
        <w:trPr>
          <w:trHeight w:val="66"/>
          <w:jc w:val="center"/>
        </w:trPr>
        <w:tc>
          <w:tcPr>
            <w:tcW w:w="993" w:type="dxa"/>
            <w:tcBorders>
              <w:top w:val="nil"/>
              <w:left w:val="nil"/>
              <w:bottom w:val="nil"/>
              <w:right w:val="nil"/>
            </w:tcBorders>
            <w:vAlign w:val="center"/>
          </w:tcPr>
          <w:p w:rsidR="00567B80" w:rsidRPr="00567B80" w:rsidRDefault="00567B80" w:rsidP="0080332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5</w:t>
            </w:r>
          </w:p>
        </w:tc>
        <w:tc>
          <w:tcPr>
            <w:tcW w:w="1368"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183"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491"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0.04</w:t>
            </w:r>
          </w:p>
        </w:tc>
        <w:tc>
          <w:tcPr>
            <w:tcW w:w="121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0.01</w:t>
            </w:r>
          </w:p>
        </w:tc>
        <w:tc>
          <w:tcPr>
            <w:tcW w:w="140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0.53</w:t>
            </w:r>
          </w:p>
        </w:tc>
        <w:tc>
          <w:tcPr>
            <w:tcW w:w="118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0.21</w:t>
            </w:r>
          </w:p>
        </w:tc>
      </w:tr>
      <w:tr w:rsidR="00567B80" w:rsidRPr="00567B80" w:rsidTr="00803325">
        <w:trPr>
          <w:trHeight w:val="66"/>
          <w:jc w:val="center"/>
        </w:trPr>
        <w:tc>
          <w:tcPr>
            <w:tcW w:w="993" w:type="dxa"/>
            <w:tcBorders>
              <w:top w:val="nil"/>
              <w:left w:val="nil"/>
              <w:bottom w:val="nil"/>
              <w:right w:val="nil"/>
            </w:tcBorders>
            <w:vAlign w:val="center"/>
          </w:tcPr>
          <w:p w:rsidR="00567B80" w:rsidRPr="00567B80" w:rsidRDefault="00567B80" w:rsidP="0080332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6</w:t>
            </w:r>
          </w:p>
        </w:tc>
        <w:tc>
          <w:tcPr>
            <w:tcW w:w="1368"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183"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491"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0.79</w:t>
            </w:r>
          </w:p>
        </w:tc>
        <w:tc>
          <w:tcPr>
            <w:tcW w:w="121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0.32</w:t>
            </w:r>
          </w:p>
        </w:tc>
        <w:tc>
          <w:tcPr>
            <w:tcW w:w="140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0.68</w:t>
            </w:r>
          </w:p>
        </w:tc>
        <w:tc>
          <w:tcPr>
            <w:tcW w:w="1185" w:type="dxa"/>
            <w:tcBorders>
              <w:top w:val="nil"/>
              <w:left w:val="nil"/>
              <w:bottom w:val="nil"/>
              <w:right w:val="nil"/>
            </w:tcBorders>
            <w:vAlign w:val="center"/>
          </w:tcPr>
          <w:p w:rsidR="00567B80" w:rsidRPr="00567B80" w:rsidRDefault="00567B80" w:rsidP="0080332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0.27</w:t>
            </w:r>
          </w:p>
        </w:tc>
      </w:tr>
      <w:tr w:rsidR="00567B80" w:rsidRPr="00567B80" w:rsidTr="00803325">
        <w:trPr>
          <w:trHeight w:val="66"/>
          <w:jc w:val="center"/>
        </w:trPr>
        <w:tc>
          <w:tcPr>
            <w:tcW w:w="993" w:type="dxa"/>
            <w:tcBorders>
              <w:top w:val="nil"/>
              <w:left w:val="nil"/>
              <w:bottom w:val="single" w:sz="4" w:space="0" w:color="auto"/>
              <w:right w:val="nil"/>
            </w:tcBorders>
            <w:vAlign w:val="center"/>
          </w:tcPr>
          <w:p w:rsidR="00567B80" w:rsidRPr="00567B80" w:rsidRDefault="00567B80" w:rsidP="00803325">
            <w:pPr>
              <w:spacing w:before="60" w:after="60" w:line="240" w:lineRule="auto"/>
              <w:rPr>
                <w:rFonts w:ascii="Times New Roman" w:hAnsi="Times New Roman" w:cs="Times New Roman"/>
                <w:sz w:val="20"/>
                <w:szCs w:val="20"/>
              </w:rPr>
            </w:pPr>
            <w:r w:rsidRPr="00567B80">
              <w:rPr>
                <w:rFonts w:ascii="Times New Roman" w:hAnsi="Times New Roman" w:cs="Times New Roman"/>
                <w:sz w:val="20"/>
                <w:szCs w:val="20"/>
              </w:rPr>
              <w:t>7</w:t>
            </w:r>
          </w:p>
        </w:tc>
        <w:tc>
          <w:tcPr>
            <w:tcW w:w="1368" w:type="dxa"/>
            <w:tcBorders>
              <w:top w:val="nil"/>
              <w:left w:val="nil"/>
              <w:bottom w:val="single" w:sz="4" w:space="0" w:color="auto"/>
              <w:right w:val="nil"/>
            </w:tcBorders>
            <w:vAlign w:val="center"/>
          </w:tcPr>
          <w:p w:rsidR="00567B80" w:rsidRPr="00567B80" w:rsidRDefault="00567B80" w:rsidP="0080332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183" w:type="dxa"/>
            <w:tcBorders>
              <w:top w:val="nil"/>
              <w:left w:val="nil"/>
              <w:bottom w:val="single" w:sz="4" w:space="0" w:color="auto"/>
              <w:right w:val="nil"/>
            </w:tcBorders>
            <w:vAlign w:val="center"/>
          </w:tcPr>
          <w:p w:rsidR="00567B80" w:rsidRPr="00567B80" w:rsidRDefault="00567B80" w:rsidP="0080332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0.50</w:t>
            </w:r>
          </w:p>
        </w:tc>
        <w:tc>
          <w:tcPr>
            <w:tcW w:w="1491" w:type="dxa"/>
            <w:tcBorders>
              <w:top w:val="nil"/>
              <w:left w:val="nil"/>
              <w:bottom w:val="single" w:sz="4" w:space="0" w:color="auto"/>
              <w:right w:val="nil"/>
            </w:tcBorders>
            <w:vAlign w:val="center"/>
          </w:tcPr>
          <w:p w:rsidR="00567B80" w:rsidRPr="00567B80" w:rsidRDefault="00567B80" w:rsidP="0080332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0.18</w:t>
            </w:r>
          </w:p>
        </w:tc>
        <w:tc>
          <w:tcPr>
            <w:tcW w:w="1215" w:type="dxa"/>
            <w:tcBorders>
              <w:top w:val="nil"/>
              <w:left w:val="nil"/>
              <w:bottom w:val="single" w:sz="4" w:space="0" w:color="auto"/>
              <w:right w:val="nil"/>
            </w:tcBorders>
            <w:vAlign w:val="center"/>
          </w:tcPr>
          <w:p w:rsidR="00567B80" w:rsidRPr="00567B80" w:rsidRDefault="00567B80" w:rsidP="0080332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0.07</w:t>
            </w:r>
          </w:p>
        </w:tc>
        <w:tc>
          <w:tcPr>
            <w:tcW w:w="1405" w:type="dxa"/>
            <w:tcBorders>
              <w:top w:val="nil"/>
              <w:left w:val="nil"/>
              <w:bottom w:val="single" w:sz="4" w:space="0" w:color="auto"/>
              <w:right w:val="nil"/>
            </w:tcBorders>
            <w:vAlign w:val="center"/>
          </w:tcPr>
          <w:p w:rsidR="00567B80" w:rsidRPr="00567B80" w:rsidRDefault="00567B80" w:rsidP="0080332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0.32</w:t>
            </w:r>
          </w:p>
        </w:tc>
        <w:tc>
          <w:tcPr>
            <w:tcW w:w="1185" w:type="dxa"/>
            <w:tcBorders>
              <w:top w:val="nil"/>
              <w:left w:val="nil"/>
              <w:bottom w:val="single" w:sz="4" w:space="0" w:color="auto"/>
              <w:right w:val="nil"/>
            </w:tcBorders>
            <w:vAlign w:val="center"/>
          </w:tcPr>
          <w:p w:rsidR="00567B80" w:rsidRPr="00567B80" w:rsidRDefault="00567B80" w:rsidP="0080332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0.13</w:t>
            </w:r>
          </w:p>
        </w:tc>
      </w:tr>
    </w:tbl>
    <w:p w:rsidR="00567B80" w:rsidRPr="00567B80" w:rsidRDefault="00567B80" w:rsidP="00803325">
      <w:pPr>
        <w:spacing w:after="120" w:line="240" w:lineRule="auto"/>
        <w:jc w:val="both"/>
        <w:rPr>
          <w:rFonts w:ascii="Times New Roman" w:hAnsi="Times New Roman"/>
          <w:sz w:val="20"/>
          <w:szCs w:val="20"/>
        </w:rPr>
      </w:pPr>
    </w:p>
    <w:p w:rsidR="00567B80" w:rsidRPr="00567B80" w:rsidRDefault="00567B80" w:rsidP="00567B80">
      <w:pPr>
        <w:spacing w:after="0" w:line="240" w:lineRule="auto"/>
        <w:jc w:val="both"/>
        <w:rPr>
          <w:rFonts w:ascii="Times New Roman" w:hAnsi="Times New Roman"/>
          <w:sz w:val="20"/>
          <w:szCs w:val="20"/>
        </w:rPr>
      </w:pPr>
      <w:r w:rsidRPr="00567B80">
        <w:rPr>
          <w:rFonts w:ascii="Times New Roman" w:hAnsi="Times New Roman"/>
          <w:sz w:val="20"/>
          <w:szCs w:val="20"/>
        </w:rPr>
        <w:t>Meanwhile, the SCKL lignin started to approach the amount of vanillic acid formed by hydrogen peroxide alone (0.32% vs 0.46%), whereas it was considerably less in the case of the SAKL lignin (0.27% vs 0.75%).  The results in tables 1 and 2 provide no evidence that catalytic oxidation of vanillin produced vanillic acid. Thus, although relatively small amounts of vanillin were obtained from the catalytic reactions as represented in entries 4, 5 and 7 of Table 1, there were no corresponding increase in vanillic acid formation under these same conditions (Table 2). Besides, although considerably more vanillin was formed from the SCKL lignin (4.27%) than the SAKL lignin (1.07%) (Entry 6 Table 1), almost the same amount of vanillic acid (0.32 and 0.27%, respectively) was formed in each case under these conditions (Entry 6, Table 2). A possible further complication is that the FeB*/H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system could initiate some oxidative polymerization of several formed vanillin and/or vanillic acid. It was shown that this catalytic system can cause the oligomerization/polymerization of phenolic compounds including bisphenol A [21].</w:t>
      </w:r>
    </w:p>
    <w:p w:rsidR="006768E9" w:rsidRPr="00F447A7" w:rsidRDefault="006768E9" w:rsidP="00567B8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03325" w:rsidRPr="00803325" w:rsidRDefault="00803325" w:rsidP="00803325">
      <w:pPr>
        <w:spacing w:after="0" w:line="240" w:lineRule="auto"/>
        <w:jc w:val="both"/>
        <w:outlineLvl w:val="0"/>
        <w:rPr>
          <w:rFonts w:ascii="Times New Roman" w:hAnsi="Times New Roman"/>
          <w:sz w:val="20"/>
          <w:szCs w:val="20"/>
        </w:rPr>
      </w:pPr>
      <w:r w:rsidRPr="00803325">
        <w:rPr>
          <w:rFonts w:ascii="Times New Roman" w:hAnsi="Times New Roman"/>
          <w:sz w:val="20"/>
          <w:szCs w:val="20"/>
        </w:rPr>
        <w:t>The treatment of kraft lignins with the FeB*/H</w:t>
      </w:r>
      <w:r w:rsidRPr="00803325">
        <w:rPr>
          <w:rFonts w:ascii="Times New Roman" w:hAnsi="Times New Roman"/>
          <w:sz w:val="20"/>
          <w:szCs w:val="20"/>
          <w:vertAlign w:val="subscript"/>
        </w:rPr>
        <w:t>2</w:t>
      </w:r>
      <w:r w:rsidRPr="00803325">
        <w:rPr>
          <w:rFonts w:ascii="Times New Roman" w:hAnsi="Times New Roman"/>
          <w:sz w:val="20"/>
          <w:szCs w:val="20"/>
        </w:rPr>
        <w:t>O</w:t>
      </w:r>
      <w:r w:rsidRPr="00803325">
        <w:rPr>
          <w:rFonts w:ascii="Times New Roman" w:hAnsi="Times New Roman"/>
          <w:sz w:val="20"/>
          <w:szCs w:val="20"/>
          <w:vertAlign w:val="subscript"/>
        </w:rPr>
        <w:t>2</w:t>
      </w:r>
      <w:r w:rsidRPr="00803325">
        <w:rPr>
          <w:rFonts w:ascii="Times New Roman" w:hAnsi="Times New Roman"/>
          <w:sz w:val="20"/>
          <w:szCs w:val="20"/>
        </w:rPr>
        <w:t xml:space="preserve"> catalytic oxidation system at 25 °C for one hour has resulted in oxidative depolymerization to form small amounts of vanillin (up to 4.27%) and vanillic acid (up to 0.32%). The amounts of these products formed were highly dependent on the source of the kraft lignin and the conditions used. Surprisingly, it has been found that the treatment of these kraft lignins with hydrogen peroxide alone under the same mild conditions resulted in the formation of slightly more of each of these two products (5.48% and 0.75%, respectively). It is possible that during the FeB*/H</w:t>
      </w:r>
      <w:r w:rsidRPr="00803325">
        <w:rPr>
          <w:rFonts w:ascii="Times New Roman" w:hAnsi="Times New Roman"/>
          <w:sz w:val="20"/>
          <w:szCs w:val="20"/>
          <w:vertAlign w:val="subscript"/>
        </w:rPr>
        <w:t>2</w:t>
      </w:r>
      <w:r w:rsidRPr="00803325">
        <w:rPr>
          <w:rFonts w:ascii="Times New Roman" w:hAnsi="Times New Roman"/>
          <w:sz w:val="20"/>
          <w:szCs w:val="20"/>
        </w:rPr>
        <w:t>O</w:t>
      </w:r>
      <w:r w:rsidRPr="00803325">
        <w:rPr>
          <w:rFonts w:ascii="Times New Roman" w:hAnsi="Times New Roman"/>
          <w:sz w:val="20"/>
          <w:szCs w:val="20"/>
          <w:vertAlign w:val="subscript"/>
        </w:rPr>
        <w:t>2</w:t>
      </w:r>
      <w:r w:rsidRPr="00803325">
        <w:rPr>
          <w:rFonts w:ascii="Times New Roman" w:hAnsi="Times New Roman"/>
          <w:sz w:val="20"/>
          <w:szCs w:val="20"/>
        </w:rPr>
        <w:t xml:space="preserve"> oxidation reactions, competing non-productive oxidations utilized some of the hydrogen peroxide and therefore reducing the amount of vanillin and vanillic acid produced. Furthermore, oxidative polymerization of vanillin and vanillic acid may also occur under these conditions, which </w:t>
      </w:r>
      <w:r w:rsidRPr="00803325">
        <w:rPr>
          <w:rFonts w:ascii="Times New Roman" w:hAnsi="Times New Roman"/>
          <w:sz w:val="20"/>
          <w:szCs w:val="20"/>
        </w:rPr>
        <w:lastRenderedPageBreak/>
        <w:t>further reduced the yield of these compounds. The amounts of vanillin obtained by these hydrogen peroxide oxidative depolymerization reactions all fall within the range (3.5 – 10% by weight) previously reported for different kraft lignins upon the treatment with oxygen (9 bar) at 130-150 °C for several hours. Further refinement of the oxidative reactions described in this study could therefore lead to a more efficient method of vanillin production from kraft lignin. The intriguing observation was that the treatment of kraft lignin with FeB* under aerobic conditions had produced some vanillin and vanillic acid, which also merits further investigation.</w:t>
      </w:r>
    </w:p>
    <w:p w:rsidR="00803325" w:rsidRPr="00803325" w:rsidRDefault="00803325" w:rsidP="00803325">
      <w:pPr>
        <w:spacing w:after="0" w:line="240" w:lineRule="auto"/>
        <w:jc w:val="center"/>
        <w:outlineLvl w:val="0"/>
        <w:rPr>
          <w:rFonts w:ascii="Times New Roman" w:hAnsi="Times New Roman"/>
          <w:sz w:val="20"/>
          <w:szCs w:val="20"/>
        </w:rPr>
      </w:pPr>
    </w:p>
    <w:p w:rsidR="00803325" w:rsidRPr="00803325" w:rsidRDefault="00803325" w:rsidP="00803325">
      <w:pPr>
        <w:spacing w:after="0" w:line="240" w:lineRule="auto"/>
        <w:jc w:val="center"/>
        <w:outlineLvl w:val="0"/>
        <w:rPr>
          <w:rFonts w:ascii="Times New Roman" w:hAnsi="Times New Roman"/>
          <w:b/>
          <w:sz w:val="20"/>
          <w:szCs w:val="20"/>
        </w:rPr>
      </w:pPr>
      <w:r w:rsidRPr="00803325">
        <w:rPr>
          <w:rFonts w:ascii="Times New Roman" w:hAnsi="Times New Roman"/>
          <w:b/>
          <w:sz w:val="20"/>
          <w:szCs w:val="20"/>
        </w:rPr>
        <w:t>Acknowledgement</w:t>
      </w:r>
    </w:p>
    <w:p w:rsidR="006768E9" w:rsidRPr="00F447A7" w:rsidRDefault="00803325" w:rsidP="00803325">
      <w:pPr>
        <w:spacing w:after="0" w:line="240" w:lineRule="auto"/>
        <w:jc w:val="both"/>
        <w:rPr>
          <w:rFonts w:ascii="Times New Roman" w:hAnsi="Times New Roman"/>
          <w:sz w:val="20"/>
          <w:szCs w:val="20"/>
        </w:rPr>
      </w:pPr>
      <w:r w:rsidRPr="00803325">
        <w:rPr>
          <w:rFonts w:ascii="Times New Roman" w:hAnsi="Times New Roman"/>
          <w:sz w:val="20"/>
          <w:szCs w:val="20"/>
        </w:rPr>
        <w:t>Nabilah Ismail would like to acknowledge the scholarship received from Majlis Amanah Rakyat (MARA), an agency under the Malaysian Government for master studies.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Mahmood, N., Yuan, Z., Schmidt, J. and Xu, C. C. (2016). Depolymerization of lignins and their applications for the preparation of polyols and rigid polyurethane foams: A review. </w:t>
      </w:r>
      <w:r w:rsidRPr="00803325">
        <w:rPr>
          <w:rFonts w:ascii="Times New Roman" w:hAnsi="Times New Roman"/>
          <w:i/>
          <w:iCs/>
          <w:color w:val="222222"/>
          <w:sz w:val="20"/>
          <w:szCs w:val="20"/>
          <w:shd w:val="clear" w:color="auto" w:fill="FFFFFF"/>
        </w:rPr>
        <w:t>Renewable and Sustainable Energy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60</w:t>
      </w:r>
      <w:r w:rsidRPr="00803325">
        <w:rPr>
          <w:rFonts w:ascii="Times New Roman" w:hAnsi="Times New Roman"/>
          <w:color w:val="222222"/>
          <w:sz w:val="20"/>
          <w:szCs w:val="20"/>
          <w:shd w:val="clear" w:color="auto" w:fill="FFFFFF"/>
        </w:rPr>
        <w:t>: 317-329.</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Lange, H., Decina, S. and Crestini, C. (2013). Oxidative upgrade of lignin–Recent routes reviewed. </w:t>
      </w:r>
      <w:r w:rsidRPr="00803325">
        <w:rPr>
          <w:rFonts w:ascii="Times New Roman" w:hAnsi="Times New Roman"/>
          <w:i/>
          <w:iCs/>
          <w:color w:val="222222"/>
          <w:sz w:val="20"/>
          <w:szCs w:val="20"/>
          <w:shd w:val="clear" w:color="auto" w:fill="FFFFFF"/>
        </w:rPr>
        <w:t>European Polymer Journal</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(6): 1151-1173.</w:t>
      </w:r>
      <w:r w:rsidRPr="00803325">
        <w:rPr>
          <w:rFonts w:ascii="Times New Roman" w:hAnsi="Times New Roman"/>
          <w:sz w:val="20"/>
          <w:szCs w:val="20"/>
        </w:rPr>
        <w:t xml:space="preserve"> </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Zakzeski, J., Bruijnincx, P. C., Jongerius, A. L., &amp; Weckhuysen, B. M. (2010). The catalytic valorization of lignin for the production of renewable chemicals. </w:t>
      </w:r>
      <w:r w:rsidRPr="00803325">
        <w:rPr>
          <w:rFonts w:ascii="Times New Roman" w:hAnsi="Times New Roman"/>
          <w:i/>
          <w:iCs/>
          <w:color w:val="222222"/>
          <w:sz w:val="20"/>
          <w:szCs w:val="20"/>
          <w:shd w:val="clear" w:color="auto" w:fill="FFFFFF"/>
        </w:rPr>
        <w:t>Chemical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110</w:t>
      </w:r>
      <w:r w:rsidRPr="00803325">
        <w:rPr>
          <w:rFonts w:ascii="Times New Roman" w:hAnsi="Times New Roman"/>
          <w:color w:val="222222"/>
          <w:sz w:val="20"/>
          <w:szCs w:val="20"/>
          <w:shd w:val="clear" w:color="auto" w:fill="FFFFFF"/>
        </w:rPr>
        <w:t>(6): 3552-3599.</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Bjørsvik, H. R. and Liguori, L. (2002). Organic processes to pharmaceutical chemicals based on fine chemicals from lignosulfonates. </w:t>
      </w:r>
      <w:r w:rsidRPr="00803325">
        <w:rPr>
          <w:rFonts w:ascii="Times New Roman" w:hAnsi="Times New Roman"/>
          <w:i/>
          <w:iCs/>
          <w:color w:val="222222"/>
          <w:sz w:val="20"/>
          <w:szCs w:val="20"/>
          <w:shd w:val="clear" w:color="auto" w:fill="FFFFFF"/>
        </w:rPr>
        <w:t>Organic Process Research &amp; Development</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w:t>
      </w:r>
      <w:r w:rsidRPr="00803325">
        <w:rPr>
          <w:rFonts w:ascii="Times New Roman" w:hAnsi="Times New Roman"/>
          <w:color w:val="222222"/>
          <w:sz w:val="20"/>
          <w:szCs w:val="20"/>
          <w:shd w:val="clear" w:color="auto" w:fill="FFFFFF"/>
        </w:rPr>
        <w:t>(3): 279-290.</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Pinto, P. C. R., Costa, C. E. and Rodrigues, A. E. (2013). Oxidation of lignin from </w:t>
      </w:r>
      <w:r w:rsidRPr="00803325">
        <w:rPr>
          <w:rFonts w:ascii="Times New Roman" w:hAnsi="Times New Roman"/>
          <w:i/>
          <w:color w:val="222222"/>
          <w:sz w:val="20"/>
          <w:szCs w:val="20"/>
          <w:shd w:val="clear" w:color="auto" w:fill="FFFFFF"/>
        </w:rPr>
        <w:t>Eucalyptus globulus</w:t>
      </w:r>
      <w:r w:rsidRPr="00803325">
        <w:rPr>
          <w:rFonts w:ascii="Times New Roman" w:hAnsi="Times New Roman"/>
          <w:color w:val="222222"/>
          <w:sz w:val="20"/>
          <w:szCs w:val="20"/>
          <w:shd w:val="clear" w:color="auto" w:fill="FFFFFF"/>
        </w:rPr>
        <w:t xml:space="preserve"> pulping liquors to produce syringaldehyde and vanillin.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52</w:t>
      </w:r>
      <w:r w:rsidRPr="00803325">
        <w:rPr>
          <w:rFonts w:ascii="Times New Roman" w:hAnsi="Times New Roman"/>
          <w:color w:val="222222"/>
          <w:sz w:val="20"/>
          <w:szCs w:val="20"/>
          <w:shd w:val="clear" w:color="auto" w:fill="FFFFFF"/>
        </w:rPr>
        <w:t>(12): 4421-4428.</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Voitl, T. and Rohr, P. R. V. (2009). Demonstration of a process for the conversion of kraft lignin into vanillin and methyl vanillate by acidic oxidation in aqueous methanol.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(2): 520-525.</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Napoly, F., Kardos, N., Jean-Gérard, L., Goux-Henry, C., Andrioletti, B. and Draye, M. (2015). H</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O</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-mediated kraft lignin oxidation with readily available metal salts: What about the effect of ultrasound?.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54</w:t>
      </w:r>
      <w:r w:rsidRPr="00803325">
        <w:rPr>
          <w:rFonts w:ascii="Times New Roman" w:hAnsi="Times New Roman"/>
          <w:color w:val="222222"/>
          <w:sz w:val="20"/>
          <w:szCs w:val="20"/>
          <w:shd w:val="clear" w:color="auto" w:fill="FFFFFF"/>
        </w:rPr>
        <w:t>(22): 6046-6051.</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Voitl, T., Nagel, M. V. and von Rohr, P. R. (2010). Analysis of products from the oxidation of t</w:t>
      </w:r>
      <w:r>
        <w:rPr>
          <w:rFonts w:ascii="Times New Roman" w:hAnsi="Times New Roman"/>
          <w:color w:val="222222"/>
          <w:sz w:val="20"/>
          <w:szCs w:val="20"/>
          <w:shd w:val="clear" w:color="auto" w:fill="FFFFFF"/>
        </w:rPr>
        <w:t>echnical lignins by oxygen and H3</w:t>
      </w:r>
      <w:r w:rsidRPr="00803325">
        <w:rPr>
          <w:rFonts w:ascii="Times New Roman" w:hAnsi="Times New Roman"/>
          <w:color w:val="222222"/>
          <w:sz w:val="20"/>
          <w:szCs w:val="20"/>
          <w:shd w:val="clear" w:color="auto" w:fill="FFFFFF"/>
        </w:rPr>
        <w:t>PMo12O40 in water and aqueous methanol by size-exclusion chromatography. </w:t>
      </w:r>
      <w:r>
        <w:rPr>
          <w:rFonts w:ascii="Times New Roman" w:hAnsi="Times New Roman"/>
          <w:color w:val="222222"/>
          <w:sz w:val="20"/>
          <w:szCs w:val="20"/>
          <w:shd w:val="clear" w:color="auto" w:fill="FFFFFF"/>
        </w:rPr>
        <w:t xml:space="preserve"> </w:t>
      </w:r>
      <w:r w:rsidRPr="00803325">
        <w:rPr>
          <w:rFonts w:ascii="Times New Roman" w:hAnsi="Times New Roman"/>
          <w:i/>
          <w:iCs/>
          <w:color w:val="222222"/>
          <w:sz w:val="20"/>
          <w:szCs w:val="20"/>
          <w:shd w:val="clear" w:color="auto" w:fill="FFFFFF"/>
        </w:rPr>
        <w:t>Holzforschung</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64</w:t>
      </w:r>
      <w:r w:rsidRPr="00803325">
        <w:rPr>
          <w:rFonts w:ascii="Times New Roman" w:hAnsi="Times New Roman"/>
          <w:color w:val="222222"/>
          <w:sz w:val="20"/>
          <w:szCs w:val="20"/>
          <w:shd w:val="clear" w:color="auto" w:fill="FFFFFF"/>
        </w:rPr>
        <w:t>(1): 13-19.</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Ouyang, X., Ruan, T. and Qiu, X. (2016). Effect of solvent on hydrothermal oxidation depolymerization of lignin for the production of monophenolic compounds. </w:t>
      </w:r>
      <w:r w:rsidRPr="00803325">
        <w:rPr>
          <w:rFonts w:ascii="Times New Roman" w:hAnsi="Times New Roman"/>
          <w:i/>
          <w:iCs/>
          <w:color w:val="222222"/>
          <w:sz w:val="20"/>
          <w:szCs w:val="20"/>
          <w:shd w:val="clear" w:color="auto" w:fill="FFFFFF"/>
        </w:rPr>
        <w:t>Fuel Processing Technology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144</w:t>
      </w:r>
      <w:r w:rsidRPr="00803325">
        <w:rPr>
          <w:rFonts w:ascii="Times New Roman" w:hAnsi="Times New Roman"/>
          <w:color w:val="222222"/>
          <w:sz w:val="20"/>
          <w:szCs w:val="20"/>
          <w:shd w:val="clear" w:color="auto" w:fill="FFFFFF"/>
        </w:rPr>
        <w:t>: 181-185.</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Wingate, K. G., Stuthridge, T. R., Wright, L. J., Horwitz, C. P. and Collins, T. J. (2004). Application of TAML® catalysts to remove colour from pulp and paper mill effluents. </w:t>
      </w:r>
      <w:r w:rsidRPr="00803325">
        <w:rPr>
          <w:rFonts w:ascii="Times New Roman" w:hAnsi="Times New Roman"/>
          <w:i/>
          <w:iCs/>
          <w:color w:val="222222"/>
          <w:sz w:val="20"/>
          <w:szCs w:val="20"/>
          <w:shd w:val="clear" w:color="auto" w:fill="FFFFFF"/>
        </w:rPr>
        <w:t>Water Science and Technology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(4): 255-260.</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Horwitz, C. P., Collins, T. J., Spatz, J., Smith, H. J., Wright, L. J., Stuthridge, T. R., Wingate, K. G &amp; McGrouther, K. (2006). Iron-TAML® catalysts in the pulp and paper industry. </w:t>
      </w:r>
      <w:r w:rsidRPr="00803325">
        <w:rPr>
          <w:rFonts w:ascii="Times New Roman" w:hAnsi="Times New Roman"/>
          <w:i/>
          <w:color w:val="222222"/>
          <w:sz w:val="20"/>
          <w:szCs w:val="20"/>
          <w:shd w:val="clear" w:color="auto" w:fill="FFFFFF"/>
        </w:rPr>
        <w:t>ACS Symposium Series</w:t>
      </w:r>
      <w:r w:rsidRPr="00803325">
        <w:rPr>
          <w:rFonts w:ascii="Times New Roman" w:hAnsi="Times New Roman"/>
          <w:color w:val="222222"/>
          <w:sz w:val="20"/>
          <w:szCs w:val="20"/>
          <w:shd w:val="clear" w:color="auto" w:fill="FFFFFF"/>
        </w:rPr>
        <w:t>, 921: 156-169</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Collins, T. J., Horwitz, C. P., Ryabov, A. D., Vuocolo, L. D., Gupta, S. S., Ghosh, A., Fattaleh, N. L., Handgun, Y., Steinhoff, B., Noser, C. A. and Beach, E. (2002). Tetraamido macrocyclic ligand catalytic oxidant activators in the pulp and paper industry. </w:t>
      </w:r>
      <w:r w:rsidRPr="00803325">
        <w:rPr>
          <w:rFonts w:ascii="Times New Roman" w:hAnsi="Times New Roman"/>
          <w:i/>
          <w:color w:val="222222"/>
          <w:sz w:val="20"/>
          <w:szCs w:val="20"/>
          <w:shd w:val="clear" w:color="auto" w:fill="FFFFFF"/>
        </w:rPr>
        <w:t>Advancing Sustainability through Green Chemistry and Engineering,</w:t>
      </w:r>
      <w:r w:rsidRPr="00803325">
        <w:rPr>
          <w:rFonts w:ascii="Times New Roman" w:hAnsi="Times New Roman"/>
          <w:color w:val="222222"/>
          <w:sz w:val="20"/>
          <w:szCs w:val="20"/>
          <w:shd w:val="clear" w:color="auto" w:fill="FFFFFF"/>
        </w:rPr>
        <w:t xml:space="preserve"> 823: 47-60.</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sz w:val="20"/>
          <w:szCs w:val="20"/>
        </w:rPr>
        <w:t xml:space="preserve">Collins, T. J., Hall, J. A., Vuocolo, L. D., Fattaleh, N. L., Suckling, I., </w:t>
      </w:r>
      <w:r w:rsidRPr="00803325">
        <w:rPr>
          <w:rFonts w:ascii="Times New Roman" w:hAnsi="Times New Roman"/>
          <w:color w:val="222222"/>
          <w:sz w:val="20"/>
          <w:szCs w:val="20"/>
          <w:shd w:val="clear" w:color="auto" w:fill="FFFFFF"/>
        </w:rPr>
        <w:t xml:space="preserve">Horwitz, C. P., Gordon-Wylie, S. W., Allison, R. W. Fullerton, T. J., Wright, L. J., (2000). </w:t>
      </w:r>
      <w:r w:rsidRPr="00803325">
        <w:rPr>
          <w:rFonts w:ascii="Times New Roman" w:hAnsi="Times New Roman"/>
          <w:sz w:val="20"/>
          <w:szCs w:val="20"/>
        </w:rPr>
        <w:t>The activation of hydrogen peroxide for selective, e. w. p. b.; In “Green Chemistry:  Challenging Perspectives P. T., ed., Oxford University Press, Oxford, pp. 79-105</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Bartos, M. J., Gordon-Wylie, S. W., Fox, B. G., Wright, L. J., Weintraub, S. T., Kauffmann, K. E., Münck, E., Kostka, K.L., Uffelman, E.S., Rickard, C.E. and Noon, K. R. (1998). Designing ligands to achieve robust oxidation catalysts. Iron based systems. </w:t>
      </w:r>
      <w:r w:rsidRPr="00803325">
        <w:rPr>
          <w:rFonts w:ascii="Times New Roman" w:hAnsi="Times New Roman"/>
          <w:i/>
          <w:iCs/>
          <w:color w:val="222222"/>
          <w:sz w:val="20"/>
          <w:szCs w:val="20"/>
          <w:shd w:val="clear" w:color="auto" w:fill="FFFFFF"/>
        </w:rPr>
        <w:t>Coordination Chemistry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174</w:t>
      </w:r>
      <w:r w:rsidRPr="00803325">
        <w:rPr>
          <w:rFonts w:ascii="Times New Roman" w:hAnsi="Times New Roman"/>
          <w:color w:val="222222"/>
          <w:sz w:val="20"/>
          <w:szCs w:val="20"/>
          <w:shd w:val="clear" w:color="auto" w:fill="FFFFFF"/>
        </w:rPr>
        <w:t>(1): 361-390.</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Ryabov, A. D. and Collins, T. J. (2009). Mechanistic considerations on the reactivity of green FeIII-TAML activators of peroxides. </w:t>
      </w:r>
      <w:r w:rsidRPr="00803325">
        <w:rPr>
          <w:rFonts w:ascii="Times New Roman" w:hAnsi="Times New Roman"/>
          <w:i/>
          <w:iCs/>
          <w:color w:val="222222"/>
          <w:sz w:val="20"/>
          <w:szCs w:val="20"/>
          <w:shd w:val="clear" w:color="auto" w:fill="FFFFFF"/>
        </w:rPr>
        <w:t>Advances in Inorganic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61</w:t>
      </w:r>
      <w:r w:rsidRPr="00803325">
        <w:rPr>
          <w:rFonts w:ascii="Times New Roman" w:hAnsi="Times New Roman"/>
          <w:color w:val="222222"/>
          <w:sz w:val="20"/>
          <w:szCs w:val="20"/>
          <w:shd w:val="clear" w:color="auto" w:fill="FFFFFF"/>
        </w:rPr>
        <w:t>: 471-521.</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lastRenderedPageBreak/>
        <w:t>Delory, G. E. and King, E. J. (1945). A sodium carbonate-bicarbonate buffer for alkaline phosphatases. </w:t>
      </w:r>
      <w:r w:rsidRPr="00803325">
        <w:rPr>
          <w:rFonts w:ascii="Times New Roman" w:hAnsi="Times New Roman"/>
          <w:i/>
          <w:iCs/>
          <w:color w:val="222222"/>
          <w:sz w:val="20"/>
          <w:szCs w:val="20"/>
          <w:shd w:val="clear" w:color="auto" w:fill="FFFFFF"/>
        </w:rPr>
        <w:t>Biochemical Journal</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39</w:t>
      </w:r>
      <w:r w:rsidRPr="00803325">
        <w:rPr>
          <w:rFonts w:ascii="Times New Roman" w:hAnsi="Times New Roman"/>
          <w:color w:val="222222"/>
          <w:sz w:val="20"/>
          <w:szCs w:val="20"/>
          <w:shd w:val="clear" w:color="auto" w:fill="FFFFFF"/>
        </w:rPr>
        <w:t>(3): 245.</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Chahbane, N., Popescu, D. L., Mitchell, D. A., Chanda, A., Lenoir, D., Ryabov, A. D.,</w:t>
      </w:r>
      <w:r w:rsidRPr="00803325">
        <w:rPr>
          <w:rFonts w:ascii="Arial" w:hAnsi="Arial" w:cs="Arial"/>
          <w:color w:val="222222"/>
          <w:sz w:val="20"/>
          <w:szCs w:val="20"/>
          <w:shd w:val="clear" w:color="auto" w:fill="FFFFFF"/>
        </w:rPr>
        <w:t xml:space="preserve"> </w:t>
      </w:r>
      <w:r w:rsidRPr="00803325">
        <w:rPr>
          <w:rFonts w:ascii="Times New Roman" w:hAnsi="Times New Roman"/>
          <w:color w:val="222222"/>
          <w:sz w:val="20"/>
          <w:szCs w:val="20"/>
          <w:shd w:val="clear" w:color="auto" w:fill="FFFFFF"/>
        </w:rPr>
        <w:t>Schramm, K.W. and Collins, T. J. (2007). Fe III–TAML-catalyzed green oxidative degradation of the azo dye Orange II by H</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O</w:t>
      </w:r>
      <w:r w:rsidRPr="00803325">
        <w:rPr>
          <w:rFonts w:ascii="Times New Roman" w:hAnsi="Times New Roman"/>
          <w:color w:val="222222"/>
          <w:sz w:val="20"/>
          <w:szCs w:val="20"/>
          <w:shd w:val="clear" w:color="auto" w:fill="FFFFFF"/>
          <w:vertAlign w:val="subscript"/>
        </w:rPr>
        <w:t xml:space="preserve">2 </w:t>
      </w:r>
      <w:r w:rsidRPr="00803325">
        <w:rPr>
          <w:rFonts w:ascii="Times New Roman" w:hAnsi="Times New Roman"/>
          <w:color w:val="222222"/>
          <w:sz w:val="20"/>
          <w:szCs w:val="20"/>
          <w:shd w:val="clear" w:color="auto" w:fill="FFFFFF"/>
        </w:rPr>
        <w:t>and organic peroxides: products, toxicity, kinetics, and mechanisms. </w:t>
      </w:r>
      <w:r w:rsidRPr="00803325">
        <w:rPr>
          <w:rFonts w:ascii="Times New Roman" w:hAnsi="Times New Roman"/>
          <w:i/>
          <w:iCs/>
          <w:color w:val="222222"/>
          <w:sz w:val="20"/>
          <w:szCs w:val="20"/>
          <w:shd w:val="clear" w:color="auto" w:fill="FFFFFF"/>
        </w:rPr>
        <w:t>Green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9</w:t>
      </w:r>
      <w:r w:rsidRPr="00803325">
        <w:rPr>
          <w:rFonts w:ascii="Times New Roman" w:hAnsi="Times New Roman"/>
          <w:color w:val="222222"/>
          <w:sz w:val="20"/>
          <w:szCs w:val="20"/>
          <w:shd w:val="clear" w:color="auto" w:fill="FFFFFF"/>
        </w:rPr>
        <w:t>(1): 49-57.</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Kingzett, C. T. (1888). On the estimation of peroxide of hydrogen. </w:t>
      </w:r>
      <w:r w:rsidRPr="00803325">
        <w:rPr>
          <w:rFonts w:ascii="Times New Roman" w:hAnsi="Times New Roman"/>
          <w:i/>
          <w:iCs/>
          <w:color w:val="222222"/>
          <w:sz w:val="20"/>
          <w:szCs w:val="20"/>
          <w:shd w:val="clear" w:color="auto" w:fill="FFFFFF"/>
        </w:rPr>
        <w:t>Analyst</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13</w:t>
      </w:r>
      <w:r w:rsidRPr="00803325">
        <w:rPr>
          <w:rFonts w:ascii="Times New Roman" w:hAnsi="Times New Roman"/>
          <w:color w:val="222222"/>
          <w:sz w:val="20"/>
          <w:szCs w:val="20"/>
          <w:shd w:val="clear" w:color="auto" w:fill="FFFFFF"/>
        </w:rPr>
        <w:t>: 62-63.</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Voisine, R., Carmichael, L., Chalier, P., Cormier, F. and Morin, A. (1995). Determination of glucovanillin and vanillin in cured vanilla pods. </w:t>
      </w:r>
      <w:r w:rsidRPr="00803325">
        <w:rPr>
          <w:rFonts w:ascii="Times New Roman" w:hAnsi="Times New Roman"/>
          <w:i/>
          <w:iCs/>
          <w:color w:val="222222"/>
          <w:sz w:val="20"/>
          <w:szCs w:val="20"/>
          <w:shd w:val="clear" w:color="auto" w:fill="FFFFFF"/>
        </w:rPr>
        <w:t>Journal of Agricultural and Food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43</w:t>
      </w:r>
      <w:r w:rsidRPr="00803325">
        <w:rPr>
          <w:rFonts w:ascii="Times New Roman" w:hAnsi="Times New Roman"/>
          <w:color w:val="222222"/>
          <w:sz w:val="20"/>
          <w:szCs w:val="20"/>
          <w:shd w:val="clear" w:color="auto" w:fill="FFFFFF"/>
        </w:rPr>
        <w:t>(10): 2658-2661.</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Tang, L. L., Gunderson, W. A., Weitz, A. C., Hendrich, M. P., Ryabov, A. D. and Collins, T. J. (2015). Activation of dioxygen by a TAML activator in reverse Micelles: characterization of an Fe</w:t>
      </w:r>
      <w:r w:rsidRPr="00803325">
        <w:rPr>
          <w:rFonts w:ascii="Times New Roman" w:hAnsi="Times New Roman"/>
          <w:color w:val="222222"/>
          <w:sz w:val="20"/>
          <w:szCs w:val="20"/>
          <w:shd w:val="clear" w:color="auto" w:fill="FFFFFF"/>
          <w:vertAlign w:val="superscript"/>
        </w:rPr>
        <w:t>III</w:t>
      </w:r>
      <w:r w:rsidRPr="00803325">
        <w:rPr>
          <w:rFonts w:ascii="Times New Roman" w:hAnsi="Times New Roman"/>
          <w:color w:val="222222"/>
          <w:sz w:val="20"/>
          <w:szCs w:val="20"/>
          <w:shd w:val="clear" w:color="auto" w:fill="FFFFFF"/>
        </w:rPr>
        <w:t>Fe</w:t>
      </w:r>
      <w:r w:rsidRPr="00803325">
        <w:rPr>
          <w:rFonts w:ascii="Times New Roman" w:hAnsi="Times New Roman"/>
          <w:color w:val="222222"/>
          <w:sz w:val="20"/>
          <w:szCs w:val="20"/>
          <w:shd w:val="clear" w:color="auto" w:fill="FFFFFF"/>
          <w:vertAlign w:val="superscript"/>
        </w:rPr>
        <w:t xml:space="preserve">IV </w:t>
      </w:r>
      <w:r w:rsidRPr="00803325">
        <w:rPr>
          <w:rFonts w:ascii="Times New Roman" w:hAnsi="Times New Roman"/>
          <w:color w:val="222222"/>
          <w:sz w:val="20"/>
          <w:szCs w:val="20"/>
          <w:shd w:val="clear" w:color="auto" w:fill="FFFFFF"/>
        </w:rPr>
        <w:t>dimer and associated catalytic chemistry. </w:t>
      </w:r>
      <w:r w:rsidRPr="00803325">
        <w:rPr>
          <w:rFonts w:ascii="Times New Roman" w:hAnsi="Times New Roman"/>
          <w:i/>
          <w:iCs/>
          <w:color w:val="222222"/>
          <w:sz w:val="20"/>
          <w:szCs w:val="20"/>
          <w:shd w:val="clear" w:color="auto" w:fill="FFFFFF"/>
        </w:rPr>
        <w:t>Journal of the American Chemical Society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137</w:t>
      </w:r>
      <w:r w:rsidRPr="00803325">
        <w:rPr>
          <w:rFonts w:ascii="Times New Roman" w:hAnsi="Times New Roman"/>
          <w:color w:val="222222"/>
          <w:sz w:val="20"/>
          <w:szCs w:val="20"/>
          <w:shd w:val="clear" w:color="auto" w:fill="FFFFFF"/>
        </w:rPr>
        <w:t>(30): 9704-9715.</w:t>
      </w:r>
    </w:p>
    <w:p w:rsidR="00803325" w:rsidRPr="00803325" w:rsidRDefault="00803325" w:rsidP="0080332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Onundi, Y., Drake, B. A., Malecky, R. T., DeNardo, M. A., Mills, M. R., Kundu, S. and Truong, L. (2017). A multidisciplinary investigation of the technical and environmental performances of TAML/peroxide elimination of Bisphenol A compounds from water. </w:t>
      </w:r>
      <w:r w:rsidRPr="00803325">
        <w:rPr>
          <w:rFonts w:ascii="Times New Roman" w:hAnsi="Times New Roman"/>
          <w:i/>
          <w:iCs/>
          <w:color w:val="222222"/>
          <w:sz w:val="20"/>
          <w:szCs w:val="20"/>
          <w:shd w:val="clear" w:color="auto" w:fill="FFFFFF"/>
        </w:rPr>
        <w:t>Green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19</w:t>
      </w:r>
      <w:r w:rsidRPr="00803325">
        <w:rPr>
          <w:rFonts w:ascii="Times New Roman" w:hAnsi="Times New Roman"/>
          <w:color w:val="222222"/>
          <w:sz w:val="20"/>
          <w:szCs w:val="20"/>
          <w:shd w:val="clear" w:color="auto" w:fill="FFFFFF"/>
        </w:rPr>
        <w:t>(18): 4234-4262.</w:t>
      </w:r>
    </w:p>
    <w:p w:rsidR="00A74A7E" w:rsidRPr="007A738C" w:rsidRDefault="00A74A7E" w:rsidP="00803325">
      <w:pPr>
        <w:spacing w:after="0" w:line="240" w:lineRule="auto"/>
        <w:ind w:left="360"/>
        <w:jc w:val="both"/>
        <w:rPr>
          <w:rFonts w:ascii="Times New Roman" w:hAnsi="Times New Roman"/>
          <w:noProof/>
          <w:lang w:bidi="ar-SA"/>
        </w:rPr>
      </w:pPr>
    </w:p>
    <w:sectPr w:rsidR="00A74A7E" w:rsidRPr="007A738C" w:rsidSect="006968B7">
      <w:headerReference w:type="even" r:id="rId13"/>
      <w:headerReference w:type="default" r:id="rId14"/>
      <w:footerReference w:type="even" r:id="rId15"/>
      <w:footerReference w:type="default" r:id="rId16"/>
      <w:pgSz w:w="12240" w:h="15840" w:code="1"/>
      <w:pgMar w:top="1800" w:right="1469" w:bottom="1699" w:left="1440" w:header="706" w:footer="706" w:gutter="0"/>
      <w:pgNumType w:start="9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91FC5">
      <w:rPr>
        <w:rFonts w:ascii="Times New Roman" w:hAnsi="Times New Roman"/>
        <w:noProof/>
      </w:rPr>
      <w:t>948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91FC5">
      <w:rPr>
        <w:rFonts w:ascii="Times New Roman" w:hAnsi="Times New Roman"/>
        <w:noProof/>
      </w:rPr>
      <w:t>949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7D" w:rsidRPr="00641E7D" w:rsidRDefault="00641E7D" w:rsidP="00641E7D">
    <w:pPr>
      <w:spacing w:after="0" w:line="240" w:lineRule="auto"/>
      <w:ind w:left="1710" w:hanging="1710"/>
      <w:outlineLvl w:val="0"/>
      <w:rPr>
        <w:rFonts w:ascii="Times New Roman" w:hAnsi="Times New Roman"/>
        <w:sz w:val="20"/>
        <w:szCs w:val="20"/>
      </w:rPr>
    </w:pPr>
    <w:r>
      <w:rPr>
        <w:rFonts w:ascii="Times New Roman" w:hAnsi="Times New Roman"/>
        <w:sz w:val="20"/>
        <w:szCs w:val="20"/>
      </w:rPr>
      <w:t>Nabilah &amp; Wright</w:t>
    </w:r>
    <w:r w:rsidR="006B72B0" w:rsidRPr="00641E7D">
      <w:rPr>
        <w:rFonts w:ascii="Times New Roman" w:hAnsi="Times New Roman"/>
        <w:sz w:val="20"/>
        <w:szCs w:val="20"/>
      </w:rPr>
      <w:t xml:space="preserve">: </w:t>
    </w:r>
    <w:r w:rsidR="000D2B43" w:rsidRPr="00641E7D">
      <w:rPr>
        <w:rFonts w:ascii="Times New Roman" w:hAnsi="Times New Roman"/>
        <w:sz w:val="20"/>
        <w:szCs w:val="20"/>
      </w:rPr>
      <w:t xml:space="preserve"> </w:t>
    </w:r>
    <w:r>
      <w:rPr>
        <w:rFonts w:ascii="Times New Roman" w:hAnsi="Times New Roman"/>
        <w:sz w:val="20"/>
        <w:szCs w:val="20"/>
      </w:rPr>
      <w:tab/>
    </w:r>
    <w:r w:rsidRPr="00641E7D">
      <w:rPr>
        <w:rFonts w:ascii="Times New Roman" w:hAnsi="Times New Roman"/>
        <w:sz w:val="20"/>
        <w:szCs w:val="20"/>
      </w:rPr>
      <w:t xml:space="preserve">FORMATION OF VANILLIN AND VANILLIC ACID FROM KRAFT LIGNIN THROUGH GREEN CHEMICAL OXIDATION </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507494">
      <w:rPr>
        <w:rFonts w:ascii="Times New Roman" w:hAnsi="Times New Roman"/>
        <w:i/>
        <w:lang w:val="en-US"/>
      </w:rPr>
      <w:t>No 6</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6968B7">
      <w:rPr>
        <w:rFonts w:ascii="Times New Roman" w:hAnsi="Times New Roman"/>
        <w:i/>
        <w:lang w:val="en-US"/>
      </w:rPr>
      <w:t>94</w:t>
    </w:r>
    <w:r w:rsidR="00F107B0">
      <w:rPr>
        <w:rFonts w:ascii="Times New Roman" w:hAnsi="Times New Roman"/>
        <w:i/>
        <w:lang w:val="en-US"/>
      </w:rPr>
      <w:t>3</w:t>
    </w:r>
    <w:r>
      <w:rPr>
        <w:rFonts w:ascii="Times New Roman" w:hAnsi="Times New Roman"/>
        <w:i/>
        <w:lang w:val="en-US"/>
      </w:rPr>
      <w:t xml:space="preserve"> </w:t>
    </w:r>
    <w:r w:rsidR="007A0583">
      <w:rPr>
        <w:rFonts w:ascii="Times New Roman" w:hAnsi="Times New Roman"/>
        <w:i/>
        <w:lang w:val="en-US"/>
      </w:rPr>
      <w:t>-</w:t>
    </w:r>
    <w:r w:rsidR="006968B7">
      <w:rPr>
        <w:rFonts w:ascii="Times New Roman" w:hAnsi="Times New Roman"/>
        <w:i/>
        <w:lang w:val="en-US"/>
      </w:rPr>
      <w:t xml:space="preserve"> 94</w:t>
    </w:r>
    <w:r w:rsidR="00F107B0">
      <w:rPr>
        <w:rFonts w:ascii="Times New Roman" w:hAnsi="Times New Roman"/>
        <w:i/>
        <w:lang w:val="en-US"/>
      </w:rPr>
      <w:t>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507494">
      <w:rPr>
        <w:rFonts w:ascii="Times New Roman" w:hAnsi="Times New Roman"/>
        <w:i/>
        <w:lang w:val="en-US"/>
      </w:rPr>
      <w:t>6</w:t>
    </w:r>
    <w:r w:rsidR="00F107B0">
      <w:rPr>
        <w:rFonts w:ascii="Times New Roman" w:hAnsi="Times New Roman"/>
        <w:i/>
        <w:lang w:val="en-US"/>
      </w:rPr>
      <w:t>-03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52B9A"/>
    <w:rsid w:val="00191FC5"/>
    <w:rsid w:val="001A3275"/>
    <w:rsid w:val="001C0506"/>
    <w:rsid w:val="001D035A"/>
    <w:rsid w:val="001D3855"/>
    <w:rsid w:val="001D6F2C"/>
    <w:rsid w:val="00203922"/>
    <w:rsid w:val="00233387"/>
    <w:rsid w:val="002563AF"/>
    <w:rsid w:val="00277498"/>
    <w:rsid w:val="002860B7"/>
    <w:rsid w:val="00290F4D"/>
    <w:rsid w:val="002A2FC0"/>
    <w:rsid w:val="002B188F"/>
    <w:rsid w:val="002B3BD8"/>
    <w:rsid w:val="002D2529"/>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07494"/>
    <w:rsid w:val="00567B80"/>
    <w:rsid w:val="005C6768"/>
    <w:rsid w:val="005E4871"/>
    <w:rsid w:val="00601C8A"/>
    <w:rsid w:val="006257E5"/>
    <w:rsid w:val="00634C25"/>
    <w:rsid w:val="0063542E"/>
    <w:rsid w:val="006416AB"/>
    <w:rsid w:val="00641E7D"/>
    <w:rsid w:val="006768E9"/>
    <w:rsid w:val="00687982"/>
    <w:rsid w:val="006968B7"/>
    <w:rsid w:val="006B3EC8"/>
    <w:rsid w:val="006B72B0"/>
    <w:rsid w:val="006D286E"/>
    <w:rsid w:val="006D695E"/>
    <w:rsid w:val="00725A6A"/>
    <w:rsid w:val="007706A6"/>
    <w:rsid w:val="007943F3"/>
    <w:rsid w:val="007A0583"/>
    <w:rsid w:val="007A738C"/>
    <w:rsid w:val="007B1349"/>
    <w:rsid w:val="007D45AC"/>
    <w:rsid w:val="007E25BD"/>
    <w:rsid w:val="00802C35"/>
    <w:rsid w:val="0080332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866F6"/>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C4B78"/>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ED5E76"/>
    <w:rsid w:val="00F107B0"/>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D2529"/>
    <w:rPr>
      <w:color w:val="0000FF" w:themeColor="hyperlink"/>
      <w:u w:val="single"/>
    </w:rPr>
  </w:style>
  <w:style w:type="table" w:styleId="TableGrid">
    <w:name w:val="Table Grid"/>
    <w:basedOn w:val="TableNormal"/>
    <w:uiPriority w:val="39"/>
    <w:rsid w:val="002D2529"/>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2529"/>
    <w:pPr>
      <w:spacing w:line="240" w:lineRule="auto"/>
    </w:pPr>
    <w:rPr>
      <w:rFonts w:asciiTheme="minorHAnsi" w:eastAsiaTheme="minorHAnsi" w:hAnsiTheme="minorHAnsi" w:cstheme="minorBidi"/>
      <w:i/>
      <w:iCs/>
      <w:color w:val="1F497D" w:themeColor="text2"/>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D2529"/>
    <w:rPr>
      <w:color w:val="0000FF" w:themeColor="hyperlink"/>
      <w:u w:val="single"/>
    </w:rPr>
  </w:style>
  <w:style w:type="table" w:styleId="TableGrid">
    <w:name w:val="Table Grid"/>
    <w:basedOn w:val="TableNormal"/>
    <w:uiPriority w:val="39"/>
    <w:rsid w:val="002D2529"/>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2529"/>
    <w:pPr>
      <w:spacing w:line="240" w:lineRule="auto"/>
    </w:pPr>
    <w:rPr>
      <w:rFonts w:asciiTheme="minorHAnsi" w:eastAsiaTheme="minorHAnsi" w:hAnsiTheme="minorHAnsi" w:cstheme="minorBidi"/>
      <w:i/>
      <w:iCs/>
      <w:color w:val="1F497D" w:themeColor="text2"/>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66004-F235-49AB-9725-94CD1749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3984</Words>
  <Characters>21478</Characters>
  <Application>Microsoft Office Word</Application>
  <DocSecurity>0</DocSecurity>
  <Lines>447</Lines>
  <Paragraphs>225</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9</cp:revision>
  <cp:lastPrinted>2018-12-13T02:41:00Z</cp:lastPrinted>
  <dcterms:created xsi:type="dcterms:W3CDTF">2018-11-26T02:39:00Z</dcterms:created>
  <dcterms:modified xsi:type="dcterms:W3CDTF">2018-12-13T02:41:00Z</dcterms:modified>
</cp:coreProperties>
</file>