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56804" w:rsidRPr="00E3287E" w:rsidRDefault="00D5680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56804" w:rsidRDefault="00D56804"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D56804" w:rsidRPr="00E3287E" w:rsidRDefault="00D5680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56804" w:rsidRDefault="00D56804"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104B4" w:rsidRPr="00366308" w:rsidRDefault="00E104B4" w:rsidP="00E104B4">
      <w:pPr>
        <w:spacing w:after="0" w:line="240" w:lineRule="auto"/>
        <w:jc w:val="center"/>
        <w:rPr>
          <w:rFonts w:ascii="Times New Roman" w:hAnsi="Times New Roman"/>
          <w:caps/>
          <w:sz w:val="28"/>
          <w:szCs w:val="28"/>
        </w:rPr>
      </w:pPr>
      <w:r w:rsidRPr="00366308">
        <w:rPr>
          <w:rFonts w:ascii="Times New Roman" w:hAnsi="Times New Roman"/>
          <w:caps/>
          <w:sz w:val="28"/>
          <w:szCs w:val="28"/>
        </w:rPr>
        <w:t xml:space="preserve">Bioaccessibility Assessment of </w:t>
      </w:r>
      <w:r w:rsidRPr="00366308">
        <w:rPr>
          <w:rFonts w:ascii="Times New Roman" w:hAnsi="Times New Roman"/>
          <w:caps/>
          <w:sz w:val="28"/>
          <w:szCs w:val="28"/>
          <w:vertAlign w:val="superscript"/>
        </w:rPr>
        <w:t>232</w:t>
      </w:r>
      <w:r w:rsidRPr="00366308">
        <w:rPr>
          <w:rFonts w:ascii="Times New Roman" w:hAnsi="Times New Roman"/>
          <w:caps/>
          <w:sz w:val="28"/>
          <w:szCs w:val="28"/>
        </w:rPr>
        <w:t>Th</w:t>
      </w:r>
      <w:r w:rsidRPr="00366308">
        <w:rPr>
          <w:rFonts w:ascii="Times New Roman" w:hAnsi="Times New Roman"/>
          <w:caps/>
          <w:sz w:val="28"/>
          <w:szCs w:val="28"/>
          <w:vertAlign w:val="superscript"/>
        </w:rPr>
        <w:t xml:space="preserve"> </w:t>
      </w:r>
      <w:r w:rsidRPr="00366308">
        <w:rPr>
          <w:rFonts w:ascii="Times New Roman" w:hAnsi="Times New Roman"/>
          <w:caps/>
          <w:sz w:val="28"/>
          <w:szCs w:val="28"/>
        </w:rPr>
        <w:t xml:space="preserve"> and </w:t>
      </w:r>
      <w:r w:rsidRPr="00366308">
        <w:rPr>
          <w:rFonts w:ascii="Times New Roman" w:hAnsi="Times New Roman"/>
          <w:caps/>
          <w:sz w:val="28"/>
          <w:szCs w:val="28"/>
          <w:vertAlign w:val="superscript"/>
        </w:rPr>
        <w:t>238</w:t>
      </w:r>
      <w:r w:rsidRPr="00366308">
        <w:rPr>
          <w:rFonts w:ascii="Times New Roman" w:hAnsi="Times New Roman"/>
          <w:caps/>
          <w:sz w:val="28"/>
          <w:szCs w:val="28"/>
        </w:rPr>
        <w:t xml:space="preserve">U </w:t>
      </w:r>
      <w:r>
        <w:rPr>
          <w:rFonts w:ascii="Times New Roman" w:hAnsi="Times New Roman"/>
          <w:caps/>
          <w:sz w:val="28"/>
          <w:szCs w:val="28"/>
        </w:rPr>
        <w:t xml:space="preserve">from </w:t>
      </w:r>
      <w:r w:rsidRPr="00366308">
        <w:rPr>
          <w:rFonts w:ascii="Times New Roman" w:hAnsi="Times New Roman"/>
          <w:caps/>
          <w:sz w:val="28"/>
          <w:szCs w:val="28"/>
        </w:rPr>
        <w:t>Lanthanide Concentrate and Water Leach Purification Residue in Malaysia</w:t>
      </w:r>
    </w:p>
    <w:p w:rsidR="00E104B4" w:rsidRPr="00366308" w:rsidRDefault="00E104B4" w:rsidP="00E104B4">
      <w:pPr>
        <w:spacing w:after="0" w:line="240" w:lineRule="auto"/>
        <w:jc w:val="center"/>
        <w:rPr>
          <w:rFonts w:ascii="Times New Roman" w:hAnsi="Times New Roman"/>
          <w:caps/>
          <w:sz w:val="24"/>
          <w:szCs w:val="24"/>
        </w:rPr>
      </w:pPr>
    </w:p>
    <w:p w:rsidR="00E104B4" w:rsidRPr="00366308" w:rsidRDefault="00E104B4" w:rsidP="00E104B4">
      <w:pPr>
        <w:shd w:val="clear" w:color="auto" w:fill="FFFFFF" w:themeFill="background1"/>
        <w:spacing w:after="0" w:line="240" w:lineRule="auto"/>
        <w:jc w:val="center"/>
        <w:rPr>
          <w:rFonts w:ascii="Times New Roman" w:hAnsi="Times New Roman"/>
          <w:sz w:val="24"/>
          <w:szCs w:val="24"/>
        </w:rPr>
      </w:pPr>
      <w:r w:rsidRPr="00366308">
        <w:rPr>
          <w:rFonts w:ascii="Times New Roman" w:hAnsi="Times New Roman"/>
          <w:sz w:val="24"/>
          <w:szCs w:val="24"/>
        </w:rPr>
        <w:t xml:space="preserve">(Penilaian Bio-Kebolehcapaian </w:t>
      </w:r>
      <w:r>
        <w:rPr>
          <w:rFonts w:ascii="Times New Roman" w:hAnsi="Times New Roman"/>
          <w:sz w:val="24"/>
          <w:szCs w:val="24"/>
        </w:rPr>
        <w:t>b</w:t>
      </w:r>
      <w:r w:rsidRPr="00366308">
        <w:rPr>
          <w:rFonts w:ascii="Times New Roman" w:hAnsi="Times New Roman"/>
          <w:sz w:val="24"/>
          <w:szCs w:val="24"/>
        </w:rPr>
        <w:t xml:space="preserve">agi </w:t>
      </w:r>
      <w:r w:rsidRPr="00366308">
        <w:rPr>
          <w:rFonts w:ascii="Times New Roman" w:hAnsi="Times New Roman"/>
          <w:sz w:val="24"/>
          <w:szCs w:val="24"/>
          <w:vertAlign w:val="superscript"/>
        </w:rPr>
        <w:t>232</w:t>
      </w:r>
      <w:r w:rsidRPr="00366308">
        <w:rPr>
          <w:rFonts w:ascii="Times New Roman" w:hAnsi="Times New Roman"/>
          <w:sz w:val="24"/>
          <w:szCs w:val="24"/>
        </w:rPr>
        <w:t>Th</w:t>
      </w:r>
      <w:r w:rsidRPr="00366308">
        <w:rPr>
          <w:rFonts w:ascii="Times New Roman" w:hAnsi="Times New Roman"/>
          <w:sz w:val="24"/>
          <w:szCs w:val="24"/>
          <w:vertAlign w:val="superscript"/>
        </w:rPr>
        <w:t xml:space="preserve"> </w:t>
      </w:r>
      <w:r w:rsidRPr="00366308">
        <w:rPr>
          <w:rFonts w:ascii="Times New Roman" w:hAnsi="Times New Roman"/>
          <w:sz w:val="24"/>
          <w:szCs w:val="24"/>
        </w:rPr>
        <w:t xml:space="preserve"> Dan </w:t>
      </w:r>
      <w:r w:rsidRPr="00366308">
        <w:rPr>
          <w:rFonts w:ascii="Times New Roman" w:hAnsi="Times New Roman"/>
          <w:sz w:val="24"/>
          <w:szCs w:val="24"/>
          <w:vertAlign w:val="superscript"/>
        </w:rPr>
        <w:t>238</w:t>
      </w:r>
      <w:r w:rsidRPr="00366308">
        <w:rPr>
          <w:rFonts w:ascii="Times New Roman" w:hAnsi="Times New Roman"/>
          <w:sz w:val="24"/>
          <w:szCs w:val="24"/>
        </w:rPr>
        <w:t xml:space="preserve">U </w:t>
      </w:r>
      <w:r>
        <w:rPr>
          <w:rFonts w:ascii="Times New Roman" w:hAnsi="Times New Roman"/>
          <w:sz w:val="24"/>
          <w:szCs w:val="24"/>
        </w:rPr>
        <w:t>d</w:t>
      </w:r>
      <w:r w:rsidRPr="00366308">
        <w:rPr>
          <w:rFonts w:ascii="Times New Roman" w:hAnsi="Times New Roman"/>
          <w:sz w:val="24"/>
          <w:szCs w:val="24"/>
        </w:rPr>
        <w:t xml:space="preserve">alam Lantanida Pekat </w:t>
      </w:r>
      <w:r>
        <w:rPr>
          <w:rFonts w:ascii="Times New Roman" w:hAnsi="Times New Roman"/>
          <w:sz w:val="24"/>
          <w:szCs w:val="24"/>
        </w:rPr>
        <w:t>d</w:t>
      </w:r>
      <w:r w:rsidRPr="00366308">
        <w:rPr>
          <w:rFonts w:ascii="Times New Roman" w:hAnsi="Times New Roman"/>
          <w:sz w:val="24"/>
          <w:szCs w:val="24"/>
        </w:rPr>
        <w:t xml:space="preserve">an Residu Permurnian Larut Resap Air </w:t>
      </w:r>
      <w:r>
        <w:rPr>
          <w:rFonts w:ascii="Times New Roman" w:hAnsi="Times New Roman"/>
          <w:sz w:val="24"/>
          <w:szCs w:val="24"/>
        </w:rPr>
        <w:t>d</w:t>
      </w:r>
      <w:r w:rsidRPr="00366308">
        <w:rPr>
          <w:rFonts w:ascii="Times New Roman" w:hAnsi="Times New Roman"/>
          <w:sz w:val="24"/>
          <w:szCs w:val="24"/>
        </w:rPr>
        <w:t>i Malaysia)</w:t>
      </w:r>
    </w:p>
    <w:p w:rsidR="00E104B4" w:rsidRPr="00366308" w:rsidRDefault="00E104B4" w:rsidP="00E104B4">
      <w:pPr>
        <w:shd w:val="clear" w:color="auto" w:fill="FFFFFF" w:themeFill="background1"/>
        <w:spacing w:after="0" w:line="240" w:lineRule="auto"/>
        <w:jc w:val="center"/>
        <w:rPr>
          <w:rFonts w:ascii="Times New Roman" w:hAnsi="Times New Roman"/>
          <w:sz w:val="20"/>
          <w:szCs w:val="20"/>
        </w:rPr>
      </w:pPr>
    </w:p>
    <w:p w:rsidR="00E104B4" w:rsidRPr="00E104B4" w:rsidRDefault="00E104B4" w:rsidP="00E104B4">
      <w:pPr>
        <w:shd w:val="clear" w:color="auto" w:fill="FFFFFF" w:themeFill="background1"/>
        <w:spacing w:after="0" w:line="240" w:lineRule="auto"/>
        <w:jc w:val="center"/>
        <w:rPr>
          <w:rFonts w:ascii="Times New Roman" w:hAnsi="Times New Roman"/>
          <w:sz w:val="20"/>
          <w:szCs w:val="20"/>
        </w:rPr>
      </w:pPr>
      <w:r w:rsidRPr="00366308">
        <w:rPr>
          <w:rFonts w:ascii="Times New Roman" w:hAnsi="Times New Roman"/>
          <w:sz w:val="20"/>
          <w:szCs w:val="20"/>
        </w:rPr>
        <w:t>Nur Shahidah Abdul Rashid</w:t>
      </w:r>
      <w:r w:rsidRPr="00366308">
        <w:rPr>
          <w:rFonts w:ascii="Times New Roman" w:hAnsi="Times New Roman"/>
          <w:sz w:val="20"/>
          <w:szCs w:val="20"/>
          <w:vertAlign w:val="superscript"/>
        </w:rPr>
        <w:t>1</w:t>
      </w:r>
      <w:r w:rsidRPr="00E104B4">
        <w:rPr>
          <w:rFonts w:ascii="Times New Roman" w:hAnsi="Times New Roman"/>
          <w:sz w:val="20"/>
          <w:szCs w:val="20"/>
        </w:rPr>
        <w:t>*</w:t>
      </w:r>
      <w:r w:rsidRPr="00366308">
        <w:rPr>
          <w:rFonts w:ascii="Times New Roman" w:hAnsi="Times New Roman"/>
          <w:sz w:val="20"/>
          <w:szCs w:val="20"/>
        </w:rPr>
        <w:t>, Um Wooyong</w:t>
      </w:r>
      <w:r w:rsidRPr="00366308">
        <w:rPr>
          <w:rFonts w:ascii="Times New Roman" w:hAnsi="Times New Roman"/>
          <w:sz w:val="20"/>
          <w:szCs w:val="20"/>
          <w:vertAlign w:val="superscript"/>
        </w:rPr>
        <w:t>1</w:t>
      </w:r>
      <w:r w:rsidRPr="00366308">
        <w:rPr>
          <w:rFonts w:ascii="Times New Roman" w:hAnsi="Times New Roman"/>
          <w:sz w:val="20"/>
          <w:szCs w:val="20"/>
        </w:rPr>
        <w:t>, Yasmin Mohd Idris Perama</w:t>
      </w:r>
      <w:r w:rsidRPr="00366308">
        <w:rPr>
          <w:rFonts w:ascii="Times New Roman" w:hAnsi="Times New Roman"/>
          <w:sz w:val="20"/>
          <w:szCs w:val="20"/>
          <w:vertAlign w:val="superscript"/>
        </w:rPr>
        <w:t>2</w:t>
      </w:r>
      <w:r w:rsidRPr="00366308">
        <w:rPr>
          <w:rFonts w:ascii="Times New Roman" w:hAnsi="Times New Roman"/>
          <w:sz w:val="20"/>
          <w:szCs w:val="20"/>
        </w:rPr>
        <w:t>, Amran Ab.Majid</w:t>
      </w:r>
      <w:r w:rsidRPr="00366308">
        <w:rPr>
          <w:rFonts w:ascii="Times New Roman" w:hAnsi="Times New Roman"/>
          <w:sz w:val="20"/>
          <w:szCs w:val="20"/>
          <w:vertAlign w:val="superscript"/>
        </w:rPr>
        <w:t>2</w:t>
      </w:r>
      <w:r w:rsidRPr="00366308">
        <w:rPr>
          <w:rFonts w:ascii="Times New Roman" w:hAnsi="Times New Roman"/>
          <w:sz w:val="20"/>
          <w:szCs w:val="20"/>
        </w:rPr>
        <w:t>, Khoo Kok Siong</w:t>
      </w:r>
      <w:r w:rsidRPr="00366308">
        <w:rPr>
          <w:rFonts w:ascii="Times New Roman" w:hAnsi="Times New Roman"/>
          <w:sz w:val="20"/>
          <w:szCs w:val="20"/>
          <w:vertAlign w:val="superscript"/>
        </w:rPr>
        <w:t>2</w:t>
      </w:r>
    </w:p>
    <w:p w:rsidR="00E104B4" w:rsidRPr="00366308" w:rsidRDefault="00E104B4" w:rsidP="00E104B4">
      <w:pPr>
        <w:shd w:val="clear" w:color="auto" w:fill="FFFFFF" w:themeFill="background1"/>
        <w:spacing w:after="0" w:line="240" w:lineRule="auto"/>
        <w:jc w:val="center"/>
        <w:rPr>
          <w:rFonts w:ascii="Times New Roman" w:hAnsi="Times New Roman"/>
          <w:i/>
          <w:sz w:val="18"/>
          <w:szCs w:val="18"/>
        </w:rPr>
      </w:pPr>
    </w:p>
    <w:p w:rsidR="00E104B4" w:rsidRDefault="00E104B4" w:rsidP="00E104B4">
      <w:pPr>
        <w:shd w:val="clear" w:color="auto" w:fill="FFFFFF" w:themeFill="background1"/>
        <w:spacing w:after="0" w:line="240" w:lineRule="auto"/>
        <w:jc w:val="center"/>
        <w:rPr>
          <w:rFonts w:ascii="Times New Roman" w:hAnsi="Times New Roman"/>
          <w:i/>
          <w:sz w:val="18"/>
          <w:szCs w:val="18"/>
        </w:rPr>
      </w:pPr>
      <w:r w:rsidRPr="00366308">
        <w:rPr>
          <w:rFonts w:ascii="Times New Roman" w:hAnsi="Times New Roman"/>
          <w:i/>
          <w:sz w:val="18"/>
          <w:szCs w:val="18"/>
          <w:vertAlign w:val="superscript"/>
        </w:rPr>
        <w:t>1</w:t>
      </w:r>
      <w:r w:rsidRPr="00366308">
        <w:rPr>
          <w:rFonts w:ascii="Times New Roman" w:hAnsi="Times New Roman"/>
          <w:i/>
          <w:sz w:val="18"/>
          <w:szCs w:val="18"/>
        </w:rPr>
        <w:t xml:space="preserve">Division of Advanced Nuclear Engineering, </w:t>
      </w:r>
    </w:p>
    <w:p w:rsidR="00E104B4" w:rsidRPr="00366308" w:rsidRDefault="00E104B4" w:rsidP="00E104B4">
      <w:pPr>
        <w:shd w:val="clear" w:color="auto" w:fill="FFFFFF" w:themeFill="background1"/>
        <w:spacing w:after="0" w:line="240" w:lineRule="auto"/>
        <w:jc w:val="center"/>
        <w:rPr>
          <w:rFonts w:ascii="Times New Roman" w:hAnsi="Times New Roman"/>
          <w:i/>
          <w:sz w:val="18"/>
          <w:szCs w:val="18"/>
        </w:rPr>
      </w:pPr>
      <w:r w:rsidRPr="00366308">
        <w:rPr>
          <w:rFonts w:ascii="Times New Roman" w:hAnsi="Times New Roman"/>
          <w:i/>
          <w:sz w:val="18"/>
          <w:szCs w:val="18"/>
        </w:rPr>
        <w:t xml:space="preserve">Pohang University of Science and Technology, </w:t>
      </w:r>
      <w:r>
        <w:rPr>
          <w:rFonts w:ascii="Times New Roman" w:hAnsi="Times New Roman"/>
          <w:i/>
          <w:sz w:val="18"/>
          <w:szCs w:val="18"/>
        </w:rPr>
        <w:t xml:space="preserve">Pohang, </w:t>
      </w:r>
      <w:r w:rsidRPr="00366308">
        <w:rPr>
          <w:rFonts w:ascii="Times New Roman" w:hAnsi="Times New Roman"/>
          <w:i/>
          <w:sz w:val="18"/>
          <w:szCs w:val="18"/>
        </w:rPr>
        <w:t>Republic of Korea</w:t>
      </w:r>
    </w:p>
    <w:p w:rsidR="00E104B4" w:rsidRDefault="00E104B4" w:rsidP="00E104B4">
      <w:pPr>
        <w:shd w:val="clear" w:color="auto" w:fill="FFFFFF" w:themeFill="background1"/>
        <w:spacing w:after="0" w:line="240" w:lineRule="auto"/>
        <w:jc w:val="center"/>
        <w:rPr>
          <w:rFonts w:ascii="Times New Roman" w:hAnsi="Times New Roman"/>
          <w:i/>
          <w:sz w:val="18"/>
          <w:szCs w:val="18"/>
        </w:rPr>
      </w:pPr>
      <w:r w:rsidRPr="00366308">
        <w:rPr>
          <w:rFonts w:ascii="Times New Roman" w:hAnsi="Times New Roman"/>
          <w:i/>
          <w:sz w:val="18"/>
          <w:szCs w:val="18"/>
          <w:vertAlign w:val="superscript"/>
        </w:rPr>
        <w:t>2</w:t>
      </w:r>
      <w:r w:rsidRPr="00366308">
        <w:rPr>
          <w:rFonts w:ascii="Times New Roman" w:hAnsi="Times New Roman"/>
          <w:i/>
          <w:sz w:val="18"/>
          <w:szCs w:val="18"/>
        </w:rPr>
        <w:t xml:space="preserve">School of Applied Physics, Faculty of Science and Technology, </w:t>
      </w:r>
    </w:p>
    <w:p w:rsidR="00E104B4" w:rsidRPr="00366308" w:rsidRDefault="00E104B4" w:rsidP="00E104B4">
      <w:pPr>
        <w:shd w:val="clear" w:color="auto" w:fill="FFFFFF" w:themeFill="background1"/>
        <w:spacing w:after="0" w:line="240" w:lineRule="auto"/>
        <w:jc w:val="center"/>
        <w:rPr>
          <w:rFonts w:ascii="Times New Roman" w:hAnsi="Times New Roman"/>
          <w:i/>
          <w:sz w:val="18"/>
          <w:szCs w:val="18"/>
        </w:rPr>
      </w:pPr>
      <w:r w:rsidRPr="00366308">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366308">
        <w:rPr>
          <w:rFonts w:ascii="Times New Roman" w:hAnsi="Times New Roman"/>
          <w:i/>
          <w:sz w:val="18"/>
          <w:szCs w:val="18"/>
        </w:rPr>
        <w:t>Bangi, Selangor, Malaysia</w:t>
      </w:r>
    </w:p>
    <w:p w:rsidR="00E104B4" w:rsidRPr="00366308" w:rsidRDefault="00E104B4" w:rsidP="00E104B4">
      <w:pPr>
        <w:shd w:val="clear" w:color="auto" w:fill="FFFFFF" w:themeFill="background1"/>
        <w:spacing w:after="0" w:line="240" w:lineRule="auto"/>
        <w:jc w:val="center"/>
        <w:rPr>
          <w:rFonts w:ascii="Times New Roman" w:hAnsi="Times New Roman"/>
          <w:i/>
          <w:sz w:val="18"/>
          <w:szCs w:val="20"/>
        </w:rPr>
      </w:pPr>
    </w:p>
    <w:p w:rsidR="00E104B4" w:rsidRDefault="00E104B4" w:rsidP="00E104B4">
      <w:pPr>
        <w:shd w:val="clear" w:color="auto" w:fill="FFFFFF" w:themeFill="background1"/>
        <w:spacing w:after="0" w:line="240" w:lineRule="auto"/>
        <w:jc w:val="center"/>
        <w:rPr>
          <w:rFonts w:ascii="Times New Roman" w:hAnsi="Times New Roman"/>
          <w:i/>
          <w:sz w:val="18"/>
          <w:szCs w:val="20"/>
        </w:rPr>
      </w:pPr>
      <w:r w:rsidRPr="00E104B4">
        <w:rPr>
          <w:rFonts w:ascii="Times New Roman" w:hAnsi="Times New Roman"/>
          <w:i/>
          <w:sz w:val="18"/>
          <w:szCs w:val="20"/>
        </w:rPr>
        <w:t>*</w:t>
      </w:r>
      <w:r w:rsidR="00764BDC">
        <w:rPr>
          <w:rFonts w:ascii="Times New Roman" w:hAnsi="Times New Roman"/>
          <w:i/>
          <w:sz w:val="18"/>
          <w:szCs w:val="18"/>
        </w:rPr>
        <w:t xml:space="preserve">Corresponding Author :  </w:t>
      </w:r>
      <w:r>
        <w:rPr>
          <w:rFonts w:ascii="Times New Roman" w:hAnsi="Times New Roman"/>
          <w:i/>
          <w:sz w:val="18"/>
          <w:szCs w:val="18"/>
        </w:rPr>
        <w:t xml:space="preserve"> </w:t>
      </w:r>
      <w:r w:rsidR="00764BDC">
        <w:rPr>
          <w:rFonts w:ascii="Times New Roman" w:hAnsi="Times New Roman"/>
          <w:i/>
          <w:sz w:val="18"/>
          <w:szCs w:val="18"/>
        </w:rPr>
        <w:t>nurshahidah@postech.ac.kr</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104B4">
        <w:rPr>
          <w:rFonts w:ascii="Times New Roman" w:hAnsi="Times New Roman"/>
          <w:noProof/>
          <w:sz w:val="18"/>
          <w:szCs w:val="18"/>
          <w:lang w:bidi="ar-SA"/>
        </w:rPr>
        <w:t>28 September 2017</w:t>
      </w:r>
      <w:r>
        <w:rPr>
          <w:rFonts w:ascii="Times New Roman" w:hAnsi="Times New Roman"/>
          <w:noProof/>
          <w:sz w:val="18"/>
          <w:szCs w:val="18"/>
          <w:lang w:bidi="ar-SA"/>
        </w:rPr>
        <w:t xml:space="preserve">; Accepted: </w:t>
      </w:r>
      <w:r w:rsidR="00E104B4">
        <w:rPr>
          <w:rFonts w:ascii="Times New Roman" w:hAnsi="Times New Roman"/>
          <w:noProof/>
          <w:sz w:val="18"/>
          <w:szCs w:val="18"/>
          <w:lang w:bidi="ar-SA"/>
        </w:rPr>
        <w:t>11 August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104B4" w:rsidRPr="00366308" w:rsidRDefault="00E104B4" w:rsidP="00E104B4">
      <w:pPr>
        <w:spacing w:after="0" w:line="240" w:lineRule="auto"/>
        <w:jc w:val="both"/>
        <w:rPr>
          <w:rFonts w:ascii="Times New Roman" w:hAnsi="Times New Roman"/>
          <w:sz w:val="18"/>
          <w:szCs w:val="18"/>
          <w:lang w:val="en-GB" w:eastAsia="ms-MY"/>
        </w:rPr>
      </w:pPr>
      <w:r w:rsidRPr="00366308">
        <w:rPr>
          <w:rFonts w:ascii="Times New Roman" w:eastAsia="Calibri" w:hAnsi="Times New Roman"/>
          <w:sz w:val="18"/>
          <w:szCs w:val="18"/>
          <w:lang w:val="en-GB"/>
        </w:rPr>
        <w:t xml:space="preserve">The aim of this case study was to estimate the bioaccessibility of </w:t>
      </w:r>
      <w:r w:rsidRPr="00366308">
        <w:rPr>
          <w:rFonts w:ascii="Times New Roman" w:eastAsia="Calibri" w:hAnsi="Times New Roman"/>
          <w:sz w:val="18"/>
          <w:szCs w:val="18"/>
          <w:vertAlign w:val="superscript"/>
          <w:lang w:val="en-GB"/>
        </w:rPr>
        <w:t>232</w:t>
      </w:r>
      <w:r w:rsidRPr="00366308">
        <w:rPr>
          <w:rFonts w:ascii="Times New Roman" w:eastAsia="Calibri" w:hAnsi="Times New Roman"/>
          <w:sz w:val="18"/>
          <w:szCs w:val="18"/>
          <w:lang w:val="en-GB"/>
        </w:rPr>
        <w:t xml:space="preserve">Th and </w:t>
      </w:r>
      <w:r w:rsidRPr="00366308">
        <w:rPr>
          <w:rFonts w:ascii="Times New Roman" w:eastAsia="Calibri" w:hAnsi="Times New Roman"/>
          <w:sz w:val="18"/>
          <w:szCs w:val="18"/>
          <w:vertAlign w:val="superscript"/>
          <w:lang w:val="en-GB"/>
        </w:rPr>
        <w:t>238</w:t>
      </w:r>
      <w:r w:rsidRPr="00366308">
        <w:rPr>
          <w:rFonts w:ascii="Times New Roman" w:eastAsia="Calibri" w:hAnsi="Times New Roman"/>
          <w:sz w:val="18"/>
          <w:szCs w:val="18"/>
          <w:lang w:val="en-GB"/>
        </w:rPr>
        <w:t>U</w:t>
      </w:r>
      <w:r w:rsidRPr="00366308">
        <w:rPr>
          <w:rFonts w:ascii="Times New Roman" w:eastAsia="Calibri" w:hAnsi="Times New Roman"/>
          <w:sz w:val="18"/>
          <w:szCs w:val="18"/>
          <w:vertAlign w:val="superscript"/>
          <w:lang w:val="en-GB"/>
        </w:rPr>
        <w:t xml:space="preserve"> </w:t>
      </w:r>
      <w:r w:rsidRPr="00366308">
        <w:rPr>
          <w:rFonts w:ascii="Times New Roman" w:eastAsia="Calibri" w:hAnsi="Times New Roman"/>
          <w:sz w:val="18"/>
          <w:szCs w:val="18"/>
          <w:lang w:val="en-GB"/>
        </w:rPr>
        <w:t>from lanthanide concentrate (LC) and water leach purification (WLP) residue of Lynas</w:t>
      </w:r>
      <w:r>
        <w:rPr>
          <w:rFonts w:ascii="Times New Roman" w:eastAsia="Calibri" w:hAnsi="Times New Roman"/>
          <w:sz w:val="18"/>
          <w:szCs w:val="18"/>
          <w:lang w:val="en-GB"/>
        </w:rPr>
        <w:t xml:space="preserve"> </w:t>
      </w:r>
      <w:r w:rsidRPr="00366308">
        <w:rPr>
          <w:rFonts w:ascii="Times New Roman" w:eastAsia="Calibri" w:hAnsi="Times New Roman"/>
          <w:sz w:val="18"/>
          <w:szCs w:val="18"/>
          <w:lang w:val="en-GB"/>
        </w:rPr>
        <w:t xml:space="preserve">Advanced Materials Plant by analysing the solubility of these radionuclides in synthetic gastrointestinal fluids. A DIN </w:t>
      </w:r>
      <w:r w:rsidRPr="00366308">
        <w:rPr>
          <w:rFonts w:ascii="Times New Roman" w:eastAsia="Calibri" w:hAnsi="Times New Roman"/>
          <w:i/>
          <w:sz w:val="18"/>
          <w:szCs w:val="18"/>
          <w:lang w:val="en-GB"/>
        </w:rPr>
        <w:t>in vitro</w:t>
      </w:r>
      <w:r w:rsidRPr="00366308">
        <w:rPr>
          <w:rFonts w:ascii="Times New Roman" w:eastAsia="Calibri" w:hAnsi="Times New Roman"/>
          <w:sz w:val="18"/>
          <w:szCs w:val="18"/>
          <w:lang w:val="en-GB"/>
        </w:rPr>
        <w:t xml:space="preserve"> bioaccessibility method was applied to determine the targeted radionuclides from the LC and WLP residue, which were further evaluated through inductively coupled plasma mass spectrometry. </w:t>
      </w:r>
      <w:r w:rsidRPr="00366308">
        <w:rPr>
          <w:rFonts w:ascii="Times New Roman" w:eastAsia="Calibri" w:hAnsi="Times New Roman"/>
          <w:sz w:val="18"/>
          <w:szCs w:val="18"/>
          <w:vertAlign w:val="superscript"/>
          <w:lang w:val="en-GB"/>
        </w:rPr>
        <w:t>232</w:t>
      </w:r>
      <w:r w:rsidRPr="00366308">
        <w:rPr>
          <w:rFonts w:ascii="Times New Roman" w:eastAsia="Calibri" w:hAnsi="Times New Roman"/>
          <w:sz w:val="18"/>
          <w:szCs w:val="18"/>
          <w:lang w:val="en-GB"/>
        </w:rPr>
        <w:t xml:space="preserve">Th and </w:t>
      </w:r>
      <w:r w:rsidRPr="00366308">
        <w:rPr>
          <w:rFonts w:ascii="Times New Roman" w:eastAsia="Calibri" w:hAnsi="Times New Roman"/>
          <w:sz w:val="18"/>
          <w:szCs w:val="18"/>
          <w:vertAlign w:val="superscript"/>
          <w:lang w:val="en-GB"/>
        </w:rPr>
        <w:t>238</w:t>
      </w:r>
      <w:r w:rsidRPr="00366308">
        <w:rPr>
          <w:rFonts w:ascii="Times New Roman" w:eastAsia="Calibri" w:hAnsi="Times New Roman"/>
          <w:sz w:val="18"/>
          <w:szCs w:val="18"/>
          <w:lang w:val="en-GB"/>
        </w:rPr>
        <w:t>U concentrations in the gastrointestinal fluids portrayed the maximum amount of contaminants that were potentially available for intestinal absorption and transfer into the blood.</w:t>
      </w:r>
      <w:r w:rsidRPr="00366308">
        <w:rPr>
          <w:rFonts w:ascii="Times New Roman" w:hAnsi="Times New Roman"/>
          <w:sz w:val="18"/>
          <w:szCs w:val="18"/>
          <w:lang w:val="en-GB" w:eastAsia="ms-MY"/>
        </w:rPr>
        <w:t xml:space="preserve"> The maximum concentrations of </w:t>
      </w:r>
      <w:r w:rsidRPr="00366308">
        <w:rPr>
          <w:rFonts w:ascii="Times New Roman" w:hAnsi="Times New Roman"/>
          <w:sz w:val="18"/>
          <w:szCs w:val="18"/>
          <w:vertAlign w:val="superscript"/>
          <w:lang w:val="en-GB" w:eastAsia="ms-MY"/>
        </w:rPr>
        <w:t>232</w:t>
      </w:r>
      <w:r w:rsidRPr="00366308">
        <w:rPr>
          <w:rFonts w:ascii="Times New Roman" w:hAnsi="Times New Roman"/>
          <w:sz w:val="18"/>
          <w:szCs w:val="18"/>
          <w:lang w:val="en-GB" w:eastAsia="ms-MY"/>
        </w:rPr>
        <w:t>Th in the LC and WLP residue were 0.1410 ± 0.0331 mg kg</w:t>
      </w:r>
      <w:r w:rsidRPr="00366308">
        <w:rPr>
          <w:rFonts w:ascii="Times New Roman" w:hAnsi="Times New Roman"/>
          <w:sz w:val="18"/>
          <w:szCs w:val="18"/>
          <w:vertAlign w:val="superscript"/>
          <w:lang w:val="en-GB" w:eastAsia="ms-MY"/>
        </w:rPr>
        <w:t>-1</w:t>
      </w:r>
      <w:r w:rsidRPr="00366308">
        <w:rPr>
          <w:rFonts w:ascii="Times New Roman" w:hAnsi="Times New Roman"/>
          <w:sz w:val="18"/>
          <w:szCs w:val="18"/>
          <w:lang w:val="en-GB" w:eastAsia="ms-MY"/>
        </w:rPr>
        <w:t xml:space="preserve"> and 0.1621 ± 0.1190 mg kg</w:t>
      </w:r>
      <w:r w:rsidRPr="00366308">
        <w:rPr>
          <w:rFonts w:ascii="Times New Roman" w:hAnsi="Times New Roman"/>
          <w:sz w:val="18"/>
          <w:szCs w:val="18"/>
          <w:vertAlign w:val="superscript"/>
          <w:lang w:val="en-GB" w:eastAsia="ms-MY"/>
        </w:rPr>
        <w:t>-1</w:t>
      </w:r>
      <w:r w:rsidRPr="00366308">
        <w:rPr>
          <w:rFonts w:ascii="Times New Roman" w:hAnsi="Times New Roman"/>
          <w:sz w:val="18"/>
          <w:szCs w:val="18"/>
          <w:lang w:val="en-GB" w:eastAsia="ms-MY"/>
        </w:rPr>
        <w:t xml:space="preserve">, respectively. As for </w:t>
      </w:r>
      <w:r w:rsidRPr="00366308">
        <w:rPr>
          <w:rFonts w:ascii="Times New Roman" w:hAnsi="Times New Roman"/>
          <w:sz w:val="18"/>
          <w:szCs w:val="18"/>
          <w:vertAlign w:val="superscript"/>
          <w:lang w:val="en-GB" w:eastAsia="ms-MY"/>
        </w:rPr>
        <w:t>238</w:t>
      </w:r>
      <w:r w:rsidRPr="00366308">
        <w:rPr>
          <w:rFonts w:ascii="Times New Roman" w:hAnsi="Times New Roman"/>
          <w:sz w:val="18"/>
          <w:szCs w:val="18"/>
          <w:lang w:val="en-GB" w:eastAsia="ms-MY"/>
        </w:rPr>
        <w:t>U in the LC and WLP residue during the intestinal phase for high-risk cases, the maximum concentrations were 0.0558 ± 0.0164 mg kg</w:t>
      </w:r>
      <w:r w:rsidRPr="00366308">
        <w:rPr>
          <w:rFonts w:ascii="Times New Roman" w:hAnsi="Times New Roman"/>
          <w:sz w:val="18"/>
          <w:szCs w:val="18"/>
          <w:vertAlign w:val="superscript"/>
          <w:lang w:val="en-GB" w:eastAsia="ms-MY"/>
        </w:rPr>
        <w:t>-1</w:t>
      </w:r>
      <w:r w:rsidRPr="00366308">
        <w:rPr>
          <w:rFonts w:ascii="Times New Roman" w:hAnsi="Times New Roman"/>
          <w:sz w:val="18"/>
          <w:szCs w:val="18"/>
          <w:lang w:val="en-GB" w:eastAsia="ms-MY"/>
        </w:rPr>
        <w:t xml:space="preserve"> and 0.0480 ± 0.0213 mg kg</w:t>
      </w:r>
      <w:r w:rsidRPr="00366308">
        <w:rPr>
          <w:rFonts w:ascii="Times New Roman" w:hAnsi="Times New Roman"/>
          <w:sz w:val="18"/>
          <w:szCs w:val="18"/>
          <w:vertAlign w:val="superscript"/>
          <w:lang w:val="en-GB" w:eastAsia="ms-MY"/>
        </w:rPr>
        <w:t>-1</w:t>
      </w:r>
      <w:r w:rsidRPr="00366308">
        <w:rPr>
          <w:rFonts w:ascii="Times New Roman" w:hAnsi="Times New Roman"/>
          <w:sz w:val="18"/>
          <w:szCs w:val="18"/>
          <w:lang w:val="en-GB" w:eastAsia="ms-MY"/>
        </w:rPr>
        <w:t>, respectively. The maximum bioaccessibility of</w:t>
      </w:r>
      <w:r w:rsidRPr="00366308">
        <w:rPr>
          <w:rFonts w:ascii="Times New Roman" w:eastAsia="Calibri" w:hAnsi="Times New Roman"/>
          <w:sz w:val="18"/>
          <w:szCs w:val="18"/>
          <w:lang w:val="en-GB"/>
        </w:rPr>
        <w:t xml:space="preserve"> </w:t>
      </w:r>
      <w:r w:rsidRPr="00366308">
        <w:rPr>
          <w:rFonts w:ascii="Times New Roman" w:eastAsia="Calibri" w:hAnsi="Times New Roman"/>
          <w:sz w:val="18"/>
          <w:szCs w:val="18"/>
          <w:vertAlign w:val="superscript"/>
          <w:lang w:val="en-GB"/>
        </w:rPr>
        <w:t>232</w:t>
      </w:r>
      <w:r w:rsidRPr="00366308">
        <w:rPr>
          <w:rFonts w:ascii="Times New Roman" w:eastAsia="Calibri" w:hAnsi="Times New Roman"/>
          <w:sz w:val="18"/>
          <w:szCs w:val="18"/>
          <w:lang w:val="en-GB"/>
        </w:rPr>
        <w:t xml:space="preserve">Th and </w:t>
      </w:r>
      <w:r w:rsidRPr="00366308">
        <w:rPr>
          <w:rFonts w:ascii="Times New Roman" w:eastAsia="Calibri" w:hAnsi="Times New Roman"/>
          <w:sz w:val="18"/>
          <w:szCs w:val="18"/>
          <w:vertAlign w:val="superscript"/>
          <w:lang w:val="en-GB"/>
        </w:rPr>
        <w:t>238</w:t>
      </w:r>
      <w:r w:rsidRPr="00366308">
        <w:rPr>
          <w:rFonts w:ascii="Times New Roman" w:eastAsia="Calibri" w:hAnsi="Times New Roman"/>
          <w:sz w:val="18"/>
          <w:szCs w:val="18"/>
          <w:lang w:val="en-GB"/>
        </w:rPr>
        <w:t xml:space="preserve">U was 0.14 % and 0.93 %, respectively. Based on the assessment, the committed equivalent dose and committed effective dose of </w:t>
      </w:r>
      <w:r w:rsidRPr="00366308">
        <w:rPr>
          <w:rFonts w:ascii="Times New Roman" w:eastAsia="Calibri" w:hAnsi="Times New Roman"/>
          <w:sz w:val="18"/>
          <w:szCs w:val="18"/>
          <w:vertAlign w:val="superscript"/>
          <w:lang w:val="en-GB"/>
        </w:rPr>
        <w:t>232</w:t>
      </w:r>
      <w:r w:rsidRPr="00366308">
        <w:rPr>
          <w:rFonts w:ascii="Times New Roman" w:eastAsia="Calibri" w:hAnsi="Times New Roman"/>
          <w:sz w:val="18"/>
          <w:szCs w:val="18"/>
          <w:lang w:val="en-GB"/>
        </w:rPr>
        <w:t>Th</w:t>
      </w:r>
      <w:r w:rsidRPr="00366308">
        <w:rPr>
          <w:rFonts w:ascii="Times New Roman" w:eastAsia="Calibri" w:hAnsi="Times New Roman"/>
          <w:sz w:val="18"/>
          <w:szCs w:val="18"/>
          <w:vertAlign w:val="superscript"/>
          <w:lang w:val="en-GB"/>
        </w:rPr>
        <w:t xml:space="preserve"> </w:t>
      </w:r>
      <w:r w:rsidRPr="00366308">
        <w:rPr>
          <w:rFonts w:ascii="Times New Roman" w:eastAsia="Calibri" w:hAnsi="Times New Roman"/>
          <w:sz w:val="18"/>
          <w:szCs w:val="18"/>
          <w:lang w:val="en-GB"/>
        </w:rPr>
        <w:t xml:space="preserve">and </w:t>
      </w:r>
      <w:r w:rsidRPr="00366308">
        <w:rPr>
          <w:rFonts w:ascii="Times New Roman" w:eastAsia="Calibri" w:hAnsi="Times New Roman"/>
          <w:sz w:val="18"/>
          <w:szCs w:val="18"/>
          <w:vertAlign w:val="superscript"/>
          <w:lang w:val="en-GB"/>
        </w:rPr>
        <w:t>238</w:t>
      </w:r>
      <w:r w:rsidRPr="00366308">
        <w:rPr>
          <w:rFonts w:ascii="Times New Roman" w:eastAsia="Calibri" w:hAnsi="Times New Roman"/>
          <w:sz w:val="18"/>
          <w:szCs w:val="18"/>
          <w:lang w:val="en-GB"/>
        </w:rPr>
        <w:t>U</w:t>
      </w:r>
      <w:r w:rsidRPr="00366308">
        <w:rPr>
          <w:rFonts w:ascii="Times New Roman" w:hAnsi="Times New Roman"/>
          <w:sz w:val="18"/>
          <w:szCs w:val="18"/>
          <w:lang w:val="en-GB"/>
        </w:rPr>
        <w:t xml:space="preserve"> </w:t>
      </w:r>
      <w:r w:rsidRPr="00366308">
        <w:rPr>
          <w:rFonts w:ascii="Times New Roman" w:eastAsia="Calibri" w:hAnsi="Times New Roman"/>
          <w:sz w:val="18"/>
          <w:szCs w:val="18"/>
          <w:lang w:val="en-GB"/>
        </w:rPr>
        <w:t xml:space="preserve">were below the </w:t>
      </w:r>
      <w:bookmarkStart w:id="1" w:name="_Hlk521085477"/>
      <w:r w:rsidRPr="00366308">
        <w:rPr>
          <w:rFonts w:ascii="Times New Roman" w:eastAsia="Calibri" w:hAnsi="Times New Roman"/>
          <w:sz w:val="18"/>
          <w:szCs w:val="20"/>
          <w:lang w:val="en-GB"/>
        </w:rPr>
        <w:t>United Nations Scientific Committee on the Effects of Atomic Radiation</w:t>
      </w:r>
      <w:r w:rsidRPr="00366308">
        <w:rPr>
          <w:rFonts w:ascii="Times New Roman" w:eastAsia="Calibri" w:hAnsi="Times New Roman"/>
          <w:sz w:val="18"/>
          <w:szCs w:val="18"/>
          <w:lang w:val="en-GB"/>
        </w:rPr>
        <w:t xml:space="preserve"> </w:t>
      </w:r>
      <w:bookmarkEnd w:id="1"/>
      <w:r w:rsidRPr="00366308">
        <w:rPr>
          <w:rFonts w:ascii="Times New Roman" w:eastAsia="Calibri" w:hAnsi="Times New Roman"/>
          <w:sz w:val="18"/>
          <w:szCs w:val="18"/>
          <w:lang w:val="en-GB"/>
        </w:rPr>
        <w:t>reference values</w:t>
      </w:r>
      <w:r w:rsidRPr="00366308">
        <w:rPr>
          <w:rFonts w:ascii="Times New Roman" w:hAnsi="Times New Roman"/>
          <w:sz w:val="18"/>
          <w:szCs w:val="18"/>
          <w:lang w:val="en-GB" w:eastAsia="ms-MY"/>
        </w:rPr>
        <w:t xml:space="preserve">. </w:t>
      </w:r>
      <w:r w:rsidRPr="00366308">
        <w:rPr>
          <w:rFonts w:ascii="Times New Roman" w:eastAsia="Calibri" w:hAnsi="Times New Roman"/>
          <w:sz w:val="18"/>
          <w:szCs w:val="18"/>
          <w:lang w:val="en-GB"/>
        </w:rPr>
        <w:t xml:space="preserve">Overall, the DIN </w:t>
      </w:r>
      <w:r w:rsidRPr="00366308">
        <w:rPr>
          <w:rFonts w:ascii="Times New Roman" w:eastAsia="Calibri" w:hAnsi="Times New Roman"/>
          <w:i/>
          <w:sz w:val="18"/>
          <w:szCs w:val="18"/>
          <w:lang w:val="en-GB"/>
        </w:rPr>
        <w:t>in vitro</w:t>
      </w:r>
      <w:r w:rsidRPr="00366308">
        <w:rPr>
          <w:rFonts w:ascii="Times New Roman" w:eastAsia="Calibri" w:hAnsi="Times New Roman"/>
          <w:sz w:val="18"/>
          <w:szCs w:val="18"/>
          <w:lang w:val="en-GB"/>
        </w:rPr>
        <w:t xml:space="preserve"> bioaccessibility method is feasible to estimate the solubility of </w:t>
      </w:r>
      <w:r w:rsidRPr="00366308">
        <w:rPr>
          <w:rFonts w:ascii="Times New Roman" w:eastAsia="Calibri" w:hAnsi="Times New Roman"/>
          <w:sz w:val="18"/>
          <w:szCs w:val="18"/>
          <w:vertAlign w:val="superscript"/>
          <w:lang w:val="en-GB"/>
        </w:rPr>
        <w:t>232</w:t>
      </w:r>
      <w:r w:rsidRPr="00366308">
        <w:rPr>
          <w:rFonts w:ascii="Times New Roman" w:eastAsia="Calibri" w:hAnsi="Times New Roman"/>
          <w:sz w:val="18"/>
          <w:szCs w:val="18"/>
          <w:lang w:val="en-GB"/>
        </w:rPr>
        <w:t xml:space="preserve">Th and </w:t>
      </w:r>
      <w:r w:rsidRPr="00366308">
        <w:rPr>
          <w:rFonts w:ascii="Times New Roman" w:eastAsia="Calibri" w:hAnsi="Times New Roman"/>
          <w:sz w:val="18"/>
          <w:szCs w:val="18"/>
          <w:vertAlign w:val="superscript"/>
          <w:lang w:val="en-GB"/>
        </w:rPr>
        <w:t>238</w:t>
      </w:r>
      <w:r w:rsidRPr="00366308">
        <w:rPr>
          <w:rFonts w:ascii="Times New Roman" w:eastAsia="Calibri" w:hAnsi="Times New Roman"/>
          <w:sz w:val="18"/>
          <w:szCs w:val="18"/>
          <w:lang w:val="en-GB"/>
        </w:rPr>
        <w:t>U from LC and WLP residue, and is also useful for monitoring and risk assessment purposes for environmental, health, and contaminated samples</w:t>
      </w:r>
      <w:r w:rsidRPr="00366308">
        <w:rPr>
          <w:rFonts w:ascii="Times New Roman" w:hAnsi="Times New Roman"/>
          <w:sz w:val="18"/>
          <w:szCs w:val="18"/>
          <w:lang w:val="en-GB" w:eastAsia="ms-MY"/>
        </w:rPr>
        <w:t>.</w:t>
      </w:r>
    </w:p>
    <w:p w:rsidR="00E104B4" w:rsidRPr="00366308" w:rsidRDefault="00E104B4" w:rsidP="00E104B4">
      <w:pPr>
        <w:spacing w:after="0" w:line="240" w:lineRule="auto"/>
        <w:jc w:val="both"/>
        <w:rPr>
          <w:rFonts w:ascii="Times New Roman" w:hAnsi="Times New Roman"/>
          <w:sz w:val="20"/>
          <w:szCs w:val="20"/>
        </w:rPr>
      </w:pPr>
    </w:p>
    <w:p w:rsidR="00E104B4" w:rsidRPr="00366308" w:rsidRDefault="00E104B4" w:rsidP="00E104B4">
      <w:pPr>
        <w:spacing w:after="0" w:line="240" w:lineRule="auto"/>
        <w:jc w:val="both"/>
        <w:rPr>
          <w:rFonts w:ascii="Times New Roman" w:hAnsi="Times New Roman"/>
          <w:sz w:val="18"/>
          <w:szCs w:val="18"/>
        </w:rPr>
      </w:pPr>
      <w:r w:rsidRPr="00366308">
        <w:rPr>
          <w:rFonts w:ascii="Times New Roman" w:hAnsi="Times New Roman"/>
          <w:b/>
          <w:sz w:val="18"/>
          <w:szCs w:val="18"/>
        </w:rPr>
        <w:t>Keyword</w:t>
      </w:r>
      <w:r w:rsidRPr="00366308">
        <w:rPr>
          <w:rFonts w:ascii="Times New Roman" w:hAnsi="Times New Roman"/>
          <w:sz w:val="18"/>
          <w:szCs w:val="18"/>
        </w:rPr>
        <w:t xml:space="preserve">s: </w:t>
      </w:r>
      <w:r>
        <w:rPr>
          <w:rFonts w:ascii="Times New Roman" w:hAnsi="Times New Roman"/>
          <w:sz w:val="18"/>
          <w:szCs w:val="18"/>
        </w:rPr>
        <w:t xml:space="preserve"> </w:t>
      </w:r>
      <w:r w:rsidRPr="00366308">
        <w:rPr>
          <w:rFonts w:ascii="Times New Roman" w:hAnsi="Times New Roman"/>
          <w:sz w:val="18"/>
          <w:szCs w:val="18"/>
        </w:rPr>
        <w:t>bioaccessibility, thorium, uranium, lanthanide concentrate, water leach purification</w:t>
      </w:r>
    </w:p>
    <w:p w:rsidR="00E104B4" w:rsidRPr="00366308" w:rsidRDefault="00E104B4" w:rsidP="00E104B4">
      <w:pPr>
        <w:spacing w:after="0" w:line="240" w:lineRule="auto"/>
        <w:jc w:val="center"/>
        <w:rPr>
          <w:rFonts w:ascii="Times New Roman" w:hAnsi="Times New Roman"/>
          <w:sz w:val="20"/>
          <w:szCs w:val="24"/>
        </w:rPr>
      </w:pPr>
    </w:p>
    <w:p w:rsidR="00E104B4" w:rsidRPr="00366308" w:rsidRDefault="00E104B4" w:rsidP="00E104B4">
      <w:pPr>
        <w:spacing w:after="0" w:line="240" w:lineRule="auto"/>
        <w:jc w:val="center"/>
        <w:rPr>
          <w:rFonts w:ascii="Times New Roman" w:hAnsi="Times New Roman"/>
          <w:b/>
          <w:sz w:val="18"/>
          <w:szCs w:val="18"/>
        </w:rPr>
      </w:pPr>
      <w:r w:rsidRPr="00366308">
        <w:rPr>
          <w:rFonts w:ascii="Times New Roman" w:hAnsi="Times New Roman"/>
          <w:b/>
          <w:sz w:val="18"/>
          <w:szCs w:val="18"/>
        </w:rPr>
        <w:t>Abstrak</w:t>
      </w:r>
    </w:p>
    <w:p w:rsidR="00E104B4" w:rsidRPr="00366308" w:rsidRDefault="00E104B4" w:rsidP="00E104B4">
      <w:pPr>
        <w:autoSpaceDE w:val="0"/>
        <w:autoSpaceDN w:val="0"/>
        <w:adjustRightInd w:val="0"/>
        <w:spacing w:after="0" w:line="240" w:lineRule="auto"/>
        <w:jc w:val="both"/>
        <w:rPr>
          <w:rFonts w:ascii="Times New Roman" w:eastAsia="Calibri" w:hAnsi="Times New Roman"/>
          <w:sz w:val="18"/>
          <w:szCs w:val="18"/>
        </w:rPr>
      </w:pPr>
      <w:r w:rsidRPr="00366308">
        <w:rPr>
          <w:rFonts w:ascii="Times New Roman" w:eastAsia="Calibri" w:hAnsi="Times New Roman"/>
          <w:sz w:val="18"/>
          <w:szCs w:val="18"/>
        </w:rPr>
        <w:t xml:space="preserve">Tujuan kajian ini ialah mengkaji bio-kebolehcapaian </w:t>
      </w:r>
      <w:r w:rsidRPr="00366308">
        <w:rPr>
          <w:rFonts w:ascii="Times New Roman" w:eastAsia="Calibri" w:hAnsi="Times New Roman"/>
          <w:sz w:val="18"/>
          <w:szCs w:val="18"/>
          <w:vertAlign w:val="superscript"/>
        </w:rPr>
        <w:t>232</w:t>
      </w:r>
      <w:r w:rsidRPr="00366308">
        <w:rPr>
          <w:rFonts w:ascii="Times New Roman" w:eastAsia="Calibri" w:hAnsi="Times New Roman"/>
          <w:sz w:val="18"/>
          <w:szCs w:val="18"/>
        </w:rPr>
        <w:t xml:space="preserve">Th dan </w:t>
      </w:r>
      <w:r w:rsidRPr="00366308">
        <w:rPr>
          <w:rFonts w:ascii="Times New Roman" w:eastAsia="Calibri" w:hAnsi="Times New Roman"/>
          <w:sz w:val="18"/>
          <w:szCs w:val="18"/>
          <w:vertAlign w:val="superscript"/>
        </w:rPr>
        <w:t>238</w:t>
      </w:r>
      <w:r w:rsidRPr="00366308">
        <w:rPr>
          <w:rFonts w:ascii="Times New Roman" w:eastAsia="Calibri" w:hAnsi="Times New Roman"/>
          <w:sz w:val="18"/>
          <w:szCs w:val="18"/>
        </w:rPr>
        <w:t>U dari sampel lantanida pekat (LC) dan residu pemurnian larut resap air (WLP) yang terdapat di</w:t>
      </w:r>
      <w:r>
        <w:rPr>
          <w:rFonts w:ascii="Times New Roman" w:eastAsia="Calibri" w:hAnsi="Times New Roman"/>
          <w:sz w:val="18"/>
          <w:szCs w:val="18"/>
        </w:rPr>
        <w:t xml:space="preserve"> loji bahan termaju Lynas</w:t>
      </w:r>
      <w:r w:rsidRPr="00366308">
        <w:rPr>
          <w:rFonts w:ascii="Times New Roman" w:eastAsia="Calibri" w:hAnsi="Times New Roman"/>
          <w:sz w:val="18"/>
          <w:szCs w:val="18"/>
        </w:rPr>
        <w:t xml:space="preserve">, dengan kaedah penentuan melalui kebolehlarutan radionuklid tersebut di dalam cecair sintetik gastrousus. </w:t>
      </w:r>
      <w:r w:rsidRPr="00366308">
        <w:rPr>
          <w:rFonts w:ascii="Times New Roman" w:hAnsi="Times New Roman"/>
          <w:bCs/>
          <w:noProof/>
          <w:sz w:val="18"/>
          <w:szCs w:val="18"/>
          <w:lang w:eastAsia="zh-CN"/>
        </w:rPr>
        <w:t xml:space="preserve">Sampel LC dan residu WLP telah menjalani teknik bio-kebolehcapaian </w:t>
      </w:r>
      <w:r w:rsidRPr="00366308">
        <w:rPr>
          <w:rFonts w:ascii="Times New Roman" w:eastAsia="Calibri" w:hAnsi="Times New Roman"/>
          <w:i/>
          <w:sz w:val="18"/>
          <w:szCs w:val="18"/>
        </w:rPr>
        <w:t>in vitro</w:t>
      </w:r>
      <w:r w:rsidRPr="00366308">
        <w:rPr>
          <w:rFonts w:ascii="Times New Roman" w:eastAsia="Calibri" w:hAnsi="Times New Roman"/>
          <w:sz w:val="18"/>
          <w:szCs w:val="18"/>
        </w:rPr>
        <w:t xml:space="preserve"> DIN</w:t>
      </w:r>
      <w:r w:rsidRPr="00366308">
        <w:rPr>
          <w:rFonts w:ascii="Times New Roman" w:hAnsi="Times New Roman"/>
          <w:bCs/>
          <w:noProof/>
          <w:sz w:val="18"/>
          <w:szCs w:val="18"/>
          <w:lang w:eastAsia="zh-CN"/>
        </w:rPr>
        <w:t xml:space="preserve">, dan seterusnya sampel </w:t>
      </w:r>
      <w:r w:rsidRPr="00366308">
        <w:rPr>
          <w:rFonts w:ascii="Times New Roman" w:eastAsia="Calibri" w:hAnsi="Times New Roman"/>
          <w:sz w:val="18"/>
          <w:szCs w:val="18"/>
        </w:rPr>
        <w:t xml:space="preserve">dianalisis menggunakan Spektrometer Jisim-Gandingan Plasma Teraruh. Kepekatan </w:t>
      </w:r>
      <w:r w:rsidRPr="00366308">
        <w:rPr>
          <w:rFonts w:ascii="Times New Roman" w:eastAsia="Calibri" w:hAnsi="Times New Roman"/>
          <w:sz w:val="18"/>
          <w:szCs w:val="18"/>
          <w:vertAlign w:val="superscript"/>
        </w:rPr>
        <w:t>232</w:t>
      </w:r>
      <w:r w:rsidRPr="00366308">
        <w:rPr>
          <w:rFonts w:ascii="Times New Roman" w:eastAsia="Calibri" w:hAnsi="Times New Roman"/>
          <w:sz w:val="18"/>
          <w:szCs w:val="18"/>
        </w:rPr>
        <w:t>Th</w:t>
      </w:r>
      <w:r w:rsidRPr="00366308">
        <w:rPr>
          <w:rFonts w:ascii="Times New Roman" w:eastAsia="Calibri" w:hAnsi="Times New Roman"/>
          <w:sz w:val="18"/>
          <w:szCs w:val="18"/>
          <w:vertAlign w:val="superscript"/>
        </w:rPr>
        <w:t xml:space="preserve"> </w:t>
      </w:r>
      <w:r w:rsidRPr="00366308">
        <w:rPr>
          <w:rFonts w:ascii="Times New Roman" w:eastAsia="Calibri" w:hAnsi="Times New Roman"/>
          <w:sz w:val="18"/>
          <w:szCs w:val="18"/>
        </w:rPr>
        <w:t xml:space="preserve">dan </w:t>
      </w:r>
      <w:r w:rsidRPr="00366308">
        <w:rPr>
          <w:rFonts w:ascii="Times New Roman" w:eastAsia="Calibri" w:hAnsi="Times New Roman"/>
          <w:sz w:val="18"/>
          <w:szCs w:val="18"/>
          <w:vertAlign w:val="superscript"/>
        </w:rPr>
        <w:t>238</w:t>
      </w:r>
      <w:r w:rsidRPr="00366308">
        <w:rPr>
          <w:rFonts w:ascii="Times New Roman" w:eastAsia="Calibri" w:hAnsi="Times New Roman"/>
          <w:sz w:val="18"/>
          <w:szCs w:val="18"/>
        </w:rPr>
        <w:t xml:space="preserve">U dalam cecair gastrousus mewakili jumlah maksimum </w:t>
      </w:r>
      <w:r>
        <w:rPr>
          <w:rFonts w:ascii="Times New Roman" w:eastAsia="Calibri" w:hAnsi="Times New Roman"/>
          <w:sz w:val="18"/>
          <w:szCs w:val="18"/>
        </w:rPr>
        <w:t>pencemaran</w:t>
      </w:r>
      <w:r w:rsidRPr="00366308">
        <w:rPr>
          <w:rFonts w:ascii="Times New Roman" w:eastAsia="Calibri" w:hAnsi="Times New Roman"/>
          <w:sz w:val="18"/>
          <w:szCs w:val="18"/>
        </w:rPr>
        <w:t xml:space="preserve"> radionuklid yang berpotensi diserap ke dalam badan melalui usus dan berpindah ke dalam darah. Kepekatan maksimum </w:t>
      </w:r>
      <w:r w:rsidRPr="00366308">
        <w:rPr>
          <w:rFonts w:ascii="Times New Roman" w:hAnsi="Times New Roman"/>
          <w:sz w:val="18"/>
          <w:szCs w:val="18"/>
          <w:vertAlign w:val="superscript"/>
          <w:lang w:eastAsia="ms-MY"/>
        </w:rPr>
        <w:t>232</w:t>
      </w:r>
      <w:r w:rsidRPr="00366308">
        <w:rPr>
          <w:rFonts w:ascii="Times New Roman" w:hAnsi="Times New Roman"/>
          <w:sz w:val="18"/>
          <w:szCs w:val="18"/>
          <w:lang w:eastAsia="ms-MY"/>
        </w:rPr>
        <w:t>Th dalam LC dan residu WLP ialah 0.1410 ± 0.0331 mg kg</w:t>
      </w:r>
      <w:r w:rsidRPr="00366308">
        <w:rPr>
          <w:rFonts w:ascii="Times New Roman" w:hAnsi="Times New Roman"/>
          <w:sz w:val="18"/>
          <w:szCs w:val="18"/>
          <w:vertAlign w:val="superscript"/>
          <w:lang w:eastAsia="ms-MY"/>
        </w:rPr>
        <w:t>-1</w:t>
      </w:r>
      <w:r w:rsidRPr="00366308">
        <w:rPr>
          <w:rFonts w:ascii="Times New Roman" w:hAnsi="Times New Roman"/>
          <w:sz w:val="18"/>
          <w:szCs w:val="18"/>
          <w:lang w:eastAsia="ms-MY"/>
        </w:rPr>
        <w:t xml:space="preserve"> dan 0.1621 ± 0.1190 mg kg</w:t>
      </w:r>
      <w:r w:rsidRPr="00366308">
        <w:rPr>
          <w:rFonts w:ascii="Times New Roman" w:hAnsi="Times New Roman"/>
          <w:sz w:val="18"/>
          <w:szCs w:val="18"/>
          <w:vertAlign w:val="superscript"/>
          <w:lang w:eastAsia="ms-MY"/>
        </w:rPr>
        <w:t>-1</w:t>
      </w:r>
      <w:r w:rsidRPr="00366308">
        <w:rPr>
          <w:rFonts w:ascii="Times New Roman" w:hAnsi="Times New Roman"/>
          <w:sz w:val="18"/>
          <w:szCs w:val="18"/>
          <w:lang w:eastAsia="ms-MY"/>
        </w:rPr>
        <w:t xml:space="preserve">. </w:t>
      </w:r>
      <w:r w:rsidRPr="00366308">
        <w:rPr>
          <w:rFonts w:ascii="Times New Roman" w:eastAsia="Calibri" w:hAnsi="Times New Roman"/>
          <w:sz w:val="18"/>
          <w:szCs w:val="18"/>
        </w:rPr>
        <w:t xml:space="preserve">Bagi </w:t>
      </w:r>
      <w:r w:rsidRPr="00366308">
        <w:rPr>
          <w:rFonts w:ascii="Times New Roman" w:eastAsia="Calibri" w:hAnsi="Times New Roman"/>
          <w:sz w:val="18"/>
          <w:szCs w:val="18"/>
          <w:vertAlign w:val="superscript"/>
        </w:rPr>
        <w:t>238</w:t>
      </w:r>
      <w:r w:rsidRPr="00366308">
        <w:rPr>
          <w:rFonts w:ascii="Times New Roman" w:eastAsia="Calibri" w:hAnsi="Times New Roman"/>
          <w:sz w:val="18"/>
          <w:szCs w:val="18"/>
        </w:rPr>
        <w:t xml:space="preserve">U dalam LC dan residu WLP semasa fasa usus bagi kes berisiko tinggi ialah </w:t>
      </w:r>
      <w:r w:rsidRPr="00366308">
        <w:rPr>
          <w:rFonts w:ascii="Times New Roman" w:hAnsi="Times New Roman"/>
          <w:sz w:val="18"/>
          <w:szCs w:val="18"/>
          <w:lang w:eastAsia="ms-MY"/>
        </w:rPr>
        <w:t>0.0558 ± 0.0164 mg kg</w:t>
      </w:r>
      <w:r w:rsidRPr="00366308">
        <w:rPr>
          <w:rFonts w:ascii="Times New Roman" w:hAnsi="Times New Roman"/>
          <w:sz w:val="18"/>
          <w:szCs w:val="18"/>
          <w:vertAlign w:val="superscript"/>
          <w:lang w:eastAsia="ms-MY"/>
        </w:rPr>
        <w:t>-1</w:t>
      </w:r>
      <w:r w:rsidRPr="00366308">
        <w:rPr>
          <w:rFonts w:ascii="Times New Roman" w:hAnsi="Times New Roman"/>
          <w:sz w:val="18"/>
          <w:szCs w:val="18"/>
          <w:lang w:eastAsia="ms-MY"/>
        </w:rPr>
        <w:t xml:space="preserve"> dan 0.0480 ± 0.0213 mg kg</w:t>
      </w:r>
      <w:r w:rsidRPr="00366308">
        <w:rPr>
          <w:rFonts w:ascii="Times New Roman" w:hAnsi="Times New Roman"/>
          <w:sz w:val="18"/>
          <w:szCs w:val="18"/>
          <w:vertAlign w:val="superscript"/>
          <w:lang w:eastAsia="ms-MY"/>
        </w:rPr>
        <w:t>-1</w:t>
      </w:r>
      <w:r w:rsidRPr="00366308">
        <w:rPr>
          <w:rFonts w:ascii="Times New Roman" w:hAnsi="Times New Roman"/>
          <w:sz w:val="18"/>
          <w:szCs w:val="18"/>
          <w:lang w:eastAsia="ms-MY"/>
        </w:rPr>
        <w:t xml:space="preserve">. Nilai bio-kebolehcapaian maksimum bagi </w:t>
      </w:r>
      <w:r w:rsidRPr="00366308">
        <w:rPr>
          <w:rFonts w:ascii="Times New Roman" w:hAnsi="Times New Roman"/>
          <w:sz w:val="18"/>
          <w:szCs w:val="18"/>
          <w:vertAlign w:val="superscript"/>
          <w:lang w:eastAsia="ms-MY"/>
        </w:rPr>
        <w:t>232</w:t>
      </w:r>
      <w:r w:rsidRPr="00366308">
        <w:rPr>
          <w:rFonts w:ascii="Times New Roman" w:hAnsi="Times New Roman"/>
          <w:sz w:val="18"/>
          <w:szCs w:val="18"/>
          <w:lang w:eastAsia="ms-MY"/>
        </w:rPr>
        <w:t>Th</w:t>
      </w:r>
      <w:r w:rsidRPr="00366308">
        <w:rPr>
          <w:rFonts w:ascii="Times New Roman" w:hAnsi="Times New Roman"/>
          <w:sz w:val="18"/>
          <w:szCs w:val="18"/>
          <w:vertAlign w:val="superscript"/>
          <w:lang w:eastAsia="ms-MY"/>
        </w:rPr>
        <w:t xml:space="preserve"> </w:t>
      </w:r>
      <w:r w:rsidRPr="00366308">
        <w:rPr>
          <w:rFonts w:ascii="Times New Roman" w:hAnsi="Times New Roman"/>
          <w:sz w:val="18"/>
          <w:szCs w:val="18"/>
          <w:lang w:eastAsia="ms-MY"/>
        </w:rPr>
        <w:t xml:space="preserve"> dan </w:t>
      </w:r>
      <w:r w:rsidRPr="00366308">
        <w:rPr>
          <w:rFonts w:ascii="Times New Roman" w:hAnsi="Times New Roman"/>
          <w:sz w:val="18"/>
          <w:szCs w:val="18"/>
          <w:vertAlign w:val="superscript"/>
          <w:lang w:eastAsia="ms-MY"/>
        </w:rPr>
        <w:t>238</w:t>
      </w:r>
      <w:r w:rsidRPr="00366308">
        <w:rPr>
          <w:rFonts w:ascii="Times New Roman" w:hAnsi="Times New Roman"/>
          <w:sz w:val="18"/>
          <w:szCs w:val="18"/>
          <w:lang w:eastAsia="ms-MY"/>
        </w:rPr>
        <w:t xml:space="preserve">U ialah </w:t>
      </w:r>
      <w:r w:rsidRPr="00366308">
        <w:rPr>
          <w:rFonts w:ascii="Times New Roman" w:eastAsia="Calibri" w:hAnsi="Times New Roman"/>
          <w:sz w:val="18"/>
          <w:szCs w:val="18"/>
        </w:rPr>
        <w:t xml:space="preserve">0.14% dan 0.93%. Berdasarkan kajian, dos komited setara dan dos komited berkesan bagi </w:t>
      </w:r>
      <w:r w:rsidRPr="00366308">
        <w:rPr>
          <w:rFonts w:ascii="Times New Roman" w:eastAsia="Calibri" w:hAnsi="Times New Roman"/>
          <w:sz w:val="18"/>
          <w:szCs w:val="18"/>
          <w:vertAlign w:val="superscript"/>
        </w:rPr>
        <w:t>232</w:t>
      </w:r>
      <w:r w:rsidRPr="00366308">
        <w:rPr>
          <w:rFonts w:ascii="Times New Roman" w:eastAsia="Calibri" w:hAnsi="Times New Roman"/>
          <w:sz w:val="18"/>
          <w:szCs w:val="18"/>
        </w:rPr>
        <w:t>Th</w:t>
      </w:r>
      <w:r w:rsidRPr="00366308">
        <w:rPr>
          <w:rFonts w:ascii="Times New Roman" w:eastAsia="Calibri" w:hAnsi="Times New Roman"/>
          <w:sz w:val="18"/>
          <w:szCs w:val="18"/>
          <w:vertAlign w:val="superscript"/>
        </w:rPr>
        <w:t xml:space="preserve"> </w:t>
      </w:r>
      <w:r w:rsidRPr="00366308">
        <w:rPr>
          <w:rFonts w:ascii="Times New Roman" w:eastAsia="Calibri" w:hAnsi="Times New Roman"/>
          <w:sz w:val="18"/>
          <w:szCs w:val="18"/>
        </w:rPr>
        <w:t xml:space="preserve">dan </w:t>
      </w:r>
      <w:r w:rsidRPr="00366308">
        <w:rPr>
          <w:rFonts w:ascii="Times New Roman" w:eastAsia="Calibri" w:hAnsi="Times New Roman"/>
          <w:sz w:val="18"/>
          <w:szCs w:val="18"/>
          <w:vertAlign w:val="superscript"/>
        </w:rPr>
        <w:t>238</w:t>
      </w:r>
      <w:r w:rsidRPr="00366308">
        <w:rPr>
          <w:rFonts w:ascii="Times New Roman" w:eastAsia="Calibri" w:hAnsi="Times New Roman"/>
          <w:sz w:val="18"/>
          <w:szCs w:val="18"/>
        </w:rPr>
        <w:t xml:space="preserve">U adalah di bawah nilai rujukan </w:t>
      </w:r>
      <w:r w:rsidRPr="00366308">
        <w:rPr>
          <w:rFonts w:ascii="Times New Roman" w:eastAsia="Calibri" w:hAnsi="Times New Roman"/>
          <w:i/>
          <w:sz w:val="18"/>
          <w:szCs w:val="20"/>
        </w:rPr>
        <w:t>United Nations Scientific Committee on the Effects of Atomic Radiation</w:t>
      </w:r>
      <w:r w:rsidRPr="00366308">
        <w:rPr>
          <w:rFonts w:ascii="Times New Roman" w:eastAsia="Calibri" w:hAnsi="Times New Roman"/>
          <w:sz w:val="18"/>
          <w:szCs w:val="18"/>
        </w:rPr>
        <w:t xml:space="preserve">. Kesimpulannya, teknik bio-kebolehcapaian </w:t>
      </w:r>
      <w:r w:rsidRPr="00366308">
        <w:rPr>
          <w:rFonts w:ascii="Times New Roman" w:eastAsia="Calibri" w:hAnsi="Times New Roman"/>
          <w:i/>
          <w:sz w:val="18"/>
          <w:szCs w:val="18"/>
        </w:rPr>
        <w:t xml:space="preserve">in vitro </w:t>
      </w:r>
      <w:r w:rsidRPr="00366308">
        <w:rPr>
          <w:rFonts w:ascii="Times New Roman" w:eastAsia="Calibri" w:hAnsi="Times New Roman"/>
          <w:sz w:val="18"/>
          <w:szCs w:val="18"/>
        </w:rPr>
        <w:t xml:space="preserve">DIN sangat berguna untuk </w:t>
      </w:r>
      <w:r w:rsidRPr="00366308">
        <w:rPr>
          <w:rFonts w:ascii="Times New Roman" w:eastAsia="Calibri" w:hAnsi="Times New Roman"/>
          <w:sz w:val="18"/>
          <w:szCs w:val="18"/>
        </w:rPr>
        <w:lastRenderedPageBreak/>
        <w:t xml:space="preserve">menganggar kelarutan </w:t>
      </w:r>
      <w:r w:rsidRPr="00366308">
        <w:rPr>
          <w:rFonts w:ascii="Times New Roman" w:eastAsia="Calibri" w:hAnsi="Times New Roman"/>
          <w:sz w:val="18"/>
          <w:szCs w:val="18"/>
          <w:vertAlign w:val="superscript"/>
        </w:rPr>
        <w:t>232</w:t>
      </w:r>
      <w:r w:rsidRPr="00366308">
        <w:rPr>
          <w:rFonts w:ascii="Times New Roman" w:eastAsia="Calibri" w:hAnsi="Times New Roman"/>
          <w:sz w:val="18"/>
          <w:szCs w:val="18"/>
        </w:rPr>
        <w:t>Th</w:t>
      </w:r>
      <w:r w:rsidRPr="00366308">
        <w:rPr>
          <w:rFonts w:ascii="Times New Roman" w:eastAsia="Calibri" w:hAnsi="Times New Roman"/>
          <w:sz w:val="18"/>
          <w:szCs w:val="18"/>
          <w:vertAlign w:val="superscript"/>
        </w:rPr>
        <w:t xml:space="preserve"> </w:t>
      </w:r>
      <w:r w:rsidRPr="00366308">
        <w:rPr>
          <w:rFonts w:ascii="Times New Roman" w:eastAsia="Calibri" w:hAnsi="Times New Roman"/>
          <w:sz w:val="18"/>
          <w:szCs w:val="18"/>
        </w:rPr>
        <w:t xml:space="preserve">dan </w:t>
      </w:r>
      <w:r w:rsidRPr="00366308">
        <w:rPr>
          <w:rFonts w:ascii="Times New Roman" w:eastAsia="Calibri" w:hAnsi="Times New Roman"/>
          <w:sz w:val="18"/>
          <w:szCs w:val="18"/>
          <w:vertAlign w:val="superscript"/>
        </w:rPr>
        <w:t>238</w:t>
      </w:r>
      <w:r w:rsidRPr="00366308">
        <w:rPr>
          <w:rFonts w:ascii="Times New Roman" w:eastAsia="Calibri" w:hAnsi="Times New Roman"/>
          <w:sz w:val="18"/>
          <w:szCs w:val="18"/>
        </w:rPr>
        <w:t>U bagi tujuan pemantauan berterusan dan penilaian risiko terhadap alam sekitar, kesihatan manusia, dan sampel tercemar.</w:t>
      </w:r>
    </w:p>
    <w:p w:rsidR="00E104B4" w:rsidRPr="00366308" w:rsidRDefault="00E104B4" w:rsidP="00E104B4">
      <w:pPr>
        <w:spacing w:after="0" w:line="240" w:lineRule="auto"/>
        <w:jc w:val="both"/>
        <w:rPr>
          <w:rFonts w:ascii="Times New Roman" w:hAnsi="Times New Roman"/>
          <w:sz w:val="20"/>
          <w:szCs w:val="20"/>
        </w:rPr>
      </w:pPr>
    </w:p>
    <w:p w:rsidR="00E104B4" w:rsidRPr="00366308" w:rsidRDefault="00E104B4" w:rsidP="00E104B4">
      <w:pPr>
        <w:spacing w:after="0" w:line="240" w:lineRule="auto"/>
        <w:jc w:val="both"/>
        <w:rPr>
          <w:rFonts w:ascii="Times New Roman" w:hAnsi="Times New Roman"/>
          <w:sz w:val="20"/>
          <w:szCs w:val="20"/>
        </w:rPr>
      </w:pPr>
    </w:p>
    <w:p w:rsidR="00E104B4" w:rsidRPr="00366308" w:rsidRDefault="00E104B4" w:rsidP="00E104B4">
      <w:pPr>
        <w:spacing w:after="0" w:line="240" w:lineRule="auto"/>
        <w:jc w:val="both"/>
        <w:rPr>
          <w:rFonts w:ascii="Times New Roman" w:hAnsi="Times New Roman"/>
          <w:sz w:val="18"/>
          <w:szCs w:val="18"/>
        </w:rPr>
      </w:pPr>
      <w:r w:rsidRPr="00366308">
        <w:rPr>
          <w:rFonts w:ascii="Times New Roman" w:hAnsi="Times New Roman"/>
          <w:b/>
          <w:sz w:val="18"/>
          <w:szCs w:val="18"/>
        </w:rPr>
        <w:t>Kata kunci:</w:t>
      </w:r>
      <w:r w:rsidRPr="00366308">
        <w:rPr>
          <w:rFonts w:ascii="Times New Roman" w:hAnsi="Times New Roman"/>
          <w:sz w:val="18"/>
          <w:szCs w:val="18"/>
        </w:rPr>
        <w:t xml:space="preserve"> </w:t>
      </w:r>
      <w:r>
        <w:rPr>
          <w:rFonts w:ascii="Times New Roman" w:hAnsi="Times New Roman"/>
          <w:sz w:val="18"/>
          <w:szCs w:val="18"/>
        </w:rPr>
        <w:t xml:space="preserve"> </w:t>
      </w:r>
      <w:r w:rsidRPr="00366308">
        <w:rPr>
          <w:rFonts w:ascii="Times New Roman" w:hAnsi="Times New Roman"/>
          <w:sz w:val="18"/>
          <w:szCs w:val="18"/>
        </w:rPr>
        <w:t>bio-kebolehcapaian, torium, uranium, lantanida pekat, permurnian larut resap</w:t>
      </w:r>
    </w:p>
    <w:p w:rsidR="006768E9" w:rsidRDefault="006768E9" w:rsidP="00E104B4">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MY"/>
        </w:rPr>
      </w:pPr>
      <w:r w:rsidRPr="00E104B4">
        <w:rPr>
          <w:rFonts w:ascii="Times New Roman" w:eastAsia="Calibri" w:hAnsi="Times New Roman"/>
          <w:sz w:val="20"/>
          <w:szCs w:val="20"/>
          <w:lang w:val="en-GB"/>
        </w:rPr>
        <w:t>The world is currently facing intense demand and development of rare earth elements (REEs) for green and sustainable products in energy, armed forces, and manufacturing industries. Thus, to assist the global REEs market, the Lynas Advanced Materials Plant (LAMP) was built in the Gebeng Industrial Estate (GIE), Kuantan, Malaysia</w:t>
      </w:r>
      <w:r w:rsidRPr="00E104B4">
        <w:rPr>
          <w:rFonts w:ascii="Times New Roman" w:eastAsia="Calibri" w:hAnsi="Times New Roman"/>
          <w:sz w:val="20"/>
          <w:szCs w:val="20"/>
          <w:lang w:val="en-MY"/>
        </w:rPr>
        <w:t xml:space="preserve">. </w:t>
      </w:r>
      <w:r w:rsidRPr="00E104B4">
        <w:rPr>
          <w:rFonts w:ascii="Times New Roman" w:eastAsia="Calibri" w:hAnsi="Times New Roman"/>
          <w:sz w:val="20"/>
          <w:szCs w:val="20"/>
          <w:lang w:val="en-GB"/>
        </w:rPr>
        <w:t xml:space="preserve">This beneficial development brings investment profits in rare earth industry. About 0.03 </w:t>
      </w:r>
      <w:r w:rsidRPr="00E104B4">
        <w:rPr>
          <w:rFonts w:ascii="Times New Roman" w:eastAsia="Calibri" w:hAnsi="Times New Roman"/>
          <w:sz w:val="20"/>
          <w:szCs w:val="20"/>
          <w:lang w:val="en-GB"/>
        </w:rPr>
        <w:sym w:font="Symbol" w:char="F0B4"/>
      </w:r>
      <w:r w:rsidRPr="00E104B4">
        <w:rPr>
          <w:rFonts w:ascii="Times New Roman" w:eastAsia="Calibri" w:hAnsi="Times New Roman"/>
          <w:sz w:val="20"/>
          <w:szCs w:val="20"/>
          <w:lang w:val="en-GB"/>
        </w:rPr>
        <w:t xml:space="preserve"> 10</w:t>
      </w:r>
      <w:r w:rsidRPr="00E104B4">
        <w:rPr>
          <w:rFonts w:ascii="Times New Roman" w:eastAsia="Calibri" w:hAnsi="Times New Roman"/>
          <w:sz w:val="20"/>
          <w:szCs w:val="20"/>
          <w:vertAlign w:val="superscript"/>
          <w:lang w:val="en-GB"/>
        </w:rPr>
        <w:t>6</w:t>
      </w:r>
      <w:r w:rsidRPr="00E104B4">
        <w:rPr>
          <w:rFonts w:ascii="Times New Roman" w:eastAsia="Calibri" w:hAnsi="Times New Roman"/>
          <w:sz w:val="20"/>
          <w:szCs w:val="20"/>
          <w:lang w:val="en-GB"/>
        </w:rPr>
        <w:t xml:space="preserve"> t of rare earth ores production comes from Malaysia</w:t>
      </w:r>
      <w:r w:rsidRPr="00E104B4">
        <w:rPr>
          <w:rFonts w:ascii="Times New Roman" w:eastAsia="Calibri" w:hAnsi="Times New Roman"/>
          <w:sz w:val="20"/>
          <w:szCs w:val="20"/>
          <w:lang w:val="en-MY"/>
        </w:rPr>
        <w:t xml:space="preserve"> </w:t>
      </w:r>
      <w:r w:rsidRPr="00E104B4">
        <w:rPr>
          <w:rFonts w:ascii="Times New Roman" w:eastAsia="Calibri" w:hAnsi="Times New Roman"/>
          <w:sz w:val="20"/>
          <w:szCs w:val="20"/>
          <w:lang w:val="en-MY"/>
        </w:rPr>
        <w:fldChar w:fldCharType="begin"/>
      </w:r>
      <w:r w:rsidRPr="00E104B4">
        <w:rPr>
          <w:rFonts w:ascii="Times New Roman" w:eastAsia="Calibri" w:hAnsi="Times New Roman"/>
          <w:sz w:val="20"/>
          <w:szCs w:val="20"/>
          <w:lang w:val="en-MY"/>
        </w:rPr>
        <w:instrText xml:space="preserve"> ADDIN EN.CITE &lt;EndNote&gt;&lt;Cite&gt;&lt;Author&gt;Charalampides&lt;/Author&gt;&lt;Year&gt;2015&lt;/Year&gt;&lt;RecNum&gt;40&lt;/RecNum&gt;&lt;DisplayText&gt;[1]&lt;/DisplayText&gt;&lt;record&gt;&lt;rec-number&gt;40&lt;/rec-number&gt;&lt;foreign-keys&gt;&lt;key app="EN" db-id="swr9aa0fctvwziet5pxv0ffgx2e2ssd59sv2"&gt;40&lt;/key&gt;&lt;/foreign-keys&gt;&lt;ref-type name="Journal Article"&gt;17&lt;/ref-type&gt;&lt;contributors&gt;&lt;authors&gt;&lt;author&gt;Charalampides, Georgios&lt;/author&gt;&lt;author&gt;Vatalis, Konstantinos I&lt;/author&gt;&lt;/authors&gt;&lt;/contributors&gt;&lt;titles&gt;&lt;title&gt;Global Production Estimation of Rare Earth Elements and Their Environmental Impacts on Soils&lt;/title&gt;&lt;secondary-title&gt;Journal of Geoscience and Environment Protection&lt;/secondary-title&gt;&lt;/titles&gt;&lt;periodical&gt;&lt;full-title&gt;Journal of Geoscience and Environment Protection&lt;/full-title&gt;&lt;/periodical&gt;&lt;pages&gt;66&lt;/pages&gt;&lt;volume&gt;3&lt;/volume&gt;&lt;number&gt;08&lt;/number&gt;&lt;dates&gt;&lt;year&gt;2015&lt;/year&gt;&lt;/dates&gt;&lt;urls&gt;&lt;/urls&gt;&lt;/record&gt;&lt;/Cite&gt;&lt;/EndNote&gt;</w:instrText>
      </w:r>
      <w:r w:rsidRPr="00E104B4">
        <w:rPr>
          <w:rFonts w:ascii="Times New Roman" w:eastAsia="Calibri" w:hAnsi="Times New Roman"/>
          <w:sz w:val="20"/>
          <w:szCs w:val="20"/>
          <w:lang w:val="en-MY"/>
        </w:rPr>
        <w:fldChar w:fldCharType="separate"/>
      </w:r>
      <w:r w:rsidRPr="00E104B4">
        <w:rPr>
          <w:rFonts w:ascii="Times New Roman" w:eastAsia="Calibri" w:hAnsi="Times New Roman"/>
          <w:noProof/>
          <w:sz w:val="20"/>
          <w:szCs w:val="20"/>
          <w:lang w:val="en-MY"/>
        </w:rPr>
        <w:t>[</w:t>
      </w:r>
      <w:hyperlink w:anchor="_ENREF_1" w:tooltip="Charalampides, 2015 #40" w:history="1">
        <w:r w:rsidRPr="00E104B4">
          <w:rPr>
            <w:rFonts w:ascii="Times New Roman" w:eastAsia="Calibri" w:hAnsi="Times New Roman"/>
            <w:noProof/>
            <w:sz w:val="20"/>
            <w:szCs w:val="20"/>
            <w:lang w:val="en-MY"/>
          </w:rPr>
          <w:t>1</w:t>
        </w:r>
      </w:hyperlink>
      <w:r w:rsidRPr="00E104B4">
        <w:rPr>
          <w:rFonts w:ascii="Times New Roman" w:eastAsia="Calibri" w:hAnsi="Times New Roman"/>
          <w:noProof/>
          <w:sz w:val="20"/>
          <w:szCs w:val="20"/>
          <w:lang w:val="en-MY"/>
        </w:rPr>
        <w:t>]</w:t>
      </w:r>
      <w:r w:rsidRPr="00E104B4">
        <w:rPr>
          <w:rFonts w:ascii="Times New Roman" w:eastAsia="Calibri" w:hAnsi="Times New Roman"/>
          <w:sz w:val="20"/>
          <w:szCs w:val="20"/>
          <w:lang w:val="en-MY"/>
        </w:rPr>
        <w:fldChar w:fldCharType="end"/>
      </w:r>
      <w:r w:rsidRPr="00E104B4">
        <w:rPr>
          <w:rFonts w:ascii="Times New Roman" w:eastAsia="Calibri" w:hAnsi="Times New Roman"/>
          <w:sz w:val="20"/>
          <w:szCs w:val="20"/>
          <w:lang w:val="en-MY"/>
        </w:rPr>
        <w:t xml:space="preserve">. </w:t>
      </w:r>
      <w:r w:rsidRPr="00E104B4">
        <w:rPr>
          <w:rFonts w:ascii="Times New Roman" w:eastAsia="Calibri" w:hAnsi="Times New Roman"/>
          <w:sz w:val="20"/>
          <w:szCs w:val="20"/>
          <w:lang w:val="en-GB"/>
        </w:rPr>
        <w:t>The LAMP processes lanthanide concentrate (LC) at an integrated processing site utilising physical and chemical treatment processes. Water leach purification (WLP) residue results from the leaching and purification of the water-soluble lanthanide components from the calcined and cracked concentrate. Radioactive elements, namely thorium dioxide (ThO</w:t>
      </w:r>
      <w:r w:rsidRPr="00E104B4">
        <w:rPr>
          <w:rFonts w:ascii="Times New Roman" w:eastAsia="Calibri" w:hAnsi="Times New Roman"/>
          <w:sz w:val="20"/>
          <w:szCs w:val="20"/>
          <w:vertAlign w:val="subscript"/>
          <w:lang w:val="en-GB"/>
        </w:rPr>
        <w:t>2</w:t>
      </w:r>
      <w:r w:rsidRPr="00E104B4">
        <w:rPr>
          <w:rFonts w:ascii="Times New Roman" w:eastAsia="Calibri" w:hAnsi="Times New Roman"/>
          <w:sz w:val="20"/>
          <w:szCs w:val="20"/>
          <w:lang w:val="en-GB"/>
        </w:rPr>
        <w:t>) and uranium oxide (U</w:t>
      </w:r>
      <w:r w:rsidRPr="00E104B4">
        <w:rPr>
          <w:rFonts w:ascii="Times New Roman" w:eastAsia="Calibri" w:hAnsi="Times New Roman"/>
          <w:sz w:val="20"/>
          <w:szCs w:val="20"/>
          <w:vertAlign w:val="subscript"/>
          <w:lang w:val="en-GB"/>
        </w:rPr>
        <w:t>3</w:t>
      </w:r>
      <w:r w:rsidRPr="00E104B4">
        <w:rPr>
          <w:rFonts w:ascii="Times New Roman" w:eastAsia="Calibri" w:hAnsi="Times New Roman"/>
          <w:sz w:val="20"/>
          <w:szCs w:val="20"/>
          <w:lang w:val="en-GB"/>
        </w:rPr>
        <w:t>O</w:t>
      </w:r>
      <w:r w:rsidRPr="00E104B4">
        <w:rPr>
          <w:rFonts w:ascii="Times New Roman" w:eastAsia="Calibri" w:hAnsi="Times New Roman"/>
          <w:sz w:val="20"/>
          <w:szCs w:val="20"/>
          <w:vertAlign w:val="subscript"/>
          <w:lang w:val="en-GB"/>
        </w:rPr>
        <w:t>8</w:t>
      </w:r>
      <w:r w:rsidRPr="00E104B4">
        <w:rPr>
          <w:rFonts w:ascii="Times New Roman" w:eastAsia="Calibri" w:hAnsi="Times New Roman"/>
          <w:sz w:val="20"/>
          <w:szCs w:val="20"/>
          <w:lang w:val="en-GB"/>
        </w:rPr>
        <w:t>),</w:t>
      </w:r>
      <w:r w:rsidRPr="00E104B4">
        <w:rPr>
          <w:rFonts w:ascii="Times New Roman" w:eastAsia="Calibri" w:hAnsi="Times New Roman"/>
          <w:sz w:val="20"/>
          <w:szCs w:val="20"/>
          <w:vertAlign w:val="subscript"/>
          <w:lang w:val="en-GB"/>
        </w:rPr>
        <w:t xml:space="preserve"> </w:t>
      </w:r>
      <w:r w:rsidRPr="00E104B4">
        <w:rPr>
          <w:rFonts w:ascii="Times New Roman" w:eastAsia="Calibri" w:hAnsi="Times New Roman"/>
          <w:sz w:val="20"/>
          <w:szCs w:val="20"/>
          <w:lang w:val="en-GB"/>
        </w:rPr>
        <w:t xml:space="preserve">are present in the rare earth concentrate that is processed by the LAMP. </w:t>
      </w:r>
      <w:r w:rsidRPr="00E104B4">
        <w:rPr>
          <w:rFonts w:ascii="Times New Roman" w:eastAsia="TimesNewRoman" w:hAnsi="Times New Roman"/>
          <w:sz w:val="20"/>
          <w:szCs w:val="20"/>
          <w:lang w:val="en-GB"/>
        </w:rPr>
        <w:t>This plant is expected to yield approximately 65 000 t/a of rare earth concentrate with a rare earth oxide (REO) concentration of 40 %, a ThO</w:t>
      </w:r>
      <w:r w:rsidRPr="00E104B4">
        <w:rPr>
          <w:rFonts w:ascii="Times New Roman" w:eastAsia="TimesNewRoman" w:hAnsi="Times New Roman"/>
          <w:sz w:val="20"/>
          <w:szCs w:val="20"/>
          <w:vertAlign w:val="subscript"/>
          <w:lang w:val="en-GB"/>
        </w:rPr>
        <w:t>2</w:t>
      </w:r>
      <w:r w:rsidRPr="00E104B4">
        <w:rPr>
          <w:rFonts w:ascii="Times New Roman" w:eastAsia="TimesNewRoman" w:hAnsi="Times New Roman"/>
          <w:sz w:val="20"/>
          <w:szCs w:val="20"/>
          <w:lang w:val="en-GB"/>
        </w:rPr>
        <w:t xml:space="preserve"> concentration of 0.17 %, and a concentration of U</w:t>
      </w:r>
      <w:r w:rsidRPr="00E104B4">
        <w:rPr>
          <w:rFonts w:ascii="Times New Roman" w:eastAsia="TimesNewRoman" w:hAnsi="Times New Roman"/>
          <w:sz w:val="20"/>
          <w:szCs w:val="20"/>
          <w:vertAlign w:val="subscript"/>
          <w:lang w:val="en-GB"/>
        </w:rPr>
        <w:t>3</w:t>
      </w:r>
      <w:r w:rsidRPr="00E104B4">
        <w:rPr>
          <w:rFonts w:ascii="Times New Roman" w:eastAsia="TimesNewRoman" w:hAnsi="Times New Roman"/>
          <w:sz w:val="20"/>
          <w:szCs w:val="20"/>
          <w:lang w:val="en-GB"/>
        </w:rPr>
        <w:t>O</w:t>
      </w:r>
      <w:r w:rsidRPr="00E104B4">
        <w:rPr>
          <w:rFonts w:ascii="Times New Roman" w:eastAsia="TimesNewRoman" w:hAnsi="Times New Roman"/>
          <w:sz w:val="20"/>
          <w:szCs w:val="20"/>
          <w:vertAlign w:val="subscript"/>
          <w:lang w:val="en-GB"/>
        </w:rPr>
        <w:t>8</w:t>
      </w:r>
      <w:r w:rsidRPr="00E104B4">
        <w:rPr>
          <w:rFonts w:ascii="Times New Roman" w:eastAsia="TimesNewRoman" w:hAnsi="Times New Roman"/>
          <w:sz w:val="20"/>
          <w:szCs w:val="20"/>
          <w:lang w:val="en-GB"/>
        </w:rPr>
        <w:t xml:space="preserve"> of 0.003 %</w:t>
      </w:r>
      <w:r w:rsidRPr="00E104B4">
        <w:rPr>
          <w:rFonts w:ascii="Times New Roman" w:eastAsia="TimesNewRoman" w:hAnsi="Times New Roman"/>
          <w:sz w:val="20"/>
          <w:szCs w:val="20"/>
          <w:lang w:val="en-MY"/>
        </w:rPr>
        <w:t xml:space="preserve"> </w:t>
      </w:r>
      <w:r w:rsidRPr="00E104B4">
        <w:rPr>
          <w:rFonts w:ascii="Times New Roman" w:eastAsia="TimesNewRoman" w:hAnsi="Times New Roman"/>
          <w:sz w:val="20"/>
          <w:szCs w:val="20"/>
          <w:lang w:val="en-MY"/>
        </w:rPr>
        <w:fldChar w:fldCharType="begin"/>
      </w:r>
      <w:r w:rsidRPr="00E104B4">
        <w:rPr>
          <w:rFonts w:ascii="Times New Roman" w:eastAsia="TimesNewRoman" w:hAnsi="Times New Roman"/>
          <w:sz w:val="20"/>
          <w:szCs w:val="20"/>
          <w:lang w:val="en-MY"/>
        </w:rPr>
        <w:instrText xml:space="preserve"> ADDIN EN.CITE &lt;EndNote&gt;&lt;Cite&gt;&lt;Author&gt;Schmidt&lt;/Author&gt;&lt;Year&gt;2013&lt;/Year&gt;&lt;RecNum&gt;42&lt;/RecNum&gt;&lt;DisplayText&gt;[2]&lt;/DisplayText&gt;&lt;record&gt;&lt;rec-number&gt;42&lt;/rec-number&gt;&lt;foreign-keys&gt;&lt;key app="EN" db-id="swr9aa0fctvwziet5pxv0ffgx2e2ssd59sv2"&gt;42&lt;/key&gt;&lt;/foreign-keys&gt;&lt;ref-type name="Journal Article"&gt;17&lt;/ref-type&gt;&lt;contributors&gt;&lt;authors&gt;&lt;author&gt;Schmidt, Gerhard&lt;/author&gt;&lt;/authors&gt;&lt;/contributors&gt;&lt;titles&gt;&lt;title&gt;Description and critical environmental evaluation of the REE refining plant LAMP near Kuantan/Malaysia. Radiological and non-radiological environmental consequences of the plant&amp;apos;s operation and its wastes&lt;/title&gt;&lt;/titles&gt;&lt;dates&gt;&lt;year&gt;2013&lt;/year&gt;&lt;/dates&gt;&lt;urls&gt;&lt;/urls&gt;&lt;/record&gt;&lt;/Cite&gt;&lt;/EndNote&gt;</w:instrText>
      </w:r>
      <w:r w:rsidRPr="00E104B4">
        <w:rPr>
          <w:rFonts w:ascii="Times New Roman" w:eastAsia="TimesNewRoman" w:hAnsi="Times New Roman"/>
          <w:sz w:val="20"/>
          <w:szCs w:val="20"/>
          <w:lang w:val="en-MY"/>
        </w:rPr>
        <w:fldChar w:fldCharType="separate"/>
      </w:r>
      <w:r w:rsidRPr="00E104B4">
        <w:rPr>
          <w:rFonts w:ascii="Times New Roman" w:eastAsia="TimesNewRoman" w:hAnsi="Times New Roman"/>
          <w:noProof/>
          <w:sz w:val="20"/>
          <w:szCs w:val="20"/>
          <w:lang w:val="en-MY"/>
        </w:rPr>
        <w:t>[</w:t>
      </w:r>
      <w:hyperlink w:anchor="_ENREF_2" w:tooltip="Schmidt, 2013 #42" w:history="1">
        <w:r w:rsidRPr="00E104B4">
          <w:rPr>
            <w:rFonts w:ascii="Times New Roman" w:eastAsia="TimesNewRoman" w:hAnsi="Times New Roman"/>
            <w:noProof/>
            <w:sz w:val="20"/>
            <w:szCs w:val="20"/>
            <w:lang w:val="en-MY"/>
          </w:rPr>
          <w:t>2</w:t>
        </w:r>
      </w:hyperlink>
      <w:r w:rsidRPr="00E104B4">
        <w:rPr>
          <w:rFonts w:ascii="Times New Roman" w:eastAsia="TimesNewRoman" w:hAnsi="Times New Roman"/>
          <w:noProof/>
          <w:sz w:val="20"/>
          <w:szCs w:val="20"/>
          <w:lang w:val="en-MY"/>
        </w:rPr>
        <w:t>]</w:t>
      </w:r>
      <w:r w:rsidRPr="00E104B4">
        <w:rPr>
          <w:rFonts w:ascii="Times New Roman" w:eastAsia="TimesNewRoman" w:hAnsi="Times New Roman"/>
          <w:sz w:val="20"/>
          <w:szCs w:val="20"/>
          <w:lang w:val="en-MY"/>
        </w:rPr>
        <w:fldChar w:fldCharType="end"/>
      </w:r>
      <w:r w:rsidRPr="00E104B4">
        <w:rPr>
          <w:rFonts w:ascii="Times New Roman" w:eastAsia="TimesNewRoman" w:hAnsi="Times New Roman"/>
          <w:sz w:val="20"/>
          <w:szCs w:val="20"/>
          <w:lang w:val="en-MY"/>
        </w:rPr>
        <w:t xml:space="preserve">. </w:t>
      </w:r>
      <w:r w:rsidRPr="00E104B4">
        <w:rPr>
          <w:rFonts w:ascii="Times New Roman" w:eastAsia="Calibri" w:hAnsi="Times New Roman"/>
          <w:sz w:val="20"/>
          <w:szCs w:val="20"/>
          <w:lang w:val="en-GB"/>
        </w:rPr>
        <w:t xml:space="preserve">According to United States Environmental Protection Agency (USEPA), the rare earth concentrate is classified as Technologically Enhanced Naturally Occurring Radioactive Material (TENORM)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&lt;EndNote&gt;&lt;Cite&gt;&lt;Author&gt;O&amp;apos;Brien&lt;/Author&gt;&lt;Year&gt;1998&lt;/Year&gt;&lt;RecNum&gt;43&lt;/RecNum&gt;&lt;DisplayText&gt;[3]&lt;/DisplayText&gt;&lt;record&gt;&lt;rec-number&gt;43&lt;/rec-number&gt;&lt;foreign-keys&gt;&lt;key app="EN" db-id="swr9aa0fctvwziet5pxv0ffgx2e2ssd59sv2"&gt;43&lt;/key&gt;&lt;/foreign-keys&gt;&lt;ref-type name="Journal Article"&gt;17&lt;/ref-type&gt;&lt;contributors&gt;&lt;authors&gt;&lt;author&gt;O&amp;apos;Brien, RS&lt;/author&gt;&lt;author&gt;Cooper, MB&lt;/author&gt;&lt;/authors&gt;&lt;/contributors&gt;&lt;titles&gt;&lt;title&gt;Technologically enhanced naturally occurring radioactive material (NORM): pathway analysis and radiological impact&lt;/title&gt;&lt;secondary-title&gt;Applied radiation and isotopes&lt;/secondary-title&gt;&lt;/titles&gt;&lt;periodical&gt;&lt;full-title&gt;Applied Radiation and Isotopes&lt;/full-title&gt;&lt;/periodical&gt;&lt;pages&gt;227-239&lt;/pages&gt;&lt;volume&gt;49&lt;/volume&gt;&lt;number&gt;3&lt;/number&gt;&lt;dates&gt;&lt;year&gt;1998&lt;/year&gt;&lt;/dates&gt;&lt;isbn&gt;0969-8043&lt;/isbn&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3" w:tooltip="O'Brien, 1998 #43" w:history="1">
        <w:r w:rsidRPr="00E104B4">
          <w:rPr>
            <w:rFonts w:ascii="Times New Roman" w:eastAsia="Calibri" w:hAnsi="Times New Roman"/>
            <w:noProof/>
            <w:sz w:val="20"/>
            <w:szCs w:val="20"/>
          </w:rPr>
          <w:t>3</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 xml:space="preserve">. </w:t>
      </w:r>
      <w:r w:rsidRPr="00E104B4">
        <w:rPr>
          <w:rFonts w:ascii="Times New Roman" w:eastAsia="Calibri" w:hAnsi="Times New Roman"/>
          <w:sz w:val="20"/>
          <w:szCs w:val="20"/>
          <w:lang w:val="en-GB"/>
        </w:rPr>
        <w:t>Even though REEs have been considered to be beneficial and profitable to Malaysia, the occupational, public safety, and health risks related to REEs should be addressed at their stages of mining, transportation, processing, and waste disposal, as well as decommissioning</w:t>
      </w:r>
      <w:r w:rsidRPr="00E104B4">
        <w:rPr>
          <w:rFonts w:ascii="Times New Roman" w:eastAsia="Calibri" w:hAnsi="Times New Roman"/>
          <w:sz w:val="20"/>
          <w:szCs w:val="20"/>
          <w:lang w:val="en-MY"/>
        </w:rPr>
        <w:t>.</w:t>
      </w: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GB"/>
        </w:rPr>
      </w:pPr>
    </w:p>
    <w:p w:rsidR="00E104B4" w:rsidRPr="00E104B4" w:rsidRDefault="00E104B4" w:rsidP="00E104B4">
      <w:pPr>
        <w:shd w:val="clear" w:color="auto" w:fill="FFFFFF"/>
        <w:spacing w:after="0" w:line="240" w:lineRule="auto"/>
        <w:jc w:val="both"/>
        <w:rPr>
          <w:rFonts w:ascii="Times New Roman" w:eastAsia="Calibri" w:hAnsi="Times New Roman"/>
          <w:sz w:val="20"/>
          <w:szCs w:val="20"/>
        </w:rPr>
      </w:pPr>
      <w:r w:rsidRPr="00E104B4">
        <w:rPr>
          <w:rFonts w:ascii="Times New Roman" w:eastAsia="Calibri" w:hAnsi="Times New Roman"/>
          <w:sz w:val="20"/>
          <w:szCs w:val="20"/>
          <w:lang w:val="en-GB"/>
        </w:rPr>
        <w:t>Internal irradiation can be triggered when radionuclides enter the human body by inhalation or ingestion</w:t>
      </w:r>
      <w:r w:rsidRPr="00E104B4">
        <w:rPr>
          <w:rFonts w:ascii="Times New Roman" w:eastAsia="Calibri" w:hAnsi="Times New Roman"/>
          <w:sz w:val="20"/>
          <w:szCs w:val="20"/>
        </w:rPr>
        <w:t xml:space="preserve">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&lt;EndNote&gt;&lt;Cite&gt;&lt;Author&gt;Sowby&lt;/Author&gt;&lt;Year&gt;1965&lt;/Year&gt;&lt;RecNum&gt;44&lt;/RecNum&gt;&lt;DisplayText&gt;[4, 5]&lt;/DisplayText&gt;&lt;record&gt;&lt;rec-number&gt;44&lt;/rec-number&gt;&lt;foreign-keys&gt;&lt;key app="EN" db-id="swr9aa0fctvwziet5pxv0ffgx2e2ssd59sv2"&gt;44&lt;/key&gt;&lt;/foreign-keys&gt;&lt;ref-type name="Journal Article"&gt;17&lt;/ref-type&gt;&lt;contributors&gt;&lt;authors&gt;&lt;author&gt;Sowby, FD&lt;/author&gt;&lt;/authors&gt;&lt;/contributors&gt;&lt;titles&gt;&lt;title&gt;Radiation protection&lt;/title&gt;&lt;secondary-title&gt;Canadian Medical Association journal&lt;/secondary-title&gt;&lt;/titles&gt;&lt;periodical&gt;&lt;full-title&gt;Canadian Medical Association journal&lt;/full-title&gt;&lt;/periodical&gt;&lt;pages&gt;1039&lt;/pages&gt;&lt;volume&gt;92&lt;/volume&gt;&lt;number&gt;19&lt;/number&gt;&lt;dates&gt;&lt;year&gt;1965&lt;/year&gt;&lt;/dates&gt;&lt;urls&gt;&lt;/urls&gt;&lt;/record&gt;&lt;/Cite&gt;&lt;Cite&gt;&lt;Author&gt;WHO&lt;/Author&gt;&lt;Year&gt;2012&lt;/Year&gt;&lt;RecNum&gt;9&lt;/RecNum&gt;&lt;record&gt;&lt;rec-number&gt;9&lt;/rec-number&gt;&lt;foreign-keys&gt;&lt;key app="EN" db-id="9vt5vtss3axvwoerdfmpxadcasawvp5w5fzf" timestamp="1531990093"&gt;9&lt;/key&gt;&lt;/foreign-keys&gt;&lt;ref-type name="Journal Article"&gt;17&lt;/ref-type&gt;&lt;contributors&gt;&lt;authors&gt;&lt;author&gt;WHO, World Health Organization&lt;/author&gt;&lt;/authors&gt;&lt;/contributors&gt;&lt;titles&gt;&lt;title&gt; Ionizing radiation, health effects and protective measures.&lt;/title&gt;&lt;/titles&gt;&lt;dates&gt;&lt;year&gt;2012&lt;/year&gt;&lt;/dates&gt;&lt;urls&gt;&lt;/urls&gt;&lt;/record&gt;&lt;/Cite&gt;&lt;/EndNote&gt;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4" w:tooltip="Sowby, 1965 #44" w:history="1">
        <w:r w:rsidRPr="00E104B4">
          <w:rPr>
            <w:rFonts w:ascii="Times New Roman" w:eastAsia="Calibri" w:hAnsi="Times New Roman"/>
            <w:noProof/>
            <w:sz w:val="20"/>
            <w:szCs w:val="20"/>
          </w:rPr>
          <w:t>4</w:t>
        </w:r>
      </w:hyperlink>
      <w:r w:rsidRPr="00E104B4">
        <w:rPr>
          <w:rFonts w:ascii="Times New Roman" w:eastAsia="Calibri" w:hAnsi="Times New Roman"/>
          <w:noProof/>
          <w:sz w:val="20"/>
          <w:szCs w:val="20"/>
        </w:rPr>
        <w:t xml:space="preserve">, </w:t>
      </w:r>
      <w:hyperlink w:anchor="_ENREF_5" w:tooltip="WHO, 2012 #9" w:history="1">
        <w:r w:rsidRPr="00E104B4">
          <w:rPr>
            <w:rFonts w:ascii="Times New Roman" w:eastAsia="Calibri" w:hAnsi="Times New Roman"/>
            <w:noProof/>
            <w:sz w:val="20"/>
            <w:szCs w:val="20"/>
          </w:rPr>
          <w:t>5</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 xml:space="preserve">. </w:t>
      </w:r>
      <w:r w:rsidRPr="00E104B4">
        <w:rPr>
          <w:rFonts w:ascii="Times New Roman" w:eastAsia="Calibri" w:hAnsi="Times New Roman"/>
          <w:sz w:val="20"/>
          <w:szCs w:val="20"/>
          <w:lang w:val="en-GB"/>
        </w:rPr>
        <w:t>The most significant pathway for radionuclide ingestion is when radionuclides become integrated with food</w:t>
      </w:r>
      <w:r w:rsidRPr="00E104B4">
        <w:rPr>
          <w:rFonts w:ascii="Times New Roman" w:eastAsia="Calibri" w:hAnsi="Times New Roman"/>
          <w:sz w:val="20"/>
          <w:szCs w:val="20"/>
        </w:rPr>
        <w:t xml:space="preserve">. </w:t>
      </w:r>
      <w:r w:rsidRPr="00E104B4">
        <w:rPr>
          <w:rFonts w:ascii="Times New Roman" w:eastAsia="Calibri" w:hAnsi="Times New Roman"/>
          <w:sz w:val="20"/>
          <w:szCs w:val="20"/>
          <w:lang w:val="en-GB"/>
        </w:rPr>
        <w:t xml:space="preserve">Coincidental ingestion of soil material or soil dust is related to unusual soil ingestion called pica. The contaminated soil surface is transferred to hands, food and beverages, cigarettes, or other items that may cause ingestion of radioactive contaminants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&lt;EndNote&gt;&lt;Cite&gt;&lt;Author&gt;Chaney&lt;/Author&gt;&lt;Year&gt;1989&lt;/Year&gt;&lt;RecNum&gt;46&lt;/RecNum&gt;&lt;DisplayText&gt;[6, 7]&lt;/DisplayText&gt;&lt;record&gt;&lt;rec-number&gt;46&lt;/rec-number&gt;&lt;foreign-keys&gt;&lt;key app="EN" db-id="swr9aa0fctvwziet5pxv0ffgx2e2ssd59sv2"&gt;46&lt;/key&gt;&lt;/foreign-keys&gt;&lt;ref-type name="Journal Article"&gt;17&lt;/ref-type&gt;&lt;contributors&gt;&lt;authors&gt;&lt;author&gt;Chaney, Rufus L&lt;/author&gt;&lt;author&gt;Mielke, Howard W&lt;/author&gt;&lt;author&gt;Sterrett, Susan B&lt;/author&gt;&lt;/authors&gt;&lt;/contributors&gt;&lt;titles&gt;&lt;title&gt;Speciation, mobility and bioavailability of soil lead&lt;/title&gt;&lt;secondary-title&gt;Environ. Geochem. Health&lt;/secondary-title&gt;&lt;/titles&gt;&lt;periodical&gt;&lt;full-title&gt;Environ. Geochem. Health&lt;/full-title&gt;&lt;/periodical&gt;&lt;pages&gt;105-129&lt;/pages&gt;&lt;volume&gt;11&lt;/volume&gt;&lt;dates&gt;&lt;year&gt;1989&lt;/year&gt;&lt;/dates&gt;&lt;urls&gt;&lt;/urls&gt;&lt;/record&gt;&lt;/Cite&gt;&lt;Cite&gt;&lt;Author&gt;Calabrese&lt;/Author&gt;&lt;Year&gt;1994&lt;/Year&gt;&lt;RecNum&gt;11&lt;/RecNum&gt;&lt;record&gt;&lt;rec-number&gt;11&lt;/rec-number&gt;&lt;foreign-keys&gt;&lt;key app="EN" db-id="9vt5vtss3axvwoerdfmpxadcasawvp5w5fzf" timestamp="1531990651"&gt;11&lt;/key&gt;&lt;/foreign-keys&gt;&lt;ref-type name="Journal Article"&gt;17&lt;/ref-type&gt;&lt;contributors&gt;&lt;authors&gt;&lt;author&gt;Calabrese, Edward J&lt;/author&gt;&lt;author&gt;Stanek, Edward J&lt;/author&gt;&lt;/authors&gt;&lt;/contributors&gt;&lt;titles&gt;&lt;title&gt;Soil ingest ion issues and recommendations&lt;/title&gt;&lt;secondary-title&gt;Journal of Environmental Science &amp;amp; Health Part A&lt;/secondary-title&gt;&lt;/titles&gt;&lt;periodical&gt;&lt;full-title&gt;Journal of Environmental Science &amp;amp; Health Part A&lt;/full-title&gt;&lt;/periodical&gt;&lt;pages&gt;517-530&lt;/pages&gt;&lt;volume&gt;29&lt;/volume&gt;&lt;number&gt;3&lt;/number&gt;&lt;dates&gt;&lt;year&gt;1994&lt;/year&gt;&lt;/dates&gt;&lt;isbn&gt;1077-1204&lt;/isbn&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6" w:tooltip="Chaney, 1989 #46" w:history="1">
        <w:r w:rsidRPr="00E104B4">
          <w:rPr>
            <w:rFonts w:ascii="Times New Roman" w:eastAsia="Calibri" w:hAnsi="Times New Roman"/>
            <w:noProof/>
            <w:sz w:val="20"/>
            <w:szCs w:val="20"/>
          </w:rPr>
          <w:t>6</w:t>
        </w:r>
      </w:hyperlink>
      <w:r w:rsidRPr="00E104B4">
        <w:rPr>
          <w:rFonts w:ascii="Times New Roman" w:eastAsia="Calibri" w:hAnsi="Times New Roman"/>
          <w:noProof/>
          <w:sz w:val="20"/>
          <w:szCs w:val="20"/>
        </w:rPr>
        <w:t xml:space="preserve">, </w:t>
      </w:r>
      <w:hyperlink w:anchor="_ENREF_7" w:tooltip="Calabrese, 1994 #11" w:history="1">
        <w:r w:rsidRPr="00E104B4">
          <w:rPr>
            <w:rFonts w:ascii="Times New Roman" w:eastAsia="Calibri" w:hAnsi="Times New Roman"/>
            <w:noProof/>
            <w:sz w:val="20"/>
            <w:szCs w:val="20"/>
          </w:rPr>
          <w:t>7</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w:t>
      </w:r>
      <w:r w:rsidRPr="00E104B4">
        <w:rPr>
          <w:rFonts w:ascii="Times New Roman" w:eastAsia="Calibri" w:hAnsi="Times New Roman"/>
          <w:sz w:val="20"/>
          <w:szCs w:val="20"/>
          <w:lang w:val="en-MY"/>
        </w:rPr>
        <w:t xml:space="preserve"> </w:t>
      </w:r>
      <w:r w:rsidRPr="00E104B4">
        <w:rPr>
          <w:rStyle w:val="CommentReference"/>
          <w:rFonts w:ascii="Times New Roman" w:hAnsi="Times New Roman"/>
          <w:sz w:val="20"/>
          <w:szCs w:val="20"/>
          <w:lang w:val="en-GB"/>
        </w:rPr>
        <w:t>Using</w:t>
      </w:r>
      <w:r w:rsidRPr="00E104B4">
        <w:rPr>
          <w:rFonts w:ascii="Times New Roman" w:eastAsia="Calibri" w:hAnsi="Times New Roman"/>
          <w:sz w:val="20"/>
          <w:szCs w:val="20"/>
          <w:lang w:val="en-GB"/>
        </w:rPr>
        <w:t xml:space="preserve"> </w:t>
      </w:r>
      <w:r w:rsidRPr="00E104B4">
        <w:rPr>
          <w:rFonts w:ascii="Times New Roman" w:eastAsia="Calibri" w:hAnsi="Times New Roman"/>
          <w:i/>
          <w:sz w:val="20"/>
          <w:szCs w:val="20"/>
          <w:lang w:val="en-GB"/>
        </w:rPr>
        <w:t xml:space="preserve">in vitro </w:t>
      </w:r>
      <w:r w:rsidRPr="00E104B4">
        <w:rPr>
          <w:rFonts w:ascii="Times New Roman" w:eastAsia="Calibri" w:hAnsi="Times New Roman"/>
          <w:sz w:val="20"/>
          <w:szCs w:val="20"/>
          <w:lang w:val="en-GB"/>
        </w:rPr>
        <w:t xml:space="preserve">bioaccessibility models, the digestion processes in the gastrointestinal tract can be imitated using a simplified technique. Bioaccessibility of compounds from their matrix during transit in the gastrointestinal tract can be examined as an aspect of oral internal exposure to the contaminant by applying an </w:t>
      </w:r>
      <w:r w:rsidRPr="00E104B4">
        <w:rPr>
          <w:rFonts w:ascii="Times New Roman" w:eastAsia="Calibri" w:hAnsi="Times New Roman"/>
          <w:i/>
          <w:sz w:val="20"/>
          <w:szCs w:val="20"/>
          <w:lang w:val="en-GB"/>
        </w:rPr>
        <w:t>in vitro</w:t>
      </w:r>
      <w:r w:rsidRPr="00E104B4">
        <w:rPr>
          <w:rFonts w:ascii="Times New Roman" w:eastAsia="Calibri" w:hAnsi="Times New Roman"/>
          <w:sz w:val="20"/>
          <w:szCs w:val="20"/>
          <w:lang w:val="en-GB"/>
        </w:rPr>
        <w:t xml:space="preserve"> bioaccessibility model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&lt;EndNote&gt;&lt;Cite&gt;&lt;Author&gt;Omar&lt;/Author&gt;&lt;Year&gt;2013&lt;/Year&gt;&lt;RecNum&gt;48&lt;/RecNum&gt;&lt;DisplayText&gt;[8]&lt;/DisplayText&gt;&lt;record&gt;&lt;rec-number&gt;48&lt;/rec-number&gt;&lt;foreign-keys&gt;&lt;key app="EN" db-id="swr9aa0fctvwziet5pxv0ffgx2e2ssd59sv2"&gt;48&lt;/key&gt;&lt;/foreign-keys&gt;&lt;ref-type name="Journal Article"&gt;17&lt;/ref-type&gt;&lt;contributors&gt;&lt;authors&gt;&lt;author&gt;Omar, Noreen Adila&lt;/author&gt;&lt;author&gt;Praveena, Sarva Mangala&lt;/author&gt;&lt;author&gt;Aris, Ahmad Zaharin&lt;/author&gt;&lt;author&gt;Hashim, Zailina&lt;/author&gt;&lt;/authors&gt;&lt;/contributors&gt;&lt;titles&gt;&lt;title&gt;Bioavailability of heavy metal in rice using in vitro digestion model&lt;/title&gt;&lt;secondary-title&gt;International Food Research Journal&lt;/secondary-title&gt;&lt;/titles&gt;&lt;periodical&gt;&lt;full-title&gt;International Food Research Journal&lt;/full-title&gt;&lt;/periodical&gt;&lt;pages&gt;2979-2985&lt;/pages&gt;&lt;volume&gt;20&lt;/volume&gt;&lt;number&gt;6&lt;/number&gt;&lt;dates&gt;&lt;year&gt;2013&lt;/year&gt;&lt;/dates&gt;&lt;isbn&gt;1985-4668&lt;/isbn&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8" w:tooltip="Omar, 2013 #48" w:history="1">
        <w:r w:rsidRPr="00E104B4">
          <w:rPr>
            <w:rFonts w:ascii="Times New Roman" w:eastAsia="Calibri" w:hAnsi="Times New Roman"/>
            <w:noProof/>
            <w:sz w:val="20"/>
            <w:szCs w:val="20"/>
          </w:rPr>
          <w:t>8</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 xml:space="preserve">. </w:t>
      </w:r>
      <w:r w:rsidRPr="00E104B4">
        <w:rPr>
          <w:rFonts w:ascii="Times New Roman" w:eastAsia="Calibri" w:hAnsi="Times New Roman"/>
          <w:sz w:val="20"/>
          <w:szCs w:val="20"/>
          <w:lang w:val="en-GB"/>
        </w:rPr>
        <w:t>Bioaccessibility denotes the fragment of a contaminant that is propagated from soil into solution by digestive juices</w:t>
      </w:r>
      <w:r w:rsidRPr="00E104B4">
        <w:rPr>
          <w:rFonts w:ascii="Times New Roman" w:eastAsia="Calibri" w:hAnsi="Times New Roman"/>
          <w:sz w:val="20"/>
          <w:szCs w:val="20"/>
        </w:rPr>
        <w:t xml:space="preserve">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&lt;EndNote&gt;&lt;Cite&gt;&lt;Author&gt;Oomen&lt;/Author&gt;&lt;Year&gt;2003&lt;/Year&gt;&lt;RecNum&gt;50&lt;/RecNum&gt;&lt;DisplayText&gt;[9]&lt;/DisplayText&gt;&lt;record&gt;&lt;rec-number&gt;50&lt;/rec-number&gt;&lt;foreign-keys&gt;&lt;key app="EN" db-id="swr9aa0fctvwziet5pxv0ffgx2e2ssd59sv2"&gt;50&lt;/key&gt;&lt;/foreign-keys&gt;&lt;ref-type name="Journal Article"&gt;17&lt;/ref-type&gt;&lt;contributors&gt;&lt;authors&gt;&lt;author&gt;Oomen, AG&lt;/author&gt;&lt;author&gt;Rompelberg, CJM&lt;/author&gt;&lt;author&gt;Bruil, MA&lt;/author&gt;&lt;author&gt;Dobbe, CJG&lt;/author&gt;&lt;author&gt;Pereboom, DPKH&lt;/author&gt;&lt;author&gt;Sips, AJAM&lt;/author&gt;&lt;/authors&gt;&lt;/contributors&gt;&lt;titles&gt;&lt;title&gt;Development of an in vitro digestion model for estimating the bioaccessibility of soil contaminants&lt;/title&gt;&lt;secondary-title&gt;Archives of environmental contamination and toxicology&lt;/secondary-title&gt;&lt;/titles&gt;&lt;periodical&gt;&lt;full-title&gt;Archives of environmental contamination and toxicology&lt;/full-title&gt;&lt;/periodical&gt;&lt;pages&gt;0281-0287&lt;/pages&gt;&lt;volume&gt;44&lt;/volume&gt;&lt;number&gt;3&lt;/number&gt;&lt;dates&gt;&lt;year&gt;2003&lt;/year&gt;&lt;/dates&gt;&lt;isbn&gt;0090-4341&lt;/isbn&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9" w:tooltip="Oomen, 2003 #50" w:history="1">
        <w:r w:rsidRPr="00E104B4">
          <w:rPr>
            <w:rFonts w:ascii="Times New Roman" w:eastAsia="Calibri" w:hAnsi="Times New Roman"/>
            <w:noProof/>
            <w:sz w:val="20"/>
            <w:szCs w:val="20"/>
          </w:rPr>
          <w:t>9</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 xml:space="preserve">. </w:t>
      </w:r>
      <w:r w:rsidRPr="00E104B4">
        <w:rPr>
          <w:rFonts w:ascii="Times New Roman" w:eastAsia="Calibri" w:hAnsi="Times New Roman"/>
          <w:sz w:val="20"/>
          <w:szCs w:val="20"/>
          <w:lang w:val="en-GB"/>
        </w:rPr>
        <w:t>It constitutes the utmost number of contaminants that are available for intestinal absorption. This is the theoretical fraction convenient for adsorption through the gastrointestinal tract</w:t>
      </w:r>
      <w:r w:rsidRPr="00E104B4">
        <w:rPr>
          <w:rFonts w:ascii="Times New Roman" w:eastAsia="Calibri" w:hAnsi="Times New Roman"/>
          <w:sz w:val="20"/>
          <w:szCs w:val="20"/>
        </w:rPr>
        <w:t xml:space="preserve">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&lt;EndNote&gt;&lt;Cite&gt;&lt;Author&gt;Monachese&lt;/Author&gt;&lt;Year&gt;2012&lt;/Year&gt;&lt;RecNum&gt;49&lt;/RecNum&gt;&lt;DisplayText&gt;[10]&lt;/DisplayText&gt;&lt;record&gt;&lt;rec-number&gt;49&lt;/rec-number&gt;&lt;foreign-keys&gt;&lt;key app="EN" db-id="swr9aa0fctvwziet5pxv0ffgx2e2ssd59sv2"&gt;49&lt;/key&gt;&lt;/foreign-keys&gt;&lt;ref-type name="Journal Article"&gt;17&lt;/ref-type&gt;&lt;contributors&gt;&lt;authors&gt;&lt;author&gt;Monachese, Marc&lt;/author&gt;&lt;author&gt;Burton, Jeremy P&lt;/author&gt;&lt;author&gt;Reid, Gregor&lt;/author&gt;&lt;/authors&gt;&lt;/contributors&gt;&lt;titles&gt;&lt;title&gt;Bioremediation and tolerance of humans to heavy metals through microbial processes: a potential role for probiotics?&lt;/title&gt;&lt;secondary-title&gt;Applied and environmental microbiology&lt;/secondary-title&gt;&lt;/titles&gt;&lt;periodical&gt;&lt;full-title&gt;Applied and environmental microbiology&lt;/full-title&gt;&lt;/periodical&gt;&lt;pages&gt;6397-6404&lt;/pages&gt;&lt;volume&gt;78&lt;/volume&gt;&lt;number&gt;18&lt;/number&gt;&lt;dates&gt;&lt;year&gt;2012&lt;/year&gt;&lt;/dates&gt;&lt;isbn&gt;0099-2240&lt;/isbn&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10" w:tooltip="Monachese, 2012 #49" w:history="1">
        <w:r w:rsidRPr="00E104B4">
          <w:rPr>
            <w:rFonts w:ascii="Times New Roman" w:eastAsia="Calibri" w:hAnsi="Times New Roman"/>
            <w:noProof/>
            <w:sz w:val="20"/>
            <w:szCs w:val="20"/>
          </w:rPr>
          <w:t>10</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 xml:space="preserve">. </w:t>
      </w:r>
      <w:r w:rsidRPr="00E104B4">
        <w:rPr>
          <w:rFonts w:ascii="Times New Roman" w:eastAsia="Calibri" w:hAnsi="Times New Roman"/>
          <w:sz w:val="20"/>
          <w:szCs w:val="20"/>
          <w:lang w:val="en-GB"/>
        </w:rPr>
        <w:t>In this investigation, the sole medium for occupational exposure through radioactivity ingestion was when radionuclides became integrated with dust or other substances and were later exposed to food or other entities that were put into the mouth, for instance pens or fingers. Th and U cause concern for authorities as they may cause health hazards, particularly when they have been ingested</w:t>
      </w:r>
      <w:r w:rsidRPr="00E104B4">
        <w:rPr>
          <w:rFonts w:ascii="Times New Roman" w:eastAsia="Calibri" w:hAnsi="Times New Roman"/>
          <w:sz w:val="20"/>
          <w:szCs w:val="20"/>
          <w:shd w:val="clear" w:color="auto" w:fill="FFFFFF"/>
          <w:lang w:val="en-GB"/>
        </w:rPr>
        <w:t>.</w:t>
      </w:r>
      <w:r w:rsidRPr="00E104B4">
        <w:rPr>
          <w:rFonts w:ascii="Times New Roman" w:eastAsia="Calibri" w:hAnsi="Times New Roman"/>
          <w:sz w:val="20"/>
          <w:szCs w:val="20"/>
          <w:lang w:val="en-GB"/>
        </w:rPr>
        <w:t xml:space="preserve"> Th and U are both from chemical and radiological standpoints and their compounds are immensely toxic</w:t>
      </w:r>
      <w:r w:rsidRPr="00E104B4">
        <w:rPr>
          <w:rFonts w:ascii="Times New Roman" w:eastAsia="Calibri" w:hAnsi="Times New Roman"/>
          <w:sz w:val="20"/>
          <w:szCs w:val="20"/>
        </w:rPr>
        <w:t xml:space="preserve">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&lt;EndNote&gt;&lt;Cite&gt;&lt;Author&gt;Al-Jundi&lt;/Author&gt;&lt;Year&gt;2004&lt;/Year&gt;&lt;RecNum&gt;30&lt;/RecNum&gt;&lt;DisplayText&gt;[11]&lt;/DisplayText&gt;&lt;record&gt;&lt;rec-number&gt;30&lt;/rec-number&gt;&lt;foreign-keys&gt;&lt;key app="EN" db-id="swr9aa0fctvwziet5pxv0ffgx2e2ssd59sv2"&gt;30&lt;/key&gt;&lt;/foreign-keys&gt;&lt;ref-type name="Journal Article"&gt;17&lt;/ref-type&gt;&lt;contributors&gt;&lt;authors&gt;&lt;author&gt;Al-Jundi, J&lt;/author&gt;&lt;author&gt;Werner, E&lt;/author&gt;&lt;author&gt;Roth, P&lt;/author&gt;&lt;author&gt;Höllriegl, V&lt;/author&gt;&lt;author&gt;Wendler, I&lt;/author&gt;&lt;author&gt;Schramel, P&lt;/author&gt;&lt;/authors&gt;&lt;/contributors&gt;&lt;titles&gt;&lt;title&gt;Thorium and uranium contents in human urine: influence of age and residential area&lt;/title&gt;&lt;secondary-title&gt;Journal of environmental radioactivity&lt;/secondary-title&gt;&lt;/titles&gt;&lt;periodical&gt;&lt;full-title&gt;Journal of Environmental Radioactivity&lt;/full-title&gt;&lt;/periodical&gt;&lt;pages&gt;61-70&lt;/pages&gt;&lt;volume&gt;71&lt;/volume&gt;&lt;number&gt;1&lt;/number&gt;&lt;dates&gt;&lt;year&gt;2004&lt;/year&gt;&lt;/dates&gt;&lt;isbn&gt;0265-931X&lt;/isbn&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11" w:tooltip="Al-Jundi, 2004 #30" w:history="1">
        <w:r w:rsidRPr="00E104B4">
          <w:rPr>
            <w:rFonts w:ascii="Times New Roman" w:eastAsia="Calibri" w:hAnsi="Times New Roman"/>
            <w:noProof/>
            <w:sz w:val="20"/>
            <w:szCs w:val="20"/>
          </w:rPr>
          <w:t>11</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w:t>
      </w: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GB"/>
        </w:rPr>
      </w:pPr>
    </w:p>
    <w:p w:rsidR="00E104B4" w:rsidRDefault="00E104B4" w:rsidP="00E104B4">
      <w:pPr>
        <w:shd w:val="clear" w:color="auto" w:fill="FFFFFF"/>
        <w:spacing w:after="0" w:line="240" w:lineRule="auto"/>
        <w:jc w:val="both"/>
        <w:rPr>
          <w:rFonts w:ascii="Times New Roman" w:eastAsia="Calibri" w:hAnsi="Times New Roman"/>
          <w:sz w:val="20"/>
          <w:szCs w:val="20"/>
          <w:lang w:val="en-GB"/>
        </w:rPr>
      </w:pPr>
      <w:r w:rsidRPr="00E104B4">
        <w:rPr>
          <w:rFonts w:ascii="Times New Roman" w:eastAsia="Calibri" w:hAnsi="Times New Roman"/>
          <w:sz w:val="20"/>
          <w:szCs w:val="20"/>
          <w:lang w:val="en-GB"/>
        </w:rPr>
        <w:t xml:space="preserve">The </w:t>
      </w:r>
      <w:r w:rsidRPr="00E104B4">
        <w:rPr>
          <w:rFonts w:ascii="Times New Roman" w:eastAsia="Calibri" w:hAnsi="Times New Roman"/>
          <w:i/>
          <w:sz w:val="20"/>
          <w:szCs w:val="20"/>
          <w:lang w:val="en-GB"/>
        </w:rPr>
        <w:t>in vitro</w:t>
      </w:r>
      <w:r w:rsidRPr="00E104B4">
        <w:rPr>
          <w:rFonts w:ascii="Times New Roman" w:eastAsia="Calibri" w:hAnsi="Times New Roman"/>
          <w:sz w:val="20"/>
          <w:szCs w:val="20"/>
          <w:lang w:val="en-GB"/>
        </w:rPr>
        <w:t xml:space="preserve"> bioaccessibility method was utilised to evaluate the LC and WLP residue radionuclide solubility potential or the ability of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 xml:space="preserve">Th and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 xml:space="preserve">U to be absorbed in the human digestive system. The study of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 xml:space="preserve">Th and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 xml:space="preserve">U solubility in synthetic gastrointestinal digestion liquid by applying a DIN </w:t>
      </w:r>
      <w:r w:rsidRPr="00E104B4">
        <w:rPr>
          <w:rFonts w:ascii="Times New Roman" w:eastAsia="Calibri" w:hAnsi="Times New Roman"/>
          <w:i/>
          <w:sz w:val="20"/>
          <w:szCs w:val="20"/>
          <w:lang w:val="en-GB"/>
        </w:rPr>
        <w:t>in vitro</w:t>
      </w:r>
      <w:r w:rsidRPr="00E104B4">
        <w:rPr>
          <w:rFonts w:ascii="Times New Roman" w:eastAsia="Calibri" w:hAnsi="Times New Roman"/>
          <w:sz w:val="20"/>
          <w:szCs w:val="20"/>
          <w:lang w:val="en-GB"/>
        </w:rPr>
        <w:t xml:space="preserve"> bioaccessibility method is conducted outside the human digestive system in a system similar to the digestive systems of adults and children. </w:t>
      </w:r>
      <w:r w:rsidR="00FE7A13">
        <w:rPr>
          <w:rFonts w:ascii="Times New Roman" w:eastAsia="Calibri" w:hAnsi="Times New Roman"/>
          <w:sz w:val="20"/>
          <w:szCs w:val="20"/>
          <w:lang w:val="en-GB"/>
        </w:rPr>
        <w:t>T</w:t>
      </w:r>
      <w:r w:rsidRPr="00E104B4">
        <w:rPr>
          <w:rFonts w:ascii="Times New Roman" w:eastAsia="Calibri" w:hAnsi="Times New Roman"/>
          <w:sz w:val="20"/>
          <w:szCs w:val="20"/>
          <w:lang w:val="en-GB"/>
        </w:rPr>
        <w:t xml:space="preserve">heoretically, if a fragment of discharged pollutants from soil entered the synthetic gastrointestinal fluids, then it could be implied as soluble. The absorption in the gut and transfer into the blood were represented by the maximum quantity of contaminants in the soil. This approach is also appropriate for bioaccessibility tests for allocating data in human health risk assessments. The objectives of this study were to determine the solubility level of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 xml:space="preserve">Th and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 xml:space="preserve">U in LC and WLP residue, and to analyse the effectiveness of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 xml:space="preserve">Th and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 xml:space="preserve">U solubility with synthetic gastrointestinal fluids using a DIN </w:t>
      </w:r>
      <w:r w:rsidRPr="00E104B4">
        <w:rPr>
          <w:rFonts w:ascii="Times New Roman" w:eastAsia="Calibri" w:hAnsi="Times New Roman"/>
          <w:i/>
          <w:sz w:val="20"/>
          <w:szCs w:val="20"/>
          <w:lang w:val="en-GB"/>
        </w:rPr>
        <w:t>in vitro</w:t>
      </w:r>
      <w:r w:rsidRPr="00E104B4">
        <w:rPr>
          <w:rFonts w:ascii="Times New Roman" w:eastAsia="Calibri" w:hAnsi="Times New Roman"/>
          <w:sz w:val="20"/>
          <w:szCs w:val="20"/>
          <w:lang w:val="en-GB"/>
        </w:rPr>
        <w:t xml:space="preserve"> bioaccessibility method. Quantitative determination of </w:t>
      </w:r>
      <w:r w:rsidRPr="00E104B4">
        <w:rPr>
          <w:rFonts w:ascii="Times New Roman" w:eastAsia="Calibri" w:hAnsi="Times New Roman"/>
          <w:sz w:val="20"/>
          <w:szCs w:val="20"/>
          <w:shd w:val="clear" w:color="auto" w:fill="FFFFFF"/>
          <w:vertAlign w:val="superscript"/>
          <w:lang w:val="en-GB"/>
        </w:rPr>
        <w:t>238</w:t>
      </w:r>
      <w:r w:rsidRPr="00E104B4">
        <w:rPr>
          <w:rFonts w:ascii="Times New Roman" w:eastAsia="Calibri" w:hAnsi="Times New Roman"/>
          <w:sz w:val="20"/>
          <w:szCs w:val="20"/>
          <w:shd w:val="clear" w:color="auto" w:fill="FFFFFF"/>
          <w:lang w:val="en-GB"/>
        </w:rPr>
        <w:t xml:space="preserve">Th and </w:t>
      </w:r>
      <w:r w:rsidRPr="00E104B4">
        <w:rPr>
          <w:rFonts w:ascii="Times New Roman" w:eastAsia="Calibri" w:hAnsi="Times New Roman"/>
          <w:sz w:val="20"/>
          <w:szCs w:val="20"/>
          <w:shd w:val="clear" w:color="auto" w:fill="FFFFFF"/>
          <w:vertAlign w:val="superscript"/>
          <w:lang w:val="en-GB"/>
        </w:rPr>
        <w:t>232</w:t>
      </w:r>
      <w:r w:rsidRPr="00E104B4">
        <w:rPr>
          <w:rFonts w:ascii="Times New Roman" w:eastAsia="Calibri" w:hAnsi="Times New Roman"/>
          <w:sz w:val="20"/>
          <w:szCs w:val="20"/>
          <w:shd w:val="clear" w:color="auto" w:fill="FFFFFF"/>
          <w:lang w:val="en-GB"/>
        </w:rPr>
        <w:t>U in LC and WLP residue is of great interest and is vital for geological investigation</w:t>
      </w:r>
      <w:r w:rsidRPr="00E104B4">
        <w:rPr>
          <w:rFonts w:ascii="Times New Roman" w:eastAsia="Calibri" w:hAnsi="Times New Roman"/>
          <w:sz w:val="20"/>
          <w:szCs w:val="20"/>
          <w:lang w:val="en-GB"/>
        </w:rPr>
        <w:t>. Bioaccessibility and oral bioavailability theories are significant to quantify the potential risks that are linked with oral exposure to environmental contaminants.</w:t>
      </w:r>
    </w:p>
    <w:p w:rsidR="00E104B4" w:rsidRPr="00E104B4" w:rsidRDefault="00E104B4" w:rsidP="00E104B4">
      <w:pPr>
        <w:shd w:val="clear" w:color="auto" w:fill="FFFFFF"/>
        <w:spacing w:after="0" w:line="240" w:lineRule="auto"/>
        <w:jc w:val="center"/>
        <w:rPr>
          <w:rFonts w:ascii="Times New Roman" w:eastAsia="Calibri" w:hAnsi="Times New Roman"/>
          <w:b/>
          <w:sz w:val="20"/>
          <w:szCs w:val="20"/>
        </w:rPr>
      </w:pPr>
    </w:p>
    <w:p w:rsidR="00E104B4" w:rsidRPr="00E104B4" w:rsidRDefault="00E104B4" w:rsidP="00E104B4">
      <w:pPr>
        <w:shd w:val="clear" w:color="auto" w:fill="FFFFFF"/>
        <w:spacing w:after="0" w:line="240" w:lineRule="auto"/>
        <w:jc w:val="center"/>
        <w:rPr>
          <w:rFonts w:ascii="Times New Roman" w:eastAsia="Calibri" w:hAnsi="Times New Roman"/>
          <w:b/>
          <w:sz w:val="20"/>
          <w:szCs w:val="20"/>
        </w:rPr>
      </w:pPr>
      <w:r w:rsidRPr="00E104B4">
        <w:rPr>
          <w:rFonts w:ascii="Times New Roman" w:eastAsia="Calibri" w:hAnsi="Times New Roman"/>
          <w:b/>
          <w:caps/>
          <w:sz w:val="20"/>
          <w:szCs w:val="20"/>
        </w:rPr>
        <w:lastRenderedPageBreak/>
        <w:t>M</w:t>
      </w:r>
      <w:r w:rsidRPr="00E104B4">
        <w:rPr>
          <w:rFonts w:ascii="Times New Roman" w:eastAsia="Calibri" w:hAnsi="Times New Roman"/>
          <w:b/>
          <w:sz w:val="20"/>
          <w:szCs w:val="20"/>
        </w:rPr>
        <w:t>aterials and Methods</w:t>
      </w:r>
    </w:p>
    <w:p w:rsidR="00E104B4" w:rsidRPr="00E104B4" w:rsidRDefault="00E104B4" w:rsidP="00E104B4">
      <w:pPr>
        <w:shd w:val="clear" w:color="auto" w:fill="FFFFFF"/>
        <w:spacing w:after="0" w:line="240" w:lineRule="auto"/>
        <w:jc w:val="both"/>
        <w:rPr>
          <w:rFonts w:ascii="Times New Roman" w:eastAsia="Calibri" w:hAnsi="Times New Roman"/>
          <w:b/>
          <w:sz w:val="20"/>
          <w:szCs w:val="20"/>
        </w:rPr>
      </w:pPr>
      <w:r w:rsidRPr="00E104B4">
        <w:rPr>
          <w:rFonts w:ascii="Times New Roman" w:eastAsia="Calibri" w:hAnsi="Times New Roman"/>
          <w:b/>
          <w:sz w:val="20"/>
          <w:szCs w:val="20"/>
        </w:rPr>
        <w:t>Sample collection and preparation</w:t>
      </w:r>
    </w:p>
    <w:p w:rsidR="00E104B4" w:rsidRPr="00E104B4" w:rsidRDefault="00E104B4" w:rsidP="00E104B4">
      <w:pPr>
        <w:shd w:val="clear" w:color="auto" w:fill="FFFFFF"/>
        <w:spacing w:after="0" w:line="240" w:lineRule="auto"/>
        <w:jc w:val="both"/>
        <w:rPr>
          <w:rFonts w:ascii="Times New Roman" w:eastAsia="Calibri" w:hAnsi="Times New Roman"/>
          <w:sz w:val="20"/>
          <w:szCs w:val="20"/>
        </w:rPr>
      </w:pPr>
      <w:r w:rsidRPr="00E104B4">
        <w:rPr>
          <w:rFonts w:ascii="Times New Roman" w:eastAsia="Calibri" w:hAnsi="Times New Roman"/>
          <w:sz w:val="20"/>
          <w:szCs w:val="20"/>
          <w:lang w:val="en-GB"/>
        </w:rPr>
        <w:t xml:space="preserve">The LC and WLP residue samples used in this study were collected from the LAMP, Kuantan, Pahang. The samples were air-dried and passed through a 2 mm sieve for the later purpose of bioaccessibility assessment. The total initial concentrations of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Th</w:t>
      </w:r>
      <w:r w:rsidRPr="00E104B4">
        <w:rPr>
          <w:rFonts w:ascii="Times New Roman" w:eastAsia="Calibri" w:hAnsi="Times New Roman"/>
          <w:sz w:val="20"/>
          <w:szCs w:val="20"/>
          <w:vertAlign w:val="superscript"/>
          <w:lang w:val="en-GB"/>
        </w:rPr>
        <w:t xml:space="preserve"> </w:t>
      </w:r>
      <w:r w:rsidRPr="00E104B4">
        <w:rPr>
          <w:rFonts w:ascii="Times New Roman" w:eastAsia="Calibri" w:hAnsi="Times New Roman"/>
          <w:sz w:val="20"/>
          <w:szCs w:val="20"/>
          <w:lang w:val="en-GB"/>
        </w:rPr>
        <w:t xml:space="preserve">and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 xml:space="preserve">U were analysed using a Bruker S8 Tiger X-Ray fluorescence spectrometer (XRF); the concentrations are shown in </w:t>
      </w:r>
      <w:r w:rsidRPr="00FE7A13">
        <w:rPr>
          <w:rFonts w:ascii="Times New Roman" w:eastAsia="Calibri" w:hAnsi="Times New Roman"/>
          <w:sz w:val="20"/>
          <w:szCs w:val="20"/>
          <w:lang w:val="en-GB"/>
        </w:rPr>
        <w:t>Table 1</w:t>
      </w:r>
      <w:r w:rsidRPr="00E104B4">
        <w:rPr>
          <w:rFonts w:ascii="Times New Roman" w:eastAsia="Calibri" w:hAnsi="Times New Roman"/>
          <w:sz w:val="20"/>
          <w:szCs w:val="20"/>
        </w:rPr>
        <w:t>.</w:t>
      </w:r>
    </w:p>
    <w:p w:rsidR="00E104B4" w:rsidRPr="00E104B4" w:rsidRDefault="00E104B4" w:rsidP="00F8754D">
      <w:pPr>
        <w:shd w:val="clear" w:color="auto" w:fill="FFFFFF"/>
        <w:spacing w:after="0" w:line="240" w:lineRule="auto"/>
        <w:jc w:val="both"/>
        <w:rPr>
          <w:rFonts w:ascii="Times New Roman" w:eastAsia="Calibri" w:hAnsi="Times New Roman"/>
          <w:sz w:val="20"/>
          <w:szCs w:val="20"/>
          <w:lang w:val="en-GB"/>
        </w:rPr>
      </w:pPr>
    </w:p>
    <w:p w:rsidR="00E104B4" w:rsidRPr="00E104B4" w:rsidRDefault="00E104B4" w:rsidP="00E104B4">
      <w:pPr>
        <w:shd w:val="clear" w:color="auto" w:fill="FFFFFF"/>
        <w:spacing w:after="120" w:line="240" w:lineRule="auto"/>
        <w:jc w:val="center"/>
        <w:rPr>
          <w:rFonts w:ascii="Times New Roman" w:eastAsia="Calibri" w:hAnsi="Times New Roman"/>
          <w:sz w:val="20"/>
          <w:szCs w:val="20"/>
        </w:rPr>
      </w:pPr>
      <w:r w:rsidRPr="00E104B4">
        <w:rPr>
          <w:rFonts w:ascii="Times New Roman" w:eastAsia="Calibri" w:hAnsi="Times New Roman"/>
          <w:sz w:val="20"/>
          <w:szCs w:val="20"/>
        </w:rPr>
        <w:t>Table 1.</w:t>
      </w:r>
      <w:r>
        <w:rPr>
          <w:rFonts w:ascii="Times New Roman" w:eastAsia="Calibri" w:hAnsi="Times New Roman"/>
          <w:sz w:val="20"/>
          <w:szCs w:val="20"/>
        </w:rPr>
        <w:t xml:space="preserve">  </w:t>
      </w:r>
      <w:r w:rsidRPr="00E104B4">
        <w:rPr>
          <w:rFonts w:ascii="Times New Roman" w:eastAsia="Calibri" w:hAnsi="Times New Roman"/>
          <w:sz w:val="20"/>
          <w:szCs w:val="20"/>
        </w:rPr>
        <w:t xml:space="preserve"> Concentrations of </w:t>
      </w:r>
      <w:r w:rsidRPr="00E104B4">
        <w:rPr>
          <w:rFonts w:ascii="Times New Roman" w:eastAsia="Calibri" w:hAnsi="Times New Roman"/>
          <w:sz w:val="20"/>
          <w:szCs w:val="20"/>
          <w:vertAlign w:val="superscript"/>
        </w:rPr>
        <w:t>232</w:t>
      </w:r>
      <w:r w:rsidRPr="00E104B4">
        <w:rPr>
          <w:rFonts w:ascii="Times New Roman" w:eastAsia="Calibri" w:hAnsi="Times New Roman"/>
          <w:sz w:val="20"/>
          <w:szCs w:val="20"/>
        </w:rPr>
        <w:t xml:space="preserve">Th and </w:t>
      </w:r>
      <w:r w:rsidRPr="00E104B4">
        <w:rPr>
          <w:rFonts w:ascii="Times New Roman" w:eastAsia="Calibri" w:hAnsi="Times New Roman"/>
          <w:sz w:val="20"/>
          <w:szCs w:val="20"/>
          <w:vertAlign w:val="superscript"/>
        </w:rPr>
        <w:t>238</w:t>
      </w:r>
      <w:r w:rsidRPr="00E104B4">
        <w:rPr>
          <w:rFonts w:ascii="Times New Roman" w:eastAsia="Calibri" w:hAnsi="Times New Roman"/>
          <w:sz w:val="20"/>
          <w:szCs w:val="20"/>
        </w:rPr>
        <w:t>U before bioaccessibility method</w:t>
      </w:r>
    </w:p>
    <w:tbl>
      <w:tblPr>
        <w:tblW w:w="0" w:type="auto"/>
        <w:jc w:val="center"/>
        <w:tblLook w:val="04A0" w:firstRow="1" w:lastRow="0" w:firstColumn="1" w:lastColumn="0" w:noHBand="0" w:noVBand="1"/>
      </w:tblPr>
      <w:tblGrid>
        <w:gridCol w:w="3393"/>
        <w:gridCol w:w="1294"/>
        <w:gridCol w:w="975"/>
      </w:tblGrid>
      <w:tr w:rsidR="00E104B4" w:rsidRPr="00E104B4" w:rsidTr="00D56804">
        <w:trPr>
          <w:trHeight w:val="229"/>
          <w:jc w:val="center"/>
        </w:trPr>
        <w:tc>
          <w:tcPr>
            <w:tcW w:w="0" w:type="auto"/>
            <w:tcBorders>
              <w:top w:val="single" w:sz="4" w:space="0" w:color="auto"/>
            </w:tcBorders>
          </w:tcPr>
          <w:p w:rsidR="00E104B4" w:rsidRPr="00E104B4" w:rsidRDefault="00E104B4" w:rsidP="00FE7A13">
            <w:pPr>
              <w:spacing w:after="0" w:line="240" w:lineRule="auto"/>
              <w:rPr>
                <w:rFonts w:ascii="Times New Roman" w:eastAsia="Calibri" w:hAnsi="Times New Roman"/>
                <w:b/>
                <w:sz w:val="20"/>
                <w:szCs w:val="20"/>
              </w:rPr>
            </w:pPr>
          </w:p>
        </w:tc>
        <w:tc>
          <w:tcPr>
            <w:tcW w:w="0" w:type="auto"/>
            <w:gridSpan w:val="2"/>
            <w:tcBorders>
              <w:top w:val="single" w:sz="4" w:space="0" w:color="auto"/>
              <w:bottom w:val="single" w:sz="4" w:space="0" w:color="auto"/>
            </w:tcBorders>
          </w:tcPr>
          <w:p w:rsidR="00E104B4" w:rsidRPr="00E104B4" w:rsidRDefault="00E104B4" w:rsidP="00E104B4">
            <w:pPr>
              <w:spacing w:before="60" w:after="0" w:line="240" w:lineRule="auto"/>
              <w:jc w:val="center"/>
              <w:rPr>
                <w:rFonts w:ascii="Times New Roman" w:eastAsia="Calibri" w:hAnsi="Times New Roman"/>
                <w:b/>
                <w:sz w:val="20"/>
                <w:szCs w:val="20"/>
              </w:rPr>
            </w:pPr>
            <w:r w:rsidRPr="00E104B4">
              <w:rPr>
                <w:rFonts w:ascii="Times New Roman" w:eastAsia="Calibri" w:hAnsi="Times New Roman"/>
                <w:b/>
                <w:sz w:val="20"/>
                <w:szCs w:val="20"/>
              </w:rPr>
              <w:t>Concentration (mg kg</w:t>
            </w:r>
            <w:r w:rsidRPr="00E104B4">
              <w:rPr>
                <w:rFonts w:ascii="Times New Roman" w:eastAsia="Calibri" w:hAnsi="Times New Roman"/>
                <w:b/>
                <w:sz w:val="20"/>
                <w:szCs w:val="20"/>
                <w:vertAlign w:val="superscript"/>
              </w:rPr>
              <w:t>-1</w:t>
            </w:r>
            <w:r w:rsidRPr="00E104B4">
              <w:rPr>
                <w:rFonts w:ascii="Times New Roman" w:eastAsia="Calibri" w:hAnsi="Times New Roman"/>
                <w:b/>
                <w:sz w:val="20"/>
                <w:szCs w:val="20"/>
              </w:rPr>
              <w:t>)</w:t>
            </w:r>
          </w:p>
        </w:tc>
      </w:tr>
      <w:tr w:rsidR="00E104B4" w:rsidRPr="00E104B4" w:rsidTr="00D56804">
        <w:trPr>
          <w:trHeight w:val="175"/>
          <w:jc w:val="center"/>
        </w:trPr>
        <w:tc>
          <w:tcPr>
            <w:tcW w:w="0" w:type="auto"/>
            <w:tcBorders>
              <w:bottom w:val="single" w:sz="4" w:space="0" w:color="auto"/>
            </w:tcBorders>
          </w:tcPr>
          <w:p w:rsidR="00E104B4" w:rsidRPr="00E104B4" w:rsidRDefault="00E104B4" w:rsidP="00FE7A13">
            <w:pPr>
              <w:spacing w:after="0" w:line="240" w:lineRule="auto"/>
              <w:rPr>
                <w:rFonts w:ascii="Times New Roman" w:eastAsia="Calibri" w:hAnsi="Times New Roman"/>
                <w:b/>
                <w:sz w:val="20"/>
                <w:szCs w:val="20"/>
              </w:rPr>
            </w:pPr>
          </w:p>
        </w:tc>
        <w:tc>
          <w:tcPr>
            <w:tcW w:w="0" w:type="auto"/>
            <w:tcBorders>
              <w:top w:val="single" w:sz="4" w:space="0" w:color="auto"/>
              <w:bottom w:val="single" w:sz="4" w:space="0" w:color="auto"/>
            </w:tcBorders>
          </w:tcPr>
          <w:p w:rsidR="00E104B4" w:rsidRPr="00E104B4" w:rsidRDefault="00E104B4" w:rsidP="00334511">
            <w:pPr>
              <w:spacing w:before="60" w:after="60" w:line="240" w:lineRule="auto"/>
              <w:jc w:val="center"/>
              <w:rPr>
                <w:rFonts w:ascii="Times New Roman" w:eastAsia="Calibri" w:hAnsi="Times New Roman"/>
                <w:b/>
                <w:sz w:val="20"/>
                <w:szCs w:val="20"/>
              </w:rPr>
            </w:pPr>
            <w:r w:rsidRPr="00E104B4">
              <w:rPr>
                <w:rFonts w:ascii="Times New Roman" w:eastAsia="Calibri" w:hAnsi="Times New Roman"/>
                <w:b/>
                <w:sz w:val="20"/>
                <w:szCs w:val="20"/>
                <w:vertAlign w:val="superscript"/>
              </w:rPr>
              <w:t>232</w:t>
            </w:r>
            <w:r w:rsidRPr="00E104B4">
              <w:rPr>
                <w:rFonts w:ascii="Times New Roman" w:eastAsia="Calibri" w:hAnsi="Times New Roman"/>
                <w:b/>
                <w:sz w:val="20"/>
                <w:szCs w:val="20"/>
              </w:rPr>
              <w:t>Th</w:t>
            </w:r>
          </w:p>
        </w:tc>
        <w:tc>
          <w:tcPr>
            <w:tcW w:w="0" w:type="auto"/>
            <w:tcBorders>
              <w:top w:val="single" w:sz="4" w:space="0" w:color="auto"/>
              <w:bottom w:val="single" w:sz="4" w:space="0" w:color="auto"/>
            </w:tcBorders>
          </w:tcPr>
          <w:p w:rsidR="00E104B4" w:rsidRPr="00E104B4" w:rsidRDefault="00E104B4" w:rsidP="00334511">
            <w:pPr>
              <w:spacing w:before="60" w:after="60" w:line="240" w:lineRule="auto"/>
              <w:jc w:val="center"/>
              <w:rPr>
                <w:rFonts w:ascii="Times New Roman" w:eastAsia="Calibri" w:hAnsi="Times New Roman"/>
                <w:b/>
                <w:sz w:val="20"/>
                <w:szCs w:val="20"/>
              </w:rPr>
            </w:pPr>
            <w:r w:rsidRPr="00E104B4">
              <w:rPr>
                <w:rFonts w:ascii="Times New Roman" w:eastAsia="Calibri" w:hAnsi="Times New Roman"/>
                <w:b/>
                <w:sz w:val="20"/>
                <w:szCs w:val="20"/>
                <w:vertAlign w:val="superscript"/>
              </w:rPr>
              <w:t>238</w:t>
            </w:r>
            <w:r w:rsidRPr="00E104B4">
              <w:rPr>
                <w:rFonts w:ascii="Times New Roman" w:eastAsia="Calibri" w:hAnsi="Times New Roman"/>
                <w:b/>
                <w:sz w:val="20"/>
                <w:szCs w:val="20"/>
              </w:rPr>
              <w:t>U</w:t>
            </w:r>
          </w:p>
        </w:tc>
      </w:tr>
      <w:tr w:rsidR="00E104B4" w:rsidRPr="00E104B4" w:rsidTr="00334511">
        <w:trPr>
          <w:trHeight w:val="241"/>
          <w:jc w:val="center"/>
        </w:trPr>
        <w:tc>
          <w:tcPr>
            <w:tcW w:w="0" w:type="auto"/>
            <w:tcBorders>
              <w:top w:val="single" w:sz="4" w:space="0" w:color="auto"/>
            </w:tcBorders>
          </w:tcPr>
          <w:p w:rsidR="00E104B4" w:rsidRPr="00E104B4" w:rsidRDefault="00E104B4" w:rsidP="00FE7A13">
            <w:pPr>
              <w:spacing w:before="60" w:after="0" w:line="240" w:lineRule="auto"/>
              <w:rPr>
                <w:rFonts w:ascii="Times New Roman" w:eastAsia="Calibri" w:hAnsi="Times New Roman"/>
                <w:sz w:val="20"/>
                <w:szCs w:val="20"/>
              </w:rPr>
            </w:pPr>
            <w:r w:rsidRPr="00E104B4">
              <w:rPr>
                <w:rFonts w:ascii="Times New Roman" w:eastAsia="Calibri" w:hAnsi="Times New Roman"/>
                <w:sz w:val="20"/>
                <w:szCs w:val="20"/>
              </w:rPr>
              <w:t>Lanthanide concentrate (LC)</w:t>
            </w:r>
          </w:p>
        </w:tc>
        <w:tc>
          <w:tcPr>
            <w:tcW w:w="0" w:type="auto"/>
            <w:tcBorders>
              <w:top w:val="single" w:sz="4" w:space="0" w:color="auto"/>
            </w:tcBorders>
          </w:tcPr>
          <w:p w:rsidR="00E104B4" w:rsidRPr="00E104B4" w:rsidRDefault="00E104B4" w:rsidP="00E104B4">
            <w:pPr>
              <w:spacing w:before="60" w:after="0" w:line="240" w:lineRule="auto"/>
              <w:jc w:val="center"/>
              <w:rPr>
                <w:rFonts w:ascii="Times New Roman" w:eastAsia="Calibri" w:hAnsi="Times New Roman"/>
                <w:sz w:val="20"/>
                <w:szCs w:val="20"/>
              </w:rPr>
            </w:pPr>
            <w:r w:rsidRPr="00E104B4">
              <w:rPr>
                <w:rFonts w:ascii="Times New Roman" w:eastAsia="Calibri" w:hAnsi="Times New Roman"/>
                <w:sz w:val="20"/>
                <w:szCs w:val="20"/>
              </w:rPr>
              <w:t>18.0 – 101.0</w:t>
            </w:r>
          </w:p>
        </w:tc>
        <w:tc>
          <w:tcPr>
            <w:tcW w:w="0" w:type="auto"/>
            <w:tcBorders>
              <w:top w:val="single" w:sz="4" w:space="0" w:color="auto"/>
            </w:tcBorders>
          </w:tcPr>
          <w:p w:rsidR="00E104B4" w:rsidRPr="00E104B4" w:rsidRDefault="00E104B4" w:rsidP="00E104B4">
            <w:pPr>
              <w:spacing w:before="60" w:after="0" w:line="240" w:lineRule="auto"/>
              <w:jc w:val="center"/>
              <w:rPr>
                <w:rFonts w:ascii="Times New Roman" w:eastAsia="Calibri" w:hAnsi="Times New Roman"/>
                <w:sz w:val="20"/>
                <w:szCs w:val="20"/>
              </w:rPr>
            </w:pPr>
            <w:r w:rsidRPr="00E104B4">
              <w:rPr>
                <w:rFonts w:ascii="Times New Roman" w:eastAsia="Calibri" w:hAnsi="Times New Roman"/>
                <w:sz w:val="20"/>
                <w:szCs w:val="20"/>
              </w:rPr>
              <w:t>2.0 – 6.0</w:t>
            </w:r>
          </w:p>
        </w:tc>
      </w:tr>
      <w:tr w:rsidR="00E104B4" w:rsidRPr="00E104B4" w:rsidTr="00334511">
        <w:trPr>
          <w:trHeight w:val="255"/>
          <w:jc w:val="center"/>
        </w:trPr>
        <w:tc>
          <w:tcPr>
            <w:tcW w:w="0" w:type="auto"/>
            <w:tcBorders>
              <w:bottom w:val="single" w:sz="4" w:space="0" w:color="auto"/>
            </w:tcBorders>
          </w:tcPr>
          <w:p w:rsidR="00E104B4" w:rsidRPr="00E104B4" w:rsidRDefault="00E104B4" w:rsidP="00FE7A13">
            <w:pPr>
              <w:spacing w:before="60" w:after="60" w:line="240" w:lineRule="auto"/>
              <w:rPr>
                <w:rFonts w:ascii="Times New Roman" w:eastAsia="Calibri" w:hAnsi="Times New Roman"/>
                <w:sz w:val="20"/>
                <w:szCs w:val="20"/>
              </w:rPr>
            </w:pPr>
            <w:r w:rsidRPr="00E104B4">
              <w:rPr>
                <w:rFonts w:ascii="Times New Roman" w:eastAsia="Calibri" w:hAnsi="Times New Roman"/>
                <w:sz w:val="20"/>
                <w:szCs w:val="20"/>
              </w:rPr>
              <w:t>Water leach purification (WLP) residue</w:t>
            </w:r>
          </w:p>
        </w:tc>
        <w:tc>
          <w:tcPr>
            <w:tcW w:w="0" w:type="auto"/>
            <w:tcBorders>
              <w:bottom w:val="single" w:sz="4" w:space="0" w:color="auto"/>
            </w:tcBorders>
          </w:tcPr>
          <w:p w:rsidR="00E104B4" w:rsidRPr="00E104B4" w:rsidRDefault="00E104B4" w:rsidP="00E104B4">
            <w:pPr>
              <w:spacing w:before="60" w:after="60" w:line="240" w:lineRule="auto"/>
              <w:jc w:val="center"/>
              <w:rPr>
                <w:rFonts w:ascii="Times New Roman" w:eastAsia="Calibri" w:hAnsi="Times New Roman"/>
                <w:sz w:val="20"/>
                <w:szCs w:val="20"/>
              </w:rPr>
            </w:pPr>
            <w:r w:rsidRPr="00E104B4">
              <w:rPr>
                <w:rFonts w:ascii="Times New Roman" w:eastAsia="Calibri" w:hAnsi="Times New Roman"/>
                <w:sz w:val="20"/>
                <w:szCs w:val="20"/>
              </w:rPr>
              <w:t>27.0 – 155.1</w:t>
            </w:r>
          </w:p>
        </w:tc>
        <w:tc>
          <w:tcPr>
            <w:tcW w:w="0" w:type="auto"/>
            <w:tcBorders>
              <w:bottom w:val="single" w:sz="4" w:space="0" w:color="auto"/>
            </w:tcBorders>
          </w:tcPr>
          <w:p w:rsidR="00E104B4" w:rsidRPr="00E104B4" w:rsidRDefault="00E104B4" w:rsidP="00E104B4">
            <w:pPr>
              <w:spacing w:before="60" w:after="60" w:line="240" w:lineRule="auto"/>
              <w:jc w:val="center"/>
              <w:rPr>
                <w:rFonts w:ascii="Times New Roman" w:eastAsia="Calibri" w:hAnsi="Times New Roman"/>
                <w:sz w:val="20"/>
                <w:szCs w:val="20"/>
              </w:rPr>
            </w:pPr>
            <w:r w:rsidRPr="00E104B4">
              <w:rPr>
                <w:rFonts w:ascii="Times New Roman" w:eastAsia="Calibri" w:hAnsi="Times New Roman"/>
                <w:sz w:val="20"/>
                <w:szCs w:val="20"/>
              </w:rPr>
              <w:t>2.0 – 6.9</w:t>
            </w:r>
          </w:p>
        </w:tc>
      </w:tr>
      <w:tr w:rsidR="00334511" w:rsidRPr="00E104B4" w:rsidTr="00334511">
        <w:trPr>
          <w:trHeight w:val="255"/>
          <w:jc w:val="center"/>
        </w:trPr>
        <w:tc>
          <w:tcPr>
            <w:tcW w:w="0" w:type="auto"/>
            <w:tcBorders>
              <w:top w:val="single" w:sz="4" w:space="0" w:color="auto"/>
            </w:tcBorders>
          </w:tcPr>
          <w:p w:rsidR="00334511" w:rsidRPr="00E104B4" w:rsidRDefault="00334511" w:rsidP="00FE7A13">
            <w:pPr>
              <w:spacing w:before="60" w:after="60" w:line="240" w:lineRule="auto"/>
              <w:rPr>
                <w:rFonts w:ascii="Times New Roman" w:eastAsia="Calibri" w:hAnsi="Times New Roman"/>
                <w:sz w:val="20"/>
                <w:szCs w:val="20"/>
              </w:rPr>
            </w:pPr>
          </w:p>
        </w:tc>
        <w:tc>
          <w:tcPr>
            <w:tcW w:w="0" w:type="auto"/>
            <w:tcBorders>
              <w:top w:val="single" w:sz="4" w:space="0" w:color="auto"/>
            </w:tcBorders>
          </w:tcPr>
          <w:p w:rsidR="00334511" w:rsidRPr="00E104B4" w:rsidRDefault="00334511" w:rsidP="00E104B4">
            <w:pPr>
              <w:spacing w:before="60" w:after="60" w:line="240" w:lineRule="auto"/>
              <w:jc w:val="center"/>
              <w:rPr>
                <w:rFonts w:ascii="Times New Roman" w:eastAsia="Calibri" w:hAnsi="Times New Roman"/>
                <w:sz w:val="20"/>
                <w:szCs w:val="20"/>
              </w:rPr>
            </w:pPr>
          </w:p>
        </w:tc>
        <w:tc>
          <w:tcPr>
            <w:tcW w:w="0" w:type="auto"/>
            <w:tcBorders>
              <w:top w:val="single" w:sz="4" w:space="0" w:color="auto"/>
            </w:tcBorders>
          </w:tcPr>
          <w:p w:rsidR="00334511" w:rsidRPr="00E104B4" w:rsidRDefault="00334511" w:rsidP="00E104B4">
            <w:pPr>
              <w:spacing w:before="60" w:after="60" w:line="240" w:lineRule="auto"/>
              <w:jc w:val="center"/>
              <w:rPr>
                <w:rFonts w:ascii="Times New Roman" w:eastAsia="Calibri" w:hAnsi="Times New Roman"/>
                <w:sz w:val="20"/>
                <w:szCs w:val="20"/>
              </w:rPr>
            </w:pPr>
          </w:p>
        </w:tc>
      </w:tr>
    </w:tbl>
    <w:p w:rsidR="00ED4973" w:rsidRPr="00E104B4" w:rsidRDefault="00ED4973" w:rsidP="00ED4973">
      <w:pPr>
        <w:shd w:val="clear" w:color="auto" w:fill="FFFFFF"/>
        <w:spacing w:after="0" w:line="240" w:lineRule="auto"/>
        <w:jc w:val="both"/>
        <w:rPr>
          <w:rFonts w:ascii="Times New Roman" w:eastAsia="Calibri" w:hAnsi="Times New Roman"/>
          <w:b/>
          <w:sz w:val="20"/>
          <w:szCs w:val="20"/>
        </w:rPr>
      </w:pPr>
    </w:p>
    <w:p w:rsidR="00E104B4" w:rsidRPr="00E104B4" w:rsidRDefault="00E104B4" w:rsidP="00E104B4">
      <w:pPr>
        <w:shd w:val="clear" w:color="auto" w:fill="FFFFFF"/>
        <w:spacing w:after="0" w:line="240" w:lineRule="auto"/>
        <w:jc w:val="both"/>
        <w:rPr>
          <w:rFonts w:ascii="Times New Roman" w:eastAsia="Calibri" w:hAnsi="Times New Roman"/>
          <w:b/>
          <w:i/>
          <w:sz w:val="20"/>
          <w:szCs w:val="20"/>
        </w:rPr>
      </w:pPr>
      <w:r w:rsidRPr="00E104B4">
        <w:rPr>
          <w:rFonts w:ascii="Times New Roman" w:eastAsia="Calibri" w:hAnsi="Times New Roman"/>
          <w:b/>
          <w:sz w:val="20"/>
          <w:szCs w:val="20"/>
        </w:rPr>
        <w:t>DIN</w:t>
      </w:r>
      <w:r w:rsidRPr="00E104B4">
        <w:rPr>
          <w:rFonts w:ascii="Times New Roman" w:eastAsia="Calibri" w:hAnsi="Times New Roman"/>
          <w:b/>
          <w:i/>
          <w:sz w:val="20"/>
          <w:szCs w:val="20"/>
        </w:rPr>
        <w:t xml:space="preserve"> in vitro </w:t>
      </w:r>
      <w:r w:rsidRPr="00E104B4">
        <w:rPr>
          <w:rFonts w:ascii="Times New Roman" w:eastAsia="Calibri" w:hAnsi="Times New Roman"/>
          <w:b/>
          <w:sz w:val="20"/>
          <w:szCs w:val="20"/>
        </w:rPr>
        <w:t>bioaccessibility method</w:t>
      </w: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GB"/>
        </w:rPr>
      </w:pPr>
      <w:r w:rsidRPr="00E104B4">
        <w:rPr>
          <w:rFonts w:ascii="Times New Roman" w:eastAsia="Calibri" w:hAnsi="Times New Roman"/>
          <w:sz w:val="20"/>
          <w:szCs w:val="20"/>
          <w:lang w:val="en-GB"/>
        </w:rPr>
        <w:t>The DIN</w:t>
      </w:r>
      <w:r w:rsidRPr="00E104B4">
        <w:rPr>
          <w:rFonts w:ascii="Times New Roman" w:eastAsia="Calibri" w:hAnsi="Times New Roman"/>
          <w:i/>
          <w:sz w:val="20"/>
          <w:szCs w:val="20"/>
          <w:lang w:val="en-GB"/>
        </w:rPr>
        <w:t xml:space="preserve"> in vitro</w:t>
      </w:r>
      <w:r w:rsidRPr="00E104B4">
        <w:rPr>
          <w:rFonts w:ascii="Times New Roman" w:eastAsia="Calibri" w:hAnsi="Times New Roman"/>
          <w:sz w:val="20"/>
          <w:szCs w:val="20"/>
          <w:lang w:val="en-GB"/>
        </w:rPr>
        <w:t xml:space="preserve"> bioaccessibility method was used to evaluate bioaccessibility. The German method E DIN 19738, which is also known as the Standardised German </w:t>
      </w:r>
      <w:r w:rsidRPr="00E104B4">
        <w:rPr>
          <w:rFonts w:ascii="Times New Roman" w:eastAsia="Calibri" w:hAnsi="Times New Roman"/>
          <w:i/>
          <w:sz w:val="20"/>
          <w:szCs w:val="20"/>
          <w:lang w:val="en-GB"/>
        </w:rPr>
        <w:t>In Vitro</w:t>
      </w:r>
      <w:r w:rsidRPr="00E104B4">
        <w:rPr>
          <w:rFonts w:ascii="Times New Roman" w:eastAsia="Calibri" w:hAnsi="Times New Roman"/>
          <w:sz w:val="20"/>
          <w:szCs w:val="20"/>
          <w:lang w:val="en-GB"/>
        </w:rPr>
        <w:t xml:space="preserve"> Assay model, is a static gastrointestinal model that involves synthetic gastric fluids simulation followed by synthetic gastrointestinal fluids simulation </w:t>
      </w:r>
      <w:r w:rsidRPr="00E104B4">
        <w:rPr>
          <w:rFonts w:ascii="Times New Roman" w:eastAsia="Calibri" w:hAnsi="Times New Roman"/>
          <w:sz w:val="20"/>
          <w:szCs w:val="20"/>
        </w:rPr>
        <w:fldChar w:fldCharType="begin"/>
      </w:r>
      <w:r w:rsidRPr="00E104B4">
        <w:rPr>
          <w:rFonts w:ascii="Times New Roman" w:eastAsia="Calibri" w:hAnsi="Times New Roman"/>
          <w:sz w:val="20"/>
          <w:szCs w:val="20"/>
        </w:rPr>
        <w:instrText xml:space="preserve"> ADDIN EN.CITE &lt;EndNote&gt;&lt;Cite&gt;&lt;Author&gt;Van de Wiele&lt;/Author&gt;&lt;Year&gt;2007&lt;/Year&gt;&lt;RecNum&gt;51&lt;/RecNum&gt;&lt;DisplayText&gt;[12]&lt;/DisplayText&gt;&lt;record&gt;&lt;rec-number&gt;51&lt;/rec-number&gt;&lt;foreign-keys&gt;&lt;key app="EN" db-id="swr9aa0fctvwziet5pxv0ffgx2e2ssd59sv2"&gt;51&lt;/key&gt;&lt;/foreign-keys&gt;&lt;ref-type name="Journal Article"&gt;17&lt;/ref-type&gt;&lt;contributors&gt;&lt;authors&gt;&lt;author&gt;Van de Wiele, Tom R&lt;/author&gt;&lt;author&gt;Oomen, Agnes G&lt;/author&gt;&lt;author&gt;Wragg, Joanna&lt;/author&gt;&lt;author&gt;Cave, Mark&lt;/author&gt;&lt;author&gt;Minekus, Mans&lt;/author&gt;&lt;author&gt;Hack, Alfons&lt;/author&gt;&lt;author&gt;Cornelis, Christa&lt;/author&gt;&lt;author&gt;Rompelberg, Cathy JM&lt;/author&gt;&lt;author&gt;De Zwart, Loeckie L&lt;/author&gt;&lt;author&gt;Klinck, Ben&lt;/author&gt;&lt;/authors&gt;&lt;/contributors&gt;&lt;titles&gt;&lt;title&gt;Comparison of five in vitro digestion models to in vivo experimental results: lead bioaccessibility in the human gastrointestinal tract&lt;/title&gt;&lt;secondary-title&gt;Journal of Environmental Science and Health Part A&lt;/secondary-title&gt;&lt;/titles&gt;&lt;periodical&gt;&lt;full-title&gt;Journal of Environmental Science and Health Part A&lt;/full-title&gt;&lt;/periodical&gt;&lt;pages&gt;1203-1211&lt;/pages&gt;&lt;volume&gt;42&lt;/volume&gt;&lt;number&gt;9&lt;/number&gt;&lt;dates&gt;&lt;year&gt;2007&lt;/year&gt;&lt;/dates&gt;&lt;isbn&gt;1093-4529&lt;/isbn&gt;&lt;urls&gt;&lt;/urls&gt;&lt;/record&gt;&lt;/Cite&gt;&lt;/EndNote&gt;</w:instrText>
      </w:r>
      <w:r w:rsidRPr="00E104B4">
        <w:rPr>
          <w:rFonts w:ascii="Times New Roman" w:eastAsia="Calibri" w:hAnsi="Times New Roman"/>
          <w:sz w:val="20"/>
          <w:szCs w:val="20"/>
        </w:rPr>
        <w:fldChar w:fldCharType="separate"/>
      </w:r>
      <w:r w:rsidRPr="00E104B4">
        <w:rPr>
          <w:rFonts w:ascii="Times New Roman" w:eastAsia="Calibri" w:hAnsi="Times New Roman"/>
          <w:noProof/>
          <w:sz w:val="20"/>
          <w:szCs w:val="20"/>
        </w:rPr>
        <w:t>[</w:t>
      </w:r>
      <w:hyperlink w:anchor="_ENREF_12" w:tooltip="Van de Wiele, 2007 #51" w:history="1">
        <w:r w:rsidRPr="00E104B4">
          <w:rPr>
            <w:rFonts w:ascii="Times New Roman" w:eastAsia="Calibri" w:hAnsi="Times New Roman"/>
            <w:noProof/>
            <w:sz w:val="20"/>
            <w:szCs w:val="20"/>
          </w:rPr>
          <w:t>12</w:t>
        </w:r>
      </w:hyperlink>
      <w:r w:rsidRPr="00E104B4">
        <w:rPr>
          <w:rFonts w:ascii="Times New Roman" w:eastAsia="Calibri" w:hAnsi="Times New Roman"/>
          <w:noProof/>
          <w:sz w:val="20"/>
          <w:szCs w:val="20"/>
        </w:rPr>
        <w:t>]</w:t>
      </w:r>
      <w:r w:rsidRPr="00E104B4">
        <w:rPr>
          <w:rFonts w:ascii="Times New Roman" w:eastAsia="Calibri" w:hAnsi="Times New Roman"/>
          <w:sz w:val="20"/>
          <w:szCs w:val="20"/>
        </w:rPr>
        <w:fldChar w:fldCharType="end"/>
      </w:r>
      <w:r w:rsidRPr="00E104B4">
        <w:rPr>
          <w:rFonts w:ascii="Times New Roman" w:eastAsia="Calibri" w:hAnsi="Times New Roman"/>
          <w:sz w:val="20"/>
          <w:szCs w:val="20"/>
        </w:rPr>
        <w:t xml:space="preserve">. </w:t>
      </w:r>
      <w:r w:rsidRPr="00E104B4">
        <w:rPr>
          <w:rFonts w:ascii="Times New Roman" w:eastAsia="Calibri" w:hAnsi="Times New Roman"/>
          <w:sz w:val="20"/>
          <w:szCs w:val="20"/>
          <w:lang w:val="en-GB"/>
        </w:rPr>
        <w:t>The bioaccessibility method was started by suspending 2 g of LC or WLP residue samples in triplicate, where each sample was mixed with synthetic gastric fluids (solid to liquid ratio of 1:50) and later incubated for 2 hours at a pH of 1.4 ± 0.1. About 10 mL of the incubated gastric fluids were extracted, centrifuged at 3500 rpm for 15 minutes, and filtrated (0.45 µm filter paper) with a Rocker 400 laboratory vacuum pump. To fabricate the gastrointestinal fluids, the remaining volume of artificial gastric fluids was mixed with artificial intestinal fluids (solid to liquid ratio of 1:100). The artificial gastrointestinal fluids were further incubated for 6 hours at a pH of 7.5 ± 0.2. Then, 10 mL were extracted, centrifuged at 3500 rpm for 15 minutes, and filtrated. Both artificial fluids were incubated in a water bath that was kept at a constant temperature of 37 °C to simulate a normal human body temperature. The filtrated gastric and gastrointestinal fluids were sent for analysis with inductively coupled plasma mass spectrometry (ICP-MS) (Perkin Elmer ELAN 6000).</w:t>
      </w: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GB"/>
        </w:rPr>
      </w:pP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GB"/>
        </w:rPr>
      </w:pPr>
      <w:r w:rsidRPr="00E104B4">
        <w:rPr>
          <w:rFonts w:ascii="Times New Roman" w:eastAsia="Calibri" w:hAnsi="Times New Roman"/>
          <w:sz w:val="20"/>
          <w:szCs w:val="20"/>
          <w:lang w:val="en-GB"/>
        </w:rPr>
        <w:t xml:space="preserve">The elemental determination was conducted by irradiation of approximately 10 mL of each sample for 5 hours at the Malaysian Nuclear Agency, Bangi. Blanks of artificial gastric and gastrointestinal fluids without LC and WLP residue were run as controls. Table 2 portrays the preparation of artificial gastric and gastrointestinal fluids for the DIN </w:t>
      </w:r>
      <w:r w:rsidRPr="00E104B4">
        <w:rPr>
          <w:rFonts w:ascii="Times New Roman" w:eastAsia="Calibri" w:hAnsi="Times New Roman"/>
          <w:i/>
          <w:sz w:val="20"/>
          <w:szCs w:val="20"/>
          <w:lang w:val="en-GB"/>
        </w:rPr>
        <w:t>in vitro</w:t>
      </w:r>
      <w:r w:rsidRPr="00E104B4">
        <w:rPr>
          <w:rFonts w:ascii="Times New Roman" w:eastAsia="Calibri" w:hAnsi="Times New Roman"/>
          <w:sz w:val="20"/>
          <w:szCs w:val="20"/>
          <w:lang w:val="en-GB"/>
        </w:rPr>
        <w:t xml:space="preserve"> bioaccessibility method. By analysing International Atomic Energy Agency (IAEA) standard reference materials (Soil-7 and 448), quality control of the analysis was conducted. The procedure was conducted to determine the concentrations of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 xml:space="preserve">Th and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U integrated in the gastrointestinal system at intervals of 5 hours.</w:t>
      </w: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MY"/>
        </w:rPr>
      </w:pPr>
    </w:p>
    <w:p w:rsidR="00E104B4" w:rsidRPr="00B2716F" w:rsidRDefault="00E104B4" w:rsidP="00E104B4">
      <w:pPr>
        <w:shd w:val="clear" w:color="auto" w:fill="FFFFFF"/>
        <w:spacing w:after="0" w:line="240" w:lineRule="auto"/>
        <w:jc w:val="both"/>
        <w:rPr>
          <w:rFonts w:ascii="Times New Roman" w:eastAsia="Calibri" w:hAnsi="Times New Roman"/>
          <w:sz w:val="20"/>
          <w:szCs w:val="20"/>
          <w:lang w:val="en-GB"/>
        </w:rPr>
      </w:pPr>
      <w:r w:rsidRPr="00E104B4">
        <w:rPr>
          <w:rFonts w:ascii="Times New Roman" w:eastAsia="Calibri" w:hAnsi="Times New Roman"/>
          <w:sz w:val="20"/>
          <w:szCs w:val="20"/>
          <w:lang w:val="en-MY"/>
        </w:rPr>
        <w:t>Bioaccessibility of a particular radionuclide was calculated using the following equation 1:</w:t>
      </w:r>
    </w:p>
    <w:p w:rsidR="00E104B4" w:rsidRPr="00E104B4" w:rsidRDefault="00E104B4" w:rsidP="00B2716F">
      <w:pPr>
        <w:shd w:val="clear" w:color="auto" w:fill="FFFFFF"/>
        <w:spacing w:before="120" w:after="0" w:line="240" w:lineRule="auto"/>
        <w:ind w:firstLine="720"/>
        <w:jc w:val="both"/>
        <w:rPr>
          <w:rFonts w:ascii="Times New Roman" w:eastAsia="Calibri" w:hAnsi="Times New Roman"/>
          <w:sz w:val="20"/>
          <w:szCs w:val="20"/>
          <w:lang w:val="en-GB"/>
        </w:rPr>
      </w:pPr>
      <w:r w:rsidRPr="00E104B4">
        <w:rPr>
          <w:rFonts w:ascii="Times New Roman" w:eastAsia="Calibri" w:hAnsi="Times New Roman"/>
          <w:sz w:val="20"/>
          <w:szCs w:val="20"/>
          <w:lang w:val="en-MY"/>
        </w:rPr>
        <w:t xml:space="preserve">Bioaccessibility = </w:t>
      </w:r>
      <m:oMath>
        <m:f>
          <m:fPr>
            <m:ctrlPr>
              <w:rPr>
                <w:rFonts w:ascii="Cambria Math" w:eastAsia="Calibri" w:hAnsi="Cambria Math"/>
                <w:sz w:val="20"/>
                <w:szCs w:val="20"/>
                <w:lang w:val="en-MY"/>
              </w:rPr>
            </m:ctrlPr>
          </m:fPr>
          <m:num>
            <m:sSub>
              <m:sSubPr>
                <m:ctrlPr>
                  <w:rPr>
                    <w:rFonts w:ascii="Cambria Math" w:eastAsia="Calibri" w:hAnsi="Cambria Math"/>
                    <w:sz w:val="20"/>
                    <w:szCs w:val="20"/>
                    <w:lang w:val="en-MY"/>
                  </w:rPr>
                </m:ctrlPr>
              </m:sSubPr>
              <m:e>
                <m:r>
                  <w:rPr>
                    <w:rFonts w:ascii="Cambria Math" w:eastAsia="Calibri" w:hAnsi="Cambria Math"/>
                    <w:sz w:val="20"/>
                    <w:szCs w:val="20"/>
                    <w:lang w:val="en-MY"/>
                  </w:rPr>
                  <m:t>B</m:t>
                </m:r>
              </m:e>
              <m:sub>
                <m:r>
                  <w:rPr>
                    <w:rFonts w:ascii="Cambria Math" w:eastAsia="Calibri" w:hAnsi="Cambria Math"/>
                    <w:sz w:val="20"/>
                    <w:szCs w:val="20"/>
                    <w:lang w:val="en-MY"/>
                  </w:rPr>
                  <m:t>g</m:t>
                </m:r>
              </m:sub>
            </m:sSub>
          </m:num>
          <m:den>
            <m:sSub>
              <m:sSubPr>
                <m:ctrlPr>
                  <w:rPr>
                    <w:rFonts w:ascii="Cambria Math" w:eastAsia="Calibri" w:hAnsi="Cambria Math"/>
                    <w:sz w:val="20"/>
                    <w:szCs w:val="20"/>
                    <w:lang w:val="en-MY"/>
                  </w:rPr>
                </m:ctrlPr>
              </m:sSubPr>
              <m:e>
                <m:r>
                  <w:rPr>
                    <w:rFonts w:ascii="Cambria Math" w:eastAsia="Calibri" w:hAnsi="Cambria Math"/>
                    <w:sz w:val="20"/>
                    <w:szCs w:val="20"/>
                    <w:lang w:val="en-MY"/>
                  </w:rPr>
                  <m:t>B</m:t>
                </m:r>
              </m:e>
              <m:sub>
                <m:r>
                  <w:rPr>
                    <w:rFonts w:ascii="Cambria Math" w:eastAsia="Calibri" w:hAnsi="Cambria Math"/>
                    <w:sz w:val="20"/>
                    <w:szCs w:val="20"/>
                    <w:lang w:val="en-MY"/>
                  </w:rPr>
                  <m:t>s</m:t>
                </m:r>
              </m:sub>
            </m:sSub>
          </m:den>
        </m:f>
      </m:oMath>
      <w:r w:rsidRPr="00E104B4">
        <w:rPr>
          <w:rFonts w:ascii="Times New Roman" w:hAnsi="Times New Roman"/>
          <w:sz w:val="20"/>
          <w:szCs w:val="20"/>
          <w:lang w:val="en-MY"/>
        </w:rPr>
        <w:t xml:space="preserve"> x 100%                                                 </w:t>
      </w:r>
      <w:r>
        <w:rPr>
          <w:rFonts w:ascii="Times New Roman" w:hAnsi="Times New Roman"/>
          <w:sz w:val="20"/>
          <w:szCs w:val="20"/>
          <w:lang w:val="en-MY"/>
        </w:rPr>
        <w:t xml:space="preserve">                                                                      </w:t>
      </w:r>
      <w:r w:rsidRPr="00E104B4">
        <w:rPr>
          <w:rFonts w:ascii="Times New Roman" w:hAnsi="Times New Roman"/>
          <w:sz w:val="20"/>
          <w:szCs w:val="20"/>
          <w:lang w:val="en-MY"/>
        </w:rPr>
        <w:t xml:space="preserve"> (1)</w:t>
      </w:r>
    </w:p>
    <w:p w:rsidR="00E104B4" w:rsidRPr="00E104B4" w:rsidRDefault="00E104B4" w:rsidP="00B2716F">
      <w:pPr>
        <w:shd w:val="clear" w:color="auto" w:fill="FFFFFF"/>
        <w:spacing w:before="120" w:after="0" w:line="240" w:lineRule="auto"/>
        <w:jc w:val="both"/>
        <w:rPr>
          <w:rFonts w:ascii="Times New Roman" w:eastAsia="Calibri" w:hAnsi="Times New Roman"/>
          <w:sz w:val="20"/>
          <w:szCs w:val="20"/>
          <w:lang w:val="en-GB"/>
        </w:rPr>
      </w:pPr>
      <w:r w:rsidRPr="00E104B4">
        <w:rPr>
          <w:rFonts w:ascii="Times New Roman" w:eastAsia="Calibri" w:hAnsi="Times New Roman"/>
          <w:sz w:val="20"/>
          <w:szCs w:val="20"/>
          <w:lang w:val="en-GB"/>
        </w:rPr>
        <w:t xml:space="preserve">where </w:t>
      </w:r>
      <w:r w:rsidRPr="00E104B4">
        <w:rPr>
          <w:rFonts w:ascii="Times New Roman" w:eastAsia="Calibri" w:hAnsi="Times New Roman"/>
          <w:i/>
          <w:sz w:val="20"/>
          <w:szCs w:val="20"/>
          <w:lang w:val="en-GB"/>
        </w:rPr>
        <w:t>B</w:t>
      </w:r>
      <w:r w:rsidRPr="00E104B4">
        <w:rPr>
          <w:rFonts w:ascii="Times New Roman" w:eastAsia="Calibri" w:hAnsi="Times New Roman"/>
          <w:i/>
          <w:sz w:val="20"/>
          <w:szCs w:val="20"/>
          <w:vertAlign w:val="subscript"/>
          <w:lang w:val="en-GB"/>
        </w:rPr>
        <w:t xml:space="preserve">g </w:t>
      </w:r>
      <w:r w:rsidRPr="00E104B4">
        <w:rPr>
          <w:rFonts w:ascii="Times New Roman" w:eastAsia="Calibri" w:hAnsi="Times New Roman"/>
          <w:sz w:val="20"/>
          <w:szCs w:val="20"/>
          <w:lang w:val="en-GB"/>
        </w:rPr>
        <w:t xml:space="preserve">is the concentration of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 xml:space="preserve">Th or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U presented in artificial gastrointestinal fluids (mg kg</w:t>
      </w:r>
      <w:r w:rsidRPr="00E104B4">
        <w:rPr>
          <w:rFonts w:ascii="Times New Roman" w:eastAsia="Calibri" w:hAnsi="Times New Roman"/>
          <w:sz w:val="20"/>
          <w:szCs w:val="20"/>
          <w:vertAlign w:val="superscript"/>
          <w:lang w:val="en-GB"/>
        </w:rPr>
        <w:t>-1</w:t>
      </w:r>
      <w:r w:rsidRPr="00E104B4">
        <w:rPr>
          <w:rFonts w:ascii="Times New Roman" w:eastAsia="Calibri" w:hAnsi="Times New Roman"/>
          <w:sz w:val="20"/>
          <w:szCs w:val="20"/>
          <w:lang w:val="en-GB"/>
        </w:rPr>
        <w:t xml:space="preserve">) and </w:t>
      </w:r>
      <w:r w:rsidRPr="00E104B4">
        <w:rPr>
          <w:rFonts w:ascii="Times New Roman" w:eastAsia="Calibri" w:hAnsi="Times New Roman"/>
          <w:i/>
          <w:sz w:val="20"/>
          <w:szCs w:val="20"/>
          <w:lang w:val="en-GB"/>
        </w:rPr>
        <w:t>B</w:t>
      </w:r>
      <w:r w:rsidRPr="00E104B4">
        <w:rPr>
          <w:rFonts w:ascii="Times New Roman" w:eastAsia="Calibri" w:hAnsi="Times New Roman"/>
          <w:i/>
          <w:sz w:val="20"/>
          <w:szCs w:val="20"/>
          <w:vertAlign w:val="subscript"/>
          <w:lang w:val="en-GB"/>
        </w:rPr>
        <w:t>s</w:t>
      </w:r>
      <w:r w:rsidRPr="00E104B4">
        <w:rPr>
          <w:rFonts w:ascii="Times New Roman" w:eastAsia="Calibri" w:hAnsi="Times New Roman"/>
          <w:i/>
          <w:sz w:val="20"/>
          <w:szCs w:val="20"/>
          <w:lang w:val="en-GB"/>
        </w:rPr>
        <w:t xml:space="preserve"> </w:t>
      </w:r>
      <w:r w:rsidRPr="00E104B4">
        <w:rPr>
          <w:rFonts w:ascii="Times New Roman" w:eastAsia="Calibri" w:hAnsi="Times New Roman"/>
          <w:sz w:val="20"/>
          <w:szCs w:val="20"/>
          <w:lang w:val="en-GB"/>
        </w:rPr>
        <w:t xml:space="preserve">is the concentration presented in samples before applying the </w:t>
      </w:r>
      <w:r w:rsidRPr="00E104B4">
        <w:rPr>
          <w:rFonts w:ascii="Times New Roman" w:eastAsia="Calibri" w:hAnsi="Times New Roman"/>
          <w:i/>
          <w:sz w:val="20"/>
          <w:szCs w:val="20"/>
          <w:lang w:val="en-GB"/>
        </w:rPr>
        <w:t>in vitro</w:t>
      </w:r>
      <w:r w:rsidRPr="00E104B4">
        <w:rPr>
          <w:rFonts w:ascii="Times New Roman" w:eastAsia="Calibri" w:hAnsi="Times New Roman"/>
          <w:sz w:val="20"/>
          <w:szCs w:val="20"/>
          <w:lang w:val="en-GB"/>
        </w:rPr>
        <w:t xml:space="preserve"> bioaccessibility method (mg kg</w:t>
      </w:r>
      <w:r w:rsidRPr="00E104B4">
        <w:rPr>
          <w:rFonts w:ascii="Times New Roman" w:eastAsia="Calibri" w:hAnsi="Times New Roman"/>
          <w:sz w:val="20"/>
          <w:szCs w:val="20"/>
          <w:vertAlign w:val="superscript"/>
          <w:lang w:val="en-GB"/>
        </w:rPr>
        <w:t>-1</w:t>
      </w:r>
      <w:r w:rsidRPr="00E104B4">
        <w:rPr>
          <w:rFonts w:ascii="Times New Roman" w:eastAsia="Calibri" w:hAnsi="Times New Roman"/>
          <w:sz w:val="20"/>
          <w:szCs w:val="20"/>
          <w:lang w:val="en-GB"/>
        </w:rPr>
        <w:t xml:space="preserve">). </w:t>
      </w:r>
    </w:p>
    <w:p w:rsidR="00E104B4" w:rsidRPr="00E104B4" w:rsidRDefault="00E104B4" w:rsidP="00E104B4">
      <w:pPr>
        <w:shd w:val="clear" w:color="auto" w:fill="FFFFFF"/>
        <w:spacing w:after="0" w:line="240" w:lineRule="auto"/>
        <w:jc w:val="both"/>
        <w:rPr>
          <w:rFonts w:ascii="Times New Roman" w:eastAsia="Calibri" w:hAnsi="Times New Roman"/>
          <w:sz w:val="20"/>
          <w:szCs w:val="20"/>
          <w:lang w:val="en-GB"/>
        </w:rPr>
      </w:pPr>
    </w:p>
    <w:p w:rsidR="00E104B4" w:rsidRPr="00E104B4" w:rsidRDefault="00E104B4" w:rsidP="00B2716F">
      <w:pPr>
        <w:shd w:val="clear" w:color="auto" w:fill="FFFFFF"/>
        <w:spacing w:before="120" w:after="0" w:line="240" w:lineRule="auto"/>
        <w:jc w:val="both"/>
        <w:rPr>
          <w:rFonts w:ascii="Times New Roman" w:eastAsia="Calibri" w:hAnsi="Times New Roman"/>
          <w:sz w:val="20"/>
          <w:szCs w:val="20"/>
          <w:lang w:val="en-GB"/>
        </w:rPr>
      </w:pPr>
      <w:r w:rsidRPr="00E104B4">
        <w:rPr>
          <w:rFonts w:ascii="Times New Roman" w:eastAsia="Calibri" w:hAnsi="Times New Roman"/>
          <w:sz w:val="20"/>
          <w:szCs w:val="20"/>
          <w:lang w:val="en-GB"/>
        </w:rPr>
        <w:t>The values of the committed effective dose and committed equivalent dose were calculated using the following equation 2:</w:t>
      </w:r>
    </w:p>
    <w:p w:rsidR="00E104B4" w:rsidRDefault="00E104B4" w:rsidP="00B2716F">
      <w:pPr>
        <w:shd w:val="clear" w:color="auto" w:fill="FFFFFF"/>
        <w:autoSpaceDE w:val="0"/>
        <w:autoSpaceDN w:val="0"/>
        <w:adjustRightInd w:val="0"/>
        <w:spacing w:before="120" w:after="0" w:line="240" w:lineRule="auto"/>
        <w:ind w:firstLine="720"/>
        <w:jc w:val="both"/>
        <w:rPr>
          <w:rFonts w:ascii="Times New Roman" w:eastAsia="Calibri" w:hAnsi="Times New Roman"/>
          <w:sz w:val="20"/>
          <w:szCs w:val="20"/>
          <w:lang w:val="en-MY"/>
        </w:rPr>
      </w:pPr>
      <w:r w:rsidRPr="00E104B4">
        <w:rPr>
          <w:rFonts w:ascii="Times New Roman" w:eastAsia="Calibri" w:hAnsi="Times New Roman"/>
          <w:sz w:val="20"/>
          <w:szCs w:val="20"/>
          <w:lang w:val="en-MY"/>
        </w:rPr>
        <w:t>H</w:t>
      </w:r>
      <w:r w:rsidRPr="00E104B4">
        <w:rPr>
          <w:rFonts w:ascii="Times New Roman" w:eastAsia="Calibri" w:hAnsi="Times New Roman"/>
          <w:sz w:val="20"/>
          <w:szCs w:val="20"/>
          <w:vertAlign w:val="subscript"/>
          <w:lang w:val="en-MY"/>
        </w:rPr>
        <w:t>A</w:t>
      </w:r>
      <w:r w:rsidRPr="00E104B4">
        <w:rPr>
          <w:rFonts w:ascii="Times New Roman" w:eastAsia="Calibri" w:hAnsi="Times New Roman"/>
          <w:sz w:val="20"/>
          <w:szCs w:val="20"/>
          <w:lang w:val="en-MY"/>
        </w:rPr>
        <w:t xml:space="preserve"> = Σ</w:t>
      </w:r>
      <w:r w:rsidRPr="00E104B4">
        <w:rPr>
          <w:rFonts w:ascii="Times New Roman" w:eastAsia="Calibri" w:hAnsi="Times New Roman"/>
          <w:i/>
          <w:sz w:val="20"/>
          <w:szCs w:val="20"/>
          <w:vertAlign w:val="subscript"/>
          <w:lang w:val="en-MY"/>
        </w:rPr>
        <w:t>j</w:t>
      </w:r>
      <w:r w:rsidRPr="00E104B4">
        <w:rPr>
          <w:rFonts w:ascii="Times New Roman" w:eastAsia="Calibri" w:hAnsi="Times New Roman"/>
          <w:sz w:val="20"/>
          <w:szCs w:val="20"/>
          <w:vertAlign w:val="subscript"/>
          <w:lang w:val="en-MY"/>
        </w:rPr>
        <w:t xml:space="preserve"> </w:t>
      </w:r>
      <w:bookmarkStart w:id="2" w:name="OLE_LINK26"/>
      <w:bookmarkStart w:id="3" w:name="OLE_LINK27"/>
      <w:r w:rsidRPr="00E104B4">
        <w:rPr>
          <w:rFonts w:ascii="Times New Roman" w:eastAsia="Calibri" w:hAnsi="Times New Roman"/>
          <w:i/>
          <w:sz w:val="20"/>
          <w:szCs w:val="20"/>
          <w:lang w:val="en-MY"/>
        </w:rPr>
        <w:t>I</w:t>
      </w:r>
      <w:r w:rsidRPr="00E104B4">
        <w:rPr>
          <w:rFonts w:ascii="Times New Roman" w:eastAsia="Calibri" w:hAnsi="Times New Roman"/>
          <w:sz w:val="20"/>
          <w:szCs w:val="20"/>
          <w:vertAlign w:val="subscript"/>
          <w:lang w:val="en-MY"/>
        </w:rPr>
        <w:t>A</w:t>
      </w:r>
      <w:bookmarkStart w:id="4" w:name="OLE_LINK3"/>
      <w:bookmarkStart w:id="5" w:name="OLE_LINK4"/>
      <w:bookmarkEnd w:id="2"/>
      <w:bookmarkEnd w:id="3"/>
      <w:r w:rsidRPr="00E104B4">
        <w:rPr>
          <w:rFonts w:ascii="Times New Roman" w:eastAsia="Calibri" w:hAnsi="Times New Roman"/>
          <w:i/>
          <w:sz w:val="20"/>
          <w:szCs w:val="20"/>
          <w:vertAlign w:val="subscript"/>
          <w:lang w:val="en-MY"/>
        </w:rPr>
        <w:t>j</w:t>
      </w:r>
      <w:r w:rsidRPr="00E104B4">
        <w:rPr>
          <w:rFonts w:ascii="Times New Roman" w:eastAsia="Calibri" w:hAnsi="Times New Roman"/>
          <w:sz w:val="20"/>
          <w:szCs w:val="20"/>
          <w:lang w:val="en-MY"/>
        </w:rPr>
        <w:t>h</w:t>
      </w:r>
      <w:r w:rsidRPr="00E104B4">
        <w:rPr>
          <w:rFonts w:ascii="Times New Roman" w:eastAsia="Calibri" w:hAnsi="Times New Roman"/>
          <w:sz w:val="20"/>
          <w:szCs w:val="20"/>
          <w:vertAlign w:val="subscript"/>
          <w:lang w:val="en-MY"/>
        </w:rPr>
        <w:t>A</w:t>
      </w:r>
      <w:bookmarkEnd w:id="4"/>
      <w:bookmarkEnd w:id="5"/>
      <w:r w:rsidRPr="00E104B4">
        <w:rPr>
          <w:rFonts w:ascii="Times New Roman" w:eastAsia="Calibri" w:hAnsi="Times New Roman"/>
          <w:i/>
          <w:sz w:val="20"/>
          <w:szCs w:val="20"/>
          <w:vertAlign w:val="subscript"/>
          <w:lang w:val="en-MY"/>
        </w:rPr>
        <w:t>j</w:t>
      </w:r>
      <w:r w:rsidRPr="00E104B4">
        <w:rPr>
          <w:rFonts w:ascii="Times New Roman" w:eastAsia="Calibri" w:hAnsi="Times New Roman"/>
          <w:sz w:val="20"/>
          <w:szCs w:val="20"/>
          <w:lang w:val="en-MY"/>
        </w:rPr>
        <w:t xml:space="preserve">                                                                                                                                </w:t>
      </w:r>
      <w:r>
        <w:rPr>
          <w:rFonts w:ascii="Times New Roman" w:eastAsia="Calibri" w:hAnsi="Times New Roman"/>
          <w:sz w:val="20"/>
          <w:szCs w:val="20"/>
          <w:lang w:val="en-MY"/>
        </w:rPr>
        <w:t xml:space="preserve">                  </w:t>
      </w:r>
      <w:r w:rsidRPr="00E104B4">
        <w:rPr>
          <w:rFonts w:ascii="Times New Roman" w:eastAsia="Calibri" w:hAnsi="Times New Roman"/>
          <w:sz w:val="20"/>
          <w:szCs w:val="20"/>
          <w:lang w:val="en-MY"/>
        </w:rPr>
        <w:t>(2)</w:t>
      </w:r>
    </w:p>
    <w:p w:rsidR="00E104B4" w:rsidRPr="00E104B4" w:rsidRDefault="00E104B4" w:rsidP="00B2716F">
      <w:pPr>
        <w:shd w:val="clear" w:color="auto" w:fill="FFFFFF"/>
        <w:spacing w:before="240" w:after="0" w:line="240" w:lineRule="auto"/>
        <w:jc w:val="both"/>
        <w:rPr>
          <w:rFonts w:ascii="Times New Roman" w:eastAsia="Calibri" w:hAnsi="Times New Roman"/>
          <w:sz w:val="20"/>
          <w:szCs w:val="20"/>
          <w:lang w:val="en-GB"/>
        </w:rPr>
      </w:pPr>
      <w:r w:rsidRPr="00E104B4">
        <w:rPr>
          <w:rFonts w:ascii="Times New Roman" w:eastAsia="Calibri" w:hAnsi="Times New Roman"/>
          <w:sz w:val="20"/>
          <w:szCs w:val="20"/>
          <w:lang w:val="en-GB"/>
        </w:rPr>
        <w:t>where H</w:t>
      </w:r>
      <w:r w:rsidRPr="00E104B4">
        <w:rPr>
          <w:rFonts w:ascii="Times New Roman" w:eastAsia="Calibri" w:hAnsi="Times New Roman"/>
          <w:sz w:val="20"/>
          <w:szCs w:val="20"/>
          <w:vertAlign w:val="subscript"/>
          <w:lang w:val="en-GB"/>
        </w:rPr>
        <w:t xml:space="preserve">A </w:t>
      </w:r>
      <w:r w:rsidRPr="00E104B4">
        <w:rPr>
          <w:rFonts w:ascii="Times New Roman" w:eastAsia="Calibri" w:hAnsi="Times New Roman"/>
          <w:sz w:val="20"/>
          <w:szCs w:val="20"/>
          <w:lang w:val="en-GB"/>
        </w:rPr>
        <w:t xml:space="preserve">is the committed effective dose or the committed equivalent dose (Sv) by ingestion, </w:t>
      </w:r>
      <w:r w:rsidRPr="00E104B4">
        <w:rPr>
          <w:rFonts w:ascii="Times New Roman" w:eastAsia="Calibri" w:hAnsi="Times New Roman"/>
          <w:i/>
          <w:sz w:val="20"/>
          <w:szCs w:val="20"/>
          <w:lang w:val="en-GB"/>
        </w:rPr>
        <w:t>I</w:t>
      </w:r>
      <w:r w:rsidRPr="00E104B4">
        <w:rPr>
          <w:rFonts w:ascii="Times New Roman" w:eastAsia="Calibri" w:hAnsi="Times New Roman"/>
          <w:sz w:val="20"/>
          <w:szCs w:val="20"/>
          <w:vertAlign w:val="subscript"/>
          <w:lang w:val="en-GB"/>
        </w:rPr>
        <w:t>A</w:t>
      </w:r>
      <w:r w:rsidRPr="00E104B4">
        <w:rPr>
          <w:rFonts w:ascii="Times New Roman" w:eastAsia="Calibri" w:hAnsi="Times New Roman"/>
          <w:i/>
          <w:sz w:val="20"/>
          <w:szCs w:val="20"/>
          <w:vertAlign w:val="subscript"/>
          <w:lang w:val="en-GB"/>
        </w:rPr>
        <w:t>j</w:t>
      </w:r>
      <w:r w:rsidRPr="00E104B4">
        <w:rPr>
          <w:rFonts w:ascii="Times New Roman" w:eastAsia="Calibri" w:hAnsi="Times New Roman"/>
          <w:i/>
          <w:sz w:val="20"/>
          <w:szCs w:val="20"/>
          <w:lang w:val="en-GB"/>
        </w:rPr>
        <w:t xml:space="preserve"> </w:t>
      </w:r>
      <w:r w:rsidRPr="00E104B4">
        <w:rPr>
          <w:rFonts w:ascii="Times New Roman" w:eastAsia="Calibri" w:hAnsi="Times New Roman"/>
          <w:sz w:val="20"/>
          <w:szCs w:val="20"/>
          <w:lang w:val="en-GB"/>
        </w:rPr>
        <w:t xml:space="preserve">is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Th</w:t>
      </w:r>
      <w:r w:rsidRPr="00E104B4">
        <w:rPr>
          <w:rFonts w:ascii="Times New Roman" w:eastAsia="Calibri" w:hAnsi="Times New Roman"/>
          <w:sz w:val="20"/>
          <w:szCs w:val="20"/>
          <w:vertAlign w:val="superscript"/>
          <w:lang w:val="en-GB"/>
        </w:rPr>
        <w:t xml:space="preserve"> </w:t>
      </w:r>
      <w:r w:rsidRPr="00E104B4">
        <w:rPr>
          <w:rFonts w:ascii="Times New Roman" w:eastAsia="Calibri" w:hAnsi="Times New Roman"/>
          <w:sz w:val="20"/>
          <w:szCs w:val="20"/>
          <w:lang w:val="en-GB"/>
        </w:rPr>
        <w:t xml:space="preserve">or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U activity (Bq) in the samples (Bq kg</w:t>
      </w:r>
      <w:r w:rsidRPr="00E104B4">
        <w:rPr>
          <w:rFonts w:ascii="Times New Roman" w:eastAsia="Calibri" w:hAnsi="Times New Roman"/>
          <w:sz w:val="20"/>
          <w:szCs w:val="20"/>
          <w:vertAlign w:val="superscript"/>
          <w:lang w:val="en-GB"/>
        </w:rPr>
        <w:t>-1</w:t>
      </w:r>
      <w:r w:rsidRPr="00E104B4">
        <w:rPr>
          <w:rFonts w:ascii="Times New Roman" w:eastAsia="Calibri" w:hAnsi="Times New Roman"/>
          <w:sz w:val="20"/>
          <w:szCs w:val="20"/>
          <w:lang w:val="en-GB"/>
        </w:rPr>
        <w:t>), and h</w:t>
      </w:r>
      <w:r w:rsidRPr="00E104B4">
        <w:rPr>
          <w:rFonts w:ascii="Times New Roman" w:eastAsia="Calibri" w:hAnsi="Times New Roman"/>
          <w:sz w:val="20"/>
          <w:szCs w:val="20"/>
          <w:vertAlign w:val="subscript"/>
          <w:lang w:val="en-GB"/>
        </w:rPr>
        <w:t>A</w:t>
      </w:r>
      <w:r w:rsidRPr="00E104B4">
        <w:rPr>
          <w:rFonts w:ascii="Times New Roman" w:eastAsia="Calibri" w:hAnsi="Times New Roman"/>
          <w:i/>
          <w:sz w:val="20"/>
          <w:szCs w:val="20"/>
          <w:vertAlign w:val="subscript"/>
          <w:lang w:val="en-GB"/>
        </w:rPr>
        <w:t>j</w:t>
      </w:r>
      <w:r w:rsidRPr="00E104B4">
        <w:rPr>
          <w:rFonts w:ascii="Times New Roman" w:eastAsia="Calibri" w:hAnsi="Times New Roman"/>
          <w:sz w:val="20"/>
          <w:szCs w:val="20"/>
          <w:lang w:val="en-GB"/>
        </w:rPr>
        <w:t xml:space="preserve"> is the ingestion dose coefficient (Sv Bq</w:t>
      </w:r>
      <w:r w:rsidRPr="00E104B4">
        <w:rPr>
          <w:rFonts w:ascii="Times New Roman" w:eastAsia="Calibri" w:hAnsi="Times New Roman"/>
          <w:sz w:val="20"/>
          <w:szCs w:val="20"/>
          <w:vertAlign w:val="superscript"/>
          <w:lang w:val="en-GB"/>
        </w:rPr>
        <w:t>-1</w:t>
      </w:r>
      <w:r w:rsidRPr="00E104B4">
        <w:rPr>
          <w:rFonts w:ascii="Times New Roman" w:eastAsia="Calibri" w:hAnsi="Times New Roman"/>
          <w:sz w:val="20"/>
          <w:szCs w:val="20"/>
          <w:lang w:val="en-GB"/>
        </w:rPr>
        <w:t xml:space="preserve">) for the effective dose or the target organs for </w:t>
      </w:r>
      <w:r w:rsidRPr="00E104B4">
        <w:rPr>
          <w:rFonts w:ascii="Times New Roman" w:eastAsia="Calibri" w:hAnsi="Times New Roman"/>
          <w:sz w:val="20"/>
          <w:szCs w:val="20"/>
          <w:vertAlign w:val="superscript"/>
          <w:lang w:val="en-GB"/>
        </w:rPr>
        <w:t>232</w:t>
      </w:r>
      <w:r w:rsidRPr="00E104B4">
        <w:rPr>
          <w:rFonts w:ascii="Times New Roman" w:eastAsia="Calibri" w:hAnsi="Times New Roman"/>
          <w:sz w:val="20"/>
          <w:szCs w:val="20"/>
          <w:lang w:val="en-GB"/>
        </w:rPr>
        <w:t>Th</w:t>
      </w:r>
      <w:r w:rsidRPr="00E104B4">
        <w:rPr>
          <w:rFonts w:ascii="Times New Roman" w:eastAsia="Calibri" w:hAnsi="Times New Roman"/>
          <w:sz w:val="20"/>
          <w:szCs w:val="20"/>
          <w:vertAlign w:val="superscript"/>
          <w:lang w:val="en-GB"/>
        </w:rPr>
        <w:t xml:space="preserve"> </w:t>
      </w:r>
      <w:r w:rsidRPr="00E104B4">
        <w:rPr>
          <w:rFonts w:ascii="Times New Roman" w:eastAsia="Calibri" w:hAnsi="Times New Roman"/>
          <w:sz w:val="20"/>
          <w:szCs w:val="20"/>
          <w:lang w:val="en-GB"/>
        </w:rPr>
        <w:t xml:space="preserve">or </w:t>
      </w:r>
      <w:r w:rsidRPr="00E104B4">
        <w:rPr>
          <w:rFonts w:ascii="Times New Roman" w:eastAsia="Calibri" w:hAnsi="Times New Roman"/>
          <w:sz w:val="20"/>
          <w:szCs w:val="20"/>
          <w:vertAlign w:val="superscript"/>
          <w:lang w:val="en-GB"/>
        </w:rPr>
        <w:t>238</w:t>
      </w:r>
      <w:r w:rsidRPr="00E104B4">
        <w:rPr>
          <w:rFonts w:ascii="Times New Roman" w:eastAsia="Calibri" w:hAnsi="Times New Roman"/>
          <w:sz w:val="20"/>
          <w:szCs w:val="20"/>
          <w:lang w:val="en-GB"/>
        </w:rPr>
        <w:t>U.</w:t>
      </w:r>
    </w:p>
    <w:p w:rsidR="00E104B4" w:rsidRPr="00E104B4" w:rsidRDefault="00E104B4" w:rsidP="00B2716F">
      <w:pPr>
        <w:shd w:val="clear" w:color="auto" w:fill="FFFFFF"/>
        <w:spacing w:after="0" w:line="240" w:lineRule="auto"/>
        <w:jc w:val="center"/>
        <w:rPr>
          <w:rFonts w:ascii="Times New Roman" w:eastAsia="Calibri" w:hAnsi="Times New Roman"/>
          <w:sz w:val="20"/>
          <w:szCs w:val="20"/>
        </w:rPr>
      </w:pPr>
      <w:r w:rsidRPr="00E104B4">
        <w:rPr>
          <w:rFonts w:ascii="Times New Roman" w:eastAsia="Calibri" w:hAnsi="Times New Roman"/>
          <w:sz w:val="20"/>
          <w:szCs w:val="20"/>
        </w:rPr>
        <w:lastRenderedPageBreak/>
        <w:t xml:space="preserve">Table 2.  </w:t>
      </w:r>
      <w:r>
        <w:rPr>
          <w:rFonts w:ascii="Times New Roman" w:eastAsia="Calibri" w:hAnsi="Times New Roman"/>
          <w:sz w:val="20"/>
          <w:szCs w:val="20"/>
        </w:rPr>
        <w:t xml:space="preserve"> </w:t>
      </w:r>
      <w:r w:rsidRPr="00E104B4">
        <w:rPr>
          <w:rFonts w:ascii="Times New Roman" w:eastAsia="Calibri" w:hAnsi="Times New Roman"/>
          <w:sz w:val="20"/>
          <w:szCs w:val="20"/>
        </w:rPr>
        <w:t>Preparation for each sample (200 ml) in gastric fluid and (200 ml) in gastrointestinal fluid</w:t>
      </w:r>
    </w:p>
    <w:tbl>
      <w:tblPr>
        <w:tblpPr w:leftFromText="180" w:rightFromText="180" w:vertAnchor="text" w:horzAnchor="margin" w:tblpXSpec="center" w:tblpY="80"/>
        <w:tblW w:w="0" w:type="auto"/>
        <w:tblBorders>
          <w:top w:val="single" w:sz="4" w:space="0" w:color="auto"/>
          <w:bottom w:val="single" w:sz="4" w:space="0" w:color="auto"/>
        </w:tblBorders>
        <w:tblLook w:val="04A0" w:firstRow="1" w:lastRow="0" w:firstColumn="1" w:lastColumn="0" w:noHBand="0" w:noVBand="1"/>
      </w:tblPr>
      <w:tblGrid>
        <w:gridCol w:w="4334"/>
        <w:gridCol w:w="1389"/>
        <w:gridCol w:w="2100"/>
      </w:tblGrid>
      <w:tr w:rsidR="00E104B4" w:rsidRPr="00E104B4" w:rsidTr="00E104B4">
        <w:trPr>
          <w:trHeight w:val="243"/>
        </w:trPr>
        <w:tc>
          <w:tcPr>
            <w:tcW w:w="0" w:type="auto"/>
            <w:tcBorders>
              <w:top w:val="single" w:sz="4" w:space="0" w:color="auto"/>
              <w:bottom w:val="single" w:sz="4" w:space="0" w:color="auto"/>
            </w:tcBorders>
            <w:shd w:val="clear" w:color="auto" w:fill="auto"/>
          </w:tcPr>
          <w:p w:rsidR="00E104B4" w:rsidRPr="00E104B4" w:rsidRDefault="00E104B4" w:rsidP="00FE7A13">
            <w:pPr>
              <w:shd w:val="clear" w:color="auto" w:fill="FFFFFF"/>
              <w:autoSpaceDE w:val="0"/>
              <w:autoSpaceDN w:val="0"/>
              <w:adjustRightInd w:val="0"/>
              <w:spacing w:after="0" w:line="240" w:lineRule="auto"/>
              <w:rPr>
                <w:rFonts w:ascii="Times New Roman" w:eastAsia="Calibri" w:hAnsi="Times New Roman"/>
                <w:b/>
                <w:sz w:val="20"/>
                <w:szCs w:val="20"/>
                <w:lang w:val="en-MY"/>
              </w:rPr>
            </w:pPr>
            <w:bookmarkStart w:id="6" w:name="_Hlk519798443"/>
          </w:p>
        </w:tc>
        <w:tc>
          <w:tcPr>
            <w:tcW w:w="0" w:type="auto"/>
            <w:tcBorders>
              <w:top w:val="single" w:sz="4" w:space="0" w:color="auto"/>
              <w:bottom w:val="single" w:sz="4" w:space="0" w:color="auto"/>
            </w:tcBorders>
          </w:tcPr>
          <w:p w:rsidR="00E104B4" w:rsidRPr="00E104B4" w:rsidRDefault="00E104B4" w:rsidP="00FE7A13">
            <w:pPr>
              <w:shd w:val="clear" w:color="auto" w:fill="FFFFFF"/>
              <w:autoSpaceDE w:val="0"/>
              <w:autoSpaceDN w:val="0"/>
              <w:adjustRightInd w:val="0"/>
              <w:spacing w:before="60" w:after="60" w:line="240" w:lineRule="auto"/>
              <w:jc w:val="center"/>
              <w:rPr>
                <w:rFonts w:ascii="Times New Roman" w:eastAsia="Calibri" w:hAnsi="Times New Roman"/>
                <w:b/>
                <w:sz w:val="20"/>
                <w:szCs w:val="20"/>
                <w:lang w:val="en-MY"/>
              </w:rPr>
            </w:pPr>
            <w:r w:rsidRPr="00E104B4">
              <w:rPr>
                <w:rFonts w:ascii="Times New Roman" w:eastAsia="Calibri" w:hAnsi="Times New Roman"/>
                <w:b/>
                <w:sz w:val="20"/>
                <w:szCs w:val="20"/>
                <w:lang w:val="en-MY"/>
              </w:rPr>
              <w:t>Gastric Fluid</w:t>
            </w:r>
          </w:p>
        </w:tc>
        <w:tc>
          <w:tcPr>
            <w:tcW w:w="0" w:type="auto"/>
            <w:tcBorders>
              <w:top w:val="single" w:sz="4" w:space="0" w:color="auto"/>
              <w:bottom w:val="single" w:sz="4" w:space="0" w:color="auto"/>
            </w:tcBorders>
          </w:tcPr>
          <w:p w:rsidR="00E104B4" w:rsidRPr="00E104B4" w:rsidRDefault="00E104B4" w:rsidP="00FE7A13">
            <w:pPr>
              <w:shd w:val="clear" w:color="auto" w:fill="FFFFFF"/>
              <w:autoSpaceDE w:val="0"/>
              <w:autoSpaceDN w:val="0"/>
              <w:adjustRightInd w:val="0"/>
              <w:spacing w:before="60" w:after="60" w:line="240" w:lineRule="auto"/>
              <w:jc w:val="center"/>
              <w:rPr>
                <w:rFonts w:ascii="Times New Roman" w:eastAsia="Calibri" w:hAnsi="Times New Roman"/>
                <w:b/>
                <w:sz w:val="20"/>
                <w:szCs w:val="20"/>
                <w:lang w:val="en-MY"/>
              </w:rPr>
            </w:pPr>
            <w:r w:rsidRPr="00E104B4">
              <w:rPr>
                <w:rFonts w:ascii="Times New Roman" w:eastAsia="Calibri" w:hAnsi="Times New Roman"/>
                <w:b/>
                <w:sz w:val="20"/>
                <w:szCs w:val="20"/>
                <w:lang w:val="en-MY"/>
              </w:rPr>
              <w:t>Gastrointestinal Fluid</w:t>
            </w:r>
          </w:p>
        </w:tc>
      </w:tr>
      <w:tr w:rsidR="00E104B4" w:rsidRPr="00E104B4" w:rsidTr="00E104B4">
        <w:trPr>
          <w:trHeight w:val="56"/>
        </w:trPr>
        <w:tc>
          <w:tcPr>
            <w:tcW w:w="0" w:type="auto"/>
            <w:tcBorders>
              <w:top w:val="single" w:sz="4" w:space="0" w:color="auto"/>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Bile Bovine</w:t>
            </w:r>
          </w:p>
        </w:tc>
        <w:tc>
          <w:tcPr>
            <w:tcW w:w="0" w:type="auto"/>
            <w:tcBorders>
              <w:top w:val="single" w:sz="4" w:space="0" w:color="auto"/>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c>
          <w:tcPr>
            <w:tcW w:w="0" w:type="auto"/>
            <w:tcBorders>
              <w:top w:val="single" w:sz="4" w:space="0" w:color="auto"/>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1.800 g</w:t>
            </w:r>
          </w:p>
        </w:tc>
      </w:tr>
      <w:tr w:rsidR="00E104B4" w:rsidRPr="00E104B4" w:rsidTr="00E104B4">
        <w:trPr>
          <w:trHeight w:val="208"/>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Calcium Chloride Dihydrate (CaCl</w:t>
            </w:r>
            <w:r w:rsidRPr="00E104B4">
              <w:rPr>
                <w:rFonts w:ascii="Times New Roman" w:eastAsia="Calibri" w:hAnsi="Times New Roman"/>
                <w:sz w:val="20"/>
                <w:szCs w:val="20"/>
                <w:vertAlign w:val="subscript"/>
                <w:lang w:val="en-MY"/>
              </w:rPr>
              <w:t xml:space="preserve">2 </w:t>
            </w:r>
            <w:r w:rsidRPr="00E104B4">
              <w:rPr>
                <w:rFonts w:ascii="Times New Roman" w:eastAsia="Calibri" w:hAnsi="Times New Roman"/>
                <w:sz w:val="20"/>
                <w:szCs w:val="20"/>
                <w:lang w:val="en-MY"/>
              </w:rPr>
              <w:t>x 2H</w:t>
            </w:r>
            <w:r w:rsidRPr="00E104B4">
              <w:rPr>
                <w:rFonts w:ascii="Times New Roman" w:eastAsia="Calibri" w:hAnsi="Times New Roman"/>
                <w:sz w:val="20"/>
                <w:szCs w:val="20"/>
                <w:vertAlign w:val="subscript"/>
                <w:lang w:val="en-MY"/>
              </w:rPr>
              <w:t>2</w:t>
            </w:r>
            <w:r w:rsidRPr="00E104B4">
              <w:rPr>
                <w:rFonts w:ascii="Times New Roman" w:eastAsia="Calibri" w:hAnsi="Times New Roman"/>
                <w:sz w:val="20"/>
                <w:szCs w:val="20"/>
                <w:lang w:val="en-MY"/>
              </w:rPr>
              <w:t>O)</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0.100 g</w:t>
            </w:r>
          </w:p>
        </w:tc>
      </w:tr>
      <w:tr w:rsidR="00E104B4" w:rsidRPr="00E104B4" w:rsidTr="00E104B4">
        <w:trPr>
          <w:trHeight w:val="148"/>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Hydrochloric acid (30% of HCl)</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pH adjustment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r>
      <w:tr w:rsidR="00E104B4" w:rsidRPr="00E104B4" w:rsidTr="00E104B4">
        <w:trPr>
          <w:trHeight w:val="134"/>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Magnesium Chloride Hexahydrate (MgCl</w:t>
            </w:r>
            <w:r w:rsidRPr="00E104B4">
              <w:rPr>
                <w:rFonts w:ascii="Times New Roman" w:eastAsia="Calibri" w:hAnsi="Times New Roman"/>
                <w:sz w:val="20"/>
                <w:szCs w:val="20"/>
                <w:vertAlign w:val="subscript"/>
                <w:lang w:val="en-MY"/>
              </w:rPr>
              <w:t xml:space="preserve">2 </w:t>
            </w:r>
            <w:r w:rsidRPr="00E104B4">
              <w:rPr>
                <w:rFonts w:ascii="Times New Roman" w:eastAsia="Calibri" w:hAnsi="Times New Roman"/>
                <w:sz w:val="20"/>
                <w:szCs w:val="20"/>
                <w:lang w:val="en-MY"/>
              </w:rPr>
              <w:t>x 6H</w:t>
            </w:r>
            <w:r w:rsidRPr="00E104B4">
              <w:rPr>
                <w:rFonts w:ascii="Times New Roman" w:eastAsia="Calibri" w:hAnsi="Times New Roman"/>
                <w:sz w:val="20"/>
                <w:szCs w:val="20"/>
                <w:vertAlign w:val="subscript"/>
                <w:lang w:val="en-MY"/>
              </w:rPr>
              <w:t>2</w:t>
            </w:r>
            <w:r w:rsidRPr="00E104B4">
              <w:rPr>
                <w:rFonts w:ascii="Times New Roman" w:eastAsia="Calibri" w:hAnsi="Times New Roman"/>
                <w:sz w:val="20"/>
                <w:szCs w:val="20"/>
                <w:lang w:val="en-MY"/>
              </w:rPr>
              <w:t>O)</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0.040 g</w:t>
            </w:r>
          </w:p>
        </w:tc>
      </w:tr>
      <w:tr w:rsidR="00E104B4" w:rsidRPr="00E104B4" w:rsidTr="00E104B4">
        <w:trPr>
          <w:trHeight w:val="120"/>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Mucin</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0.600 g</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r>
      <w:tr w:rsidR="00E104B4" w:rsidRPr="00E104B4" w:rsidTr="00E104B4">
        <w:trPr>
          <w:trHeight w:val="56"/>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Pancreatin</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1.800 g</w:t>
            </w:r>
          </w:p>
        </w:tc>
      </w:tr>
      <w:tr w:rsidR="00E104B4" w:rsidRPr="00E104B4" w:rsidTr="00E104B4">
        <w:trPr>
          <w:trHeight w:val="166"/>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Pepsin</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0.200 g</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r>
      <w:tr w:rsidR="00E104B4" w:rsidRPr="00E104B4" w:rsidTr="00E104B4">
        <w:trPr>
          <w:trHeight w:val="212"/>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Potassium Chloride (KCl)</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0.140 g</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0.060 g</w:t>
            </w:r>
          </w:p>
        </w:tc>
      </w:tr>
      <w:tr w:rsidR="00E104B4" w:rsidRPr="00E104B4" w:rsidTr="00E104B4">
        <w:trPr>
          <w:trHeight w:val="258"/>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Potassium Dihydrogen Phosphate (KH</w:t>
            </w:r>
            <w:r w:rsidRPr="00E104B4">
              <w:rPr>
                <w:rFonts w:ascii="Times New Roman" w:eastAsia="Calibri" w:hAnsi="Times New Roman"/>
                <w:sz w:val="20"/>
                <w:szCs w:val="20"/>
                <w:vertAlign w:val="subscript"/>
                <w:lang w:val="en-MY"/>
              </w:rPr>
              <w:t>2</w:t>
            </w:r>
            <w:r w:rsidRPr="00E104B4">
              <w:rPr>
                <w:rFonts w:ascii="Times New Roman" w:eastAsia="Calibri" w:hAnsi="Times New Roman"/>
                <w:sz w:val="20"/>
                <w:szCs w:val="20"/>
                <w:lang w:val="en-MY"/>
              </w:rPr>
              <w:t>PO</w:t>
            </w:r>
            <w:r w:rsidRPr="00E104B4">
              <w:rPr>
                <w:rFonts w:ascii="Times New Roman" w:eastAsia="Calibri" w:hAnsi="Times New Roman"/>
                <w:sz w:val="20"/>
                <w:szCs w:val="20"/>
                <w:vertAlign w:val="subscript"/>
                <w:lang w:val="en-MY"/>
              </w:rPr>
              <w:t>4</w:t>
            </w:r>
            <w:r w:rsidRPr="00E104B4">
              <w:rPr>
                <w:rFonts w:ascii="Times New Roman" w:eastAsia="Calibri" w:hAnsi="Times New Roman"/>
                <w:sz w:val="20"/>
                <w:szCs w:val="20"/>
                <w:lang w:val="en-MY"/>
              </w:rPr>
              <w: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0.054 g</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r>
      <w:tr w:rsidR="00E104B4" w:rsidRPr="00E104B4" w:rsidTr="00E104B4">
        <w:trPr>
          <w:trHeight w:val="56"/>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Sodium Bicarbonate (NaHCO</w:t>
            </w:r>
            <w:r w:rsidRPr="00E104B4">
              <w:rPr>
                <w:rFonts w:ascii="Times New Roman" w:eastAsia="Calibri" w:hAnsi="Times New Roman"/>
                <w:sz w:val="20"/>
                <w:szCs w:val="20"/>
                <w:vertAlign w:val="subscript"/>
                <w:lang w:val="en-MY"/>
              </w:rPr>
              <w:t xml:space="preserve">3 </w:t>
            </w:r>
            <w:r w:rsidRPr="00E104B4">
              <w:rPr>
                <w:rFonts w:ascii="Times New Roman" w:eastAsia="Calibri" w:hAnsi="Times New Roman"/>
                <w:sz w:val="20"/>
                <w:szCs w:val="20"/>
                <w:lang w:val="en-MY"/>
              </w:rPr>
              <w:t>solid)</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0.200 g</w:t>
            </w:r>
          </w:p>
        </w:tc>
      </w:tr>
      <w:tr w:rsidR="00E104B4" w:rsidRPr="00E104B4" w:rsidTr="00E104B4">
        <w:trPr>
          <w:trHeight w:val="166"/>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Sodium Chloride (NaCl)</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0.580 g</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pH adjustment</w:t>
            </w:r>
          </w:p>
        </w:tc>
      </w:tr>
      <w:tr w:rsidR="00E104B4" w:rsidRPr="00E104B4" w:rsidTr="00E104B4">
        <w:trPr>
          <w:trHeight w:val="212"/>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Trypsin</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0.060 g</w:t>
            </w:r>
          </w:p>
        </w:tc>
      </w:tr>
      <w:tr w:rsidR="00E104B4" w:rsidRPr="00E104B4" w:rsidTr="00FE7A13">
        <w:trPr>
          <w:trHeight w:val="212"/>
        </w:trPr>
        <w:tc>
          <w:tcPr>
            <w:tcW w:w="0" w:type="auto"/>
            <w:tcBorders>
              <w:top w:val="nil"/>
              <w:bottom w:val="nil"/>
            </w:tcBorders>
            <w:shd w:val="clear" w:color="auto" w:fill="auto"/>
          </w:tcPr>
          <w:p w:rsidR="00E104B4" w:rsidRPr="00E104B4" w:rsidRDefault="00E104B4" w:rsidP="00FE7A13">
            <w:pPr>
              <w:shd w:val="clear" w:color="auto" w:fill="FFFFFF"/>
              <w:autoSpaceDE w:val="0"/>
              <w:autoSpaceDN w:val="0"/>
              <w:adjustRightInd w:val="0"/>
              <w:spacing w:before="60" w:after="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Urea (CH</w:t>
            </w:r>
            <w:r w:rsidRPr="00E104B4">
              <w:rPr>
                <w:rFonts w:ascii="Times New Roman" w:eastAsia="Calibri" w:hAnsi="Times New Roman"/>
                <w:sz w:val="20"/>
                <w:szCs w:val="20"/>
                <w:vertAlign w:val="subscript"/>
                <w:lang w:val="en-MY"/>
              </w:rPr>
              <w:t>4</w:t>
            </w:r>
            <w:r w:rsidRPr="00E104B4">
              <w:rPr>
                <w:rFonts w:ascii="Times New Roman" w:eastAsia="Calibri" w:hAnsi="Times New Roman"/>
                <w:sz w:val="20"/>
                <w:szCs w:val="20"/>
                <w:lang w:val="en-MY"/>
              </w:rPr>
              <w:t>N</w:t>
            </w:r>
            <w:r w:rsidRPr="00E104B4">
              <w:rPr>
                <w:rFonts w:ascii="Times New Roman" w:eastAsia="Calibri" w:hAnsi="Times New Roman"/>
                <w:sz w:val="20"/>
                <w:szCs w:val="20"/>
                <w:vertAlign w:val="subscript"/>
                <w:lang w:val="en-MY"/>
              </w:rPr>
              <w:t>2</w:t>
            </w:r>
            <w:r w:rsidRPr="00E104B4">
              <w:rPr>
                <w:rFonts w:ascii="Times New Roman" w:eastAsia="Calibri" w:hAnsi="Times New Roman"/>
                <w:sz w:val="20"/>
                <w:szCs w:val="20"/>
                <w:lang w:val="en-MY"/>
              </w:rPr>
              <w:t>O)</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w:t>
            </w:r>
          </w:p>
        </w:tc>
        <w:tc>
          <w:tcPr>
            <w:tcW w:w="0" w:type="auto"/>
            <w:tcBorders>
              <w:top w:val="nil"/>
              <w:bottom w:val="nil"/>
            </w:tcBorders>
          </w:tcPr>
          <w:p w:rsidR="00E104B4" w:rsidRPr="00E104B4" w:rsidRDefault="00E104B4" w:rsidP="00FE7A13">
            <w:pPr>
              <w:shd w:val="clear" w:color="auto" w:fill="FFFFFF"/>
              <w:autoSpaceDE w:val="0"/>
              <w:autoSpaceDN w:val="0"/>
              <w:adjustRightInd w:val="0"/>
              <w:spacing w:before="60" w:after="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0.060 g</w:t>
            </w:r>
          </w:p>
        </w:tc>
      </w:tr>
      <w:tr w:rsidR="00E104B4" w:rsidRPr="00E104B4" w:rsidTr="00FE7A13">
        <w:trPr>
          <w:trHeight w:val="212"/>
        </w:trPr>
        <w:tc>
          <w:tcPr>
            <w:tcW w:w="0" w:type="auto"/>
            <w:tcBorders>
              <w:top w:val="nil"/>
              <w:bottom w:val="single" w:sz="4" w:space="0" w:color="auto"/>
            </w:tcBorders>
            <w:shd w:val="clear" w:color="auto" w:fill="auto"/>
          </w:tcPr>
          <w:p w:rsidR="00E104B4" w:rsidRPr="00E104B4" w:rsidRDefault="00E104B4" w:rsidP="00FE7A13">
            <w:pPr>
              <w:shd w:val="clear" w:color="auto" w:fill="FFFFFF"/>
              <w:autoSpaceDE w:val="0"/>
              <w:autoSpaceDN w:val="0"/>
              <w:adjustRightInd w:val="0"/>
              <w:spacing w:before="60" w:after="60" w:line="240" w:lineRule="auto"/>
              <w:rPr>
                <w:rFonts w:ascii="Times New Roman" w:eastAsia="Calibri" w:hAnsi="Times New Roman"/>
                <w:sz w:val="20"/>
                <w:szCs w:val="20"/>
                <w:lang w:val="en-MY"/>
              </w:rPr>
            </w:pPr>
            <w:r w:rsidRPr="00E104B4">
              <w:rPr>
                <w:rFonts w:ascii="Times New Roman" w:eastAsia="Calibri" w:hAnsi="Times New Roman"/>
                <w:sz w:val="20"/>
                <w:szCs w:val="20"/>
                <w:lang w:val="en-MY"/>
              </w:rPr>
              <w:t xml:space="preserve">Final pH </w:t>
            </w:r>
          </w:p>
        </w:tc>
        <w:tc>
          <w:tcPr>
            <w:tcW w:w="0" w:type="auto"/>
            <w:tcBorders>
              <w:top w:val="nil"/>
              <w:bottom w:val="single" w:sz="4" w:space="0" w:color="auto"/>
            </w:tcBorders>
          </w:tcPr>
          <w:p w:rsidR="00E104B4" w:rsidRPr="00E104B4" w:rsidRDefault="00E104B4" w:rsidP="00FE7A13">
            <w:pPr>
              <w:shd w:val="clear" w:color="auto" w:fill="FFFFFF"/>
              <w:autoSpaceDE w:val="0"/>
              <w:autoSpaceDN w:val="0"/>
              <w:adjustRightInd w:val="0"/>
              <w:spacing w:before="60" w:after="6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2.0</w:t>
            </w:r>
          </w:p>
        </w:tc>
        <w:tc>
          <w:tcPr>
            <w:tcW w:w="0" w:type="auto"/>
            <w:tcBorders>
              <w:top w:val="nil"/>
              <w:bottom w:val="single" w:sz="4" w:space="0" w:color="auto"/>
            </w:tcBorders>
          </w:tcPr>
          <w:p w:rsidR="00E104B4" w:rsidRPr="00E104B4" w:rsidRDefault="00E104B4" w:rsidP="00FE7A13">
            <w:pPr>
              <w:shd w:val="clear" w:color="auto" w:fill="FFFFFF"/>
              <w:autoSpaceDE w:val="0"/>
              <w:autoSpaceDN w:val="0"/>
              <w:adjustRightInd w:val="0"/>
              <w:spacing w:before="60" w:after="60" w:line="240" w:lineRule="auto"/>
              <w:jc w:val="center"/>
              <w:rPr>
                <w:rFonts w:ascii="Times New Roman" w:eastAsia="Calibri" w:hAnsi="Times New Roman"/>
                <w:sz w:val="20"/>
                <w:szCs w:val="20"/>
                <w:lang w:val="en-MY"/>
              </w:rPr>
            </w:pPr>
            <w:r w:rsidRPr="00E104B4">
              <w:rPr>
                <w:rFonts w:ascii="Times New Roman" w:eastAsia="Calibri" w:hAnsi="Times New Roman"/>
                <w:sz w:val="20"/>
                <w:szCs w:val="20"/>
                <w:lang w:val="en-MY"/>
              </w:rPr>
              <w:t>7.5</w:t>
            </w:r>
          </w:p>
        </w:tc>
      </w:tr>
      <w:bookmarkEnd w:id="6"/>
    </w:tbl>
    <w:p w:rsidR="00E104B4" w:rsidRPr="00E104B4" w:rsidRDefault="00E104B4" w:rsidP="00E104B4">
      <w:pPr>
        <w:shd w:val="clear" w:color="auto" w:fill="FFFFFF"/>
        <w:spacing w:after="0" w:line="240" w:lineRule="auto"/>
        <w:jc w:val="both"/>
        <w:rPr>
          <w:rFonts w:ascii="Times New Roman" w:eastAsia="Calibri" w:hAnsi="Times New Roman"/>
          <w:sz w:val="20"/>
          <w:szCs w:val="20"/>
        </w:rPr>
      </w:pPr>
    </w:p>
    <w:p w:rsidR="00E104B4" w:rsidRPr="00E104B4" w:rsidRDefault="00E104B4" w:rsidP="00E104B4">
      <w:pPr>
        <w:shd w:val="clear" w:color="auto" w:fill="FFFFFF"/>
        <w:spacing w:after="0" w:line="240" w:lineRule="auto"/>
        <w:jc w:val="both"/>
        <w:rPr>
          <w:rFonts w:ascii="Times New Roman" w:eastAsia="Calibri" w:hAnsi="Times New Roman"/>
          <w:b/>
          <w:sz w:val="20"/>
          <w:szCs w:val="20"/>
        </w:rPr>
      </w:pPr>
    </w:p>
    <w:p w:rsidR="00E104B4" w:rsidRPr="00E104B4" w:rsidRDefault="00E104B4" w:rsidP="00E104B4">
      <w:pPr>
        <w:shd w:val="clear" w:color="auto" w:fill="FFFFFF"/>
        <w:spacing w:after="0" w:line="240" w:lineRule="auto"/>
        <w:jc w:val="both"/>
        <w:rPr>
          <w:rFonts w:ascii="Times New Roman" w:eastAsia="Calibri" w:hAnsi="Times New Roman"/>
          <w:b/>
          <w:sz w:val="20"/>
          <w:szCs w:val="20"/>
        </w:rPr>
      </w:pPr>
    </w:p>
    <w:p w:rsidR="00E104B4" w:rsidRPr="00E104B4" w:rsidRDefault="00E104B4" w:rsidP="00E104B4">
      <w:pPr>
        <w:shd w:val="clear" w:color="auto" w:fill="FFFFFF"/>
        <w:spacing w:after="0" w:line="240" w:lineRule="auto"/>
        <w:jc w:val="both"/>
        <w:rPr>
          <w:rFonts w:ascii="Times New Roman" w:eastAsia="Calibri" w:hAnsi="Times New Roman"/>
          <w:b/>
          <w:sz w:val="20"/>
          <w:szCs w:val="20"/>
        </w:rPr>
      </w:pPr>
    </w:p>
    <w:p w:rsidR="00E104B4" w:rsidRPr="00E104B4" w:rsidRDefault="00E104B4" w:rsidP="00E104B4">
      <w:pPr>
        <w:shd w:val="clear" w:color="auto" w:fill="FFFFFF"/>
        <w:spacing w:after="0" w:line="240" w:lineRule="auto"/>
        <w:jc w:val="both"/>
        <w:rPr>
          <w:rFonts w:ascii="Times New Roman" w:eastAsia="Calibri" w:hAnsi="Times New Roman"/>
          <w:b/>
          <w:sz w:val="20"/>
          <w:szCs w:val="20"/>
        </w:rPr>
      </w:pPr>
    </w:p>
    <w:p w:rsidR="00E104B4" w:rsidRPr="00E104B4" w:rsidRDefault="00E104B4" w:rsidP="00E104B4">
      <w:pPr>
        <w:shd w:val="clear" w:color="auto" w:fill="FFFFFF"/>
        <w:spacing w:after="0" w:line="240" w:lineRule="auto"/>
        <w:jc w:val="both"/>
        <w:rPr>
          <w:rFonts w:ascii="Times New Roman" w:eastAsia="Calibri" w:hAnsi="Times New Roman"/>
          <w:b/>
          <w:sz w:val="20"/>
          <w:szCs w:val="20"/>
        </w:rPr>
      </w:pPr>
    </w:p>
    <w:p w:rsidR="00E104B4" w:rsidRPr="00E104B4" w:rsidRDefault="00E104B4" w:rsidP="00E104B4">
      <w:pPr>
        <w:shd w:val="clear" w:color="auto" w:fill="FFFFFF"/>
        <w:spacing w:after="0" w:line="240" w:lineRule="auto"/>
        <w:jc w:val="both"/>
        <w:rPr>
          <w:rFonts w:ascii="Times New Roman" w:eastAsia="Calibri" w:hAnsi="Times New Roman"/>
          <w:b/>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FE7A13" w:rsidRDefault="00FE7A13" w:rsidP="00F447A7">
      <w:pPr>
        <w:spacing w:after="0" w:line="240" w:lineRule="auto"/>
        <w:jc w:val="center"/>
        <w:rPr>
          <w:rFonts w:ascii="Times New Roman" w:hAnsi="Times New Roman"/>
          <w:b/>
          <w:noProof/>
          <w:sz w:val="20"/>
          <w:szCs w:val="20"/>
          <w:lang w:bidi="ar-SA"/>
        </w:rPr>
      </w:pPr>
    </w:p>
    <w:p w:rsidR="00FE7A13" w:rsidRDefault="00FE7A13" w:rsidP="00F447A7">
      <w:pPr>
        <w:spacing w:after="0" w:line="240" w:lineRule="auto"/>
        <w:jc w:val="center"/>
        <w:rPr>
          <w:rFonts w:ascii="Times New Roman" w:hAnsi="Times New Roman"/>
          <w:b/>
          <w:noProof/>
          <w:sz w:val="20"/>
          <w:szCs w:val="20"/>
          <w:lang w:bidi="ar-SA"/>
        </w:rPr>
      </w:pPr>
    </w:p>
    <w:p w:rsidR="00FE7A13" w:rsidRDefault="00FE7A13" w:rsidP="00F447A7">
      <w:pPr>
        <w:spacing w:after="0" w:line="240" w:lineRule="auto"/>
        <w:jc w:val="center"/>
        <w:rPr>
          <w:rFonts w:ascii="Times New Roman" w:hAnsi="Times New Roman"/>
          <w:b/>
          <w:noProof/>
          <w:sz w:val="20"/>
          <w:szCs w:val="20"/>
          <w:lang w:bidi="ar-SA"/>
        </w:rPr>
      </w:pPr>
    </w:p>
    <w:p w:rsidR="00FE7A13" w:rsidRDefault="00FE7A13" w:rsidP="00F447A7">
      <w:pPr>
        <w:spacing w:after="0" w:line="240" w:lineRule="auto"/>
        <w:jc w:val="center"/>
        <w:rPr>
          <w:rFonts w:ascii="Times New Roman" w:hAnsi="Times New Roman"/>
          <w:b/>
          <w:noProof/>
          <w:sz w:val="20"/>
          <w:szCs w:val="20"/>
          <w:lang w:bidi="ar-SA"/>
        </w:rPr>
      </w:pPr>
    </w:p>
    <w:p w:rsidR="00FE7A13" w:rsidRDefault="00FE7A13" w:rsidP="00F447A7">
      <w:pPr>
        <w:spacing w:after="0" w:line="240" w:lineRule="auto"/>
        <w:jc w:val="center"/>
        <w:rPr>
          <w:rFonts w:ascii="Times New Roman" w:hAnsi="Times New Roman"/>
          <w:b/>
          <w:noProof/>
          <w:sz w:val="20"/>
          <w:szCs w:val="20"/>
          <w:lang w:bidi="ar-SA"/>
        </w:rPr>
      </w:pPr>
    </w:p>
    <w:p w:rsidR="00FE7A13" w:rsidRDefault="00FE7A13" w:rsidP="00F447A7">
      <w:pPr>
        <w:spacing w:after="0" w:line="240" w:lineRule="auto"/>
        <w:jc w:val="center"/>
        <w:rPr>
          <w:rFonts w:ascii="Times New Roman" w:hAnsi="Times New Roman"/>
          <w:b/>
          <w:noProof/>
          <w:sz w:val="20"/>
          <w:szCs w:val="20"/>
          <w:lang w:bidi="ar-SA"/>
        </w:rPr>
      </w:pPr>
    </w:p>
    <w:p w:rsidR="00FE7A13" w:rsidRDefault="00FE7A13"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w:t>
      </w:r>
    </w:p>
    <w:p w:rsidR="00FE7A13" w:rsidRDefault="00FE7A13" w:rsidP="00F447A7">
      <w:pPr>
        <w:spacing w:after="0" w:line="240" w:lineRule="auto"/>
        <w:jc w:val="center"/>
        <w:rPr>
          <w:rFonts w:ascii="Times New Roman" w:hAnsi="Times New Roman"/>
          <w:b/>
          <w:noProof/>
          <w:sz w:val="20"/>
          <w:szCs w:val="20"/>
          <w:lang w:bidi="ar-SA"/>
        </w:rPr>
      </w:pPr>
    </w:p>
    <w:p w:rsidR="00FE7A13" w:rsidRDefault="00FE7A13" w:rsidP="00F447A7">
      <w:pPr>
        <w:spacing w:after="0" w:line="240" w:lineRule="auto"/>
        <w:jc w:val="both"/>
        <w:rPr>
          <w:rFonts w:ascii="Times New Roman" w:hAnsi="Times New Roman"/>
          <w:noProof/>
          <w:sz w:val="20"/>
          <w:szCs w:val="20"/>
          <w:lang w:bidi="ar-SA"/>
        </w:rPr>
      </w:pPr>
    </w:p>
    <w:p w:rsidR="00FE7A13" w:rsidRDefault="00FE7A13" w:rsidP="00F447A7">
      <w:pPr>
        <w:spacing w:after="0" w:line="240" w:lineRule="auto"/>
        <w:jc w:val="both"/>
        <w:rPr>
          <w:rFonts w:ascii="Times New Roman" w:hAnsi="Times New Roman"/>
          <w:noProof/>
          <w:sz w:val="20"/>
          <w:szCs w:val="20"/>
          <w:lang w:bidi="ar-SA"/>
        </w:rPr>
      </w:pPr>
    </w:p>
    <w:p w:rsidR="00FE7A13" w:rsidRDefault="00FE7A13" w:rsidP="00F447A7">
      <w:pPr>
        <w:spacing w:after="0" w:line="240" w:lineRule="auto"/>
        <w:jc w:val="both"/>
        <w:rPr>
          <w:rFonts w:ascii="Times New Roman" w:hAnsi="Times New Roman"/>
          <w:noProof/>
          <w:sz w:val="20"/>
          <w:szCs w:val="20"/>
          <w:lang w:bidi="ar-SA"/>
        </w:rPr>
      </w:pPr>
    </w:p>
    <w:p w:rsidR="00FE7A13" w:rsidRDefault="00FE7A13" w:rsidP="00F447A7">
      <w:pPr>
        <w:spacing w:after="0" w:line="240" w:lineRule="auto"/>
        <w:jc w:val="both"/>
        <w:rPr>
          <w:rFonts w:ascii="Times New Roman" w:hAnsi="Times New Roman"/>
          <w:noProof/>
          <w:sz w:val="20"/>
          <w:szCs w:val="20"/>
          <w:lang w:bidi="ar-SA"/>
        </w:rPr>
      </w:pPr>
    </w:p>
    <w:p w:rsidR="00FE7A13" w:rsidRDefault="00FE7A13" w:rsidP="00FE7A13">
      <w:pPr>
        <w:spacing w:after="0" w:line="240" w:lineRule="auto"/>
        <w:jc w:val="center"/>
        <w:rPr>
          <w:rFonts w:ascii="Times New Roman" w:hAnsi="Times New Roman"/>
          <w:noProof/>
          <w:sz w:val="20"/>
          <w:szCs w:val="20"/>
          <w:lang w:bidi="ar-SA"/>
        </w:rPr>
      </w:pPr>
    </w:p>
    <w:p w:rsidR="00FE7A13" w:rsidRDefault="00FE7A13" w:rsidP="00FE7A13">
      <w:pPr>
        <w:spacing w:after="0" w:line="240" w:lineRule="auto"/>
        <w:jc w:val="center"/>
        <w:rPr>
          <w:rFonts w:ascii="Times New Roman" w:hAnsi="Times New Roman"/>
          <w:noProof/>
          <w:sz w:val="20"/>
          <w:szCs w:val="20"/>
          <w:lang w:bidi="ar-SA"/>
        </w:rPr>
      </w:pPr>
    </w:p>
    <w:p w:rsidR="00FE7A13" w:rsidRPr="00FE7A13" w:rsidRDefault="00FE7A13" w:rsidP="00FE7A13">
      <w:pPr>
        <w:spacing w:after="0" w:line="240" w:lineRule="auto"/>
        <w:jc w:val="center"/>
        <w:rPr>
          <w:rFonts w:ascii="Times New Roman" w:hAnsi="Times New Roman"/>
          <w:b/>
          <w:noProof/>
          <w:sz w:val="20"/>
          <w:szCs w:val="20"/>
          <w:lang w:bidi="ar-SA"/>
        </w:rPr>
      </w:pPr>
      <w:r w:rsidRPr="00FE7A13">
        <w:rPr>
          <w:rFonts w:ascii="Times New Roman" w:hAnsi="Times New Roman"/>
          <w:b/>
          <w:noProof/>
          <w:sz w:val="20"/>
          <w:szCs w:val="20"/>
          <w:lang w:bidi="ar-SA"/>
        </w:rPr>
        <w:t>Results and Discussion</w:t>
      </w:r>
    </w:p>
    <w:p w:rsidR="00FE7A13" w:rsidRPr="00FE7A13" w:rsidRDefault="00FE7A13" w:rsidP="00FE7A13">
      <w:pPr>
        <w:autoSpaceDE w:val="0"/>
        <w:autoSpaceDN w:val="0"/>
        <w:adjustRightInd w:val="0"/>
        <w:spacing w:after="0" w:line="240" w:lineRule="auto"/>
        <w:jc w:val="both"/>
        <w:rPr>
          <w:rFonts w:ascii="Times New Roman" w:eastAsia="Calibri" w:hAnsi="Times New Roman"/>
          <w:b/>
          <w:sz w:val="20"/>
          <w:szCs w:val="20"/>
        </w:rPr>
      </w:pPr>
      <w:r w:rsidRPr="00FE7A13">
        <w:rPr>
          <w:rFonts w:ascii="Times New Roman" w:eastAsia="Calibri" w:hAnsi="Times New Roman"/>
          <w:b/>
          <w:sz w:val="20"/>
          <w:szCs w:val="20"/>
          <w:vertAlign w:val="superscript"/>
        </w:rPr>
        <w:t>232</w:t>
      </w:r>
      <w:r w:rsidRPr="00FE7A13">
        <w:rPr>
          <w:rFonts w:ascii="Times New Roman" w:eastAsia="Calibri" w:hAnsi="Times New Roman"/>
          <w:b/>
          <w:sz w:val="20"/>
          <w:szCs w:val="20"/>
        </w:rPr>
        <w:t>Th</w:t>
      </w:r>
      <w:r w:rsidRPr="00FE7A13">
        <w:rPr>
          <w:rFonts w:ascii="Times New Roman" w:eastAsia="Calibri" w:hAnsi="Times New Roman"/>
          <w:b/>
          <w:sz w:val="20"/>
          <w:szCs w:val="20"/>
          <w:vertAlign w:val="superscript"/>
        </w:rPr>
        <w:t xml:space="preserve"> </w:t>
      </w:r>
      <w:r w:rsidRPr="00FE7A13">
        <w:rPr>
          <w:rFonts w:ascii="Times New Roman" w:eastAsia="Calibri" w:hAnsi="Times New Roman"/>
          <w:b/>
          <w:sz w:val="20"/>
          <w:szCs w:val="20"/>
        </w:rPr>
        <w:t xml:space="preserve"> and </w:t>
      </w:r>
      <w:r w:rsidRPr="00FE7A13">
        <w:rPr>
          <w:rFonts w:ascii="Times New Roman" w:eastAsia="Calibri" w:hAnsi="Times New Roman"/>
          <w:b/>
          <w:sz w:val="20"/>
          <w:szCs w:val="20"/>
          <w:vertAlign w:val="superscript"/>
        </w:rPr>
        <w:t>238</w:t>
      </w:r>
      <w:r w:rsidRPr="00FE7A13">
        <w:rPr>
          <w:rFonts w:ascii="Times New Roman" w:eastAsia="Calibri" w:hAnsi="Times New Roman"/>
          <w:b/>
          <w:sz w:val="20"/>
          <w:szCs w:val="20"/>
        </w:rPr>
        <w:t xml:space="preserve">U concentrations </w:t>
      </w:r>
    </w:p>
    <w:p w:rsidR="00FE7A13" w:rsidRPr="00FE7A13" w:rsidRDefault="00FE7A13" w:rsidP="00FE7A13">
      <w:pPr>
        <w:autoSpaceDE w:val="0"/>
        <w:autoSpaceDN w:val="0"/>
        <w:adjustRightInd w:val="0"/>
        <w:spacing w:after="0" w:line="240" w:lineRule="auto"/>
        <w:jc w:val="both"/>
        <w:rPr>
          <w:rFonts w:ascii="Times New Roman" w:eastAsia="Times-Roman" w:hAnsi="Times New Roman"/>
          <w:sz w:val="20"/>
          <w:szCs w:val="20"/>
          <w:lang w:val="en-MY"/>
        </w:rPr>
      </w:pPr>
      <w:bookmarkStart w:id="7" w:name="_Hlk521078376"/>
      <w:r w:rsidRPr="00FE7A13">
        <w:rPr>
          <w:rFonts w:ascii="Times New Roman" w:eastAsia="Calibri" w:hAnsi="Times New Roman"/>
          <w:sz w:val="20"/>
          <w:szCs w:val="20"/>
          <w:lang w:val="en-GB"/>
        </w:rPr>
        <w:t xml:space="preserve">The accuracy of the procedure used for determination of total concentrations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LC and WLP residue was verified. The results are shown in Table 1. The XRF analysis showed that the concentrations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in the WLP residue and LC were 155.1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101.0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respectively, where the former was the highest concentration overall. On the other hand, the concentrations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WLP residue and LC were 6.9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6.0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respectively. The WLP residue is the major waste material resulting from water leaching and purification processes of the LC in the rare earth industry. This process utilises magnesium oxide and water, which produces WLP residue and is considered the most toxic due to its elevated levels of U, Th, associated radioactivity, and heavy metals compared with neutralisation underflow (NUF) and flue gas desulphurisation (FGD) waste</w:t>
      </w:r>
      <w:bookmarkEnd w:id="7"/>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lang w:val="en-MY"/>
        </w:rPr>
        <w:fldChar w:fldCharType="begin">
          <w:fldData xml:space="preserve">PEVuZE5vdGU+PENpdGU+PEF1dGhvcj5Lb2xvPC9BdXRob3I+PFllYXI+MjAxNTwvWWVhcj48UmVj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</w:fldData>
        </w:fldChar>
      </w:r>
      <w:r w:rsidRPr="00FE7A13">
        <w:rPr>
          <w:rFonts w:ascii="Times New Roman" w:eastAsia="Calibri" w:hAnsi="Times New Roman"/>
          <w:sz w:val="20"/>
          <w:szCs w:val="20"/>
          <w:lang w:val="en-MY"/>
        </w:rPr>
        <w:instrText xml:space="preserve"> ADDIN EN.CITE </w:instrText>
      </w:r>
      <w:r w:rsidRPr="00FE7A13">
        <w:rPr>
          <w:rFonts w:ascii="Times New Roman" w:eastAsia="Calibri" w:hAnsi="Times New Roman"/>
          <w:sz w:val="20"/>
          <w:szCs w:val="20"/>
          <w:lang w:val="en-MY"/>
        </w:rPr>
        <w:fldChar w:fldCharType="begin">
          <w:fldData xml:space="preserve">PEVuZE5vdGU+PENpdGU+PEF1dGhvcj5Lb2xvPC9BdXRob3I+PFllYXI+MjAxNTwvWWVhcj48UmVj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</w:fldData>
        </w:fldChar>
      </w:r>
      <w:r w:rsidRPr="00FE7A13">
        <w:rPr>
          <w:rFonts w:ascii="Times New Roman" w:eastAsia="Calibri" w:hAnsi="Times New Roman"/>
          <w:sz w:val="20"/>
          <w:szCs w:val="20"/>
          <w:lang w:val="en-MY"/>
        </w:rPr>
        <w:instrText xml:space="preserve"> ADDIN EN.CITE.DATA </w:instrText>
      </w:r>
      <w:r w:rsidRPr="00FE7A13">
        <w:rPr>
          <w:rFonts w:ascii="Times New Roman" w:eastAsia="Calibri" w:hAnsi="Times New Roman"/>
          <w:sz w:val="20"/>
          <w:szCs w:val="20"/>
          <w:lang w:val="en-MY"/>
        </w:rPr>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13" w:tooltip="Kolo, 2015 #12" w:history="1">
        <w:r w:rsidRPr="00FE7A13">
          <w:rPr>
            <w:rFonts w:ascii="Times New Roman" w:eastAsia="Calibri" w:hAnsi="Times New Roman"/>
            <w:noProof/>
            <w:sz w:val="20"/>
            <w:szCs w:val="20"/>
            <w:lang w:val="en-MY"/>
          </w:rPr>
          <w:t>13</w:t>
        </w:r>
      </w:hyperlink>
      <w:r w:rsidRPr="00FE7A13">
        <w:rPr>
          <w:rFonts w:ascii="Times New Roman" w:eastAsia="Calibri" w:hAnsi="Times New Roman"/>
          <w:noProof/>
          <w:sz w:val="20"/>
          <w:szCs w:val="20"/>
          <w:lang w:val="en-MY"/>
        </w:rPr>
        <w:t xml:space="preserve">, </w:t>
      </w:r>
      <w:hyperlink w:anchor="_ENREF_14" w:tooltip="Wragg, 2003 #13" w:history="1">
        <w:r w:rsidRPr="00FE7A13">
          <w:rPr>
            <w:rFonts w:ascii="Times New Roman" w:eastAsia="Calibri" w:hAnsi="Times New Roman"/>
            <w:noProof/>
            <w:sz w:val="20"/>
            <w:szCs w:val="20"/>
            <w:lang w:val="en-MY"/>
          </w:rPr>
          <w:t>14</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w:t>
      </w:r>
      <w:r w:rsidRPr="00FE7A13">
        <w:rPr>
          <w:rFonts w:ascii="Times New Roman" w:eastAsia="Calibri" w:hAnsi="Times New Roman"/>
          <w:sz w:val="20"/>
          <w:szCs w:val="20"/>
        </w:rPr>
        <w:t xml:space="preserve"> </w:t>
      </w:r>
      <w:bookmarkStart w:id="8" w:name="_Hlk521078401"/>
      <w:r w:rsidRPr="00FE7A13">
        <w:rPr>
          <w:rFonts w:ascii="Times New Roman" w:eastAsia="Calibri" w:hAnsi="Times New Roman"/>
          <w:sz w:val="20"/>
          <w:szCs w:val="20"/>
          <w:lang w:val="en-GB"/>
        </w:rPr>
        <w:t xml:space="preserve">The concentration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varied in the LC and WLP residue, which could have been due to the geological composition and the content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samples from each area where the soils originated. </w:t>
      </w:r>
      <w:r w:rsidRPr="00FE7A13">
        <w:rPr>
          <w:rFonts w:ascii="Times New Roman" w:eastAsia="Times-Roman" w:hAnsi="Times New Roman"/>
          <w:sz w:val="20"/>
          <w:szCs w:val="20"/>
          <w:lang w:val="en-GB"/>
        </w:rPr>
        <w:t xml:space="preserve">The original </w:t>
      </w:r>
      <w:r w:rsidRPr="00FE7A13">
        <w:rPr>
          <w:rFonts w:ascii="Times New Roman" w:eastAsia="Times-Roman" w:hAnsi="Times New Roman"/>
          <w:sz w:val="20"/>
          <w:szCs w:val="20"/>
          <w:vertAlign w:val="superscript"/>
          <w:lang w:val="en-GB"/>
        </w:rPr>
        <w:t>232</w:t>
      </w:r>
      <w:r w:rsidRPr="00FE7A13">
        <w:rPr>
          <w:rFonts w:ascii="Times New Roman" w:eastAsia="Times-Roman" w:hAnsi="Times New Roman"/>
          <w:sz w:val="20"/>
          <w:szCs w:val="20"/>
          <w:lang w:val="en-GB"/>
        </w:rPr>
        <w:t xml:space="preserve">Th and </w:t>
      </w:r>
      <w:r w:rsidRPr="00FE7A13">
        <w:rPr>
          <w:rFonts w:ascii="Times New Roman" w:eastAsia="Times-Roman" w:hAnsi="Times New Roman"/>
          <w:sz w:val="20"/>
          <w:szCs w:val="20"/>
          <w:vertAlign w:val="superscript"/>
          <w:lang w:val="en-GB"/>
        </w:rPr>
        <w:t>238</w:t>
      </w:r>
      <w:r w:rsidRPr="00FE7A13">
        <w:rPr>
          <w:rFonts w:ascii="Times New Roman" w:eastAsia="Times-Roman" w:hAnsi="Times New Roman"/>
          <w:sz w:val="20"/>
          <w:szCs w:val="20"/>
          <w:lang w:val="en-GB"/>
        </w:rPr>
        <w:t>U concentrations in rocks may have varied because of alteration or metamorphic processes</w:t>
      </w:r>
      <w:bookmarkEnd w:id="8"/>
      <w:r w:rsidRPr="00FE7A13">
        <w:rPr>
          <w:rFonts w:ascii="Times New Roman" w:eastAsia="Times-Roman" w:hAnsi="Times New Roman"/>
          <w:sz w:val="20"/>
          <w:szCs w:val="20"/>
          <w:lang w:val="en-GB"/>
        </w:rPr>
        <w:t xml:space="preserve"> </w:t>
      </w:r>
      <w:r w:rsidRPr="00FE7A13">
        <w:rPr>
          <w:rFonts w:ascii="Times New Roman" w:eastAsia="Times-Roman" w:hAnsi="Times New Roman"/>
          <w:sz w:val="20"/>
          <w:szCs w:val="20"/>
          <w:lang w:val="en-MY"/>
        </w:rPr>
        <w:fldChar w:fldCharType="begin"/>
      </w:r>
      <w:r w:rsidRPr="00FE7A13">
        <w:rPr>
          <w:rFonts w:ascii="Times New Roman" w:eastAsia="Times-Roman" w:hAnsi="Times New Roman"/>
          <w:sz w:val="20"/>
          <w:szCs w:val="20"/>
          <w:lang w:val="en-MY"/>
        </w:rPr>
        <w:instrText xml:space="preserve"> ADDIN EN.CITE &lt;EndNote&gt;&lt;Cite&gt;&lt;Author&gt;NTN&lt;/Author&gt;&lt;Year&gt;2012&lt;/Year&gt;&lt;RecNum&gt;13&lt;/RecNum&gt;&lt;DisplayText&gt;[15]&lt;/DisplayText&gt;&lt;record&gt;&lt;rec-number&gt;13&lt;/rec-number&gt;&lt;foreign-keys&gt;&lt;key app="EN" db-id="9dzedx9enatp9deeweuxp2x4wzfs59redfdt" timestamp="1531989771"&gt;13&lt;/key&gt;&lt;/foreign-keys&gt;&lt;ref-type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FE7A13">
        <w:rPr>
          <w:rFonts w:ascii="Times New Roman" w:eastAsia="Times-Roman" w:hAnsi="Times New Roman"/>
          <w:sz w:val="20"/>
          <w:szCs w:val="20"/>
          <w:lang w:val="en-MY"/>
        </w:rPr>
        <w:fldChar w:fldCharType="separate"/>
      </w:r>
      <w:r w:rsidRPr="00FE7A13">
        <w:rPr>
          <w:rFonts w:ascii="Times New Roman" w:eastAsia="Times-Roman" w:hAnsi="Times New Roman"/>
          <w:noProof/>
          <w:sz w:val="20"/>
          <w:szCs w:val="20"/>
          <w:lang w:val="en-MY"/>
        </w:rPr>
        <w:t>[</w:t>
      </w:r>
      <w:hyperlink w:anchor="_ENREF_15" w:tooltip="NTN, 2012 #13" w:history="1">
        <w:r w:rsidRPr="00FE7A13">
          <w:rPr>
            <w:rFonts w:ascii="Times New Roman" w:eastAsia="Times-Roman" w:hAnsi="Times New Roman"/>
            <w:noProof/>
            <w:sz w:val="20"/>
            <w:szCs w:val="20"/>
            <w:lang w:val="en-MY"/>
          </w:rPr>
          <w:t>15</w:t>
        </w:r>
      </w:hyperlink>
      <w:r w:rsidRPr="00FE7A13">
        <w:rPr>
          <w:rFonts w:ascii="Times New Roman" w:eastAsia="Times-Roman" w:hAnsi="Times New Roman"/>
          <w:noProof/>
          <w:sz w:val="20"/>
          <w:szCs w:val="20"/>
          <w:lang w:val="en-MY"/>
        </w:rPr>
        <w:t>]</w:t>
      </w:r>
      <w:r w:rsidRPr="00FE7A13">
        <w:rPr>
          <w:rFonts w:ascii="Times New Roman" w:eastAsia="Times-Roman" w:hAnsi="Times New Roman"/>
          <w:sz w:val="20"/>
          <w:szCs w:val="20"/>
          <w:lang w:val="en-MY"/>
        </w:rPr>
        <w:fldChar w:fldCharType="end"/>
      </w:r>
      <w:r w:rsidRPr="00FE7A13">
        <w:rPr>
          <w:rFonts w:ascii="Times New Roman" w:eastAsia="Times-Roman" w:hAnsi="Times New Roman"/>
          <w:sz w:val="20"/>
          <w:szCs w:val="20"/>
          <w:lang w:val="en-MY"/>
        </w:rPr>
        <w:t xml:space="preserve">. </w:t>
      </w:r>
      <w:r w:rsidRPr="00FE7A13">
        <w:rPr>
          <w:rFonts w:ascii="Times New Roman" w:eastAsia="Times-Roman" w:hAnsi="Times New Roman"/>
          <w:sz w:val="20"/>
          <w:szCs w:val="20"/>
          <w:lang w:val="en-GB"/>
        </w:rPr>
        <w:t xml:space="preserve">The concentration of </w:t>
      </w:r>
      <w:r w:rsidRPr="00FE7A13">
        <w:rPr>
          <w:rFonts w:ascii="Times New Roman" w:eastAsia="Times-Roman" w:hAnsi="Times New Roman"/>
          <w:sz w:val="20"/>
          <w:szCs w:val="20"/>
          <w:vertAlign w:val="superscript"/>
          <w:lang w:val="en-GB"/>
        </w:rPr>
        <w:t>232</w:t>
      </w:r>
      <w:r w:rsidRPr="00FE7A13">
        <w:rPr>
          <w:rFonts w:ascii="Times New Roman" w:eastAsia="Times-Roman" w:hAnsi="Times New Roman"/>
          <w:sz w:val="20"/>
          <w:szCs w:val="20"/>
          <w:lang w:val="en-GB"/>
        </w:rPr>
        <w:t xml:space="preserve">Th was highest in the WLP residue, as the WLP residue undergoes refining processes that cause </w:t>
      </w:r>
      <w:r w:rsidRPr="00FE7A13">
        <w:rPr>
          <w:rFonts w:ascii="Times New Roman" w:eastAsia="Times-Roman" w:hAnsi="Times New Roman"/>
          <w:sz w:val="20"/>
          <w:szCs w:val="20"/>
          <w:vertAlign w:val="superscript"/>
          <w:lang w:val="en-GB"/>
        </w:rPr>
        <w:t>232</w:t>
      </w:r>
      <w:r w:rsidRPr="00FE7A13">
        <w:rPr>
          <w:rFonts w:ascii="Times New Roman" w:eastAsia="Times-Roman" w:hAnsi="Times New Roman"/>
          <w:sz w:val="20"/>
          <w:szCs w:val="20"/>
          <w:lang w:val="en-GB"/>
        </w:rPr>
        <w:t>Th to easily separate from the minerals inside the soil</w:t>
      </w:r>
      <w:r w:rsidRPr="00FE7A13">
        <w:rPr>
          <w:rFonts w:ascii="Times New Roman" w:eastAsia="Times-Roman" w:hAnsi="Times New Roman"/>
          <w:sz w:val="20"/>
          <w:szCs w:val="20"/>
          <w:lang w:val="en-MY"/>
        </w:rPr>
        <w:t xml:space="preserve"> </w:t>
      </w:r>
      <w:r w:rsidRPr="00FE7A13">
        <w:rPr>
          <w:rFonts w:ascii="Times New Roman" w:eastAsia="Times-Roman" w:hAnsi="Times New Roman"/>
          <w:sz w:val="20"/>
          <w:szCs w:val="20"/>
          <w:lang w:val="en-MY"/>
        </w:rPr>
        <w:fldChar w:fldCharType="begin"/>
      </w:r>
      <w:r w:rsidRPr="00FE7A13">
        <w:rPr>
          <w:rFonts w:ascii="Times New Roman" w:eastAsia="Times-Roman" w:hAnsi="Times New Roman"/>
          <w:sz w:val="20"/>
          <w:szCs w:val="20"/>
          <w:lang w:val="en-MY"/>
        </w:rPr>
        <w:instrText xml:space="preserve"> ADDIN EN.CITE &lt;EndNote&gt;&lt;Cite&gt;&lt;Author&gt;Pasquale&lt;/Author&gt;&lt;Year&gt;2001&lt;/Year&gt;&lt;RecNum&gt;14&lt;/RecNum&gt;&lt;DisplayText&gt;[16]&lt;/DisplayText&gt;&lt;record&gt;&lt;rec-number&gt;14&lt;/rec-number&gt;&lt;foreign-keys&gt;&lt;key app="EN" db-id="9dzedx9enatp9deeweuxp2x4wzfs59redfdt" timestamp="1531989771"&gt;14&lt;/key&gt;&lt;/foreign-keys&gt;&lt;ref-type name="Journal Article"&gt;17&lt;/ref-type&gt;&lt;contributors&gt;&lt;authors&gt;&lt;author&gt;Pasquale, V&lt;/author&gt;&lt;author&gt;Verdoya, M&lt;/author&gt;&lt;author&gt;Chiozzi, P&lt;/author&gt;&lt;/authors&gt;&lt;/contributors&gt;&lt;titles&gt;&lt;title&gt;Radioactive heat generation and its thermal effects in the Alps–Apennines boundary zone&lt;/title&gt;&lt;secondary-title&gt;Tectonophysics&lt;/secondary-title&gt;&lt;/titles&gt;&lt;pages&gt;269-283&lt;/pages&gt;&lt;volume&gt;331&lt;/volume&gt;&lt;number&gt;3&lt;/number&gt;&lt;dates&gt;&lt;year&gt;2001&lt;/year&gt;&lt;/dates&gt;&lt;isbn&gt;0040-1951&lt;/isbn&gt;&lt;urls&gt;&lt;/urls&gt;&lt;/record&gt;&lt;/Cite&gt;&lt;/EndNote&gt;</w:instrText>
      </w:r>
      <w:r w:rsidRPr="00FE7A13">
        <w:rPr>
          <w:rFonts w:ascii="Times New Roman" w:eastAsia="Times-Roman" w:hAnsi="Times New Roman"/>
          <w:sz w:val="20"/>
          <w:szCs w:val="20"/>
          <w:lang w:val="en-MY"/>
        </w:rPr>
        <w:fldChar w:fldCharType="separate"/>
      </w:r>
      <w:r w:rsidRPr="00FE7A13">
        <w:rPr>
          <w:rFonts w:ascii="Times New Roman" w:eastAsia="Times-Roman" w:hAnsi="Times New Roman"/>
          <w:noProof/>
          <w:sz w:val="20"/>
          <w:szCs w:val="20"/>
          <w:lang w:val="en-MY"/>
        </w:rPr>
        <w:t>[</w:t>
      </w:r>
      <w:hyperlink w:anchor="_ENREF_16" w:tooltip="Pasquale, 2001 #14" w:history="1">
        <w:r w:rsidRPr="00FE7A13">
          <w:rPr>
            <w:rFonts w:ascii="Times New Roman" w:eastAsia="Times-Roman" w:hAnsi="Times New Roman"/>
            <w:noProof/>
            <w:sz w:val="20"/>
            <w:szCs w:val="20"/>
            <w:lang w:val="en-MY"/>
          </w:rPr>
          <w:t>16</w:t>
        </w:r>
      </w:hyperlink>
      <w:r w:rsidRPr="00FE7A13">
        <w:rPr>
          <w:rFonts w:ascii="Times New Roman" w:eastAsia="Times-Roman" w:hAnsi="Times New Roman"/>
          <w:noProof/>
          <w:sz w:val="20"/>
          <w:szCs w:val="20"/>
          <w:lang w:val="en-MY"/>
        </w:rPr>
        <w:t>]</w:t>
      </w:r>
      <w:r w:rsidRPr="00FE7A13">
        <w:rPr>
          <w:rFonts w:ascii="Times New Roman" w:eastAsia="Times-Roman" w:hAnsi="Times New Roman"/>
          <w:sz w:val="20"/>
          <w:szCs w:val="20"/>
          <w:lang w:val="en-MY"/>
        </w:rPr>
        <w:fldChar w:fldCharType="end"/>
      </w:r>
      <w:r w:rsidRPr="00FE7A13">
        <w:rPr>
          <w:rFonts w:ascii="Times New Roman" w:eastAsia="Times-Roman" w:hAnsi="Times New Roman"/>
          <w:sz w:val="20"/>
          <w:szCs w:val="20"/>
          <w:lang w:val="en-MY"/>
        </w:rPr>
        <w:t>.</w:t>
      </w:r>
      <w:bookmarkStart w:id="9" w:name="_Hlk521082836"/>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p>
    <w:p w:rsidR="00FE7A13" w:rsidRPr="00FE7A13" w:rsidRDefault="00FE7A13" w:rsidP="00FE7A13">
      <w:pPr>
        <w:autoSpaceDE w:val="0"/>
        <w:autoSpaceDN w:val="0"/>
        <w:adjustRightInd w:val="0"/>
        <w:spacing w:after="0" w:line="240" w:lineRule="auto"/>
        <w:jc w:val="both"/>
        <w:rPr>
          <w:rFonts w:ascii="Times New Roman" w:eastAsia="Times-Roman" w:hAnsi="Times New Roman"/>
          <w:sz w:val="20"/>
          <w:szCs w:val="20"/>
          <w:lang w:val="en-MY"/>
        </w:rPr>
      </w:pPr>
      <w:r w:rsidRPr="00FE7A13">
        <w:rPr>
          <w:rFonts w:ascii="Times New Roman" w:eastAsia="Calibri" w:hAnsi="Times New Roman"/>
          <w:sz w:val="20"/>
          <w:szCs w:val="20"/>
          <w:lang w:val="en-GB"/>
        </w:rPr>
        <w:t>Heavy metals and radionuclide behaviours in soil are significantly related to soil properties. Soil determinants, such as pH, ferromanganese oxides, and organic matter, may be better predictors for metal mobility</w:t>
      </w:r>
      <w:bookmarkEnd w:id="9"/>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&lt;EndNote&gt;&lt;Cite&gt;&lt;Author&gt;Guo&lt;/Author&gt;&lt;Year&gt;2008&lt;/Year&gt;&lt;RecNum&gt;33&lt;/RecNum&gt;&lt;DisplayText&gt;[17]&lt;/DisplayText&gt;&lt;record&gt;&lt;rec-number&gt;33&lt;/rec-number&gt;&lt;foreign-keys&gt;&lt;key app="EN" db-id="swr9aa0fctvwziet5pxv0ffgx2e2ssd59sv2"&gt;33&lt;/key&gt;&lt;/foreign-keys&gt;&lt;ref-type name="Journal Article"&gt;17&lt;/ref-type&gt;&lt;contributors&gt;&lt;authors&gt;&lt;author&gt;Guo, Pengran&lt;/author&gt;&lt;author&gt;Duan, Taicheng&lt;/author&gt;&lt;author&gt;Song, Xuejie&lt;/author&gt;&lt;author&gt;Xu, Jingwei&lt;/author&gt;&lt;author&gt;Chen, Hangting&lt;/author&gt;&lt;/authors&gt;&lt;/contributors&gt;&lt;titles&gt;&lt;title&gt;Effects of soil pH and organic matter on distribution of thorium fractions in soil contaminated by rare-earth industries&lt;/title&gt;&lt;secondary-title&gt;Talanta&lt;/secondary-title&gt;&lt;/titles&gt;&lt;periodical&gt;&lt;full-title&gt;Talanta&lt;/full-title&gt;&lt;/periodical&gt;&lt;pages&gt;624-627&lt;/pages&gt;&lt;volume&gt;77&lt;/volume&gt;&lt;number&gt;2&lt;/number&gt;&lt;dates&gt;&lt;year&gt;2008&lt;/year&gt;&lt;/dates&gt;&lt;isbn&gt;0039-9140&lt;/isbn&gt;&lt;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17" w:tooltip="Guo, 2008 #33" w:history="1">
        <w:r w:rsidRPr="00FE7A13">
          <w:rPr>
            <w:rFonts w:ascii="Times New Roman" w:eastAsia="Calibri" w:hAnsi="Times New Roman"/>
            <w:noProof/>
            <w:sz w:val="20"/>
            <w:szCs w:val="20"/>
            <w:lang w:val="en-MY"/>
          </w:rPr>
          <w:t>17</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 xml:space="preserve">. </w:t>
      </w:r>
      <w:bookmarkStart w:id="10" w:name="_Hlk521082869"/>
      <w:r w:rsidRPr="00FE7A13">
        <w:rPr>
          <w:rFonts w:ascii="Times New Roman" w:eastAsia="Calibri" w:hAnsi="Times New Roman"/>
          <w:sz w:val="20"/>
          <w:szCs w:val="20"/>
          <w:lang w:val="en-GB"/>
        </w:rPr>
        <w:t>According to the National Toxics Network (NTN) report, the rare earths concentrate imported from Australia is expected to have ThO</w:t>
      </w:r>
      <w:r w:rsidRPr="00FE7A13">
        <w:rPr>
          <w:rFonts w:ascii="Times New Roman" w:eastAsia="Calibri" w:hAnsi="Times New Roman"/>
          <w:sz w:val="20"/>
          <w:szCs w:val="20"/>
          <w:vertAlign w:val="subscript"/>
          <w:lang w:val="en-GB"/>
        </w:rPr>
        <w:t>2</w:t>
      </w:r>
      <w:r w:rsidRPr="00FE7A13">
        <w:rPr>
          <w:rFonts w:ascii="Times New Roman" w:eastAsia="Calibri" w:hAnsi="Times New Roman"/>
          <w:sz w:val="20"/>
          <w:szCs w:val="20"/>
          <w:lang w:val="en-GB"/>
        </w:rPr>
        <w:t xml:space="preserve"> concentrations of 1600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U</w:t>
      </w:r>
      <w:r w:rsidRPr="00FE7A13">
        <w:rPr>
          <w:rFonts w:ascii="Times New Roman" w:eastAsia="Calibri" w:hAnsi="Times New Roman"/>
          <w:sz w:val="20"/>
          <w:szCs w:val="20"/>
          <w:vertAlign w:val="subscript"/>
          <w:lang w:val="en-GB"/>
        </w:rPr>
        <w:t>3</w:t>
      </w:r>
      <w:r w:rsidRPr="00FE7A13">
        <w:rPr>
          <w:rFonts w:ascii="Times New Roman" w:eastAsia="Calibri" w:hAnsi="Times New Roman"/>
          <w:sz w:val="20"/>
          <w:szCs w:val="20"/>
          <w:lang w:val="en-GB"/>
        </w:rPr>
        <w:t>O</w:t>
      </w:r>
      <w:r w:rsidRPr="00FE7A13">
        <w:rPr>
          <w:rFonts w:ascii="Times New Roman" w:eastAsia="Calibri" w:hAnsi="Times New Roman"/>
          <w:sz w:val="20"/>
          <w:szCs w:val="20"/>
          <w:vertAlign w:val="subscript"/>
          <w:lang w:val="en-GB"/>
        </w:rPr>
        <w:t>8</w:t>
      </w:r>
      <w:r w:rsidRPr="00FE7A13">
        <w:rPr>
          <w:rFonts w:ascii="Times New Roman" w:eastAsia="Calibri" w:hAnsi="Times New Roman"/>
          <w:sz w:val="20"/>
          <w:szCs w:val="20"/>
          <w:lang w:val="en-GB"/>
        </w:rPr>
        <w:t xml:space="preserve"> concentrations of 28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These concentrations correspond to a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activity concentration of 5.7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a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activity concentration of 0.28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The WLP residue is expected to have a ThO</w:t>
      </w:r>
      <w:r w:rsidRPr="00FE7A13">
        <w:rPr>
          <w:rFonts w:ascii="Times New Roman" w:eastAsia="Calibri" w:hAnsi="Times New Roman"/>
          <w:sz w:val="20"/>
          <w:szCs w:val="20"/>
          <w:vertAlign w:val="subscript"/>
          <w:lang w:val="en-GB"/>
        </w:rPr>
        <w:t>2</w:t>
      </w:r>
      <w:r w:rsidRPr="00FE7A13">
        <w:rPr>
          <w:rFonts w:ascii="Times New Roman" w:eastAsia="Calibri" w:hAnsi="Times New Roman"/>
          <w:sz w:val="20"/>
          <w:szCs w:val="20"/>
          <w:lang w:val="en-GB"/>
        </w:rPr>
        <w:t xml:space="preserve"> content of 1655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a U</w:t>
      </w:r>
      <w:r w:rsidRPr="00FE7A13">
        <w:rPr>
          <w:rFonts w:ascii="Times New Roman" w:eastAsia="Calibri" w:hAnsi="Times New Roman"/>
          <w:sz w:val="20"/>
          <w:szCs w:val="20"/>
          <w:vertAlign w:val="subscript"/>
          <w:lang w:val="en-GB"/>
        </w:rPr>
        <w:t>3</w:t>
      </w:r>
      <w:r w:rsidRPr="00FE7A13">
        <w:rPr>
          <w:rFonts w:ascii="Times New Roman" w:eastAsia="Calibri" w:hAnsi="Times New Roman"/>
          <w:sz w:val="20"/>
          <w:szCs w:val="20"/>
          <w:lang w:val="en-GB"/>
        </w:rPr>
        <w:t>O</w:t>
      </w:r>
      <w:r w:rsidRPr="00FE7A13">
        <w:rPr>
          <w:rFonts w:ascii="Times New Roman" w:eastAsia="Calibri" w:hAnsi="Times New Roman"/>
          <w:sz w:val="20"/>
          <w:szCs w:val="20"/>
          <w:vertAlign w:val="subscript"/>
          <w:lang w:val="en-GB"/>
        </w:rPr>
        <w:t>8</w:t>
      </w:r>
      <w:r w:rsidRPr="00FE7A13">
        <w:rPr>
          <w:rFonts w:ascii="Times New Roman" w:eastAsia="Calibri" w:hAnsi="Times New Roman"/>
          <w:sz w:val="20"/>
          <w:szCs w:val="20"/>
          <w:lang w:val="en-GB"/>
        </w:rPr>
        <w:t xml:space="preserve"> content of 22.5 mg kg</w:t>
      </w:r>
      <w:r w:rsidRPr="00FE7A13">
        <w:rPr>
          <w:rFonts w:ascii="Times New Roman" w:eastAsia="Calibri" w:hAnsi="Times New Roman"/>
          <w:sz w:val="20"/>
          <w:szCs w:val="20"/>
          <w:vertAlign w:val="superscript"/>
          <w:lang w:val="en-GB"/>
        </w:rPr>
        <w:t>-1</w:t>
      </w:r>
      <w:bookmarkEnd w:id="10"/>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&lt;EndNote&gt;&lt;Cite&gt;&lt;Author&gt;NTN&lt;/Author&gt;&lt;Year&gt;2012&lt;/Year&gt;&lt;RecNum&gt;23&lt;/RecNum&gt;&lt;DisplayText&gt;[15]&lt;/DisplayText&gt;&lt;record&gt;&lt;rec-number&gt;23&lt;/rec-number&gt;&lt;foreign-keys&gt;&lt;key app="EN" db-id="swr9aa0fctvwziet5pxv0ffgx2e2ssd59sv2"&gt;23&lt;/key&gt;&lt;/foreign-keys&gt;&lt;ref-type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15" w:tooltip="NTN, 2012 #13" w:history="1">
        <w:r w:rsidRPr="00FE7A13">
          <w:rPr>
            <w:rFonts w:ascii="Times New Roman" w:eastAsia="Calibri" w:hAnsi="Times New Roman"/>
            <w:noProof/>
            <w:sz w:val="20"/>
            <w:szCs w:val="20"/>
          </w:rPr>
          <w:t>15</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11" w:name="_Hlk521082909"/>
      <w:r w:rsidRPr="00FE7A13">
        <w:rPr>
          <w:rFonts w:ascii="Times New Roman" w:eastAsia="Calibri" w:hAnsi="Times New Roman"/>
          <w:sz w:val="20"/>
          <w:szCs w:val="20"/>
          <w:lang w:val="en-GB"/>
        </w:rPr>
        <w:t xml:space="preserve">Based on the International Atomic Energy Agency (IAEA) report, </w:t>
      </w:r>
      <w:r w:rsidRPr="00FE7A13">
        <w:rPr>
          <w:rFonts w:ascii="Times New Roman" w:eastAsia="TimesNewRoman" w:hAnsi="Times New Roman"/>
          <w:sz w:val="20"/>
          <w:szCs w:val="20"/>
          <w:lang w:val="en-GB"/>
        </w:rPr>
        <w:t>the rare earth, Th, and U contents of the ore are shown in Table 3</w:t>
      </w:r>
      <w:bookmarkEnd w:id="11"/>
      <w:r w:rsidRPr="00FE7A13">
        <w:rPr>
          <w:rFonts w:ascii="Times New Roman" w:eastAsia="TimesNewRoman" w:hAnsi="Times New Roman"/>
          <w:sz w:val="20"/>
          <w:szCs w:val="20"/>
          <w:lang w:val="en-GB"/>
        </w:rPr>
        <w:t xml:space="preserve"> </w:t>
      </w:r>
      <w:r w:rsidRPr="00FE7A13">
        <w:rPr>
          <w:rFonts w:ascii="Times New Roman" w:eastAsia="TimesNewRoman" w:hAnsi="Times New Roman"/>
          <w:sz w:val="20"/>
          <w:szCs w:val="20"/>
          <w:lang w:val="en-MY"/>
        </w:rPr>
        <w:fldChar w:fldCharType="begin"/>
      </w:r>
      <w:r w:rsidRPr="00FE7A13">
        <w:rPr>
          <w:rFonts w:ascii="Times New Roman" w:eastAsia="TimesNewRoman" w:hAnsi="Times New Roman"/>
          <w:sz w:val="20"/>
          <w:szCs w:val="20"/>
          <w:lang w:val="en-MY"/>
        </w:rPr>
        <w:instrText xml:space="preserve"> ADDIN EN.CITE &lt;EndNote&gt;&lt;Cite&gt;&lt;Author&gt;Agency&lt;/Author&gt;&lt;Year&gt;2011&lt;/Year&gt;&lt;RecNum&gt;14&lt;/RecNum&gt;&lt;DisplayText&gt;[18]&lt;/DisplayText&gt;&lt;record&gt;&lt;rec-number&gt;14&lt;/rec-number&gt;&lt;foreign-keys&gt;&lt;key app="EN" db-id="9vt5vtss3axvwoerdfmpxadcasawvp5w5fzf" timestamp="1531999501"&gt;14&lt;/key&gt;&lt;/foreign-keys&gt;&lt;ref-type name="Journal Article"&gt;17&lt;/ref-type&gt;&lt;contributors&gt;&lt;authors&gt;&lt;author&gt;IAEA Internationa; Atomic Energy Agency&lt;/author&gt;&lt;/authors&gt;&lt;/contributors&gt;&lt;titles&gt;&lt;title&gt;&lt;style face="normal" font="Arial" size="100%"&gt;Radiation Protection and NORM Residue Management in the Production of Rare Earths from Thorium Containing Minerals&lt;/style&gt;&lt;/title&gt;&lt;secondary-title&gt;Safety Reports Series No.68&lt;/secondary-title&gt;&lt;/titles&gt;&lt;periodical&gt;&lt;full-title&gt;Safety Reports Series No.68&lt;/full-title&gt;&lt;/periodical&gt;&lt;dates&gt;&lt;year&gt;2011&lt;/year&gt;&lt;/dates&gt;&lt;urls&gt;&lt;/urls&gt;&lt;/record&gt;&lt;/Cite&gt;&lt;/EndNote&gt;</w:instrText>
      </w:r>
      <w:r w:rsidRPr="00FE7A13">
        <w:rPr>
          <w:rFonts w:ascii="Times New Roman" w:eastAsia="TimesNewRoman" w:hAnsi="Times New Roman"/>
          <w:sz w:val="20"/>
          <w:szCs w:val="20"/>
          <w:lang w:val="en-MY"/>
        </w:rPr>
        <w:fldChar w:fldCharType="separate"/>
      </w:r>
      <w:r w:rsidRPr="00FE7A13">
        <w:rPr>
          <w:rFonts w:ascii="Times New Roman" w:eastAsia="TimesNewRoman" w:hAnsi="Times New Roman"/>
          <w:noProof/>
          <w:sz w:val="20"/>
          <w:szCs w:val="20"/>
          <w:lang w:val="en-MY"/>
        </w:rPr>
        <w:t>[</w:t>
      </w:r>
      <w:hyperlink w:anchor="_ENREF_18" w:tooltip="Agency, 2011 #14" w:history="1">
        <w:r w:rsidRPr="00FE7A13">
          <w:rPr>
            <w:rFonts w:ascii="Times New Roman" w:eastAsia="TimesNewRoman" w:hAnsi="Times New Roman"/>
            <w:noProof/>
            <w:sz w:val="20"/>
            <w:szCs w:val="20"/>
            <w:lang w:val="en-MY"/>
          </w:rPr>
          <w:t>18</w:t>
        </w:r>
      </w:hyperlink>
      <w:r w:rsidRPr="00FE7A13">
        <w:rPr>
          <w:rFonts w:ascii="Times New Roman" w:eastAsia="TimesNewRoman" w:hAnsi="Times New Roman"/>
          <w:noProof/>
          <w:sz w:val="20"/>
          <w:szCs w:val="20"/>
          <w:lang w:val="en-MY"/>
        </w:rPr>
        <w:t>]</w:t>
      </w:r>
      <w:r w:rsidRPr="00FE7A13">
        <w:rPr>
          <w:rFonts w:ascii="Times New Roman" w:eastAsia="TimesNewRoman" w:hAnsi="Times New Roman"/>
          <w:sz w:val="20"/>
          <w:szCs w:val="20"/>
          <w:lang w:val="en-MY"/>
        </w:rPr>
        <w:fldChar w:fldCharType="end"/>
      </w:r>
      <w:r w:rsidRPr="00FE7A13">
        <w:rPr>
          <w:rFonts w:ascii="Times New Roman" w:eastAsia="TimesNewRoman" w:hAnsi="Times New Roman"/>
          <w:sz w:val="20"/>
          <w:szCs w:val="20"/>
          <w:lang w:val="en-MY"/>
        </w:rPr>
        <w:t>.</w:t>
      </w:r>
      <w:r w:rsidRPr="00FE7A13">
        <w:rPr>
          <w:rFonts w:ascii="Times New Roman" w:eastAsia="Calibri" w:hAnsi="Times New Roman"/>
          <w:sz w:val="20"/>
          <w:szCs w:val="20"/>
        </w:rPr>
        <w:t xml:space="preserve"> </w:t>
      </w:r>
      <w:r w:rsidRPr="00FE7A13">
        <w:rPr>
          <w:rFonts w:ascii="Times New Roman" w:eastAsia="Calibri" w:hAnsi="Times New Roman"/>
          <w:sz w:val="20"/>
          <w:szCs w:val="20"/>
          <w:lang w:val="en-GB"/>
        </w:rPr>
        <w:t xml:space="preserve">These concentrations correspond to a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activity concentration of 5.9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a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activity concentration of 0.24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rPr>
        <w:t>.</w:t>
      </w:r>
    </w:p>
    <w:p w:rsidR="00FE7A13" w:rsidRDefault="00FE7A13" w:rsidP="00FE7A13">
      <w:pPr>
        <w:autoSpaceDE w:val="0"/>
        <w:autoSpaceDN w:val="0"/>
        <w:adjustRightInd w:val="0"/>
        <w:spacing w:after="0" w:line="240" w:lineRule="auto"/>
        <w:jc w:val="both"/>
        <w:rPr>
          <w:rFonts w:ascii="Times New Roman" w:eastAsia="Calibri" w:hAnsi="Times New Roman"/>
          <w:b/>
          <w:sz w:val="20"/>
          <w:szCs w:val="20"/>
        </w:rPr>
      </w:pP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bookmarkStart w:id="12" w:name="_Hlk521082968"/>
      <w:r w:rsidRPr="00FE7A13">
        <w:rPr>
          <w:rFonts w:ascii="Times New Roman" w:eastAsia="Calibri" w:hAnsi="Times New Roman"/>
          <w:sz w:val="20"/>
          <w:szCs w:val="20"/>
          <w:lang w:val="en-GB"/>
        </w:rPr>
        <w:t xml:space="preserve">In this study,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concentrations were converted to specific activity using a radioelement conversion factor, where 1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of Th in rock is equal to 4.06 Bq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and 1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of U in rock is equal to 12.35 Bq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The specific activities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for the LC and WLP residue were 0.4101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0.6297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respectively, while the specific activities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LC and WLP residue were 0.0741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0.0852 Bq 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lang w:val="en-GB"/>
        </w:rPr>
        <w:lastRenderedPageBreak/>
        <w:t xml:space="preserve">respectively. The specific activities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before the DIN </w:t>
      </w:r>
      <w:r w:rsidRPr="00FE7A13">
        <w:rPr>
          <w:rFonts w:ascii="Times New Roman" w:eastAsia="Calibri" w:hAnsi="Times New Roman"/>
          <w:i/>
          <w:sz w:val="20"/>
          <w:szCs w:val="20"/>
          <w:lang w:val="en-GB"/>
        </w:rPr>
        <w:t>in vitro</w:t>
      </w:r>
      <w:r w:rsidRPr="00FE7A13">
        <w:rPr>
          <w:rFonts w:ascii="Times New Roman" w:eastAsia="Calibri" w:hAnsi="Times New Roman"/>
          <w:sz w:val="20"/>
          <w:szCs w:val="20"/>
          <w:lang w:val="en-GB"/>
        </w:rPr>
        <w:t xml:space="preserve"> bioaccessibility method were lower than those in the NTN report.</w:t>
      </w:r>
      <w:bookmarkEnd w:id="12"/>
    </w:p>
    <w:p w:rsidR="00FE7A13" w:rsidRPr="00FE7A13" w:rsidRDefault="00FE7A13" w:rsidP="00B2716F">
      <w:pPr>
        <w:autoSpaceDE w:val="0"/>
        <w:autoSpaceDN w:val="0"/>
        <w:adjustRightInd w:val="0"/>
        <w:spacing w:after="0" w:line="240" w:lineRule="auto"/>
        <w:jc w:val="both"/>
        <w:rPr>
          <w:rFonts w:ascii="Times New Roman" w:eastAsia="Calibri" w:hAnsi="Times New Roman"/>
          <w:b/>
          <w:sz w:val="20"/>
          <w:szCs w:val="20"/>
        </w:rPr>
      </w:pPr>
    </w:p>
    <w:p w:rsidR="00FE7A13" w:rsidRPr="00FE7A13" w:rsidRDefault="00FE7A13" w:rsidP="00FE7A13">
      <w:pPr>
        <w:autoSpaceDE w:val="0"/>
        <w:autoSpaceDN w:val="0"/>
        <w:adjustRightInd w:val="0"/>
        <w:spacing w:after="120" w:line="240" w:lineRule="auto"/>
        <w:jc w:val="center"/>
        <w:rPr>
          <w:rFonts w:ascii="Times New Roman" w:eastAsia="TimesNewRoman" w:hAnsi="Times New Roman"/>
          <w:sz w:val="20"/>
          <w:szCs w:val="20"/>
          <w:lang w:val="en-MY"/>
        </w:rPr>
      </w:pPr>
      <w:r w:rsidRPr="00FE7A13">
        <w:rPr>
          <w:rFonts w:ascii="Times New Roman" w:eastAsia="Calibri" w:hAnsi="Times New Roman"/>
          <w:sz w:val="20"/>
          <w:szCs w:val="20"/>
        </w:rPr>
        <w:t xml:space="preserve">Table 3.  </w:t>
      </w:r>
      <w:r>
        <w:rPr>
          <w:rFonts w:ascii="Times New Roman" w:eastAsia="Calibri" w:hAnsi="Times New Roman"/>
          <w:sz w:val="20"/>
          <w:szCs w:val="20"/>
        </w:rPr>
        <w:t xml:space="preserve"> </w:t>
      </w:r>
      <w:r w:rsidRPr="00FE7A13">
        <w:rPr>
          <w:rFonts w:ascii="Times New Roman" w:eastAsia="TimesNewRoman" w:hAnsi="Times New Roman"/>
          <w:sz w:val="20"/>
          <w:szCs w:val="20"/>
          <w:lang w:val="en-MY"/>
        </w:rPr>
        <w:t>Rare earth, thorium and uranium contents of Mount Weld Ore</w:t>
      </w:r>
    </w:p>
    <w:tbl>
      <w:tblPr>
        <w:tblW w:w="0" w:type="auto"/>
        <w:jc w:val="center"/>
        <w:tblLook w:val="04A0" w:firstRow="1" w:lastRow="0" w:firstColumn="1" w:lastColumn="0" w:noHBand="0" w:noVBand="1"/>
      </w:tblPr>
      <w:tblGrid>
        <w:gridCol w:w="1089"/>
        <w:gridCol w:w="927"/>
        <w:gridCol w:w="1105"/>
      </w:tblGrid>
      <w:tr w:rsidR="00FE7A13" w:rsidRPr="00FE7A13" w:rsidTr="00D56804">
        <w:trPr>
          <w:jc w:val="center"/>
        </w:trPr>
        <w:tc>
          <w:tcPr>
            <w:tcW w:w="0" w:type="auto"/>
            <w:tcBorders>
              <w:top w:val="single" w:sz="4" w:space="0" w:color="auto"/>
            </w:tcBorders>
          </w:tcPr>
          <w:p w:rsidR="00FE7A13" w:rsidRPr="00FE7A13" w:rsidRDefault="00FE7A13" w:rsidP="009F5C39">
            <w:pPr>
              <w:autoSpaceDE w:val="0"/>
              <w:autoSpaceDN w:val="0"/>
              <w:adjustRightInd w:val="0"/>
              <w:spacing w:after="0" w:line="240" w:lineRule="auto"/>
              <w:rPr>
                <w:rFonts w:ascii="Times New Roman" w:eastAsia="Calibri" w:hAnsi="Times New Roman"/>
                <w:b/>
                <w:sz w:val="20"/>
                <w:szCs w:val="20"/>
              </w:rPr>
            </w:pPr>
          </w:p>
        </w:tc>
        <w:tc>
          <w:tcPr>
            <w:tcW w:w="0" w:type="auto"/>
            <w:gridSpan w:val="2"/>
            <w:tcBorders>
              <w:top w:val="single" w:sz="4" w:space="0" w:color="auto"/>
              <w:bottom w:val="single" w:sz="4" w:space="0" w:color="auto"/>
            </w:tcBorders>
          </w:tcPr>
          <w:p w:rsidR="00FE7A13" w:rsidRPr="00FE7A13" w:rsidRDefault="00FE7A13" w:rsidP="00FE7A13">
            <w:pPr>
              <w:autoSpaceDE w:val="0"/>
              <w:autoSpaceDN w:val="0"/>
              <w:adjustRightInd w:val="0"/>
              <w:spacing w:before="60" w:after="0" w:line="240" w:lineRule="auto"/>
              <w:jc w:val="center"/>
              <w:rPr>
                <w:rFonts w:ascii="Times New Roman" w:eastAsia="Calibri" w:hAnsi="Times New Roman"/>
                <w:b/>
                <w:sz w:val="20"/>
                <w:szCs w:val="20"/>
              </w:rPr>
            </w:pPr>
            <w:r w:rsidRPr="00FE7A13">
              <w:rPr>
                <w:rFonts w:ascii="Times New Roman" w:eastAsia="Calibri" w:hAnsi="Times New Roman"/>
                <w:b/>
                <w:sz w:val="20"/>
                <w:szCs w:val="20"/>
              </w:rPr>
              <w:t>Concentration (%)</w:t>
            </w:r>
          </w:p>
        </w:tc>
      </w:tr>
      <w:tr w:rsidR="00FE7A13" w:rsidRPr="00FE7A13" w:rsidTr="00D56804">
        <w:trPr>
          <w:jc w:val="center"/>
        </w:trPr>
        <w:tc>
          <w:tcPr>
            <w:tcW w:w="0" w:type="auto"/>
            <w:tcBorders>
              <w:bottom w:val="single" w:sz="4" w:space="0" w:color="auto"/>
            </w:tcBorders>
          </w:tcPr>
          <w:p w:rsidR="00FE7A13" w:rsidRPr="00FE7A13" w:rsidRDefault="00FE7A13" w:rsidP="009F5C39">
            <w:pPr>
              <w:autoSpaceDE w:val="0"/>
              <w:autoSpaceDN w:val="0"/>
              <w:adjustRightInd w:val="0"/>
              <w:spacing w:after="0" w:line="240" w:lineRule="auto"/>
              <w:rPr>
                <w:rFonts w:ascii="Times New Roman" w:eastAsia="Calibri" w:hAnsi="Times New Roman"/>
                <w:b/>
                <w:sz w:val="20"/>
                <w:szCs w:val="20"/>
              </w:rPr>
            </w:pPr>
          </w:p>
        </w:tc>
        <w:tc>
          <w:tcPr>
            <w:tcW w:w="0" w:type="auto"/>
            <w:tcBorders>
              <w:top w:val="single" w:sz="4" w:space="0" w:color="auto"/>
              <w:bottom w:val="single" w:sz="4" w:space="0" w:color="auto"/>
            </w:tcBorders>
          </w:tcPr>
          <w:p w:rsidR="00FE7A13" w:rsidRPr="00FE7A13" w:rsidRDefault="00FE7A13" w:rsidP="009F5C39">
            <w:pPr>
              <w:autoSpaceDE w:val="0"/>
              <w:autoSpaceDN w:val="0"/>
              <w:adjustRightInd w:val="0"/>
              <w:spacing w:after="60" w:line="240" w:lineRule="auto"/>
              <w:jc w:val="center"/>
              <w:rPr>
                <w:rFonts w:ascii="Times New Roman" w:eastAsia="Calibri" w:hAnsi="Times New Roman"/>
                <w:b/>
                <w:sz w:val="20"/>
                <w:szCs w:val="20"/>
              </w:rPr>
            </w:pPr>
            <w:r w:rsidRPr="00FE7A13">
              <w:rPr>
                <w:rFonts w:ascii="Times New Roman" w:eastAsia="Calibri" w:hAnsi="Times New Roman"/>
                <w:b/>
                <w:sz w:val="20"/>
                <w:szCs w:val="20"/>
              </w:rPr>
              <w:t>Average</w:t>
            </w:r>
          </w:p>
        </w:tc>
        <w:tc>
          <w:tcPr>
            <w:tcW w:w="0" w:type="auto"/>
            <w:tcBorders>
              <w:top w:val="single" w:sz="4" w:space="0" w:color="auto"/>
              <w:bottom w:val="single" w:sz="4" w:space="0" w:color="auto"/>
            </w:tcBorders>
          </w:tcPr>
          <w:p w:rsidR="00FE7A13" w:rsidRPr="00FE7A13" w:rsidRDefault="00FE7A13" w:rsidP="009F5C39">
            <w:pPr>
              <w:autoSpaceDE w:val="0"/>
              <w:autoSpaceDN w:val="0"/>
              <w:adjustRightInd w:val="0"/>
              <w:spacing w:after="60" w:line="240" w:lineRule="auto"/>
              <w:jc w:val="center"/>
              <w:rPr>
                <w:rFonts w:ascii="Times New Roman" w:eastAsia="Calibri" w:hAnsi="Times New Roman"/>
                <w:b/>
                <w:sz w:val="20"/>
                <w:szCs w:val="20"/>
              </w:rPr>
            </w:pPr>
            <w:r w:rsidRPr="00FE7A13">
              <w:rPr>
                <w:rFonts w:ascii="Times New Roman" w:eastAsia="Calibri" w:hAnsi="Times New Roman"/>
                <w:b/>
                <w:sz w:val="20"/>
                <w:szCs w:val="20"/>
              </w:rPr>
              <w:t>Maximum</w:t>
            </w:r>
          </w:p>
        </w:tc>
      </w:tr>
      <w:tr w:rsidR="00FE7A13" w:rsidRPr="00FE7A13" w:rsidTr="009F5C39">
        <w:trPr>
          <w:jc w:val="center"/>
        </w:trPr>
        <w:tc>
          <w:tcPr>
            <w:tcW w:w="0" w:type="auto"/>
            <w:tcBorders>
              <w:top w:val="single" w:sz="4" w:space="0" w:color="auto"/>
            </w:tcBorders>
          </w:tcPr>
          <w:p w:rsidR="00FE7A13" w:rsidRPr="00FE7A13" w:rsidRDefault="00FE7A13" w:rsidP="009F5C39">
            <w:pPr>
              <w:autoSpaceDE w:val="0"/>
              <w:autoSpaceDN w:val="0"/>
              <w:adjustRightInd w:val="0"/>
              <w:spacing w:before="60" w:after="0" w:line="240" w:lineRule="auto"/>
              <w:rPr>
                <w:rFonts w:ascii="Times New Roman" w:eastAsia="Calibri" w:hAnsi="Times New Roman"/>
                <w:sz w:val="20"/>
                <w:szCs w:val="20"/>
              </w:rPr>
            </w:pPr>
            <w:r w:rsidRPr="00FE7A13">
              <w:rPr>
                <w:rFonts w:ascii="Times New Roman" w:eastAsia="Calibri" w:hAnsi="Times New Roman"/>
                <w:sz w:val="20"/>
                <w:szCs w:val="20"/>
              </w:rPr>
              <w:t>Total REO</w:t>
            </w:r>
          </w:p>
        </w:tc>
        <w:tc>
          <w:tcPr>
            <w:tcW w:w="0" w:type="auto"/>
            <w:tcBorders>
              <w:top w:val="single" w:sz="4" w:space="0" w:color="auto"/>
            </w:tcBorders>
          </w:tcPr>
          <w:p w:rsidR="00FE7A13" w:rsidRPr="00FE7A13" w:rsidRDefault="00FE7A13" w:rsidP="009F5C39">
            <w:pPr>
              <w:autoSpaceDE w:val="0"/>
              <w:autoSpaceDN w:val="0"/>
              <w:adjustRightInd w:val="0"/>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17 - 18</w:t>
            </w:r>
          </w:p>
        </w:tc>
        <w:tc>
          <w:tcPr>
            <w:tcW w:w="0" w:type="auto"/>
            <w:tcBorders>
              <w:top w:val="single" w:sz="4" w:space="0" w:color="auto"/>
            </w:tcBorders>
          </w:tcPr>
          <w:p w:rsidR="00FE7A13" w:rsidRPr="00FE7A13" w:rsidRDefault="00FE7A13" w:rsidP="009F5C39">
            <w:pPr>
              <w:autoSpaceDE w:val="0"/>
              <w:autoSpaceDN w:val="0"/>
              <w:adjustRightInd w:val="0"/>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42</w:t>
            </w:r>
          </w:p>
        </w:tc>
      </w:tr>
      <w:tr w:rsidR="00FE7A13" w:rsidRPr="00FE7A13" w:rsidTr="009F5C39">
        <w:trPr>
          <w:jc w:val="center"/>
        </w:trPr>
        <w:tc>
          <w:tcPr>
            <w:tcW w:w="0" w:type="auto"/>
          </w:tcPr>
          <w:p w:rsidR="00FE7A13" w:rsidRPr="00FE7A13" w:rsidRDefault="00FE7A13" w:rsidP="009F5C39">
            <w:pPr>
              <w:autoSpaceDE w:val="0"/>
              <w:autoSpaceDN w:val="0"/>
              <w:adjustRightInd w:val="0"/>
              <w:spacing w:before="60" w:after="0" w:line="240" w:lineRule="auto"/>
              <w:rPr>
                <w:rFonts w:ascii="Times New Roman" w:eastAsia="Calibri" w:hAnsi="Times New Roman"/>
                <w:sz w:val="20"/>
                <w:szCs w:val="20"/>
                <w:vertAlign w:val="subscript"/>
              </w:rPr>
            </w:pPr>
            <w:r w:rsidRPr="00FE7A13">
              <w:rPr>
                <w:rFonts w:ascii="Times New Roman" w:eastAsia="Calibri" w:hAnsi="Times New Roman"/>
                <w:sz w:val="20"/>
                <w:szCs w:val="20"/>
              </w:rPr>
              <w:t>ThO</w:t>
            </w:r>
            <w:r w:rsidRPr="00FE7A13">
              <w:rPr>
                <w:rFonts w:ascii="Times New Roman" w:eastAsia="Calibri" w:hAnsi="Times New Roman"/>
                <w:sz w:val="20"/>
                <w:szCs w:val="20"/>
                <w:vertAlign w:val="subscript"/>
              </w:rPr>
              <w:t>2</w:t>
            </w:r>
          </w:p>
        </w:tc>
        <w:tc>
          <w:tcPr>
            <w:tcW w:w="0" w:type="auto"/>
          </w:tcPr>
          <w:p w:rsidR="00FE7A13" w:rsidRPr="00FE7A13" w:rsidRDefault="00FE7A13" w:rsidP="009F5C39">
            <w:pPr>
              <w:autoSpaceDE w:val="0"/>
              <w:autoSpaceDN w:val="0"/>
              <w:adjustRightInd w:val="0"/>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0.075</w:t>
            </w:r>
          </w:p>
        </w:tc>
        <w:tc>
          <w:tcPr>
            <w:tcW w:w="0" w:type="auto"/>
          </w:tcPr>
          <w:p w:rsidR="00FE7A13" w:rsidRPr="00FE7A13" w:rsidRDefault="00FE7A13" w:rsidP="009F5C39">
            <w:pPr>
              <w:autoSpaceDE w:val="0"/>
              <w:autoSpaceDN w:val="0"/>
              <w:adjustRightInd w:val="0"/>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0.18</w:t>
            </w:r>
          </w:p>
        </w:tc>
      </w:tr>
      <w:tr w:rsidR="00FE7A13" w:rsidRPr="00FE7A13" w:rsidTr="009F5C39">
        <w:trPr>
          <w:jc w:val="center"/>
        </w:trPr>
        <w:tc>
          <w:tcPr>
            <w:tcW w:w="0" w:type="auto"/>
            <w:tcBorders>
              <w:bottom w:val="single" w:sz="4" w:space="0" w:color="auto"/>
            </w:tcBorders>
          </w:tcPr>
          <w:p w:rsidR="00FE7A13" w:rsidRPr="00FE7A13" w:rsidRDefault="00FE7A13" w:rsidP="009F5C39">
            <w:pPr>
              <w:autoSpaceDE w:val="0"/>
              <w:autoSpaceDN w:val="0"/>
              <w:adjustRightInd w:val="0"/>
              <w:spacing w:before="60" w:after="60" w:line="240" w:lineRule="auto"/>
              <w:rPr>
                <w:rFonts w:ascii="Times New Roman" w:eastAsia="Calibri" w:hAnsi="Times New Roman"/>
                <w:sz w:val="20"/>
                <w:szCs w:val="20"/>
                <w:vertAlign w:val="subscript"/>
              </w:rPr>
            </w:pPr>
            <w:r w:rsidRPr="00FE7A13">
              <w:rPr>
                <w:rFonts w:ascii="Times New Roman" w:eastAsia="Calibri" w:hAnsi="Times New Roman"/>
                <w:sz w:val="20"/>
                <w:szCs w:val="20"/>
              </w:rPr>
              <w:t>U</w:t>
            </w:r>
            <w:r w:rsidRPr="00FE7A13">
              <w:rPr>
                <w:rFonts w:ascii="Times New Roman" w:eastAsia="Calibri" w:hAnsi="Times New Roman"/>
                <w:sz w:val="20"/>
                <w:szCs w:val="20"/>
                <w:vertAlign w:val="subscript"/>
              </w:rPr>
              <w:t>3</w:t>
            </w:r>
            <w:r w:rsidRPr="00FE7A13">
              <w:rPr>
                <w:rFonts w:ascii="Times New Roman" w:eastAsia="Calibri" w:hAnsi="Times New Roman"/>
                <w:sz w:val="20"/>
                <w:szCs w:val="20"/>
              </w:rPr>
              <w:t>O</w:t>
            </w:r>
            <w:r w:rsidRPr="00FE7A13">
              <w:rPr>
                <w:rFonts w:ascii="Times New Roman" w:eastAsia="Calibri" w:hAnsi="Times New Roman"/>
                <w:sz w:val="20"/>
                <w:szCs w:val="20"/>
                <w:vertAlign w:val="subscript"/>
              </w:rPr>
              <w:t>8</w:t>
            </w:r>
          </w:p>
        </w:tc>
        <w:tc>
          <w:tcPr>
            <w:tcW w:w="0" w:type="auto"/>
            <w:tcBorders>
              <w:bottom w:val="single" w:sz="4" w:space="0" w:color="auto"/>
            </w:tcBorders>
          </w:tcPr>
          <w:p w:rsidR="00FE7A13" w:rsidRPr="00FE7A13" w:rsidRDefault="00FE7A13" w:rsidP="009F5C39">
            <w:pPr>
              <w:autoSpaceDE w:val="0"/>
              <w:autoSpaceDN w:val="0"/>
              <w:adjustRightInd w:val="0"/>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0.003</w:t>
            </w:r>
          </w:p>
        </w:tc>
        <w:tc>
          <w:tcPr>
            <w:tcW w:w="0" w:type="auto"/>
            <w:tcBorders>
              <w:bottom w:val="single" w:sz="4" w:space="0" w:color="auto"/>
            </w:tcBorders>
          </w:tcPr>
          <w:p w:rsidR="00FE7A13" w:rsidRPr="00FE7A13" w:rsidRDefault="00FE7A13" w:rsidP="009F5C39">
            <w:pPr>
              <w:autoSpaceDE w:val="0"/>
              <w:autoSpaceDN w:val="0"/>
              <w:adjustRightInd w:val="0"/>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0.006</w:t>
            </w:r>
          </w:p>
        </w:tc>
      </w:tr>
    </w:tbl>
    <w:p w:rsidR="00FE7A13" w:rsidRPr="00FE7A13" w:rsidRDefault="00FE7A13" w:rsidP="00B2716F">
      <w:pPr>
        <w:autoSpaceDE w:val="0"/>
        <w:autoSpaceDN w:val="0"/>
        <w:adjustRightInd w:val="0"/>
        <w:spacing w:after="0" w:line="240" w:lineRule="auto"/>
        <w:jc w:val="both"/>
        <w:rPr>
          <w:rFonts w:ascii="Times New Roman" w:eastAsia="Calibri" w:hAnsi="Times New Roman"/>
          <w:sz w:val="20"/>
          <w:szCs w:val="20"/>
          <w:lang w:val="en-GB"/>
        </w:rPr>
      </w:pPr>
      <w:bookmarkStart w:id="13" w:name="_Hlk521083003"/>
    </w:p>
    <w:p w:rsid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r w:rsidRPr="00FE7A13">
        <w:rPr>
          <w:rFonts w:ascii="Times New Roman" w:eastAsia="Calibri" w:hAnsi="Times New Roman"/>
          <w:sz w:val="20"/>
          <w:szCs w:val="20"/>
          <w:lang w:val="en-GB"/>
        </w:rPr>
        <w:t xml:space="preserve">By using ICP-MS, the occupational exposure of workers to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was evaluated by determining both concentrations in the gastrointestinal tract. </w:t>
      </w:r>
      <w:hyperlink r:id="rId11" w:history="1">
        <w:r w:rsidRPr="00FE7A13">
          <w:rPr>
            <w:rFonts w:ascii="Times New Roman" w:eastAsia="Calibri" w:hAnsi="Times New Roman"/>
            <w:sz w:val="20"/>
            <w:szCs w:val="20"/>
            <w:lang w:val="en-GB"/>
          </w:rPr>
          <w:t>Table 4</w:t>
        </w:r>
      </w:hyperlink>
      <w:r w:rsidRPr="00FE7A13">
        <w:rPr>
          <w:rFonts w:ascii="Times New Roman" w:eastAsia="Calibri" w:hAnsi="Times New Roman"/>
          <w:sz w:val="20"/>
          <w:szCs w:val="20"/>
          <w:lang w:val="en-GB"/>
        </w:rPr>
        <w:t xml:space="preserve"> and Table 5 show the solubility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LC and WLP residue within the first 5 hour interval. The general concentrations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during the gastric phase were in the range of 0.0580–0.0598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and 0.0473–0.0554 mg kg</w:t>
      </w:r>
      <w:r w:rsidRPr="00FE7A13">
        <w:rPr>
          <w:rFonts w:ascii="Times New Roman" w:eastAsia="Calibri" w:hAnsi="Times New Roman"/>
          <w:sz w:val="20"/>
          <w:szCs w:val="20"/>
          <w:vertAlign w:val="superscript"/>
          <w:lang w:val="en-GB"/>
        </w:rPr>
        <w:t xml:space="preserve">-1 </w:t>
      </w:r>
      <w:r w:rsidRPr="00FE7A13">
        <w:rPr>
          <w:rFonts w:ascii="Times New Roman" w:eastAsia="Calibri" w:hAnsi="Times New Roman"/>
          <w:sz w:val="20"/>
          <w:szCs w:val="20"/>
          <w:lang w:val="en-GB"/>
        </w:rPr>
        <w:t xml:space="preserve">for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LC, while they were 0.4793–0.5495 mg kg</w:t>
      </w:r>
      <w:r w:rsidRPr="00FE7A13">
        <w:rPr>
          <w:rFonts w:ascii="Times New Roman" w:eastAsia="Calibri" w:hAnsi="Times New Roman"/>
          <w:sz w:val="20"/>
          <w:szCs w:val="20"/>
          <w:vertAlign w:val="superscript"/>
          <w:lang w:val="en-GB"/>
        </w:rPr>
        <w:t xml:space="preserve">-1 </w:t>
      </w:r>
      <w:r w:rsidRPr="00FE7A13">
        <w:rPr>
          <w:rFonts w:ascii="Times New Roman" w:eastAsia="Calibri" w:hAnsi="Times New Roman"/>
          <w:sz w:val="20"/>
          <w:szCs w:val="20"/>
          <w:lang w:val="en-GB"/>
        </w:rPr>
        <w:t xml:space="preserve">for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and 0.7401–0.8731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WLP residue. The concentrations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during the gastrointestinal phase were in the range of 0.1167–0.1410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and 0.0437–0.0558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LC, and 0.0407–0.0480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and 0.1621–0.0779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in the WLP residue.</w:t>
      </w:r>
      <w:bookmarkStart w:id="14" w:name="_Hlk521083048"/>
      <w:bookmarkEnd w:id="13"/>
    </w:p>
    <w:p w:rsidR="00D56804" w:rsidRDefault="00D56804" w:rsidP="00B2716F">
      <w:pPr>
        <w:autoSpaceDE w:val="0"/>
        <w:autoSpaceDN w:val="0"/>
        <w:adjustRightInd w:val="0"/>
        <w:spacing w:after="0" w:line="240" w:lineRule="auto"/>
        <w:jc w:val="both"/>
        <w:rPr>
          <w:rFonts w:ascii="Times New Roman" w:eastAsia="Calibri" w:hAnsi="Times New Roman"/>
          <w:sz w:val="20"/>
          <w:szCs w:val="20"/>
          <w:lang w:val="en-GB"/>
        </w:rPr>
      </w:pPr>
    </w:p>
    <w:p w:rsidR="00D56804" w:rsidRPr="00FE7A13" w:rsidRDefault="00B2716F" w:rsidP="00B2716F">
      <w:pPr>
        <w:autoSpaceDE w:val="0"/>
        <w:autoSpaceDN w:val="0"/>
        <w:adjustRightInd w:val="0"/>
        <w:spacing w:after="0" w:line="240" w:lineRule="auto"/>
        <w:jc w:val="center"/>
        <w:rPr>
          <w:rFonts w:ascii="Times New Roman" w:eastAsia="Calibri" w:hAnsi="Times New Roman"/>
          <w:sz w:val="20"/>
          <w:szCs w:val="20"/>
          <w:lang w:val="en-GB"/>
        </w:rPr>
      </w:pPr>
      <w:r w:rsidRPr="00FE7A13">
        <w:rPr>
          <w:rFonts w:ascii="Times New Roman" w:eastAsia="Calibri" w:hAnsi="Times New Roman"/>
          <w:sz w:val="20"/>
          <w:szCs w:val="20"/>
        </w:rPr>
        <w:t xml:space="preserve"> </w:t>
      </w:r>
      <w:r w:rsidR="00D56804" w:rsidRPr="00FE7A13">
        <w:rPr>
          <w:rFonts w:ascii="Times New Roman" w:eastAsia="Calibri" w:hAnsi="Times New Roman"/>
          <w:sz w:val="20"/>
          <w:szCs w:val="20"/>
        </w:rPr>
        <w:t xml:space="preserve">Table 4.  </w:t>
      </w:r>
      <w:r w:rsidR="00D56804">
        <w:rPr>
          <w:rFonts w:ascii="Times New Roman" w:eastAsia="Calibri" w:hAnsi="Times New Roman"/>
          <w:sz w:val="20"/>
          <w:szCs w:val="20"/>
        </w:rPr>
        <w:t xml:space="preserve"> </w:t>
      </w:r>
      <w:r w:rsidR="00D56804" w:rsidRPr="00FE7A13">
        <w:rPr>
          <w:rFonts w:ascii="Times New Roman" w:eastAsia="Calibri" w:hAnsi="Times New Roman"/>
          <w:sz w:val="20"/>
          <w:szCs w:val="20"/>
        </w:rPr>
        <w:t xml:space="preserve">Concentration of </w:t>
      </w:r>
      <w:r w:rsidR="00D56804" w:rsidRPr="00FE7A13">
        <w:rPr>
          <w:rFonts w:ascii="Times New Roman" w:eastAsia="Calibri" w:hAnsi="Times New Roman"/>
          <w:sz w:val="20"/>
          <w:szCs w:val="20"/>
          <w:vertAlign w:val="superscript"/>
        </w:rPr>
        <w:t>232</w:t>
      </w:r>
      <w:r w:rsidR="00D56804" w:rsidRPr="00FE7A13">
        <w:rPr>
          <w:rFonts w:ascii="Times New Roman" w:eastAsia="Calibri" w:hAnsi="Times New Roman"/>
          <w:sz w:val="20"/>
          <w:szCs w:val="20"/>
        </w:rPr>
        <w:t xml:space="preserve">Th after DIN </w:t>
      </w:r>
      <w:r w:rsidR="00D56804" w:rsidRPr="00FE7A13">
        <w:rPr>
          <w:rFonts w:ascii="Times New Roman" w:eastAsia="Calibri" w:hAnsi="Times New Roman"/>
          <w:i/>
          <w:sz w:val="20"/>
          <w:szCs w:val="20"/>
        </w:rPr>
        <w:t>in vitro</w:t>
      </w:r>
      <w:r w:rsidR="00D56804" w:rsidRPr="00FE7A13">
        <w:rPr>
          <w:rFonts w:ascii="Times New Roman" w:eastAsia="Calibri" w:hAnsi="Times New Roman"/>
          <w:sz w:val="20"/>
          <w:szCs w:val="20"/>
        </w:rPr>
        <w:t xml:space="preserve"> bioaccessibility method</w:t>
      </w:r>
    </w:p>
    <w:tbl>
      <w:tblPr>
        <w:tblpPr w:leftFromText="180" w:rightFromText="180" w:vertAnchor="page" w:horzAnchor="margin" w:tblpXSpec="center" w:tblpY="7006"/>
        <w:tblW w:w="8416" w:type="dxa"/>
        <w:tblLook w:val="04A0" w:firstRow="1" w:lastRow="0" w:firstColumn="1" w:lastColumn="0" w:noHBand="0" w:noVBand="1"/>
      </w:tblPr>
      <w:tblGrid>
        <w:gridCol w:w="662"/>
        <w:gridCol w:w="1892"/>
        <w:gridCol w:w="1985"/>
        <w:gridCol w:w="1892"/>
        <w:gridCol w:w="1985"/>
      </w:tblGrid>
      <w:tr w:rsidR="00B2716F" w:rsidRPr="00FE7A13" w:rsidTr="00B2716F">
        <w:trPr>
          <w:trHeight w:val="264"/>
        </w:trPr>
        <w:tc>
          <w:tcPr>
            <w:tcW w:w="0" w:type="auto"/>
            <w:vMerge w:val="restart"/>
            <w:tcBorders>
              <w:top w:val="single" w:sz="4" w:space="0" w:color="auto"/>
              <w:left w:val="nil"/>
              <w:right w:val="nil"/>
            </w:tcBorders>
            <w:shd w:val="clear" w:color="auto" w:fill="auto"/>
            <w:noWrap/>
            <w:vAlign w:val="center"/>
          </w:tcPr>
          <w:p w:rsidR="00B2716F" w:rsidRPr="00FE7A13" w:rsidRDefault="00B2716F" w:rsidP="00B2716F">
            <w:pPr>
              <w:spacing w:after="0" w:line="240" w:lineRule="auto"/>
              <w:rPr>
                <w:rFonts w:ascii="Times New Roman" w:hAnsi="Times New Roman"/>
                <w:b/>
                <w:sz w:val="20"/>
                <w:szCs w:val="20"/>
                <w:lang w:eastAsia="en-MY"/>
              </w:rPr>
            </w:pPr>
            <w:r w:rsidRPr="00FE7A13">
              <w:rPr>
                <w:rFonts w:ascii="Times New Roman" w:hAnsi="Times New Roman"/>
                <w:b/>
                <w:sz w:val="20"/>
                <w:szCs w:val="20"/>
                <w:lang w:eastAsia="en-MY"/>
              </w:rPr>
              <w:t>Time</w:t>
            </w:r>
          </w:p>
          <w:p w:rsidR="00B2716F" w:rsidRPr="00FE7A13" w:rsidRDefault="00B2716F" w:rsidP="00B2716F">
            <w:pPr>
              <w:spacing w:after="0" w:line="240" w:lineRule="auto"/>
              <w:rPr>
                <w:rFonts w:ascii="Times New Roman" w:hAnsi="Times New Roman"/>
                <w:b/>
                <w:sz w:val="20"/>
                <w:szCs w:val="20"/>
                <w:lang w:eastAsia="en-MY"/>
              </w:rPr>
            </w:pPr>
            <w:r w:rsidRPr="00FE7A13">
              <w:rPr>
                <w:rFonts w:ascii="Times New Roman" w:hAnsi="Times New Roman"/>
                <w:b/>
                <w:sz w:val="20"/>
                <w:szCs w:val="20"/>
                <w:lang w:eastAsia="en-MY"/>
              </w:rPr>
              <w:t>(h)</w:t>
            </w:r>
          </w:p>
        </w:tc>
        <w:tc>
          <w:tcPr>
            <w:tcW w:w="0" w:type="auto"/>
            <w:gridSpan w:val="4"/>
            <w:tcBorders>
              <w:top w:val="single" w:sz="4" w:space="0" w:color="auto"/>
              <w:left w:val="nil"/>
              <w:bottom w:val="single" w:sz="4" w:space="0" w:color="auto"/>
              <w:right w:val="nil"/>
            </w:tcBorders>
          </w:tcPr>
          <w:p w:rsidR="00B2716F" w:rsidRPr="00FE7A13" w:rsidRDefault="00B2716F" w:rsidP="00B2716F">
            <w:pPr>
              <w:spacing w:before="60" w:after="0" w:line="240" w:lineRule="auto"/>
              <w:jc w:val="center"/>
              <w:rPr>
                <w:rFonts w:ascii="Times New Roman" w:hAnsi="Times New Roman"/>
                <w:b/>
                <w:sz w:val="20"/>
                <w:szCs w:val="20"/>
                <w:lang w:eastAsia="en-MY"/>
              </w:rPr>
            </w:pPr>
            <w:r w:rsidRPr="00FE7A13">
              <w:rPr>
                <w:rFonts w:ascii="Times New Roman" w:hAnsi="Times New Roman"/>
                <w:b/>
                <w:sz w:val="20"/>
                <w:szCs w:val="20"/>
                <w:lang w:eastAsia="en-MY"/>
              </w:rPr>
              <w:t xml:space="preserve">Concentration of </w:t>
            </w:r>
            <w:r w:rsidRPr="00FE7A13">
              <w:rPr>
                <w:rFonts w:ascii="Times New Roman" w:hAnsi="Times New Roman"/>
                <w:b/>
                <w:sz w:val="20"/>
                <w:szCs w:val="20"/>
                <w:vertAlign w:val="superscript"/>
                <w:lang w:eastAsia="en-MY"/>
              </w:rPr>
              <w:t>232</w:t>
            </w:r>
            <w:r w:rsidRPr="00FE7A13">
              <w:rPr>
                <w:rFonts w:ascii="Times New Roman" w:hAnsi="Times New Roman"/>
                <w:b/>
                <w:sz w:val="20"/>
                <w:szCs w:val="20"/>
                <w:lang w:eastAsia="en-MY"/>
              </w:rPr>
              <w:t>Th (mg kg</w:t>
            </w:r>
            <w:r w:rsidRPr="00FE7A13">
              <w:rPr>
                <w:rFonts w:ascii="Times New Roman" w:hAnsi="Times New Roman"/>
                <w:b/>
                <w:sz w:val="20"/>
                <w:szCs w:val="20"/>
                <w:vertAlign w:val="superscript"/>
                <w:lang w:eastAsia="en-MY"/>
              </w:rPr>
              <w:t>-1</w:t>
            </w:r>
            <w:r w:rsidRPr="00FE7A13">
              <w:rPr>
                <w:rFonts w:ascii="Times New Roman" w:hAnsi="Times New Roman"/>
                <w:b/>
                <w:sz w:val="20"/>
                <w:szCs w:val="20"/>
                <w:lang w:eastAsia="en-MY"/>
              </w:rPr>
              <w:t>)</w:t>
            </w:r>
          </w:p>
        </w:tc>
      </w:tr>
      <w:tr w:rsidR="00B2716F" w:rsidRPr="00FE7A13" w:rsidTr="00B2716F">
        <w:trPr>
          <w:trHeight w:val="264"/>
        </w:trPr>
        <w:tc>
          <w:tcPr>
            <w:tcW w:w="0" w:type="auto"/>
            <w:vMerge/>
            <w:tcBorders>
              <w:left w:val="nil"/>
              <w:right w:val="nil"/>
            </w:tcBorders>
            <w:shd w:val="clear" w:color="auto" w:fill="auto"/>
            <w:noWrap/>
          </w:tcPr>
          <w:p w:rsidR="00B2716F" w:rsidRPr="00FE7A13" w:rsidRDefault="00B2716F" w:rsidP="00B2716F">
            <w:pPr>
              <w:spacing w:after="0" w:line="240" w:lineRule="auto"/>
              <w:rPr>
                <w:rFonts w:ascii="Times New Roman" w:hAnsi="Times New Roman"/>
                <w:b/>
                <w:sz w:val="20"/>
                <w:szCs w:val="20"/>
                <w:lang w:eastAsia="en-MY"/>
              </w:rPr>
            </w:pPr>
          </w:p>
        </w:tc>
        <w:tc>
          <w:tcPr>
            <w:tcW w:w="0" w:type="auto"/>
            <w:gridSpan w:val="2"/>
            <w:tcBorders>
              <w:top w:val="single" w:sz="4" w:space="0" w:color="auto"/>
              <w:left w:val="nil"/>
              <w:bottom w:val="single" w:sz="4" w:space="0" w:color="auto"/>
              <w:right w:val="nil"/>
            </w:tcBorders>
          </w:tcPr>
          <w:p w:rsidR="00B2716F" w:rsidRPr="00FE7A13" w:rsidRDefault="00B2716F" w:rsidP="00B2716F">
            <w:pPr>
              <w:spacing w:after="0" w:line="240" w:lineRule="auto"/>
              <w:jc w:val="center"/>
              <w:rPr>
                <w:rFonts w:ascii="Times New Roman" w:hAnsi="Times New Roman"/>
                <w:b/>
                <w:sz w:val="20"/>
                <w:szCs w:val="20"/>
                <w:lang w:eastAsia="en-MY"/>
              </w:rPr>
            </w:pPr>
            <w:r w:rsidRPr="00FE7A13">
              <w:rPr>
                <w:rFonts w:ascii="Times New Roman" w:hAnsi="Times New Roman"/>
                <w:b/>
                <w:sz w:val="20"/>
                <w:szCs w:val="20"/>
                <w:lang w:eastAsia="en-MY"/>
              </w:rPr>
              <w:t>Gastric Phase</w:t>
            </w:r>
          </w:p>
        </w:tc>
        <w:tc>
          <w:tcPr>
            <w:tcW w:w="0" w:type="auto"/>
            <w:gridSpan w:val="2"/>
            <w:tcBorders>
              <w:top w:val="single" w:sz="4" w:space="0" w:color="auto"/>
              <w:left w:val="nil"/>
              <w:bottom w:val="single" w:sz="4" w:space="0" w:color="auto"/>
              <w:right w:val="nil"/>
            </w:tcBorders>
          </w:tcPr>
          <w:p w:rsidR="00B2716F" w:rsidRPr="00FE7A13" w:rsidRDefault="00B2716F" w:rsidP="00B2716F">
            <w:pPr>
              <w:spacing w:after="0" w:line="240" w:lineRule="auto"/>
              <w:jc w:val="center"/>
              <w:rPr>
                <w:rFonts w:ascii="Times New Roman" w:hAnsi="Times New Roman"/>
                <w:b/>
                <w:sz w:val="20"/>
                <w:szCs w:val="20"/>
                <w:lang w:eastAsia="en-MY"/>
              </w:rPr>
            </w:pPr>
            <w:r w:rsidRPr="00FE7A13">
              <w:rPr>
                <w:rFonts w:ascii="Times New Roman" w:hAnsi="Times New Roman"/>
                <w:b/>
                <w:sz w:val="20"/>
                <w:szCs w:val="20"/>
                <w:lang w:eastAsia="en-MY"/>
              </w:rPr>
              <w:t>Gastrointestinal Phase</w:t>
            </w:r>
          </w:p>
        </w:tc>
      </w:tr>
      <w:tr w:rsidR="00B2716F" w:rsidRPr="00FE7A13" w:rsidTr="00B2716F">
        <w:trPr>
          <w:trHeight w:val="264"/>
        </w:trPr>
        <w:tc>
          <w:tcPr>
            <w:tcW w:w="0" w:type="auto"/>
            <w:vMerge/>
            <w:tcBorders>
              <w:left w:val="nil"/>
              <w:bottom w:val="single" w:sz="4" w:space="0" w:color="auto"/>
              <w:right w:val="nil"/>
            </w:tcBorders>
            <w:shd w:val="clear" w:color="auto" w:fill="auto"/>
            <w:noWrap/>
            <w:hideMark/>
          </w:tcPr>
          <w:p w:rsidR="00B2716F" w:rsidRPr="00FE7A13" w:rsidRDefault="00B2716F" w:rsidP="00B2716F">
            <w:pPr>
              <w:spacing w:after="0" w:line="240" w:lineRule="auto"/>
              <w:rPr>
                <w:rFonts w:ascii="Times New Roman" w:hAnsi="Times New Roman"/>
                <w:b/>
                <w:sz w:val="20"/>
                <w:szCs w:val="20"/>
                <w:lang w:eastAsia="en-MY"/>
              </w:rPr>
            </w:pPr>
          </w:p>
        </w:tc>
        <w:tc>
          <w:tcPr>
            <w:tcW w:w="0" w:type="auto"/>
            <w:tcBorders>
              <w:top w:val="single" w:sz="4" w:space="0" w:color="auto"/>
              <w:left w:val="nil"/>
              <w:bottom w:val="single" w:sz="4" w:space="0" w:color="auto"/>
              <w:right w:val="nil"/>
            </w:tcBorders>
          </w:tcPr>
          <w:p w:rsidR="00B2716F" w:rsidRPr="00FE7A13" w:rsidRDefault="00B2716F" w:rsidP="00B2716F">
            <w:pPr>
              <w:spacing w:after="0" w:line="240" w:lineRule="auto"/>
              <w:jc w:val="center"/>
              <w:rPr>
                <w:rFonts w:ascii="Times New Roman" w:hAnsi="Times New Roman"/>
                <w:b/>
                <w:sz w:val="20"/>
                <w:szCs w:val="20"/>
                <w:lang w:eastAsia="en-MY"/>
              </w:rPr>
            </w:pPr>
            <w:r w:rsidRPr="00FE7A13">
              <w:rPr>
                <w:rFonts w:ascii="Times New Roman" w:hAnsi="Times New Roman"/>
                <w:b/>
                <w:sz w:val="20"/>
                <w:szCs w:val="20"/>
                <w:lang w:val="en-MY" w:eastAsia="en-MY"/>
              </w:rPr>
              <w:t>Lanthanide Concentrate (LC)</w:t>
            </w:r>
          </w:p>
        </w:tc>
        <w:tc>
          <w:tcPr>
            <w:tcW w:w="0" w:type="auto"/>
            <w:tcBorders>
              <w:top w:val="single" w:sz="4" w:space="0" w:color="auto"/>
              <w:left w:val="nil"/>
              <w:bottom w:val="single" w:sz="4" w:space="0" w:color="auto"/>
              <w:right w:val="nil"/>
            </w:tcBorders>
          </w:tcPr>
          <w:p w:rsidR="00B2716F" w:rsidRPr="00FE7A13" w:rsidRDefault="00B2716F" w:rsidP="00B2716F">
            <w:pPr>
              <w:spacing w:after="0" w:line="240" w:lineRule="auto"/>
              <w:jc w:val="center"/>
              <w:rPr>
                <w:rFonts w:ascii="Times New Roman" w:hAnsi="Times New Roman"/>
                <w:b/>
                <w:sz w:val="20"/>
                <w:szCs w:val="20"/>
                <w:lang w:eastAsia="en-MY"/>
              </w:rPr>
            </w:pPr>
            <w:r w:rsidRPr="00FE7A13">
              <w:rPr>
                <w:rFonts w:ascii="Times New Roman" w:hAnsi="Times New Roman"/>
                <w:b/>
                <w:sz w:val="20"/>
                <w:szCs w:val="20"/>
                <w:lang w:eastAsia="ms-MY"/>
              </w:rPr>
              <w:t>Water Leach Purification (WLP)</w:t>
            </w:r>
          </w:p>
        </w:tc>
        <w:tc>
          <w:tcPr>
            <w:tcW w:w="0" w:type="auto"/>
            <w:tcBorders>
              <w:top w:val="single" w:sz="4" w:space="0" w:color="auto"/>
              <w:left w:val="nil"/>
              <w:bottom w:val="single" w:sz="4" w:space="0" w:color="auto"/>
              <w:right w:val="nil"/>
            </w:tcBorders>
          </w:tcPr>
          <w:p w:rsidR="00B2716F" w:rsidRPr="00FE7A13" w:rsidRDefault="00B2716F" w:rsidP="00B2716F">
            <w:pPr>
              <w:spacing w:after="0" w:line="240" w:lineRule="auto"/>
              <w:jc w:val="center"/>
              <w:rPr>
                <w:rFonts w:ascii="Times New Roman" w:hAnsi="Times New Roman"/>
                <w:b/>
                <w:sz w:val="20"/>
                <w:szCs w:val="20"/>
                <w:lang w:eastAsia="en-MY"/>
              </w:rPr>
            </w:pPr>
            <w:r w:rsidRPr="00FE7A13">
              <w:rPr>
                <w:rFonts w:ascii="Times New Roman" w:hAnsi="Times New Roman"/>
                <w:b/>
                <w:sz w:val="20"/>
                <w:szCs w:val="20"/>
                <w:lang w:val="en-MY" w:eastAsia="en-MY"/>
              </w:rPr>
              <w:t>Lanthanide Concentrate (LC)</w:t>
            </w:r>
          </w:p>
        </w:tc>
        <w:tc>
          <w:tcPr>
            <w:tcW w:w="0" w:type="auto"/>
            <w:tcBorders>
              <w:top w:val="single" w:sz="4" w:space="0" w:color="auto"/>
              <w:left w:val="nil"/>
              <w:bottom w:val="single" w:sz="4" w:space="0" w:color="auto"/>
              <w:right w:val="nil"/>
            </w:tcBorders>
          </w:tcPr>
          <w:p w:rsidR="00B2716F" w:rsidRPr="00FE7A13" w:rsidRDefault="00B2716F" w:rsidP="00B2716F">
            <w:pPr>
              <w:spacing w:after="60" w:line="240" w:lineRule="auto"/>
              <w:jc w:val="center"/>
              <w:rPr>
                <w:rFonts w:ascii="Times New Roman" w:hAnsi="Times New Roman"/>
                <w:b/>
                <w:sz w:val="20"/>
                <w:szCs w:val="20"/>
                <w:lang w:eastAsia="en-MY"/>
              </w:rPr>
            </w:pPr>
            <w:r w:rsidRPr="00FE7A13">
              <w:rPr>
                <w:rFonts w:ascii="Times New Roman" w:hAnsi="Times New Roman"/>
                <w:b/>
                <w:sz w:val="20"/>
                <w:szCs w:val="20"/>
                <w:lang w:eastAsia="ms-MY"/>
              </w:rPr>
              <w:t>Water Leach Purification (WLP)</w:t>
            </w:r>
          </w:p>
        </w:tc>
      </w:tr>
      <w:tr w:rsidR="00B2716F" w:rsidRPr="00FE7A13" w:rsidTr="00B2716F">
        <w:trPr>
          <w:trHeight w:val="103"/>
        </w:trPr>
        <w:tc>
          <w:tcPr>
            <w:tcW w:w="0" w:type="auto"/>
            <w:tcBorders>
              <w:top w:val="single" w:sz="4" w:space="0" w:color="auto"/>
              <w:left w:val="nil"/>
              <w:bottom w:val="nil"/>
              <w:right w:val="nil"/>
            </w:tcBorders>
            <w:shd w:val="clear" w:color="auto" w:fill="auto"/>
            <w:noWrap/>
            <w:hideMark/>
          </w:tcPr>
          <w:p w:rsidR="00B2716F" w:rsidRPr="00FE7A13" w:rsidRDefault="00B2716F" w:rsidP="00B2716F">
            <w:pPr>
              <w:spacing w:before="60" w:after="0" w:line="240" w:lineRule="auto"/>
              <w:rPr>
                <w:rFonts w:ascii="Times New Roman" w:hAnsi="Times New Roman"/>
                <w:sz w:val="20"/>
                <w:szCs w:val="20"/>
                <w:lang w:eastAsia="en-MY"/>
              </w:rPr>
            </w:pPr>
            <w:r w:rsidRPr="00FE7A13">
              <w:rPr>
                <w:rFonts w:ascii="Times New Roman" w:hAnsi="Times New Roman"/>
                <w:sz w:val="20"/>
                <w:szCs w:val="20"/>
                <w:lang w:eastAsia="en-MY"/>
              </w:rPr>
              <w:t>1</w:t>
            </w:r>
          </w:p>
        </w:tc>
        <w:tc>
          <w:tcPr>
            <w:tcW w:w="0" w:type="auto"/>
            <w:tcBorders>
              <w:top w:val="single" w:sz="4" w:space="0" w:color="auto"/>
              <w:left w:val="nil"/>
              <w:bottom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0.0598 ± 0.017</w:t>
            </w:r>
          </w:p>
        </w:tc>
        <w:tc>
          <w:tcPr>
            <w:tcW w:w="0" w:type="auto"/>
            <w:tcBorders>
              <w:top w:val="single" w:sz="4" w:space="0" w:color="auto"/>
              <w:left w:val="nil"/>
              <w:bottom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0.4793 ± 0.0755</w:t>
            </w:r>
          </w:p>
        </w:tc>
        <w:tc>
          <w:tcPr>
            <w:tcW w:w="0" w:type="auto"/>
            <w:tcBorders>
              <w:top w:val="single" w:sz="4" w:space="0" w:color="auto"/>
              <w:left w:val="nil"/>
              <w:bottom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0.1175 ± 0.008</w:t>
            </w:r>
          </w:p>
        </w:tc>
        <w:tc>
          <w:tcPr>
            <w:tcW w:w="0" w:type="auto"/>
            <w:tcBorders>
              <w:top w:val="single" w:sz="4" w:space="0" w:color="auto"/>
              <w:left w:val="nil"/>
              <w:bottom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0.1621 ± 0.119</w:t>
            </w:r>
          </w:p>
        </w:tc>
      </w:tr>
      <w:tr w:rsidR="00B2716F" w:rsidRPr="00FE7A13" w:rsidTr="00B2716F">
        <w:trPr>
          <w:trHeight w:val="264"/>
        </w:trPr>
        <w:tc>
          <w:tcPr>
            <w:tcW w:w="0" w:type="auto"/>
            <w:tcBorders>
              <w:top w:val="nil"/>
              <w:left w:val="nil"/>
              <w:bottom w:val="nil"/>
              <w:right w:val="nil"/>
            </w:tcBorders>
            <w:shd w:val="clear" w:color="auto" w:fill="auto"/>
            <w:noWrap/>
            <w:hideMark/>
          </w:tcPr>
          <w:p w:rsidR="00B2716F" w:rsidRPr="00FE7A13" w:rsidRDefault="00B2716F" w:rsidP="00B2716F">
            <w:pPr>
              <w:spacing w:before="60" w:after="0" w:line="240" w:lineRule="auto"/>
              <w:rPr>
                <w:rFonts w:ascii="Times New Roman" w:hAnsi="Times New Roman"/>
                <w:sz w:val="20"/>
                <w:szCs w:val="20"/>
                <w:lang w:eastAsia="en-MY"/>
              </w:rPr>
            </w:pPr>
            <w:r w:rsidRPr="00FE7A13">
              <w:rPr>
                <w:rFonts w:ascii="Times New Roman" w:hAnsi="Times New Roman"/>
                <w:sz w:val="20"/>
                <w:szCs w:val="20"/>
                <w:lang w:eastAsia="en-MY"/>
              </w:rPr>
              <w:t>2</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0.0597 ± 0.027</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0.5495 ± 0.0422</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0.1167 ± 0.0198</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0.0779 ± 0.0352</w:t>
            </w:r>
          </w:p>
        </w:tc>
      </w:tr>
      <w:tr w:rsidR="00B2716F" w:rsidRPr="00FE7A13" w:rsidTr="00B2716F">
        <w:trPr>
          <w:trHeight w:val="264"/>
        </w:trPr>
        <w:tc>
          <w:tcPr>
            <w:tcW w:w="0" w:type="auto"/>
            <w:tcBorders>
              <w:top w:val="nil"/>
              <w:left w:val="nil"/>
              <w:bottom w:val="nil"/>
              <w:right w:val="nil"/>
            </w:tcBorders>
            <w:shd w:val="clear" w:color="auto" w:fill="auto"/>
            <w:noWrap/>
            <w:hideMark/>
          </w:tcPr>
          <w:p w:rsidR="00B2716F" w:rsidRPr="00FE7A13" w:rsidRDefault="00B2716F" w:rsidP="00B2716F">
            <w:pPr>
              <w:spacing w:before="60" w:after="0" w:line="240" w:lineRule="auto"/>
              <w:rPr>
                <w:rFonts w:ascii="Times New Roman" w:hAnsi="Times New Roman"/>
                <w:sz w:val="20"/>
                <w:szCs w:val="20"/>
                <w:lang w:eastAsia="en-MY"/>
              </w:rPr>
            </w:pPr>
            <w:r w:rsidRPr="00FE7A13">
              <w:rPr>
                <w:rFonts w:ascii="Times New Roman" w:hAnsi="Times New Roman"/>
                <w:sz w:val="20"/>
                <w:szCs w:val="20"/>
                <w:lang w:eastAsia="en-MY"/>
              </w:rPr>
              <w:t>3</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0.0597 ± 0.0257</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0.5461 ± 0.0414</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0.1261 ± 0.0159</w:t>
            </w:r>
          </w:p>
        </w:tc>
        <w:tc>
          <w:tcPr>
            <w:tcW w:w="0" w:type="auto"/>
            <w:tcBorders>
              <w:top w:val="nil"/>
              <w:left w:val="nil"/>
              <w:bottom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0.0844 ± 0.0414</w:t>
            </w:r>
          </w:p>
        </w:tc>
      </w:tr>
      <w:tr w:rsidR="00B2716F" w:rsidRPr="00FE7A13" w:rsidTr="00B2716F">
        <w:trPr>
          <w:trHeight w:val="264"/>
        </w:trPr>
        <w:tc>
          <w:tcPr>
            <w:tcW w:w="0" w:type="auto"/>
            <w:tcBorders>
              <w:top w:val="nil"/>
              <w:left w:val="nil"/>
              <w:right w:val="nil"/>
            </w:tcBorders>
            <w:shd w:val="clear" w:color="auto" w:fill="auto"/>
            <w:noWrap/>
            <w:hideMark/>
          </w:tcPr>
          <w:p w:rsidR="00B2716F" w:rsidRPr="00FE7A13" w:rsidRDefault="00B2716F" w:rsidP="00B2716F">
            <w:pPr>
              <w:spacing w:before="60" w:after="0" w:line="240" w:lineRule="auto"/>
              <w:rPr>
                <w:rFonts w:ascii="Times New Roman" w:hAnsi="Times New Roman"/>
                <w:sz w:val="20"/>
                <w:szCs w:val="20"/>
                <w:lang w:eastAsia="en-MY"/>
              </w:rPr>
            </w:pPr>
            <w:r w:rsidRPr="00FE7A13">
              <w:rPr>
                <w:rFonts w:ascii="Times New Roman" w:hAnsi="Times New Roman"/>
                <w:sz w:val="20"/>
                <w:szCs w:val="20"/>
                <w:lang w:eastAsia="en-MY"/>
              </w:rPr>
              <w:t>4</w:t>
            </w:r>
          </w:p>
        </w:tc>
        <w:tc>
          <w:tcPr>
            <w:tcW w:w="0" w:type="auto"/>
            <w:tcBorders>
              <w:top w:val="nil"/>
              <w:left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0.0580 ± 0.0221</w:t>
            </w:r>
          </w:p>
        </w:tc>
        <w:tc>
          <w:tcPr>
            <w:tcW w:w="0" w:type="auto"/>
            <w:tcBorders>
              <w:top w:val="nil"/>
              <w:left w:val="nil"/>
              <w:right w:val="nil"/>
            </w:tcBorders>
          </w:tcPr>
          <w:p w:rsidR="00B2716F" w:rsidRPr="00FE7A13" w:rsidRDefault="00B2716F" w:rsidP="00B2716F">
            <w:pPr>
              <w:spacing w:before="60" w:after="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0.5402 ± 0.0551</w:t>
            </w:r>
          </w:p>
        </w:tc>
        <w:tc>
          <w:tcPr>
            <w:tcW w:w="0" w:type="auto"/>
            <w:tcBorders>
              <w:top w:val="nil"/>
              <w:left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0.1260 ± 0.0347</w:t>
            </w:r>
          </w:p>
        </w:tc>
        <w:tc>
          <w:tcPr>
            <w:tcW w:w="0" w:type="auto"/>
            <w:tcBorders>
              <w:top w:val="nil"/>
              <w:left w:val="nil"/>
              <w:right w:val="nil"/>
            </w:tcBorders>
          </w:tcPr>
          <w:p w:rsidR="00B2716F" w:rsidRPr="00FE7A13" w:rsidRDefault="00B2716F" w:rsidP="00B2716F">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0.0889 ± 0.046</w:t>
            </w:r>
          </w:p>
        </w:tc>
      </w:tr>
      <w:tr w:rsidR="00B2716F" w:rsidRPr="00FE7A13" w:rsidTr="00B2716F">
        <w:trPr>
          <w:trHeight w:val="264"/>
        </w:trPr>
        <w:tc>
          <w:tcPr>
            <w:tcW w:w="0" w:type="auto"/>
            <w:tcBorders>
              <w:top w:val="nil"/>
              <w:left w:val="nil"/>
              <w:bottom w:val="single" w:sz="4" w:space="0" w:color="auto"/>
              <w:right w:val="nil"/>
            </w:tcBorders>
            <w:shd w:val="clear" w:color="auto" w:fill="auto"/>
            <w:noWrap/>
            <w:hideMark/>
          </w:tcPr>
          <w:p w:rsidR="00B2716F" w:rsidRPr="00FE7A13" w:rsidRDefault="00B2716F" w:rsidP="00B2716F">
            <w:pPr>
              <w:spacing w:before="60" w:after="60" w:line="240" w:lineRule="auto"/>
              <w:rPr>
                <w:rFonts w:ascii="Times New Roman" w:hAnsi="Times New Roman"/>
                <w:sz w:val="20"/>
                <w:szCs w:val="20"/>
                <w:lang w:eastAsia="en-MY"/>
              </w:rPr>
            </w:pPr>
            <w:r w:rsidRPr="00FE7A13">
              <w:rPr>
                <w:rFonts w:ascii="Times New Roman" w:hAnsi="Times New Roman"/>
                <w:sz w:val="20"/>
                <w:szCs w:val="20"/>
                <w:lang w:eastAsia="en-MY"/>
              </w:rPr>
              <w:t>5</w:t>
            </w:r>
          </w:p>
        </w:tc>
        <w:tc>
          <w:tcPr>
            <w:tcW w:w="0" w:type="auto"/>
            <w:tcBorders>
              <w:top w:val="nil"/>
              <w:left w:val="nil"/>
              <w:bottom w:val="single" w:sz="4" w:space="0" w:color="auto"/>
              <w:right w:val="nil"/>
            </w:tcBorders>
          </w:tcPr>
          <w:p w:rsidR="00B2716F" w:rsidRPr="00FE7A13" w:rsidRDefault="00B2716F" w:rsidP="00B2716F">
            <w:pPr>
              <w:spacing w:before="60" w:after="6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0.0583 ± 0.0220</w:t>
            </w:r>
          </w:p>
        </w:tc>
        <w:tc>
          <w:tcPr>
            <w:tcW w:w="0" w:type="auto"/>
            <w:tcBorders>
              <w:top w:val="nil"/>
              <w:left w:val="nil"/>
              <w:bottom w:val="single" w:sz="4" w:space="0" w:color="auto"/>
              <w:right w:val="nil"/>
            </w:tcBorders>
          </w:tcPr>
          <w:p w:rsidR="00B2716F" w:rsidRPr="00FE7A13" w:rsidRDefault="00B2716F" w:rsidP="00B2716F">
            <w:pPr>
              <w:spacing w:before="60" w:after="60" w:line="240" w:lineRule="auto"/>
              <w:jc w:val="center"/>
              <w:rPr>
                <w:rFonts w:ascii="Times New Roman" w:hAnsi="Times New Roman"/>
                <w:sz w:val="20"/>
                <w:szCs w:val="20"/>
                <w:lang w:eastAsia="en-MY"/>
              </w:rPr>
            </w:pPr>
            <w:r w:rsidRPr="00FE7A13">
              <w:rPr>
                <w:rFonts w:ascii="Times New Roman" w:hAnsi="Times New Roman"/>
                <w:sz w:val="20"/>
                <w:szCs w:val="20"/>
                <w:lang w:eastAsia="en-MY"/>
              </w:rPr>
              <w:t>0.5222 ± 0.0414</w:t>
            </w:r>
          </w:p>
        </w:tc>
        <w:tc>
          <w:tcPr>
            <w:tcW w:w="0" w:type="auto"/>
            <w:tcBorders>
              <w:top w:val="nil"/>
              <w:left w:val="nil"/>
              <w:bottom w:val="single" w:sz="4" w:space="0" w:color="auto"/>
              <w:right w:val="nil"/>
            </w:tcBorders>
          </w:tcPr>
          <w:p w:rsidR="00B2716F" w:rsidRPr="00FE7A13" w:rsidRDefault="00B2716F" w:rsidP="00B2716F">
            <w:pPr>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0.1410 ± 0.0331</w:t>
            </w:r>
          </w:p>
        </w:tc>
        <w:tc>
          <w:tcPr>
            <w:tcW w:w="0" w:type="auto"/>
            <w:tcBorders>
              <w:top w:val="nil"/>
              <w:left w:val="nil"/>
              <w:bottom w:val="single" w:sz="4" w:space="0" w:color="auto"/>
              <w:right w:val="nil"/>
            </w:tcBorders>
          </w:tcPr>
          <w:p w:rsidR="00B2716F" w:rsidRPr="00FE7A13" w:rsidRDefault="00B2716F" w:rsidP="00B2716F">
            <w:pPr>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0.0951 ± 0.0529</w:t>
            </w:r>
          </w:p>
        </w:tc>
      </w:tr>
    </w:tbl>
    <w:p w:rsidR="00FE7A13" w:rsidRPr="00FE7A13" w:rsidRDefault="00FE7A13" w:rsidP="009F5C39">
      <w:pPr>
        <w:shd w:val="clear" w:color="auto" w:fill="FFFFFF"/>
        <w:spacing w:after="0" w:line="240" w:lineRule="auto"/>
        <w:jc w:val="center"/>
        <w:rPr>
          <w:rFonts w:ascii="Times New Roman" w:eastAsia="Calibri" w:hAnsi="Times New Roman"/>
          <w:sz w:val="20"/>
          <w:szCs w:val="20"/>
        </w:rPr>
      </w:pPr>
    </w:p>
    <w:p w:rsidR="00FE7A13" w:rsidRPr="00645203" w:rsidRDefault="00FE7A13" w:rsidP="00645203">
      <w:pPr>
        <w:autoSpaceDE w:val="0"/>
        <w:autoSpaceDN w:val="0"/>
        <w:adjustRightInd w:val="0"/>
        <w:spacing w:after="0" w:line="240" w:lineRule="auto"/>
        <w:jc w:val="center"/>
        <w:rPr>
          <w:rFonts w:ascii="Times New Roman" w:eastAsia="Calibri" w:hAnsi="Times New Roman"/>
          <w:sz w:val="20"/>
          <w:szCs w:val="20"/>
          <w:lang w:val="en-GB"/>
        </w:rPr>
      </w:pPr>
    </w:p>
    <w:p w:rsidR="00B2716F" w:rsidRDefault="00B2716F" w:rsidP="00B2716F">
      <w:pPr>
        <w:autoSpaceDE w:val="0"/>
        <w:autoSpaceDN w:val="0"/>
        <w:adjustRightInd w:val="0"/>
        <w:spacing w:after="0" w:line="240" w:lineRule="auto"/>
        <w:jc w:val="center"/>
        <w:rPr>
          <w:rFonts w:ascii="Times New Roman" w:hAnsi="Times New Roman"/>
          <w:sz w:val="20"/>
          <w:szCs w:val="20"/>
          <w:lang w:val="en-GB" w:eastAsia="ms-MY"/>
        </w:rPr>
      </w:pPr>
      <w:r w:rsidRPr="00FE7A13">
        <w:rPr>
          <w:rFonts w:ascii="Times New Roman" w:eastAsia="Calibri" w:hAnsi="Times New Roman"/>
          <w:sz w:val="20"/>
          <w:szCs w:val="20"/>
        </w:rPr>
        <w:t xml:space="preserve">Table 5.  </w:t>
      </w:r>
      <w:r>
        <w:rPr>
          <w:rFonts w:ascii="Times New Roman" w:eastAsia="Calibri" w:hAnsi="Times New Roman"/>
          <w:sz w:val="20"/>
          <w:szCs w:val="20"/>
        </w:rPr>
        <w:t xml:space="preserve"> </w:t>
      </w:r>
      <w:r w:rsidRPr="00FE7A13">
        <w:rPr>
          <w:rFonts w:ascii="Times New Roman" w:eastAsia="Calibri" w:hAnsi="Times New Roman"/>
          <w:sz w:val="20"/>
          <w:szCs w:val="20"/>
        </w:rPr>
        <w:t xml:space="preserve">Concentration of </w:t>
      </w:r>
      <w:r w:rsidRPr="00FE7A13">
        <w:rPr>
          <w:rFonts w:ascii="Times New Roman" w:eastAsia="Calibri" w:hAnsi="Times New Roman"/>
          <w:sz w:val="20"/>
          <w:szCs w:val="20"/>
          <w:vertAlign w:val="superscript"/>
        </w:rPr>
        <w:t>238</w:t>
      </w:r>
      <w:r w:rsidRPr="00FE7A13">
        <w:rPr>
          <w:rFonts w:ascii="Times New Roman" w:eastAsia="Calibri" w:hAnsi="Times New Roman"/>
          <w:sz w:val="20"/>
          <w:szCs w:val="20"/>
        </w:rPr>
        <w:t xml:space="preserve">U after DIN </w:t>
      </w:r>
      <w:r w:rsidRPr="00FE7A13">
        <w:rPr>
          <w:rFonts w:ascii="Times New Roman" w:eastAsia="Calibri" w:hAnsi="Times New Roman"/>
          <w:i/>
          <w:sz w:val="20"/>
          <w:szCs w:val="20"/>
        </w:rPr>
        <w:t>in vitro</w:t>
      </w:r>
      <w:r w:rsidRPr="00FE7A13">
        <w:rPr>
          <w:rFonts w:ascii="Times New Roman" w:eastAsia="Calibri" w:hAnsi="Times New Roman"/>
          <w:sz w:val="20"/>
          <w:szCs w:val="20"/>
        </w:rPr>
        <w:t xml:space="preserve"> bioaccessibility method</w:t>
      </w:r>
    </w:p>
    <w:tbl>
      <w:tblPr>
        <w:tblpPr w:leftFromText="180" w:rightFromText="180" w:vertAnchor="page" w:horzAnchor="margin" w:tblpXSpec="center" w:tblpY="10471"/>
        <w:tblW w:w="8241" w:type="dxa"/>
        <w:tblLook w:val="04A0" w:firstRow="1" w:lastRow="0" w:firstColumn="1" w:lastColumn="0" w:noHBand="0" w:noVBand="1"/>
      </w:tblPr>
      <w:tblGrid>
        <w:gridCol w:w="661"/>
        <w:gridCol w:w="2311"/>
        <w:gridCol w:w="1775"/>
        <w:gridCol w:w="1718"/>
        <w:gridCol w:w="1776"/>
      </w:tblGrid>
      <w:tr w:rsidR="00174D97" w:rsidRPr="00FE7A13" w:rsidTr="00174D97">
        <w:trPr>
          <w:trHeight w:val="261"/>
        </w:trPr>
        <w:tc>
          <w:tcPr>
            <w:tcW w:w="0" w:type="auto"/>
            <w:vMerge w:val="restart"/>
            <w:tcBorders>
              <w:top w:val="single" w:sz="4" w:space="0" w:color="auto"/>
              <w:left w:val="nil"/>
              <w:bottom w:val="single" w:sz="4" w:space="0" w:color="auto"/>
              <w:right w:val="nil"/>
            </w:tcBorders>
            <w:shd w:val="clear" w:color="auto" w:fill="auto"/>
            <w:noWrap/>
            <w:vAlign w:val="center"/>
          </w:tcPr>
          <w:p w:rsidR="00174D97" w:rsidRPr="00FE7A13" w:rsidRDefault="00174D97" w:rsidP="00174D97">
            <w:pPr>
              <w:spacing w:after="0" w:line="240" w:lineRule="auto"/>
              <w:rPr>
                <w:rFonts w:ascii="Times New Roman" w:hAnsi="Times New Roman"/>
                <w:b/>
                <w:sz w:val="20"/>
                <w:szCs w:val="20"/>
                <w:lang w:val="en-MY" w:eastAsia="en-MY"/>
              </w:rPr>
            </w:pPr>
            <w:bookmarkStart w:id="15" w:name="_Hlk517946005"/>
            <w:r w:rsidRPr="00FE7A13">
              <w:rPr>
                <w:rFonts w:ascii="Times New Roman" w:hAnsi="Times New Roman"/>
                <w:b/>
                <w:sz w:val="20"/>
                <w:szCs w:val="20"/>
                <w:lang w:val="en-MY" w:eastAsia="en-MY"/>
              </w:rPr>
              <w:t>Time</w:t>
            </w:r>
          </w:p>
          <w:p w:rsidR="00174D97" w:rsidRPr="00FE7A13" w:rsidRDefault="00174D97" w:rsidP="00174D97">
            <w:pPr>
              <w:spacing w:after="0" w:line="240" w:lineRule="auto"/>
              <w:rPr>
                <w:rFonts w:ascii="Times New Roman" w:hAnsi="Times New Roman"/>
                <w:b/>
                <w:sz w:val="20"/>
                <w:szCs w:val="20"/>
                <w:lang w:val="en-MY" w:eastAsia="en-MY"/>
              </w:rPr>
            </w:pPr>
            <w:r w:rsidRPr="00FE7A13">
              <w:rPr>
                <w:rFonts w:ascii="Times New Roman" w:hAnsi="Times New Roman"/>
                <w:b/>
                <w:sz w:val="20"/>
                <w:szCs w:val="20"/>
                <w:lang w:val="en-MY" w:eastAsia="en-MY"/>
              </w:rPr>
              <w:t>(h)</w:t>
            </w:r>
          </w:p>
        </w:tc>
        <w:tc>
          <w:tcPr>
            <w:tcW w:w="0" w:type="auto"/>
            <w:gridSpan w:val="4"/>
            <w:tcBorders>
              <w:top w:val="single" w:sz="4" w:space="0" w:color="auto"/>
              <w:left w:val="nil"/>
              <w:bottom w:val="single" w:sz="4" w:space="0" w:color="auto"/>
              <w:right w:val="nil"/>
            </w:tcBorders>
            <w:shd w:val="clear" w:color="auto" w:fill="auto"/>
            <w:noWrap/>
          </w:tcPr>
          <w:p w:rsidR="00174D97" w:rsidRPr="00FE7A13" w:rsidRDefault="00174D97" w:rsidP="00174D97">
            <w:pPr>
              <w:spacing w:before="60" w:after="0" w:line="240" w:lineRule="auto"/>
              <w:jc w:val="center"/>
              <w:rPr>
                <w:rFonts w:ascii="Times New Roman" w:hAnsi="Times New Roman"/>
                <w:b/>
                <w:sz w:val="20"/>
                <w:szCs w:val="20"/>
                <w:lang w:val="en-MY" w:eastAsia="en-MY"/>
              </w:rPr>
            </w:pPr>
            <w:r w:rsidRPr="00FE7A13">
              <w:rPr>
                <w:rFonts w:ascii="Times New Roman" w:hAnsi="Times New Roman"/>
                <w:b/>
                <w:sz w:val="20"/>
                <w:szCs w:val="20"/>
                <w:lang w:val="en-MY" w:eastAsia="en-MY"/>
              </w:rPr>
              <w:t xml:space="preserve">Concentration of </w:t>
            </w:r>
            <w:r w:rsidRPr="00FE7A13">
              <w:rPr>
                <w:rFonts w:ascii="Times New Roman" w:hAnsi="Times New Roman"/>
                <w:b/>
                <w:sz w:val="20"/>
                <w:szCs w:val="20"/>
                <w:vertAlign w:val="superscript"/>
                <w:lang w:val="en-MY" w:eastAsia="en-MY"/>
              </w:rPr>
              <w:t>238</w:t>
            </w:r>
            <w:r w:rsidRPr="00FE7A13">
              <w:rPr>
                <w:rFonts w:ascii="Times New Roman" w:hAnsi="Times New Roman"/>
                <w:b/>
                <w:sz w:val="20"/>
                <w:szCs w:val="20"/>
                <w:lang w:val="en-MY" w:eastAsia="en-MY"/>
              </w:rPr>
              <w:t>U (mg kg</w:t>
            </w:r>
            <w:r w:rsidRPr="00FE7A13">
              <w:rPr>
                <w:rFonts w:ascii="Times New Roman" w:hAnsi="Times New Roman"/>
                <w:b/>
                <w:sz w:val="20"/>
                <w:szCs w:val="20"/>
                <w:vertAlign w:val="superscript"/>
                <w:lang w:val="en-MY" w:eastAsia="en-MY"/>
              </w:rPr>
              <w:t>-1</w:t>
            </w:r>
            <w:r w:rsidRPr="00FE7A13">
              <w:rPr>
                <w:rFonts w:ascii="Times New Roman" w:hAnsi="Times New Roman"/>
                <w:b/>
                <w:sz w:val="20"/>
                <w:szCs w:val="20"/>
                <w:lang w:val="en-MY" w:eastAsia="en-MY"/>
              </w:rPr>
              <w:t>)</w:t>
            </w:r>
          </w:p>
        </w:tc>
      </w:tr>
      <w:tr w:rsidR="00174D97" w:rsidRPr="00FE7A13" w:rsidTr="00174D97">
        <w:trPr>
          <w:trHeight w:val="261"/>
        </w:trPr>
        <w:tc>
          <w:tcPr>
            <w:tcW w:w="0" w:type="auto"/>
            <w:vMerge/>
            <w:tcBorders>
              <w:left w:val="nil"/>
              <w:bottom w:val="single" w:sz="4" w:space="0" w:color="auto"/>
              <w:right w:val="nil"/>
            </w:tcBorders>
            <w:shd w:val="clear" w:color="auto" w:fill="auto"/>
            <w:noWrap/>
          </w:tcPr>
          <w:p w:rsidR="00174D97" w:rsidRPr="00FE7A13" w:rsidRDefault="00174D97" w:rsidP="00174D97">
            <w:pPr>
              <w:spacing w:after="0" w:line="240" w:lineRule="auto"/>
              <w:rPr>
                <w:rFonts w:ascii="Times New Roman" w:hAnsi="Times New Roman"/>
                <w:b/>
                <w:sz w:val="20"/>
                <w:szCs w:val="20"/>
                <w:lang w:val="en-MY" w:eastAsia="en-MY"/>
              </w:rPr>
            </w:pPr>
          </w:p>
        </w:tc>
        <w:tc>
          <w:tcPr>
            <w:tcW w:w="0" w:type="auto"/>
            <w:gridSpan w:val="2"/>
            <w:tcBorders>
              <w:top w:val="single" w:sz="4" w:space="0" w:color="auto"/>
              <w:left w:val="nil"/>
              <w:bottom w:val="single" w:sz="4" w:space="0" w:color="auto"/>
              <w:right w:val="nil"/>
            </w:tcBorders>
            <w:shd w:val="clear" w:color="auto" w:fill="auto"/>
            <w:noWrap/>
          </w:tcPr>
          <w:p w:rsidR="00174D97" w:rsidRPr="00FE7A13" w:rsidRDefault="00174D97" w:rsidP="00174D97">
            <w:pPr>
              <w:spacing w:before="60" w:after="0" w:line="240" w:lineRule="auto"/>
              <w:jc w:val="center"/>
              <w:rPr>
                <w:rFonts w:ascii="Times New Roman" w:hAnsi="Times New Roman"/>
                <w:b/>
                <w:sz w:val="20"/>
                <w:szCs w:val="20"/>
                <w:lang w:val="en-MY" w:eastAsia="en-MY"/>
              </w:rPr>
            </w:pPr>
            <w:r w:rsidRPr="00FE7A13">
              <w:rPr>
                <w:rFonts w:ascii="Times New Roman" w:hAnsi="Times New Roman"/>
                <w:b/>
                <w:sz w:val="20"/>
                <w:szCs w:val="20"/>
                <w:lang w:val="en-MY" w:eastAsia="en-MY"/>
              </w:rPr>
              <w:t>Gastric Phase</w:t>
            </w:r>
          </w:p>
        </w:tc>
        <w:tc>
          <w:tcPr>
            <w:tcW w:w="0" w:type="auto"/>
            <w:gridSpan w:val="2"/>
            <w:tcBorders>
              <w:top w:val="single" w:sz="4" w:space="0" w:color="auto"/>
              <w:left w:val="nil"/>
              <w:bottom w:val="single" w:sz="4" w:space="0" w:color="auto"/>
              <w:right w:val="nil"/>
            </w:tcBorders>
          </w:tcPr>
          <w:p w:rsidR="00174D97" w:rsidRPr="00FE7A13" w:rsidRDefault="00174D97" w:rsidP="00174D97">
            <w:pPr>
              <w:spacing w:before="60" w:after="0" w:line="240" w:lineRule="auto"/>
              <w:jc w:val="center"/>
              <w:rPr>
                <w:rFonts w:ascii="Times New Roman" w:hAnsi="Times New Roman"/>
                <w:b/>
                <w:sz w:val="20"/>
                <w:szCs w:val="20"/>
                <w:lang w:val="en-MY" w:eastAsia="en-MY"/>
              </w:rPr>
            </w:pPr>
            <w:r w:rsidRPr="00FE7A13">
              <w:rPr>
                <w:rFonts w:ascii="Times New Roman" w:hAnsi="Times New Roman"/>
                <w:b/>
                <w:sz w:val="20"/>
                <w:szCs w:val="20"/>
                <w:lang w:val="en-MY" w:eastAsia="en-MY"/>
              </w:rPr>
              <w:t>Gastrointestinal Phase</w:t>
            </w:r>
          </w:p>
        </w:tc>
      </w:tr>
      <w:tr w:rsidR="00174D97" w:rsidRPr="00FE7A13" w:rsidTr="00174D97">
        <w:trPr>
          <w:trHeight w:val="261"/>
        </w:trPr>
        <w:tc>
          <w:tcPr>
            <w:tcW w:w="0" w:type="auto"/>
            <w:vMerge/>
            <w:tcBorders>
              <w:left w:val="nil"/>
              <w:bottom w:val="single" w:sz="4" w:space="0" w:color="auto"/>
              <w:right w:val="nil"/>
            </w:tcBorders>
            <w:shd w:val="clear" w:color="auto" w:fill="auto"/>
            <w:noWrap/>
            <w:hideMark/>
          </w:tcPr>
          <w:p w:rsidR="00174D97" w:rsidRPr="00FE7A13" w:rsidRDefault="00174D97" w:rsidP="00174D97">
            <w:pPr>
              <w:spacing w:after="0" w:line="240" w:lineRule="auto"/>
              <w:rPr>
                <w:rFonts w:ascii="Times New Roman" w:hAnsi="Times New Roman"/>
                <w:b/>
                <w:sz w:val="20"/>
                <w:szCs w:val="20"/>
                <w:lang w:val="en-MY" w:eastAsia="en-MY"/>
              </w:rPr>
            </w:pPr>
          </w:p>
        </w:tc>
        <w:tc>
          <w:tcPr>
            <w:tcW w:w="0" w:type="auto"/>
            <w:tcBorders>
              <w:top w:val="single" w:sz="4" w:space="0" w:color="auto"/>
              <w:left w:val="nil"/>
              <w:bottom w:val="single" w:sz="4" w:space="0" w:color="auto"/>
              <w:right w:val="nil"/>
            </w:tcBorders>
            <w:noWrap/>
          </w:tcPr>
          <w:p w:rsidR="00174D97" w:rsidRPr="00FE7A13" w:rsidRDefault="00174D97" w:rsidP="00174D97">
            <w:pPr>
              <w:spacing w:after="0" w:line="240" w:lineRule="auto"/>
              <w:jc w:val="center"/>
              <w:rPr>
                <w:rFonts w:ascii="Times New Roman" w:hAnsi="Times New Roman"/>
                <w:b/>
                <w:sz w:val="20"/>
                <w:szCs w:val="20"/>
                <w:lang w:val="en-MY" w:eastAsia="en-MY"/>
              </w:rPr>
            </w:pPr>
            <w:r w:rsidRPr="00FE7A13">
              <w:rPr>
                <w:rFonts w:ascii="Times New Roman" w:hAnsi="Times New Roman"/>
                <w:b/>
                <w:sz w:val="20"/>
                <w:szCs w:val="20"/>
                <w:lang w:val="en-MY" w:eastAsia="en-MY"/>
              </w:rPr>
              <w:t>Lanthanide Concentrate</w:t>
            </w:r>
          </w:p>
          <w:p w:rsidR="00174D97" w:rsidRPr="00FE7A13" w:rsidRDefault="00174D97" w:rsidP="00174D97">
            <w:pPr>
              <w:spacing w:after="0" w:line="240" w:lineRule="auto"/>
              <w:jc w:val="center"/>
              <w:rPr>
                <w:rFonts w:ascii="Times New Roman" w:hAnsi="Times New Roman"/>
                <w:b/>
                <w:sz w:val="20"/>
                <w:szCs w:val="20"/>
                <w:lang w:val="en-MY" w:eastAsia="en-MY"/>
              </w:rPr>
            </w:pPr>
            <w:r w:rsidRPr="00FE7A13">
              <w:rPr>
                <w:rFonts w:ascii="Times New Roman" w:hAnsi="Times New Roman"/>
                <w:b/>
                <w:sz w:val="20"/>
                <w:szCs w:val="20"/>
                <w:lang w:val="en-MY" w:eastAsia="en-MY"/>
              </w:rPr>
              <w:t>(LC)</w:t>
            </w:r>
          </w:p>
        </w:tc>
        <w:tc>
          <w:tcPr>
            <w:tcW w:w="0" w:type="auto"/>
            <w:tcBorders>
              <w:top w:val="single" w:sz="4" w:space="0" w:color="auto"/>
              <w:left w:val="nil"/>
              <w:bottom w:val="single" w:sz="4" w:space="0" w:color="auto"/>
              <w:right w:val="nil"/>
            </w:tcBorders>
          </w:tcPr>
          <w:p w:rsidR="00174D97" w:rsidRPr="00FE7A13" w:rsidRDefault="00174D97" w:rsidP="00174D97">
            <w:pPr>
              <w:spacing w:after="60" w:line="240" w:lineRule="auto"/>
              <w:jc w:val="center"/>
              <w:rPr>
                <w:rFonts w:ascii="Times New Roman" w:hAnsi="Times New Roman"/>
                <w:b/>
                <w:sz w:val="20"/>
                <w:szCs w:val="20"/>
                <w:lang w:val="en-MY" w:eastAsia="en-MY"/>
              </w:rPr>
            </w:pPr>
            <w:r w:rsidRPr="00FE7A13">
              <w:rPr>
                <w:rFonts w:ascii="Times New Roman" w:hAnsi="Times New Roman"/>
                <w:b/>
                <w:sz w:val="20"/>
                <w:szCs w:val="20"/>
                <w:lang w:eastAsia="ms-MY"/>
              </w:rPr>
              <w:t>Water Leach Purification (WLP)</w:t>
            </w:r>
          </w:p>
        </w:tc>
        <w:tc>
          <w:tcPr>
            <w:tcW w:w="0" w:type="auto"/>
            <w:tcBorders>
              <w:top w:val="single" w:sz="4" w:space="0" w:color="auto"/>
              <w:left w:val="nil"/>
              <w:bottom w:val="single" w:sz="4" w:space="0" w:color="auto"/>
              <w:right w:val="nil"/>
            </w:tcBorders>
          </w:tcPr>
          <w:p w:rsidR="00174D97" w:rsidRPr="00FE7A13" w:rsidRDefault="00174D97" w:rsidP="00174D97">
            <w:pPr>
              <w:spacing w:after="60" w:line="240" w:lineRule="auto"/>
              <w:jc w:val="center"/>
              <w:rPr>
                <w:rFonts w:ascii="Times New Roman" w:hAnsi="Times New Roman"/>
                <w:b/>
                <w:sz w:val="20"/>
                <w:szCs w:val="20"/>
                <w:lang w:val="en-MY" w:eastAsia="en-MY"/>
              </w:rPr>
            </w:pPr>
            <w:r w:rsidRPr="00FE7A13">
              <w:rPr>
                <w:rFonts w:ascii="Times New Roman" w:hAnsi="Times New Roman"/>
                <w:b/>
                <w:sz w:val="20"/>
                <w:szCs w:val="20"/>
                <w:lang w:val="en-MY" w:eastAsia="en-MY"/>
              </w:rPr>
              <w:t>Lanthanide Concentrate (LC)</w:t>
            </w:r>
          </w:p>
        </w:tc>
        <w:tc>
          <w:tcPr>
            <w:tcW w:w="0" w:type="auto"/>
            <w:tcBorders>
              <w:top w:val="single" w:sz="4" w:space="0" w:color="auto"/>
              <w:left w:val="nil"/>
              <w:bottom w:val="single" w:sz="4" w:space="0" w:color="auto"/>
              <w:right w:val="nil"/>
            </w:tcBorders>
          </w:tcPr>
          <w:p w:rsidR="00174D97" w:rsidRPr="00FE7A13" w:rsidRDefault="00174D97" w:rsidP="00174D97">
            <w:pPr>
              <w:spacing w:after="60" w:line="240" w:lineRule="auto"/>
              <w:jc w:val="center"/>
              <w:rPr>
                <w:rFonts w:ascii="Times New Roman" w:hAnsi="Times New Roman"/>
                <w:b/>
                <w:sz w:val="20"/>
                <w:szCs w:val="20"/>
                <w:lang w:val="en-MY" w:eastAsia="en-MY"/>
              </w:rPr>
            </w:pPr>
            <w:r w:rsidRPr="00FE7A13">
              <w:rPr>
                <w:rFonts w:ascii="Times New Roman" w:hAnsi="Times New Roman"/>
                <w:b/>
                <w:sz w:val="20"/>
                <w:szCs w:val="20"/>
                <w:lang w:eastAsia="ms-MY"/>
              </w:rPr>
              <w:t>Water Leach Purification (WLP)</w:t>
            </w:r>
          </w:p>
        </w:tc>
      </w:tr>
      <w:tr w:rsidR="00174D97" w:rsidRPr="00FE7A13" w:rsidTr="00174D97">
        <w:trPr>
          <w:trHeight w:val="107"/>
        </w:trPr>
        <w:tc>
          <w:tcPr>
            <w:tcW w:w="0" w:type="auto"/>
            <w:tcBorders>
              <w:top w:val="single" w:sz="4" w:space="0" w:color="auto"/>
              <w:left w:val="nil"/>
              <w:bottom w:val="nil"/>
              <w:right w:val="nil"/>
            </w:tcBorders>
            <w:shd w:val="clear" w:color="auto" w:fill="auto"/>
            <w:noWrap/>
            <w:hideMark/>
          </w:tcPr>
          <w:p w:rsidR="00174D97" w:rsidRPr="00FE7A13" w:rsidRDefault="00174D97" w:rsidP="00174D97">
            <w:pPr>
              <w:spacing w:before="60" w:after="0" w:line="240" w:lineRule="auto"/>
              <w:rPr>
                <w:rFonts w:ascii="Times New Roman" w:hAnsi="Times New Roman"/>
                <w:sz w:val="20"/>
                <w:szCs w:val="20"/>
                <w:lang w:val="en-MY" w:eastAsia="en-MY"/>
              </w:rPr>
            </w:pPr>
            <w:r w:rsidRPr="00FE7A13">
              <w:rPr>
                <w:rFonts w:ascii="Times New Roman" w:hAnsi="Times New Roman"/>
                <w:sz w:val="20"/>
                <w:szCs w:val="20"/>
                <w:lang w:val="en-MY" w:eastAsia="en-MY"/>
              </w:rPr>
              <w:t>1</w:t>
            </w:r>
          </w:p>
        </w:tc>
        <w:tc>
          <w:tcPr>
            <w:tcW w:w="0" w:type="auto"/>
            <w:tcBorders>
              <w:top w:val="single" w:sz="4" w:space="0" w:color="auto"/>
              <w:left w:val="nil"/>
              <w:bottom w:val="nil"/>
              <w:right w:val="nil"/>
            </w:tcBorders>
            <w:shd w:val="clear" w:color="auto" w:fill="auto"/>
            <w:noWrap/>
          </w:tcPr>
          <w:p w:rsidR="00174D97" w:rsidRPr="00FE7A13" w:rsidRDefault="00174D97" w:rsidP="00174D97">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rPr>
              <w:t>0.0473 ± 0.0059</w:t>
            </w:r>
          </w:p>
        </w:tc>
        <w:tc>
          <w:tcPr>
            <w:tcW w:w="0" w:type="auto"/>
            <w:tcBorders>
              <w:top w:val="single" w:sz="4" w:space="0" w:color="auto"/>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rPr>
              <w:t>0.7401 ± 0.1038</w:t>
            </w:r>
          </w:p>
        </w:tc>
        <w:tc>
          <w:tcPr>
            <w:tcW w:w="0" w:type="auto"/>
            <w:tcBorders>
              <w:top w:val="single" w:sz="4" w:space="0" w:color="auto"/>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rPr>
              <w:t>0.0437 ± 0.0086</w:t>
            </w:r>
          </w:p>
        </w:tc>
        <w:tc>
          <w:tcPr>
            <w:tcW w:w="0" w:type="auto"/>
            <w:tcBorders>
              <w:top w:val="single" w:sz="4" w:space="0" w:color="auto"/>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rPr>
              <w:t>0.0467 ± 0.0257</w:t>
            </w:r>
          </w:p>
        </w:tc>
      </w:tr>
      <w:tr w:rsidR="00174D97" w:rsidRPr="00FE7A13" w:rsidTr="00174D97">
        <w:trPr>
          <w:trHeight w:val="261"/>
        </w:trPr>
        <w:tc>
          <w:tcPr>
            <w:tcW w:w="0" w:type="auto"/>
            <w:tcBorders>
              <w:top w:val="nil"/>
              <w:left w:val="nil"/>
              <w:bottom w:val="nil"/>
              <w:right w:val="nil"/>
            </w:tcBorders>
            <w:shd w:val="clear" w:color="auto" w:fill="auto"/>
            <w:noWrap/>
            <w:hideMark/>
          </w:tcPr>
          <w:p w:rsidR="00174D97" w:rsidRPr="00FE7A13" w:rsidRDefault="00174D97" w:rsidP="00174D97">
            <w:pPr>
              <w:spacing w:before="60" w:after="0" w:line="240" w:lineRule="auto"/>
              <w:rPr>
                <w:rFonts w:ascii="Times New Roman" w:hAnsi="Times New Roman"/>
                <w:sz w:val="20"/>
                <w:szCs w:val="20"/>
                <w:lang w:val="en-MY" w:eastAsia="en-MY"/>
              </w:rPr>
            </w:pPr>
            <w:r w:rsidRPr="00FE7A13">
              <w:rPr>
                <w:rFonts w:ascii="Times New Roman" w:hAnsi="Times New Roman"/>
                <w:sz w:val="20"/>
                <w:szCs w:val="20"/>
                <w:lang w:val="en-MY" w:eastAsia="en-MY"/>
              </w:rPr>
              <w:t>2</w:t>
            </w:r>
          </w:p>
        </w:tc>
        <w:tc>
          <w:tcPr>
            <w:tcW w:w="0" w:type="auto"/>
            <w:tcBorders>
              <w:top w:val="nil"/>
              <w:left w:val="nil"/>
              <w:bottom w:val="nil"/>
              <w:right w:val="nil"/>
            </w:tcBorders>
            <w:shd w:val="clear" w:color="auto" w:fill="auto"/>
            <w:noWrap/>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0.0523 ± 0.0048</w:t>
            </w:r>
          </w:p>
        </w:tc>
        <w:tc>
          <w:tcPr>
            <w:tcW w:w="0" w:type="auto"/>
            <w:tcBorders>
              <w:top w:val="nil"/>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0.8294 ± 0.0676</w:t>
            </w:r>
          </w:p>
        </w:tc>
        <w:tc>
          <w:tcPr>
            <w:tcW w:w="0" w:type="auto"/>
            <w:tcBorders>
              <w:top w:val="nil"/>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0.0534 ± 0.0124</w:t>
            </w:r>
          </w:p>
        </w:tc>
        <w:tc>
          <w:tcPr>
            <w:tcW w:w="0" w:type="auto"/>
            <w:tcBorders>
              <w:top w:val="nil"/>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0.0407 ± 0.0189</w:t>
            </w:r>
          </w:p>
        </w:tc>
      </w:tr>
      <w:tr w:rsidR="00174D97" w:rsidRPr="00FE7A13" w:rsidTr="00174D97">
        <w:trPr>
          <w:trHeight w:val="261"/>
        </w:trPr>
        <w:tc>
          <w:tcPr>
            <w:tcW w:w="0" w:type="auto"/>
            <w:tcBorders>
              <w:top w:val="nil"/>
              <w:left w:val="nil"/>
              <w:bottom w:val="nil"/>
              <w:right w:val="nil"/>
            </w:tcBorders>
            <w:shd w:val="clear" w:color="auto" w:fill="auto"/>
            <w:noWrap/>
            <w:hideMark/>
          </w:tcPr>
          <w:p w:rsidR="00174D97" w:rsidRPr="00FE7A13" w:rsidRDefault="00174D97" w:rsidP="00174D97">
            <w:pPr>
              <w:spacing w:before="60" w:after="0" w:line="240" w:lineRule="auto"/>
              <w:rPr>
                <w:rFonts w:ascii="Times New Roman" w:hAnsi="Times New Roman"/>
                <w:sz w:val="20"/>
                <w:szCs w:val="20"/>
                <w:lang w:val="en-MY" w:eastAsia="en-MY"/>
              </w:rPr>
            </w:pPr>
            <w:r w:rsidRPr="00FE7A13">
              <w:rPr>
                <w:rFonts w:ascii="Times New Roman" w:hAnsi="Times New Roman"/>
                <w:sz w:val="20"/>
                <w:szCs w:val="20"/>
                <w:lang w:val="en-MY" w:eastAsia="en-MY"/>
              </w:rPr>
              <w:t>3</w:t>
            </w:r>
          </w:p>
        </w:tc>
        <w:tc>
          <w:tcPr>
            <w:tcW w:w="0" w:type="auto"/>
            <w:tcBorders>
              <w:top w:val="nil"/>
              <w:left w:val="nil"/>
              <w:bottom w:val="nil"/>
              <w:right w:val="nil"/>
            </w:tcBorders>
            <w:shd w:val="clear" w:color="auto" w:fill="auto"/>
            <w:noWrap/>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0.0525 ± 0.0054</w:t>
            </w:r>
          </w:p>
        </w:tc>
        <w:tc>
          <w:tcPr>
            <w:tcW w:w="0" w:type="auto"/>
            <w:tcBorders>
              <w:top w:val="nil"/>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0.8731 ± 0.0548</w:t>
            </w:r>
          </w:p>
        </w:tc>
        <w:tc>
          <w:tcPr>
            <w:tcW w:w="0" w:type="auto"/>
            <w:tcBorders>
              <w:top w:val="nil"/>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0.0535 ± 0.0132</w:t>
            </w:r>
          </w:p>
        </w:tc>
        <w:tc>
          <w:tcPr>
            <w:tcW w:w="0" w:type="auto"/>
            <w:tcBorders>
              <w:top w:val="nil"/>
              <w:left w:val="nil"/>
              <w:bottom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0.0422 ± 0.0191</w:t>
            </w:r>
          </w:p>
        </w:tc>
      </w:tr>
      <w:tr w:rsidR="00174D97" w:rsidRPr="00FE7A13" w:rsidTr="00174D97">
        <w:trPr>
          <w:trHeight w:val="261"/>
        </w:trPr>
        <w:tc>
          <w:tcPr>
            <w:tcW w:w="0" w:type="auto"/>
            <w:tcBorders>
              <w:top w:val="nil"/>
              <w:left w:val="nil"/>
              <w:right w:val="nil"/>
            </w:tcBorders>
            <w:shd w:val="clear" w:color="auto" w:fill="auto"/>
            <w:noWrap/>
            <w:hideMark/>
          </w:tcPr>
          <w:p w:rsidR="00174D97" w:rsidRPr="00FE7A13" w:rsidRDefault="00174D97" w:rsidP="00174D97">
            <w:pPr>
              <w:spacing w:before="60" w:after="0" w:line="240" w:lineRule="auto"/>
              <w:rPr>
                <w:rFonts w:ascii="Times New Roman" w:hAnsi="Times New Roman"/>
                <w:sz w:val="20"/>
                <w:szCs w:val="20"/>
                <w:lang w:val="en-MY" w:eastAsia="en-MY"/>
              </w:rPr>
            </w:pPr>
            <w:r w:rsidRPr="00FE7A13">
              <w:rPr>
                <w:rFonts w:ascii="Times New Roman" w:hAnsi="Times New Roman"/>
                <w:sz w:val="20"/>
                <w:szCs w:val="20"/>
                <w:lang w:val="en-MY" w:eastAsia="en-MY"/>
              </w:rPr>
              <w:t>4</w:t>
            </w:r>
          </w:p>
        </w:tc>
        <w:tc>
          <w:tcPr>
            <w:tcW w:w="0" w:type="auto"/>
            <w:tcBorders>
              <w:top w:val="nil"/>
              <w:left w:val="nil"/>
              <w:right w:val="nil"/>
            </w:tcBorders>
            <w:shd w:val="clear" w:color="auto" w:fill="auto"/>
            <w:noWrap/>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0.0554 ± 0.0045</w:t>
            </w:r>
          </w:p>
        </w:tc>
        <w:tc>
          <w:tcPr>
            <w:tcW w:w="0" w:type="auto"/>
            <w:tcBorders>
              <w:top w:val="nil"/>
              <w:left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0.8134 ± 0.0773</w:t>
            </w:r>
          </w:p>
        </w:tc>
        <w:tc>
          <w:tcPr>
            <w:tcW w:w="0" w:type="auto"/>
            <w:tcBorders>
              <w:top w:val="nil"/>
              <w:left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0.0558 ± 0.0164</w:t>
            </w:r>
          </w:p>
        </w:tc>
        <w:tc>
          <w:tcPr>
            <w:tcW w:w="0" w:type="auto"/>
            <w:tcBorders>
              <w:top w:val="nil"/>
              <w:left w:val="nil"/>
              <w:right w:val="nil"/>
            </w:tcBorders>
            <w:shd w:val="clear" w:color="auto" w:fill="auto"/>
          </w:tcPr>
          <w:p w:rsidR="00174D97" w:rsidRPr="00FE7A13" w:rsidRDefault="00174D97" w:rsidP="00174D97">
            <w:pPr>
              <w:spacing w:before="60"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0.0480 ± 0.0213</w:t>
            </w:r>
          </w:p>
        </w:tc>
      </w:tr>
      <w:tr w:rsidR="00174D97" w:rsidRPr="00FE7A13" w:rsidTr="00174D97">
        <w:trPr>
          <w:trHeight w:val="261"/>
        </w:trPr>
        <w:tc>
          <w:tcPr>
            <w:tcW w:w="0" w:type="auto"/>
            <w:tcBorders>
              <w:top w:val="nil"/>
              <w:left w:val="nil"/>
              <w:bottom w:val="single" w:sz="4" w:space="0" w:color="auto"/>
              <w:right w:val="nil"/>
            </w:tcBorders>
            <w:shd w:val="clear" w:color="auto" w:fill="auto"/>
            <w:noWrap/>
            <w:hideMark/>
          </w:tcPr>
          <w:p w:rsidR="00174D97" w:rsidRPr="00FE7A13" w:rsidRDefault="00174D97" w:rsidP="00174D97">
            <w:pPr>
              <w:spacing w:before="60" w:after="60" w:line="240" w:lineRule="auto"/>
              <w:rPr>
                <w:rFonts w:ascii="Times New Roman" w:hAnsi="Times New Roman"/>
                <w:sz w:val="20"/>
                <w:szCs w:val="20"/>
                <w:lang w:val="en-MY" w:eastAsia="en-MY"/>
              </w:rPr>
            </w:pPr>
            <w:r w:rsidRPr="00FE7A13">
              <w:rPr>
                <w:rFonts w:ascii="Times New Roman" w:hAnsi="Times New Roman"/>
                <w:sz w:val="20"/>
                <w:szCs w:val="20"/>
                <w:lang w:val="en-MY" w:eastAsia="en-MY"/>
              </w:rPr>
              <w:t>5</w:t>
            </w:r>
          </w:p>
        </w:tc>
        <w:tc>
          <w:tcPr>
            <w:tcW w:w="0" w:type="auto"/>
            <w:tcBorders>
              <w:top w:val="nil"/>
              <w:left w:val="nil"/>
              <w:bottom w:val="single" w:sz="4" w:space="0" w:color="auto"/>
              <w:right w:val="nil"/>
            </w:tcBorders>
            <w:shd w:val="clear" w:color="auto" w:fill="auto"/>
            <w:noWrap/>
          </w:tcPr>
          <w:p w:rsidR="00174D97" w:rsidRPr="00FE7A13" w:rsidRDefault="00174D97" w:rsidP="00174D97">
            <w:pPr>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0.0500 ± 0.0043</w:t>
            </w:r>
          </w:p>
        </w:tc>
        <w:tc>
          <w:tcPr>
            <w:tcW w:w="0" w:type="auto"/>
            <w:tcBorders>
              <w:top w:val="nil"/>
              <w:left w:val="nil"/>
              <w:bottom w:val="single" w:sz="4" w:space="0" w:color="auto"/>
              <w:right w:val="nil"/>
            </w:tcBorders>
            <w:shd w:val="clear" w:color="auto" w:fill="auto"/>
          </w:tcPr>
          <w:p w:rsidR="00174D97" w:rsidRPr="00FE7A13" w:rsidRDefault="00174D97" w:rsidP="00174D97">
            <w:pPr>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0.8671 ± 0.2252</w:t>
            </w:r>
          </w:p>
        </w:tc>
        <w:tc>
          <w:tcPr>
            <w:tcW w:w="0" w:type="auto"/>
            <w:tcBorders>
              <w:top w:val="nil"/>
              <w:left w:val="nil"/>
              <w:bottom w:val="single" w:sz="4" w:space="0" w:color="auto"/>
              <w:right w:val="nil"/>
            </w:tcBorders>
            <w:shd w:val="clear" w:color="auto" w:fill="auto"/>
          </w:tcPr>
          <w:p w:rsidR="00174D97" w:rsidRPr="00FE7A13" w:rsidRDefault="00174D97" w:rsidP="00174D97">
            <w:pPr>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0.0517 ± 0.0098</w:t>
            </w:r>
          </w:p>
        </w:tc>
        <w:tc>
          <w:tcPr>
            <w:tcW w:w="0" w:type="auto"/>
            <w:tcBorders>
              <w:top w:val="nil"/>
              <w:left w:val="nil"/>
              <w:bottom w:val="single" w:sz="4" w:space="0" w:color="auto"/>
              <w:right w:val="nil"/>
            </w:tcBorders>
            <w:shd w:val="clear" w:color="auto" w:fill="auto"/>
          </w:tcPr>
          <w:p w:rsidR="00174D97" w:rsidRPr="00FE7A13" w:rsidRDefault="00174D97" w:rsidP="00174D97">
            <w:pPr>
              <w:spacing w:before="60" w:after="60" w:line="240" w:lineRule="auto"/>
              <w:jc w:val="center"/>
              <w:rPr>
                <w:rFonts w:ascii="Times New Roman" w:eastAsia="Calibri" w:hAnsi="Times New Roman"/>
                <w:sz w:val="20"/>
                <w:szCs w:val="20"/>
              </w:rPr>
            </w:pPr>
            <w:r w:rsidRPr="00FE7A13">
              <w:rPr>
                <w:rFonts w:ascii="Times New Roman" w:eastAsia="Calibri" w:hAnsi="Times New Roman"/>
                <w:sz w:val="20"/>
                <w:szCs w:val="20"/>
              </w:rPr>
              <w:t>0.0430 ± 0.0198</w:t>
            </w:r>
          </w:p>
        </w:tc>
      </w:tr>
      <w:bookmarkEnd w:id="15"/>
    </w:tbl>
    <w:p w:rsidR="00B2716F" w:rsidRDefault="00B2716F" w:rsidP="00FE7A13">
      <w:pPr>
        <w:autoSpaceDE w:val="0"/>
        <w:autoSpaceDN w:val="0"/>
        <w:adjustRightInd w:val="0"/>
        <w:spacing w:after="0" w:line="240" w:lineRule="auto"/>
        <w:jc w:val="both"/>
        <w:rPr>
          <w:rFonts w:ascii="Times New Roman" w:hAnsi="Times New Roman"/>
          <w:sz w:val="20"/>
          <w:szCs w:val="20"/>
          <w:lang w:val="en-GB" w:eastAsia="ms-MY"/>
        </w:rPr>
      </w:pPr>
    </w:p>
    <w:p w:rsidR="00174D97" w:rsidRDefault="00174D97" w:rsidP="00FE7A13">
      <w:pPr>
        <w:autoSpaceDE w:val="0"/>
        <w:autoSpaceDN w:val="0"/>
        <w:adjustRightInd w:val="0"/>
        <w:spacing w:after="0" w:line="240" w:lineRule="auto"/>
        <w:jc w:val="both"/>
        <w:rPr>
          <w:rFonts w:ascii="Times New Roman" w:hAnsi="Times New Roman"/>
          <w:sz w:val="20"/>
          <w:szCs w:val="20"/>
          <w:lang w:val="en-GB" w:eastAsia="ms-MY"/>
        </w:rPr>
      </w:pP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r w:rsidRPr="00FE7A13">
        <w:rPr>
          <w:rFonts w:ascii="Times New Roman" w:hAnsi="Times New Roman"/>
          <w:sz w:val="20"/>
          <w:szCs w:val="20"/>
          <w:lang w:val="en-GB" w:eastAsia="ms-MY"/>
        </w:rPr>
        <w:lastRenderedPageBreak/>
        <w:t xml:space="preserve">The maximum concentrations of </w:t>
      </w:r>
      <w:r w:rsidRPr="00FE7A13">
        <w:rPr>
          <w:rFonts w:ascii="Times New Roman" w:hAnsi="Times New Roman"/>
          <w:sz w:val="20"/>
          <w:szCs w:val="20"/>
          <w:vertAlign w:val="superscript"/>
          <w:lang w:val="en-GB" w:eastAsia="ms-MY"/>
        </w:rPr>
        <w:t>232</w:t>
      </w:r>
      <w:r w:rsidRPr="00FE7A13">
        <w:rPr>
          <w:rFonts w:ascii="Times New Roman" w:hAnsi="Times New Roman"/>
          <w:sz w:val="20"/>
          <w:szCs w:val="20"/>
          <w:lang w:val="en-GB" w:eastAsia="ms-MY"/>
        </w:rPr>
        <w:t>Th in the LC and WLP residue during the intestinal phase were 0.1410 ± 0.0331 mg kg</w:t>
      </w:r>
      <w:r w:rsidRPr="00FE7A13">
        <w:rPr>
          <w:rFonts w:ascii="Times New Roman" w:hAnsi="Times New Roman"/>
          <w:sz w:val="20"/>
          <w:szCs w:val="20"/>
          <w:vertAlign w:val="superscript"/>
          <w:lang w:val="en-GB" w:eastAsia="ms-MY"/>
        </w:rPr>
        <w:t>-1</w:t>
      </w:r>
      <w:r w:rsidRPr="00FE7A13">
        <w:rPr>
          <w:rFonts w:ascii="Times New Roman" w:hAnsi="Times New Roman"/>
          <w:sz w:val="20"/>
          <w:szCs w:val="20"/>
          <w:lang w:val="en-GB" w:eastAsia="ms-MY"/>
        </w:rPr>
        <w:t xml:space="preserve"> and 0.1621 ± 0.1190 mg kg</w:t>
      </w:r>
      <w:r w:rsidRPr="00FE7A13">
        <w:rPr>
          <w:rFonts w:ascii="Times New Roman" w:hAnsi="Times New Roman"/>
          <w:sz w:val="20"/>
          <w:szCs w:val="20"/>
          <w:vertAlign w:val="superscript"/>
          <w:lang w:val="en-GB" w:eastAsia="ms-MY"/>
        </w:rPr>
        <w:t>-1</w:t>
      </w:r>
      <w:r w:rsidRPr="00FE7A13">
        <w:rPr>
          <w:rFonts w:ascii="Times New Roman" w:hAnsi="Times New Roman"/>
          <w:sz w:val="20"/>
          <w:szCs w:val="20"/>
          <w:lang w:val="en-GB" w:eastAsia="ms-MY"/>
        </w:rPr>
        <w:t xml:space="preserve">, respectively. As seen in Figure 1, the solubility of </w:t>
      </w:r>
      <w:r w:rsidRPr="00FE7A13">
        <w:rPr>
          <w:rFonts w:ascii="Times New Roman" w:hAnsi="Times New Roman"/>
          <w:sz w:val="20"/>
          <w:szCs w:val="20"/>
          <w:vertAlign w:val="superscript"/>
          <w:lang w:val="en-GB" w:eastAsia="ms-MY"/>
        </w:rPr>
        <w:t>232</w:t>
      </w:r>
      <w:r w:rsidRPr="00FE7A13">
        <w:rPr>
          <w:rFonts w:ascii="Times New Roman" w:hAnsi="Times New Roman"/>
          <w:sz w:val="20"/>
          <w:szCs w:val="20"/>
          <w:lang w:val="en-GB" w:eastAsia="ms-MY"/>
        </w:rPr>
        <w:t xml:space="preserve">Th in the LC during the gastric phase slightly decreased at period 6 (7-hour mark), while the solubility of </w:t>
      </w:r>
      <w:r w:rsidRPr="00FE7A13">
        <w:rPr>
          <w:rFonts w:ascii="Times New Roman" w:hAnsi="Times New Roman"/>
          <w:sz w:val="20"/>
          <w:szCs w:val="20"/>
          <w:vertAlign w:val="superscript"/>
          <w:lang w:val="en-GB" w:eastAsia="ms-MY"/>
        </w:rPr>
        <w:t>232</w:t>
      </w:r>
      <w:r w:rsidRPr="00FE7A13">
        <w:rPr>
          <w:rFonts w:ascii="Times New Roman" w:hAnsi="Times New Roman"/>
          <w:sz w:val="20"/>
          <w:szCs w:val="20"/>
          <w:lang w:val="en-GB" w:eastAsia="ms-MY"/>
        </w:rPr>
        <w:t xml:space="preserve">Th in the LC increased gradually during the intestinal phase. </w:t>
      </w:r>
      <w:r w:rsidRPr="00FE7A13">
        <w:rPr>
          <w:rFonts w:ascii="Times New Roman" w:eastAsia="Calibri" w:hAnsi="Times New Roman"/>
          <w:sz w:val="20"/>
          <w:szCs w:val="20"/>
          <w:lang w:val="en-GB"/>
        </w:rPr>
        <w:t xml:space="preserve">The increasing solubility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in the LC during the intestinal phase was due to its content of ThO</w:t>
      </w:r>
      <w:r w:rsidRPr="00FE7A13">
        <w:rPr>
          <w:rFonts w:ascii="Times New Roman" w:eastAsia="Calibri" w:hAnsi="Times New Roman"/>
          <w:sz w:val="20"/>
          <w:szCs w:val="20"/>
          <w:vertAlign w:val="subscript"/>
          <w:lang w:val="en-GB"/>
        </w:rPr>
        <w:t>2</w:t>
      </w:r>
      <w:r w:rsidRPr="00FE7A13">
        <w:rPr>
          <w:rFonts w:ascii="Times New Roman" w:eastAsia="Calibri" w:hAnsi="Times New Roman"/>
          <w:sz w:val="20"/>
          <w:szCs w:val="20"/>
          <w:lang w:val="en-GB"/>
        </w:rPr>
        <w:t xml:space="preserve">, which is insoluble in acid and alkali. </w:t>
      </w:r>
      <w:bookmarkEnd w:id="14"/>
      <w:r w:rsidRPr="00FE7A13">
        <w:rPr>
          <w:rFonts w:ascii="Times New Roman" w:eastAsia="Calibri" w:hAnsi="Times New Roman"/>
          <w:sz w:val="20"/>
          <w:szCs w:val="20"/>
          <w:lang w:val="en-GB"/>
        </w:rPr>
        <w:t xml:space="preserve">According to Langmuir and Herman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&lt;EndNote&gt;&lt;Cite&gt;&lt;Author&gt;Langmuir&lt;/Author&gt;&lt;Year&gt;1980&lt;/Year&gt;&lt;RecNum&gt;17&lt;/RecNum&gt;&lt;DisplayText&gt;[19]&lt;/DisplayText&gt;&lt;record&gt;&lt;rec-number&gt;17&lt;/rec-number&gt;&lt;foreign-keys&gt;&lt;key app="EN" db-id="9dzedx9enatp9deeweuxp2x4wzfs59redfdt" timestamp="1531989771"&gt;17&lt;/key&gt;&lt;/foreign-keys&gt;&lt;ref-type name="Journal Article"&gt;17&lt;/ref-type&gt;&lt;contributors&gt;&lt;authors&gt;&lt;author&gt;Langmuir, Donald&lt;/author&gt;&lt;author&gt;Herman, Janet S&lt;/author&gt;&lt;/authors&gt;&lt;/contributors&gt;&lt;titles&gt;&lt;title&gt;The mobility of thorium in natural waters at low temperatures&lt;/title&gt;&lt;secondary-title&gt;Geochimica et Cosmochimica Acta&lt;/secondary-title&gt;&lt;/titles&gt;&lt;pages&gt;1753-1766&lt;/pages&gt;&lt;volume&gt;44&lt;/volume&gt;&lt;number&gt;11&lt;/number&gt;&lt;dates&gt;&lt;year&gt;1980&lt;/year&gt;&lt;/dates&gt;&lt;isbn&gt;0016-7037&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19" w:tooltip="Langmuir, 1980 #17" w:history="1">
        <w:r w:rsidRPr="00FE7A13">
          <w:rPr>
            <w:rFonts w:ascii="Times New Roman" w:eastAsia="Calibri" w:hAnsi="Times New Roman"/>
            <w:noProof/>
            <w:sz w:val="20"/>
            <w:szCs w:val="20"/>
          </w:rPr>
          <w:t>19</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r w:rsidRPr="00FE7A13">
        <w:rPr>
          <w:rFonts w:ascii="Times New Roman" w:eastAsia="Calibri" w:hAnsi="Times New Roman"/>
          <w:sz w:val="20"/>
          <w:szCs w:val="20"/>
          <w:lang w:val="en-GB"/>
        </w:rPr>
        <w:t>ThO</w:t>
      </w:r>
      <w:r w:rsidRPr="00FE7A13">
        <w:rPr>
          <w:rFonts w:ascii="Times New Roman" w:eastAsia="Calibri" w:hAnsi="Times New Roman"/>
          <w:sz w:val="20"/>
          <w:szCs w:val="20"/>
          <w:vertAlign w:val="subscript"/>
          <w:lang w:val="en-GB"/>
        </w:rPr>
        <w:t>2</w:t>
      </w:r>
      <w:r w:rsidRPr="00FE7A13">
        <w:rPr>
          <w:rFonts w:ascii="Times New Roman" w:eastAsia="Calibri" w:hAnsi="Times New Roman"/>
          <w:sz w:val="20"/>
          <w:szCs w:val="20"/>
          <w:lang w:val="en-GB"/>
        </w:rPr>
        <w:t xml:space="preserve"> solubility with organic ligands present is increased by 5 orders of magnitude compared with the purely inorganic solubility at a pH of 5. The range in increased solubility extended up to a pH of 8, where inorganic ligands alone only significantly affected the solubility below a pH of 7. Thus, it was proven that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might exist in insoluble and refractory forms in LC. After treating the LC with concentrated sulphuric acid in the plant process,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was removed with other impurities into the WLP residue and remained in insoluble form, which was not dissolved by strong acids or alkali. </w:t>
      </w:r>
      <w:r w:rsidRPr="00FE7A13">
        <w:rPr>
          <w:rFonts w:ascii="Times New Roman" w:hAnsi="Times New Roman"/>
          <w:sz w:val="20"/>
          <w:szCs w:val="20"/>
          <w:lang w:val="en-GB" w:eastAsia="ms-MY"/>
        </w:rPr>
        <w:t xml:space="preserve">Furthermore, the differences in pH in the content of the upper gastrointestinal tract between fed and fasted states may also influence the dissolution and absorption of weakly acidic and basic of ingestion soil. </w:t>
      </w:r>
      <w:r w:rsidRPr="00FE7A13">
        <w:rPr>
          <w:rFonts w:ascii="Times New Roman" w:eastAsia="Calibri" w:hAnsi="Times New Roman"/>
          <w:sz w:val="20"/>
          <w:szCs w:val="20"/>
          <w:lang w:val="en-GB"/>
        </w:rPr>
        <w:t>The fate and mobility of Th in environmental media are governed by its chemical and biological behaviours. The quadrivalent Th compounds are very stable towards reducing agents. Because of its low solubility, Th, which is discharged as ThO</w:t>
      </w:r>
      <w:r w:rsidRPr="00FE7A13">
        <w:rPr>
          <w:rFonts w:ascii="Times New Roman" w:eastAsia="Calibri" w:hAnsi="Times New Roman"/>
          <w:sz w:val="20"/>
          <w:szCs w:val="20"/>
          <w:vertAlign w:val="subscript"/>
          <w:lang w:val="en-GB"/>
        </w:rPr>
        <w:t>2</w:t>
      </w:r>
      <w:r w:rsidRPr="00FE7A13">
        <w:rPr>
          <w:rFonts w:ascii="Times New Roman" w:eastAsia="Calibri" w:hAnsi="Times New Roman"/>
          <w:sz w:val="20"/>
          <w:szCs w:val="20"/>
          <w:lang w:val="en-GB"/>
        </w:rPr>
        <w:t xml:space="preserve"> on water surfaces from mining, milling, and processing, is present as suspended particles or sediments in water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&lt;EndNote&gt;&lt;Cite&gt;&lt;Author&gt;Platford&lt;/Author&gt;&lt;Year&gt;1989&lt;/Year&gt;&lt;RecNum&gt;34&lt;/RecNum&gt;&lt;DisplayText&gt;[20]&lt;/DisplayText&gt;&lt;record&gt;&lt;rec-number&gt;34&lt;/rec-number&gt;&lt;foreign-keys&gt;&lt;key app="EN" db-id="swr9aa0fctvwziet5pxv0ffgx2e2ssd59sv2"&gt;34&lt;/key&gt;&lt;/foreign-keys&gt;&lt;ref-type name="Journal Article"&gt;17&lt;/ref-type&gt;&lt;contributors&gt;&lt;authors&gt;&lt;author&gt;Platford, RF&lt;/author&gt;&lt;author&gt;Joshi, SR&lt;/author&gt;&lt;/authors&gt;&lt;/contributors&gt;&lt;titles&gt;&lt;title&gt;Radionuclide partitioning across Great Lakes natural interfaces&lt;/title&gt;&lt;secondary-title&gt;Environmental Geology and Water Sciences&lt;/secondary-title&gt;&lt;/titles&gt;&lt;periodical&gt;&lt;full-title&gt;Environmental Geology and Water Sciences&lt;/full-title&gt;&lt;/periodical&gt;&lt;pages&gt;183-186&lt;/pages&gt;&lt;volume&gt;14&lt;/volume&gt;&lt;number&gt;3&lt;/number&gt;&lt;dates&gt;&lt;year&gt;1989&lt;/year&gt;&lt;/dates&gt;&lt;isbn&gt;0099-0094&lt;/isbn&gt;&lt;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20" w:tooltip="Platford, 1989 #34" w:history="1">
        <w:r w:rsidRPr="00FE7A13">
          <w:rPr>
            <w:rFonts w:ascii="Times New Roman" w:eastAsia="Calibri" w:hAnsi="Times New Roman"/>
            <w:noProof/>
            <w:sz w:val="20"/>
            <w:szCs w:val="20"/>
            <w:lang w:val="en-MY"/>
          </w:rPr>
          <w:t>20</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 xml:space="preserve">. </w:t>
      </w:r>
      <w:r w:rsidRPr="00FE7A13">
        <w:rPr>
          <w:rFonts w:ascii="Times New Roman" w:eastAsia="Calibri" w:hAnsi="Times New Roman"/>
          <w:sz w:val="20"/>
          <w:szCs w:val="20"/>
          <w:lang w:val="en-GB"/>
        </w:rPr>
        <w:t>The International Commission on Radiological Protection (ICRP) has proposed a human gastrointestinal absorption value of 0.02 % for all forms of Th</w:t>
      </w:r>
      <w:r w:rsidRPr="00FE7A13">
        <w:rPr>
          <w:rFonts w:ascii="Times New Roman" w:eastAsia="Calibri" w:hAnsi="Times New Roman"/>
          <w:sz w:val="20"/>
          <w:szCs w:val="20"/>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&lt;EndNote&gt;&lt;Cite&gt;&lt;Author&gt;ICRP&lt;/Author&gt;&lt;Year&gt;2012&lt;/Year&gt;&lt;RecNum&gt;59&lt;/RecNum&gt;&lt;DisplayText&gt;[21]&lt;/DisplayText&gt;&lt;record&gt;&lt;rec-number&gt;59&lt;/rec-number&gt;&lt;foreign-keys&gt;&lt;key app="EN" db-id="swr9aa0fctvwziet5pxv0ffgx2e2ssd59sv2"&gt;59&lt;/key&gt;&lt;/foreign-keys&gt;&lt;ref-type name="Journal Article"&gt;17&lt;/ref-type&gt;&lt;contributors&gt;&lt;authors&gt;&lt;author&gt;International Commission On Radiological Protection ICRP&lt;/author&gt;&lt;/authors&gt;&lt;/contributors&gt;&lt;titles&gt;&lt;title&gt;ICRP Publication 119 : Compendium Of Dose Coefficients Based On ICRP Publication 60&lt;/title&gt;&lt;/titles&gt;&lt;dates&gt;&lt;year&gt;2012&lt;/year&gt;&lt;/dates&gt;&lt;urls&gt;&lt;related-urls&gt;&lt;url&gt;http://www.icrp.org/docs/P%20119%20JAICRP%2041(s)%20Compendium%20of%20Dose%20Coefficients%20based%20on%20ICRP%20Publication%2060.pdf&lt;/url&gt;&lt;/related-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21" w:tooltip="ICRP, 2012 #59" w:history="1">
        <w:r w:rsidRPr="00FE7A13">
          <w:rPr>
            <w:rFonts w:ascii="Times New Roman" w:eastAsia="Calibri" w:hAnsi="Times New Roman"/>
            <w:noProof/>
            <w:sz w:val="20"/>
            <w:szCs w:val="20"/>
          </w:rPr>
          <w:t>21</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16" w:name="_Hlk521083622"/>
      <w:r w:rsidRPr="00FE7A13">
        <w:rPr>
          <w:rFonts w:ascii="Times New Roman" w:eastAsia="Calibri" w:hAnsi="Times New Roman"/>
          <w:sz w:val="20"/>
          <w:szCs w:val="20"/>
          <w:lang w:val="en-GB"/>
        </w:rPr>
        <w:t>Based on Johnson and Lamothe’s review of literature, a human gastrointestinal absorption value of 0.1 % to 1 % was calculated</w:t>
      </w:r>
      <w:bookmarkEnd w:id="16"/>
      <w:r w:rsidRPr="00FE7A13">
        <w:rPr>
          <w:rFonts w:ascii="Times New Roman" w:eastAsia="Calibri" w:hAnsi="Times New Roman"/>
          <w:sz w:val="20"/>
          <w:szCs w:val="20"/>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&lt;EndNote&gt;&lt;Cite&gt;&lt;Author&gt;Johnson&lt;/Author&gt;&lt;Year&gt;1989&lt;/Year&gt;&lt;RecNum&gt;60&lt;/RecNum&gt;&lt;DisplayText&gt;[22]&lt;/DisplayText&gt;&lt;record&gt;&lt;rec-number&gt;60&lt;/rec-number&gt;&lt;foreign-keys&gt;&lt;key app="EN" db-id="swr9aa0fctvwziet5pxv0ffgx2e2ssd59sv2"&gt;60&lt;/key&gt;&lt;/foreign-keys&gt;&lt;ref-type name="Journal Article"&gt;17&lt;/ref-type&gt;&lt;contributors&gt;&lt;authors&gt;&lt;author&gt;Johnson, JR&lt;/author&gt;&lt;author&gt;Lamothe, ES&lt;/author&gt;&lt;/authors&gt;&lt;/contributors&gt;&lt;titles&gt;&lt;title&gt;A review of the dietary uptake of Th&lt;/title&gt;&lt;secondary-title&gt;Health physics&lt;/secondary-title&gt;&lt;/titles&gt;&lt;periodical&gt;&lt;full-title&gt;Health physics&lt;/full-title&gt;&lt;/periodical&gt;&lt;pages&gt;165-168&lt;/pages&gt;&lt;volume&gt;56&lt;/volume&gt;&lt;number&gt;2&lt;/number&gt;&lt;dates&gt;&lt;year&gt;1989&lt;/year&gt;&lt;/dates&gt;&lt;isbn&gt;0017-9078&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22" w:tooltip="Johnson, 1989 #60" w:history="1">
        <w:r w:rsidRPr="00FE7A13">
          <w:rPr>
            <w:rFonts w:ascii="Times New Roman" w:eastAsia="Calibri" w:hAnsi="Times New Roman"/>
            <w:noProof/>
            <w:sz w:val="20"/>
            <w:szCs w:val="20"/>
          </w:rPr>
          <w:t>22</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17" w:name="_Hlk521083637"/>
      <w:r w:rsidRPr="00FE7A13">
        <w:rPr>
          <w:rFonts w:ascii="Times New Roman" w:eastAsia="Calibri" w:hAnsi="Times New Roman"/>
          <w:sz w:val="20"/>
          <w:szCs w:val="20"/>
          <w:lang w:val="en-GB"/>
        </w:rPr>
        <w:t xml:space="preserve">Meanwhile, </w:t>
      </w:r>
      <w:bookmarkStart w:id="18" w:name="_Hlk519151784"/>
      <w:r w:rsidRPr="00FE7A13">
        <w:rPr>
          <w:rFonts w:ascii="Times New Roman" w:eastAsia="Calibri" w:hAnsi="Times New Roman"/>
          <w:sz w:val="20"/>
          <w:szCs w:val="20"/>
          <w:lang w:val="en-GB"/>
        </w:rPr>
        <w:t xml:space="preserve">the United State Environmental Protection Agency (USEPA) </w:t>
      </w:r>
      <w:bookmarkEnd w:id="18"/>
      <w:r w:rsidRPr="00FE7A13">
        <w:rPr>
          <w:rFonts w:ascii="Times New Roman" w:eastAsia="Calibri" w:hAnsi="Times New Roman"/>
          <w:sz w:val="20"/>
          <w:szCs w:val="20"/>
          <w:lang w:val="en-GB"/>
        </w:rPr>
        <w:t>highlighted that the average person ingests about 2 µg of U in food and water every day, but only a very minor fraction of 1 % or 2 % is absorbed into the body</w:t>
      </w:r>
      <w:bookmarkEnd w:id="17"/>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&lt;EndNote&gt;&lt;Cite&gt;&lt;Author&gt;EPA&lt;/Author&gt;&lt;Year&gt;2015&lt;/Year&gt;&lt;RecNum&gt;58&lt;/RecNum&gt;&lt;DisplayText&gt;[23]&lt;/DisplayText&gt;&lt;record&gt;&lt;rec-number&gt;58&lt;/rec-number&gt;&lt;foreign-keys&gt;&lt;key app="EN" db-id="swr9aa0fctvwziet5pxv0ffgx2e2ssd59sv2"&gt;58&lt;/key&gt;&lt;/foreign-keys&gt;&lt;ref-type name="Journal Article"&gt;17&lt;/ref-type&gt;&lt;contributors&gt;&lt;authors&gt;&lt;author&gt;United States Environmental Protection Agency EPA&lt;/author&gt;&lt;/authors&gt;&lt;/contributors&gt;&lt;titles&gt;&lt;title&gt;Radionuclide Basics : Uranium &lt;/title&gt;&lt;/titles&gt;&lt;dates&gt;&lt;year&gt;2015&lt;/year&gt;&lt;/dates&gt;&lt;urls&gt;&lt;related-urls&gt;&lt;url&gt;https://www.epa.gov/radiation/radionuclide-basics-uranium#tab-3&lt;/url&gt;&lt;/related-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23" w:tooltip="EPA, 2015 #58" w:history="1">
        <w:r w:rsidRPr="00FE7A13">
          <w:rPr>
            <w:rFonts w:ascii="Times New Roman" w:eastAsia="Calibri" w:hAnsi="Times New Roman"/>
            <w:noProof/>
            <w:sz w:val="20"/>
            <w:szCs w:val="20"/>
          </w:rPr>
          <w:t>23</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w:t>
      </w:r>
    </w:p>
    <w:p w:rsidR="00FE7A13" w:rsidRPr="00FE7A13" w:rsidRDefault="00FE7A13" w:rsidP="00645203">
      <w:pPr>
        <w:autoSpaceDE w:val="0"/>
        <w:autoSpaceDN w:val="0"/>
        <w:adjustRightInd w:val="0"/>
        <w:spacing w:after="120" w:line="240" w:lineRule="auto"/>
        <w:jc w:val="both"/>
        <w:rPr>
          <w:rFonts w:ascii="Times New Roman" w:hAnsi="Times New Roman"/>
          <w:sz w:val="20"/>
          <w:szCs w:val="20"/>
          <w:lang w:eastAsia="ms-MY"/>
        </w:rPr>
      </w:pPr>
    </w:p>
    <w:p w:rsidR="00FE7A13" w:rsidRPr="00FE7A13" w:rsidRDefault="00FE7A13" w:rsidP="004D0593">
      <w:pPr>
        <w:autoSpaceDE w:val="0"/>
        <w:autoSpaceDN w:val="0"/>
        <w:adjustRightInd w:val="0"/>
        <w:spacing w:after="120" w:line="240" w:lineRule="auto"/>
        <w:jc w:val="center"/>
        <w:rPr>
          <w:rFonts w:ascii="Times New Roman" w:eastAsia="Calibri" w:hAnsi="Times New Roman"/>
          <w:sz w:val="20"/>
          <w:szCs w:val="20"/>
        </w:rPr>
      </w:pPr>
      <w:r w:rsidRPr="00FE7A13">
        <w:rPr>
          <w:rFonts w:ascii="Times New Roman" w:eastAsia="Calibri" w:hAnsi="Times New Roman"/>
          <w:noProof/>
          <w:sz w:val="20"/>
          <w:szCs w:val="20"/>
          <w:lang w:bidi="ar-SA"/>
        </w:rPr>
        <w:drawing>
          <wp:inline distT="0" distB="0" distL="0" distR="0" wp14:anchorId="49A3D531" wp14:editId="2D3687DA">
            <wp:extent cx="4686337" cy="2952000"/>
            <wp:effectExtent l="19050" t="19050" r="19050" b="20320"/>
            <wp:docPr id="4" name="Picture 4" descr="C:\Users\SHAHID~1\AppData\Local\Temp\Rar$DI82.320\Fig. 3 (a)  Solubility of 232Th in lanthanide concentrate (LC) and water leach purification (WLP) residue during gastric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HID~1\AppData\Local\Temp\Rar$DI82.320\Fig. 3 (a)  Solubility of 232Th in lanthanide concentrate (LC) and water leach purification (WLP) residue during gastric phas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37" cy="2952000"/>
                    </a:xfrm>
                    <a:prstGeom prst="rect">
                      <a:avLst/>
                    </a:prstGeom>
                    <a:noFill/>
                    <a:ln>
                      <a:solidFill>
                        <a:schemeClr val="tx1"/>
                      </a:solidFill>
                    </a:ln>
                  </pic:spPr>
                </pic:pic>
              </a:graphicData>
            </a:graphic>
          </wp:inline>
        </w:drawing>
      </w:r>
    </w:p>
    <w:p w:rsidR="00FE7A13" w:rsidRPr="00FE7A13" w:rsidRDefault="00FE7A13" w:rsidP="0005340B">
      <w:pPr>
        <w:autoSpaceDE w:val="0"/>
        <w:autoSpaceDN w:val="0"/>
        <w:adjustRightInd w:val="0"/>
        <w:spacing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 xml:space="preserve">Figure 1.  </w:t>
      </w:r>
      <w:r w:rsidRPr="00FE7A13">
        <w:rPr>
          <w:rFonts w:ascii="Times New Roman" w:eastAsia="Calibri" w:hAnsi="Times New Roman"/>
          <w:sz w:val="20"/>
          <w:szCs w:val="20"/>
          <w:vertAlign w:val="superscript"/>
        </w:rPr>
        <w:t>232</w:t>
      </w:r>
      <w:r w:rsidRPr="00FE7A13">
        <w:rPr>
          <w:rFonts w:ascii="Times New Roman" w:eastAsia="Calibri" w:hAnsi="Times New Roman"/>
          <w:sz w:val="20"/>
          <w:szCs w:val="20"/>
        </w:rPr>
        <w:t>Th solubility in lanthanide concentrate and water leach purification residue during gastric phase</w:t>
      </w:r>
    </w:p>
    <w:p w:rsidR="00FE7A13" w:rsidRPr="00FE7A13" w:rsidRDefault="00FE7A13" w:rsidP="00645203">
      <w:pPr>
        <w:autoSpaceDE w:val="0"/>
        <w:autoSpaceDN w:val="0"/>
        <w:adjustRightInd w:val="0"/>
        <w:spacing w:after="120" w:line="240" w:lineRule="auto"/>
        <w:jc w:val="both"/>
        <w:rPr>
          <w:rFonts w:ascii="Times New Roman" w:eastAsia="Calibri" w:hAnsi="Times New Roman"/>
          <w:sz w:val="20"/>
          <w:szCs w:val="20"/>
        </w:rPr>
      </w:pP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MY"/>
        </w:rPr>
      </w:pPr>
      <w:bookmarkStart w:id="19" w:name="_Hlk521083663"/>
      <w:r w:rsidRPr="00FE7A13">
        <w:rPr>
          <w:rFonts w:ascii="Times New Roman" w:hAnsi="Times New Roman"/>
          <w:sz w:val="20"/>
          <w:szCs w:val="20"/>
          <w:lang w:val="en-GB" w:eastAsia="ms-MY"/>
        </w:rPr>
        <w:t xml:space="preserve">Figure 2 shows that the solubility of </w:t>
      </w:r>
      <w:r w:rsidRPr="00FE7A13">
        <w:rPr>
          <w:rFonts w:ascii="Times New Roman" w:hAnsi="Times New Roman"/>
          <w:sz w:val="20"/>
          <w:szCs w:val="20"/>
          <w:vertAlign w:val="superscript"/>
          <w:lang w:val="en-GB" w:eastAsia="ms-MY"/>
        </w:rPr>
        <w:t>232</w:t>
      </w:r>
      <w:r w:rsidRPr="00FE7A13">
        <w:rPr>
          <w:rFonts w:ascii="Times New Roman" w:hAnsi="Times New Roman"/>
          <w:sz w:val="20"/>
          <w:szCs w:val="20"/>
          <w:lang w:val="en-GB" w:eastAsia="ms-MY"/>
        </w:rPr>
        <w:t xml:space="preserve">Th in the WLP residue during the gastric phase gradually increased. Contrastingly, the solubility of </w:t>
      </w:r>
      <w:r w:rsidRPr="00FE7A13">
        <w:rPr>
          <w:rFonts w:ascii="Times New Roman" w:hAnsi="Times New Roman"/>
          <w:sz w:val="20"/>
          <w:szCs w:val="20"/>
          <w:vertAlign w:val="superscript"/>
          <w:lang w:val="en-GB" w:eastAsia="ms-MY"/>
        </w:rPr>
        <w:t>232</w:t>
      </w:r>
      <w:r w:rsidRPr="00FE7A13">
        <w:rPr>
          <w:rFonts w:ascii="Times New Roman" w:hAnsi="Times New Roman"/>
          <w:sz w:val="20"/>
          <w:szCs w:val="20"/>
          <w:lang w:val="en-GB" w:eastAsia="ms-MY"/>
        </w:rPr>
        <w:t xml:space="preserve">Th in the WLP residue during the intestinal phase decreased. </w:t>
      </w:r>
      <w:r w:rsidRPr="00FE7A13">
        <w:rPr>
          <w:rFonts w:ascii="Times New Roman" w:eastAsia="Calibri" w:hAnsi="Times New Roman"/>
          <w:sz w:val="20"/>
          <w:szCs w:val="20"/>
          <w:lang w:val="en-GB"/>
        </w:rPr>
        <w:t xml:space="preserve">The decrease in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in the WLP residue could have been due to chemical precipitation at a pH of 7.5, while the solubility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decreased due to adsorption in mineral soils, organic material, and other suspended solids because absorption of metals by soil is known to increase with pH</w:t>
      </w:r>
      <w:bookmarkEnd w:id="19"/>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&lt;EndNote&gt;&lt;Cite&gt;&lt;Author&gt;Hooda&lt;/Author&gt;&lt;Year&gt;2004&lt;/Year&gt;&lt;RecNum&gt;37&lt;/RecNum&gt;&lt;DisplayText&gt;[24]&lt;/DisplayText&gt;&lt;record&gt;&lt;rec-number&gt;37&lt;/rec-number&gt;&lt;foreign-keys&gt;&lt;key app="EN" db-id="swr9aa0fctvwziet5pxv0ffgx2e2ssd59sv2"&gt;37&lt;/key&gt;&lt;/foreign-keys&gt;&lt;ref-type name="Journal Article"&gt;17&lt;/ref-type&gt;&lt;contributors&gt;&lt;authors&gt;&lt;author&gt;Hooda, PS&lt;/author&gt;&lt;author&gt;Henry, CJK&lt;/author&gt;&lt;author&gt;Seyoum, TA&lt;/author&gt;&lt;author&gt;Armstrong, LDM&lt;/author&gt;&lt;author&gt;Fowler, MB&lt;/author&gt;&lt;/authors&gt;&lt;/contributors&gt;&lt;titles&gt;&lt;title&gt;The potential impact of soil ingestion on human mineral nutrition&lt;/title&gt;&lt;secondary-title&gt;Science of the Total Environment&lt;/secondary-title&gt;&lt;/titles&gt;&lt;periodical&gt;&lt;full-title&gt;Science of the total environment&lt;/full-title&gt;&lt;/periodical&gt;&lt;pages&gt;75-87&lt;/pages&gt;&lt;volume&gt;333&lt;/volume&gt;&lt;number&gt;1&lt;/number&gt;&lt;dates&gt;&lt;year&gt;2004&lt;/year&gt;&lt;/dates&gt;&lt;isbn&gt;0048-9697&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24" w:tooltip="Hooda, 2004 #37" w:history="1">
        <w:r w:rsidRPr="00FE7A13">
          <w:rPr>
            <w:rFonts w:ascii="Times New Roman" w:eastAsia="Calibri" w:hAnsi="Times New Roman"/>
            <w:noProof/>
            <w:sz w:val="20"/>
            <w:szCs w:val="20"/>
          </w:rPr>
          <w:t>24</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20" w:name="_Hlk521083679"/>
      <w:r w:rsidRPr="00FE7A13">
        <w:rPr>
          <w:rFonts w:ascii="Times New Roman" w:eastAsia="Calibri" w:hAnsi="Times New Roman"/>
          <w:sz w:val="20"/>
          <w:szCs w:val="20"/>
          <w:lang w:val="en-GB"/>
        </w:rPr>
        <w:t xml:space="preserve">Increasing pH intensifies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adsorption into clays, oxides, and organic matter, which is almost accomplished at a pH of 6.5</w:t>
      </w:r>
      <w:bookmarkEnd w:id="20"/>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&lt;EndNote&gt;&lt;Cite&gt;&lt;Author&gt;Bondietti&lt;/Author&gt;&lt;Year&gt;1974&lt;/Year&gt;&lt;RecNum&gt;38&lt;/RecNum&gt;&lt;DisplayText&gt;[25]&lt;/DisplayText&gt;&lt;record&gt;&lt;rec-number&gt;38&lt;/rec-number&gt;&lt;foreign-keys&gt;&lt;key app="EN" db-id="swr9aa0fctvwziet5pxv0ffgx2e2ssd59sv2"&gt;38&lt;/key&gt;&lt;/foreign-keys&gt;&lt;ref-type name="Conference Proceedings"&gt;10&lt;/ref-type&gt;&lt;contributors&gt;&lt;authors&gt;&lt;author&gt;Bondietti, EA&lt;/author&gt;&lt;/authors&gt;&lt;/contributors&gt;&lt;titles&gt;&lt;title&gt;Adsorption of U (+ 4) and Th (+ 4) by soil colloids&lt;/title&gt;&lt;secondary-title&gt;Agronomy Abstracts&lt;/secondary-title&gt;&lt;/titles&gt;&lt;volume&gt;23&lt;/volume&gt;&lt;dates&gt;&lt;year&gt;1974&lt;/year&gt;&lt;/dates&gt;&lt;urls&gt;&lt;/urls&gt;&lt;/record&gt;&lt;/Cite&gt;&lt;/EndNote&gt;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25" w:tooltip="Bondietti, 1974 #38" w:history="1">
        <w:r w:rsidRPr="00FE7A13">
          <w:rPr>
            <w:rFonts w:ascii="Times New Roman" w:eastAsia="Calibri" w:hAnsi="Times New Roman"/>
            <w:noProof/>
            <w:sz w:val="20"/>
            <w:szCs w:val="20"/>
          </w:rPr>
          <w:t>25</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21" w:name="_Hlk521083696"/>
      <w:r w:rsidRPr="00FE7A13">
        <w:rPr>
          <w:rFonts w:ascii="Times New Roman" w:eastAsia="Calibri" w:hAnsi="Times New Roman"/>
          <w:sz w:val="20"/>
          <w:szCs w:val="20"/>
          <w:lang w:val="en-GB"/>
        </w:rPr>
        <w:t>Soil properties, particularly pH and existing organic matter, influenced the absorption of radionuclides in soil</w:t>
      </w:r>
      <w:bookmarkEnd w:id="21"/>
      <w:r w:rsidRPr="00FE7A13">
        <w:rPr>
          <w:rFonts w:ascii="Times New Roman" w:eastAsia="Calibri" w:hAnsi="Times New Roman"/>
          <w:sz w:val="20"/>
          <w:szCs w:val="20"/>
          <w:lang w:val="en-MY"/>
        </w:rPr>
        <w:t xml:space="preserve">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&lt;EndNote&gt;&lt;Cite&gt;&lt;Author&gt;Guo&lt;/Author&gt;&lt;Year&gt;2007&lt;/Year&gt;&lt;RecNum&gt;39&lt;/RecNum&gt;&lt;DisplayText&gt;[26]&lt;/DisplayText&gt;&lt;record&gt;&lt;rec-number&gt;39&lt;/rec-number&gt;&lt;foreign-keys&gt;&lt;key app="EN" db-id="swr9aa0fctvwziet5pxv0ffgx2e2ssd59sv2"&gt;39&lt;/key&gt;&lt;/foreign-keys&gt;&lt;ref-type name="Journal Article"&gt;17&lt;/ref-type&gt;&lt;contributors&gt;&lt;authors&gt;&lt;author&gt;Guo, Pengran&lt;/author&gt;&lt;author&gt;Duan, Taicheng&lt;/author&gt;&lt;author&gt;Song, Xuejie&lt;/author&gt;&lt;author&gt;Chen, Hangting&lt;/author&gt;&lt;/authors&gt;&lt;/contributors&gt;&lt;titles&gt;&lt;title&gt;Evaluation of a sequential extraction for the speciation of thorium in soils from Baotou area, Inner Mongolia&lt;/title&gt;&lt;secondary-title&gt;Talanta&lt;/secondary-title&gt;&lt;/titles&gt;&lt;periodical&gt;&lt;full-title&gt;Talanta&lt;/full-title&gt;&lt;/periodical&gt;&lt;pages&gt;778-783&lt;/pages&gt;&lt;volume&gt;71&lt;/volume&gt;&lt;number&gt;2&lt;/number&gt;&lt;dates&gt;&lt;year&gt;2007&lt;/year&gt;&lt;/dates&gt;&lt;isbn&gt;0039-9140&lt;/isbn&gt;&lt;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26" w:tooltip="Guo, 2007 #39" w:history="1">
        <w:r w:rsidRPr="00FE7A13">
          <w:rPr>
            <w:rFonts w:ascii="Times New Roman" w:eastAsia="Calibri" w:hAnsi="Times New Roman"/>
            <w:noProof/>
            <w:sz w:val="20"/>
            <w:szCs w:val="20"/>
            <w:lang w:val="en-MY"/>
          </w:rPr>
          <w:t>26</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 xml:space="preserve">. </w:t>
      </w:r>
      <w:bookmarkStart w:id="22" w:name="_Hlk521083723"/>
      <w:r w:rsidRPr="00FE7A13">
        <w:rPr>
          <w:rFonts w:ascii="Times New Roman" w:eastAsia="Calibri" w:hAnsi="Times New Roman"/>
          <w:sz w:val="20"/>
          <w:szCs w:val="20"/>
          <w:lang w:val="en-GB"/>
        </w:rPr>
        <w:t xml:space="preserve">Th in the tetravalent oxidation state forms insoluble crystalline or hydrous oxides that can perpetuate in low aqueous concentrations in natural waters and </w:t>
      </w:r>
      <w:r w:rsidRPr="00FE7A13">
        <w:rPr>
          <w:rFonts w:ascii="Times New Roman" w:eastAsia="Calibri" w:hAnsi="Times New Roman"/>
          <w:sz w:val="20"/>
          <w:szCs w:val="20"/>
          <w:lang w:val="en-GB"/>
        </w:rPr>
        <w:lastRenderedPageBreak/>
        <w:t>waste repository environments</w:t>
      </w:r>
      <w:bookmarkEnd w:id="22"/>
      <w:r w:rsidRPr="00FE7A13">
        <w:rPr>
          <w:rFonts w:ascii="Times New Roman" w:eastAsia="Calibri" w:hAnsi="Times New Roman"/>
          <w:sz w:val="20"/>
          <w:szCs w:val="20"/>
          <w:lang w:val="en-MY"/>
        </w:rPr>
        <w:t xml:space="preserve">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&lt;EndNote&gt;&lt;Cite&gt;&lt;Author&gt;Reiller&lt;/Author&gt;&lt;Year&gt;2002&lt;/Year&gt;&lt;RecNum&gt;61&lt;/RecNum&gt;&lt;DisplayText&gt;[27]&lt;/DisplayText&gt;&lt;record&gt;&lt;rec-number&gt;61&lt;/rec-number&gt;&lt;foreign-keys&gt;&lt;key app="EN" db-id="swr9aa0fctvwziet5pxv0ffgx2e2ssd59sv2"&gt;61&lt;/key&gt;&lt;/foreign-keys&gt;&lt;ref-type name="Journal Article"&gt;17&lt;/ref-type&gt;&lt;contributors&gt;&lt;authors&gt;&lt;author&gt;Reiller, Pascal&lt;/author&gt;&lt;author&gt;Moulin, Valérie&lt;/author&gt;&lt;author&gt;Casanova, Florence&lt;/author&gt;&lt;author&gt;Dautel, Christian&lt;/author&gt;&lt;/authors&gt;&lt;/contributors&gt;&lt;titles&gt;&lt;title&gt;Retention behaviour of humic substances onto mineral surfaces and consequences upon thorium (IV) mobility: case of iron oxides&lt;/title&gt;&lt;secondary-title&gt;Applied Geochemistry&lt;/secondary-title&gt;&lt;/titles&gt;&lt;periodical&gt;&lt;full-title&gt;Applied Geochemistry&lt;/full-title&gt;&lt;/periodical&gt;&lt;pages&gt;1551-1562&lt;/pages&gt;&lt;volume&gt;17&lt;/volume&gt;&lt;number&gt;12&lt;/number&gt;&lt;dates&gt;&lt;year&gt;2002&lt;/year&gt;&lt;/dates&gt;&lt;isbn&gt;0883-2927&lt;/isbn&gt;&lt;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27" w:tooltip="Reiller, 2002 #61" w:history="1">
        <w:r w:rsidRPr="00FE7A13">
          <w:rPr>
            <w:rFonts w:ascii="Times New Roman" w:eastAsia="Calibri" w:hAnsi="Times New Roman"/>
            <w:noProof/>
            <w:sz w:val="20"/>
            <w:szCs w:val="20"/>
            <w:lang w:val="en-MY"/>
          </w:rPr>
          <w:t>27</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 xml:space="preserve">. </w:t>
      </w:r>
      <w:bookmarkStart w:id="23" w:name="_Hlk521083742"/>
      <w:r w:rsidRPr="00FE7A13">
        <w:rPr>
          <w:rFonts w:ascii="Times New Roman" w:eastAsia="Calibri" w:hAnsi="Times New Roman"/>
          <w:sz w:val="20"/>
          <w:szCs w:val="20"/>
          <w:lang w:val="en-GB"/>
        </w:rPr>
        <w:t>Hydroxide and carbonate are the two dominant ligands in the groundwater system. Hydrous Th(IV) oxides are soluble at low pH values, but the solubility decreases significantly at pH values higher than 3–4. Therefore, it was practical to use amorphous hydrous Th(IV) oxide in this study, as it is the initial solid phase precipitated under oversaturation conditions and equilibrates with the aqueous phase more rapidly</w:t>
      </w:r>
      <w:bookmarkEnd w:id="23"/>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&lt;EndNote&gt;&lt;Cite&gt;&lt;Author&gt;Rand&lt;/Author&gt;&lt;Year&gt;2008&lt;/Year&gt;&lt;RecNum&gt;62&lt;/RecNum&gt;&lt;DisplayText&gt;[28]&lt;/DisplayText&gt;&lt;record&gt;&lt;rec-number&gt;62&lt;/rec-number&gt;&lt;foreign-keys&gt;&lt;key app="EN" db-id="swr9aa0fctvwziet5pxv0ffgx2e2ssd59sv2"&gt;62&lt;/key&gt;&lt;/foreign-keys&gt;&lt;ref-type name="Book"&gt;6&lt;/ref-type&gt;&lt;contributors&gt;&lt;authors&gt;&lt;author&gt;Rand, Malcolm Harold&lt;/author&gt;&lt;author&gt;Mompean, Federico J&lt;/author&gt;&lt;author&gt;Perrone, Jane&lt;/author&gt;&lt;author&gt;Illemassène, Myriam&lt;/author&gt;&lt;/authors&gt;&lt;/contributors&gt;&lt;titles&gt;&lt;title&gt;Chemical thermodynamics of thorium&lt;/title&gt;&lt;/titles&gt;&lt;volume&gt;11&lt;/volume&gt;&lt;dates&gt;&lt;year&gt;2008&lt;/year&gt;&lt;/dates&gt;&lt;publisher&gt;OECD Publishing&lt;/publisher&gt;&lt;isbn&gt;926405667X&lt;/isbn&gt;&lt;urls&gt;&lt;/urls&gt;&lt;/record&gt;&lt;/Cite&gt;&lt;/EndNote&gt;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28" w:tooltip="Rand, 2008 #62" w:history="1">
        <w:r w:rsidRPr="00FE7A13">
          <w:rPr>
            <w:rFonts w:ascii="Times New Roman" w:eastAsia="Calibri" w:hAnsi="Times New Roman"/>
            <w:noProof/>
            <w:sz w:val="20"/>
            <w:szCs w:val="20"/>
            <w:lang w:val="en-MY"/>
          </w:rPr>
          <w:t>28</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w:t>
      </w:r>
    </w:p>
    <w:p w:rsidR="00FE7A13" w:rsidRPr="00FE7A13" w:rsidRDefault="00FE7A13" w:rsidP="00645203">
      <w:pPr>
        <w:autoSpaceDE w:val="0"/>
        <w:autoSpaceDN w:val="0"/>
        <w:adjustRightInd w:val="0"/>
        <w:spacing w:after="120" w:line="240" w:lineRule="auto"/>
        <w:jc w:val="both"/>
        <w:rPr>
          <w:rFonts w:ascii="Times New Roman" w:eastAsia="Calibri" w:hAnsi="Times New Roman"/>
          <w:sz w:val="20"/>
          <w:szCs w:val="20"/>
          <w:lang w:val="en-MY"/>
        </w:rPr>
      </w:pPr>
    </w:p>
    <w:p w:rsidR="00FE7A13" w:rsidRPr="004D0593" w:rsidRDefault="00FE7A13" w:rsidP="004D0593">
      <w:pPr>
        <w:autoSpaceDE w:val="0"/>
        <w:autoSpaceDN w:val="0"/>
        <w:adjustRightInd w:val="0"/>
        <w:spacing w:after="120" w:line="240" w:lineRule="auto"/>
        <w:jc w:val="center"/>
        <w:rPr>
          <w:rFonts w:ascii="Times New Roman" w:eastAsia="Calibri" w:hAnsi="Times New Roman"/>
          <w:sz w:val="20"/>
          <w:szCs w:val="20"/>
          <w:lang w:val="en-MY"/>
        </w:rPr>
      </w:pPr>
      <w:r w:rsidRPr="00FE7A13">
        <w:rPr>
          <w:rFonts w:ascii="Times New Roman" w:eastAsia="Calibri" w:hAnsi="Times New Roman"/>
          <w:b/>
          <w:noProof/>
          <w:sz w:val="20"/>
          <w:szCs w:val="20"/>
          <w:lang w:bidi="ar-SA"/>
        </w:rPr>
        <w:drawing>
          <wp:inline distT="0" distB="0" distL="0" distR="0" wp14:anchorId="01357F83" wp14:editId="7C6976CA">
            <wp:extent cx="4485153" cy="2952000"/>
            <wp:effectExtent l="19050" t="19050" r="10795" b="20320"/>
            <wp:docPr id="5" name="Picture 5" descr="C:\Users\SHAHID~1\AppData\Local\Temp\Rar$DI97.320\Fig. 3 (b)  Solubility of 232Th in lanthanide concentrate (LC) and water leach purification (WLP) residue during intestinal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HID~1\AppData\Local\Temp\Rar$DI97.320\Fig. 3 (b)  Solubility of 232Th in lanthanide concentrate (LC) and water leach purification (WLP) residue during intestinal phas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5153" cy="2952000"/>
                    </a:xfrm>
                    <a:prstGeom prst="rect">
                      <a:avLst/>
                    </a:prstGeom>
                    <a:noFill/>
                    <a:ln>
                      <a:solidFill>
                        <a:schemeClr val="tx1"/>
                      </a:solidFill>
                    </a:ln>
                  </pic:spPr>
                </pic:pic>
              </a:graphicData>
            </a:graphic>
          </wp:inline>
        </w:drawing>
      </w:r>
    </w:p>
    <w:p w:rsidR="00FE7A13" w:rsidRPr="00FE7A13" w:rsidRDefault="00FE7A13" w:rsidP="00645203">
      <w:pPr>
        <w:autoSpaceDE w:val="0"/>
        <w:autoSpaceDN w:val="0"/>
        <w:adjustRightInd w:val="0"/>
        <w:spacing w:after="0" w:line="240" w:lineRule="auto"/>
        <w:ind w:left="900" w:hanging="900"/>
        <w:jc w:val="both"/>
        <w:rPr>
          <w:rFonts w:ascii="Times New Roman" w:eastAsia="Calibri" w:hAnsi="Times New Roman"/>
          <w:sz w:val="20"/>
          <w:szCs w:val="20"/>
        </w:rPr>
      </w:pPr>
      <w:r w:rsidRPr="00FE7A13">
        <w:rPr>
          <w:rFonts w:ascii="Times New Roman" w:eastAsia="Calibri" w:hAnsi="Times New Roman"/>
          <w:sz w:val="20"/>
          <w:szCs w:val="20"/>
        </w:rPr>
        <w:t xml:space="preserve">Figure 2.  </w:t>
      </w:r>
      <w:r w:rsidRPr="00FE7A13">
        <w:rPr>
          <w:rFonts w:ascii="Times New Roman" w:eastAsia="Calibri" w:hAnsi="Times New Roman"/>
          <w:sz w:val="20"/>
          <w:szCs w:val="20"/>
          <w:vertAlign w:val="superscript"/>
        </w:rPr>
        <w:t>232</w:t>
      </w:r>
      <w:r w:rsidRPr="00FE7A13">
        <w:rPr>
          <w:rFonts w:ascii="Times New Roman" w:eastAsia="Calibri" w:hAnsi="Times New Roman"/>
          <w:sz w:val="20"/>
          <w:szCs w:val="20"/>
        </w:rPr>
        <w:t>Th solubility in lanthanide concentrate and water leach purification residue during gastrointestinal phase</w:t>
      </w:r>
    </w:p>
    <w:p w:rsidR="00FE7A13" w:rsidRPr="00FE7A13" w:rsidRDefault="00FE7A13" w:rsidP="00645203">
      <w:pPr>
        <w:autoSpaceDE w:val="0"/>
        <w:autoSpaceDN w:val="0"/>
        <w:adjustRightInd w:val="0"/>
        <w:spacing w:after="120" w:line="240" w:lineRule="auto"/>
        <w:jc w:val="both"/>
        <w:rPr>
          <w:rFonts w:ascii="Times New Roman" w:eastAsia="Calibri" w:hAnsi="Times New Roman"/>
          <w:sz w:val="20"/>
          <w:szCs w:val="20"/>
          <w:lang w:val="en-GB"/>
        </w:rPr>
      </w:pPr>
    </w:p>
    <w:p w:rsidR="00FE7A13" w:rsidRPr="00FE7A13" w:rsidRDefault="00FE7A13" w:rsidP="00FE7A13">
      <w:pPr>
        <w:autoSpaceDE w:val="0"/>
        <w:autoSpaceDN w:val="0"/>
        <w:adjustRightInd w:val="0"/>
        <w:spacing w:after="0" w:line="240" w:lineRule="auto"/>
        <w:jc w:val="both"/>
        <w:rPr>
          <w:rFonts w:ascii="Times New Roman" w:hAnsi="Times New Roman"/>
          <w:sz w:val="20"/>
          <w:szCs w:val="20"/>
          <w:lang w:eastAsia="ms-MY"/>
        </w:rPr>
      </w:pPr>
      <w:r w:rsidRPr="00FE7A13">
        <w:rPr>
          <w:rFonts w:ascii="Times New Roman" w:eastAsia="Calibri" w:hAnsi="Times New Roman"/>
          <w:sz w:val="20"/>
          <w:szCs w:val="20"/>
          <w:lang w:val="en-GB"/>
        </w:rPr>
        <w:t xml:space="preserve">The solubility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LC and WLP residue during the gastrointestinal phase is presented in Figure 3 and Figure 4. The results in Figure 3 show that based on the trendline pattern at 6 and 7 hours, the solubility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LC during the gastric phase and gastrointestinal phase increased with respect to time. Comparing Figure 3 with Figure 4, the following results depicted that the solubility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WLP residue increased during the gastric phase and was consistent when entering the intestinal phase. The solubility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WLP residue was higher than that in the LC during the gastric phase. The maximum solubility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LC and WLP residue was 0.8731 ± 0.0548 mg kg</w:t>
      </w:r>
      <w:r w:rsidRPr="00FE7A13">
        <w:rPr>
          <w:rFonts w:ascii="Times New Roman" w:eastAsia="Calibri" w:hAnsi="Times New Roman"/>
          <w:sz w:val="20"/>
          <w:szCs w:val="20"/>
          <w:vertAlign w:val="superscript"/>
          <w:lang w:val="en-GB"/>
        </w:rPr>
        <w:t xml:space="preserve">-1 </w:t>
      </w:r>
      <w:r w:rsidRPr="00FE7A13">
        <w:rPr>
          <w:rFonts w:ascii="Times New Roman" w:eastAsia="Calibri" w:hAnsi="Times New Roman"/>
          <w:sz w:val="20"/>
          <w:szCs w:val="20"/>
          <w:lang w:val="en-GB"/>
        </w:rPr>
        <w:t>during the gastric phase and 0.0558 ± 0.0164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during the gastrointestinal phase. The overall result showed that the solubility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LC and WLP residue during the </w:t>
      </w:r>
      <w:r w:rsidRPr="00FE7A13">
        <w:rPr>
          <w:rFonts w:ascii="Times New Roman" w:hAnsi="Times New Roman"/>
          <w:sz w:val="20"/>
          <w:szCs w:val="20"/>
          <w:lang w:val="en-GB" w:eastAsia="ms-MY"/>
        </w:rPr>
        <w:t>gastric phase was higher than that in the intestinal phase due to the more acidic pH in the gastric phase. As stated by Oliver et al., the solubility of trace elements can be improved by lowering the pH of stomach synthetic gastric fluid</w:t>
      </w:r>
      <w:r w:rsidRPr="00FE7A13">
        <w:rPr>
          <w:rFonts w:ascii="Times New Roman" w:hAnsi="Times New Roman"/>
          <w:sz w:val="20"/>
          <w:szCs w:val="20"/>
          <w:lang w:eastAsia="ms-MY"/>
        </w:rPr>
        <w:t xml:space="preserve"> </w:t>
      </w:r>
      <w:r w:rsidRPr="00FE7A13">
        <w:rPr>
          <w:rFonts w:ascii="Times New Roman" w:hAnsi="Times New Roman"/>
          <w:sz w:val="20"/>
          <w:szCs w:val="20"/>
          <w:lang w:eastAsia="ms-MY"/>
        </w:rPr>
        <w:fldChar w:fldCharType="begin"/>
      </w:r>
      <w:r w:rsidRPr="00FE7A13">
        <w:rPr>
          <w:rFonts w:ascii="Times New Roman" w:hAnsi="Times New Roman"/>
          <w:sz w:val="20"/>
          <w:szCs w:val="20"/>
          <w:lang w:eastAsia="ms-MY"/>
        </w:rPr>
        <w:instrText xml:space="preserve"> ADDIN EN.CITE &lt;EndNote&gt;&lt;Cite&gt;&lt;Author&gt;Oliver&lt;/Author&gt;&lt;Year&gt;1999&lt;/Year&gt;&lt;RecNum&gt;13&lt;/RecNum&gt;&lt;DisplayText&gt;[29]&lt;/DisplayText&gt;&lt;record&gt;&lt;rec-number&gt;13&lt;/rec-number&gt;&lt;foreign-keys&gt;&lt;key app="EN" db-id="swr9aa0fctvwziet5pxv0ffgx2e2ssd59sv2"&gt;13&lt;/key&gt;&lt;/foreign-keys&gt;&lt;ref-type name="Journal Article"&gt;17&lt;/ref-type&gt;&lt;contributors&gt;&lt;authors&gt;&lt;author&gt;Oliver, Danielle P&lt;/author&gt;&lt;author&gt;McLaughlin, Michael J&lt;/author&gt;&lt;author&gt;Naidu, R&lt;/author&gt;&lt;author&gt;Smith, Lester H&lt;/author&gt;&lt;author&gt;Maynard, EJ&lt;/author&gt;&lt;author&gt;Calder, IC&lt;/author&gt;&lt;/authors&gt;&lt;/contributors&gt;&lt;titles&gt;&lt;title&gt;Measuring Pb bioavailability from household dusts using an in vitro model&lt;/title&gt;&lt;secondary-title&gt;Environmental science &amp;amp; technology&lt;/secondary-title&gt;&lt;/titles&gt;&lt;periodical&gt;&lt;full-title&gt;Environmental Science &amp;amp; Technology&lt;/full-title&gt;&lt;/periodical&gt;&lt;pages&gt;4434-4439&lt;/pages&gt;&lt;volume&gt;33&lt;/volume&gt;&lt;number&gt;24&lt;/number&gt;&lt;dates&gt;&lt;year&gt;1999&lt;/year&gt;&lt;/dates&gt;&lt;isbn&gt;0013-936X&lt;/isbn&gt;&lt;urls&gt;&lt;/urls&gt;&lt;/record&gt;&lt;/Cite&gt;&lt;/EndNote&gt;</w:instrText>
      </w:r>
      <w:r w:rsidRPr="00FE7A13">
        <w:rPr>
          <w:rFonts w:ascii="Times New Roman" w:hAnsi="Times New Roman"/>
          <w:sz w:val="20"/>
          <w:szCs w:val="20"/>
          <w:lang w:eastAsia="ms-MY"/>
        </w:rPr>
        <w:fldChar w:fldCharType="separate"/>
      </w:r>
      <w:r w:rsidRPr="00FE7A13">
        <w:rPr>
          <w:rFonts w:ascii="Times New Roman" w:hAnsi="Times New Roman"/>
          <w:noProof/>
          <w:sz w:val="20"/>
          <w:szCs w:val="20"/>
          <w:lang w:eastAsia="ms-MY"/>
        </w:rPr>
        <w:t>[</w:t>
      </w:r>
      <w:hyperlink w:anchor="_ENREF_29" w:tooltip="Oliver, 1999 #13" w:history="1">
        <w:r w:rsidRPr="00FE7A13">
          <w:rPr>
            <w:rFonts w:ascii="Times New Roman" w:hAnsi="Times New Roman"/>
            <w:noProof/>
            <w:sz w:val="20"/>
            <w:szCs w:val="20"/>
            <w:lang w:eastAsia="ms-MY"/>
          </w:rPr>
          <w:t>29</w:t>
        </w:r>
      </w:hyperlink>
      <w:r w:rsidRPr="00FE7A13">
        <w:rPr>
          <w:rFonts w:ascii="Times New Roman" w:hAnsi="Times New Roman"/>
          <w:noProof/>
          <w:sz w:val="20"/>
          <w:szCs w:val="20"/>
          <w:lang w:eastAsia="ms-MY"/>
        </w:rPr>
        <w:t>]</w:t>
      </w:r>
      <w:r w:rsidRPr="00FE7A13">
        <w:rPr>
          <w:rFonts w:ascii="Times New Roman" w:hAnsi="Times New Roman"/>
          <w:sz w:val="20"/>
          <w:szCs w:val="20"/>
          <w:lang w:eastAsia="ms-MY"/>
        </w:rPr>
        <w:fldChar w:fldCharType="end"/>
      </w:r>
      <w:r w:rsidRPr="00FE7A13">
        <w:rPr>
          <w:rFonts w:ascii="Times New Roman" w:hAnsi="Times New Roman"/>
          <w:sz w:val="20"/>
          <w:szCs w:val="20"/>
          <w:lang w:eastAsia="ms-MY"/>
        </w:rPr>
        <w:t xml:space="preserve">. </w:t>
      </w:r>
      <w:r w:rsidRPr="00FE7A13">
        <w:rPr>
          <w:rFonts w:ascii="Times New Roman" w:hAnsi="Times New Roman"/>
          <w:sz w:val="20"/>
          <w:szCs w:val="20"/>
          <w:lang w:val="en-GB" w:eastAsia="ms-MY"/>
        </w:rPr>
        <w:t xml:space="preserve">This results in </w:t>
      </w:r>
      <w:r w:rsidRPr="00FE7A13">
        <w:rPr>
          <w:rFonts w:ascii="Times New Roman" w:hAnsi="Times New Roman"/>
          <w:sz w:val="20"/>
          <w:szCs w:val="20"/>
          <w:vertAlign w:val="superscript"/>
          <w:lang w:val="en-GB" w:eastAsia="ms-MY"/>
        </w:rPr>
        <w:t>238</w:t>
      </w:r>
      <w:r w:rsidRPr="00FE7A13">
        <w:rPr>
          <w:rFonts w:ascii="Times New Roman" w:hAnsi="Times New Roman"/>
          <w:sz w:val="20"/>
          <w:szCs w:val="20"/>
          <w:lang w:val="en-GB" w:eastAsia="ms-MY"/>
        </w:rPr>
        <w:t xml:space="preserve">U being dissolved with acid in a chemical reaction. It can be said that </w:t>
      </w:r>
      <w:r w:rsidRPr="00FE7A13">
        <w:rPr>
          <w:rFonts w:ascii="Times New Roman" w:hAnsi="Times New Roman"/>
          <w:sz w:val="20"/>
          <w:szCs w:val="20"/>
          <w:vertAlign w:val="superscript"/>
          <w:lang w:val="en-GB" w:eastAsia="ms-MY"/>
        </w:rPr>
        <w:t>238</w:t>
      </w:r>
      <w:r w:rsidRPr="00FE7A13">
        <w:rPr>
          <w:rFonts w:ascii="Times New Roman" w:hAnsi="Times New Roman"/>
          <w:sz w:val="20"/>
          <w:szCs w:val="20"/>
          <w:lang w:val="en-GB" w:eastAsia="ms-MY"/>
        </w:rPr>
        <w:t>U reacts chemically under acidic conditions compared to alkaline conditions</w:t>
      </w:r>
      <w:r w:rsidRPr="00FE7A13">
        <w:rPr>
          <w:rFonts w:ascii="Times New Roman" w:hAnsi="Times New Roman"/>
          <w:sz w:val="20"/>
          <w:szCs w:val="20"/>
          <w:lang w:eastAsia="ms-MY"/>
        </w:rPr>
        <w:t>.</w:t>
      </w: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MY"/>
        </w:rPr>
      </w:pPr>
      <w:r w:rsidRPr="00FE7A13">
        <w:rPr>
          <w:rFonts w:ascii="Times New Roman" w:eastAsia="Calibri" w:hAnsi="Times New Roman"/>
          <w:sz w:val="20"/>
          <w:szCs w:val="20"/>
          <w:lang w:val="en-GB"/>
        </w:rPr>
        <w:t xml:space="preserve">Lynas’ report documented that over 99 %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the feed LC is eliminated to WLP residue and by calcination at temperatures up to 600 °C,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is transformed into refractory and insoluble forms and later discarded into the WLP residue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&lt;EndNote&gt;&lt;Cite&gt;&lt;Author&gt;NTN&lt;/Author&gt;&lt;Year&gt;2012&lt;/Year&gt;&lt;RecNum&gt;13&lt;/RecNum&gt;&lt;DisplayText&gt;[15, 30]&lt;/DisplayText&gt;&lt;record&gt;&lt;rec-number&gt;13&lt;/rec-number&gt;&lt;foreign-keys&gt;&lt;key app="EN" db-id="9dzedx9enatp9deeweuxp2x4wzfs59redfdt" timestamp="1531989771"&gt;13&lt;/key&gt;&lt;/foreign-keys&gt;&lt;ref-type name="Journal Article"&gt;17&lt;/ref-type&gt;&lt;contributors&gt;&lt;authors&gt;&lt;author&gt;National Toxics Network NTN&lt;/author&gt;&lt;/authors&gt;&lt;/contributors&gt;&lt;titles&gt;&lt;title&gt;Rare Earth and Radioactive Waste A Preliminary Waste Stream Assessment of the Lynas Advanced Materials Plant, Gebeng, Malaysia.&lt;/title&gt;&lt;/titles&gt;&lt;dates&gt;&lt;year&gt;2012&lt;/year&gt;&lt;/dates&gt;&lt;urls&gt;&lt;related-urls&gt;&lt;url&gt; http://www.ntn.org.au/wp/wp-content/uploads/2012/04/Lynas-EIA-Assessment-Report-NTN-April-13-final.pdf &lt;/url&gt;&lt;/related-urls&gt;&lt;/urls&gt;&lt;remote-database-name&gt;NTN&lt;/remote-database-name&gt;&lt;/record&gt;&lt;/Cite&gt;&lt;Cite&gt;&lt;Author&gt;Golev&lt;/Author&gt;&lt;Year&gt;2014&lt;/Year&gt;&lt;RecNum&gt;28&lt;/RecNum&gt;&lt;record&gt;&lt;rec-number&gt;28&lt;/rec-number&gt;&lt;foreign-keys&gt;&lt;key app="EN" db-id="9dzedx9enatp9deeweuxp2x4wzfs59redfdt" timestamp="1531989772"&gt;28&lt;/key&gt;&lt;/foreign-keys&gt;&lt;ref-type name="Journal Article"&gt;17&lt;/ref-type&gt;&lt;contributors&gt;&lt;authors&gt;&lt;author&gt;Golev, Artem&lt;/author&gt;&lt;author&gt;Scott, Margaretha&lt;/author&gt;&lt;author&gt;Erskine, Peter D&lt;/author&gt;&lt;author&gt;Ali, Saleem H&lt;/author&gt;&lt;author&gt;Ballantyne, Grant R&lt;/author&gt;&lt;/authors&gt;&lt;/contributors&gt;&lt;titles&gt;&lt;title&gt;Rare earths supply chains: Current status, constraints and opportunities&lt;/title&gt;&lt;secondary-title&gt;Resources Policy&lt;/secondary-title&gt;&lt;/titles&gt;&lt;pages&gt;52-59&lt;/pages&gt;&lt;volume&gt;41&lt;/volume&gt;&lt;dates&gt;&lt;year&gt;2014&lt;/year&gt;&lt;/dates&gt;&lt;isbn&gt;0301-4207&lt;/isbn&gt;&lt;urls&gt;&lt;/urls&gt;&lt;/record&gt;&lt;/Cite&gt;&lt;/EndNote&gt;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15" w:tooltip="NTN, 2012 #13" w:history="1">
        <w:r w:rsidRPr="00FE7A13">
          <w:rPr>
            <w:rFonts w:ascii="Times New Roman" w:eastAsia="Calibri" w:hAnsi="Times New Roman"/>
            <w:noProof/>
            <w:sz w:val="20"/>
            <w:szCs w:val="20"/>
          </w:rPr>
          <w:t>15</w:t>
        </w:r>
      </w:hyperlink>
      <w:r w:rsidRPr="00FE7A13">
        <w:rPr>
          <w:rFonts w:ascii="Times New Roman" w:eastAsia="Calibri" w:hAnsi="Times New Roman"/>
          <w:noProof/>
          <w:sz w:val="20"/>
          <w:szCs w:val="20"/>
        </w:rPr>
        <w:t xml:space="preserve">, </w:t>
      </w:r>
      <w:hyperlink w:anchor="_ENREF_30" w:tooltip="Golev, 2014 #28" w:history="1">
        <w:r w:rsidRPr="00FE7A13">
          <w:rPr>
            <w:rFonts w:ascii="Times New Roman" w:eastAsia="Calibri" w:hAnsi="Times New Roman"/>
            <w:noProof/>
            <w:sz w:val="20"/>
            <w:szCs w:val="20"/>
          </w:rPr>
          <w:t>30</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r w:rsidRPr="00FE7A13">
        <w:rPr>
          <w:rFonts w:ascii="Times New Roman" w:eastAsia="Calibri" w:hAnsi="Times New Roman"/>
          <w:sz w:val="20"/>
          <w:szCs w:val="20"/>
          <w:lang w:val="en-GB"/>
        </w:rPr>
        <w:t xml:space="preserve">The solubility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is very minimal when the pH surpasses 1. </w:t>
      </w:r>
      <w:r w:rsidRPr="00FE7A13">
        <w:rPr>
          <w:rFonts w:ascii="Times New Roman" w:hAnsi="Times New Roman"/>
          <w:sz w:val="20"/>
          <w:szCs w:val="20"/>
          <w:lang w:val="en-GB" w:eastAsia="ms-MY"/>
        </w:rPr>
        <w:t xml:space="preserve">Contrarily, </w:t>
      </w:r>
      <w:r w:rsidRPr="00FE7A13">
        <w:rPr>
          <w:rFonts w:ascii="Times New Roman" w:hAnsi="Times New Roman"/>
          <w:sz w:val="20"/>
          <w:szCs w:val="20"/>
          <w:vertAlign w:val="superscript"/>
          <w:lang w:val="en-GB" w:eastAsia="ms-MY"/>
        </w:rPr>
        <w:t>238</w:t>
      </w:r>
      <w:r w:rsidRPr="00FE7A13">
        <w:rPr>
          <w:rFonts w:ascii="Times New Roman" w:hAnsi="Times New Roman"/>
          <w:sz w:val="20"/>
          <w:szCs w:val="20"/>
          <w:lang w:val="en-GB" w:eastAsia="ms-MY"/>
        </w:rPr>
        <w:t>U solubility is elevated by lowering the pH value</w:t>
      </w:r>
      <w:r w:rsidRPr="00FE7A13">
        <w:rPr>
          <w:rFonts w:ascii="Times New Roman" w:eastAsia="Calibri" w:hAnsi="Times New Roman"/>
          <w:sz w:val="20"/>
          <w:szCs w:val="20"/>
          <w:lang w:val="en-GB"/>
        </w:rPr>
        <w:t xml:space="preserve">. This affects the dissolution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with acid in chemical reactions</w:t>
      </w:r>
      <w:r w:rsidRPr="00FE7A13">
        <w:rPr>
          <w:rFonts w:ascii="Times New Roman" w:eastAsia="Calibri" w:hAnsi="Times New Roman"/>
          <w:sz w:val="20"/>
          <w:szCs w:val="20"/>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&lt;EndNote&gt;&lt;Cite&gt;&lt;Author&gt;Adams&lt;/Author&gt;&lt;Year&gt;1974&lt;/Year&gt;&lt;RecNum&gt;29&lt;/RecNum&gt;&lt;DisplayText&gt;[31, 32]&lt;/DisplayText&gt;&lt;record&gt;&lt;rec-number&gt;29&lt;/rec-number&gt;&lt;foreign-keys&gt;&lt;key app="EN" db-id="9dzedx9enatp9deeweuxp2x4wzfs59redfdt" timestamp="1531989772"&gt;29&lt;/key&gt;&lt;/foreign-keys&gt;&lt;ref-type name="Report"&gt;27&lt;/ref-type&gt;&lt;contributors&gt;&lt;authors&gt;&lt;author&gt;Adams, WH&lt;/author&gt;&lt;author&gt;Buchholz, JR&lt;/author&gt;&lt;author&gt;Christenson, CW&lt;/author&gt;&lt;author&gt;Johnson, GL&lt;/author&gt;&lt;author&gt;Fowler, EB&lt;/author&gt;&lt;/authors&gt;&lt;/contributors&gt;&lt;titles&gt;&lt;title&gt;Studies of plutonium, americium, and uranium in environmental matrices&lt;/title&gt;&lt;/titles&gt;&lt;dates&gt;&lt;year&gt;1974&lt;/year&gt;&lt;/dates&gt;&lt;publisher&gt;Los Alamos Scientific Lab., N. Mex.(USA)&lt;/publisher&gt;&lt;urls&gt;&lt;/urls&gt;&lt;/record&gt;&lt;/Cite&gt;&lt;Cite&gt;&lt;Author&gt;Träber&lt;/Author&gt;&lt;Year&gt;2014&lt;/Year&gt;&lt;RecNum&gt;15&lt;/RecNum&gt;&lt;record&gt;&lt;rec-number&gt;15&lt;/rec-number&gt;&lt;foreign-keys&gt;&lt;key app="EN" db-id="9vt5vtss3axvwoerdfmpxadcasawvp5w5fzf" timestamp="1532000435"&gt;15&lt;/key&gt;&lt;/foreign-keys&gt;&lt;ref-type name="Journal Article"&gt;17&lt;/ref-type&gt;&lt;contributors&gt;&lt;authors&gt;&lt;author&gt;Träber, Stephan C&lt;/author&gt;&lt;author&gt;Höllriegl, Vera&lt;/author&gt;&lt;author&gt;Li, WB&lt;/author&gt;&lt;author&gt;Czeslik, Uta&lt;/author&gt;&lt;author&gt;Rühm, Werner&lt;/author&gt;&lt;author&gt;Oeh, Uwe&lt;/author&gt;&lt;author&gt;Michalke, Bernhard&lt;/author&gt;&lt;/authors&gt;&lt;/contributors&gt;&lt;titles&gt;&lt;title&gt;Estimating the absorption of soil-derived uranium in humans&lt;/title&gt;&lt;secondary-title&gt;Environmental science &amp;amp; technology&lt;/secondary-title&gt;&lt;/titles&gt;&lt;periodical&gt;&lt;full-title&gt;Environmental science &amp;amp; technology&lt;/full-title&gt;&lt;/periodical&gt;&lt;pages&gt;14721-14727&lt;/pages&gt;&lt;volume&gt;48&lt;/volume&gt;&lt;number&gt;24&lt;/number&gt;&lt;dates&gt;&lt;year&gt;2014&lt;/year&gt;&lt;/dates&gt;&lt;isbn&gt;0013-936X&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31" w:tooltip="Adams, 1974 #29" w:history="1">
        <w:r w:rsidRPr="00FE7A13">
          <w:rPr>
            <w:rFonts w:ascii="Times New Roman" w:eastAsia="Calibri" w:hAnsi="Times New Roman"/>
            <w:noProof/>
            <w:sz w:val="20"/>
            <w:szCs w:val="20"/>
          </w:rPr>
          <w:t>31</w:t>
        </w:r>
      </w:hyperlink>
      <w:r w:rsidRPr="00FE7A13">
        <w:rPr>
          <w:rFonts w:ascii="Times New Roman" w:eastAsia="Calibri" w:hAnsi="Times New Roman"/>
          <w:noProof/>
          <w:sz w:val="20"/>
          <w:szCs w:val="20"/>
        </w:rPr>
        <w:t xml:space="preserve">, </w:t>
      </w:r>
      <w:hyperlink w:anchor="_ENREF_32" w:tooltip="Träber, 2014 #15" w:history="1">
        <w:r w:rsidRPr="00FE7A13">
          <w:rPr>
            <w:rFonts w:ascii="Times New Roman" w:eastAsia="Calibri" w:hAnsi="Times New Roman"/>
            <w:noProof/>
            <w:sz w:val="20"/>
            <w:szCs w:val="20"/>
          </w:rPr>
          <w:t>32</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w:t>
      </w:r>
      <w:r w:rsidRPr="00FE7A13">
        <w:rPr>
          <w:rFonts w:ascii="Times New Roman" w:hAnsi="Times New Roman"/>
          <w:sz w:val="20"/>
          <w:szCs w:val="20"/>
          <w:lang w:eastAsia="ms-MY"/>
        </w:rPr>
        <w:t xml:space="preserve"> </w:t>
      </w:r>
      <w:r w:rsidRPr="00FE7A13">
        <w:rPr>
          <w:rFonts w:ascii="Times New Roman" w:hAnsi="Times New Roman"/>
          <w:sz w:val="20"/>
          <w:szCs w:val="20"/>
          <w:vertAlign w:val="superscript"/>
          <w:lang w:val="en-GB" w:eastAsia="ms-MY"/>
        </w:rPr>
        <w:t>238</w:t>
      </w:r>
      <w:r w:rsidRPr="00FE7A13">
        <w:rPr>
          <w:rFonts w:ascii="Times New Roman" w:hAnsi="Times New Roman"/>
          <w:sz w:val="20"/>
          <w:szCs w:val="20"/>
          <w:lang w:val="en-GB" w:eastAsia="ms-MY"/>
        </w:rPr>
        <w:t>U concentrations rely on the intake amount of the soil samples, volume of gastric fluid, and volume of intestinal fluid</w:t>
      </w:r>
      <w:r w:rsidRPr="00FE7A13">
        <w:rPr>
          <w:rFonts w:ascii="Times New Roman" w:hAnsi="Times New Roman"/>
          <w:sz w:val="20"/>
          <w:szCs w:val="20"/>
          <w:lang w:eastAsia="ms-MY"/>
        </w:rPr>
        <w:t xml:space="preserve"> </w:t>
      </w:r>
      <w:r w:rsidRPr="00FE7A13">
        <w:rPr>
          <w:rFonts w:ascii="Times New Roman" w:hAnsi="Times New Roman"/>
          <w:sz w:val="20"/>
          <w:szCs w:val="20"/>
          <w:lang w:eastAsia="ms-MY"/>
        </w:rPr>
        <w:fldChar w:fldCharType="begin"/>
      </w:r>
      <w:r w:rsidRPr="00FE7A13">
        <w:rPr>
          <w:rFonts w:ascii="Times New Roman" w:hAnsi="Times New Roman"/>
          <w:sz w:val="20"/>
          <w:szCs w:val="20"/>
          <w:lang w:eastAsia="ms-MY"/>
        </w:rPr>
        <w:instrText xml:space="preserve"> ADDIN EN.CITE &lt;EndNote&gt;&lt;Cite&gt;&lt;Author&gt;Rashid&lt;/Author&gt;&lt;Year&gt;2015&lt;/Year&gt;&lt;RecNum&gt;31&lt;/RecNum&gt;&lt;DisplayText&gt;[33]&lt;/DisplayText&gt;&lt;record&gt;&lt;rec-number&gt;31&lt;/rec-number&gt;&lt;foreign-keys&gt;&lt;key app="EN" db-id="9dzedx9enatp9deeweuxp2x4wzfs59redfdt" timestamp="1531989773"&gt;31&lt;/key&gt;&lt;/foreign-keys&gt;&lt;ref-type name="Conference Proceedings"&gt;10&lt;/ref-type&gt;&lt;contributors&gt;&lt;authors&gt;&lt;author&gt;Rashid, Nur Shahidah Abdul&lt;/author&gt;&lt;author&gt;Sarmani, Sukiman&lt;/author&gt;&lt;author&gt;Majid, Amran Ab&lt;/author&gt;&lt;author&gt;Mohamed, Faizal&lt;/author&gt;&lt;author&gt;Siong, Khoo Kok&lt;/author&gt;&lt;/authors&gt;&lt;/contributors&gt;&lt;titles&gt;&lt;title&gt;Solubility of 238U radionuclide from various types of soil in synthetic gastrointestinal fluids using “US in vitro” digestion method&lt;/title&gt;&lt;secondary-title&gt;ADVANCING OF NUCLEAR SCIENCE AND ENERGY FOR NATIONAL DEVELOPMENT: Proceedings of the Nuclear Science, Technology, and Engineering Conference 2014 (NuSTEC2014)&lt;/secondary-title&gt;&lt;/titles&gt;&lt;pages&gt;050004&lt;/pages&gt;&lt;volume&gt;1659&lt;/volume&gt;&lt;dates&gt;&lt;year&gt;2015&lt;/year&gt;&lt;/dates&gt;&lt;publisher&gt;AIP Publishing&lt;/publisher&gt;&lt;isbn&gt;0094-243X&lt;/isbn&gt;&lt;urls&gt;&lt;/urls&gt;&lt;/record&gt;&lt;/Cite&gt;&lt;/EndNote&gt;</w:instrText>
      </w:r>
      <w:r w:rsidRPr="00FE7A13">
        <w:rPr>
          <w:rFonts w:ascii="Times New Roman" w:hAnsi="Times New Roman"/>
          <w:sz w:val="20"/>
          <w:szCs w:val="20"/>
          <w:lang w:eastAsia="ms-MY"/>
        </w:rPr>
        <w:fldChar w:fldCharType="separate"/>
      </w:r>
      <w:r w:rsidRPr="00FE7A13">
        <w:rPr>
          <w:rFonts w:ascii="Times New Roman" w:hAnsi="Times New Roman"/>
          <w:noProof/>
          <w:sz w:val="20"/>
          <w:szCs w:val="20"/>
          <w:lang w:eastAsia="ms-MY"/>
        </w:rPr>
        <w:t>[</w:t>
      </w:r>
      <w:hyperlink w:anchor="_ENREF_33" w:tooltip="Rashid, 2015 #31" w:history="1">
        <w:r w:rsidRPr="00FE7A13">
          <w:rPr>
            <w:rFonts w:ascii="Times New Roman" w:hAnsi="Times New Roman"/>
            <w:noProof/>
            <w:sz w:val="20"/>
            <w:szCs w:val="20"/>
            <w:lang w:eastAsia="ms-MY"/>
          </w:rPr>
          <w:t>33</w:t>
        </w:r>
      </w:hyperlink>
      <w:r w:rsidRPr="00FE7A13">
        <w:rPr>
          <w:rFonts w:ascii="Times New Roman" w:hAnsi="Times New Roman"/>
          <w:noProof/>
          <w:sz w:val="20"/>
          <w:szCs w:val="20"/>
          <w:lang w:eastAsia="ms-MY"/>
        </w:rPr>
        <w:t>]</w:t>
      </w:r>
      <w:r w:rsidRPr="00FE7A13">
        <w:rPr>
          <w:rFonts w:ascii="Times New Roman" w:hAnsi="Times New Roman"/>
          <w:sz w:val="20"/>
          <w:szCs w:val="20"/>
          <w:lang w:eastAsia="ms-MY"/>
        </w:rPr>
        <w:fldChar w:fldCharType="end"/>
      </w:r>
      <w:r w:rsidRPr="00FE7A13">
        <w:rPr>
          <w:rFonts w:ascii="Times New Roman" w:hAnsi="Times New Roman"/>
          <w:sz w:val="20"/>
          <w:szCs w:val="20"/>
          <w:lang w:eastAsia="ms-MY"/>
        </w:rPr>
        <w:t xml:space="preserve">. </w:t>
      </w:r>
      <w:r w:rsidRPr="00FE7A13">
        <w:rPr>
          <w:rFonts w:ascii="Times New Roman" w:hAnsi="Times New Roman"/>
          <w:sz w:val="20"/>
          <w:szCs w:val="20"/>
          <w:lang w:val="en-GB" w:eastAsia="ms-MY"/>
        </w:rPr>
        <w:t xml:space="preserve">In addition, the solubility of </w:t>
      </w:r>
      <w:r w:rsidRPr="00FE7A13">
        <w:rPr>
          <w:rFonts w:ascii="Times New Roman" w:hAnsi="Times New Roman"/>
          <w:sz w:val="20"/>
          <w:szCs w:val="20"/>
          <w:vertAlign w:val="superscript"/>
          <w:lang w:val="en-GB" w:eastAsia="ms-MY"/>
        </w:rPr>
        <w:t>238</w:t>
      </w:r>
      <w:r w:rsidRPr="00FE7A13">
        <w:rPr>
          <w:rFonts w:ascii="Times New Roman" w:hAnsi="Times New Roman"/>
          <w:sz w:val="20"/>
          <w:szCs w:val="20"/>
          <w:lang w:val="en-GB" w:eastAsia="ms-MY"/>
        </w:rPr>
        <w:t xml:space="preserve">U shows the amount of </w:t>
      </w:r>
      <w:r w:rsidRPr="00FE7A13">
        <w:rPr>
          <w:rFonts w:ascii="Times New Roman" w:hAnsi="Times New Roman"/>
          <w:sz w:val="20"/>
          <w:szCs w:val="20"/>
          <w:vertAlign w:val="superscript"/>
          <w:lang w:val="en-GB" w:eastAsia="ms-MY"/>
        </w:rPr>
        <w:t>238</w:t>
      </w:r>
      <w:r w:rsidRPr="00FE7A13">
        <w:rPr>
          <w:rFonts w:ascii="Times New Roman" w:hAnsi="Times New Roman"/>
          <w:sz w:val="20"/>
          <w:szCs w:val="20"/>
          <w:lang w:val="en-GB" w:eastAsia="ms-MY"/>
        </w:rPr>
        <w:t xml:space="preserve">U that is dissolvable in gastrointestinal fluids, and it shows an association between concentration and solubility. </w:t>
      </w:r>
      <w:r w:rsidRPr="00FE7A13">
        <w:rPr>
          <w:rFonts w:ascii="Times New Roman" w:eastAsia="Calibri" w:hAnsi="Times New Roman"/>
          <w:sz w:val="20"/>
          <w:szCs w:val="20"/>
          <w:lang w:val="en-GB"/>
        </w:rPr>
        <w:t xml:space="preserve">Table </w:t>
      </w:r>
      <w:r w:rsidRPr="002B1FB6">
        <w:rPr>
          <w:rFonts w:ascii="Times New Roman" w:eastAsia="Calibri" w:hAnsi="Times New Roman"/>
          <w:sz w:val="20"/>
          <w:szCs w:val="20"/>
          <w:lang w:val="en-GB"/>
        </w:rPr>
        <w:t>5</w:t>
      </w:r>
      <w:r w:rsidRPr="002B1FB6">
        <w:rPr>
          <w:rStyle w:val="Hyperlink"/>
          <w:rFonts w:ascii="Times New Roman" w:eastAsia="Calibri" w:hAnsi="Times New Roman"/>
          <w:color w:val="auto"/>
          <w:sz w:val="20"/>
          <w:szCs w:val="20"/>
          <w:u w:val="none"/>
          <w:lang w:val="en-GB"/>
        </w:rPr>
        <w:t xml:space="preserve"> exhibits the maximum concentration of</w:t>
      </w:r>
      <w:r w:rsidRPr="002B1FB6">
        <w:rPr>
          <w:rFonts w:ascii="Times New Roman" w:eastAsia="Calibri" w:hAnsi="Times New Roman"/>
          <w:sz w:val="20"/>
          <w:szCs w:val="20"/>
          <w:lang w:val="en-GB"/>
        </w:rPr>
        <w:t xml:space="preserve"> </w:t>
      </w:r>
      <w:r w:rsidR="002B1FB6">
        <w:rPr>
          <w:rFonts w:ascii="Times New Roman" w:eastAsia="Calibri" w:hAnsi="Times New Roman"/>
          <w:sz w:val="20"/>
          <w:szCs w:val="20"/>
          <w:lang w:val="en-GB"/>
        </w:rPr>
        <w:t xml:space="preserve">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gastrointestinal phase for high-risk cases, which was 0.0558 ± 0.0164 mg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rPr>
        <w:t>.</w:t>
      </w:r>
    </w:p>
    <w:p w:rsidR="00FE7A13" w:rsidRPr="00FE7A13" w:rsidRDefault="00FE7A13" w:rsidP="002B1FB6">
      <w:pPr>
        <w:autoSpaceDE w:val="0"/>
        <w:autoSpaceDN w:val="0"/>
        <w:adjustRightInd w:val="0"/>
        <w:spacing w:after="120" w:line="240" w:lineRule="auto"/>
        <w:jc w:val="center"/>
        <w:rPr>
          <w:rFonts w:ascii="Times New Roman" w:eastAsia="Calibri" w:hAnsi="Times New Roman"/>
          <w:sz w:val="20"/>
          <w:szCs w:val="20"/>
        </w:rPr>
      </w:pPr>
      <w:r w:rsidRPr="00FE7A13">
        <w:rPr>
          <w:rFonts w:ascii="Times New Roman" w:eastAsia="Calibri" w:hAnsi="Times New Roman"/>
          <w:noProof/>
          <w:sz w:val="20"/>
          <w:szCs w:val="20"/>
          <w:lang w:bidi="ar-SA"/>
        </w:rPr>
        <w:lastRenderedPageBreak/>
        <w:drawing>
          <wp:inline distT="0" distB="0" distL="0" distR="0" wp14:anchorId="36E1B4A7" wp14:editId="0BDC354D">
            <wp:extent cx="4320000" cy="2405073"/>
            <wp:effectExtent l="19050" t="19050" r="23495" b="14605"/>
            <wp:docPr id="2" name="Picture 2" descr="C:\Users\SHAHID~1\AppData\Local\Temp\Rar$DI88.912\Fig. 2 (a)  Solubility of 238U in lanthanide concentrate (LC) and water leach purification (WLP) residue during gastric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HID~1\AppData\Local\Temp\Rar$DI88.912\Fig. 2 (a)  Solubility of 238U in lanthanide concentrate (LC) and water leach purification (WLP) residue during gastric phas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2405073"/>
                    </a:xfrm>
                    <a:prstGeom prst="rect">
                      <a:avLst/>
                    </a:prstGeom>
                    <a:noFill/>
                    <a:ln>
                      <a:solidFill>
                        <a:schemeClr val="tx1"/>
                      </a:solidFill>
                    </a:ln>
                  </pic:spPr>
                </pic:pic>
              </a:graphicData>
            </a:graphic>
          </wp:inline>
        </w:drawing>
      </w:r>
    </w:p>
    <w:p w:rsidR="00FE7A13" w:rsidRPr="00FE7A13" w:rsidRDefault="00FE7A13" w:rsidP="0005340B">
      <w:pPr>
        <w:autoSpaceDE w:val="0"/>
        <w:autoSpaceDN w:val="0"/>
        <w:adjustRightInd w:val="0"/>
        <w:spacing w:after="0" w:line="240" w:lineRule="auto"/>
        <w:jc w:val="center"/>
        <w:rPr>
          <w:rFonts w:ascii="Times New Roman" w:eastAsia="Calibri" w:hAnsi="Times New Roman"/>
          <w:sz w:val="20"/>
          <w:szCs w:val="20"/>
        </w:rPr>
      </w:pPr>
      <w:r w:rsidRPr="00FE7A13">
        <w:rPr>
          <w:rFonts w:ascii="Times New Roman" w:eastAsia="Calibri" w:hAnsi="Times New Roman"/>
          <w:sz w:val="20"/>
          <w:szCs w:val="20"/>
        </w:rPr>
        <w:t xml:space="preserve">Figure 3. </w:t>
      </w:r>
      <w:r w:rsidR="002B1FB6">
        <w:rPr>
          <w:rFonts w:ascii="Times New Roman" w:eastAsia="Calibri" w:hAnsi="Times New Roman"/>
          <w:sz w:val="20"/>
          <w:szCs w:val="20"/>
        </w:rPr>
        <w:t xml:space="preserve"> </w:t>
      </w:r>
      <w:r w:rsidRPr="00FE7A13">
        <w:rPr>
          <w:rFonts w:ascii="Times New Roman" w:eastAsia="Calibri" w:hAnsi="Times New Roman"/>
          <w:sz w:val="20"/>
          <w:szCs w:val="20"/>
        </w:rPr>
        <w:t xml:space="preserve">Solubility of </w:t>
      </w:r>
      <w:r w:rsidRPr="00FE7A13">
        <w:rPr>
          <w:rFonts w:ascii="Times New Roman" w:eastAsia="Calibri" w:hAnsi="Times New Roman"/>
          <w:sz w:val="20"/>
          <w:szCs w:val="20"/>
          <w:vertAlign w:val="superscript"/>
        </w:rPr>
        <w:t>238</w:t>
      </w:r>
      <w:r w:rsidRPr="00FE7A13">
        <w:rPr>
          <w:rFonts w:ascii="Times New Roman" w:eastAsia="Calibri" w:hAnsi="Times New Roman"/>
          <w:sz w:val="20"/>
          <w:szCs w:val="20"/>
        </w:rPr>
        <w:t>U in lanthanide concentrate and water leach purification residue during gastric phase</w:t>
      </w:r>
    </w:p>
    <w:p w:rsidR="00FE7A13" w:rsidRDefault="00FE7A13" w:rsidP="00FE7A13">
      <w:pPr>
        <w:autoSpaceDE w:val="0"/>
        <w:autoSpaceDN w:val="0"/>
        <w:adjustRightInd w:val="0"/>
        <w:spacing w:after="0" w:line="240" w:lineRule="auto"/>
        <w:jc w:val="both"/>
        <w:rPr>
          <w:rFonts w:ascii="Times New Roman" w:eastAsia="Calibri" w:hAnsi="Times New Roman"/>
          <w:b/>
          <w:sz w:val="20"/>
          <w:szCs w:val="20"/>
        </w:rPr>
      </w:pPr>
    </w:p>
    <w:p w:rsidR="002B1FB6" w:rsidRPr="00FE7A13" w:rsidRDefault="002B1FB6" w:rsidP="00FE7A13">
      <w:pPr>
        <w:autoSpaceDE w:val="0"/>
        <w:autoSpaceDN w:val="0"/>
        <w:adjustRightInd w:val="0"/>
        <w:spacing w:after="0" w:line="240" w:lineRule="auto"/>
        <w:jc w:val="both"/>
        <w:rPr>
          <w:rFonts w:ascii="Times New Roman" w:eastAsia="Calibri" w:hAnsi="Times New Roman"/>
          <w:b/>
          <w:sz w:val="20"/>
          <w:szCs w:val="20"/>
        </w:rPr>
      </w:pPr>
    </w:p>
    <w:p w:rsidR="00FE7A13" w:rsidRPr="00FE7A13" w:rsidRDefault="00FE7A13" w:rsidP="002B1FB6">
      <w:pPr>
        <w:autoSpaceDE w:val="0"/>
        <w:autoSpaceDN w:val="0"/>
        <w:adjustRightInd w:val="0"/>
        <w:spacing w:after="120" w:line="240" w:lineRule="auto"/>
        <w:jc w:val="center"/>
        <w:rPr>
          <w:rFonts w:ascii="Times New Roman" w:eastAsia="Calibri" w:hAnsi="Times New Roman"/>
          <w:sz w:val="20"/>
          <w:szCs w:val="20"/>
        </w:rPr>
      </w:pPr>
      <w:r w:rsidRPr="00FE7A13">
        <w:rPr>
          <w:rFonts w:ascii="Times New Roman" w:eastAsia="Calibri" w:hAnsi="Times New Roman"/>
          <w:noProof/>
          <w:sz w:val="20"/>
          <w:szCs w:val="20"/>
          <w:lang w:bidi="ar-SA"/>
        </w:rPr>
        <w:drawing>
          <wp:inline distT="0" distB="0" distL="0" distR="0" wp14:anchorId="60DFBD1F" wp14:editId="02672B07">
            <wp:extent cx="4320000" cy="2355058"/>
            <wp:effectExtent l="19050" t="19050" r="23495" b="26670"/>
            <wp:docPr id="3" name="Picture 3" descr="C:\Users\SHAHID~1\AppData\Local\Temp\Rar$DI31.616\Fig. 2 (b)  Solubility of 238U in lanthanide concentrate (LC) and water leach purification (WLP) residue during intestinal pha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HID~1\AppData\Local\Temp\Rar$DI31.616\Fig. 2 (b)  Solubility of 238U in lanthanide concentrate (LC) and water leach purification (WLP) residue during intestinal phase.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2355058"/>
                    </a:xfrm>
                    <a:prstGeom prst="rect">
                      <a:avLst/>
                    </a:prstGeom>
                    <a:noFill/>
                    <a:ln>
                      <a:solidFill>
                        <a:schemeClr val="tx1"/>
                      </a:solidFill>
                    </a:ln>
                  </pic:spPr>
                </pic:pic>
              </a:graphicData>
            </a:graphic>
          </wp:inline>
        </w:drawing>
      </w:r>
    </w:p>
    <w:p w:rsidR="00FE7A13" w:rsidRPr="00FE7A13" w:rsidRDefault="00FE7A13" w:rsidP="002B1FB6">
      <w:pPr>
        <w:autoSpaceDE w:val="0"/>
        <w:autoSpaceDN w:val="0"/>
        <w:adjustRightInd w:val="0"/>
        <w:spacing w:after="0" w:line="240" w:lineRule="auto"/>
        <w:ind w:left="810" w:hanging="810"/>
        <w:rPr>
          <w:rFonts w:ascii="Times New Roman" w:eastAsia="Calibri" w:hAnsi="Times New Roman"/>
          <w:sz w:val="20"/>
          <w:szCs w:val="20"/>
        </w:rPr>
      </w:pPr>
      <w:r w:rsidRPr="00FE7A13">
        <w:rPr>
          <w:rFonts w:ascii="Times New Roman" w:eastAsia="Calibri" w:hAnsi="Times New Roman"/>
          <w:sz w:val="20"/>
          <w:szCs w:val="20"/>
        </w:rPr>
        <w:t xml:space="preserve">Figure 4. </w:t>
      </w:r>
      <w:r w:rsidR="002B1FB6">
        <w:rPr>
          <w:rFonts w:ascii="Times New Roman" w:eastAsia="Calibri" w:hAnsi="Times New Roman"/>
          <w:sz w:val="20"/>
          <w:szCs w:val="20"/>
        </w:rPr>
        <w:tab/>
      </w:r>
      <w:r w:rsidRPr="00FE7A13">
        <w:rPr>
          <w:rFonts w:ascii="Times New Roman" w:eastAsia="Calibri" w:hAnsi="Times New Roman"/>
          <w:sz w:val="20"/>
          <w:szCs w:val="20"/>
        </w:rPr>
        <w:t xml:space="preserve">Solubility of </w:t>
      </w:r>
      <w:r w:rsidRPr="00FE7A13">
        <w:rPr>
          <w:rFonts w:ascii="Times New Roman" w:eastAsia="Calibri" w:hAnsi="Times New Roman"/>
          <w:sz w:val="20"/>
          <w:szCs w:val="20"/>
          <w:vertAlign w:val="superscript"/>
        </w:rPr>
        <w:t>238</w:t>
      </w:r>
      <w:r w:rsidRPr="00FE7A13">
        <w:rPr>
          <w:rFonts w:ascii="Times New Roman" w:eastAsia="Calibri" w:hAnsi="Times New Roman"/>
          <w:sz w:val="20"/>
          <w:szCs w:val="20"/>
        </w:rPr>
        <w:t xml:space="preserve">U in lanthanide concentrate and water leach purification residue during gastrointestinal </w:t>
      </w:r>
    </w:p>
    <w:p w:rsidR="00FE7A13" w:rsidRPr="00FE7A13" w:rsidRDefault="002B1FB6" w:rsidP="002B1FB6">
      <w:pPr>
        <w:autoSpaceDE w:val="0"/>
        <w:autoSpaceDN w:val="0"/>
        <w:adjustRightInd w:val="0"/>
        <w:spacing w:after="0" w:line="240" w:lineRule="auto"/>
        <w:ind w:left="810" w:hanging="810"/>
        <w:jc w:val="both"/>
        <w:rPr>
          <w:rFonts w:ascii="Times New Roman" w:eastAsia="Calibri" w:hAnsi="Times New Roman"/>
          <w:sz w:val="20"/>
          <w:szCs w:val="20"/>
        </w:rPr>
      </w:pPr>
      <w:r>
        <w:rPr>
          <w:rFonts w:ascii="Times New Roman" w:eastAsia="Calibri" w:hAnsi="Times New Roman"/>
          <w:sz w:val="20"/>
          <w:szCs w:val="20"/>
        </w:rPr>
        <w:tab/>
      </w:r>
      <w:r w:rsidR="00FE7A13" w:rsidRPr="00FE7A13">
        <w:rPr>
          <w:rFonts w:ascii="Times New Roman" w:eastAsia="Calibri" w:hAnsi="Times New Roman"/>
          <w:sz w:val="20"/>
          <w:szCs w:val="20"/>
        </w:rPr>
        <w:t>phase</w:t>
      </w:r>
    </w:p>
    <w:p w:rsidR="00FE7A13" w:rsidRPr="00FE7A13" w:rsidRDefault="00FE7A13" w:rsidP="002B1FB6">
      <w:pPr>
        <w:autoSpaceDE w:val="0"/>
        <w:autoSpaceDN w:val="0"/>
        <w:adjustRightInd w:val="0"/>
        <w:spacing w:after="120" w:line="240" w:lineRule="auto"/>
        <w:jc w:val="both"/>
        <w:rPr>
          <w:rFonts w:ascii="Times New Roman" w:eastAsia="Calibri" w:hAnsi="Times New Roman"/>
          <w:sz w:val="20"/>
          <w:szCs w:val="20"/>
        </w:rPr>
      </w:pPr>
    </w:p>
    <w:p w:rsidR="00FE7A13" w:rsidRPr="00FE7A13" w:rsidRDefault="00FE7A13" w:rsidP="00FE7A13">
      <w:pPr>
        <w:autoSpaceDE w:val="0"/>
        <w:autoSpaceDN w:val="0"/>
        <w:adjustRightInd w:val="0"/>
        <w:spacing w:after="0" w:line="240" w:lineRule="auto"/>
        <w:jc w:val="both"/>
        <w:rPr>
          <w:rFonts w:ascii="Times New Roman" w:eastAsia="Calibri" w:hAnsi="Times New Roman"/>
          <w:b/>
          <w:sz w:val="20"/>
          <w:szCs w:val="20"/>
          <w:lang w:val="en-GB"/>
        </w:rPr>
      </w:pPr>
      <w:r w:rsidRPr="00FE7A13">
        <w:rPr>
          <w:rFonts w:ascii="Times New Roman" w:eastAsia="Calibri" w:hAnsi="Times New Roman"/>
          <w:b/>
          <w:sz w:val="20"/>
          <w:szCs w:val="20"/>
          <w:lang w:val="en-GB"/>
        </w:rPr>
        <w:t xml:space="preserve">Specific activity of </w:t>
      </w:r>
      <w:r w:rsidRPr="00FE7A13">
        <w:rPr>
          <w:rFonts w:ascii="Times New Roman" w:eastAsia="Calibri" w:hAnsi="Times New Roman"/>
          <w:b/>
          <w:sz w:val="20"/>
          <w:szCs w:val="20"/>
          <w:vertAlign w:val="superscript"/>
          <w:lang w:val="en-GB"/>
        </w:rPr>
        <w:t>232</w:t>
      </w:r>
      <w:r w:rsidRPr="00FE7A13">
        <w:rPr>
          <w:rFonts w:ascii="Times New Roman" w:eastAsia="Calibri" w:hAnsi="Times New Roman"/>
          <w:b/>
          <w:sz w:val="20"/>
          <w:szCs w:val="20"/>
          <w:lang w:val="en-GB"/>
        </w:rPr>
        <w:t xml:space="preserve">Th and </w:t>
      </w:r>
      <w:r w:rsidRPr="00FE7A13">
        <w:rPr>
          <w:rFonts w:ascii="Times New Roman" w:eastAsia="Calibri" w:hAnsi="Times New Roman"/>
          <w:b/>
          <w:sz w:val="20"/>
          <w:szCs w:val="20"/>
          <w:vertAlign w:val="superscript"/>
          <w:lang w:val="en-GB"/>
        </w:rPr>
        <w:t>238</w:t>
      </w:r>
      <w:r w:rsidRPr="00FE7A13">
        <w:rPr>
          <w:rFonts w:ascii="Times New Roman" w:eastAsia="Calibri" w:hAnsi="Times New Roman"/>
          <w:b/>
          <w:sz w:val="20"/>
          <w:szCs w:val="20"/>
          <w:lang w:val="en-GB"/>
        </w:rPr>
        <w:t>U in the samples</w:t>
      </w:r>
    </w:p>
    <w:p w:rsidR="00FE7A13" w:rsidRPr="00C35904" w:rsidRDefault="00FE7A13" w:rsidP="00FE7A13">
      <w:pPr>
        <w:autoSpaceDE w:val="0"/>
        <w:autoSpaceDN w:val="0"/>
        <w:adjustRightInd w:val="0"/>
        <w:spacing w:after="0" w:line="240" w:lineRule="auto"/>
        <w:jc w:val="both"/>
        <w:rPr>
          <w:rFonts w:ascii="Times New Roman" w:hAnsi="Times New Roman"/>
          <w:sz w:val="20"/>
          <w:szCs w:val="20"/>
          <w:lang w:val="en-MY"/>
        </w:rPr>
      </w:pPr>
      <w:r w:rsidRPr="00FE7A13">
        <w:rPr>
          <w:rFonts w:ascii="Times New Roman" w:hAnsi="Times New Roman"/>
          <w:sz w:val="20"/>
          <w:szCs w:val="20"/>
          <w:lang w:val="en-GB" w:eastAsia="ms-MY"/>
        </w:rPr>
        <w:t xml:space="preserve">Correspondingly, the maximal concentrations of </w:t>
      </w:r>
      <w:r w:rsidRPr="00FE7A13">
        <w:rPr>
          <w:rFonts w:ascii="Times New Roman" w:hAnsi="Times New Roman"/>
          <w:sz w:val="20"/>
          <w:szCs w:val="20"/>
          <w:vertAlign w:val="superscript"/>
          <w:lang w:val="en-GB" w:eastAsia="ms-MY"/>
        </w:rPr>
        <w:t>232</w:t>
      </w:r>
      <w:r w:rsidRPr="00FE7A13">
        <w:rPr>
          <w:rFonts w:ascii="Times New Roman" w:hAnsi="Times New Roman"/>
          <w:sz w:val="20"/>
          <w:szCs w:val="20"/>
          <w:lang w:val="en-GB" w:eastAsia="ms-MY"/>
        </w:rPr>
        <w:t>Th in the LC and WLP residue during the intestinal phase for high-risk cases were 0.1410 ± 0.0331 mg kg</w:t>
      </w:r>
      <w:r w:rsidRPr="00FE7A13">
        <w:rPr>
          <w:rFonts w:ascii="Times New Roman" w:hAnsi="Times New Roman"/>
          <w:sz w:val="20"/>
          <w:szCs w:val="20"/>
          <w:vertAlign w:val="superscript"/>
          <w:lang w:val="en-GB" w:eastAsia="ms-MY"/>
        </w:rPr>
        <w:t>-1</w:t>
      </w:r>
      <w:r w:rsidRPr="00FE7A13">
        <w:rPr>
          <w:rFonts w:ascii="Times New Roman" w:hAnsi="Times New Roman"/>
          <w:sz w:val="20"/>
          <w:szCs w:val="20"/>
          <w:lang w:val="en-GB" w:eastAsia="ms-MY"/>
        </w:rPr>
        <w:t xml:space="preserve"> and 0.1621 ± 0.1190 mg kg</w:t>
      </w:r>
      <w:r w:rsidRPr="00FE7A13">
        <w:rPr>
          <w:rFonts w:ascii="Times New Roman" w:hAnsi="Times New Roman"/>
          <w:sz w:val="20"/>
          <w:szCs w:val="20"/>
          <w:vertAlign w:val="superscript"/>
          <w:lang w:val="en-GB" w:eastAsia="ms-MY"/>
        </w:rPr>
        <w:t>-1</w:t>
      </w:r>
      <w:r w:rsidRPr="00FE7A13">
        <w:rPr>
          <w:rFonts w:ascii="Times New Roman" w:hAnsi="Times New Roman"/>
          <w:sz w:val="20"/>
          <w:szCs w:val="20"/>
          <w:lang w:val="en-GB" w:eastAsia="ms-MY"/>
        </w:rPr>
        <w:t xml:space="preserve">, respectively. Meanwhile, the maximum concentrations of </w:t>
      </w:r>
      <w:r w:rsidRPr="00FE7A13">
        <w:rPr>
          <w:rFonts w:ascii="Times New Roman" w:hAnsi="Times New Roman"/>
          <w:sz w:val="20"/>
          <w:szCs w:val="20"/>
          <w:vertAlign w:val="superscript"/>
          <w:lang w:val="en-GB" w:eastAsia="ms-MY"/>
        </w:rPr>
        <w:t>238</w:t>
      </w:r>
      <w:r w:rsidRPr="00FE7A13">
        <w:rPr>
          <w:rFonts w:ascii="Times New Roman" w:hAnsi="Times New Roman"/>
          <w:sz w:val="20"/>
          <w:szCs w:val="20"/>
          <w:lang w:val="en-GB" w:eastAsia="ms-MY"/>
        </w:rPr>
        <w:t>U in the LC and WLP residue were 0.0558 ± 0.0164 mg kg</w:t>
      </w:r>
      <w:r w:rsidRPr="00FE7A13">
        <w:rPr>
          <w:rFonts w:ascii="Times New Roman" w:hAnsi="Times New Roman"/>
          <w:sz w:val="20"/>
          <w:szCs w:val="20"/>
          <w:vertAlign w:val="superscript"/>
          <w:lang w:val="en-GB" w:eastAsia="ms-MY"/>
        </w:rPr>
        <w:t>-1</w:t>
      </w:r>
      <w:r w:rsidRPr="00FE7A13">
        <w:rPr>
          <w:rFonts w:ascii="Times New Roman" w:hAnsi="Times New Roman"/>
          <w:sz w:val="20"/>
          <w:szCs w:val="20"/>
          <w:lang w:val="en-GB" w:eastAsia="ms-MY"/>
        </w:rPr>
        <w:t xml:space="preserve"> and 0.0480 ± 0.0213 mg kg</w:t>
      </w:r>
      <w:r w:rsidRPr="00FE7A13">
        <w:rPr>
          <w:rFonts w:ascii="Times New Roman" w:hAnsi="Times New Roman"/>
          <w:sz w:val="20"/>
          <w:szCs w:val="20"/>
          <w:vertAlign w:val="superscript"/>
          <w:lang w:val="en-GB" w:eastAsia="ms-MY"/>
        </w:rPr>
        <w:t>-1</w:t>
      </w:r>
      <w:r w:rsidRPr="00FE7A13">
        <w:rPr>
          <w:rFonts w:ascii="Times New Roman" w:hAnsi="Times New Roman"/>
          <w:sz w:val="20"/>
          <w:szCs w:val="20"/>
          <w:lang w:val="en-GB" w:eastAsia="ms-MY"/>
        </w:rPr>
        <w:t xml:space="preserve">, respectively, during the intestinal phase for high-risk cases. </w:t>
      </w:r>
      <w:r w:rsidRPr="00FE7A13">
        <w:rPr>
          <w:rFonts w:ascii="Times New Roman" w:eastAsia="Calibri" w:hAnsi="Times New Roman"/>
          <w:sz w:val="20"/>
          <w:szCs w:val="20"/>
          <w:lang w:val="en-GB"/>
        </w:rPr>
        <w:t xml:space="preserve">During this study, maximum values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solubility were recorded to diagnose high-risk cases. Table </w:t>
      </w:r>
      <w:r w:rsidRPr="00940B17">
        <w:rPr>
          <w:rFonts w:ascii="Times New Roman" w:eastAsia="Calibri" w:hAnsi="Times New Roman"/>
          <w:sz w:val="20"/>
          <w:szCs w:val="20"/>
          <w:lang w:val="en-GB"/>
        </w:rPr>
        <w:t>6</w:t>
      </w:r>
      <w:r w:rsidRPr="00940B17">
        <w:rPr>
          <w:rStyle w:val="Hyperlink"/>
          <w:rFonts w:ascii="Times New Roman" w:eastAsia="Calibri" w:hAnsi="Times New Roman"/>
          <w:sz w:val="20"/>
          <w:szCs w:val="20"/>
          <w:u w:val="none"/>
          <w:lang w:val="en-GB"/>
        </w:rPr>
        <w:t xml:space="preserve"> </w:t>
      </w:r>
      <w:r w:rsidRPr="00940B17">
        <w:rPr>
          <w:rStyle w:val="Hyperlink"/>
          <w:rFonts w:ascii="Times New Roman" w:eastAsia="Calibri" w:hAnsi="Times New Roman"/>
          <w:color w:val="auto"/>
          <w:sz w:val="20"/>
          <w:szCs w:val="20"/>
          <w:u w:val="none"/>
          <w:lang w:val="en-GB"/>
        </w:rPr>
        <w:t xml:space="preserve">and Table 7 present </w:t>
      </w:r>
      <w:r w:rsidRPr="00FE7A13">
        <w:rPr>
          <w:rFonts w:ascii="Times New Roman" w:eastAsia="Calibri" w:hAnsi="Times New Roman"/>
          <w:sz w:val="20"/>
          <w:szCs w:val="20"/>
          <w:lang w:val="en-GB"/>
        </w:rPr>
        <w:t xml:space="preserve">the daily and annual intakes, as well as the daily and annual specific activities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LC and WLP residue during the gastrointestinal phase.</w:t>
      </w:r>
      <w:r w:rsidRPr="00FE7A13">
        <w:rPr>
          <w:rFonts w:ascii="Times New Roman" w:eastAsia="Calibri" w:hAnsi="Times New Roman"/>
          <w:b/>
          <w:sz w:val="20"/>
          <w:szCs w:val="20"/>
          <w:lang w:val="en-GB"/>
        </w:rPr>
        <w:t xml:space="preserve"> </w:t>
      </w:r>
      <w:r w:rsidRPr="00FE7A13">
        <w:rPr>
          <w:rFonts w:ascii="Times New Roman" w:hAnsi="Times New Roman"/>
          <w:sz w:val="20"/>
          <w:szCs w:val="20"/>
          <w:lang w:val="en-GB"/>
        </w:rPr>
        <w:t xml:space="preserve">In the report of the Agency for Toxic Substances and Disease Registry (ATSDR) of 1990, </w:t>
      </w:r>
      <w:r w:rsidRPr="00FE7A13">
        <w:rPr>
          <w:rFonts w:ascii="Times New Roman" w:eastAsia="Calibri" w:hAnsi="Times New Roman"/>
          <w:sz w:val="20"/>
          <w:szCs w:val="20"/>
          <w:lang w:val="en-GB"/>
        </w:rPr>
        <w:t>the daily intake of Th from food and water ingestion was 0.0023 μg kg</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Based on Table 6, it can be seen that the daily intake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was lower than the ATSDR reference level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&lt;EndNote&gt;&lt;Cite&gt;&lt;Author&gt;ATSDR&lt;/Author&gt;&lt;Year&gt;1990&lt;/Year&gt;&lt;RecNum&gt;25&lt;/RecNum&gt;&lt;DisplayText&gt;[34]&lt;/DisplayText&gt;&lt;record&gt;&lt;rec-number&gt;25&lt;/rec-number&gt;&lt;foreign-keys&gt;&lt;key app="EN" db-id="swr9aa0fctvwziet5pxv0ffgx2e2ssd59sv2"&gt;25&lt;/key&gt;&lt;/foreign-keys&gt;&lt;ref-type name="Journal Article"&gt;17&lt;/ref-type&gt;&lt;contributors&gt;&lt;authors&gt;&lt;author&gt; Agency for Toxic Substances and Disease Registry ATSDR&lt;/author&gt;&lt;/authors&gt;&lt;/contributors&gt;&lt;titles&gt;&lt;title&gt;Public Health Statement for Thorium&lt;/title&gt;&lt;/titles&gt;&lt;dates&gt;&lt;year&gt;1990&lt;/year&gt;&lt;/dates&gt;&lt;urls&gt;&lt;related-urls&gt;&lt;url&gt;http://www.atsdr.cdc.gov/toxprofiles/tp147.pdf&lt;/url&gt;&lt;/related-urls&gt;&lt;/urls&gt;&lt;/record&gt;&lt;/Cite&gt;&lt;/EndNote&gt;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34" w:tooltip="ATSDR, 1990 #25" w:history="1">
        <w:r w:rsidRPr="00FE7A13">
          <w:rPr>
            <w:rFonts w:ascii="Times New Roman" w:eastAsia="Calibri" w:hAnsi="Times New Roman"/>
            <w:noProof/>
            <w:sz w:val="20"/>
            <w:szCs w:val="20"/>
            <w:lang w:val="en-MY"/>
          </w:rPr>
          <w:t>34</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w:t>
      </w:r>
      <w:r w:rsidRPr="00FE7A13">
        <w:rPr>
          <w:rFonts w:ascii="Times New Roman" w:eastAsia="Calibri" w:hAnsi="Times New Roman"/>
          <w:sz w:val="20"/>
          <w:szCs w:val="20"/>
        </w:rPr>
        <w:t xml:space="preserve"> </w:t>
      </w:r>
      <w:bookmarkStart w:id="24" w:name="_Hlk521084722"/>
      <w:r w:rsidRPr="00FE7A13">
        <w:rPr>
          <w:rFonts w:ascii="Times New Roman" w:eastAsia="Calibri" w:hAnsi="Times New Roman"/>
          <w:sz w:val="20"/>
          <w:szCs w:val="20"/>
          <w:lang w:val="en-GB"/>
        </w:rPr>
        <w:t xml:space="preserve">The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day-to-day intake was below the minimal risk level for intermediate-duration ingestion where the recommended oral uptakes are 0.00</w:t>
      </w:r>
      <w:r w:rsidRPr="00FE7A13">
        <w:rPr>
          <w:rFonts w:ascii="Times New Roman" w:eastAsia="Calibri" w:hAnsi="Times New Roman"/>
          <w:bCs/>
          <w:sz w:val="20"/>
          <w:szCs w:val="20"/>
          <w:lang w:val="en-GB"/>
        </w:rPr>
        <w:t>20 mg kg</w:t>
      </w:r>
      <w:r w:rsidRPr="00FE7A13">
        <w:rPr>
          <w:rFonts w:ascii="Times New Roman" w:eastAsia="Calibri" w:hAnsi="Times New Roman"/>
          <w:bCs/>
          <w:sz w:val="20"/>
          <w:szCs w:val="20"/>
          <w:vertAlign w:val="superscript"/>
          <w:lang w:val="en-GB"/>
        </w:rPr>
        <w:t>-1</w:t>
      </w:r>
      <w:r w:rsidRPr="00FE7A13">
        <w:rPr>
          <w:rFonts w:ascii="Times New Roman" w:eastAsia="Calibri" w:hAnsi="Times New Roman"/>
          <w:bCs/>
          <w:sz w:val="20"/>
          <w:szCs w:val="20"/>
          <w:lang w:val="en-GB"/>
        </w:rPr>
        <w:t xml:space="preserve"> </w:t>
      </w:r>
      <w:bookmarkEnd w:id="24"/>
      <w:r w:rsidRPr="00FE7A13">
        <w:rPr>
          <w:rFonts w:ascii="Times New Roman" w:eastAsia="Calibri" w:hAnsi="Times New Roman"/>
          <w:bCs/>
          <w:sz w:val="20"/>
          <w:szCs w:val="20"/>
          <w:lang w:val="en-GB"/>
        </w:rPr>
        <w:t>d</w:t>
      </w:r>
      <w:r w:rsidRPr="00FE7A13">
        <w:rPr>
          <w:rFonts w:ascii="Times New Roman" w:eastAsia="Calibri" w:hAnsi="Times New Roman"/>
          <w:sz w:val="20"/>
          <w:szCs w:val="20"/>
          <w:lang w:val="en-GB"/>
        </w:rPr>
        <w:t>ay</w:t>
      </w:r>
      <w:r w:rsidRPr="00FE7A13">
        <w:rPr>
          <w:rFonts w:ascii="Times New Roman" w:eastAsia="Calibri" w:hAnsi="Times New Roman"/>
          <w:sz w:val="20"/>
          <w:szCs w:val="20"/>
          <w:vertAlign w:val="superscript"/>
          <w:lang w:val="en-GB"/>
        </w:rPr>
        <w:t>-1</w:t>
      </w:r>
      <w:r w:rsidRPr="00FE7A13">
        <w:rPr>
          <w:rFonts w:ascii="Times New Roman" w:eastAsia="Calibri" w:hAnsi="Times New Roman"/>
          <w:bCs/>
          <w:sz w:val="20"/>
          <w:szCs w:val="20"/>
          <w:lang w:val="en-GB"/>
        </w:rPr>
        <w:t xml:space="preserve">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&lt;EndNote&gt;&lt;Cite&gt;&lt;Author&gt;ATSDR&lt;/Author&gt;&lt;Year&gt;1999&lt;/Year&gt;&lt;RecNum&gt;63&lt;/RecNum&gt;&lt;DisplayText&gt;[35]&lt;/DisplayText&gt;&lt;record&gt;&lt;rec-number&gt;63&lt;/rec-number&gt;&lt;foreign-keys&gt;&lt;key app="EN" db-id="swr9aa0fctvwziet5pxv0ffgx2e2ssd59sv2"&gt;63&lt;/key&gt;&lt;/foreign-keys&gt;&lt;ref-type name="Journal Article"&gt;17&lt;/ref-type&gt;&lt;contributors&gt;&lt;authors&gt;&lt;author&gt;Agency for Toxic Substances and Disease Registry  ATSDR&lt;/author&gt;&lt;/authors&gt;&lt;/contributors&gt;&lt;titles&gt;&lt;title&gt;Toxicological Profile : Uranium&lt;/title&gt;&lt;/titles&gt;&lt;dates&gt;&lt;year&gt;1999&lt;/year&gt;&lt;/dates&gt;&lt;urls&gt;&lt;related-urls&gt;&lt;url&gt;http://www.atsdr.cdc.gov/toxprofiles/tp150.pdf&lt;/url&gt;&lt;/related-urls&gt;&lt;/urls&gt;&lt;/record&gt;&lt;/Cite&gt;&lt;/EndNote&gt;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35" w:tooltip="ATSDR, 1999 #63" w:history="1">
        <w:r w:rsidRPr="00FE7A13">
          <w:rPr>
            <w:rFonts w:ascii="Times New Roman" w:eastAsia="Calibri" w:hAnsi="Times New Roman"/>
            <w:noProof/>
            <w:sz w:val="20"/>
            <w:szCs w:val="20"/>
            <w:lang w:val="en-MY"/>
          </w:rPr>
          <w:t>35</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 xml:space="preserve">, </w:t>
      </w:r>
      <w:r w:rsidRPr="00FE7A13">
        <w:rPr>
          <w:rFonts w:ascii="Times New Roman" w:hAnsi="Times New Roman"/>
          <w:bCs/>
          <w:sz w:val="20"/>
          <w:szCs w:val="20"/>
          <w:lang w:val="en-MY"/>
        </w:rPr>
        <w:t xml:space="preserve">0.0007 </w:t>
      </w:r>
      <w:r w:rsidRPr="00FE7A13">
        <w:rPr>
          <w:rFonts w:ascii="Times New Roman" w:eastAsia="Calibri" w:hAnsi="Times New Roman"/>
          <w:bCs/>
          <w:sz w:val="20"/>
          <w:szCs w:val="20"/>
          <w:lang w:val="en-MY"/>
        </w:rPr>
        <w:t>mg kg</w:t>
      </w:r>
      <w:r w:rsidRPr="00FE7A13">
        <w:rPr>
          <w:rFonts w:ascii="Times New Roman" w:eastAsia="Calibri" w:hAnsi="Times New Roman"/>
          <w:bCs/>
          <w:sz w:val="20"/>
          <w:szCs w:val="20"/>
          <w:vertAlign w:val="superscript"/>
          <w:lang w:val="en-MY"/>
        </w:rPr>
        <w:t>-1</w:t>
      </w:r>
      <w:r w:rsidRPr="00FE7A13">
        <w:rPr>
          <w:rFonts w:ascii="Times New Roman" w:eastAsia="Calibri" w:hAnsi="Times New Roman"/>
          <w:bCs/>
          <w:sz w:val="20"/>
          <w:szCs w:val="20"/>
          <w:lang w:val="en-MY"/>
        </w:rPr>
        <w:t xml:space="preserve"> day</w:t>
      </w:r>
      <w:r w:rsidRPr="00FE7A13">
        <w:rPr>
          <w:rFonts w:ascii="Times New Roman" w:eastAsia="Calibri" w:hAnsi="Times New Roman"/>
          <w:bCs/>
          <w:sz w:val="20"/>
          <w:szCs w:val="20"/>
          <w:vertAlign w:val="superscript"/>
          <w:lang w:val="en-MY"/>
        </w:rPr>
        <w:t>-1</w:t>
      </w:r>
      <w:r w:rsidRPr="00FE7A13">
        <w:rPr>
          <w:rFonts w:ascii="Times New Roman" w:hAnsi="Times New Roman"/>
          <w:sz w:val="20"/>
          <w:szCs w:val="20"/>
          <w:lang w:val="en-MY"/>
        </w:rPr>
        <w:t xml:space="preserve"> </w:t>
      </w:r>
      <w:r w:rsidRPr="00FE7A13">
        <w:rPr>
          <w:rFonts w:ascii="Times New Roman" w:hAnsi="Times New Roman"/>
          <w:sz w:val="20"/>
          <w:szCs w:val="20"/>
          <w:lang w:val="en-MY"/>
        </w:rPr>
        <w:fldChar w:fldCharType="begin"/>
      </w:r>
      <w:r w:rsidRPr="00FE7A13">
        <w:rPr>
          <w:rFonts w:ascii="Times New Roman" w:hAnsi="Times New Roman"/>
          <w:sz w:val="20"/>
          <w:szCs w:val="20"/>
          <w:lang w:val="en-MY"/>
        </w:rPr>
        <w:instrText xml:space="preserve"> ADDIN EN.CITE &lt;EndNote&gt;&lt;Cite&gt;&lt;Author&gt;Jacob&lt;/Author&gt;&lt;Year&gt;1997&lt;/Year&gt;&lt;RecNum&gt;64&lt;/RecNum&gt;&lt;DisplayText&gt;[36]&lt;/DisplayText&gt;&lt;record&gt;&lt;rec-number&gt;64&lt;/rec-number&gt;&lt;foreign-keys&gt;&lt;key app="EN" db-id="swr9aa0fctvwziet5pxv0ffgx2e2ssd59sv2"&gt;64&lt;/key&gt;&lt;/foreign-keys&gt;&lt;ref-type name="Book"&gt;6&lt;/ref-type&gt;&lt;contributors&gt;&lt;authors&gt;&lt;author&gt;Jacob, Peter&lt;/author&gt;&lt;author&gt;Pröhl, Gerhard&lt;/author&gt;&lt;author&gt;Schneider, Klaus&lt;/author&gt;&lt;author&gt;Voß, JU&lt;/author&gt;&lt;/authors&gt;&lt;/contributors&gt;&lt;titles&gt;&lt;title&gt;Machbarkeitsstudie zur Verknüpfung der Bewertung radiologischer und chemisch-toxischer Wirkungen von Altlasten&lt;/title&gt;&lt;/titles&gt;&lt;dates&gt;&lt;year&gt;1997&lt;/year&gt;&lt;/dates&gt;&lt;publisher&gt;Inst. für Strahlenschutz&lt;/publisher&gt;&lt;urls&gt;&lt;/urls&gt;&lt;/record&gt;&lt;/Cite&gt;&lt;/EndNote&gt;</w:instrText>
      </w:r>
      <w:r w:rsidRPr="00FE7A13">
        <w:rPr>
          <w:rFonts w:ascii="Times New Roman" w:hAnsi="Times New Roman"/>
          <w:sz w:val="20"/>
          <w:szCs w:val="20"/>
          <w:lang w:val="en-MY"/>
        </w:rPr>
        <w:fldChar w:fldCharType="separate"/>
      </w:r>
      <w:r w:rsidRPr="00FE7A13">
        <w:rPr>
          <w:rFonts w:ascii="Times New Roman" w:hAnsi="Times New Roman"/>
          <w:noProof/>
          <w:sz w:val="20"/>
          <w:szCs w:val="20"/>
          <w:lang w:val="en-MY"/>
        </w:rPr>
        <w:t>[</w:t>
      </w:r>
      <w:hyperlink w:anchor="_ENREF_36" w:tooltip="Jacob, 1997 #64" w:history="1">
        <w:r w:rsidRPr="00FE7A13">
          <w:rPr>
            <w:rFonts w:ascii="Times New Roman" w:hAnsi="Times New Roman"/>
            <w:noProof/>
            <w:sz w:val="20"/>
            <w:szCs w:val="20"/>
            <w:lang w:val="en-MY"/>
          </w:rPr>
          <w:t>36</w:t>
        </w:r>
      </w:hyperlink>
      <w:r w:rsidRPr="00FE7A13">
        <w:rPr>
          <w:rFonts w:ascii="Times New Roman" w:hAnsi="Times New Roman"/>
          <w:noProof/>
          <w:sz w:val="20"/>
          <w:szCs w:val="20"/>
          <w:lang w:val="en-MY"/>
        </w:rPr>
        <w:t>]</w:t>
      </w:r>
      <w:r w:rsidRPr="00FE7A13">
        <w:rPr>
          <w:rFonts w:ascii="Times New Roman" w:hAnsi="Times New Roman"/>
          <w:sz w:val="20"/>
          <w:szCs w:val="20"/>
          <w:lang w:val="en-MY"/>
        </w:rPr>
        <w:fldChar w:fldCharType="end"/>
      </w:r>
      <w:r w:rsidRPr="00FE7A13">
        <w:rPr>
          <w:rFonts w:ascii="Times New Roman" w:hAnsi="Times New Roman"/>
          <w:sz w:val="20"/>
          <w:szCs w:val="20"/>
          <w:lang w:val="en-MY"/>
        </w:rPr>
        <w:t xml:space="preserve">, </w:t>
      </w:r>
      <w:r w:rsidRPr="00FE7A13">
        <w:rPr>
          <w:rFonts w:ascii="Times New Roman" w:hAnsi="Times New Roman"/>
          <w:bCs/>
          <w:sz w:val="20"/>
          <w:szCs w:val="20"/>
          <w:lang w:val="en-MY"/>
        </w:rPr>
        <w:t xml:space="preserve">0.0006 </w:t>
      </w:r>
      <w:r w:rsidRPr="00FE7A13">
        <w:rPr>
          <w:rFonts w:ascii="Times New Roman" w:eastAsia="Calibri" w:hAnsi="Times New Roman"/>
          <w:bCs/>
          <w:sz w:val="20"/>
          <w:szCs w:val="20"/>
          <w:lang w:val="en-MY"/>
        </w:rPr>
        <w:t>mg kg</w:t>
      </w:r>
      <w:r w:rsidRPr="00FE7A13">
        <w:rPr>
          <w:rFonts w:ascii="Times New Roman" w:eastAsia="Calibri" w:hAnsi="Times New Roman"/>
          <w:bCs/>
          <w:sz w:val="20"/>
          <w:szCs w:val="20"/>
          <w:vertAlign w:val="superscript"/>
          <w:lang w:val="en-MY"/>
        </w:rPr>
        <w:t>-1</w:t>
      </w:r>
      <w:r w:rsidRPr="00FE7A13">
        <w:rPr>
          <w:rFonts w:ascii="Times New Roman" w:eastAsia="Calibri" w:hAnsi="Times New Roman"/>
          <w:bCs/>
          <w:sz w:val="20"/>
          <w:szCs w:val="20"/>
          <w:lang w:val="en-MY"/>
        </w:rPr>
        <w:t xml:space="preserve"> d</w:t>
      </w:r>
      <w:r w:rsidRPr="00FE7A13">
        <w:rPr>
          <w:rFonts w:ascii="Times New Roman" w:eastAsia="Calibri" w:hAnsi="Times New Roman"/>
          <w:sz w:val="20"/>
          <w:szCs w:val="20"/>
          <w:lang w:val="en-MY"/>
        </w:rPr>
        <w:t>ay</w:t>
      </w:r>
      <w:r w:rsidRPr="00FE7A13">
        <w:rPr>
          <w:rFonts w:ascii="Times New Roman" w:eastAsia="Calibri" w:hAnsi="Times New Roman"/>
          <w:sz w:val="20"/>
          <w:szCs w:val="20"/>
          <w:vertAlign w:val="superscript"/>
          <w:lang w:val="en-MY"/>
        </w:rPr>
        <w:t>-1</w:t>
      </w:r>
      <w:r w:rsidRPr="00FE7A13">
        <w:rPr>
          <w:rFonts w:ascii="Times New Roman" w:eastAsia="Calibri" w:hAnsi="Times New Roman"/>
          <w:sz w:val="20"/>
          <w:szCs w:val="20"/>
          <w:lang w:val="en-MY"/>
        </w:rPr>
        <w:t xml:space="preserve"> </w:t>
      </w:r>
      <w:r w:rsidRPr="00FE7A13">
        <w:rPr>
          <w:rFonts w:ascii="Times New Roman" w:hAnsi="Times New Roman"/>
          <w:sz w:val="20"/>
          <w:szCs w:val="20"/>
          <w:lang w:val="en-MY"/>
        </w:rPr>
        <w:fldChar w:fldCharType="begin"/>
      </w:r>
      <w:r w:rsidRPr="00FE7A13">
        <w:rPr>
          <w:rFonts w:ascii="Times New Roman" w:hAnsi="Times New Roman"/>
          <w:sz w:val="20"/>
          <w:szCs w:val="20"/>
          <w:lang w:val="en-MY"/>
        </w:rPr>
        <w:instrText xml:space="preserve"> ADDIN EN.CITE &lt;EndNote&gt;&lt;Cite&gt;&lt;Author&gt;WHO&lt;/Author&gt;&lt;Year&gt;1998 &lt;/Year&gt;&lt;RecNum&gt;65&lt;/RecNum&gt;&lt;DisplayText&gt;[37, 38]&lt;/DisplayText&gt;&lt;record&gt;&lt;rec-number&gt;65&lt;/rec-number&gt;&lt;foreign-keys&gt;&lt;key app="EN" db-id="swr9aa0fctvwziet5pxv0ffgx2e2ssd59sv2"&gt;65&lt;/key&gt;&lt;/foreign-keys&gt;&lt;ref-type name="Journal Article"&gt;17&lt;/ref-type&gt;&lt;contributors&gt;&lt;authors&gt;&lt;author&gt; World Health Organization WHO&lt;/author&gt;&lt;/authors&gt;&lt;/contributors&gt;&lt;titles&gt;&lt;title&gt;Guidelines for Drinking-water Quality, Second edition, Addendum to Volume 2: Health Criteria and Other Supporting Information, WHO/EOS/98.1, Geneva 1998, 283 p.&lt;/title&gt;&lt;/titles&gt;&lt;dates&gt;&lt;year&gt;1998 &lt;/year&gt;&lt;/dates&gt;&lt;urls&gt;&lt;/urls&gt;&lt;/record&gt;&lt;/Cite&gt;&lt;Cite&gt;&lt;Author&gt;WHO&lt;/Author&gt;&lt;Year&gt;2003&lt;/Year&gt;&lt;RecNum&gt;36&lt;/RecNum&gt;&lt;record&gt;&lt;rec-number&gt;36&lt;/rec-number&gt;&lt;foreign-keys&gt;&lt;key app="EN" db-id="9dzedx9enatp9deeweuxp2x4wzfs59redfdt" timestamp="1531989773"&gt;36&lt;/key&gt;&lt;/foreign-keys&gt;&lt;ref-type name="Journal Article"&gt;17&lt;/ref-type&gt;&lt;contributors&gt;&lt;authors&gt;&lt;author&gt;World Health Organization WHO&lt;/author&gt;&lt;/authors&gt;&lt;/contributors&gt;&lt;titles&gt;&lt;title&gt; Guidelines for Drinking Water Quality, Third edition&lt;/title&gt;&lt;/titles&gt;&lt;dates&gt;&lt;year&gt;2003&lt;/year&gt;&lt;/dates&gt;&lt;urls&gt;&lt;/urls&gt;&lt;/record&gt;&lt;/Cite&gt;&lt;/EndNote&gt;</w:instrText>
      </w:r>
      <w:r w:rsidRPr="00FE7A13">
        <w:rPr>
          <w:rFonts w:ascii="Times New Roman" w:hAnsi="Times New Roman"/>
          <w:sz w:val="20"/>
          <w:szCs w:val="20"/>
          <w:lang w:val="en-MY"/>
        </w:rPr>
        <w:fldChar w:fldCharType="separate"/>
      </w:r>
      <w:r w:rsidRPr="00FE7A13">
        <w:rPr>
          <w:rFonts w:ascii="Times New Roman" w:hAnsi="Times New Roman"/>
          <w:noProof/>
          <w:sz w:val="20"/>
          <w:szCs w:val="20"/>
          <w:lang w:val="en-MY"/>
        </w:rPr>
        <w:t>[</w:t>
      </w:r>
      <w:hyperlink w:anchor="_ENREF_37" w:tooltip="WHO, 1998  #65" w:history="1">
        <w:r w:rsidRPr="00FE7A13">
          <w:rPr>
            <w:rFonts w:ascii="Times New Roman" w:hAnsi="Times New Roman"/>
            <w:noProof/>
            <w:sz w:val="20"/>
            <w:szCs w:val="20"/>
            <w:lang w:val="en-MY"/>
          </w:rPr>
          <w:t>37</w:t>
        </w:r>
      </w:hyperlink>
      <w:r w:rsidRPr="00FE7A13">
        <w:rPr>
          <w:rFonts w:ascii="Times New Roman" w:hAnsi="Times New Roman"/>
          <w:noProof/>
          <w:sz w:val="20"/>
          <w:szCs w:val="20"/>
          <w:lang w:val="en-MY"/>
        </w:rPr>
        <w:t xml:space="preserve">, </w:t>
      </w:r>
      <w:hyperlink w:anchor="_ENREF_38" w:tooltip="WHO, 2003 #36" w:history="1">
        <w:r w:rsidRPr="00FE7A13">
          <w:rPr>
            <w:rFonts w:ascii="Times New Roman" w:hAnsi="Times New Roman"/>
            <w:noProof/>
            <w:sz w:val="20"/>
            <w:szCs w:val="20"/>
            <w:lang w:val="en-MY"/>
          </w:rPr>
          <w:t>38</w:t>
        </w:r>
      </w:hyperlink>
      <w:r w:rsidRPr="00FE7A13">
        <w:rPr>
          <w:rFonts w:ascii="Times New Roman" w:hAnsi="Times New Roman"/>
          <w:noProof/>
          <w:sz w:val="20"/>
          <w:szCs w:val="20"/>
          <w:lang w:val="en-MY"/>
        </w:rPr>
        <w:t>]</w:t>
      </w:r>
      <w:r w:rsidRPr="00FE7A13">
        <w:rPr>
          <w:rFonts w:ascii="Times New Roman" w:hAnsi="Times New Roman"/>
          <w:sz w:val="20"/>
          <w:szCs w:val="20"/>
          <w:lang w:val="en-MY"/>
        </w:rPr>
        <w:fldChar w:fldCharType="end"/>
      </w:r>
      <w:r w:rsidRPr="00FE7A13">
        <w:rPr>
          <w:rFonts w:ascii="Times New Roman" w:hAnsi="Times New Roman"/>
          <w:sz w:val="20"/>
          <w:szCs w:val="20"/>
          <w:lang w:val="en-MY"/>
        </w:rPr>
        <w:t xml:space="preserve">, and </w:t>
      </w:r>
      <w:r w:rsidRPr="00FE7A13">
        <w:rPr>
          <w:rFonts w:ascii="Times New Roman" w:hAnsi="Times New Roman"/>
          <w:bCs/>
          <w:sz w:val="20"/>
          <w:szCs w:val="20"/>
          <w:lang w:val="en-MY"/>
        </w:rPr>
        <w:t xml:space="preserve">0.0002 </w:t>
      </w:r>
      <w:r w:rsidRPr="00FE7A13">
        <w:rPr>
          <w:rFonts w:ascii="Times New Roman" w:eastAsia="Calibri" w:hAnsi="Times New Roman"/>
          <w:bCs/>
          <w:sz w:val="20"/>
          <w:szCs w:val="20"/>
          <w:lang w:val="en-MY"/>
        </w:rPr>
        <w:t>mg kg</w:t>
      </w:r>
      <w:r w:rsidRPr="00FE7A13">
        <w:rPr>
          <w:rFonts w:ascii="Times New Roman" w:eastAsia="Calibri" w:hAnsi="Times New Roman"/>
          <w:bCs/>
          <w:sz w:val="20"/>
          <w:szCs w:val="20"/>
          <w:vertAlign w:val="superscript"/>
          <w:lang w:val="en-MY"/>
        </w:rPr>
        <w:t>-1</w:t>
      </w:r>
      <w:r w:rsidRPr="00FE7A13">
        <w:rPr>
          <w:rFonts w:ascii="Times New Roman" w:eastAsia="Calibri" w:hAnsi="Times New Roman"/>
          <w:bCs/>
          <w:sz w:val="20"/>
          <w:szCs w:val="20"/>
          <w:lang w:val="en-MY"/>
        </w:rPr>
        <w:t xml:space="preserve"> day</w:t>
      </w:r>
      <w:r w:rsidRPr="00FE7A13">
        <w:rPr>
          <w:rFonts w:ascii="Times New Roman" w:eastAsia="Calibri" w:hAnsi="Times New Roman"/>
          <w:bCs/>
          <w:sz w:val="20"/>
          <w:szCs w:val="20"/>
          <w:vertAlign w:val="superscript"/>
          <w:lang w:val="en-MY"/>
        </w:rPr>
        <w:t>-1</w:t>
      </w:r>
      <w:r w:rsidRPr="00FE7A13">
        <w:rPr>
          <w:rFonts w:ascii="Times New Roman" w:hAnsi="Times New Roman"/>
          <w:sz w:val="20"/>
          <w:szCs w:val="20"/>
          <w:lang w:val="en-MY"/>
        </w:rPr>
        <w:t xml:space="preserve"> </w:t>
      </w:r>
      <w:r w:rsidRPr="00FE7A13">
        <w:rPr>
          <w:rFonts w:ascii="Times New Roman" w:hAnsi="Times New Roman"/>
          <w:sz w:val="20"/>
          <w:szCs w:val="20"/>
          <w:lang w:val="en-MY"/>
        </w:rPr>
        <w:fldChar w:fldCharType="begin"/>
      </w:r>
      <w:r w:rsidRPr="00FE7A13">
        <w:rPr>
          <w:rFonts w:ascii="Times New Roman" w:hAnsi="Times New Roman"/>
          <w:sz w:val="20"/>
          <w:szCs w:val="20"/>
          <w:lang w:val="en-MY"/>
        </w:rPr>
        <w:instrText xml:space="preserve"> ADDIN EN.CITE &lt;EndNote&gt;&lt;Cite&gt;&lt;Author&gt;Konietzka&lt;/Author&gt;&lt;Year&gt;2005&lt;/Year&gt;&lt;RecNum&gt;67&lt;/RecNum&gt;&lt;DisplayText&gt;[39]&lt;/DisplayText&gt;&lt;record&gt;&lt;rec-number&gt;67&lt;/rec-number&gt;&lt;foreign-keys&gt;&lt;key app="EN" db-id="swr9aa0fctvwziet5pxv0ffgx2e2ssd59sv2"&gt;67&lt;/key&gt;&lt;/foreign-keys&gt;&lt;ref-type name="Journal Article"&gt;17&lt;/ref-type&gt;&lt;contributors&gt;&lt;authors&gt;&lt;author&gt;Konietzka, Rainer&lt;/author&gt;&lt;author&gt;Dieter, H Hermann&lt;/author&gt;&lt;author&gt;Voss, Jens-Uwe&lt;/author&gt;&lt;/authors&gt;&lt;/contributors&gt;&lt;titles&gt;&lt;title&gt;Vorschlag für einen gesundheitlichen Leitwert für Uran in Trinkwasser&lt;/title&gt;&lt;secondary-title&gt;Umweltmed Forsch Prax&lt;/secondary-title&gt;&lt;/titles&gt;&lt;periodical&gt;&lt;full-title&gt;Umweltmed Forsch Prax&lt;/full-title&gt;&lt;/periodical&gt;&lt;pages&gt;133-143&lt;/pages&gt;&lt;volume&gt;10&lt;/volume&gt;&lt;number&gt;2&lt;/number&gt;&lt;dates&gt;&lt;year&gt;2005&lt;/year&gt;&lt;/dates&gt;&lt;urls&gt;&lt;/urls&gt;&lt;/record&gt;&lt;/Cite&gt;&lt;/EndNote&gt;</w:instrText>
      </w:r>
      <w:r w:rsidRPr="00FE7A13">
        <w:rPr>
          <w:rFonts w:ascii="Times New Roman" w:hAnsi="Times New Roman"/>
          <w:sz w:val="20"/>
          <w:szCs w:val="20"/>
          <w:lang w:val="en-MY"/>
        </w:rPr>
        <w:fldChar w:fldCharType="separate"/>
      </w:r>
      <w:r w:rsidRPr="00FE7A13">
        <w:rPr>
          <w:rFonts w:ascii="Times New Roman" w:hAnsi="Times New Roman"/>
          <w:noProof/>
          <w:sz w:val="20"/>
          <w:szCs w:val="20"/>
          <w:lang w:val="en-MY"/>
        </w:rPr>
        <w:t>[</w:t>
      </w:r>
      <w:hyperlink w:anchor="_ENREF_39" w:tooltip="Konietzka, 2005 #67" w:history="1">
        <w:r w:rsidRPr="00FE7A13">
          <w:rPr>
            <w:rFonts w:ascii="Times New Roman" w:hAnsi="Times New Roman"/>
            <w:noProof/>
            <w:sz w:val="20"/>
            <w:szCs w:val="20"/>
            <w:lang w:val="en-MY"/>
          </w:rPr>
          <w:t>39</w:t>
        </w:r>
      </w:hyperlink>
      <w:r w:rsidRPr="00FE7A13">
        <w:rPr>
          <w:rFonts w:ascii="Times New Roman" w:hAnsi="Times New Roman"/>
          <w:noProof/>
          <w:sz w:val="20"/>
          <w:szCs w:val="20"/>
          <w:lang w:val="en-MY"/>
        </w:rPr>
        <w:t>]</w:t>
      </w:r>
      <w:r w:rsidRPr="00FE7A13">
        <w:rPr>
          <w:rFonts w:ascii="Times New Roman" w:hAnsi="Times New Roman"/>
          <w:sz w:val="20"/>
          <w:szCs w:val="20"/>
          <w:lang w:val="en-MY"/>
        </w:rPr>
        <w:fldChar w:fldCharType="end"/>
      </w:r>
      <w:r w:rsidRPr="00FE7A13">
        <w:rPr>
          <w:rFonts w:ascii="Times New Roman" w:hAnsi="Times New Roman"/>
          <w:sz w:val="20"/>
          <w:szCs w:val="20"/>
          <w:lang w:val="en-MY"/>
        </w:rPr>
        <w:t xml:space="preserve">. </w:t>
      </w:r>
    </w:p>
    <w:p w:rsidR="00FE7A13" w:rsidRPr="00FE7A13" w:rsidRDefault="00FE7A13" w:rsidP="0005340B">
      <w:pPr>
        <w:shd w:val="clear" w:color="auto" w:fill="FFFFFF"/>
        <w:spacing w:after="120" w:line="240" w:lineRule="auto"/>
        <w:jc w:val="center"/>
        <w:rPr>
          <w:rFonts w:ascii="Times New Roman" w:hAnsi="Times New Roman"/>
          <w:sz w:val="20"/>
          <w:szCs w:val="20"/>
          <w:lang w:eastAsia="ms-MY"/>
        </w:rPr>
      </w:pPr>
      <w:r w:rsidRPr="00FE7A13">
        <w:rPr>
          <w:rFonts w:ascii="Times New Roman" w:hAnsi="Times New Roman"/>
          <w:sz w:val="20"/>
          <w:szCs w:val="20"/>
          <w:lang w:eastAsia="ms-MY"/>
        </w:rPr>
        <w:lastRenderedPageBreak/>
        <w:t xml:space="preserve">Table 6.  The daily concentration intakes, annual concentration intakes, daily specific activity intakes, and the annual specific activity intakes of </w:t>
      </w:r>
      <w:r w:rsidRPr="00FE7A13">
        <w:rPr>
          <w:rFonts w:ascii="Times New Roman" w:hAnsi="Times New Roman"/>
          <w:sz w:val="20"/>
          <w:szCs w:val="20"/>
          <w:vertAlign w:val="superscript"/>
          <w:lang w:eastAsia="ms-MY"/>
        </w:rPr>
        <w:t>232</w:t>
      </w:r>
      <w:r w:rsidRPr="00FE7A13">
        <w:rPr>
          <w:rFonts w:ascii="Times New Roman" w:hAnsi="Times New Roman"/>
          <w:sz w:val="20"/>
          <w:szCs w:val="20"/>
          <w:lang w:eastAsia="ms-MY"/>
        </w:rPr>
        <w:t>Th in the samples</w:t>
      </w:r>
    </w:p>
    <w:tbl>
      <w:tblPr>
        <w:tblW w:w="8648" w:type="dxa"/>
        <w:jc w:val="center"/>
        <w:tblLook w:val="04A0" w:firstRow="1" w:lastRow="0" w:firstColumn="1" w:lastColumn="0" w:noHBand="0" w:noVBand="1"/>
      </w:tblPr>
      <w:tblGrid>
        <w:gridCol w:w="2768"/>
        <w:gridCol w:w="1439"/>
        <w:gridCol w:w="1417"/>
        <w:gridCol w:w="1523"/>
        <w:gridCol w:w="1501"/>
      </w:tblGrid>
      <w:tr w:rsidR="00FE7A13" w:rsidRPr="00FE7A13" w:rsidTr="00C35904">
        <w:trPr>
          <w:trHeight w:val="113"/>
          <w:jc w:val="center"/>
        </w:trPr>
        <w:tc>
          <w:tcPr>
            <w:tcW w:w="0" w:type="auto"/>
            <w:tcBorders>
              <w:top w:val="single" w:sz="4" w:space="0" w:color="auto"/>
            </w:tcBorders>
          </w:tcPr>
          <w:p w:rsidR="00FE7A13" w:rsidRPr="00FE7A13" w:rsidRDefault="00FE7A13" w:rsidP="00C35904">
            <w:pPr>
              <w:spacing w:after="0" w:line="240" w:lineRule="auto"/>
              <w:rPr>
                <w:rFonts w:ascii="Times New Roman" w:hAnsi="Times New Roman"/>
                <w:b/>
                <w:sz w:val="20"/>
                <w:szCs w:val="20"/>
                <w:lang w:eastAsia="ms-MY"/>
              </w:rPr>
            </w:pPr>
          </w:p>
        </w:tc>
        <w:tc>
          <w:tcPr>
            <w:tcW w:w="0" w:type="auto"/>
            <w:gridSpan w:val="4"/>
            <w:tcBorders>
              <w:top w:val="single" w:sz="4" w:space="0" w:color="auto"/>
              <w:bottom w:val="single" w:sz="4" w:space="0" w:color="auto"/>
            </w:tcBorders>
          </w:tcPr>
          <w:p w:rsidR="00FE7A13" w:rsidRPr="00FE7A13" w:rsidRDefault="00FE7A13" w:rsidP="00C35904">
            <w:pPr>
              <w:spacing w:before="60" w:after="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 xml:space="preserve">Maximum intake of </w:t>
            </w:r>
            <w:r w:rsidRPr="00FE7A13">
              <w:rPr>
                <w:rFonts w:ascii="Times New Roman" w:eastAsia="Calibri" w:hAnsi="Times New Roman"/>
                <w:b/>
                <w:sz w:val="20"/>
                <w:szCs w:val="20"/>
                <w:vertAlign w:val="superscript"/>
              </w:rPr>
              <w:t>232</w:t>
            </w:r>
            <w:r w:rsidRPr="00FE7A13">
              <w:rPr>
                <w:rFonts w:ascii="Times New Roman" w:eastAsia="Calibri" w:hAnsi="Times New Roman"/>
                <w:b/>
                <w:sz w:val="20"/>
                <w:szCs w:val="20"/>
              </w:rPr>
              <w:t>Th</w:t>
            </w:r>
          </w:p>
        </w:tc>
      </w:tr>
      <w:tr w:rsidR="00FE7A13" w:rsidRPr="00FE7A13" w:rsidTr="00C35904">
        <w:trPr>
          <w:trHeight w:val="310"/>
          <w:jc w:val="center"/>
        </w:trPr>
        <w:tc>
          <w:tcPr>
            <w:tcW w:w="0" w:type="auto"/>
          </w:tcPr>
          <w:p w:rsidR="00FE7A13" w:rsidRPr="00FE7A13" w:rsidRDefault="00FE7A13" w:rsidP="00C35904">
            <w:pPr>
              <w:spacing w:after="0" w:line="240" w:lineRule="auto"/>
              <w:rPr>
                <w:rFonts w:ascii="Times New Roman" w:hAnsi="Times New Roman"/>
                <w:b/>
                <w:sz w:val="20"/>
                <w:szCs w:val="20"/>
                <w:lang w:eastAsia="ms-MY"/>
              </w:rPr>
            </w:pPr>
          </w:p>
        </w:tc>
        <w:tc>
          <w:tcPr>
            <w:tcW w:w="0" w:type="auto"/>
            <w:gridSpan w:val="2"/>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Daily</w:t>
            </w:r>
          </w:p>
        </w:tc>
        <w:tc>
          <w:tcPr>
            <w:tcW w:w="0" w:type="auto"/>
            <w:gridSpan w:val="2"/>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Annual</w:t>
            </w:r>
          </w:p>
        </w:tc>
      </w:tr>
      <w:tr w:rsidR="00FE7A13" w:rsidRPr="00FE7A13" w:rsidTr="00C35904">
        <w:trPr>
          <w:trHeight w:val="266"/>
          <w:jc w:val="center"/>
        </w:trPr>
        <w:tc>
          <w:tcPr>
            <w:tcW w:w="0" w:type="auto"/>
            <w:tcBorders>
              <w:bottom w:val="single" w:sz="4" w:space="0" w:color="auto"/>
            </w:tcBorders>
          </w:tcPr>
          <w:p w:rsidR="00FE7A13" w:rsidRPr="00FE7A13" w:rsidRDefault="00FE7A13" w:rsidP="00C35904">
            <w:pPr>
              <w:spacing w:after="0" w:line="240" w:lineRule="auto"/>
              <w:rPr>
                <w:rFonts w:ascii="Times New Roman" w:hAnsi="Times New Roman"/>
                <w:b/>
                <w:sz w:val="20"/>
                <w:szCs w:val="20"/>
                <w:lang w:eastAsia="ms-MY"/>
              </w:rPr>
            </w:pPr>
          </w:p>
        </w:tc>
        <w:tc>
          <w:tcPr>
            <w:tcW w:w="0" w:type="auto"/>
            <w:tcBorders>
              <w:top w:val="single" w:sz="4" w:space="0" w:color="auto"/>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(mg kg</w:t>
            </w:r>
            <w:r w:rsidRPr="00FE7A13">
              <w:rPr>
                <w:rFonts w:ascii="Times New Roman" w:eastAsia="Calibri" w:hAnsi="Times New Roman"/>
                <w:b/>
                <w:sz w:val="20"/>
                <w:szCs w:val="20"/>
                <w:vertAlign w:val="superscript"/>
              </w:rPr>
              <w:t xml:space="preserve">-1 </w:t>
            </w:r>
            <w:r w:rsidRPr="00FE7A13">
              <w:rPr>
                <w:rFonts w:ascii="Times New Roman" w:eastAsia="Calibri" w:hAnsi="Times New Roman"/>
                <w:b/>
                <w:sz w:val="20"/>
                <w:szCs w:val="20"/>
              </w:rPr>
              <w:t>day</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c>
          <w:tcPr>
            <w:tcW w:w="0" w:type="auto"/>
            <w:tcBorders>
              <w:top w:val="single" w:sz="4" w:space="0" w:color="auto"/>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(Bq kg</w:t>
            </w:r>
            <w:r w:rsidRPr="00FE7A13">
              <w:rPr>
                <w:rFonts w:ascii="Times New Roman" w:eastAsia="Calibri" w:hAnsi="Times New Roman"/>
                <w:b/>
                <w:sz w:val="20"/>
                <w:szCs w:val="20"/>
                <w:vertAlign w:val="superscript"/>
              </w:rPr>
              <w:t xml:space="preserve">-1 </w:t>
            </w:r>
            <w:r w:rsidRPr="00FE7A13">
              <w:rPr>
                <w:rFonts w:ascii="Times New Roman" w:eastAsia="Calibri" w:hAnsi="Times New Roman"/>
                <w:b/>
                <w:sz w:val="20"/>
                <w:szCs w:val="20"/>
              </w:rPr>
              <w:t>day</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c>
          <w:tcPr>
            <w:tcW w:w="0" w:type="auto"/>
            <w:tcBorders>
              <w:top w:val="single" w:sz="4" w:space="0" w:color="auto"/>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(mg kg</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 xml:space="preserve"> year</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c>
          <w:tcPr>
            <w:tcW w:w="0" w:type="auto"/>
            <w:tcBorders>
              <w:top w:val="single" w:sz="4" w:space="0" w:color="auto"/>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(Bq kg</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 xml:space="preserve"> year</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r>
      <w:tr w:rsidR="00FE7A13" w:rsidRPr="00FE7A13" w:rsidTr="00C35904">
        <w:trPr>
          <w:trHeight w:val="275"/>
          <w:jc w:val="center"/>
        </w:trPr>
        <w:tc>
          <w:tcPr>
            <w:tcW w:w="0" w:type="auto"/>
            <w:tcBorders>
              <w:top w:val="single" w:sz="4" w:space="0" w:color="auto"/>
            </w:tcBorders>
          </w:tcPr>
          <w:p w:rsidR="00FE7A13" w:rsidRPr="00FE7A13" w:rsidRDefault="00FE7A13" w:rsidP="00C35904">
            <w:pPr>
              <w:spacing w:before="60" w:after="0" w:line="240" w:lineRule="auto"/>
              <w:rPr>
                <w:rFonts w:ascii="Times New Roman" w:hAnsi="Times New Roman"/>
                <w:sz w:val="20"/>
                <w:szCs w:val="20"/>
                <w:lang w:eastAsia="ms-MY"/>
              </w:rPr>
            </w:pPr>
            <w:r w:rsidRPr="00FE7A13">
              <w:rPr>
                <w:rFonts w:ascii="Times New Roman" w:hAnsi="Times New Roman"/>
                <w:sz w:val="20"/>
                <w:szCs w:val="20"/>
                <w:lang w:val="en-MY" w:eastAsia="en-MY"/>
              </w:rPr>
              <w:t>Lanthanide concentrate (LC)</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0.260</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1.057</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95.012</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385.750</w:t>
            </w:r>
          </w:p>
        </w:tc>
      </w:tr>
      <w:tr w:rsidR="00FE7A13" w:rsidRPr="00FE7A13" w:rsidTr="00C35904">
        <w:trPr>
          <w:trHeight w:val="173"/>
          <w:jc w:val="center"/>
        </w:trPr>
        <w:tc>
          <w:tcPr>
            <w:tcW w:w="0" w:type="auto"/>
            <w:tcBorders>
              <w:bottom w:val="single" w:sz="4" w:space="0" w:color="auto"/>
            </w:tcBorders>
          </w:tcPr>
          <w:p w:rsidR="00FE7A13" w:rsidRPr="00FE7A13" w:rsidRDefault="00FE7A13" w:rsidP="00C35904">
            <w:pPr>
              <w:spacing w:before="60" w:after="60" w:line="240" w:lineRule="auto"/>
              <w:rPr>
                <w:rFonts w:ascii="Times New Roman" w:hAnsi="Times New Roman"/>
                <w:sz w:val="20"/>
                <w:szCs w:val="20"/>
                <w:lang w:eastAsia="ms-MY"/>
              </w:rPr>
            </w:pPr>
            <w:r w:rsidRPr="00FE7A13">
              <w:rPr>
                <w:rFonts w:ascii="Times New Roman" w:hAnsi="Times New Roman"/>
                <w:sz w:val="20"/>
                <w:szCs w:val="20"/>
                <w:lang w:eastAsia="ms-MY"/>
              </w:rPr>
              <w:t>Water leach purification (WLP)</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0.432</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1.755</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157.777</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640.576</w:t>
            </w:r>
          </w:p>
        </w:tc>
      </w:tr>
    </w:tbl>
    <w:p w:rsidR="00FE7A13" w:rsidRDefault="00FE7A13" w:rsidP="00FE7A13">
      <w:pPr>
        <w:spacing w:after="0" w:line="240" w:lineRule="auto"/>
        <w:jc w:val="both"/>
        <w:rPr>
          <w:rFonts w:ascii="Times New Roman" w:hAnsi="Times New Roman"/>
          <w:sz w:val="20"/>
          <w:szCs w:val="20"/>
          <w:lang w:eastAsia="ms-MY"/>
        </w:rPr>
      </w:pPr>
    </w:p>
    <w:p w:rsidR="00C35904" w:rsidRPr="00FE7A13" w:rsidRDefault="00C35904" w:rsidP="00FE7A13">
      <w:pPr>
        <w:spacing w:after="0" w:line="240" w:lineRule="auto"/>
        <w:jc w:val="both"/>
        <w:rPr>
          <w:rFonts w:ascii="Times New Roman" w:hAnsi="Times New Roman"/>
          <w:sz w:val="20"/>
          <w:szCs w:val="20"/>
          <w:lang w:eastAsia="ms-MY"/>
        </w:rPr>
      </w:pPr>
    </w:p>
    <w:p w:rsidR="00FE7A13" w:rsidRPr="00FE7A13" w:rsidRDefault="00FE7A13" w:rsidP="0005340B">
      <w:pPr>
        <w:shd w:val="clear" w:color="auto" w:fill="FFFFFF"/>
        <w:spacing w:after="120" w:line="240" w:lineRule="auto"/>
        <w:jc w:val="center"/>
        <w:rPr>
          <w:rFonts w:ascii="Times New Roman" w:hAnsi="Times New Roman"/>
          <w:sz w:val="20"/>
          <w:szCs w:val="20"/>
          <w:lang w:eastAsia="ms-MY"/>
        </w:rPr>
      </w:pPr>
      <w:r w:rsidRPr="00FE7A13">
        <w:rPr>
          <w:rFonts w:ascii="Times New Roman" w:hAnsi="Times New Roman"/>
          <w:sz w:val="20"/>
          <w:szCs w:val="20"/>
          <w:lang w:eastAsia="ms-MY"/>
        </w:rPr>
        <w:t xml:space="preserve">Table 7.  The daily concentration intakes, the annual concentration intakes, the daily specific activity intakes and the annual specific activity intakes of </w:t>
      </w:r>
      <w:r w:rsidRPr="00FE7A13">
        <w:rPr>
          <w:rFonts w:ascii="Times New Roman" w:hAnsi="Times New Roman"/>
          <w:sz w:val="20"/>
          <w:szCs w:val="20"/>
          <w:vertAlign w:val="superscript"/>
          <w:lang w:eastAsia="ms-MY"/>
        </w:rPr>
        <w:t>238</w:t>
      </w:r>
      <w:r w:rsidRPr="00FE7A13">
        <w:rPr>
          <w:rFonts w:ascii="Times New Roman" w:hAnsi="Times New Roman"/>
          <w:sz w:val="20"/>
          <w:szCs w:val="20"/>
          <w:lang w:eastAsia="ms-MY"/>
        </w:rPr>
        <w:t>U in the samples</w:t>
      </w:r>
    </w:p>
    <w:tbl>
      <w:tblPr>
        <w:tblW w:w="0" w:type="auto"/>
        <w:jc w:val="center"/>
        <w:tblLook w:val="04A0" w:firstRow="1" w:lastRow="0" w:firstColumn="1" w:lastColumn="0" w:noHBand="0" w:noVBand="1"/>
      </w:tblPr>
      <w:tblGrid>
        <w:gridCol w:w="2765"/>
        <w:gridCol w:w="1455"/>
        <w:gridCol w:w="1416"/>
        <w:gridCol w:w="1522"/>
        <w:gridCol w:w="1500"/>
      </w:tblGrid>
      <w:tr w:rsidR="00FE7A13" w:rsidRPr="00FE7A13" w:rsidTr="00C35904">
        <w:trPr>
          <w:trHeight w:val="257"/>
          <w:jc w:val="center"/>
        </w:trPr>
        <w:tc>
          <w:tcPr>
            <w:tcW w:w="0" w:type="auto"/>
            <w:tcBorders>
              <w:top w:val="single" w:sz="4" w:space="0" w:color="auto"/>
            </w:tcBorders>
          </w:tcPr>
          <w:p w:rsidR="00FE7A13" w:rsidRPr="00FE7A13" w:rsidRDefault="00FE7A13" w:rsidP="00C35904">
            <w:pPr>
              <w:spacing w:after="0" w:line="240" w:lineRule="auto"/>
              <w:jc w:val="both"/>
              <w:rPr>
                <w:rFonts w:ascii="Times New Roman" w:hAnsi="Times New Roman"/>
                <w:b/>
                <w:sz w:val="20"/>
                <w:szCs w:val="20"/>
                <w:lang w:eastAsia="ms-MY"/>
              </w:rPr>
            </w:pPr>
          </w:p>
        </w:tc>
        <w:tc>
          <w:tcPr>
            <w:tcW w:w="0" w:type="auto"/>
            <w:gridSpan w:val="4"/>
            <w:tcBorders>
              <w:top w:val="single" w:sz="4" w:space="0" w:color="auto"/>
              <w:bottom w:val="single" w:sz="4" w:space="0" w:color="000000"/>
            </w:tcBorders>
          </w:tcPr>
          <w:p w:rsidR="00FE7A13" w:rsidRPr="00FE7A13" w:rsidRDefault="00FE7A13" w:rsidP="00C35904">
            <w:pPr>
              <w:spacing w:before="60" w:after="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 xml:space="preserve">Maximum intake of </w:t>
            </w:r>
            <w:r w:rsidRPr="00FE7A13">
              <w:rPr>
                <w:rFonts w:ascii="Times New Roman" w:eastAsia="Calibri" w:hAnsi="Times New Roman"/>
                <w:b/>
                <w:sz w:val="20"/>
                <w:szCs w:val="20"/>
                <w:vertAlign w:val="superscript"/>
              </w:rPr>
              <w:t>238</w:t>
            </w:r>
            <w:r w:rsidRPr="00FE7A13">
              <w:rPr>
                <w:rFonts w:ascii="Times New Roman" w:eastAsia="Calibri" w:hAnsi="Times New Roman"/>
                <w:b/>
                <w:sz w:val="20"/>
                <w:szCs w:val="20"/>
              </w:rPr>
              <w:t>U</w:t>
            </w:r>
          </w:p>
        </w:tc>
      </w:tr>
      <w:tr w:rsidR="00FE7A13" w:rsidRPr="00FE7A13" w:rsidTr="00C35904">
        <w:trPr>
          <w:trHeight w:val="217"/>
          <w:jc w:val="center"/>
        </w:trPr>
        <w:tc>
          <w:tcPr>
            <w:tcW w:w="0" w:type="auto"/>
          </w:tcPr>
          <w:p w:rsidR="00FE7A13" w:rsidRPr="00FE7A13" w:rsidRDefault="00FE7A13" w:rsidP="00C35904">
            <w:pPr>
              <w:spacing w:after="0" w:line="240" w:lineRule="auto"/>
              <w:jc w:val="both"/>
              <w:rPr>
                <w:rFonts w:ascii="Times New Roman" w:hAnsi="Times New Roman"/>
                <w:b/>
                <w:sz w:val="20"/>
                <w:szCs w:val="20"/>
                <w:lang w:eastAsia="ms-MY"/>
              </w:rPr>
            </w:pPr>
          </w:p>
        </w:tc>
        <w:tc>
          <w:tcPr>
            <w:tcW w:w="0" w:type="auto"/>
            <w:gridSpan w:val="2"/>
            <w:tcBorders>
              <w:top w:val="single" w:sz="4" w:space="0" w:color="000000"/>
              <w:bottom w:val="single" w:sz="4" w:space="0" w:color="000000"/>
            </w:tcBorders>
          </w:tcPr>
          <w:p w:rsidR="00FE7A13" w:rsidRPr="00FE7A13" w:rsidRDefault="00FE7A13" w:rsidP="00C35904">
            <w:pPr>
              <w:spacing w:after="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Daily</w:t>
            </w:r>
          </w:p>
        </w:tc>
        <w:tc>
          <w:tcPr>
            <w:tcW w:w="0" w:type="auto"/>
            <w:gridSpan w:val="2"/>
            <w:tcBorders>
              <w:top w:val="single" w:sz="4" w:space="0" w:color="000000"/>
              <w:bottom w:val="single" w:sz="4" w:space="0" w:color="000000"/>
            </w:tcBorders>
          </w:tcPr>
          <w:p w:rsidR="00FE7A13" w:rsidRPr="00FE7A13" w:rsidRDefault="00FE7A13" w:rsidP="00C35904">
            <w:pPr>
              <w:spacing w:after="0" w:line="240" w:lineRule="auto"/>
              <w:jc w:val="center"/>
              <w:rPr>
                <w:rFonts w:ascii="Times New Roman" w:eastAsia="Calibri" w:hAnsi="Times New Roman"/>
                <w:b/>
                <w:sz w:val="20"/>
                <w:szCs w:val="20"/>
              </w:rPr>
            </w:pPr>
            <w:r w:rsidRPr="00FE7A13">
              <w:rPr>
                <w:rFonts w:ascii="Times New Roman" w:eastAsia="Calibri" w:hAnsi="Times New Roman"/>
                <w:b/>
                <w:sz w:val="20"/>
                <w:szCs w:val="20"/>
              </w:rPr>
              <w:t>Annual</w:t>
            </w:r>
          </w:p>
        </w:tc>
      </w:tr>
      <w:tr w:rsidR="00FE7A13" w:rsidRPr="00FE7A13" w:rsidTr="00C35904">
        <w:trPr>
          <w:trHeight w:val="263"/>
          <w:jc w:val="center"/>
        </w:trPr>
        <w:tc>
          <w:tcPr>
            <w:tcW w:w="0" w:type="auto"/>
            <w:tcBorders>
              <w:bottom w:val="single" w:sz="4" w:space="0" w:color="auto"/>
            </w:tcBorders>
          </w:tcPr>
          <w:p w:rsidR="00FE7A13" w:rsidRPr="00FE7A13" w:rsidRDefault="00FE7A13" w:rsidP="00C35904">
            <w:pPr>
              <w:spacing w:after="60" w:line="240" w:lineRule="auto"/>
              <w:jc w:val="both"/>
              <w:rPr>
                <w:rFonts w:ascii="Times New Roman" w:hAnsi="Times New Roman"/>
                <w:b/>
                <w:sz w:val="20"/>
                <w:szCs w:val="20"/>
                <w:lang w:eastAsia="ms-MY"/>
              </w:rPr>
            </w:pPr>
          </w:p>
        </w:tc>
        <w:tc>
          <w:tcPr>
            <w:tcW w:w="0" w:type="auto"/>
            <w:tcBorders>
              <w:top w:val="single" w:sz="4" w:space="0" w:color="000000"/>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(mg kg</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 xml:space="preserve"> day</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c>
          <w:tcPr>
            <w:tcW w:w="0" w:type="auto"/>
            <w:tcBorders>
              <w:top w:val="single" w:sz="4" w:space="0" w:color="000000"/>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(Bq kg</w:t>
            </w:r>
            <w:r w:rsidRPr="00FE7A13">
              <w:rPr>
                <w:rFonts w:ascii="Times New Roman" w:eastAsia="Calibri" w:hAnsi="Times New Roman"/>
                <w:b/>
                <w:sz w:val="20"/>
                <w:szCs w:val="20"/>
                <w:vertAlign w:val="superscript"/>
              </w:rPr>
              <w:t xml:space="preserve">-1 </w:t>
            </w:r>
            <w:r w:rsidRPr="00FE7A13">
              <w:rPr>
                <w:rFonts w:ascii="Times New Roman" w:eastAsia="Calibri" w:hAnsi="Times New Roman"/>
                <w:b/>
                <w:sz w:val="20"/>
                <w:szCs w:val="20"/>
              </w:rPr>
              <w:t>day</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c>
          <w:tcPr>
            <w:tcW w:w="0" w:type="auto"/>
            <w:tcBorders>
              <w:top w:val="single" w:sz="4" w:space="0" w:color="000000"/>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(mg kg</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 xml:space="preserve"> year</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c>
          <w:tcPr>
            <w:tcW w:w="0" w:type="auto"/>
            <w:tcBorders>
              <w:top w:val="single" w:sz="4" w:space="0" w:color="000000"/>
              <w:bottom w:val="single" w:sz="4" w:space="0" w:color="auto"/>
            </w:tcBorders>
          </w:tcPr>
          <w:p w:rsidR="00FE7A13" w:rsidRPr="00FE7A13" w:rsidRDefault="00FE7A13" w:rsidP="00C35904">
            <w:pPr>
              <w:spacing w:after="60" w:line="240" w:lineRule="auto"/>
              <w:jc w:val="center"/>
              <w:rPr>
                <w:rFonts w:ascii="Times New Roman" w:hAnsi="Times New Roman"/>
                <w:b/>
                <w:sz w:val="20"/>
                <w:szCs w:val="20"/>
                <w:lang w:eastAsia="ms-MY"/>
              </w:rPr>
            </w:pPr>
            <w:r w:rsidRPr="00FE7A13">
              <w:rPr>
                <w:rFonts w:ascii="Times New Roman" w:eastAsia="Calibri" w:hAnsi="Times New Roman"/>
                <w:b/>
                <w:sz w:val="20"/>
                <w:szCs w:val="20"/>
              </w:rPr>
              <w:t>(Bq kg</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 xml:space="preserve"> year</w:t>
            </w:r>
            <w:r w:rsidRPr="00FE7A13">
              <w:rPr>
                <w:rFonts w:ascii="Times New Roman" w:eastAsia="Calibri" w:hAnsi="Times New Roman"/>
                <w:b/>
                <w:sz w:val="20"/>
                <w:szCs w:val="20"/>
                <w:vertAlign w:val="superscript"/>
              </w:rPr>
              <w:t>-1</w:t>
            </w:r>
            <w:r w:rsidRPr="00FE7A13">
              <w:rPr>
                <w:rFonts w:ascii="Times New Roman" w:eastAsia="Calibri" w:hAnsi="Times New Roman"/>
                <w:b/>
                <w:sz w:val="20"/>
                <w:szCs w:val="20"/>
              </w:rPr>
              <w:t>)</w:t>
            </w:r>
          </w:p>
        </w:tc>
      </w:tr>
      <w:tr w:rsidR="00FE7A13" w:rsidRPr="00FE7A13" w:rsidTr="00C35904">
        <w:trPr>
          <w:trHeight w:val="143"/>
          <w:jc w:val="center"/>
        </w:trPr>
        <w:tc>
          <w:tcPr>
            <w:tcW w:w="0" w:type="auto"/>
            <w:tcBorders>
              <w:top w:val="single" w:sz="4" w:space="0" w:color="auto"/>
            </w:tcBorders>
          </w:tcPr>
          <w:p w:rsidR="00FE7A13" w:rsidRPr="00FE7A13" w:rsidRDefault="00FE7A13" w:rsidP="00C35904">
            <w:pPr>
              <w:spacing w:before="60" w:after="0" w:line="240" w:lineRule="auto"/>
              <w:jc w:val="both"/>
              <w:rPr>
                <w:rFonts w:ascii="Times New Roman" w:hAnsi="Times New Roman"/>
                <w:sz w:val="20"/>
                <w:szCs w:val="20"/>
                <w:lang w:eastAsia="ms-MY"/>
              </w:rPr>
            </w:pPr>
            <w:r w:rsidRPr="00FE7A13">
              <w:rPr>
                <w:rFonts w:ascii="Times New Roman" w:hAnsi="Times New Roman"/>
                <w:sz w:val="20"/>
                <w:szCs w:val="20"/>
                <w:lang w:eastAsia="ms-MY"/>
              </w:rPr>
              <w:t>Lanthanide concentrate (LC)</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0.112</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1.3783</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40.734</w:t>
            </w:r>
          </w:p>
        </w:tc>
        <w:tc>
          <w:tcPr>
            <w:tcW w:w="0" w:type="auto"/>
            <w:tcBorders>
              <w:top w:val="single" w:sz="4" w:space="0" w:color="auto"/>
            </w:tcBorders>
          </w:tcPr>
          <w:p w:rsidR="00FE7A13" w:rsidRPr="00FE7A13" w:rsidRDefault="00FE7A13" w:rsidP="00C35904">
            <w:pPr>
              <w:spacing w:before="60" w:after="0" w:line="240" w:lineRule="auto"/>
              <w:jc w:val="center"/>
              <w:rPr>
                <w:rFonts w:ascii="Times New Roman" w:hAnsi="Times New Roman"/>
                <w:sz w:val="20"/>
                <w:szCs w:val="20"/>
                <w:lang w:eastAsia="ms-MY"/>
              </w:rPr>
            </w:pPr>
            <w:r w:rsidRPr="00FE7A13">
              <w:rPr>
                <w:rFonts w:ascii="Times New Roman" w:eastAsia="Calibri" w:hAnsi="Times New Roman"/>
                <w:sz w:val="20"/>
                <w:szCs w:val="20"/>
              </w:rPr>
              <w:t>503.065</w:t>
            </w:r>
          </w:p>
        </w:tc>
      </w:tr>
      <w:tr w:rsidR="00FE7A13" w:rsidRPr="00FE7A13" w:rsidTr="00C35904">
        <w:trPr>
          <w:trHeight w:val="143"/>
          <w:jc w:val="center"/>
        </w:trPr>
        <w:tc>
          <w:tcPr>
            <w:tcW w:w="0" w:type="auto"/>
            <w:tcBorders>
              <w:bottom w:val="single" w:sz="4" w:space="0" w:color="auto"/>
            </w:tcBorders>
          </w:tcPr>
          <w:p w:rsidR="00FE7A13" w:rsidRPr="00FE7A13" w:rsidRDefault="00FE7A13" w:rsidP="00C35904">
            <w:pPr>
              <w:spacing w:before="60" w:after="60" w:line="240" w:lineRule="auto"/>
              <w:jc w:val="both"/>
              <w:rPr>
                <w:rFonts w:ascii="Times New Roman" w:hAnsi="Times New Roman"/>
                <w:sz w:val="20"/>
                <w:szCs w:val="20"/>
                <w:lang w:eastAsia="ms-MY"/>
              </w:rPr>
            </w:pPr>
            <w:r w:rsidRPr="00FE7A13">
              <w:rPr>
                <w:rFonts w:ascii="Times New Roman" w:hAnsi="Times New Roman"/>
                <w:sz w:val="20"/>
                <w:szCs w:val="20"/>
                <w:lang w:eastAsia="ms-MY"/>
              </w:rPr>
              <w:t>Water leach purification (WLP)</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0.096</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1.186</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35.040</w:t>
            </w:r>
          </w:p>
        </w:tc>
        <w:tc>
          <w:tcPr>
            <w:tcW w:w="0" w:type="auto"/>
            <w:tcBorders>
              <w:bottom w:val="single" w:sz="4" w:space="0" w:color="auto"/>
            </w:tcBorders>
          </w:tcPr>
          <w:p w:rsidR="00FE7A13" w:rsidRPr="00FE7A13" w:rsidRDefault="00FE7A13" w:rsidP="00C35904">
            <w:pPr>
              <w:spacing w:before="60" w:after="60" w:line="240" w:lineRule="auto"/>
              <w:jc w:val="center"/>
              <w:rPr>
                <w:rFonts w:ascii="Times New Roman" w:hAnsi="Times New Roman"/>
                <w:sz w:val="20"/>
                <w:szCs w:val="20"/>
                <w:lang w:eastAsia="ms-MY"/>
              </w:rPr>
            </w:pPr>
            <w:r w:rsidRPr="00FE7A13">
              <w:rPr>
                <w:rFonts w:ascii="Times New Roman" w:eastAsia="Calibri" w:hAnsi="Times New Roman"/>
                <w:sz w:val="20"/>
                <w:szCs w:val="20"/>
              </w:rPr>
              <w:t>432.749</w:t>
            </w:r>
          </w:p>
        </w:tc>
      </w:tr>
    </w:tbl>
    <w:p w:rsidR="00FE7A13" w:rsidRPr="00C35904" w:rsidRDefault="00FE7A13" w:rsidP="00C35904">
      <w:pPr>
        <w:autoSpaceDE w:val="0"/>
        <w:autoSpaceDN w:val="0"/>
        <w:adjustRightInd w:val="0"/>
        <w:spacing w:after="120" w:line="240" w:lineRule="auto"/>
        <w:jc w:val="both"/>
        <w:rPr>
          <w:rFonts w:ascii="Times New Roman" w:eastAsia="Calibri" w:hAnsi="Times New Roman"/>
          <w:b/>
          <w:sz w:val="20"/>
          <w:szCs w:val="20"/>
          <w:lang w:val="en-GB"/>
        </w:rPr>
      </w:pPr>
    </w:p>
    <w:p w:rsidR="00FE7A13" w:rsidRPr="00FE7A13" w:rsidRDefault="00FE7A13" w:rsidP="00FE7A13">
      <w:pPr>
        <w:autoSpaceDE w:val="0"/>
        <w:autoSpaceDN w:val="0"/>
        <w:adjustRightInd w:val="0"/>
        <w:spacing w:after="0" w:line="240" w:lineRule="auto"/>
        <w:jc w:val="both"/>
        <w:rPr>
          <w:rFonts w:ascii="Times New Roman" w:eastAsia="Calibri" w:hAnsi="Times New Roman"/>
          <w:b/>
          <w:sz w:val="20"/>
          <w:szCs w:val="20"/>
          <w:lang w:val="en-GB"/>
        </w:rPr>
      </w:pPr>
      <w:r w:rsidRPr="00FE7A13">
        <w:rPr>
          <w:rFonts w:ascii="Times New Roman" w:eastAsia="Calibri" w:hAnsi="Times New Roman"/>
          <w:b/>
          <w:sz w:val="20"/>
          <w:szCs w:val="20"/>
          <w:lang w:val="en-GB"/>
        </w:rPr>
        <w:t xml:space="preserve">Bioaccessibility of </w:t>
      </w:r>
      <w:r w:rsidRPr="00FE7A13">
        <w:rPr>
          <w:rFonts w:ascii="Times New Roman" w:eastAsia="Calibri" w:hAnsi="Times New Roman"/>
          <w:b/>
          <w:sz w:val="20"/>
          <w:szCs w:val="20"/>
          <w:vertAlign w:val="superscript"/>
          <w:lang w:val="en-GB"/>
        </w:rPr>
        <w:t>232</w:t>
      </w:r>
      <w:r w:rsidRPr="00FE7A13">
        <w:rPr>
          <w:rFonts w:ascii="Times New Roman" w:eastAsia="Calibri" w:hAnsi="Times New Roman"/>
          <w:b/>
          <w:sz w:val="20"/>
          <w:szCs w:val="20"/>
          <w:lang w:val="en-GB"/>
        </w:rPr>
        <w:t>Th and</w:t>
      </w:r>
      <w:r w:rsidRPr="00FE7A13">
        <w:rPr>
          <w:rFonts w:ascii="Times New Roman" w:eastAsia="Calibri" w:hAnsi="Times New Roman"/>
          <w:b/>
          <w:sz w:val="20"/>
          <w:szCs w:val="20"/>
          <w:vertAlign w:val="superscript"/>
          <w:lang w:val="en-GB"/>
        </w:rPr>
        <w:t xml:space="preserve"> 238</w:t>
      </w:r>
      <w:r w:rsidRPr="00FE7A13">
        <w:rPr>
          <w:rFonts w:ascii="Times New Roman" w:eastAsia="Calibri" w:hAnsi="Times New Roman"/>
          <w:b/>
          <w:sz w:val="20"/>
          <w:szCs w:val="20"/>
          <w:lang w:val="en-GB"/>
        </w:rPr>
        <w:t xml:space="preserve">U </w:t>
      </w: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bookmarkStart w:id="25" w:name="_Hlk521084829"/>
      <w:r w:rsidRPr="00FE7A13">
        <w:rPr>
          <w:rFonts w:ascii="Times New Roman" w:eastAsia="Calibri" w:hAnsi="Times New Roman"/>
          <w:sz w:val="20"/>
          <w:szCs w:val="20"/>
          <w:lang w:val="en-GB"/>
        </w:rPr>
        <w:t xml:space="preserve">A compound moving from its matrix (bioaccessibility) in the gastrointestinal tract is a dynamic process with constant changes in physiological conditions. By making use of </w:t>
      </w:r>
      <w:r w:rsidRPr="00FE7A13">
        <w:rPr>
          <w:rFonts w:ascii="Times New Roman" w:eastAsia="Calibri" w:hAnsi="Times New Roman"/>
          <w:i/>
          <w:sz w:val="20"/>
          <w:szCs w:val="20"/>
          <w:lang w:val="en-GB"/>
        </w:rPr>
        <w:t>in vitro</w:t>
      </w:r>
      <w:r w:rsidRPr="00FE7A13">
        <w:rPr>
          <w:rFonts w:ascii="Times New Roman" w:eastAsia="Calibri" w:hAnsi="Times New Roman"/>
          <w:sz w:val="20"/>
          <w:szCs w:val="20"/>
          <w:lang w:val="en-GB"/>
        </w:rPr>
        <w:t xml:space="preserve"> bioaccessibility models, the digestion process in the gastrointestinal tract is imitated in a more intelligible manner by using physiological-based conditions, namely the chemical composition of digestive fluids, pH, and the usual residence times for each movement.</w:t>
      </w:r>
      <w:bookmarkEnd w:id="25"/>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r w:rsidRPr="00FE7A13">
        <w:rPr>
          <w:rFonts w:ascii="Times New Roman" w:eastAsia="Calibri" w:hAnsi="Times New Roman"/>
          <w:sz w:val="20"/>
          <w:szCs w:val="20"/>
          <w:lang w:val="en-GB"/>
        </w:rPr>
        <w:t xml:space="preserve">The gastrointestinal bioaccessibility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are summarised in Table </w:t>
      </w:r>
      <w:hyperlink r:id="rId16" w:history="1">
        <w:r w:rsidRPr="00FE7A13">
          <w:rPr>
            <w:rStyle w:val="Hyperlink"/>
            <w:rFonts w:ascii="Times New Roman" w:eastAsia="Calibri" w:hAnsi="Times New Roman"/>
            <w:sz w:val="20"/>
            <w:szCs w:val="20"/>
            <w:lang w:val="en-GB"/>
          </w:rPr>
          <w:t>8</w:t>
        </w:r>
      </w:hyperlink>
      <w:r w:rsidRPr="00FE7A13">
        <w:rPr>
          <w:rFonts w:ascii="Times New Roman" w:eastAsia="Calibri" w:hAnsi="Times New Roman"/>
          <w:sz w:val="20"/>
          <w:szCs w:val="20"/>
          <w:lang w:val="en-GB"/>
        </w:rPr>
        <w:t xml:space="preserve">. Based on these observations, the values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radionuclide bioaccessibility in the LC and WLP residue were 0.14% and 0.10%, respectively. Concurrently,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bioaccessibility in the WLP residue during the gastric phase was significantly higher than other values. As highlighted by Oomen et al.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&lt;EndNote&gt;&lt;Cite&gt;&lt;Author&gt;Oomen&lt;/Author&gt;&lt;Year&gt;2003&lt;/Year&gt;&lt;RecNum&gt;8&lt;/RecNum&gt;&lt;DisplayText&gt;[9, 40]&lt;/DisplayText&gt;&lt;record&gt;&lt;rec-number&gt;8&lt;/rec-number&gt;&lt;foreign-keys&gt;&lt;key app="EN" db-id="9dzedx9enatp9deeweuxp2x4wzfs59redfdt" timestamp="1531989771"&gt;8&lt;/key&gt;&lt;/foreign-keys&gt;&lt;ref-type name="Journal Article"&gt;17&lt;/ref-type&gt;&lt;contributors&gt;&lt;authors&gt;&lt;author&gt;Oomen, AG&lt;/author&gt;&lt;author&gt;Rompelberg, CJM&lt;/author&gt;&lt;author&gt;Bruil, MA&lt;/author&gt;&lt;author&gt;Dobbe, CJG&lt;/author&gt;&lt;author&gt;Pereboom, DPKH&lt;/author&gt;&lt;author&gt;Sips, AJAM&lt;/author&gt;&lt;/authors&gt;&lt;/contributors&gt;&lt;titles&gt;&lt;title&gt;Development of an in vitro digestion model for estimating the bioaccessibility of soil contaminants&lt;/title&gt;&lt;secondary-title&gt;Archives of environmental contamination and toxicology&lt;/secondary-title&gt;&lt;/titles&gt;&lt;pages&gt;0281-0287&lt;/pages&gt;&lt;volume&gt;44&lt;/volume&gt;&lt;number&gt;3&lt;/number&gt;&lt;dates&gt;&lt;year&gt;2003&lt;/year&gt;&lt;/dates&gt;&lt;isbn&gt;0090-4341&lt;/isbn&gt;&lt;urls&gt;&lt;/urls&gt;&lt;/record&gt;&lt;/Cite&gt;&lt;Cite&gt;&lt;Author&gt;Oomen&lt;/Author&gt;&lt;Year&gt;2002&lt;/Year&gt;&lt;RecNum&gt;38&lt;/RecNum&gt;&lt;record&gt;&lt;rec-number&gt;38&lt;/rec-number&gt;&lt;foreign-keys&gt;&lt;key app="EN" db-id="9dzedx9enatp9deeweuxp2x4wzfs59redfdt" timestamp="1531989773"&gt;38&lt;/key&gt;&lt;/foreign-keys&gt;&lt;ref-type name="Journal Article"&gt;17&lt;/ref-type&gt;&lt;contributors&gt;&lt;authors&gt;&lt;author&gt;Oomen, Agnes G&lt;/author&gt;&lt;author&gt;Hack, Alfons&lt;/author&gt;&lt;author&gt;Minekus, Mans&lt;/author&gt;&lt;author&gt;Zeijdner, Evelijn&lt;/author&gt;&lt;author&gt;Cornelis, Christa&lt;/author&gt;&lt;author&gt;Schoeters, Greet&lt;/author&gt;&lt;author&gt;Verstraete, Willy&lt;/author&gt;&lt;author&gt;Van de Wiele, Tom&lt;/author&gt;&lt;author&gt;Wragg, Joanna&lt;/author&gt;&lt;author&gt;Rompelberg, Cathy JM&lt;/author&gt;&lt;/authors&gt;&lt;/contributors&gt;&lt;titles&gt;&lt;title&gt;Comparison of five in vitro digestion models to study the bioaccessibility of soil contaminants&lt;/title&gt;&lt;secondary-title&gt;Environmental science &amp;amp; technology&lt;/secondary-title&gt;&lt;/titles&gt;&lt;pages&gt;3326-3334&lt;/pages&gt;&lt;volume&gt;36&lt;/volume&gt;&lt;number&gt;15&lt;/number&gt;&lt;dates&gt;&lt;year&gt;2002&lt;/year&gt;&lt;/dates&gt;&lt;isbn&gt;0013-936X&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9" w:tooltip="Oomen, 2003 #50" w:history="1">
        <w:r w:rsidRPr="00FE7A13">
          <w:rPr>
            <w:rFonts w:ascii="Times New Roman" w:eastAsia="Calibri" w:hAnsi="Times New Roman"/>
            <w:noProof/>
            <w:sz w:val="20"/>
            <w:szCs w:val="20"/>
          </w:rPr>
          <w:t>9</w:t>
        </w:r>
      </w:hyperlink>
      <w:r w:rsidRPr="00FE7A13">
        <w:rPr>
          <w:rFonts w:ascii="Times New Roman" w:eastAsia="Calibri" w:hAnsi="Times New Roman"/>
          <w:noProof/>
          <w:sz w:val="20"/>
          <w:szCs w:val="20"/>
        </w:rPr>
        <w:t xml:space="preserve">, </w:t>
      </w:r>
      <w:hyperlink w:anchor="_ENREF_40" w:tooltip="Oomen, 2002 #38" w:history="1">
        <w:r w:rsidRPr="00FE7A13">
          <w:rPr>
            <w:rFonts w:ascii="Times New Roman" w:eastAsia="Calibri" w:hAnsi="Times New Roman"/>
            <w:noProof/>
            <w:sz w:val="20"/>
            <w:szCs w:val="20"/>
          </w:rPr>
          <w:t>40</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26" w:name="_Hlk521084913"/>
      <w:r w:rsidRPr="00FE7A13">
        <w:rPr>
          <w:rFonts w:ascii="Times New Roman" w:eastAsia="Calibri" w:hAnsi="Times New Roman"/>
          <w:sz w:val="20"/>
          <w:szCs w:val="20"/>
          <w:lang w:val="en-GB"/>
        </w:rPr>
        <w:t>pH is probably the main factor that influences the final outcome; low pH during the stomach phase causes higher bioaccessibility values. Aside from stomach pH as a digestion parameter, residence time and bile salt concentrations also influence the bioaccessibility measurements</w:t>
      </w:r>
      <w:bookmarkEnd w:id="26"/>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&lt;EndNote&gt;&lt;Cite&gt;&lt;Author&gt;Jadán-Piedra&lt;/Author&gt;&lt;Year&gt;2016&lt;/Year&gt;&lt;RecNum&gt;72&lt;/RecNum&gt;&lt;DisplayText&gt;[41]&lt;/DisplayText&gt;&lt;record&gt;&lt;rec-number&gt;72&lt;/rec-number&gt;&lt;foreign-keys&gt;&lt;key app="EN" db-id="swr9aa0fctvwziet5pxv0ffgx2e2ssd59sv2"&gt;72&lt;/key&gt;&lt;/foreign-keys&gt;&lt;ref-type name="Journal Article"&gt;17&lt;/ref-type&gt;&lt;contributors&gt;&lt;authors&gt;&lt;author&gt;Jadán-Piedra, Carlos&lt;/author&gt;&lt;author&gt;Clemente Peiró, Marie Jesus&lt;/author&gt;&lt;author&gt;Devesa, Vicenta&lt;/author&gt;&lt;author&gt;Vélez, Dinoraz&lt;/author&gt;&lt;/authors&gt;&lt;/contributors&gt;&lt;titles&gt;&lt;title&gt;Influence of Physiological Gastrointestinal Parameters on the Bioaccessibility of Mercury and Selenium from Swordfish&lt;/title&gt;&lt;secondary-title&gt;Journal of agricultural and food chemistry&lt;/secondary-title&gt;&lt;/titles&gt;&lt;periodical&gt;&lt;full-title&gt;Journal of agricultural and food chemistry&lt;/full-title&gt;&lt;/periodical&gt;&lt;dates&gt;&lt;year&gt;2016&lt;/year&gt;&lt;/dates&gt;&lt;isbn&gt;0021-8561&lt;/isbn&gt;&lt;urls&gt;&lt;/urls&gt;&lt;/record&gt;&lt;/Cite&gt;&lt;/EndNote&gt;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41" w:tooltip="Jadán-Piedra, 2016 #72" w:history="1">
        <w:r w:rsidRPr="00FE7A13">
          <w:rPr>
            <w:rFonts w:ascii="Times New Roman" w:eastAsia="Calibri" w:hAnsi="Times New Roman"/>
            <w:noProof/>
            <w:sz w:val="20"/>
            <w:szCs w:val="20"/>
          </w:rPr>
          <w:t>41</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27" w:name="_Hlk521084947"/>
      <w:r w:rsidRPr="00FE7A13">
        <w:rPr>
          <w:rFonts w:ascii="Times New Roman" w:eastAsia="Calibri" w:hAnsi="Times New Roman"/>
          <w:sz w:val="20"/>
          <w:szCs w:val="20"/>
          <w:lang w:val="en-GB"/>
        </w:rPr>
        <w:t>The contaminant bioaccessibility can be determined in each compartment; however, compound absorption predominantly occurs in the small intestine, which is also known as the gastrointestinal phase. Therefore, bioaccessibility is only determined in the gastrointestinal chyme</w:t>
      </w:r>
      <w:bookmarkEnd w:id="27"/>
      <w:r w:rsidRPr="00FE7A13">
        <w:rPr>
          <w:rFonts w:ascii="Times New Roman" w:eastAsia="Calibri" w:hAnsi="Times New Roman"/>
          <w:sz w:val="20"/>
          <w:szCs w:val="20"/>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&lt;EndNote&gt;&lt;Cite&gt;&lt;Author&gt;Vázquez&lt;/Author&gt;&lt;Year&gt;2015&lt;/Year&gt;&lt;RecNum&gt;73&lt;/RecNum&gt;&lt;DisplayText&gt;[42]&lt;/DisplayText&gt;&lt;record&gt;&lt;rec-number&gt;73&lt;/rec-number&gt;&lt;foreign-keys&gt;&lt;key app="EN" db-id="swr9aa0fctvwziet5pxv0ffgx2e2ssd59sv2"&gt;73&lt;/key&gt;&lt;/foreign-keys&gt;&lt;ref-type name="Journal Article"&gt;17&lt;/ref-type&gt;&lt;contributors&gt;&lt;authors&gt;&lt;author&gt;Vázquez, M&lt;/author&gt;&lt;author&gt;Calatayud, M&lt;/author&gt;&lt;author&gt;Piedra, C Jadán&lt;/author&gt;&lt;author&gt;Chiocchetti, GM&lt;/author&gt;&lt;author&gt;Vélez, D&lt;/author&gt;&lt;author&gt;Devesa, V&lt;/author&gt;&lt;/authors&gt;&lt;/contributors&gt;&lt;titles&gt;&lt;title&gt;Toxic trace elements at gastrointestinal level&lt;/title&gt;&lt;secondary-title&gt;Food and Chemical Toxicology&lt;/secondary-title&gt;&lt;/titles&gt;&lt;periodical&gt;&lt;full-title&gt;Food and Chemical Toxicology&lt;/full-title&gt;&lt;/periodical&gt;&lt;pages&gt;163-175&lt;/pages&gt;&lt;volume&gt;86&lt;/volume&gt;&lt;dates&gt;&lt;year&gt;2015&lt;/year&gt;&lt;/dates&gt;&lt;isbn&gt;0278-6915&lt;/isbn&gt;&lt;urls&gt;&lt;/urls&gt;&lt;/record&gt;&lt;/Cite&gt;&lt;/EndNote&gt;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42" w:tooltip="Vázquez, 2015 #73" w:history="1">
        <w:r w:rsidRPr="00FE7A13">
          <w:rPr>
            <w:rFonts w:ascii="Times New Roman" w:eastAsia="Calibri" w:hAnsi="Times New Roman"/>
            <w:noProof/>
            <w:sz w:val="20"/>
            <w:szCs w:val="20"/>
          </w:rPr>
          <w:t>42</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28" w:name="_Hlk521084991"/>
      <w:r w:rsidRPr="00FE7A13">
        <w:rPr>
          <w:rFonts w:ascii="Times New Roman" w:eastAsia="Calibri" w:hAnsi="Times New Roman"/>
          <w:sz w:val="20"/>
          <w:szCs w:val="20"/>
          <w:lang w:val="en-GB"/>
        </w:rPr>
        <w:t xml:space="preserve">Thus, the value for the gastrointestinal phase was appraised in this study. Bioaccessibility illustrates the fraction of a chemical that desorbs from the soil matrix and is accessible for intestinal absorption. </w:t>
      </w: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lang w:val="en-GB"/>
        </w:rPr>
      </w:pPr>
    </w:p>
    <w:p w:rsidR="00FE7A13" w:rsidRDefault="00FE7A13" w:rsidP="00FE7A13">
      <w:pPr>
        <w:autoSpaceDE w:val="0"/>
        <w:autoSpaceDN w:val="0"/>
        <w:adjustRightInd w:val="0"/>
        <w:spacing w:after="0" w:line="240" w:lineRule="auto"/>
        <w:jc w:val="both"/>
        <w:rPr>
          <w:rFonts w:ascii="Times New Roman" w:eastAsia="Calibri" w:hAnsi="Times New Roman"/>
          <w:sz w:val="20"/>
          <w:szCs w:val="20"/>
        </w:rPr>
      </w:pPr>
      <w:r w:rsidRPr="00FE7A13">
        <w:rPr>
          <w:rFonts w:ascii="Times New Roman" w:eastAsia="Calibri" w:hAnsi="Times New Roman"/>
          <w:sz w:val="20"/>
          <w:szCs w:val="20"/>
          <w:lang w:val="en-GB"/>
        </w:rPr>
        <w:t xml:space="preserve">The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radionuclide in the LC had the highest bioaccessibility value (0.93%), whereas the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 the WLP residue yielded lower values, which was 0.70% in the gastrointestinal phase. As specified by Morrow et al.</w:t>
      </w:r>
      <w:bookmarkEnd w:id="28"/>
      <w:r w:rsidRPr="00FE7A13">
        <w:rPr>
          <w:rFonts w:ascii="Times New Roman" w:eastAsia="Calibri" w:hAnsi="Times New Roman"/>
          <w:sz w:val="20"/>
          <w:szCs w:val="20"/>
          <w:lang w:val="en-GB"/>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 ExcludeAuth="1"&gt;&lt;Author&gt;Morrow&lt;/Author&gt;&lt;Year&gt;1972&lt;/Year&gt;&lt;RecNum&gt;69&lt;/RecNum&gt;&lt;DisplayText&gt;[43]&lt;/DisplayText&gt;&lt;record&gt;&lt;rec-number&gt;69&lt;/rec-number&gt;&lt;foreign-keys&gt;&lt;key app="EN" db-id="swr9aa0fctvwziet5pxv0ffgx2e2ssd59sv2"&gt;69&lt;/key&gt;&lt;/foreign-keys&gt;&lt;ref-type name="Journal Article"&gt;17&lt;/ref-type&gt;&lt;contributors&gt;&lt;authors&gt;&lt;author&gt;Morrow, PE&lt;/author&gt;&lt;author&gt;Gibb, FR&lt;/author&gt;&lt;author&gt;Beiter, HD&lt;/author&gt;&lt;/authors&gt;&lt;/contributors&gt;&lt;titles&gt;&lt;title&gt;Inhalation studies of uranium trioxide&lt;/title&gt;&lt;secondary-title&gt;Health physics&lt;/secondary-title&gt;&lt;/titles&gt;&lt;periodical&gt;&lt;full-title&gt;Health physics&lt;/full-title&gt;&lt;/periodical&gt;&lt;pages&gt;273-280&lt;/pages&gt;&lt;volume&gt;23&lt;/volume&gt;&lt;number&gt;3&lt;/number&gt;&lt;dates&gt;&lt;year&gt;1972&lt;/year&gt;&lt;/dates&gt;&lt;isbn&gt;0017-9078&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43" w:tooltip="Morrow, 1972 #69" w:history="1">
        <w:r w:rsidRPr="00FE7A13">
          <w:rPr>
            <w:rFonts w:ascii="Times New Roman" w:eastAsia="Calibri" w:hAnsi="Times New Roman"/>
            <w:noProof/>
            <w:sz w:val="20"/>
            <w:szCs w:val="20"/>
          </w:rPr>
          <w:t>43</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29" w:name="_Hlk521085032"/>
      <w:r w:rsidRPr="00FE7A13">
        <w:rPr>
          <w:rFonts w:ascii="Times New Roman" w:eastAsia="Calibri" w:hAnsi="Times New Roman"/>
          <w:sz w:val="20"/>
          <w:szCs w:val="20"/>
          <w:lang w:val="en-GB"/>
        </w:rPr>
        <w:t>solubility in the body fluids is the best predictor of U compounds that are absorbed in the human body, rather than their water solubility</w:t>
      </w:r>
      <w:bookmarkEnd w:id="29"/>
      <w:r w:rsidRPr="00FE7A13">
        <w:rPr>
          <w:rFonts w:ascii="Times New Roman" w:eastAsia="Calibri" w:hAnsi="Times New Roman"/>
          <w:sz w:val="20"/>
          <w:szCs w:val="20"/>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&lt;EndNote&gt;&lt;Cite&gt;&lt;Author&gt;Leggett&lt;/Author&gt;&lt;Year&gt;1995&lt;/Year&gt;&lt;RecNum&gt;68&lt;/RecNum&gt;&lt;DisplayText&gt;[44]&lt;/DisplayText&gt;&lt;record&gt;&lt;rec-number&gt;68&lt;/rec-number&gt;&lt;foreign-keys&gt;&lt;key app="EN" db-id="swr9aa0fctvwziet5pxv0ffgx2e2ssd59sv2"&gt;68&lt;/key&gt;&lt;/foreign-keys&gt;&lt;ref-type name="Journal Article"&gt;17&lt;/ref-type&gt;&lt;contributors&gt;&lt;authors&gt;&lt;author&gt;Leggett, RW&lt;/author&gt;&lt;author&gt;Harrison, JD&lt;/author&gt;&lt;/authors&gt;&lt;/contributors&gt;&lt;titles&gt;&lt;title&gt;Fractional absorption of ingested uranium in humans&lt;/title&gt;&lt;secondary-title&gt;Health Physics&lt;/secondary-title&gt;&lt;/titles&gt;&lt;periodical&gt;&lt;full-title&gt;Health physics&lt;/full-title&gt;&lt;/periodical&gt;&lt;pages&gt;484-498&lt;/pages&gt;&lt;volume&gt;68&lt;/volume&gt;&lt;number&gt;4&lt;/number&gt;&lt;dates&gt;&lt;year&gt;1995&lt;/year&gt;&lt;/dates&gt;&lt;isbn&gt;0017-9078&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44" w:tooltip="Leggett, 1995 #68" w:history="1">
        <w:r w:rsidRPr="00FE7A13">
          <w:rPr>
            <w:rFonts w:ascii="Times New Roman" w:eastAsia="Calibri" w:hAnsi="Times New Roman"/>
            <w:noProof/>
            <w:sz w:val="20"/>
            <w:szCs w:val="20"/>
          </w:rPr>
          <w:t>44</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bookmarkStart w:id="30" w:name="_Hlk521085084"/>
      <w:r w:rsidRPr="00FE7A13">
        <w:rPr>
          <w:rFonts w:ascii="Times New Roman" w:eastAsia="Calibri" w:hAnsi="Times New Roman"/>
          <w:sz w:val="20"/>
          <w:szCs w:val="20"/>
          <w:lang w:val="en-GB"/>
        </w:rPr>
        <w:t xml:space="preserve">The maximum bioaccessibility values for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were 0.14% and 0.93%, respectively, which were lower than the bioaccessible fraction, i.e. </w:t>
      </w:r>
      <w:r w:rsidRPr="00FE7A13">
        <w:rPr>
          <w:rFonts w:ascii="Times New Roman" w:eastAsia="Calibri" w:hAnsi="Times New Roman"/>
          <w:i/>
          <w:sz w:val="20"/>
          <w:szCs w:val="20"/>
          <w:lang w:val="en-GB"/>
        </w:rPr>
        <w:t>F</w:t>
      </w:r>
      <w:r w:rsidRPr="00FE7A13">
        <w:rPr>
          <w:rFonts w:ascii="Times New Roman" w:eastAsia="Calibri" w:hAnsi="Times New Roman"/>
          <w:i/>
          <w:sz w:val="20"/>
          <w:szCs w:val="20"/>
          <w:vertAlign w:val="subscript"/>
          <w:lang w:val="en-GB"/>
        </w:rPr>
        <w:t>B</w:t>
      </w:r>
      <w:r w:rsidRPr="00FE7A13">
        <w:rPr>
          <w:rFonts w:ascii="Times New Roman" w:eastAsia="Calibri" w:hAnsi="Times New Roman"/>
          <w:sz w:val="20"/>
          <w:szCs w:val="20"/>
          <w:lang w:val="en-GB"/>
        </w:rPr>
        <w:t xml:space="preserve"> &lt; 1. This verified that the value had lower internal exposure. The maximum amount of a contaminant available for absorption inside the human body is represented by </w:t>
      </w:r>
      <w:r w:rsidRPr="00FE7A13">
        <w:rPr>
          <w:rFonts w:ascii="Times New Roman" w:eastAsia="Calibri" w:hAnsi="Times New Roman"/>
          <w:i/>
          <w:sz w:val="20"/>
          <w:szCs w:val="20"/>
          <w:lang w:val="en-GB"/>
        </w:rPr>
        <w:t>F</w:t>
      </w:r>
      <w:r w:rsidRPr="00FE7A13">
        <w:rPr>
          <w:rFonts w:ascii="Times New Roman" w:eastAsia="Calibri" w:hAnsi="Times New Roman"/>
          <w:i/>
          <w:sz w:val="20"/>
          <w:szCs w:val="20"/>
          <w:vertAlign w:val="subscript"/>
          <w:lang w:val="en-GB"/>
        </w:rPr>
        <w:t>B</w:t>
      </w:r>
      <w:r w:rsidRPr="00FE7A13">
        <w:rPr>
          <w:rFonts w:ascii="Times New Roman" w:eastAsia="Calibri" w:hAnsi="Times New Roman"/>
          <w:sz w:val="20"/>
          <w:szCs w:val="20"/>
          <w:lang w:val="en-GB"/>
        </w:rPr>
        <w:t>; therefore, the oral bioavailability may not be higher than the bioaccessibility. Thus, a bioaccessibility of lower than 100 % suggested that the internal exposure to the contaminant was lower compared to the external exposure, and that the internal exposure to the contaminants was overestimated</w:t>
      </w:r>
      <w:bookmarkEnd w:id="30"/>
      <w:r w:rsidRPr="00FE7A13">
        <w:rPr>
          <w:rFonts w:ascii="Times New Roman" w:eastAsia="Calibri" w:hAnsi="Times New Roman"/>
          <w:sz w:val="20"/>
          <w:szCs w:val="20"/>
        </w:rPr>
        <w:t xml:space="preserve"> </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&lt;EndNote&gt;&lt;Cite&gt;&lt;Author&gt;Oomen&lt;/Author&gt;&lt;Year&gt;2003&lt;/Year&gt;&lt;RecNum&gt;70&lt;/RecNum&gt;&lt;DisplayText&gt;[9, 40]&lt;/DisplayText&gt;&lt;record&gt;&lt;rec-number&gt;70&lt;/rec-number&gt;&lt;foreign-keys&gt;&lt;key app="EN" db-id="swr9aa0fctvwziet5pxv0ffgx2e2ssd59sv2"&gt;70&lt;/key&gt;&lt;/foreign-keys&gt;&lt;ref-type name="Journal Article"&gt;17&lt;/ref-type&gt;&lt;contributors&gt;&lt;authors&gt;&lt;author&gt;Oomen, AG&lt;/author&gt;&lt;author&gt;Rompelberg, CJM&lt;/author&gt;&lt;author&gt;Bruil, MA&lt;/author&gt;&lt;author&gt;Dobbe, CJG&lt;/author&gt;&lt;author&gt;Pereboom, DPKH&lt;/author&gt;&lt;author&gt;Sips, AJAM&lt;/author&gt;&lt;/authors&gt;&lt;/contributors&gt;&lt;titles&gt;&lt;title&gt;Development of an in vitro digestion model for estimating the bioaccessibility of soil contaminants&lt;/title&gt;&lt;secondary-title&gt;Archives of environmental contamination and toxicology&lt;/secondary-title&gt;&lt;/titles&gt;&lt;periodical&gt;&lt;full-title&gt;Archives of environmental contamination and toxicology&lt;/full-title&gt;&lt;/periodical&gt;&lt;pages&gt;0281-0287&lt;/pages&gt;&lt;volume&gt;44&lt;/volume&gt;&lt;number&gt;3&lt;/number&gt;&lt;dates&gt;&lt;year&gt;2003&lt;/year&gt;&lt;/dates&gt;&lt;isbn&gt;0090-4341&lt;/isbn&gt;&lt;urls&gt;&lt;/urls&gt;&lt;/record&gt;&lt;/Cite&gt;&lt;Cite&gt;&lt;Author&gt;Oomen&lt;/Author&gt;&lt;Year&gt;2002&lt;/Year&gt;&lt;RecNum&gt;38&lt;/RecNum&gt;&lt;record&gt;&lt;rec-number&gt;38&lt;/rec-number&gt;&lt;foreign-keys&gt;&lt;key app="EN" db-id="9dzedx9enatp9deeweuxp2x4wzfs59redfdt" timestamp="1531989773"&gt;38&lt;/key&gt;&lt;/foreign-keys&gt;&lt;ref-type name="Journal Article"&gt;17&lt;/ref-type&gt;&lt;contributors&gt;&lt;authors&gt;&lt;author&gt;Oomen, Agnes G&lt;/author&gt;&lt;author&gt;Hack, Alfons&lt;/author&gt;&lt;author&gt;Minekus, Mans&lt;/author&gt;&lt;author&gt;Zeijdner, Evelijn&lt;/author&gt;&lt;author&gt;Cornelis, Christa&lt;/author&gt;&lt;author&gt;Schoeters, Greet&lt;/author&gt;&lt;author&gt;Verstraete, Willy&lt;/author&gt;&lt;author&gt;Van de Wiele, Tom&lt;/author&gt;&lt;author&gt;Wragg, Joanna&lt;/author&gt;&lt;author&gt;Rompelberg, Cathy JM&lt;/author&gt;&lt;/authors&gt;&lt;/contributors&gt;&lt;titles&gt;&lt;title&gt;Comparison of five in vitro digestion models to study the bioaccessibility of soil contaminants&lt;/title&gt;&lt;secondary-title&gt;Environmental science &amp;amp; technology&lt;/secondary-title&gt;&lt;/titles&gt;&lt;pages&gt;3326-3334&lt;/pages&gt;&lt;volume&gt;36&lt;/volume&gt;&lt;number&gt;15&lt;/number&gt;&lt;dates&gt;&lt;year&gt;2002&lt;/year&gt;&lt;/dates&gt;&lt;isbn&gt;0013-936X&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9" w:tooltip="Oomen, 2003 #50" w:history="1">
        <w:r w:rsidRPr="00FE7A13">
          <w:rPr>
            <w:rFonts w:ascii="Times New Roman" w:eastAsia="Calibri" w:hAnsi="Times New Roman"/>
            <w:noProof/>
            <w:sz w:val="20"/>
            <w:szCs w:val="20"/>
          </w:rPr>
          <w:t>9</w:t>
        </w:r>
      </w:hyperlink>
      <w:r w:rsidRPr="00FE7A13">
        <w:rPr>
          <w:rFonts w:ascii="Times New Roman" w:eastAsia="Calibri" w:hAnsi="Times New Roman"/>
          <w:noProof/>
          <w:sz w:val="20"/>
          <w:szCs w:val="20"/>
        </w:rPr>
        <w:t xml:space="preserve">, </w:t>
      </w:r>
      <w:hyperlink w:anchor="_ENREF_40" w:tooltip="Oomen, 2002 #38" w:history="1">
        <w:r w:rsidRPr="00FE7A13">
          <w:rPr>
            <w:rFonts w:ascii="Times New Roman" w:eastAsia="Calibri" w:hAnsi="Times New Roman"/>
            <w:noProof/>
            <w:sz w:val="20"/>
            <w:szCs w:val="20"/>
          </w:rPr>
          <w:t>40</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w:t>
      </w:r>
    </w:p>
    <w:p w:rsidR="00C35904" w:rsidRDefault="00C35904" w:rsidP="00FE7A13">
      <w:pPr>
        <w:autoSpaceDE w:val="0"/>
        <w:autoSpaceDN w:val="0"/>
        <w:adjustRightInd w:val="0"/>
        <w:spacing w:after="0" w:line="240" w:lineRule="auto"/>
        <w:jc w:val="both"/>
        <w:rPr>
          <w:rFonts w:ascii="Times New Roman" w:eastAsia="Calibri" w:hAnsi="Times New Roman"/>
          <w:sz w:val="20"/>
          <w:szCs w:val="20"/>
        </w:rPr>
      </w:pPr>
    </w:p>
    <w:p w:rsidR="00C35904" w:rsidRDefault="00C35904" w:rsidP="00FE7A13">
      <w:pPr>
        <w:autoSpaceDE w:val="0"/>
        <w:autoSpaceDN w:val="0"/>
        <w:adjustRightInd w:val="0"/>
        <w:spacing w:after="0" w:line="240" w:lineRule="auto"/>
        <w:jc w:val="both"/>
        <w:rPr>
          <w:rFonts w:ascii="Times New Roman" w:eastAsia="Calibri" w:hAnsi="Times New Roman"/>
          <w:b/>
          <w:sz w:val="20"/>
          <w:szCs w:val="20"/>
          <w:lang w:val="en-GB"/>
        </w:rPr>
      </w:pPr>
    </w:p>
    <w:p w:rsidR="00C35904" w:rsidRPr="00FE7A13" w:rsidRDefault="00C35904" w:rsidP="00FE7A13">
      <w:pPr>
        <w:autoSpaceDE w:val="0"/>
        <w:autoSpaceDN w:val="0"/>
        <w:adjustRightInd w:val="0"/>
        <w:spacing w:after="0" w:line="240" w:lineRule="auto"/>
        <w:jc w:val="both"/>
        <w:rPr>
          <w:rFonts w:ascii="Times New Roman" w:eastAsia="Calibri" w:hAnsi="Times New Roman"/>
          <w:b/>
          <w:sz w:val="20"/>
          <w:szCs w:val="20"/>
          <w:lang w:val="en-GB"/>
        </w:rPr>
      </w:pPr>
    </w:p>
    <w:p w:rsidR="00B2716F" w:rsidRDefault="00FE7A13" w:rsidP="00B2716F">
      <w:pPr>
        <w:autoSpaceDE w:val="0"/>
        <w:autoSpaceDN w:val="0"/>
        <w:adjustRightInd w:val="0"/>
        <w:spacing w:after="0" w:line="240" w:lineRule="auto"/>
        <w:ind w:left="709" w:hanging="709"/>
        <w:jc w:val="center"/>
        <w:rPr>
          <w:rFonts w:ascii="Times New Roman" w:eastAsia="Calibri" w:hAnsi="Times New Roman"/>
          <w:sz w:val="20"/>
          <w:szCs w:val="20"/>
        </w:rPr>
      </w:pPr>
      <w:r w:rsidRPr="00FE7A13">
        <w:rPr>
          <w:rFonts w:ascii="Times New Roman" w:eastAsia="Calibri" w:hAnsi="Times New Roman"/>
          <w:sz w:val="20"/>
          <w:szCs w:val="20"/>
        </w:rPr>
        <w:lastRenderedPageBreak/>
        <w:t xml:space="preserve">Table 8.  Bioaccessibility of </w:t>
      </w:r>
      <w:r w:rsidRPr="00FE7A13">
        <w:rPr>
          <w:rFonts w:ascii="Times New Roman" w:eastAsia="Calibri" w:hAnsi="Times New Roman"/>
          <w:sz w:val="20"/>
          <w:szCs w:val="20"/>
          <w:vertAlign w:val="superscript"/>
        </w:rPr>
        <w:t>232</w:t>
      </w:r>
      <w:r w:rsidRPr="00FE7A13">
        <w:rPr>
          <w:rFonts w:ascii="Times New Roman" w:eastAsia="Calibri" w:hAnsi="Times New Roman"/>
          <w:sz w:val="20"/>
          <w:szCs w:val="20"/>
        </w:rPr>
        <w:t xml:space="preserve">Th and </w:t>
      </w:r>
      <w:r w:rsidRPr="00FE7A13">
        <w:rPr>
          <w:rFonts w:ascii="Times New Roman" w:eastAsia="Calibri" w:hAnsi="Times New Roman"/>
          <w:sz w:val="20"/>
          <w:szCs w:val="20"/>
          <w:vertAlign w:val="superscript"/>
        </w:rPr>
        <w:t>238</w:t>
      </w:r>
      <w:r w:rsidRPr="00FE7A13">
        <w:rPr>
          <w:rFonts w:ascii="Times New Roman" w:eastAsia="Calibri" w:hAnsi="Times New Roman"/>
          <w:sz w:val="20"/>
          <w:szCs w:val="20"/>
        </w:rPr>
        <w:t xml:space="preserve">U in lanthanide concentrate and water leach purification residue </w:t>
      </w:r>
    </w:p>
    <w:p w:rsidR="00FE7A13" w:rsidRPr="00FE7A13" w:rsidRDefault="00FE7A13" w:rsidP="00B2716F">
      <w:pPr>
        <w:autoSpaceDE w:val="0"/>
        <w:autoSpaceDN w:val="0"/>
        <w:adjustRightInd w:val="0"/>
        <w:spacing w:after="120" w:line="240" w:lineRule="auto"/>
        <w:ind w:left="706" w:hanging="706"/>
        <w:jc w:val="center"/>
        <w:rPr>
          <w:rFonts w:ascii="Times New Roman" w:eastAsia="Calibri" w:hAnsi="Times New Roman"/>
          <w:sz w:val="20"/>
          <w:szCs w:val="20"/>
        </w:rPr>
      </w:pPr>
      <w:r w:rsidRPr="00FE7A13">
        <w:rPr>
          <w:rFonts w:ascii="Times New Roman" w:eastAsia="Calibri" w:hAnsi="Times New Roman"/>
          <w:sz w:val="20"/>
          <w:szCs w:val="20"/>
        </w:rPr>
        <w:t xml:space="preserve">by DIN </w:t>
      </w:r>
      <w:r w:rsidRPr="00FE7A13">
        <w:rPr>
          <w:rFonts w:ascii="Times New Roman" w:eastAsia="Calibri" w:hAnsi="Times New Roman"/>
          <w:i/>
          <w:sz w:val="20"/>
          <w:szCs w:val="20"/>
        </w:rPr>
        <w:t>in vitro</w:t>
      </w:r>
      <w:r w:rsidRPr="00FE7A13">
        <w:rPr>
          <w:rFonts w:ascii="Times New Roman" w:eastAsia="Calibri" w:hAnsi="Times New Roman"/>
          <w:sz w:val="20"/>
          <w:szCs w:val="20"/>
        </w:rPr>
        <w:t xml:space="preserve"> bioaccessibility model</w:t>
      </w:r>
    </w:p>
    <w:tbl>
      <w:tblPr>
        <w:tblW w:w="0" w:type="auto"/>
        <w:jc w:val="center"/>
        <w:tblLook w:val="04A0" w:firstRow="1" w:lastRow="0" w:firstColumn="1" w:lastColumn="0" w:noHBand="0" w:noVBand="1"/>
      </w:tblPr>
      <w:tblGrid>
        <w:gridCol w:w="2749"/>
        <w:gridCol w:w="1026"/>
        <w:gridCol w:w="885"/>
      </w:tblGrid>
      <w:tr w:rsidR="00FE7A13" w:rsidRPr="00FE7A13" w:rsidTr="00D56804">
        <w:trPr>
          <w:trHeight w:val="274"/>
          <w:jc w:val="center"/>
        </w:trPr>
        <w:tc>
          <w:tcPr>
            <w:tcW w:w="0" w:type="auto"/>
            <w:tcBorders>
              <w:top w:val="single" w:sz="4" w:space="0" w:color="auto"/>
            </w:tcBorders>
          </w:tcPr>
          <w:p w:rsidR="00FE7A13" w:rsidRPr="00FE7A13" w:rsidRDefault="00FE7A13" w:rsidP="00C35904">
            <w:pPr>
              <w:widowControl w:val="0"/>
              <w:autoSpaceDE w:val="0"/>
              <w:autoSpaceDN w:val="0"/>
              <w:adjustRightInd w:val="0"/>
              <w:spacing w:after="0" w:line="240" w:lineRule="auto"/>
              <w:rPr>
                <w:rFonts w:ascii="Times New Roman" w:eastAsia="Calibri" w:hAnsi="Times New Roman"/>
                <w:b/>
                <w:kern w:val="2"/>
                <w:sz w:val="20"/>
                <w:szCs w:val="20"/>
                <w:lang w:eastAsia="ko-KR"/>
              </w:rPr>
            </w:pPr>
          </w:p>
        </w:tc>
        <w:tc>
          <w:tcPr>
            <w:tcW w:w="0" w:type="auto"/>
            <w:gridSpan w:val="2"/>
            <w:tcBorders>
              <w:top w:val="single" w:sz="4" w:space="0" w:color="auto"/>
              <w:bottom w:val="single" w:sz="4" w:space="0" w:color="auto"/>
            </w:tcBorders>
          </w:tcPr>
          <w:p w:rsidR="00FE7A13" w:rsidRPr="00FE7A13" w:rsidRDefault="00FE7A13" w:rsidP="00C35904">
            <w:pPr>
              <w:widowControl w:val="0"/>
              <w:autoSpaceDE w:val="0"/>
              <w:autoSpaceDN w:val="0"/>
              <w:adjustRightInd w:val="0"/>
              <w:spacing w:before="60" w:after="0" w:line="240" w:lineRule="auto"/>
              <w:jc w:val="center"/>
              <w:rPr>
                <w:rFonts w:ascii="Times New Roman" w:eastAsia="Calibri" w:hAnsi="Times New Roman"/>
                <w:b/>
                <w:kern w:val="2"/>
                <w:sz w:val="20"/>
                <w:szCs w:val="20"/>
                <w:lang w:eastAsia="ko-KR"/>
              </w:rPr>
            </w:pPr>
            <w:r w:rsidRPr="00FE7A13">
              <w:rPr>
                <w:rFonts w:ascii="Times New Roman" w:eastAsia="Calibri" w:hAnsi="Times New Roman"/>
                <w:b/>
                <w:kern w:val="2"/>
                <w:sz w:val="20"/>
                <w:szCs w:val="20"/>
                <w:lang w:eastAsia="ko-KR"/>
              </w:rPr>
              <w:t>Bioaccessibility (%)</w:t>
            </w:r>
          </w:p>
        </w:tc>
      </w:tr>
      <w:tr w:rsidR="00FE7A13" w:rsidRPr="00FE7A13" w:rsidTr="00D56804">
        <w:trPr>
          <w:trHeight w:val="321"/>
          <w:jc w:val="center"/>
        </w:trPr>
        <w:tc>
          <w:tcPr>
            <w:tcW w:w="0" w:type="auto"/>
            <w:tcBorders>
              <w:bottom w:val="single" w:sz="4" w:space="0" w:color="auto"/>
            </w:tcBorders>
          </w:tcPr>
          <w:p w:rsidR="00FE7A13" w:rsidRPr="00FE7A13" w:rsidRDefault="00FE7A13" w:rsidP="00C35904">
            <w:pPr>
              <w:widowControl w:val="0"/>
              <w:autoSpaceDE w:val="0"/>
              <w:autoSpaceDN w:val="0"/>
              <w:adjustRightInd w:val="0"/>
              <w:spacing w:after="0" w:line="240" w:lineRule="auto"/>
              <w:rPr>
                <w:rFonts w:ascii="Times New Roman" w:eastAsia="Calibri" w:hAnsi="Times New Roman"/>
                <w:b/>
                <w:kern w:val="2"/>
                <w:sz w:val="20"/>
                <w:szCs w:val="20"/>
                <w:vertAlign w:val="superscript"/>
                <w:lang w:eastAsia="ko-KR"/>
              </w:rPr>
            </w:pPr>
          </w:p>
        </w:tc>
        <w:tc>
          <w:tcPr>
            <w:tcW w:w="0" w:type="auto"/>
            <w:tcBorders>
              <w:top w:val="single" w:sz="4" w:space="0" w:color="auto"/>
              <w:bottom w:val="single" w:sz="4" w:space="0" w:color="auto"/>
            </w:tcBorders>
          </w:tcPr>
          <w:p w:rsidR="00FE7A13" w:rsidRPr="00FE7A13" w:rsidRDefault="00FE7A13" w:rsidP="00B2716F">
            <w:pPr>
              <w:widowControl w:val="0"/>
              <w:autoSpaceDE w:val="0"/>
              <w:autoSpaceDN w:val="0"/>
              <w:adjustRightInd w:val="0"/>
              <w:spacing w:before="60" w:after="60" w:line="240" w:lineRule="auto"/>
              <w:jc w:val="center"/>
              <w:rPr>
                <w:rFonts w:ascii="Times New Roman" w:eastAsia="Calibri" w:hAnsi="Times New Roman"/>
                <w:b/>
                <w:kern w:val="2"/>
                <w:sz w:val="20"/>
                <w:szCs w:val="20"/>
                <w:lang w:eastAsia="ko-KR"/>
              </w:rPr>
            </w:pPr>
            <w:r w:rsidRPr="00FE7A13">
              <w:rPr>
                <w:rFonts w:ascii="Times New Roman" w:eastAsia="Calibri" w:hAnsi="Times New Roman"/>
                <w:b/>
                <w:kern w:val="2"/>
                <w:sz w:val="20"/>
                <w:szCs w:val="20"/>
                <w:vertAlign w:val="superscript"/>
                <w:lang w:eastAsia="ko-KR"/>
              </w:rPr>
              <w:t>232</w:t>
            </w:r>
            <w:r w:rsidRPr="00FE7A13">
              <w:rPr>
                <w:rFonts w:ascii="Times New Roman" w:eastAsia="Calibri" w:hAnsi="Times New Roman"/>
                <w:b/>
                <w:kern w:val="2"/>
                <w:sz w:val="20"/>
                <w:szCs w:val="20"/>
                <w:lang w:eastAsia="ko-KR"/>
              </w:rPr>
              <w:t>Th</w:t>
            </w:r>
          </w:p>
        </w:tc>
        <w:tc>
          <w:tcPr>
            <w:tcW w:w="0" w:type="auto"/>
            <w:tcBorders>
              <w:top w:val="single" w:sz="4" w:space="0" w:color="auto"/>
              <w:bottom w:val="single" w:sz="4" w:space="0" w:color="auto"/>
            </w:tcBorders>
          </w:tcPr>
          <w:p w:rsidR="00FE7A13" w:rsidRPr="00FE7A13" w:rsidRDefault="00FE7A13" w:rsidP="00B2716F">
            <w:pPr>
              <w:widowControl w:val="0"/>
              <w:autoSpaceDE w:val="0"/>
              <w:autoSpaceDN w:val="0"/>
              <w:adjustRightInd w:val="0"/>
              <w:spacing w:before="60" w:after="60" w:line="240" w:lineRule="auto"/>
              <w:jc w:val="center"/>
              <w:rPr>
                <w:rFonts w:ascii="Times New Roman" w:eastAsia="Calibri" w:hAnsi="Times New Roman"/>
                <w:b/>
                <w:kern w:val="2"/>
                <w:sz w:val="20"/>
                <w:szCs w:val="20"/>
                <w:lang w:eastAsia="ko-KR"/>
              </w:rPr>
            </w:pPr>
            <w:r w:rsidRPr="00FE7A13">
              <w:rPr>
                <w:rFonts w:ascii="Times New Roman" w:eastAsia="Calibri" w:hAnsi="Times New Roman"/>
                <w:b/>
                <w:kern w:val="2"/>
                <w:sz w:val="20"/>
                <w:szCs w:val="20"/>
                <w:vertAlign w:val="superscript"/>
                <w:lang w:eastAsia="ko-KR"/>
              </w:rPr>
              <w:t>238</w:t>
            </w:r>
            <w:r w:rsidRPr="00FE7A13">
              <w:rPr>
                <w:rFonts w:ascii="Times New Roman" w:eastAsia="Calibri" w:hAnsi="Times New Roman"/>
                <w:b/>
                <w:kern w:val="2"/>
                <w:sz w:val="20"/>
                <w:szCs w:val="20"/>
                <w:lang w:eastAsia="ko-KR"/>
              </w:rPr>
              <w:t>U</w:t>
            </w:r>
          </w:p>
        </w:tc>
      </w:tr>
      <w:tr w:rsidR="00FE7A13" w:rsidRPr="00FE7A13" w:rsidTr="00C35904">
        <w:trPr>
          <w:trHeight w:val="239"/>
          <w:jc w:val="center"/>
        </w:trPr>
        <w:tc>
          <w:tcPr>
            <w:tcW w:w="0" w:type="auto"/>
            <w:tcBorders>
              <w:top w:val="single" w:sz="4" w:space="0" w:color="auto"/>
            </w:tcBorders>
          </w:tcPr>
          <w:p w:rsidR="00FE7A13" w:rsidRPr="00FE7A13" w:rsidRDefault="00FE7A13" w:rsidP="00C35904">
            <w:pPr>
              <w:widowControl w:val="0"/>
              <w:autoSpaceDE w:val="0"/>
              <w:autoSpaceDN w:val="0"/>
              <w:adjustRightInd w:val="0"/>
              <w:spacing w:before="60" w:after="0" w:line="240" w:lineRule="auto"/>
              <w:rPr>
                <w:rFonts w:ascii="Times New Roman" w:eastAsia="Calibri" w:hAnsi="Times New Roman"/>
                <w:kern w:val="2"/>
                <w:sz w:val="20"/>
                <w:szCs w:val="20"/>
                <w:lang w:eastAsia="ko-KR"/>
              </w:rPr>
            </w:pPr>
            <w:r w:rsidRPr="00FE7A13">
              <w:rPr>
                <w:rFonts w:ascii="Times New Roman" w:eastAsia="Calibri" w:hAnsi="Times New Roman"/>
                <w:kern w:val="2"/>
                <w:sz w:val="20"/>
                <w:szCs w:val="20"/>
                <w:lang w:eastAsia="ko-KR"/>
              </w:rPr>
              <w:t>Lanthanide concentrate (LC)</w:t>
            </w:r>
          </w:p>
        </w:tc>
        <w:tc>
          <w:tcPr>
            <w:tcW w:w="0" w:type="auto"/>
            <w:tcBorders>
              <w:top w:val="single" w:sz="4" w:space="0" w:color="auto"/>
            </w:tcBorders>
          </w:tcPr>
          <w:p w:rsidR="00FE7A13" w:rsidRPr="00FE7A13" w:rsidRDefault="00FE7A13" w:rsidP="00C35904">
            <w:pPr>
              <w:widowControl w:val="0"/>
              <w:autoSpaceDE w:val="0"/>
              <w:autoSpaceDN w:val="0"/>
              <w:adjustRightInd w:val="0"/>
              <w:spacing w:before="60" w:after="0" w:line="240" w:lineRule="auto"/>
              <w:jc w:val="center"/>
              <w:rPr>
                <w:rFonts w:ascii="Times New Roman" w:eastAsia="Calibri" w:hAnsi="Times New Roman"/>
                <w:kern w:val="2"/>
                <w:sz w:val="20"/>
                <w:szCs w:val="20"/>
                <w:lang w:eastAsia="ko-KR"/>
              </w:rPr>
            </w:pPr>
            <w:r w:rsidRPr="00FE7A13">
              <w:rPr>
                <w:rFonts w:ascii="Times New Roman" w:eastAsia="Calibri" w:hAnsi="Times New Roman"/>
                <w:kern w:val="2"/>
                <w:sz w:val="20"/>
                <w:szCs w:val="20"/>
                <w:lang w:eastAsia="ko-KR"/>
              </w:rPr>
              <w:t>0.14</w:t>
            </w:r>
          </w:p>
        </w:tc>
        <w:tc>
          <w:tcPr>
            <w:tcW w:w="0" w:type="auto"/>
            <w:tcBorders>
              <w:top w:val="single" w:sz="4" w:space="0" w:color="auto"/>
            </w:tcBorders>
          </w:tcPr>
          <w:p w:rsidR="00FE7A13" w:rsidRPr="00FE7A13" w:rsidRDefault="00FE7A13" w:rsidP="00C35904">
            <w:pPr>
              <w:widowControl w:val="0"/>
              <w:autoSpaceDE w:val="0"/>
              <w:autoSpaceDN w:val="0"/>
              <w:adjustRightInd w:val="0"/>
              <w:spacing w:before="60" w:after="0" w:line="240" w:lineRule="auto"/>
              <w:jc w:val="center"/>
              <w:rPr>
                <w:rFonts w:ascii="Times New Roman" w:eastAsia="Calibri" w:hAnsi="Times New Roman"/>
                <w:kern w:val="2"/>
                <w:sz w:val="20"/>
                <w:szCs w:val="20"/>
                <w:lang w:eastAsia="ko-KR"/>
              </w:rPr>
            </w:pPr>
            <w:r w:rsidRPr="00FE7A13">
              <w:rPr>
                <w:rFonts w:ascii="Times New Roman" w:eastAsia="Calibri" w:hAnsi="Times New Roman"/>
                <w:kern w:val="2"/>
                <w:sz w:val="20"/>
                <w:szCs w:val="20"/>
                <w:lang w:eastAsia="ko-KR"/>
              </w:rPr>
              <w:t>0.93</w:t>
            </w:r>
          </w:p>
        </w:tc>
      </w:tr>
      <w:tr w:rsidR="00FE7A13" w:rsidRPr="00FE7A13" w:rsidTr="00C35904">
        <w:trPr>
          <w:trHeight w:val="129"/>
          <w:jc w:val="center"/>
        </w:trPr>
        <w:tc>
          <w:tcPr>
            <w:tcW w:w="0" w:type="auto"/>
            <w:tcBorders>
              <w:bottom w:val="single" w:sz="4" w:space="0" w:color="auto"/>
            </w:tcBorders>
          </w:tcPr>
          <w:p w:rsidR="00FE7A13" w:rsidRPr="00FE7A13" w:rsidRDefault="00FE7A13" w:rsidP="00C35904">
            <w:pPr>
              <w:widowControl w:val="0"/>
              <w:autoSpaceDE w:val="0"/>
              <w:autoSpaceDN w:val="0"/>
              <w:adjustRightInd w:val="0"/>
              <w:spacing w:before="60" w:after="60" w:line="240" w:lineRule="auto"/>
              <w:rPr>
                <w:rFonts w:ascii="Times New Roman" w:eastAsia="Calibri" w:hAnsi="Times New Roman"/>
                <w:kern w:val="2"/>
                <w:sz w:val="20"/>
                <w:szCs w:val="20"/>
                <w:lang w:eastAsia="ko-KR"/>
              </w:rPr>
            </w:pPr>
            <w:r w:rsidRPr="00FE7A13">
              <w:rPr>
                <w:rFonts w:ascii="Times New Roman" w:eastAsia="Calibri" w:hAnsi="Times New Roman"/>
                <w:kern w:val="2"/>
                <w:sz w:val="20"/>
                <w:szCs w:val="20"/>
                <w:lang w:eastAsia="ko-KR"/>
              </w:rPr>
              <w:t>Water leach purification (WLP)</w:t>
            </w:r>
          </w:p>
        </w:tc>
        <w:tc>
          <w:tcPr>
            <w:tcW w:w="0" w:type="auto"/>
            <w:tcBorders>
              <w:bottom w:val="single" w:sz="4" w:space="0" w:color="auto"/>
            </w:tcBorders>
          </w:tcPr>
          <w:p w:rsidR="00FE7A13" w:rsidRPr="00FE7A13" w:rsidRDefault="00FE7A13" w:rsidP="00C35904">
            <w:pPr>
              <w:widowControl w:val="0"/>
              <w:autoSpaceDE w:val="0"/>
              <w:autoSpaceDN w:val="0"/>
              <w:adjustRightInd w:val="0"/>
              <w:spacing w:before="60" w:after="60" w:line="240" w:lineRule="auto"/>
              <w:jc w:val="center"/>
              <w:rPr>
                <w:rFonts w:ascii="Times New Roman" w:eastAsia="Calibri" w:hAnsi="Times New Roman"/>
                <w:kern w:val="2"/>
                <w:sz w:val="20"/>
                <w:szCs w:val="20"/>
                <w:lang w:eastAsia="ko-KR"/>
              </w:rPr>
            </w:pPr>
            <w:r w:rsidRPr="00FE7A13">
              <w:rPr>
                <w:rFonts w:ascii="Times New Roman" w:eastAsia="Calibri" w:hAnsi="Times New Roman"/>
                <w:kern w:val="2"/>
                <w:sz w:val="20"/>
                <w:szCs w:val="20"/>
                <w:lang w:eastAsia="ko-KR"/>
              </w:rPr>
              <w:t>0.10</w:t>
            </w:r>
          </w:p>
        </w:tc>
        <w:tc>
          <w:tcPr>
            <w:tcW w:w="0" w:type="auto"/>
            <w:tcBorders>
              <w:bottom w:val="single" w:sz="4" w:space="0" w:color="auto"/>
            </w:tcBorders>
          </w:tcPr>
          <w:p w:rsidR="00FE7A13" w:rsidRPr="00FE7A13" w:rsidRDefault="00FE7A13" w:rsidP="00C35904">
            <w:pPr>
              <w:widowControl w:val="0"/>
              <w:autoSpaceDE w:val="0"/>
              <w:autoSpaceDN w:val="0"/>
              <w:adjustRightInd w:val="0"/>
              <w:spacing w:before="60" w:after="60" w:line="240" w:lineRule="auto"/>
              <w:jc w:val="center"/>
              <w:rPr>
                <w:rFonts w:ascii="Times New Roman" w:eastAsia="Calibri" w:hAnsi="Times New Roman"/>
                <w:kern w:val="2"/>
                <w:sz w:val="20"/>
                <w:szCs w:val="20"/>
                <w:lang w:eastAsia="ko-KR"/>
              </w:rPr>
            </w:pPr>
            <w:r w:rsidRPr="00FE7A13">
              <w:rPr>
                <w:rFonts w:ascii="Times New Roman" w:eastAsia="Calibri" w:hAnsi="Times New Roman"/>
                <w:kern w:val="2"/>
                <w:sz w:val="20"/>
                <w:szCs w:val="20"/>
                <w:lang w:eastAsia="ko-KR"/>
              </w:rPr>
              <w:t>0.70</w:t>
            </w:r>
          </w:p>
        </w:tc>
      </w:tr>
    </w:tbl>
    <w:p w:rsidR="00FE7A13" w:rsidRPr="00FE7A13" w:rsidRDefault="00FE7A13" w:rsidP="00C35904">
      <w:pPr>
        <w:autoSpaceDE w:val="0"/>
        <w:autoSpaceDN w:val="0"/>
        <w:adjustRightInd w:val="0"/>
        <w:spacing w:after="120" w:line="240" w:lineRule="auto"/>
        <w:jc w:val="both"/>
        <w:rPr>
          <w:rFonts w:ascii="Times New Roman" w:eastAsia="Calibri" w:hAnsi="Times New Roman"/>
          <w:b/>
          <w:sz w:val="20"/>
          <w:szCs w:val="20"/>
          <w:lang w:val="en-GB"/>
        </w:rPr>
      </w:pPr>
    </w:p>
    <w:p w:rsidR="00FE7A13" w:rsidRPr="00FE7A13" w:rsidRDefault="00FE7A13" w:rsidP="00FE7A13">
      <w:pPr>
        <w:autoSpaceDE w:val="0"/>
        <w:autoSpaceDN w:val="0"/>
        <w:adjustRightInd w:val="0"/>
        <w:spacing w:after="0" w:line="240" w:lineRule="auto"/>
        <w:jc w:val="both"/>
        <w:rPr>
          <w:rFonts w:ascii="Times New Roman" w:eastAsia="Calibri" w:hAnsi="Times New Roman"/>
          <w:b/>
          <w:sz w:val="20"/>
          <w:szCs w:val="20"/>
          <w:lang w:val="en-GB"/>
        </w:rPr>
      </w:pPr>
      <w:r w:rsidRPr="00FE7A13">
        <w:rPr>
          <w:rFonts w:ascii="Times New Roman" w:eastAsia="Calibri" w:hAnsi="Times New Roman"/>
          <w:b/>
          <w:sz w:val="20"/>
          <w:szCs w:val="20"/>
          <w:lang w:val="en-GB"/>
        </w:rPr>
        <w:t>Equivalent dose and effective dose</w:t>
      </w:r>
    </w:p>
    <w:p w:rsidR="00FE7A13" w:rsidRPr="00FE7A13" w:rsidRDefault="00FE7A13" w:rsidP="00FE7A13">
      <w:pPr>
        <w:autoSpaceDE w:val="0"/>
        <w:autoSpaceDN w:val="0"/>
        <w:adjustRightInd w:val="0"/>
        <w:spacing w:after="0" w:line="240" w:lineRule="auto"/>
        <w:jc w:val="both"/>
        <w:rPr>
          <w:rFonts w:ascii="Times New Roman" w:eastAsia="Calibri" w:hAnsi="Times New Roman"/>
          <w:sz w:val="20"/>
          <w:szCs w:val="20"/>
        </w:rPr>
      </w:pPr>
      <w:r w:rsidRPr="00FE7A13">
        <w:rPr>
          <w:rFonts w:ascii="Times New Roman" w:eastAsia="Calibri" w:hAnsi="Times New Roman"/>
          <w:sz w:val="20"/>
          <w:szCs w:val="20"/>
          <w:lang w:val="en-MY"/>
        </w:rPr>
        <w:t xml:space="preserve">According to International Atomic Energy Agency (IAEA)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 ExcludeAuth="1"&gt;&lt;Author&gt;IAEA&lt;/Author&gt;&lt;Year&gt;1999&lt;/Year&gt;&lt;RecNum&gt;21&lt;/RecNum&gt;&lt;DisplayText&gt;[45]&lt;/DisplayText&gt;&lt;record&gt;&lt;rec-number&gt;21&lt;/rec-number&gt;&lt;foreign-keys&gt;&lt;key app="EN" db-id="swr9aa0fctvwziet5pxv0ffgx2e2ssd59sv2"&gt;21&lt;/key&gt;&lt;/foreign-keys&gt;&lt;ref-type name="Journal Article"&gt;17&lt;/ref-type&gt;&lt;contributors&gt;&lt;authors&gt;&lt;author&gt;International Atomic Energy Agency IAEA&lt;/author&gt;&lt;/authors&gt;&lt;/contributors&gt;&lt;titles&gt;&lt;title&gt;Assessment For Doses To The Public From Ingested Radionuclides&lt;/title&gt;&lt;/titles&gt;&lt;dates&gt;&lt;year&gt;1999&lt;/year&gt;&lt;/dates&gt;&lt;urls&gt;&lt;related-urls&gt;&lt;url&gt;http://www-pub.iaea.org/MTCD/Publications/PDF/P067_scr.pdf&lt;/url&gt;&lt;/related-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45" w:tooltip="IAEA, 1999 #21" w:history="1">
        <w:r w:rsidRPr="00FE7A13">
          <w:rPr>
            <w:rFonts w:ascii="Times New Roman" w:eastAsia="Calibri" w:hAnsi="Times New Roman"/>
            <w:noProof/>
            <w:sz w:val="20"/>
            <w:szCs w:val="20"/>
            <w:lang w:val="en-MY"/>
          </w:rPr>
          <w:t>45</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 xml:space="preserve">, </w:t>
      </w:r>
      <w:bookmarkStart w:id="31" w:name="_Hlk521085174"/>
      <w:r w:rsidRPr="00FE7A13">
        <w:rPr>
          <w:rFonts w:ascii="Times New Roman" w:eastAsia="Calibri" w:hAnsi="Times New Roman"/>
          <w:sz w:val="20"/>
          <w:szCs w:val="20"/>
          <w:lang w:val="en-GB"/>
        </w:rPr>
        <w:t xml:space="preserve">the committed equivalent tissue dose per unit activity for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ingested by adults is 70</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bone surfaces, </w:t>
      </w:r>
      <w:bookmarkStart w:id="32" w:name="OLE_LINK32"/>
      <w:bookmarkStart w:id="33" w:name="OLE_LINK33"/>
      <w:r w:rsidRPr="00FE7A13">
        <w:rPr>
          <w:rFonts w:ascii="Times New Roman" w:eastAsia="Calibri" w:hAnsi="Times New Roman"/>
          <w:sz w:val="20"/>
          <w:szCs w:val="20"/>
          <w:lang w:val="en-GB"/>
        </w:rPr>
        <w:t>0.78</w:t>
      </w:r>
      <w:r w:rsidRPr="00FE7A13">
        <w:rPr>
          <w:rFonts w:ascii="Times New Roman" w:eastAsia="Calibri" w:hAnsi="Times New Roman"/>
          <w:sz w:val="20"/>
          <w:szCs w:val="20"/>
          <w:vertAlign w:val="superscript"/>
          <w:lang w:val="en-GB"/>
        </w:rPr>
        <w:t xml:space="preserve"> </w:t>
      </w:r>
      <w:bookmarkEnd w:id="32"/>
      <w:bookmarkEnd w:id="33"/>
      <w:r w:rsidRPr="00FE7A13">
        <w:rPr>
          <w:rFonts w:ascii="Times New Roman" w:eastAsia="Calibri" w:hAnsi="Times New Roman"/>
          <w:sz w:val="20"/>
          <w:szCs w:val="20"/>
          <w:lang w:val="en-GB"/>
        </w:rPr>
        <w:t>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the kidneys, 0.74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the liver, and 2.0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red marrow</w:t>
      </w:r>
      <w:bookmarkEnd w:id="31"/>
      <w:r w:rsidRPr="00FE7A13">
        <w:rPr>
          <w:rFonts w:ascii="Times New Roman" w:eastAsia="Calibri" w:hAnsi="Times New Roman"/>
          <w:sz w:val="20"/>
          <w:szCs w:val="20"/>
          <w:lang w:val="en-GB"/>
        </w:rPr>
        <w:t xml:space="preserve">. According to the ICRP </w:t>
      </w:r>
      <w:r w:rsidRPr="00FE7A13">
        <w:rPr>
          <w:rFonts w:ascii="Times New Roman" w:eastAsia="Calibri" w:hAnsi="Times New Roman"/>
          <w:sz w:val="20"/>
          <w:szCs w:val="20"/>
          <w:lang w:val="en-MY"/>
        </w:rPr>
        <w:fldChar w:fldCharType="begin"/>
      </w:r>
      <w:r w:rsidRPr="00FE7A13">
        <w:rPr>
          <w:rFonts w:ascii="Times New Roman" w:eastAsia="Calibri" w:hAnsi="Times New Roman"/>
          <w:sz w:val="20"/>
          <w:szCs w:val="20"/>
          <w:lang w:val="en-MY"/>
        </w:rPr>
        <w:instrText xml:space="preserve"> ADDIN EN.CITE &lt;EndNote&gt;&lt;Cite ExcludeAuth="1"&gt;&lt;Author&gt;ICRP&lt;/Author&gt;&lt;Year&gt;2012&lt;/Year&gt;&lt;RecNum&gt;59&lt;/RecNum&gt;&lt;DisplayText&gt;[21]&lt;/DisplayText&gt;&lt;record&gt;&lt;rec-number&gt;59&lt;/rec-number&gt;&lt;foreign-keys&gt;&lt;key app="EN" db-id="swr9aa0fctvwziet5pxv0ffgx2e2ssd59sv2"&gt;59&lt;/key&gt;&lt;/foreign-keys&gt;&lt;ref-type name="Journal Article"&gt;17&lt;/ref-type&gt;&lt;contributors&gt;&lt;authors&gt;&lt;author&gt;International Commission On Radiological Protection ICRP&lt;/author&gt;&lt;/authors&gt;&lt;/contributors&gt;&lt;titles&gt;&lt;title&gt;ICRP Publication 119 : Compendium Of Dose Coefficients Based On ICRP Publication 60&lt;/title&gt;&lt;/titles&gt;&lt;dates&gt;&lt;year&gt;2012&lt;/year&gt;&lt;/dates&gt;&lt;urls&gt;&lt;related-urls&gt;&lt;url&gt;http://www.icrp.org/docs/P%20119%20JAICRP%2041(s)%20Compendium%20of%20Dose%20Coefficients%20based%20on%20ICRP%20Publication%2060.pdf&lt;/url&gt;&lt;/related-urls&gt;&lt;/urls&gt;&lt;/record&gt;&lt;/Cite&gt;&lt;/EndNote&gt;</w:instrText>
      </w:r>
      <w:r w:rsidRPr="00FE7A13">
        <w:rPr>
          <w:rFonts w:ascii="Times New Roman" w:eastAsia="Calibri" w:hAnsi="Times New Roman"/>
          <w:sz w:val="20"/>
          <w:szCs w:val="20"/>
          <w:lang w:val="en-MY"/>
        </w:rPr>
        <w:fldChar w:fldCharType="separate"/>
      </w:r>
      <w:r w:rsidRPr="00FE7A13">
        <w:rPr>
          <w:rFonts w:ascii="Times New Roman" w:eastAsia="Calibri" w:hAnsi="Times New Roman"/>
          <w:noProof/>
          <w:sz w:val="20"/>
          <w:szCs w:val="20"/>
          <w:lang w:val="en-MY"/>
        </w:rPr>
        <w:t>[</w:t>
      </w:r>
      <w:hyperlink w:anchor="_ENREF_21" w:tooltip="ICRP, 2012 #59" w:history="1">
        <w:r w:rsidRPr="00FE7A13">
          <w:rPr>
            <w:rFonts w:ascii="Times New Roman" w:eastAsia="Calibri" w:hAnsi="Times New Roman"/>
            <w:noProof/>
            <w:sz w:val="20"/>
            <w:szCs w:val="20"/>
            <w:lang w:val="en-MY"/>
          </w:rPr>
          <w:t>21</w:t>
        </w:r>
      </w:hyperlink>
      <w:r w:rsidRPr="00FE7A13">
        <w:rPr>
          <w:rFonts w:ascii="Times New Roman" w:eastAsia="Calibri" w:hAnsi="Times New Roman"/>
          <w:noProof/>
          <w:sz w:val="20"/>
          <w:szCs w:val="20"/>
          <w:lang w:val="en-MY"/>
        </w:rPr>
        <w:t>]</w:t>
      </w:r>
      <w:r w:rsidRPr="00FE7A13">
        <w:rPr>
          <w:rFonts w:ascii="Times New Roman" w:eastAsia="Calibri" w:hAnsi="Times New Roman"/>
          <w:sz w:val="20"/>
          <w:szCs w:val="20"/>
          <w:lang w:val="en-MY"/>
        </w:rPr>
        <w:fldChar w:fldCharType="end"/>
      </w:r>
      <w:r w:rsidRPr="00FE7A13">
        <w:rPr>
          <w:rFonts w:ascii="Times New Roman" w:eastAsia="Calibri" w:hAnsi="Times New Roman"/>
          <w:sz w:val="20"/>
          <w:szCs w:val="20"/>
          <w:lang w:val="en-MY"/>
        </w:rPr>
        <w:t xml:space="preserve">, </w:t>
      </w:r>
      <w:r w:rsidRPr="00FE7A13">
        <w:rPr>
          <w:rFonts w:ascii="Times New Roman" w:eastAsia="Calibri" w:hAnsi="Times New Roman"/>
          <w:sz w:val="20"/>
          <w:szCs w:val="20"/>
          <w:lang w:val="en-GB"/>
        </w:rPr>
        <w:t xml:space="preserve">the committed effective dose coefficients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 for workers and the public are 0.22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0.23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respectively. In contrast, the dose coefficient committed equivalent tissue dose per unit activity for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ingested by adults is 0.71</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bone surfaces, 0.25</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the kidneys, 0.096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the liver, and 0.075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for red marrow. Based on the ICRP 60, the committed effective doses of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U for workers and the public are 0.44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and 0.45 µSv Bq</w:t>
      </w:r>
      <w:r w:rsidRPr="00FE7A13">
        <w:rPr>
          <w:rFonts w:ascii="Times New Roman" w:eastAsia="Calibri" w:hAnsi="Times New Roman"/>
          <w:sz w:val="20"/>
          <w:szCs w:val="20"/>
          <w:vertAlign w:val="superscript"/>
          <w:lang w:val="en-GB"/>
        </w:rPr>
        <w:t>-1</w:t>
      </w:r>
      <w:r w:rsidRPr="00FE7A13">
        <w:rPr>
          <w:rFonts w:ascii="Times New Roman" w:eastAsia="Calibri" w:hAnsi="Times New Roman"/>
          <w:sz w:val="20"/>
          <w:szCs w:val="20"/>
          <w:lang w:val="en-GB"/>
        </w:rPr>
        <w:t xml:space="preserve">, respectively. High committed equivalent doses and committed effective doses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Th</w:t>
      </w:r>
      <w:r w:rsidRPr="00FE7A13">
        <w:rPr>
          <w:rFonts w:ascii="Times New Roman" w:eastAsia="Calibri" w:hAnsi="Times New Roman"/>
          <w:sz w:val="20"/>
          <w:szCs w:val="20"/>
          <w:vertAlign w:val="superscript"/>
          <w:lang w:val="en-GB"/>
        </w:rPr>
        <w:t xml:space="preserve"> </w:t>
      </w:r>
      <w:r w:rsidRPr="00FE7A13">
        <w:rPr>
          <w:rFonts w:ascii="Times New Roman" w:eastAsia="Calibri" w:hAnsi="Times New Roman"/>
          <w:sz w:val="20"/>
          <w:szCs w:val="20"/>
          <w:lang w:val="en-GB"/>
        </w:rPr>
        <w:t xml:space="preserve">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that were found in the LC and WLP residue are presented in </w:t>
      </w:r>
      <w:r w:rsidRPr="00C35904">
        <w:rPr>
          <w:rFonts w:ascii="Times New Roman" w:eastAsia="Calibri" w:hAnsi="Times New Roman"/>
          <w:sz w:val="20"/>
          <w:szCs w:val="20"/>
          <w:lang w:val="en-GB"/>
        </w:rPr>
        <w:t xml:space="preserve">Table 9 </w:t>
      </w:r>
      <w:r w:rsidRPr="00C35904">
        <w:rPr>
          <w:rStyle w:val="Hyperlink"/>
          <w:rFonts w:ascii="Times New Roman" w:eastAsia="Calibri" w:hAnsi="Times New Roman"/>
          <w:color w:val="auto"/>
          <w:sz w:val="20"/>
          <w:szCs w:val="20"/>
          <w:u w:val="none"/>
          <w:lang w:val="en-GB"/>
        </w:rPr>
        <w:t>and Table 10, respectively</w:t>
      </w:r>
      <w:r w:rsidRPr="00FE7A13">
        <w:rPr>
          <w:rFonts w:ascii="Times New Roman" w:eastAsia="Calibri" w:hAnsi="Times New Roman"/>
          <w:sz w:val="20"/>
          <w:szCs w:val="20"/>
          <w:lang w:val="en-GB"/>
        </w:rPr>
        <w:t xml:space="preserve">. The committed equivalent doses and committed effective doses of </w:t>
      </w:r>
      <w:r w:rsidRPr="00FE7A13">
        <w:rPr>
          <w:rFonts w:ascii="Times New Roman" w:eastAsia="Calibri" w:hAnsi="Times New Roman"/>
          <w:sz w:val="20"/>
          <w:szCs w:val="20"/>
          <w:vertAlign w:val="superscript"/>
          <w:lang w:val="en-GB"/>
        </w:rPr>
        <w:t>232</w:t>
      </w:r>
      <w:r w:rsidRPr="00FE7A13">
        <w:rPr>
          <w:rFonts w:ascii="Times New Roman" w:eastAsia="Calibri" w:hAnsi="Times New Roman"/>
          <w:sz w:val="20"/>
          <w:szCs w:val="20"/>
          <w:lang w:val="en-GB"/>
        </w:rPr>
        <w:t xml:space="preserve">Th and </w:t>
      </w:r>
      <w:r w:rsidRPr="00FE7A13">
        <w:rPr>
          <w:rFonts w:ascii="Times New Roman" w:eastAsia="Calibri" w:hAnsi="Times New Roman"/>
          <w:sz w:val="20"/>
          <w:szCs w:val="20"/>
          <w:vertAlign w:val="superscript"/>
          <w:lang w:val="en-GB"/>
        </w:rPr>
        <w:t>238</w:t>
      </w:r>
      <w:r w:rsidRPr="00FE7A13">
        <w:rPr>
          <w:rFonts w:ascii="Times New Roman" w:eastAsia="Calibri" w:hAnsi="Times New Roman"/>
          <w:sz w:val="20"/>
          <w:szCs w:val="20"/>
          <w:lang w:val="en-GB"/>
        </w:rPr>
        <w:t xml:space="preserve">U in </w:t>
      </w:r>
      <w:r w:rsidRPr="00C35904">
        <w:rPr>
          <w:rFonts w:ascii="Times New Roman" w:eastAsia="Calibri" w:hAnsi="Times New Roman"/>
          <w:sz w:val="20"/>
          <w:szCs w:val="20"/>
          <w:lang w:val="en-GB"/>
        </w:rPr>
        <w:t>Table 9</w:t>
      </w:r>
      <w:r w:rsidRPr="00C35904">
        <w:rPr>
          <w:rStyle w:val="Hyperlink"/>
          <w:rFonts w:ascii="Times New Roman" w:eastAsia="Calibri" w:hAnsi="Times New Roman"/>
          <w:sz w:val="20"/>
          <w:szCs w:val="20"/>
          <w:u w:val="none"/>
          <w:lang w:val="en-GB"/>
        </w:rPr>
        <w:t xml:space="preserve"> </w:t>
      </w:r>
      <w:r w:rsidRPr="00C35904">
        <w:rPr>
          <w:rStyle w:val="Hyperlink"/>
          <w:rFonts w:ascii="Times New Roman" w:eastAsia="Calibri" w:hAnsi="Times New Roman"/>
          <w:color w:val="auto"/>
          <w:sz w:val="20"/>
          <w:szCs w:val="20"/>
          <w:u w:val="none"/>
          <w:lang w:val="en-GB"/>
        </w:rPr>
        <w:t>and Table 10</w:t>
      </w:r>
      <w:r w:rsidRPr="00C35904">
        <w:rPr>
          <w:rFonts w:ascii="Times New Roman" w:eastAsia="Calibri" w:hAnsi="Times New Roman"/>
          <w:sz w:val="20"/>
          <w:szCs w:val="20"/>
          <w:lang w:val="en-GB"/>
        </w:rPr>
        <w:t xml:space="preserve"> </w:t>
      </w:r>
      <w:r w:rsidRPr="00FE7A13">
        <w:rPr>
          <w:rFonts w:ascii="Times New Roman" w:eastAsia="Calibri" w:hAnsi="Times New Roman"/>
          <w:sz w:val="20"/>
          <w:szCs w:val="20"/>
          <w:lang w:val="en-GB"/>
        </w:rPr>
        <w:t>were below the United Nations Scientific Committee on the Effects of Atomic Radiation (UNSCEAR) reference values.</w:t>
      </w:r>
      <w:r w:rsidRPr="00FE7A13">
        <w:rPr>
          <w:rFonts w:ascii="Times New Roman" w:eastAsia="Calibri" w:hAnsi="Times New Roman"/>
          <w:sz w:val="20"/>
          <w:szCs w:val="20"/>
        </w:rPr>
        <w:fldChar w:fldCharType="begin"/>
      </w:r>
      <w:r w:rsidRPr="00FE7A13">
        <w:rPr>
          <w:rFonts w:ascii="Times New Roman" w:eastAsia="Calibri" w:hAnsi="Times New Roman"/>
          <w:sz w:val="20"/>
          <w:szCs w:val="20"/>
        </w:rPr>
        <w:instrText xml:space="preserve"> ADDIN EN.CITE &lt;EndNote&gt;&lt;Cite&gt;&lt;Author&gt;UNSCEAR&lt;/Author&gt;&lt;Year&gt;2000&lt;/Year&gt;&lt;RecNum&gt;16&lt;/RecNum&gt;&lt;DisplayText&gt;[46]&lt;/DisplayText&gt;&lt;record&gt;&lt;rec-number&gt;16&lt;/rec-number&gt;&lt;foreign-keys&gt;&lt;key app="EN" db-id="swr9aa0fctvwziet5pxv0ffgx2e2ssd59sv2"&gt;16&lt;/key&gt;&lt;/foreign-keys&gt;&lt;ref-type name="Book"&gt;6&lt;/ref-type&gt;&lt;contributors&gt;&lt;authors&gt;&lt;author&gt;United Nations. Scientific Committee on the Effects of Atomic Radiation  UNSCEAR&lt;/author&gt;&lt;/authors&gt;&lt;/contributors&gt;&lt;titles&gt;&lt;title&gt;Sources and effects of ionizing radiation: sources&lt;/title&gt;&lt;alt-title&gt;UNSCEAR&lt;/alt-title&gt;&lt;/titles&gt;&lt;volume&gt;1&lt;/volume&gt;&lt;dates&gt;&lt;year&gt;2000&lt;/year&gt;&lt;/dates&gt;&lt;publisher&gt;United Nations Publications&lt;/publisher&gt;&lt;isbn&gt;9211422388&lt;/isbn&gt;&lt;urls&gt;&lt;/urls&gt;&lt;/record&gt;&lt;/Cite&gt;&lt;/EndNote&gt;</w:instrText>
      </w:r>
      <w:r w:rsidRPr="00FE7A13">
        <w:rPr>
          <w:rFonts w:ascii="Times New Roman" w:eastAsia="Calibri" w:hAnsi="Times New Roman"/>
          <w:sz w:val="20"/>
          <w:szCs w:val="20"/>
        </w:rPr>
        <w:fldChar w:fldCharType="separate"/>
      </w:r>
      <w:r w:rsidRPr="00FE7A13">
        <w:rPr>
          <w:rFonts w:ascii="Times New Roman" w:eastAsia="Calibri" w:hAnsi="Times New Roman"/>
          <w:noProof/>
          <w:sz w:val="20"/>
          <w:szCs w:val="20"/>
        </w:rPr>
        <w:t>[</w:t>
      </w:r>
      <w:hyperlink w:anchor="_ENREF_46" w:tooltip="UNSCEAR, 2000 #16" w:history="1">
        <w:r w:rsidRPr="00FE7A13">
          <w:rPr>
            <w:rFonts w:ascii="Times New Roman" w:eastAsia="Calibri" w:hAnsi="Times New Roman"/>
            <w:noProof/>
            <w:sz w:val="20"/>
            <w:szCs w:val="20"/>
          </w:rPr>
          <w:t>46</w:t>
        </w:r>
      </w:hyperlink>
      <w:r w:rsidRPr="00FE7A13">
        <w:rPr>
          <w:rFonts w:ascii="Times New Roman" w:eastAsia="Calibri" w:hAnsi="Times New Roman"/>
          <w:noProof/>
          <w:sz w:val="20"/>
          <w:szCs w:val="20"/>
        </w:rPr>
        <w:t>]</w:t>
      </w:r>
      <w:r w:rsidRPr="00FE7A13">
        <w:rPr>
          <w:rFonts w:ascii="Times New Roman" w:eastAsia="Calibri" w:hAnsi="Times New Roman"/>
          <w:sz w:val="20"/>
          <w:szCs w:val="20"/>
        </w:rPr>
        <w:fldChar w:fldCharType="end"/>
      </w:r>
      <w:r w:rsidRPr="00FE7A13">
        <w:rPr>
          <w:rFonts w:ascii="Times New Roman" w:eastAsia="Calibri" w:hAnsi="Times New Roman"/>
          <w:sz w:val="20"/>
          <w:szCs w:val="20"/>
        </w:rPr>
        <w:t xml:space="preserve">. </w:t>
      </w:r>
    </w:p>
    <w:p w:rsidR="00FE7A13" w:rsidRPr="00FE7A13" w:rsidRDefault="00FE7A13" w:rsidP="00C35904">
      <w:pPr>
        <w:autoSpaceDE w:val="0"/>
        <w:autoSpaceDN w:val="0"/>
        <w:adjustRightInd w:val="0"/>
        <w:spacing w:after="120" w:line="240" w:lineRule="auto"/>
        <w:jc w:val="both"/>
        <w:rPr>
          <w:rFonts w:ascii="Times New Roman" w:eastAsia="Calibri" w:hAnsi="Times New Roman"/>
          <w:b/>
          <w:sz w:val="20"/>
          <w:szCs w:val="20"/>
          <w:lang w:val="en-GB"/>
        </w:rPr>
      </w:pPr>
    </w:p>
    <w:p w:rsidR="00FE7A13" w:rsidRPr="00FE7A13" w:rsidRDefault="00FE7A13" w:rsidP="00C35904">
      <w:pPr>
        <w:shd w:val="clear" w:color="auto" w:fill="FFFFFF" w:themeFill="background1"/>
        <w:spacing w:after="120" w:line="240" w:lineRule="auto"/>
        <w:jc w:val="center"/>
        <w:rPr>
          <w:rFonts w:ascii="Times New Roman" w:hAnsi="Times New Roman"/>
          <w:b/>
          <w:caps/>
          <w:sz w:val="20"/>
          <w:szCs w:val="20"/>
        </w:rPr>
      </w:pPr>
      <w:r w:rsidRPr="00FE7A13">
        <w:rPr>
          <w:rFonts w:ascii="Times New Roman" w:hAnsi="Times New Roman"/>
          <w:sz w:val="20"/>
          <w:szCs w:val="20"/>
          <w:lang w:val="en-MY"/>
        </w:rPr>
        <w:t xml:space="preserve">Table 9.  </w:t>
      </w:r>
      <w:r w:rsidR="00C35904">
        <w:rPr>
          <w:rFonts w:ascii="Times New Roman" w:hAnsi="Times New Roman"/>
          <w:sz w:val="20"/>
          <w:szCs w:val="20"/>
          <w:lang w:val="en-MY"/>
        </w:rPr>
        <w:t xml:space="preserve"> </w:t>
      </w:r>
      <w:r w:rsidRPr="00FE7A13">
        <w:rPr>
          <w:rFonts w:ascii="Times New Roman" w:hAnsi="Times New Roman"/>
          <w:sz w:val="20"/>
          <w:szCs w:val="20"/>
          <w:lang w:val="en-MY"/>
        </w:rPr>
        <w:t xml:space="preserve">Committed equivalent doses and committed effective doses of </w:t>
      </w:r>
      <w:r w:rsidRPr="00FE7A13">
        <w:rPr>
          <w:rFonts w:ascii="Times New Roman" w:hAnsi="Times New Roman"/>
          <w:sz w:val="20"/>
          <w:szCs w:val="20"/>
          <w:vertAlign w:val="superscript"/>
          <w:lang w:val="en-MY"/>
        </w:rPr>
        <w:t>232</w:t>
      </w:r>
      <w:r w:rsidRPr="00FE7A13">
        <w:rPr>
          <w:rFonts w:ascii="Times New Roman" w:hAnsi="Times New Roman"/>
          <w:sz w:val="20"/>
          <w:szCs w:val="20"/>
          <w:lang w:val="en-MY"/>
        </w:rPr>
        <w:t>Th</w:t>
      </w:r>
    </w:p>
    <w:tbl>
      <w:tblPr>
        <w:tblW w:w="8966" w:type="dxa"/>
        <w:jc w:val="center"/>
        <w:tblLook w:val="04A0" w:firstRow="1" w:lastRow="0" w:firstColumn="1" w:lastColumn="0" w:noHBand="0" w:noVBand="1"/>
      </w:tblPr>
      <w:tblGrid>
        <w:gridCol w:w="2977"/>
        <w:gridCol w:w="917"/>
        <w:gridCol w:w="683"/>
        <w:gridCol w:w="1175"/>
        <w:gridCol w:w="1111"/>
        <w:gridCol w:w="924"/>
        <w:gridCol w:w="1179"/>
      </w:tblGrid>
      <w:tr w:rsidR="00FE7A13" w:rsidRPr="00FE7A13" w:rsidTr="00863056">
        <w:trPr>
          <w:trHeight w:val="256"/>
          <w:jc w:val="center"/>
        </w:trPr>
        <w:tc>
          <w:tcPr>
            <w:tcW w:w="2977" w:type="dxa"/>
            <w:tcBorders>
              <w:top w:val="single" w:sz="4" w:space="0" w:color="auto"/>
            </w:tcBorders>
          </w:tcPr>
          <w:p w:rsidR="00FE7A13" w:rsidRPr="00FE7A13" w:rsidRDefault="00FE7A13" w:rsidP="00C35904">
            <w:pPr>
              <w:spacing w:after="0" w:line="240" w:lineRule="auto"/>
              <w:rPr>
                <w:rFonts w:ascii="Times New Roman" w:eastAsia="Calibri" w:hAnsi="Times New Roman"/>
                <w:b/>
                <w:sz w:val="20"/>
                <w:szCs w:val="20"/>
                <w:lang w:val="en-MY"/>
              </w:rPr>
            </w:pPr>
          </w:p>
        </w:tc>
        <w:tc>
          <w:tcPr>
            <w:tcW w:w="5989" w:type="dxa"/>
            <w:gridSpan w:val="6"/>
            <w:tcBorders>
              <w:top w:val="single" w:sz="4" w:space="0" w:color="auto"/>
              <w:bottom w:val="single" w:sz="4" w:space="0" w:color="auto"/>
            </w:tcBorders>
          </w:tcPr>
          <w:p w:rsidR="00FE7A13" w:rsidRPr="00FE7A13" w:rsidRDefault="00FE7A13" w:rsidP="00863056">
            <w:pPr>
              <w:spacing w:before="60"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vertAlign w:val="superscript"/>
                <w:lang w:val="en-MY"/>
              </w:rPr>
              <w:t>232</w:t>
            </w:r>
            <w:r w:rsidRPr="00FE7A13">
              <w:rPr>
                <w:rFonts w:ascii="Times New Roman" w:eastAsia="Calibri" w:hAnsi="Times New Roman"/>
                <w:b/>
                <w:sz w:val="20"/>
                <w:szCs w:val="20"/>
                <w:lang w:val="en-MY"/>
              </w:rPr>
              <w:t>Th (µSv)</w:t>
            </w:r>
          </w:p>
        </w:tc>
      </w:tr>
      <w:tr w:rsidR="00FE7A13" w:rsidRPr="00FE7A13" w:rsidTr="00863056">
        <w:trPr>
          <w:trHeight w:val="222"/>
          <w:jc w:val="center"/>
        </w:trPr>
        <w:tc>
          <w:tcPr>
            <w:tcW w:w="2977" w:type="dxa"/>
          </w:tcPr>
          <w:p w:rsidR="00FE7A13" w:rsidRPr="00FE7A13" w:rsidRDefault="00FE7A13" w:rsidP="00C35904">
            <w:pPr>
              <w:spacing w:after="0" w:line="240" w:lineRule="auto"/>
              <w:rPr>
                <w:rFonts w:ascii="Times New Roman" w:eastAsia="Calibri" w:hAnsi="Times New Roman"/>
                <w:b/>
                <w:sz w:val="20"/>
                <w:szCs w:val="20"/>
                <w:lang w:val="en-MY"/>
              </w:rPr>
            </w:pPr>
          </w:p>
        </w:tc>
        <w:tc>
          <w:tcPr>
            <w:tcW w:w="3828" w:type="dxa"/>
            <w:gridSpan w:val="4"/>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Committed Equivalent</w:t>
            </w:r>
          </w:p>
          <w:p w:rsidR="00FE7A13" w:rsidRPr="00FE7A13" w:rsidRDefault="00FE7A13" w:rsidP="00C35904">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Doses</w:t>
            </w:r>
          </w:p>
        </w:tc>
        <w:tc>
          <w:tcPr>
            <w:tcW w:w="0" w:type="auto"/>
            <w:gridSpan w:val="2"/>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Committed Effective Doses</w:t>
            </w:r>
          </w:p>
        </w:tc>
      </w:tr>
      <w:tr w:rsidR="00FE7A13" w:rsidRPr="00FE7A13" w:rsidTr="00863056">
        <w:trPr>
          <w:trHeight w:val="206"/>
          <w:jc w:val="center"/>
        </w:trPr>
        <w:tc>
          <w:tcPr>
            <w:tcW w:w="2977" w:type="dxa"/>
            <w:tcBorders>
              <w:bottom w:val="single" w:sz="4" w:space="0" w:color="auto"/>
            </w:tcBorders>
          </w:tcPr>
          <w:p w:rsidR="00FE7A13" w:rsidRPr="00FE7A13" w:rsidRDefault="00FE7A13" w:rsidP="00C35904">
            <w:pPr>
              <w:spacing w:after="0" w:line="240" w:lineRule="auto"/>
              <w:rPr>
                <w:rFonts w:ascii="Times New Roman" w:eastAsia="Calibri" w:hAnsi="Times New Roman"/>
                <w:b/>
                <w:sz w:val="20"/>
                <w:szCs w:val="20"/>
                <w:lang w:val="en-MY"/>
              </w:rPr>
            </w:pPr>
          </w:p>
        </w:tc>
        <w:tc>
          <w:tcPr>
            <w:tcW w:w="781" w:type="dxa"/>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Kidneys</w:t>
            </w:r>
          </w:p>
        </w:tc>
        <w:tc>
          <w:tcPr>
            <w:tcW w:w="0" w:type="auto"/>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Liver</w:t>
            </w:r>
          </w:p>
        </w:tc>
        <w:tc>
          <w:tcPr>
            <w:tcW w:w="0" w:type="auto"/>
            <w:tcBorders>
              <w:top w:val="single" w:sz="4" w:space="0" w:color="auto"/>
              <w:bottom w:val="single" w:sz="4" w:space="0" w:color="auto"/>
            </w:tcBorders>
          </w:tcPr>
          <w:p w:rsidR="00FE7A13" w:rsidRPr="00FE7A13" w:rsidRDefault="00FE7A13" w:rsidP="00863056">
            <w:pPr>
              <w:spacing w:after="6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Bone Surfaces</w:t>
            </w:r>
          </w:p>
        </w:tc>
        <w:tc>
          <w:tcPr>
            <w:tcW w:w="0" w:type="auto"/>
            <w:tcBorders>
              <w:top w:val="single" w:sz="4" w:space="0" w:color="auto"/>
              <w:bottom w:val="single" w:sz="4" w:space="0" w:color="auto"/>
            </w:tcBorders>
          </w:tcPr>
          <w:p w:rsidR="00FE7A13" w:rsidRPr="00FE7A13" w:rsidRDefault="00FE7A13" w:rsidP="00863056">
            <w:pPr>
              <w:spacing w:after="6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Red Marrow</w:t>
            </w:r>
          </w:p>
        </w:tc>
        <w:tc>
          <w:tcPr>
            <w:tcW w:w="0" w:type="auto"/>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Public</w:t>
            </w:r>
          </w:p>
        </w:tc>
        <w:tc>
          <w:tcPr>
            <w:tcW w:w="0" w:type="auto"/>
            <w:tcBorders>
              <w:top w:val="single" w:sz="4" w:space="0" w:color="auto"/>
              <w:bottom w:val="single" w:sz="4" w:space="0" w:color="auto"/>
            </w:tcBorders>
          </w:tcPr>
          <w:p w:rsidR="00FE7A13" w:rsidRPr="00FE7A13" w:rsidRDefault="00FE7A13" w:rsidP="00C35904">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Workers</w:t>
            </w:r>
          </w:p>
        </w:tc>
      </w:tr>
      <w:tr w:rsidR="00FE7A13" w:rsidRPr="00FE7A13" w:rsidTr="00863056">
        <w:trPr>
          <w:trHeight w:val="256"/>
          <w:jc w:val="center"/>
        </w:trPr>
        <w:tc>
          <w:tcPr>
            <w:tcW w:w="2977" w:type="dxa"/>
            <w:tcBorders>
              <w:top w:val="single" w:sz="4" w:space="0" w:color="auto"/>
            </w:tcBorders>
          </w:tcPr>
          <w:p w:rsidR="00FE7A13" w:rsidRPr="00FE7A13" w:rsidRDefault="00FE7A13" w:rsidP="00A318E4">
            <w:pPr>
              <w:spacing w:before="60" w:after="0" w:line="240" w:lineRule="auto"/>
              <w:rPr>
                <w:rFonts w:ascii="Times New Roman" w:eastAsia="Calibri" w:hAnsi="Times New Roman"/>
                <w:sz w:val="20"/>
                <w:szCs w:val="20"/>
                <w:lang w:val="en-MY"/>
              </w:rPr>
            </w:pPr>
            <w:r w:rsidRPr="00FE7A13">
              <w:rPr>
                <w:rFonts w:ascii="Times New Roman" w:eastAsia="Calibri" w:hAnsi="Times New Roman"/>
                <w:sz w:val="20"/>
                <w:szCs w:val="20"/>
                <w:lang w:val="en-MY"/>
              </w:rPr>
              <w:t>Lanthanide Concentrate (LC)</w:t>
            </w:r>
          </w:p>
        </w:tc>
        <w:tc>
          <w:tcPr>
            <w:tcW w:w="781" w:type="dxa"/>
            <w:tcBorders>
              <w:top w:val="single" w:sz="4" w:space="0" w:color="auto"/>
            </w:tcBorders>
          </w:tcPr>
          <w:p w:rsidR="00FE7A13" w:rsidRPr="00FE7A13" w:rsidRDefault="00FE7A13" w:rsidP="00A318E4">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1.204</w:t>
            </w:r>
          </w:p>
        </w:tc>
        <w:tc>
          <w:tcPr>
            <w:tcW w:w="0" w:type="auto"/>
            <w:tcBorders>
              <w:top w:val="single" w:sz="4" w:space="0" w:color="auto"/>
            </w:tcBorders>
          </w:tcPr>
          <w:p w:rsidR="00FE7A13" w:rsidRPr="00FE7A13" w:rsidRDefault="00FE7A13" w:rsidP="00A318E4">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1.142</w:t>
            </w:r>
          </w:p>
        </w:tc>
        <w:tc>
          <w:tcPr>
            <w:tcW w:w="0" w:type="auto"/>
            <w:tcBorders>
              <w:top w:val="single" w:sz="4" w:space="0" w:color="auto"/>
            </w:tcBorders>
          </w:tcPr>
          <w:p w:rsidR="00FE7A13" w:rsidRPr="00FE7A13" w:rsidRDefault="00FE7A13" w:rsidP="00A318E4">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108.009</w:t>
            </w:r>
          </w:p>
        </w:tc>
        <w:tc>
          <w:tcPr>
            <w:tcW w:w="0" w:type="auto"/>
            <w:tcBorders>
              <w:top w:val="single" w:sz="4" w:space="0" w:color="auto"/>
            </w:tcBorders>
          </w:tcPr>
          <w:p w:rsidR="00FE7A13" w:rsidRPr="00FE7A13" w:rsidRDefault="00FE7A13" w:rsidP="00A318E4">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3.086</w:t>
            </w:r>
          </w:p>
        </w:tc>
        <w:tc>
          <w:tcPr>
            <w:tcW w:w="0" w:type="auto"/>
            <w:tcBorders>
              <w:top w:val="single" w:sz="4" w:space="0" w:color="auto"/>
            </w:tcBorders>
          </w:tcPr>
          <w:p w:rsidR="00FE7A13" w:rsidRPr="00FE7A13" w:rsidRDefault="00FE7A13" w:rsidP="00A318E4">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0.355</w:t>
            </w:r>
          </w:p>
        </w:tc>
        <w:tc>
          <w:tcPr>
            <w:tcW w:w="0" w:type="auto"/>
            <w:tcBorders>
              <w:top w:val="single" w:sz="4" w:space="0" w:color="auto"/>
            </w:tcBorders>
          </w:tcPr>
          <w:p w:rsidR="00FE7A13" w:rsidRPr="00FE7A13" w:rsidRDefault="00FE7A13" w:rsidP="00A318E4">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0.339</w:t>
            </w:r>
          </w:p>
        </w:tc>
      </w:tr>
      <w:tr w:rsidR="00FE7A13" w:rsidRPr="00FE7A13" w:rsidTr="00863056">
        <w:trPr>
          <w:trHeight w:val="270"/>
          <w:jc w:val="center"/>
        </w:trPr>
        <w:tc>
          <w:tcPr>
            <w:tcW w:w="2977" w:type="dxa"/>
            <w:tcBorders>
              <w:bottom w:val="single" w:sz="4" w:space="0" w:color="auto"/>
            </w:tcBorders>
          </w:tcPr>
          <w:p w:rsidR="00FE7A13" w:rsidRPr="00FE7A13" w:rsidRDefault="00FE7A13" w:rsidP="00A318E4">
            <w:pPr>
              <w:spacing w:before="60" w:after="60" w:line="240" w:lineRule="auto"/>
              <w:rPr>
                <w:rFonts w:ascii="Times New Roman" w:eastAsia="Calibri" w:hAnsi="Times New Roman"/>
                <w:sz w:val="20"/>
                <w:szCs w:val="20"/>
                <w:lang w:val="en-MY"/>
              </w:rPr>
            </w:pPr>
            <w:r w:rsidRPr="00FE7A13">
              <w:rPr>
                <w:rFonts w:ascii="Times New Roman" w:eastAsia="Calibri" w:hAnsi="Times New Roman"/>
                <w:sz w:val="20"/>
                <w:szCs w:val="20"/>
                <w:lang w:val="en-MY"/>
              </w:rPr>
              <w:t>Water Leach Purification (WLP)</w:t>
            </w:r>
          </w:p>
        </w:tc>
        <w:tc>
          <w:tcPr>
            <w:tcW w:w="781" w:type="dxa"/>
            <w:tcBorders>
              <w:bottom w:val="single" w:sz="4" w:space="0" w:color="auto"/>
            </w:tcBorders>
          </w:tcPr>
          <w:p w:rsidR="00FE7A13" w:rsidRPr="00FE7A13" w:rsidRDefault="00FE7A13" w:rsidP="00A318E4">
            <w:pPr>
              <w:spacing w:before="60" w:after="6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1.999</w:t>
            </w:r>
          </w:p>
        </w:tc>
        <w:tc>
          <w:tcPr>
            <w:tcW w:w="0" w:type="auto"/>
            <w:tcBorders>
              <w:bottom w:val="single" w:sz="4" w:space="0" w:color="auto"/>
            </w:tcBorders>
          </w:tcPr>
          <w:p w:rsidR="00FE7A13" w:rsidRPr="00FE7A13" w:rsidRDefault="00FE7A13" w:rsidP="00A318E4">
            <w:pPr>
              <w:spacing w:before="60" w:after="6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1.896</w:t>
            </w:r>
          </w:p>
        </w:tc>
        <w:tc>
          <w:tcPr>
            <w:tcW w:w="0" w:type="auto"/>
            <w:tcBorders>
              <w:bottom w:val="single" w:sz="4" w:space="0" w:color="auto"/>
            </w:tcBorders>
          </w:tcPr>
          <w:p w:rsidR="00FE7A13" w:rsidRPr="00FE7A13" w:rsidRDefault="00FE7A13" w:rsidP="00A318E4">
            <w:pPr>
              <w:spacing w:before="60" w:after="6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17.936</w:t>
            </w:r>
          </w:p>
        </w:tc>
        <w:tc>
          <w:tcPr>
            <w:tcW w:w="0" w:type="auto"/>
            <w:tcBorders>
              <w:bottom w:val="single" w:sz="4" w:space="0" w:color="auto"/>
            </w:tcBorders>
          </w:tcPr>
          <w:p w:rsidR="00FE7A13" w:rsidRPr="00FE7A13" w:rsidRDefault="00FE7A13" w:rsidP="00A318E4">
            <w:pPr>
              <w:spacing w:before="60" w:after="6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5.125</w:t>
            </w:r>
          </w:p>
        </w:tc>
        <w:tc>
          <w:tcPr>
            <w:tcW w:w="0" w:type="auto"/>
            <w:tcBorders>
              <w:bottom w:val="single" w:sz="4" w:space="0" w:color="auto"/>
            </w:tcBorders>
          </w:tcPr>
          <w:p w:rsidR="00FE7A13" w:rsidRPr="00FE7A13" w:rsidRDefault="00FE7A13" w:rsidP="00A318E4">
            <w:pPr>
              <w:spacing w:before="60" w:after="6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0.589</w:t>
            </w:r>
          </w:p>
        </w:tc>
        <w:tc>
          <w:tcPr>
            <w:tcW w:w="0" w:type="auto"/>
            <w:tcBorders>
              <w:bottom w:val="single" w:sz="4" w:space="0" w:color="auto"/>
            </w:tcBorders>
          </w:tcPr>
          <w:p w:rsidR="00FE7A13" w:rsidRPr="00FE7A13" w:rsidRDefault="00FE7A13" w:rsidP="00A318E4">
            <w:pPr>
              <w:spacing w:before="60" w:after="6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0.564</w:t>
            </w:r>
          </w:p>
        </w:tc>
      </w:tr>
    </w:tbl>
    <w:p w:rsidR="00FE7A13" w:rsidRDefault="00FE7A13" w:rsidP="00863056">
      <w:pPr>
        <w:shd w:val="clear" w:color="auto" w:fill="FFFFFF" w:themeFill="background1"/>
        <w:spacing w:after="0" w:line="240" w:lineRule="auto"/>
        <w:jc w:val="center"/>
        <w:rPr>
          <w:rFonts w:ascii="Times New Roman" w:hAnsi="Times New Roman"/>
          <w:b/>
          <w:caps/>
          <w:sz w:val="20"/>
          <w:szCs w:val="20"/>
        </w:rPr>
      </w:pPr>
    </w:p>
    <w:p w:rsidR="00863056" w:rsidRDefault="00863056" w:rsidP="00863056">
      <w:pPr>
        <w:shd w:val="clear" w:color="auto" w:fill="FFFFFF" w:themeFill="background1"/>
        <w:spacing w:after="0" w:line="240" w:lineRule="auto"/>
        <w:jc w:val="center"/>
        <w:rPr>
          <w:rFonts w:ascii="Times New Roman" w:hAnsi="Times New Roman"/>
          <w:b/>
          <w:caps/>
          <w:sz w:val="20"/>
          <w:szCs w:val="20"/>
        </w:rPr>
      </w:pPr>
    </w:p>
    <w:p w:rsidR="00863056" w:rsidRPr="00FE7A13" w:rsidRDefault="00863056" w:rsidP="00863056">
      <w:pPr>
        <w:shd w:val="clear" w:color="auto" w:fill="FFFFFF" w:themeFill="background1"/>
        <w:spacing w:after="120" w:line="240" w:lineRule="auto"/>
        <w:jc w:val="center"/>
        <w:rPr>
          <w:rFonts w:ascii="Times New Roman" w:hAnsi="Times New Roman"/>
          <w:b/>
          <w:caps/>
          <w:sz w:val="20"/>
          <w:szCs w:val="20"/>
        </w:rPr>
      </w:pPr>
      <w:r w:rsidRPr="00FE7A13">
        <w:rPr>
          <w:rFonts w:ascii="Times New Roman" w:hAnsi="Times New Roman"/>
          <w:sz w:val="20"/>
          <w:szCs w:val="20"/>
          <w:lang w:val="en-MY"/>
        </w:rPr>
        <w:t xml:space="preserve">Table 10.  </w:t>
      </w:r>
      <w:r>
        <w:rPr>
          <w:rFonts w:ascii="Times New Roman" w:hAnsi="Times New Roman"/>
          <w:sz w:val="20"/>
          <w:szCs w:val="20"/>
          <w:lang w:val="en-MY"/>
        </w:rPr>
        <w:t xml:space="preserve"> </w:t>
      </w:r>
      <w:r w:rsidRPr="00FE7A13">
        <w:rPr>
          <w:rFonts w:ascii="Times New Roman" w:hAnsi="Times New Roman"/>
          <w:sz w:val="20"/>
          <w:szCs w:val="20"/>
          <w:lang w:val="en-MY"/>
        </w:rPr>
        <w:t xml:space="preserve">Committed equivalent doses and committed effective doses of </w:t>
      </w:r>
      <w:r w:rsidRPr="00FE7A13">
        <w:rPr>
          <w:rFonts w:ascii="Times New Roman" w:hAnsi="Times New Roman"/>
          <w:sz w:val="20"/>
          <w:szCs w:val="20"/>
          <w:vertAlign w:val="superscript"/>
          <w:lang w:val="en-MY"/>
        </w:rPr>
        <w:t>238</w:t>
      </w:r>
      <w:r w:rsidRPr="00FE7A13">
        <w:rPr>
          <w:rFonts w:ascii="Times New Roman" w:hAnsi="Times New Roman"/>
          <w:sz w:val="20"/>
          <w:szCs w:val="20"/>
          <w:lang w:val="en-MY"/>
        </w:rPr>
        <w:t>U</w:t>
      </w:r>
    </w:p>
    <w:tbl>
      <w:tblPr>
        <w:tblW w:w="0" w:type="auto"/>
        <w:jc w:val="center"/>
        <w:tblLayout w:type="fixed"/>
        <w:tblLook w:val="04A0" w:firstRow="1" w:lastRow="0" w:firstColumn="1" w:lastColumn="0" w:noHBand="0" w:noVBand="1"/>
      </w:tblPr>
      <w:tblGrid>
        <w:gridCol w:w="2818"/>
        <w:gridCol w:w="17"/>
        <w:gridCol w:w="993"/>
        <w:gridCol w:w="708"/>
        <w:gridCol w:w="993"/>
        <w:gridCol w:w="1103"/>
        <w:gridCol w:w="1078"/>
        <w:gridCol w:w="1316"/>
      </w:tblGrid>
      <w:tr w:rsidR="00FE7A13" w:rsidRPr="00FE7A13" w:rsidTr="00863056">
        <w:trPr>
          <w:trHeight w:val="252"/>
          <w:jc w:val="center"/>
        </w:trPr>
        <w:tc>
          <w:tcPr>
            <w:tcW w:w="2835" w:type="dxa"/>
            <w:gridSpan w:val="2"/>
            <w:tcBorders>
              <w:top w:val="single" w:sz="4" w:space="0" w:color="auto"/>
            </w:tcBorders>
          </w:tcPr>
          <w:p w:rsidR="00FE7A13" w:rsidRPr="00FE7A13" w:rsidRDefault="00FE7A13" w:rsidP="00863056">
            <w:pPr>
              <w:spacing w:after="0" w:line="240" w:lineRule="auto"/>
              <w:rPr>
                <w:rFonts w:ascii="Times New Roman" w:eastAsia="Calibri" w:hAnsi="Times New Roman"/>
                <w:b/>
                <w:sz w:val="20"/>
                <w:szCs w:val="20"/>
                <w:lang w:val="en-MY"/>
              </w:rPr>
            </w:pPr>
          </w:p>
        </w:tc>
        <w:tc>
          <w:tcPr>
            <w:tcW w:w="6191" w:type="dxa"/>
            <w:gridSpan w:val="6"/>
            <w:tcBorders>
              <w:top w:val="single" w:sz="4" w:space="0" w:color="auto"/>
              <w:bottom w:val="single" w:sz="4" w:space="0" w:color="auto"/>
            </w:tcBorders>
          </w:tcPr>
          <w:p w:rsidR="00FE7A13" w:rsidRPr="00FE7A13" w:rsidRDefault="00FE7A13" w:rsidP="00863056">
            <w:pPr>
              <w:spacing w:before="60"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vertAlign w:val="superscript"/>
                <w:lang w:val="en-MY"/>
              </w:rPr>
              <w:t>238</w:t>
            </w:r>
            <w:r w:rsidRPr="00FE7A13">
              <w:rPr>
                <w:rFonts w:ascii="Times New Roman" w:eastAsia="Calibri" w:hAnsi="Times New Roman"/>
                <w:b/>
                <w:sz w:val="20"/>
                <w:szCs w:val="20"/>
                <w:lang w:val="en-MY"/>
              </w:rPr>
              <w:t>U (µSv)</w:t>
            </w:r>
          </w:p>
        </w:tc>
      </w:tr>
      <w:tr w:rsidR="00FE7A13" w:rsidRPr="00FE7A13" w:rsidTr="00863056">
        <w:trPr>
          <w:trHeight w:val="219"/>
          <w:jc w:val="center"/>
        </w:trPr>
        <w:tc>
          <w:tcPr>
            <w:tcW w:w="2835" w:type="dxa"/>
            <w:gridSpan w:val="2"/>
          </w:tcPr>
          <w:p w:rsidR="00FE7A13" w:rsidRPr="00FE7A13" w:rsidRDefault="00FE7A13" w:rsidP="00863056">
            <w:pPr>
              <w:spacing w:after="0" w:line="240" w:lineRule="auto"/>
              <w:rPr>
                <w:rFonts w:ascii="Times New Roman" w:eastAsia="Calibri" w:hAnsi="Times New Roman"/>
                <w:b/>
                <w:sz w:val="20"/>
                <w:szCs w:val="20"/>
                <w:lang w:val="en-MY"/>
              </w:rPr>
            </w:pPr>
          </w:p>
        </w:tc>
        <w:tc>
          <w:tcPr>
            <w:tcW w:w="3797" w:type="dxa"/>
            <w:gridSpan w:val="4"/>
            <w:tcBorders>
              <w:top w:val="single" w:sz="4" w:space="0" w:color="auto"/>
              <w:bottom w:val="single" w:sz="4" w:space="0" w:color="auto"/>
            </w:tcBorders>
          </w:tcPr>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Committed Equivalent</w:t>
            </w:r>
          </w:p>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Doses</w:t>
            </w:r>
          </w:p>
        </w:tc>
        <w:tc>
          <w:tcPr>
            <w:tcW w:w="2394" w:type="dxa"/>
            <w:gridSpan w:val="2"/>
            <w:tcBorders>
              <w:top w:val="single" w:sz="4" w:space="0" w:color="auto"/>
              <w:bottom w:val="single" w:sz="4" w:space="0" w:color="auto"/>
            </w:tcBorders>
          </w:tcPr>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Committed Effective Doses</w:t>
            </w:r>
          </w:p>
        </w:tc>
      </w:tr>
      <w:tr w:rsidR="00FE7A13" w:rsidRPr="00FE7A13" w:rsidTr="00863056">
        <w:trPr>
          <w:trHeight w:val="135"/>
          <w:jc w:val="center"/>
        </w:trPr>
        <w:tc>
          <w:tcPr>
            <w:tcW w:w="2835" w:type="dxa"/>
            <w:gridSpan w:val="2"/>
            <w:tcBorders>
              <w:bottom w:val="single" w:sz="4" w:space="0" w:color="auto"/>
            </w:tcBorders>
          </w:tcPr>
          <w:p w:rsidR="00FE7A13" w:rsidRPr="00FE7A13" w:rsidRDefault="00FE7A13" w:rsidP="00863056">
            <w:pPr>
              <w:spacing w:after="0" w:line="240" w:lineRule="auto"/>
              <w:rPr>
                <w:rFonts w:ascii="Times New Roman" w:eastAsia="Calibri" w:hAnsi="Times New Roman"/>
                <w:b/>
                <w:sz w:val="20"/>
                <w:szCs w:val="20"/>
                <w:lang w:val="en-MY"/>
              </w:rPr>
            </w:pPr>
          </w:p>
        </w:tc>
        <w:tc>
          <w:tcPr>
            <w:tcW w:w="993" w:type="dxa"/>
            <w:tcBorders>
              <w:top w:val="single" w:sz="4" w:space="0" w:color="auto"/>
              <w:bottom w:val="single" w:sz="4" w:space="0" w:color="auto"/>
            </w:tcBorders>
          </w:tcPr>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Kidneys</w:t>
            </w:r>
          </w:p>
        </w:tc>
        <w:tc>
          <w:tcPr>
            <w:tcW w:w="708" w:type="dxa"/>
            <w:tcBorders>
              <w:top w:val="single" w:sz="4" w:space="0" w:color="auto"/>
              <w:bottom w:val="single" w:sz="4" w:space="0" w:color="auto"/>
            </w:tcBorders>
          </w:tcPr>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Liver</w:t>
            </w:r>
          </w:p>
        </w:tc>
        <w:tc>
          <w:tcPr>
            <w:tcW w:w="993" w:type="dxa"/>
            <w:tcBorders>
              <w:top w:val="single" w:sz="4" w:space="0" w:color="auto"/>
              <w:bottom w:val="single" w:sz="4" w:space="0" w:color="auto"/>
            </w:tcBorders>
          </w:tcPr>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Bone Surfaces</w:t>
            </w:r>
          </w:p>
        </w:tc>
        <w:tc>
          <w:tcPr>
            <w:tcW w:w="1103" w:type="dxa"/>
            <w:tcBorders>
              <w:top w:val="single" w:sz="4" w:space="0" w:color="auto"/>
              <w:bottom w:val="single" w:sz="4" w:space="0" w:color="auto"/>
            </w:tcBorders>
          </w:tcPr>
          <w:p w:rsidR="00FE7A13" w:rsidRPr="00FE7A13" w:rsidRDefault="00FE7A13" w:rsidP="00863056">
            <w:pPr>
              <w:spacing w:after="6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Red Marrow</w:t>
            </w:r>
          </w:p>
        </w:tc>
        <w:tc>
          <w:tcPr>
            <w:tcW w:w="1078" w:type="dxa"/>
            <w:tcBorders>
              <w:top w:val="single" w:sz="4" w:space="0" w:color="auto"/>
              <w:bottom w:val="single" w:sz="4" w:space="0" w:color="auto"/>
            </w:tcBorders>
          </w:tcPr>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Public</w:t>
            </w:r>
          </w:p>
        </w:tc>
        <w:tc>
          <w:tcPr>
            <w:tcW w:w="1316" w:type="dxa"/>
            <w:tcBorders>
              <w:top w:val="single" w:sz="4" w:space="0" w:color="auto"/>
              <w:bottom w:val="single" w:sz="4" w:space="0" w:color="auto"/>
            </w:tcBorders>
          </w:tcPr>
          <w:p w:rsidR="00FE7A13" w:rsidRPr="00FE7A13" w:rsidRDefault="00FE7A13" w:rsidP="00863056">
            <w:pPr>
              <w:spacing w:after="0" w:line="240" w:lineRule="auto"/>
              <w:jc w:val="center"/>
              <w:rPr>
                <w:rFonts w:ascii="Times New Roman" w:eastAsia="Calibri" w:hAnsi="Times New Roman"/>
                <w:b/>
                <w:sz w:val="20"/>
                <w:szCs w:val="20"/>
                <w:lang w:val="en-MY"/>
              </w:rPr>
            </w:pPr>
            <w:r w:rsidRPr="00FE7A13">
              <w:rPr>
                <w:rFonts w:ascii="Times New Roman" w:eastAsia="Calibri" w:hAnsi="Times New Roman"/>
                <w:b/>
                <w:sz w:val="20"/>
                <w:szCs w:val="20"/>
                <w:lang w:val="en-MY"/>
              </w:rPr>
              <w:t>Workers</w:t>
            </w:r>
          </w:p>
        </w:tc>
      </w:tr>
      <w:tr w:rsidR="00FE7A13" w:rsidRPr="00FE7A13" w:rsidTr="00863056">
        <w:trPr>
          <w:trHeight w:val="252"/>
          <w:jc w:val="center"/>
        </w:trPr>
        <w:tc>
          <w:tcPr>
            <w:tcW w:w="2818" w:type="dxa"/>
            <w:tcBorders>
              <w:top w:val="single" w:sz="4" w:space="0" w:color="auto"/>
            </w:tcBorders>
          </w:tcPr>
          <w:p w:rsidR="00FE7A13" w:rsidRPr="00FE7A13" w:rsidRDefault="00FE7A13" w:rsidP="00863056">
            <w:pPr>
              <w:spacing w:before="60" w:after="0" w:line="240" w:lineRule="auto"/>
              <w:rPr>
                <w:rFonts w:ascii="Times New Roman" w:eastAsia="Calibri" w:hAnsi="Times New Roman"/>
                <w:sz w:val="20"/>
                <w:szCs w:val="20"/>
                <w:lang w:val="en-MY"/>
              </w:rPr>
            </w:pPr>
            <w:r w:rsidRPr="00FE7A13">
              <w:rPr>
                <w:rFonts w:ascii="Times New Roman" w:eastAsia="Calibri" w:hAnsi="Times New Roman"/>
                <w:sz w:val="20"/>
                <w:szCs w:val="20"/>
                <w:lang w:val="en-MY"/>
              </w:rPr>
              <w:t>Lanthanide Concentrate (LC)</w:t>
            </w:r>
          </w:p>
        </w:tc>
        <w:tc>
          <w:tcPr>
            <w:tcW w:w="1010" w:type="dxa"/>
            <w:gridSpan w:val="2"/>
            <w:tcBorders>
              <w:top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0.503</w:t>
            </w:r>
          </w:p>
        </w:tc>
        <w:tc>
          <w:tcPr>
            <w:tcW w:w="708" w:type="dxa"/>
            <w:tcBorders>
              <w:top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0.193</w:t>
            </w:r>
          </w:p>
        </w:tc>
        <w:tc>
          <w:tcPr>
            <w:tcW w:w="993" w:type="dxa"/>
            <w:tcBorders>
              <w:top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1.429</w:t>
            </w:r>
          </w:p>
        </w:tc>
        <w:tc>
          <w:tcPr>
            <w:tcW w:w="1103" w:type="dxa"/>
            <w:tcBorders>
              <w:top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0.151</w:t>
            </w:r>
          </w:p>
        </w:tc>
        <w:tc>
          <w:tcPr>
            <w:tcW w:w="1078" w:type="dxa"/>
            <w:tcBorders>
              <w:top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0.091</w:t>
            </w:r>
          </w:p>
        </w:tc>
        <w:tc>
          <w:tcPr>
            <w:tcW w:w="1316" w:type="dxa"/>
            <w:tcBorders>
              <w:top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0.089</w:t>
            </w:r>
          </w:p>
        </w:tc>
      </w:tr>
      <w:tr w:rsidR="00FE7A13" w:rsidRPr="00FE7A13" w:rsidTr="00863056">
        <w:trPr>
          <w:trHeight w:val="266"/>
          <w:jc w:val="center"/>
        </w:trPr>
        <w:tc>
          <w:tcPr>
            <w:tcW w:w="2818" w:type="dxa"/>
            <w:tcBorders>
              <w:bottom w:val="single" w:sz="4" w:space="0" w:color="auto"/>
            </w:tcBorders>
          </w:tcPr>
          <w:p w:rsidR="00FE7A13" w:rsidRPr="00FE7A13" w:rsidRDefault="00FE7A13" w:rsidP="00863056">
            <w:pPr>
              <w:spacing w:before="60" w:after="60" w:line="240" w:lineRule="auto"/>
              <w:rPr>
                <w:rFonts w:ascii="Times New Roman" w:eastAsia="Calibri" w:hAnsi="Times New Roman"/>
                <w:sz w:val="20"/>
                <w:szCs w:val="20"/>
                <w:lang w:val="en-MY"/>
              </w:rPr>
            </w:pPr>
            <w:r w:rsidRPr="00FE7A13">
              <w:rPr>
                <w:rFonts w:ascii="Times New Roman" w:eastAsia="Calibri" w:hAnsi="Times New Roman"/>
                <w:sz w:val="20"/>
                <w:szCs w:val="20"/>
                <w:lang w:val="en-MY"/>
              </w:rPr>
              <w:t>Water Leach Purification (WLP)</w:t>
            </w:r>
          </w:p>
        </w:tc>
        <w:tc>
          <w:tcPr>
            <w:tcW w:w="1010" w:type="dxa"/>
            <w:gridSpan w:val="2"/>
            <w:tcBorders>
              <w:bottom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0.433</w:t>
            </w:r>
          </w:p>
        </w:tc>
        <w:tc>
          <w:tcPr>
            <w:tcW w:w="708" w:type="dxa"/>
            <w:tcBorders>
              <w:bottom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0.166</w:t>
            </w:r>
          </w:p>
        </w:tc>
        <w:tc>
          <w:tcPr>
            <w:tcW w:w="993" w:type="dxa"/>
            <w:tcBorders>
              <w:bottom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1.229</w:t>
            </w:r>
          </w:p>
        </w:tc>
        <w:tc>
          <w:tcPr>
            <w:tcW w:w="1103" w:type="dxa"/>
            <w:tcBorders>
              <w:bottom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0.130</w:t>
            </w:r>
          </w:p>
        </w:tc>
        <w:tc>
          <w:tcPr>
            <w:tcW w:w="1078" w:type="dxa"/>
            <w:tcBorders>
              <w:bottom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0.078</w:t>
            </w:r>
          </w:p>
        </w:tc>
        <w:tc>
          <w:tcPr>
            <w:tcW w:w="1316" w:type="dxa"/>
            <w:tcBorders>
              <w:bottom w:val="single" w:sz="4" w:space="0" w:color="auto"/>
            </w:tcBorders>
          </w:tcPr>
          <w:p w:rsidR="00FE7A13" w:rsidRPr="00FE7A13" w:rsidRDefault="00FE7A13" w:rsidP="00863056">
            <w:pPr>
              <w:spacing w:before="60" w:after="0" w:line="240" w:lineRule="auto"/>
              <w:jc w:val="center"/>
              <w:rPr>
                <w:rFonts w:ascii="Times New Roman" w:eastAsia="Calibri" w:hAnsi="Times New Roman"/>
                <w:sz w:val="20"/>
                <w:szCs w:val="20"/>
                <w:lang w:val="en-MY"/>
              </w:rPr>
            </w:pPr>
            <w:r w:rsidRPr="00FE7A13">
              <w:rPr>
                <w:rFonts w:ascii="Times New Roman" w:eastAsia="Calibri" w:hAnsi="Times New Roman"/>
                <w:sz w:val="20"/>
                <w:szCs w:val="20"/>
                <w:lang w:val="en-MY"/>
              </w:rPr>
              <w:t>0.076</w:t>
            </w:r>
          </w:p>
        </w:tc>
      </w:tr>
    </w:tbl>
    <w:p w:rsidR="00FE7A13" w:rsidRPr="00FE7A13" w:rsidRDefault="00FE7A13" w:rsidP="00863056">
      <w:pPr>
        <w:shd w:val="clear" w:color="auto" w:fill="FFFFFF" w:themeFill="background1"/>
        <w:spacing w:after="0" w:line="240" w:lineRule="auto"/>
        <w:jc w:val="center"/>
        <w:rPr>
          <w:rFonts w:ascii="Times New Roman" w:hAnsi="Times New Roman"/>
          <w:b/>
          <w:caps/>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5340B" w:rsidRDefault="0005340B" w:rsidP="0005340B">
      <w:pPr>
        <w:spacing w:after="0" w:line="240" w:lineRule="auto"/>
        <w:jc w:val="both"/>
        <w:rPr>
          <w:rFonts w:ascii="Times New Roman" w:eastAsia="Calibri" w:hAnsi="Times New Roman"/>
          <w:sz w:val="20"/>
          <w:szCs w:val="20"/>
          <w:lang w:val="en-GB"/>
        </w:rPr>
      </w:pPr>
      <w:bookmarkStart w:id="34" w:name="_Hlk521085237"/>
      <w:r w:rsidRPr="00366308">
        <w:rPr>
          <w:rFonts w:ascii="Times New Roman" w:eastAsia="Calibri" w:hAnsi="Times New Roman"/>
          <w:sz w:val="20"/>
          <w:szCs w:val="20"/>
          <w:lang w:val="en-GB"/>
        </w:rPr>
        <w:t xml:space="preserve">In summary, the present study illustrated that bioaccessibility of </w:t>
      </w:r>
      <w:r w:rsidRPr="00366308">
        <w:rPr>
          <w:rFonts w:ascii="Times New Roman" w:eastAsia="Calibri" w:hAnsi="Times New Roman"/>
          <w:sz w:val="20"/>
          <w:szCs w:val="20"/>
          <w:vertAlign w:val="superscript"/>
          <w:lang w:val="en-GB"/>
        </w:rPr>
        <w:t>232</w:t>
      </w:r>
      <w:r w:rsidRPr="00366308">
        <w:rPr>
          <w:rFonts w:ascii="Times New Roman" w:eastAsia="Calibri" w:hAnsi="Times New Roman"/>
          <w:sz w:val="20"/>
          <w:szCs w:val="20"/>
          <w:lang w:val="en-GB"/>
        </w:rPr>
        <w:t xml:space="preserve">Th and </w:t>
      </w:r>
      <w:r w:rsidRPr="00366308">
        <w:rPr>
          <w:rFonts w:ascii="Times New Roman" w:eastAsia="Calibri" w:hAnsi="Times New Roman"/>
          <w:sz w:val="20"/>
          <w:szCs w:val="20"/>
          <w:vertAlign w:val="superscript"/>
          <w:lang w:val="en-GB"/>
        </w:rPr>
        <w:t>238</w:t>
      </w:r>
      <w:r w:rsidRPr="00366308">
        <w:rPr>
          <w:rFonts w:ascii="Times New Roman" w:eastAsia="Calibri" w:hAnsi="Times New Roman"/>
          <w:sz w:val="20"/>
          <w:szCs w:val="20"/>
          <w:lang w:val="en-GB"/>
        </w:rPr>
        <w:t xml:space="preserve">U in the gastric phase is higher than that in the gastrointestinal phase; the values were acquired using DIN </w:t>
      </w:r>
      <w:r w:rsidRPr="00366308">
        <w:rPr>
          <w:rFonts w:ascii="Times New Roman" w:eastAsia="Calibri" w:hAnsi="Times New Roman"/>
          <w:i/>
          <w:sz w:val="20"/>
          <w:szCs w:val="20"/>
          <w:lang w:val="en-GB"/>
        </w:rPr>
        <w:t>in vitro</w:t>
      </w:r>
      <w:r w:rsidRPr="00366308">
        <w:rPr>
          <w:rFonts w:ascii="Times New Roman" w:eastAsia="Calibri" w:hAnsi="Times New Roman"/>
          <w:sz w:val="20"/>
          <w:szCs w:val="20"/>
          <w:lang w:val="en-GB"/>
        </w:rPr>
        <w:t xml:space="preserve"> bioaccessibility methodology. Health risk assessments depicted the estimated daily intake, committed equivalent, and effective doses of LC and WLP residue through ingestion as significantly lower than the acceptable reference level.</w:t>
      </w:r>
      <w:r w:rsidRPr="00366308">
        <w:rPr>
          <w:rFonts w:ascii="Times New Roman" w:hAnsi="Times New Roman"/>
          <w:sz w:val="20"/>
          <w:szCs w:val="20"/>
          <w:lang w:val="en-GB"/>
        </w:rPr>
        <w:t xml:space="preserve"> </w:t>
      </w:r>
      <w:r w:rsidRPr="00366308">
        <w:rPr>
          <w:rFonts w:ascii="Times New Roman" w:eastAsia="Calibri" w:hAnsi="Times New Roman"/>
          <w:sz w:val="20"/>
          <w:szCs w:val="20"/>
          <w:lang w:val="en-GB"/>
        </w:rPr>
        <w:t xml:space="preserve">Therefore, there were no health </w:t>
      </w:r>
      <w:r w:rsidRPr="00366308">
        <w:rPr>
          <w:rFonts w:ascii="Times New Roman" w:eastAsia="Calibri" w:hAnsi="Times New Roman"/>
          <w:sz w:val="20"/>
          <w:szCs w:val="20"/>
          <w:lang w:val="en-GB"/>
        </w:rPr>
        <w:lastRenderedPageBreak/>
        <w:t xml:space="preserve">effects related to the radiotoxicity of the incorporated nuclides. Finally, future research is required in order to differentiate </w:t>
      </w:r>
      <w:r w:rsidRPr="00366308">
        <w:rPr>
          <w:rFonts w:ascii="Times New Roman" w:eastAsia="Calibri" w:hAnsi="Times New Roman"/>
          <w:sz w:val="20"/>
          <w:szCs w:val="20"/>
          <w:vertAlign w:val="superscript"/>
          <w:lang w:val="en-GB"/>
        </w:rPr>
        <w:t>232</w:t>
      </w:r>
      <w:r w:rsidRPr="00366308">
        <w:rPr>
          <w:rFonts w:ascii="Times New Roman" w:eastAsia="Calibri" w:hAnsi="Times New Roman"/>
          <w:sz w:val="20"/>
          <w:szCs w:val="20"/>
          <w:lang w:val="en-GB"/>
        </w:rPr>
        <w:t xml:space="preserve">Th and </w:t>
      </w:r>
      <w:r w:rsidRPr="00366308">
        <w:rPr>
          <w:rFonts w:ascii="Times New Roman" w:eastAsia="Calibri" w:hAnsi="Times New Roman"/>
          <w:sz w:val="20"/>
          <w:szCs w:val="20"/>
          <w:vertAlign w:val="superscript"/>
          <w:lang w:val="en-GB"/>
        </w:rPr>
        <w:t>238</w:t>
      </w:r>
      <w:r w:rsidRPr="00366308">
        <w:rPr>
          <w:rFonts w:ascii="Times New Roman" w:eastAsia="Calibri" w:hAnsi="Times New Roman"/>
          <w:sz w:val="20"/>
          <w:szCs w:val="20"/>
          <w:lang w:val="en-GB"/>
        </w:rPr>
        <w:t xml:space="preserve">U by </w:t>
      </w:r>
      <w:r w:rsidRPr="00366308">
        <w:rPr>
          <w:rFonts w:ascii="Times New Roman" w:eastAsia="Calibri" w:hAnsi="Times New Roman"/>
          <w:i/>
          <w:sz w:val="20"/>
          <w:szCs w:val="20"/>
          <w:lang w:val="en-GB"/>
        </w:rPr>
        <w:t>in vivo</w:t>
      </w:r>
      <w:r w:rsidRPr="00366308">
        <w:rPr>
          <w:rFonts w:ascii="Times New Roman" w:eastAsia="Calibri" w:hAnsi="Times New Roman"/>
          <w:sz w:val="20"/>
          <w:szCs w:val="20"/>
          <w:lang w:val="en-GB"/>
        </w:rPr>
        <w:t xml:space="preserve"> bioavailability values measured using different biomarkers and non-identical animal models.</w:t>
      </w:r>
      <w:bookmarkEnd w:id="34"/>
    </w:p>
    <w:p w:rsidR="0005340B" w:rsidRDefault="0005340B" w:rsidP="0005340B">
      <w:pPr>
        <w:spacing w:after="0" w:line="240" w:lineRule="auto"/>
        <w:jc w:val="center"/>
        <w:rPr>
          <w:rFonts w:ascii="Times New Roman" w:hAnsi="Times New Roman"/>
          <w:sz w:val="20"/>
          <w:szCs w:val="20"/>
          <w:lang w:val="en-GB" w:eastAsia="ms-MY"/>
        </w:rPr>
      </w:pPr>
    </w:p>
    <w:p w:rsidR="0005340B" w:rsidRDefault="0005340B" w:rsidP="0005340B">
      <w:pPr>
        <w:spacing w:after="0" w:line="240" w:lineRule="auto"/>
        <w:jc w:val="center"/>
        <w:rPr>
          <w:rFonts w:ascii="Times New Roman" w:hAnsi="Times New Roman"/>
          <w:sz w:val="20"/>
          <w:szCs w:val="20"/>
          <w:lang w:val="en-GB" w:eastAsia="ms-MY"/>
        </w:rPr>
      </w:pPr>
      <w:r w:rsidRPr="00366308">
        <w:rPr>
          <w:rFonts w:ascii="Times New Roman" w:hAnsi="Times New Roman"/>
          <w:b/>
          <w:sz w:val="20"/>
          <w:szCs w:val="20"/>
        </w:rPr>
        <w:t>Acknowledgement</w:t>
      </w:r>
    </w:p>
    <w:p w:rsidR="006768E9" w:rsidRPr="0005340B" w:rsidRDefault="0005340B" w:rsidP="0005340B">
      <w:pPr>
        <w:spacing w:after="0" w:line="240" w:lineRule="auto"/>
        <w:jc w:val="both"/>
        <w:rPr>
          <w:rFonts w:ascii="Times New Roman" w:hAnsi="Times New Roman"/>
          <w:sz w:val="20"/>
          <w:szCs w:val="20"/>
          <w:lang w:val="en-GB" w:eastAsia="ms-MY"/>
        </w:rPr>
      </w:pPr>
      <w:r w:rsidRPr="00366308">
        <w:rPr>
          <w:rFonts w:ascii="Times New Roman" w:hAnsi="Times New Roman"/>
          <w:sz w:val="20"/>
          <w:szCs w:val="20"/>
        </w:rPr>
        <w:t>The authors would like to t</w:t>
      </w:r>
      <w:r w:rsidR="00D870B7">
        <w:rPr>
          <w:rFonts w:ascii="Times New Roman" w:hAnsi="Times New Roman"/>
          <w:sz w:val="20"/>
          <w:szCs w:val="20"/>
        </w:rPr>
        <w:t xml:space="preserve">hank Universiti Kebangsaan </w:t>
      </w:r>
      <w:r w:rsidRPr="00366308">
        <w:rPr>
          <w:rFonts w:ascii="Times New Roman" w:hAnsi="Times New Roman"/>
          <w:sz w:val="20"/>
          <w:szCs w:val="20"/>
        </w:rPr>
        <w:t>Malaysia for financial support under the project code DLP/2014/011.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5340B" w:rsidRPr="0005340B"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Charalampides, G. and Vatalis, K. I. (2015). Global production estimation of rare earth elements and their environmental impacts on soils. </w:t>
      </w:r>
      <w:r w:rsidRPr="0005340B">
        <w:rPr>
          <w:rFonts w:ascii="Times New Roman" w:eastAsia="Calibri" w:hAnsi="Times New Roman"/>
          <w:i/>
          <w:noProof/>
          <w:sz w:val="20"/>
          <w:szCs w:val="20"/>
        </w:rPr>
        <w:t xml:space="preserve">Journal of Geoscience and Environment Protection, </w:t>
      </w:r>
      <w:r w:rsidRPr="0005340B">
        <w:rPr>
          <w:rFonts w:ascii="Times New Roman" w:eastAsia="Calibri" w:hAnsi="Times New Roman"/>
          <w:noProof/>
          <w:sz w:val="20"/>
          <w:szCs w:val="20"/>
        </w:rPr>
        <w:t>3(8): 66.</w:t>
      </w:r>
    </w:p>
    <w:p w:rsidR="0005340B" w:rsidRPr="0005340B"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Schmidt, G. (2013). Description and critical environmental evaluation of the REE refining plant LAMP near Kuantan/Malaysia. Radiological and non-radiological environmental consequences of the plant's operation and its wastes.</w:t>
      </w:r>
    </w:p>
    <w:p w:rsidR="0005340B" w:rsidRPr="0005340B"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O'Brien, R., S. and Cooper, M. B. (1998). Technologically enhanced naturally occurring radioactive material (NORM): Pathway analysis and radiological impact. </w:t>
      </w:r>
      <w:r w:rsidRPr="0005340B">
        <w:rPr>
          <w:rFonts w:ascii="Times New Roman" w:eastAsia="Calibri" w:hAnsi="Times New Roman"/>
          <w:i/>
          <w:noProof/>
          <w:sz w:val="20"/>
          <w:szCs w:val="20"/>
        </w:rPr>
        <w:t xml:space="preserve">Applied Radiation and Isotopes. </w:t>
      </w:r>
      <w:r w:rsidRPr="0005340B">
        <w:rPr>
          <w:rFonts w:ascii="Times New Roman" w:eastAsia="Calibri" w:hAnsi="Times New Roman"/>
          <w:noProof/>
          <w:sz w:val="20"/>
          <w:szCs w:val="20"/>
        </w:rPr>
        <w:t>49(3):227-239.</w:t>
      </w:r>
    </w:p>
    <w:p w:rsidR="0005340B" w:rsidRPr="0005340B"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Sowby,  F., D.  (1965).  Radiation protection. </w:t>
      </w:r>
      <w:r w:rsidRPr="0005340B">
        <w:rPr>
          <w:rFonts w:ascii="Times New Roman" w:eastAsia="Calibri" w:hAnsi="Times New Roman"/>
          <w:i/>
          <w:noProof/>
          <w:sz w:val="20"/>
          <w:szCs w:val="20"/>
        </w:rPr>
        <w:t xml:space="preserve">Canadian Medical Association Journal, </w:t>
      </w:r>
      <w:r w:rsidRPr="0005340B">
        <w:rPr>
          <w:rFonts w:ascii="Times New Roman" w:eastAsia="Calibri" w:hAnsi="Times New Roman"/>
          <w:noProof/>
          <w:sz w:val="20"/>
          <w:szCs w:val="20"/>
        </w:rPr>
        <w:t>92(19): 1039.</w:t>
      </w:r>
    </w:p>
    <w:p w:rsidR="0005340B" w:rsidRPr="0005340B"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World Health Organization (2012). Ionizing  radiation,  health effects  and  protective  measures. Access online </w:t>
      </w:r>
      <w:r w:rsidRPr="0005340B">
        <w:rPr>
          <w:rFonts w:ascii="Times New Roman" w:hAnsi="Times New Roman"/>
          <w:sz w:val="20"/>
          <w:szCs w:val="20"/>
        </w:rPr>
        <w:t xml:space="preserve">http://www.who.int/news-room/fact-sheets/detail/ionizing-radiation-health-effects-and-protectiv-measures </w:t>
      </w:r>
      <w:r w:rsidRPr="0005340B">
        <w:rPr>
          <w:rFonts w:ascii="Times New Roman" w:eastAsia="Calibri" w:hAnsi="Times New Roman"/>
          <w:noProof/>
          <w:sz w:val="20"/>
          <w:szCs w:val="20"/>
        </w:rPr>
        <w:t xml:space="preserve">[Access online 20 April 2016].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Chaney, R. L., Mielke, H.W. and Sterrett, S. B. (1989). Speciation, mobility and bioavailability of soil lead. </w:t>
      </w:r>
      <w:r w:rsidRPr="0005340B">
        <w:rPr>
          <w:rFonts w:ascii="Times New Roman" w:eastAsia="Calibri" w:hAnsi="Times New Roman"/>
          <w:i/>
          <w:noProof/>
          <w:sz w:val="20"/>
          <w:szCs w:val="20"/>
        </w:rPr>
        <w:t xml:space="preserve">Environmental Geochemistry Health, </w:t>
      </w:r>
      <w:r w:rsidRPr="0005340B">
        <w:rPr>
          <w:rFonts w:ascii="Times New Roman" w:eastAsia="Calibri" w:hAnsi="Times New Roman"/>
          <w:noProof/>
          <w:sz w:val="20"/>
          <w:szCs w:val="20"/>
        </w:rPr>
        <w:t>11: 105-129.</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Calabrese, E. J. and Stanek, E. J. (1994). Soil ingest ion issues and recommendations. </w:t>
      </w:r>
      <w:r w:rsidRPr="00B2425C">
        <w:rPr>
          <w:rFonts w:ascii="Times New Roman" w:eastAsia="Calibri" w:hAnsi="Times New Roman"/>
          <w:i/>
          <w:noProof/>
          <w:sz w:val="20"/>
          <w:szCs w:val="20"/>
        </w:rPr>
        <w:t xml:space="preserve">Journal of Environmental Science &amp; Health Part A, </w:t>
      </w:r>
      <w:r w:rsidRPr="00B2425C">
        <w:rPr>
          <w:rFonts w:ascii="Times New Roman" w:eastAsia="Calibri" w:hAnsi="Times New Roman"/>
          <w:noProof/>
          <w:sz w:val="20"/>
          <w:szCs w:val="20"/>
        </w:rPr>
        <w:t xml:space="preserve">29(3): 517-530.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Omar, N. A., Praveena, S., Mohd, A., Ahmad, Z. and Hashim, Z. (2013). Bioavailability of heavy metal in rice using</w:t>
      </w:r>
      <w:r w:rsidRPr="00B2425C">
        <w:rPr>
          <w:rFonts w:ascii="Times New Roman" w:eastAsia="Calibri" w:hAnsi="Times New Roman"/>
          <w:i/>
          <w:noProof/>
          <w:sz w:val="20"/>
          <w:szCs w:val="20"/>
        </w:rPr>
        <w:t xml:space="preserve"> in vitro</w:t>
      </w:r>
      <w:r w:rsidRPr="00B2425C">
        <w:rPr>
          <w:rFonts w:ascii="Times New Roman" w:eastAsia="Calibri" w:hAnsi="Times New Roman"/>
          <w:noProof/>
          <w:sz w:val="20"/>
          <w:szCs w:val="20"/>
        </w:rPr>
        <w:t xml:space="preserve"> digestion model. </w:t>
      </w:r>
      <w:r w:rsidRPr="00B2425C">
        <w:rPr>
          <w:rFonts w:ascii="Times New Roman" w:eastAsia="Calibri" w:hAnsi="Times New Roman"/>
          <w:i/>
          <w:noProof/>
          <w:sz w:val="20"/>
          <w:szCs w:val="20"/>
        </w:rPr>
        <w:t xml:space="preserve">International Food Research Journal, </w:t>
      </w:r>
      <w:r w:rsidRPr="00B2425C">
        <w:rPr>
          <w:rFonts w:ascii="Times New Roman" w:eastAsia="Calibri" w:hAnsi="Times New Roman"/>
          <w:noProof/>
          <w:sz w:val="20"/>
          <w:szCs w:val="20"/>
        </w:rPr>
        <w:t xml:space="preserve">20(6): 2979-2985.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Oomen, A. G., Rompelberg, C. J. M., Bruil, M. A., Dobbe, C. J. G., Pereboom, D. P. K. H. and Sips, A. J. A. M. (2003). Development of an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model for estimating the bioaccessibility of soil contaminants. </w:t>
      </w:r>
      <w:r w:rsidRPr="00B2425C">
        <w:rPr>
          <w:rFonts w:ascii="Times New Roman" w:eastAsia="Calibri" w:hAnsi="Times New Roman"/>
          <w:i/>
          <w:noProof/>
          <w:sz w:val="20"/>
          <w:szCs w:val="20"/>
        </w:rPr>
        <w:t xml:space="preserve">Archives of Environmental Contamination and Toxicology, </w:t>
      </w:r>
      <w:r w:rsidRPr="00B2425C">
        <w:rPr>
          <w:rFonts w:ascii="Times New Roman" w:eastAsia="Calibri" w:hAnsi="Times New Roman"/>
          <w:noProof/>
          <w:sz w:val="20"/>
          <w:szCs w:val="20"/>
        </w:rPr>
        <w:t xml:space="preserve">44(3): 0281-0287.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Monachese, M., Burton, J. P. and Reid, G. (2012). Bioremediation and tolerance of humans to heavy metals through microbial processes: A potential role for probiotics. </w:t>
      </w:r>
      <w:r w:rsidRPr="00B2425C">
        <w:rPr>
          <w:rFonts w:ascii="Times New Roman" w:eastAsia="Calibri" w:hAnsi="Times New Roman"/>
          <w:i/>
          <w:noProof/>
          <w:sz w:val="20"/>
          <w:szCs w:val="20"/>
        </w:rPr>
        <w:t xml:space="preserve">Applied and Environmental Microbiology, </w:t>
      </w:r>
      <w:r w:rsidRPr="00B2425C">
        <w:rPr>
          <w:rFonts w:ascii="Times New Roman" w:eastAsia="Calibri" w:hAnsi="Times New Roman"/>
          <w:noProof/>
          <w:sz w:val="20"/>
          <w:szCs w:val="20"/>
        </w:rPr>
        <w:t>78(18): 6397-6404.</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Al-Jundi, J., Werner, E., Roth, P., Höllriegl, V., Wendler, I. and Schramel, P. (2004). Thorium and uranium contents in human urine: Influence of age and residential area. </w:t>
      </w:r>
      <w:r w:rsidRPr="00B2425C">
        <w:rPr>
          <w:rFonts w:ascii="Times New Roman" w:eastAsia="Calibri" w:hAnsi="Times New Roman"/>
          <w:i/>
          <w:noProof/>
          <w:sz w:val="20"/>
          <w:szCs w:val="20"/>
        </w:rPr>
        <w:t xml:space="preserve">Journal of Environmental Radioactivity, </w:t>
      </w:r>
      <w:r w:rsidRPr="00B2425C">
        <w:rPr>
          <w:rFonts w:ascii="Times New Roman" w:eastAsia="Calibri" w:hAnsi="Times New Roman"/>
          <w:noProof/>
          <w:sz w:val="20"/>
          <w:szCs w:val="20"/>
        </w:rPr>
        <w:t xml:space="preserve">71(1): 61-70.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Van, D., W., Tom, R., Oomen, A., G., Wragg, J., Cave, Mark, Minekus, Mans, Hack, Alfons and Klinck, B. (2007). Comparison of five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models to in vivo experimental results: Lead bioaccessibility in the human gastrointestinal tract. </w:t>
      </w:r>
      <w:r w:rsidRPr="00B2425C">
        <w:rPr>
          <w:rFonts w:ascii="Times New Roman" w:eastAsia="Calibri" w:hAnsi="Times New Roman"/>
          <w:i/>
          <w:noProof/>
          <w:sz w:val="20"/>
          <w:szCs w:val="20"/>
        </w:rPr>
        <w:t xml:space="preserve">Journal of Environmental Science and Health Part A, </w:t>
      </w:r>
      <w:r w:rsidRPr="00B2425C">
        <w:rPr>
          <w:rFonts w:ascii="Times New Roman" w:eastAsia="Calibri" w:hAnsi="Times New Roman"/>
          <w:noProof/>
          <w:sz w:val="20"/>
          <w:szCs w:val="20"/>
        </w:rPr>
        <w:t>42(9): 1203-1211.</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Kolo, M. T., Aziz, Siti, A. A., Khandaker, M., Uddin, A., Khandoker and Amin, Y. M. (2015). Evaluation of radiological risks due to natural radioactivity around Lynas Advanced Material Plant environment, Kuantan, Pahang, Malaysia. </w:t>
      </w:r>
      <w:r w:rsidRPr="00B2425C">
        <w:rPr>
          <w:rFonts w:ascii="Times New Roman" w:eastAsia="Calibri" w:hAnsi="Times New Roman"/>
          <w:i/>
          <w:noProof/>
          <w:sz w:val="20"/>
          <w:szCs w:val="20"/>
        </w:rPr>
        <w:t>Environmental Science and Pollution Research</w:t>
      </w:r>
      <w:r w:rsidRPr="00B2425C">
        <w:rPr>
          <w:rFonts w:ascii="Times New Roman" w:eastAsia="Calibri" w:hAnsi="Times New Roman"/>
          <w:noProof/>
          <w:sz w:val="20"/>
          <w:szCs w:val="20"/>
        </w:rPr>
        <w:t>, 22(17): 13127-13136.</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Wragg, J. and Cave, M. In-vitro methods for the measurement of the oral bioaccessibility of selected metals and metalloids in soils: A critical review.</w:t>
      </w:r>
      <w:r w:rsidRPr="00B2425C">
        <w:rPr>
          <w:rFonts w:ascii="Times New Roman" w:eastAsia="Calibri" w:hAnsi="Times New Roman"/>
          <w:i/>
          <w:noProof/>
          <w:sz w:val="20"/>
          <w:szCs w:val="20"/>
        </w:rPr>
        <w:t xml:space="preserve"> </w:t>
      </w:r>
      <w:r w:rsidRPr="00B2425C">
        <w:rPr>
          <w:rFonts w:ascii="Times New Roman" w:eastAsia="Calibri" w:hAnsi="Times New Roman"/>
          <w:noProof/>
          <w:sz w:val="20"/>
          <w:szCs w:val="20"/>
        </w:rPr>
        <w:t>R&amp;D Technical Report P5-062/TR/01 Environment Agency: pp. 1-28.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National Toxics Network (2012). Rare earth and radioactive waste a preliminary waste stream assessment of the Lynas Advanced Materials Plant, Gebeng, Malaysia.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Pasquale, V., Verdoya, M. and Chiozzi, P. (2001). Radioactive heat generation and its thermal effects in the Alps–Apennines boundary zone. </w:t>
      </w:r>
      <w:r w:rsidRPr="00B2425C">
        <w:rPr>
          <w:rFonts w:ascii="Times New Roman" w:eastAsia="Calibri" w:hAnsi="Times New Roman"/>
          <w:i/>
          <w:noProof/>
          <w:sz w:val="20"/>
          <w:szCs w:val="20"/>
        </w:rPr>
        <w:t xml:space="preserve">Tectonophysics, </w:t>
      </w:r>
      <w:r w:rsidRPr="00B2425C">
        <w:rPr>
          <w:rFonts w:ascii="Times New Roman" w:eastAsia="Calibri" w:hAnsi="Times New Roman"/>
          <w:noProof/>
          <w:sz w:val="20"/>
          <w:szCs w:val="20"/>
        </w:rPr>
        <w:t xml:space="preserve">331(3): 269-283.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Guo, P., Duan, T., Song, X., Xu, J. and Chen, H. (2008). Effects of soil pH and organic matter on distribution of thorium fractions in soil contaminated by rare-earth industries.  </w:t>
      </w:r>
      <w:r w:rsidRPr="00B2425C">
        <w:rPr>
          <w:rFonts w:ascii="Times New Roman" w:eastAsia="Calibri" w:hAnsi="Times New Roman"/>
          <w:i/>
          <w:noProof/>
          <w:sz w:val="20"/>
          <w:szCs w:val="20"/>
        </w:rPr>
        <w:t xml:space="preserve">Talanta, </w:t>
      </w:r>
      <w:r w:rsidRPr="00B2425C">
        <w:rPr>
          <w:rFonts w:ascii="Times New Roman" w:eastAsia="Calibri" w:hAnsi="Times New Roman"/>
          <w:noProof/>
          <w:sz w:val="20"/>
          <w:szCs w:val="20"/>
        </w:rPr>
        <w:t>77(2): 624-627.</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International Atomic Energy Agency (2011). Radiation protection and NORM residue management in the production of rare earths from thorium containing minerals. Safety Reports Series No. 68.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Langmuir, D. and Herman, J. S. (1980). The mobility of thorium in natural waters at low temperatures. </w:t>
      </w:r>
      <w:r w:rsidRPr="00B2425C">
        <w:rPr>
          <w:rFonts w:ascii="Times New Roman" w:eastAsia="Calibri" w:hAnsi="Times New Roman"/>
          <w:i/>
          <w:noProof/>
          <w:sz w:val="20"/>
          <w:szCs w:val="20"/>
        </w:rPr>
        <w:t xml:space="preserve">Geochimica et Cosmochimica Acta, </w:t>
      </w:r>
      <w:r w:rsidRPr="00B2425C">
        <w:rPr>
          <w:rFonts w:ascii="Times New Roman" w:eastAsia="Calibri" w:hAnsi="Times New Roman"/>
          <w:noProof/>
          <w:sz w:val="20"/>
          <w:szCs w:val="20"/>
        </w:rPr>
        <w:t>44(11):1753-1766.</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lastRenderedPageBreak/>
        <w:t xml:space="preserve">Platford, R. F. and Joshi, S. R. (1989). Radionuclide partitioning across Great Lakes natural interfaces. </w:t>
      </w:r>
      <w:r w:rsidRPr="00B2425C">
        <w:rPr>
          <w:rFonts w:ascii="Times New Roman" w:eastAsia="Calibri" w:hAnsi="Times New Roman"/>
          <w:i/>
          <w:noProof/>
          <w:sz w:val="20"/>
          <w:szCs w:val="20"/>
        </w:rPr>
        <w:t>Environmental Geology and Water Sciences</w:t>
      </w:r>
      <w:r w:rsidRPr="00B2425C">
        <w:rPr>
          <w:rFonts w:ascii="Times New Roman" w:eastAsia="Calibri" w:hAnsi="Times New Roman"/>
          <w:noProof/>
          <w:sz w:val="20"/>
          <w:szCs w:val="20"/>
        </w:rPr>
        <w:t>, 14(3):183-186.</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International Commission on Radiological Protection (2012). ICRP Publication 119: Compendium of Dose Coefficients Based On ICRP Publication 60. </w:t>
      </w:r>
      <w:r w:rsidRPr="00B2425C">
        <w:rPr>
          <w:rFonts w:ascii="Times New Roman" w:eastAsia="Calibri" w:hAnsi="Times New Roman"/>
          <w:i/>
          <w:noProof/>
          <w:sz w:val="20"/>
          <w:szCs w:val="20"/>
        </w:rPr>
        <w:t>Annal ICRP</w:t>
      </w:r>
      <w:r w:rsidRPr="00B2425C">
        <w:rPr>
          <w:rFonts w:ascii="Times New Roman" w:eastAsia="Calibri" w:hAnsi="Times New Roman"/>
          <w:noProof/>
          <w:sz w:val="20"/>
          <w:szCs w:val="20"/>
        </w:rPr>
        <w:t>, 42(4): 2013.</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Johnson, J. R. and Lamothe, E. S. (1989). A review of the dietary uptake of Th. </w:t>
      </w:r>
      <w:r w:rsidRPr="00B2425C">
        <w:rPr>
          <w:rFonts w:ascii="Times New Roman" w:eastAsia="Calibri" w:hAnsi="Times New Roman"/>
          <w:i/>
          <w:noProof/>
          <w:sz w:val="20"/>
          <w:szCs w:val="20"/>
        </w:rPr>
        <w:t>Health Physics,</w:t>
      </w:r>
      <w:r w:rsidRPr="00B2425C">
        <w:rPr>
          <w:rFonts w:ascii="Times New Roman" w:eastAsia="Calibri" w:hAnsi="Times New Roman"/>
          <w:noProof/>
          <w:sz w:val="20"/>
          <w:szCs w:val="20"/>
        </w:rPr>
        <w:t xml:space="preserve"> 56(2): 165-168.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United  States  Environmental  Protection  Agency (2015).  Radionuclide basics:  Uranium. Access from https://www.epa.gov/radiation/radionuclide-basics-uranium [Access online 11 Jan 2018].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Hooda, P. S., Henry, C. J. K., Seyoum, T. A., Armstrong, L., D. M. and Fowler, M. B. (2004). The potential impact of soil ingestion on human mineral nutrition. </w:t>
      </w:r>
      <w:r w:rsidRPr="00B2425C">
        <w:rPr>
          <w:rFonts w:ascii="Times New Roman" w:eastAsia="Calibri" w:hAnsi="Times New Roman"/>
          <w:i/>
          <w:noProof/>
          <w:sz w:val="20"/>
          <w:szCs w:val="20"/>
        </w:rPr>
        <w:t>Science of the Total Environment</w:t>
      </w:r>
      <w:r w:rsidRPr="00B2425C">
        <w:rPr>
          <w:rFonts w:ascii="Times New Roman" w:eastAsia="Calibri" w:hAnsi="Times New Roman"/>
          <w:noProof/>
          <w:sz w:val="20"/>
          <w:szCs w:val="20"/>
        </w:rPr>
        <w:t>, 333(1): 75-87.</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Bondietti, E.A. (1974). Adsorption of U (+ 4) and Th (+ 4) by soil colloids. In </w:t>
      </w:r>
      <w:r w:rsidRPr="00B2425C">
        <w:rPr>
          <w:rFonts w:ascii="Times New Roman" w:eastAsia="Calibri" w:hAnsi="Times New Roman"/>
          <w:i/>
          <w:noProof/>
          <w:sz w:val="20"/>
          <w:szCs w:val="20"/>
        </w:rPr>
        <w:t>Agronomy Abstracts</w:t>
      </w:r>
      <w:r w:rsidRPr="00B2425C">
        <w:rPr>
          <w:rFonts w:ascii="Times New Roman" w:eastAsia="Calibri" w:hAnsi="Times New Roman"/>
          <w:noProof/>
          <w:sz w:val="20"/>
          <w:szCs w:val="20"/>
        </w:rPr>
        <w:t>, 23.</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Guo, P., Duan, T., Song, X. and Chen, H. (2007). Evaluation of a sequential extraction for the speciation of thorium in soils from Baotou area, Inner Mongolia. </w:t>
      </w:r>
      <w:r w:rsidRPr="00B2425C">
        <w:rPr>
          <w:rFonts w:ascii="Times New Roman" w:eastAsia="Calibri" w:hAnsi="Times New Roman"/>
          <w:i/>
          <w:noProof/>
          <w:sz w:val="20"/>
          <w:szCs w:val="20"/>
        </w:rPr>
        <w:t>Talanta,</w:t>
      </w:r>
      <w:r w:rsidRPr="00B2425C">
        <w:rPr>
          <w:rFonts w:ascii="Times New Roman" w:eastAsia="Calibri" w:hAnsi="Times New Roman"/>
          <w:noProof/>
          <w:sz w:val="20"/>
          <w:szCs w:val="20"/>
        </w:rPr>
        <w:t xml:space="preserve"> 71(2):778-783.</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Reiller, P., Moulin, V., Casanova, F. and Dautel, C. (2002). Retention behaviour of humic substances onto mineral surfaces and consequences upon thorium(IV) mobility: Case of iron oxides. </w:t>
      </w:r>
      <w:r w:rsidRPr="00B2425C">
        <w:rPr>
          <w:rFonts w:ascii="Times New Roman" w:eastAsia="Calibri" w:hAnsi="Times New Roman"/>
          <w:i/>
          <w:noProof/>
          <w:sz w:val="20"/>
          <w:szCs w:val="20"/>
        </w:rPr>
        <w:t>Applied Geochemistry</w:t>
      </w:r>
      <w:r w:rsidRPr="00B2425C">
        <w:rPr>
          <w:rFonts w:ascii="Times New Roman" w:eastAsia="Calibri" w:hAnsi="Times New Roman"/>
          <w:noProof/>
          <w:sz w:val="20"/>
          <w:szCs w:val="20"/>
        </w:rPr>
        <w:t>, 17(12): 1551-1562.</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Rand, M., H., Mompean, F., J., Perrone, J. and Illemassène, M. (2008). Chemical thermodynamics of thorium. OECD Publishing, 11: 1-393</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Oliver, D. P., McLaughlin, M. J., Naidu, R., Smith, L. H., Maynard, E. J. and Calder, I. C. (1999). Measuring Pb bioavailability from household dusts using an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model. </w:t>
      </w:r>
      <w:r w:rsidRPr="00B2425C">
        <w:rPr>
          <w:rFonts w:ascii="Times New Roman" w:eastAsia="Calibri" w:hAnsi="Times New Roman"/>
          <w:i/>
          <w:noProof/>
          <w:sz w:val="20"/>
          <w:szCs w:val="20"/>
        </w:rPr>
        <w:t xml:space="preserve">Environmental Science &amp; Technology, </w:t>
      </w:r>
      <w:r w:rsidRPr="00B2425C">
        <w:rPr>
          <w:rFonts w:ascii="Times New Roman" w:eastAsia="Calibri" w:hAnsi="Times New Roman"/>
          <w:noProof/>
          <w:sz w:val="20"/>
          <w:szCs w:val="20"/>
        </w:rPr>
        <w:t>33(24): 4434-4439.</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Golev, A., Scott, M., Erskine, P. D., Ali, S. H. and Ballantyne, G. R. (2014). Rare earths supply chains: Current status, constraints and opportunities. </w:t>
      </w:r>
      <w:r w:rsidRPr="00B2425C">
        <w:rPr>
          <w:rFonts w:ascii="Times New Roman" w:eastAsia="Calibri" w:hAnsi="Times New Roman"/>
          <w:i/>
          <w:noProof/>
          <w:sz w:val="20"/>
          <w:szCs w:val="20"/>
        </w:rPr>
        <w:t>Resources Policy</w:t>
      </w:r>
      <w:r w:rsidRPr="00B2425C">
        <w:rPr>
          <w:rFonts w:ascii="Times New Roman" w:eastAsia="Calibri" w:hAnsi="Times New Roman"/>
          <w:noProof/>
          <w:sz w:val="20"/>
          <w:szCs w:val="20"/>
        </w:rPr>
        <w:t>. 41: 52-59.</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Adams, W. H., Buchholz, J. R., Christenson, C. W., Johnson, G. L. and Fowler, E. B. (1974). Studies of plutonium, americium, and uranium in environmental matrices: Los Alamos Scientific Lab., North Mexico.</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Träber, S. C., Höllriegl, V., Li, W. B., Czeslik, U., Rühm, W., Oeh, U. and Michalke, B. (2014). Estimating the absorption of soil-derived uranium in humans. </w:t>
      </w:r>
      <w:r w:rsidRPr="00B2425C">
        <w:rPr>
          <w:rFonts w:ascii="Times New Roman" w:eastAsia="Calibri" w:hAnsi="Times New Roman"/>
          <w:i/>
          <w:noProof/>
          <w:sz w:val="20"/>
          <w:szCs w:val="20"/>
        </w:rPr>
        <w:t>Environmental Science &amp; Technology</w:t>
      </w:r>
      <w:r w:rsidRPr="00B2425C">
        <w:rPr>
          <w:rFonts w:ascii="Times New Roman" w:eastAsia="Calibri" w:hAnsi="Times New Roman"/>
          <w:noProof/>
          <w:sz w:val="20"/>
          <w:szCs w:val="20"/>
        </w:rPr>
        <w:t>, 48(24): 14721-14727.</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Rashid, N. S. A., Sarmani, S., Majid, A. A., Mohamed, F. and Siong, K. K. (2015). Solubility of 238U radionuclide from various types of soil in synthetic gastrointestinal fluids using “USP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method. </w:t>
      </w:r>
      <w:r w:rsidRPr="00B2425C">
        <w:rPr>
          <w:rFonts w:ascii="Times New Roman" w:eastAsia="Calibri" w:hAnsi="Times New Roman"/>
          <w:i/>
          <w:noProof/>
          <w:sz w:val="20"/>
          <w:szCs w:val="20"/>
        </w:rPr>
        <w:t>Proceedings of the Nuclear Science, Technology, and Engineering Conference 2014</w:t>
      </w:r>
      <w:r w:rsidRPr="00B2425C">
        <w:rPr>
          <w:rFonts w:ascii="Times New Roman" w:eastAsia="Calibri" w:hAnsi="Times New Roman"/>
          <w:noProof/>
          <w:sz w:val="20"/>
          <w:szCs w:val="20"/>
        </w:rPr>
        <w:t xml:space="preserve"> (NuSTEC2014).</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Agency for Toxic Substances and Disease Registry (1990). Public health statement for Thorium. Access from https://www.atsdr.cdc.gov/phs/phs.asp?id=658&amp;tid=121 (21 January 2018).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Agency for Toxic Substances and Disease Registry (1999). Toxicological profile: Uranium. Access from https://www.atsdr.cdc.gov/toxprofiles/TP.asp?id=440&amp;tid=77 (21 January 2018).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Jacob, P., Pröhl, G., Schneider, K. and Voß, J. U. (1997). Machbarkeitsstudie zur Verknüpfung der Bewertung radiologischer und chemisch-toxischer  Wirkungen  von  Altlasten: Inst.  für  Strahlenschutz.</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World Health Organization (1998). Guidelines for drinking-water quality, Second edition, Addendum to Volume 2: Health Criteria and Other Supporting Information, WHO/EOS/98.1, Geneva 1998: pp. 283.</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World  Health  Organization.  (2003).  Guidelines  for  Drinking  Water  Quality,  Third  edition. Volume 1 – Recommendations Incorporating first and second addenda: pp. 1-668.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Konietzka, R., Dieter, H. H. and Voss, J. U. (2005). Vorschlag für einen gesundheitlichen Leitwert für Uran in Trinkwasser. </w:t>
      </w:r>
      <w:r w:rsidRPr="00B2425C">
        <w:rPr>
          <w:rFonts w:ascii="Times New Roman" w:eastAsia="Calibri" w:hAnsi="Times New Roman"/>
          <w:i/>
          <w:noProof/>
          <w:sz w:val="20"/>
          <w:szCs w:val="20"/>
        </w:rPr>
        <w:t xml:space="preserve">Umweltmed Forsch Prax, </w:t>
      </w:r>
      <w:r w:rsidRPr="00B2425C">
        <w:rPr>
          <w:rFonts w:ascii="Times New Roman" w:eastAsia="Calibri" w:hAnsi="Times New Roman"/>
          <w:noProof/>
          <w:sz w:val="20"/>
          <w:szCs w:val="20"/>
        </w:rPr>
        <w:t>10(2):133-143.</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Oomen, A., G., Hack, A., Minekus, M., Zeijdner, E., Cornelis, C., Schoeters, G. and Rompelberg, C., J., M. (2002). Comparison of five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models to study the bioaccessibility of soil contaminants. </w:t>
      </w:r>
      <w:r w:rsidRPr="00B2425C">
        <w:rPr>
          <w:rFonts w:ascii="Times New Roman" w:eastAsia="Calibri" w:hAnsi="Times New Roman"/>
          <w:i/>
          <w:noProof/>
          <w:sz w:val="20"/>
          <w:szCs w:val="20"/>
        </w:rPr>
        <w:t>Environmental Science &amp; Technology</w:t>
      </w:r>
      <w:r w:rsidRPr="00B2425C">
        <w:rPr>
          <w:rFonts w:ascii="Times New Roman" w:eastAsia="Calibri" w:hAnsi="Times New Roman"/>
          <w:noProof/>
          <w:sz w:val="20"/>
          <w:szCs w:val="20"/>
        </w:rPr>
        <w:t>, 36(15): 3326-3334.</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Jadán, P., Carlos, C., P., Marie, J., Devesa, V. and Vélez, D. (2016). Influence of physiological gastrointestinal parameters on the bioaccessibility of mercury and selenium from swordfish. </w:t>
      </w:r>
      <w:r w:rsidRPr="00B2425C">
        <w:rPr>
          <w:rFonts w:ascii="Times New Roman" w:eastAsia="Calibri" w:hAnsi="Times New Roman"/>
          <w:i/>
          <w:noProof/>
          <w:sz w:val="20"/>
          <w:szCs w:val="20"/>
        </w:rPr>
        <w:t>Journal of Agricultural and Food Chemistry,</w:t>
      </w:r>
      <w:r w:rsidRPr="00B2425C">
        <w:rPr>
          <w:rFonts w:ascii="Times New Roman" w:eastAsia="Calibri" w:hAnsi="Times New Roman"/>
          <w:noProof/>
          <w:sz w:val="20"/>
          <w:szCs w:val="20"/>
        </w:rPr>
        <w:t xml:space="preserve"> 64(3): 690-698.</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Vázquez, M., Calatayud, M., Piedra, C. J., Chiocchetti, G. M., Vélez, D. and Devesa, V. (2015). Toxic trace elements at gastrointestinal level. </w:t>
      </w:r>
      <w:r w:rsidRPr="00B2425C">
        <w:rPr>
          <w:rFonts w:ascii="Times New Roman" w:eastAsia="Calibri" w:hAnsi="Times New Roman"/>
          <w:i/>
          <w:noProof/>
          <w:sz w:val="20"/>
          <w:szCs w:val="20"/>
        </w:rPr>
        <w:t>Food and Chemical Toxicology</w:t>
      </w:r>
      <w:r w:rsidRPr="00B2425C">
        <w:rPr>
          <w:rFonts w:ascii="Times New Roman" w:eastAsia="Calibri" w:hAnsi="Times New Roman"/>
          <w:noProof/>
          <w:sz w:val="20"/>
          <w:szCs w:val="20"/>
        </w:rPr>
        <w:t>. 86:163-175.</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Morrow, P. E., Gibb, F. R. and Beiter, H. D. (1972). Inhalation studies of uranium trioxide. </w:t>
      </w:r>
      <w:r w:rsidRPr="00B2425C">
        <w:rPr>
          <w:rFonts w:ascii="Times New Roman" w:eastAsia="Calibri" w:hAnsi="Times New Roman"/>
          <w:i/>
          <w:noProof/>
          <w:sz w:val="20"/>
          <w:szCs w:val="20"/>
        </w:rPr>
        <w:t xml:space="preserve">Health Physics, </w:t>
      </w:r>
      <w:r w:rsidRPr="00B2425C">
        <w:rPr>
          <w:rFonts w:ascii="Times New Roman" w:eastAsia="Calibri" w:hAnsi="Times New Roman"/>
          <w:noProof/>
          <w:sz w:val="20"/>
          <w:szCs w:val="20"/>
        </w:rPr>
        <w:t xml:space="preserve">23(3): 273-280.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Leggett, R. W. and Harrison, J. D. (1995). Fractional absorption of ingested uranium in humans. </w:t>
      </w:r>
      <w:r w:rsidRPr="00B2425C">
        <w:rPr>
          <w:rFonts w:ascii="Times New Roman" w:eastAsia="Calibri" w:hAnsi="Times New Roman"/>
          <w:i/>
          <w:noProof/>
          <w:sz w:val="20"/>
          <w:szCs w:val="20"/>
        </w:rPr>
        <w:t xml:space="preserve">Health Physics, </w:t>
      </w:r>
      <w:r w:rsidRPr="00B2425C">
        <w:rPr>
          <w:rFonts w:ascii="Times New Roman" w:eastAsia="Calibri" w:hAnsi="Times New Roman"/>
          <w:noProof/>
          <w:sz w:val="20"/>
          <w:szCs w:val="20"/>
        </w:rPr>
        <w:t xml:space="preserve">68(4): 484-498. </w:t>
      </w:r>
    </w:p>
    <w:p w:rsid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lastRenderedPageBreak/>
        <w:t>International Atomic Energy Agency (1999). Assessment for doses to the public from ingested radionuclides. IAEA Publishing, Safety Reports Series No. 14.</w:t>
      </w:r>
    </w:p>
    <w:p w:rsidR="0005340B" w:rsidRPr="00B2425C" w:rsidRDefault="0005340B" w:rsidP="0005340B">
      <w:pPr>
        <w:pStyle w:val="ListParagraph"/>
        <w:numPr>
          <w:ilvl w:val="0"/>
          <w:numId w:val="4"/>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United Nations Scientific Committee on the Effects of Atomic Radiation (2000). Sources and effects of ionizing radiation: sources. United Nations Publications, 1: 1-17.</w:t>
      </w:r>
    </w:p>
    <w:p w:rsidR="002A189A" w:rsidRPr="00366308" w:rsidRDefault="002A189A" w:rsidP="0005340B">
      <w:pPr>
        <w:spacing w:after="0" w:line="240" w:lineRule="auto"/>
        <w:jc w:val="both"/>
        <w:rPr>
          <w:rFonts w:ascii="Times New Roman" w:hAnsi="Times New Roman"/>
          <w:b/>
          <w:sz w:val="20"/>
          <w:szCs w:val="20"/>
        </w:rPr>
      </w:pPr>
    </w:p>
    <w:sectPr w:rsidR="002A189A" w:rsidRPr="00366308" w:rsidSect="00B2425C">
      <w:headerReference w:type="even" r:id="rId17"/>
      <w:headerReference w:type="default" r:id="rId18"/>
      <w:footerReference w:type="even" r:id="rId19"/>
      <w:footerReference w:type="default" r:id="rId20"/>
      <w:pgSz w:w="12240" w:h="15840" w:code="1"/>
      <w:pgMar w:top="1800" w:right="1469" w:bottom="1699" w:left="1440" w:header="706" w:footer="706" w:gutter="0"/>
      <w:pgNumType w:start="7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804" w:rsidRDefault="00D56804" w:rsidP="00FB4C59">
      <w:pPr>
        <w:spacing w:after="0" w:line="240" w:lineRule="auto"/>
      </w:pPr>
      <w:r>
        <w:separator/>
      </w:r>
    </w:p>
  </w:endnote>
  <w:endnote w:type="continuationSeparator" w:id="0">
    <w:p w:rsidR="00D56804" w:rsidRDefault="00D5680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D56804" w:rsidRPr="00C0756D" w:rsidRDefault="00D56804">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C1CF8">
          <w:rPr>
            <w:rFonts w:ascii="Times New Roman" w:hAnsi="Times New Roman"/>
            <w:noProof/>
          </w:rPr>
          <w:t>806</w:t>
        </w:r>
        <w:r w:rsidRPr="00C0756D">
          <w:rPr>
            <w:rFonts w:ascii="Times New Roman" w:hAnsi="Times New Roman"/>
            <w:noProof/>
          </w:rPr>
          <w:fldChar w:fldCharType="end"/>
        </w:r>
      </w:p>
    </w:sdtContent>
  </w:sdt>
  <w:p w:rsidR="00D56804" w:rsidRDefault="00D56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D56804" w:rsidRPr="00C0756D" w:rsidRDefault="00D56804">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C1CF8">
          <w:rPr>
            <w:rFonts w:ascii="Times New Roman" w:hAnsi="Times New Roman"/>
            <w:noProof/>
          </w:rPr>
          <w:t>805</w:t>
        </w:r>
        <w:r w:rsidRPr="00C0756D">
          <w:rPr>
            <w:rFonts w:ascii="Times New Roman" w:hAnsi="Times New Roman"/>
            <w:noProof/>
          </w:rPr>
          <w:fldChar w:fldCharType="end"/>
        </w:r>
      </w:p>
    </w:sdtContent>
  </w:sdt>
  <w:p w:rsidR="00D56804" w:rsidRPr="004B43FF" w:rsidRDefault="00D56804">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804" w:rsidRDefault="00D56804" w:rsidP="00FB4C59">
      <w:pPr>
        <w:spacing w:after="0" w:line="240" w:lineRule="auto"/>
      </w:pPr>
      <w:r>
        <w:separator/>
      </w:r>
    </w:p>
  </w:footnote>
  <w:footnote w:type="continuationSeparator" w:id="0">
    <w:p w:rsidR="00D56804" w:rsidRDefault="00D56804"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04" w:rsidRDefault="00D56804"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B2425C">
      <w:rPr>
        <w:rFonts w:ascii="Times New Roman" w:hAnsi="Times New Roman"/>
        <w:i/>
        <w:lang w:val="en-US"/>
      </w:rPr>
      <w:t>794 - 806</w:t>
    </w:r>
  </w:p>
  <w:p w:rsidR="00D56804" w:rsidRPr="004B43FF" w:rsidRDefault="00D56804" w:rsidP="006A3A0F">
    <w:pPr>
      <w:pStyle w:val="Header"/>
      <w:jc w:val="right"/>
      <w:rPr>
        <w:rFonts w:ascii="Times New Roman" w:hAnsi="Times New Roman"/>
        <w:i/>
        <w:lang w:val="en-US"/>
      </w:rPr>
    </w:pPr>
    <w:r>
      <w:rPr>
        <w:rFonts w:ascii="Times New Roman" w:hAnsi="Times New Roman"/>
        <w:i/>
        <w:lang w:val="en-US"/>
      </w:rPr>
      <w:t>DOI: https://do</w:t>
    </w:r>
    <w:r w:rsidR="00B2425C">
      <w:rPr>
        <w:rFonts w:ascii="Times New Roman" w:hAnsi="Times New Roman"/>
        <w:i/>
        <w:lang w:val="en-US"/>
      </w:rPr>
      <w:t>i.org/10.17576/mjas-2018-2205-07</w:t>
    </w:r>
  </w:p>
  <w:p w:rsidR="00D56804" w:rsidRDefault="00D56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04" w:rsidRPr="00FE7A13" w:rsidRDefault="00D56804" w:rsidP="00FE7A13">
    <w:pPr>
      <w:spacing w:after="0" w:line="240" w:lineRule="auto"/>
      <w:ind w:left="1710" w:hanging="1710"/>
      <w:rPr>
        <w:rFonts w:ascii="Times New Roman" w:hAnsi="Times New Roman"/>
        <w:caps/>
        <w:sz w:val="20"/>
        <w:szCs w:val="20"/>
      </w:rPr>
    </w:pPr>
    <w:r w:rsidRPr="00FE7A13">
      <w:rPr>
        <w:rFonts w:ascii="Times New Roman" w:hAnsi="Times New Roman"/>
        <w:sz w:val="20"/>
        <w:szCs w:val="20"/>
      </w:rPr>
      <w:t xml:space="preserve">Nur Shahidah et al:   </w:t>
    </w:r>
    <w:r w:rsidRPr="00FE7A13">
      <w:rPr>
        <w:rFonts w:ascii="Times New Roman" w:hAnsi="Times New Roman"/>
        <w:caps/>
        <w:sz w:val="20"/>
        <w:szCs w:val="20"/>
      </w:rPr>
      <w:t xml:space="preserve">Bioaccessibility Assessment of </w:t>
    </w:r>
    <w:r w:rsidRPr="00FE7A13">
      <w:rPr>
        <w:rFonts w:ascii="Times New Roman" w:hAnsi="Times New Roman"/>
        <w:caps/>
        <w:sz w:val="20"/>
        <w:szCs w:val="20"/>
        <w:vertAlign w:val="superscript"/>
      </w:rPr>
      <w:t>232</w:t>
    </w:r>
    <w:r w:rsidRPr="00FE7A13">
      <w:rPr>
        <w:rFonts w:ascii="Times New Roman" w:hAnsi="Times New Roman"/>
        <w:caps/>
        <w:sz w:val="20"/>
        <w:szCs w:val="20"/>
      </w:rPr>
      <w:t>Th</w:t>
    </w:r>
    <w:r w:rsidRPr="00FE7A13">
      <w:rPr>
        <w:rFonts w:ascii="Times New Roman" w:hAnsi="Times New Roman"/>
        <w:caps/>
        <w:sz w:val="20"/>
        <w:szCs w:val="20"/>
        <w:vertAlign w:val="superscript"/>
      </w:rPr>
      <w:t xml:space="preserve"> </w:t>
    </w:r>
    <w:r w:rsidRPr="00FE7A13">
      <w:rPr>
        <w:rFonts w:ascii="Times New Roman" w:hAnsi="Times New Roman"/>
        <w:caps/>
        <w:sz w:val="20"/>
        <w:szCs w:val="20"/>
      </w:rPr>
      <w:t xml:space="preserve"> and </w:t>
    </w:r>
    <w:r w:rsidRPr="00FE7A13">
      <w:rPr>
        <w:rFonts w:ascii="Times New Roman" w:hAnsi="Times New Roman"/>
        <w:caps/>
        <w:sz w:val="20"/>
        <w:szCs w:val="20"/>
        <w:vertAlign w:val="superscript"/>
      </w:rPr>
      <w:t>238</w:t>
    </w:r>
    <w:r w:rsidRPr="00FE7A13">
      <w:rPr>
        <w:rFonts w:ascii="Times New Roman" w:hAnsi="Times New Roman"/>
        <w:caps/>
        <w:sz w:val="20"/>
        <w:szCs w:val="20"/>
      </w:rPr>
      <w:t>U from Lanthanide Concentrate and Water Leach Purification Residue in Malaysia</w:t>
    </w:r>
  </w:p>
  <w:p w:rsidR="00D56804" w:rsidRPr="00FE7A13" w:rsidRDefault="00D56804" w:rsidP="00FE7A13">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A0842"/>
    <w:multiLevelType w:val="hybridMultilevel"/>
    <w:tmpl w:val="E24E5CB8"/>
    <w:lvl w:ilvl="0" w:tplc="61B496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340B"/>
    <w:rsid w:val="00070690"/>
    <w:rsid w:val="00084936"/>
    <w:rsid w:val="000C49FF"/>
    <w:rsid w:val="000C5261"/>
    <w:rsid w:val="000E5AF1"/>
    <w:rsid w:val="000F77DA"/>
    <w:rsid w:val="001068E8"/>
    <w:rsid w:val="00117BCD"/>
    <w:rsid w:val="00127342"/>
    <w:rsid w:val="00174D97"/>
    <w:rsid w:val="001D035A"/>
    <w:rsid w:val="001D3855"/>
    <w:rsid w:val="001D6F2C"/>
    <w:rsid w:val="00221D39"/>
    <w:rsid w:val="002A189A"/>
    <w:rsid w:val="002B188F"/>
    <w:rsid w:val="002B1FB6"/>
    <w:rsid w:val="002B3BD8"/>
    <w:rsid w:val="002F0852"/>
    <w:rsid w:val="002F3F91"/>
    <w:rsid w:val="00304767"/>
    <w:rsid w:val="00304B34"/>
    <w:rsid w:val="00312C0E"/>
    <w:rsid w:val="00334511"/>
    <w:rsid w:val="00361BAF"/>
    <w:rsid w:val="00367D1F"/>
    <w:rsid w:val="00372700"/>
    <w:rsid w:val="00373A9B"/>
    <w:rsid w:val="00383F26"/>
    <w:rsid w:val="003D585B"/>
    <w:rsid w:val="003E7DA6"/>
    <w:rsid w:val="003F12FF"/>
    <w:rsid w:val="00403907"/>
    <w:rsid w:val="004760D4"/>
    <w:rsid w:val="00494C46"/>
    <w:rsid w:val="004B43FF"/>
    <w:rsid w:val="004D0593"/>
    <w:rsid w:val="004D17AF"/>
    <w:rsid w:val="00502641"/>
    <w:rsid w:val="00534441"/>
    <w:rsid w:val="00545363"/>
    <w:rsid w:val="00583C85"/>
    <w:rsid w:val="00584156"/>
    <w:rsid w:val="005C6768"/>
    <w:rsid w:val="006064B8"/>
    <w:rsid w:val="00634C25"/>
    <w:rsid w:val="006416AB"/>
    <w:rsid w:val="00645203"/>
    <w:rsid w:val="006758B2"/>
    <w:rsid w:val="006768E9"/>
    <w:rsid w:val="00687982"/>
    <w:rsid w:val="00695D0E"/>
    <w:rsid w:val="0069799B"/>
    <w:rsid w:val="006A3A0F"/>
    <w:rsid w:val="006B3EC8"/>
    <w:rsid w:val="006D695E"/>
    <w:rsid w:val="00725A6A"/>
    <w:rsid w:val="00730CB3"/>
    <w:rsid w:val="00764BDC"/>
    <w:rsid w:val="007943F3"/>
    <w:rsid w:val="007A738C"/>
    <w:rsid w:val="007A7CE2"/>
    <w:rsid w:val="007B1349"/>
    <w:rsid w:val="007B1CAC"/>
    <w:rsid w:val="007E25BD"/>
    <w:rsid w:val="007F4ECC"/>
    <w:rsid w:val="00801E18"/>
    <w:rsid w:val="00802C35"/>
    <w:rsid w:val="0082181A"/>
    <w:rsid w:val="00824C63"/>
    <w:rsid w:val="00863056"/>
    <w:rsid w:val="00870699"/>
    <w:rsid w:val="00881A25"/>
    <w:rsid w:val="008B470E"/>
    <w:rsid w:val="008C14D6"/>
    <w:rsid w:val="008E1211"/>
    <w:rsid w:val="008E5BBF"/>
    <w:rsid w:val="008E6968"/>
    <w:rsid w:val="00940B17"/>
    <w:rsid w:val="00966174"/>
    <w:rsid w:val="009F1A27"/>
    <w:rsid w:val="009F5C39"/>
    <w:rsid w:val="00A14DB9"/>
    <w:rsid w:val="00A318E4"/>
    <w:rsid w:val="00A4762A"/>
    <w:rsid w:val="00A74A7E"/>
    <w:rsid w:val="00A87399"/>
    <w:rsid w:val="00AA27EC"/>
    <w:rsid w:val="00AD1B8A"/>
    <w:rsid w:val="00AD76AF"/>
    <w:rsid w:val="00AE713F"/>
    <w:rsid w:val="00AF3AC1"/>
    <w:rsid w:val="00B1121C"/>
    <w:rsid w:val="00B2425C"/>
    <w:rsid w:val="00B25B65"/>
    <w:rsid w:val="00B2716F"/>
    <w:rsid w:val="00B2770A"/>
    <w:rsid w:val="00B314AD"/>
    <w:rsid w:val="00B75BF6"/>
    <w:rsid w:val="00BA1F7B"/>
    <w:rsid w:val="00BB58AF"/>
    <w:rsid w:val="00BE7C30"/>
    <w:rsid w:val="00C055BF"/>
    <w:rsid w:val="00C0756D"/>
    <w:rsid w:val="00C2226A"/>
    <w:rsid w:val="00C35904"/>
    <w:rsid w:val="00C94D92"/>
    <w:rsid w:val="00C97340"/>
    <w:rsid w:val="00CA513F"/>
    <w:rsid w:val="00CF05FF"/>
    <w:rsid w:val="00D30A02"/>
    <w:rsid w:val="00D340BB"/>
    <w:rsid w:val="00D505D5"/>
    <w:rsid w:val="00D56804"/>
    <w:rsid w:val="00D63C28"/>
    <w:rsid w:val="00D75B35"/>
    <w:rsid w:val="00D76E09"/>
    <w:rsid w:val="00D870B7"/>
    <w:rsid w:val="00D9736F"/>
    <w:rsid w:val="00D9792A"/>
    <w:rsid w:val="00DD377F"/>
    <w:rsid w:val="00DD40BD"/>
    <w:rsid w:val="00DF61ED"/>
    <w:rsid w:val="00E104B4"/>
    <w:rsid w:val="00E25547"/>
    <w:rsid w:val="00E27717"/>
    <w:rsid w:val="00E2773B"/>
    <w:rsid w:val="00E31A5C"/>
    <w:rsid w:val="00E3287E"/>
    <w:rsid w:val="00E66197"/>
    <w:rsid w:val="00E8360F"/>
    <w:rsid w:val="00EB5BA5"/>
    <w:rsid w:val="00EC1CF8"/>
    <w:rsid w:val="00ED4973"/>
    <w:rsid w:val="00EF4195"/>
    <w:rsid w:val="00F202C3"/>
    <w:rsid w:val="00F23D94"/>
    <w:rsid w:val="00F31093"/>
    <w:rsid w:val="00F412AF"/>
    <w:rsid w:val="00F43667"/>
    <w:rsid w:val="00F447A7"/>
    <w:rsid w:val="00F467A2"/>
    <w:rsid w:val="00F631EB"/>
    <w:rsid w:val="00F8754D"/>
    <w:rsid w:val="00FB4C59"/>
    <w:rsid w:val="00FB4F34"/>
    <w:rsid w:val="00FE0572"/>
    <w:rsid w:val="00FE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HeaderChar1">
    <w:name w:val="Header Char1"/>
    <w:basedOn w:val="DefaultParagraphFont"/>
    <w:uiPriority w:val="99"/>
    <w:semiHidden/>
    <w:rsid w:val="002A189A"/>
    <w:rPr>
      <w:lang w:val="ms-MY"/>
    </w:rPr>
  </w:style>
  <w:style w:type="character" w:customStyle="1" w:styleId="FooterChar1">
    <w:name w:val="Footer Char1"/>
    <w:basedOn w:val="DefaultParagraphFont"/>
    <w:uiPriority w:val="99"/>
    <w:semiHidden/>
    <w:rsid w:val="002A189A"/>
    <w:rPr>
      <w:lang w:val="ms-MY"/>
    </w:rPr>
  </w:style>
  <w:style w:type="paragraph" w:customStyle="1" w:styleId="EndNoteBibliographyTitle">
    <w:name w:val="EndNote Bibliography Title"/>
    <w:basedOn w:val="Normal"/>
    <w:link w:val="EndNoteBibliographyTitleChar"/>
    <w:rsid w:val="002A189A"/>
    <w:pPr>
      <w:spacing w:after="0"/>
      <w:jc w:val="center"/>
    </w:pPr>
    <w:rPr>
      <w:rFonts w:ascii="Calibri" w:eastAsiaTheme="minorHAnsi" w:hAnsi="Calibri" w:cs="Calibri"/>
      <w:noProof/>
      <w:lang w:bidi="ar-SA"/>
    </w:rPr>
  </w:style>
  <w:style w:type="character" w:customStyle="1" w:styleId="EndNoteBibliographyTitleChar">
    <w:name w:val="EndNote Bibliography Title Char"/>
    <w:basedOn w:val="DefaultParagraphFont"/>
    <w:link w:val="EndNoteBibliographyTitle"/>
    <w:rsid w:val="002A189A"/>
    <w:rPr>
      <w:rFonts w:ascii="Calibri" w:eastAsiaTheme="minorHAnsi" w:hAnsi="Calibri" w:cs="Calibri"/>
      <w:noProof/>
      <w:sz w:val="22"/>
      <w:szCs w:val="22"/>
    </w:rPr>
  </w:style>
  <w:style w:type="paragraph" w:customStyle="1" w:styleId="EndNoteBibliography">
    <w:name w:val="EndNote Bibliography"/>
    <w:basedOn w:val="Normal"/>
    <w:link w:val="EndNoteBibliographyChar"/>
    <w:rsid w:val="002A189A"/>
    <w:pPr>
      <w:spacing w:line="240" w:lineRule="auto"/>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2A189A"/>
    <w:rPr>
      <w:rFonts w:ascii="Calibri" w:eastAsiaTheme="minorHAnsi" w:hAnsi="Calibri" w:cs="Calibri"/>
      <w:noProof/>
      <w:sz w:val="22"/>
      <w:szCs w:val="22"/>
    </w:rPr>
  </w:style>
  <w:style w:type="paragraph" w:customStyle="1" w:styleId="EndNoteCategoryHeading">
    <w:name w:val="EndNote Category Heading"/>
    <w:basedOn w:val="Normal"/>
    <w:link w:val="EndNoteCategoryHeadingChar"/>
    <w:rsid w:val="002A189A"/>
    <w:pPr>
      <w:spacing w:before="120" w:after="120"/>
    </w:pPr>
    <w:rPr>
      <w:rFonts w:asciiTheme="minorHAnsi" w:eastAsiaTheme="minorHAnsi" w:hAnsiTheme="minorHAnsi" w:cstheme="minorBidi"/>
      <w:lang w:val="ms-MY" w:bidi="ar-SA"/>
    </w:rPr>
  </w:style>
  <w:style w:type="character" w:customStyle="1" w:styleId="EndNoteCategoryHeadingChar">
    <w:name w:val="EndNote Category Heading Char"/>
    <w:basedOn w:val="DefaultParagraphFont"/>
    <w:link w:val="EndNoteCategoryHeading"/>
    <w:rsid w:val="002A189A"/>
    <w:rPr>
      <w:rFonts w:asciiTheme="minorHAnsi" w:eastAsiaTheme="minorHAnsi" w:hAnsiTheme="minorHAnsi" w:cstheme="minorBidi"/>
      <w:sz w:val="22"/>
      <w:szCs w:val="22"/>
      <w:lang w:val="ms-MY"/>
    </w:rPr>
  </w:style>
  <w:style w:type="paragraph" w:customStyle="1" w:styleId="EndNoteCategoryTitle">
    <w:name w:val="EndNote Category Title"/>
    <w:basedOn w:val="Normal"/>
    <w:link w:val="EndNoteCategoryTitleChar"/>
    <w:rsid w:val="002A189A"/>
    <w:pPr>
      <w:spacing w:before="120" w:after="120"/>
      <w:jc w:val="center"/>
    </w:pPr>
    <w:rPr>
      <w:rFonts w:asciiTheme="minorHAnsi" w:eastAsiaTheme="minorHAnsi" w:hAnsiTheme="minorHAnsi" w:cstheme="minorBidi"/>
      <w:lang w:val="ms-MY" w:bidi="ar-SA"/>
    </w:rPr>
  </w:style>
  <w:style w:type="character" w:customStyle="1" w:styleId="EndNoteCategoryTitleChar">
    <w:name w:val="EndNote Category Title Char"/>
    <w:basedOn w:val="DefaultParagraphFont"/>
    <w:link w:val="EndNoteCategoryTitle"/>
    <w:rsid w:val="002A189A"/>
    <w:rPr>
      <w:rFonts w:asciiTheme="minorHAnsi" w:eastAsiaTheme="minorHAnsi" w:hAnsiTheme="minorHAnsi" w:cstheme="minorBidi"/>
      <w:sz w:val="22"/>
      <w:szCs w:val="22"/>
      <w:lang w:val="ms-MY"/>
    </w:rPr>
  </w:style>
  <w:style w:type="character" w:customStyle="1" w:styleId="UnresolvedMention1">
    <w:name w:val="Unresolved Mention1"/>
    <w:basedOn w:val="DefaultParagraphFont"/>
    <w:uiPriority w:val="99"/>
    <w:semiHidden/>
    <w:unhideWhenUsed/>
    <w:rsid w:val="002A189A"/>
    <w:rPr>
      <w:color w:val="605E5C"/>
      <w:shd w:val="clear" w:color="auto" w:fill="E1DFDD"/>
    </w:rPr>
  </w:style>
  <w:style w:type="character" w:styleId="CommentReference">
    <w:name w:val="annotation reference"/>
    <w:basedOn w:val="DefaultParagraphFont"/>
    <w:uiPriority w:val="99"/>
    <w:semiHidden/>
    <w:unhideWhenUsed/>
    <w:rsid w:val="002A189A"/>
    <w:rPr>
      <w:sz w:val="16"/>
      <w:szCs w:val="16"/>
    </w:rPr>
  </w:style>
  <w:style w:type="paragraph" w:styleId="CommentText">
    <w:name w:val="annotation text"/>
    <w:basedOn w:val="Normal"/>
    <w:link w:val="CommentTextChar"/>
    <w:uiPriority w:val="99"/>
    <w:semiHidden/>
    <w:unhideWhenUsed/>
    <w:rsid w:val="002A189A"/>
    <w:pPr>
      <w:spacing w:line="240" w:lineRule="auto"/>
    </w:pPr>
    <w:rPr>
      <w:rFonts w:asciiTheme="minorHAnsi" w:eastAsiaTheme="minorHAnsi" w:hAnsiTheme="minorHAnsi" w:cstheme="minorBidi"/>
      <w:sz w:val="20"/>
      <w:szCs w:val="20"/>
      <w:lang w:val="ms-MY" w:bidi="ar-SA"/>
    </w:rPr>
  </w:style>
  <w:style w:type="character" w:customStyle="1" w:styleId="CommentTextChar">
    <w:name w:val="Comment Text Char"/>
    <w:basedOn w:val="DefaultParagraphFont"/>
    <w:link w:val="CommentText"/>
    <w:uiPriority w:val="99"/>
    <w:semiHidden/>
    <w:rsid w:val="002A189A"/>
    <w:rPr>
      <w:rFonts w:asciiTheme="minorHAnsi" w:eastAsiaTheme="minorHAnsi" w:hAnsiTheme="minorHAnsi" w:cstheme="minorBidi"/>
      <w:lang w:val="ms-MY"/>
    </w:rPr>
  </w:style>
  <w:style w:type="paragraph" w:styleId="CommentSubject">
    <w:name w:val="annotation subject"/>
    <w:basedOn w:val="CommentText"/>
    <w:next w:val="CommentText"/>
    <w:link w:val="CommentSubjectChar"/>
    <w:uiPriority w:val="99"/>
    <w:semiHidden/>
    <w:unhideWhenUsed/>
    <w:rsid w:val="002A189A"/>
    <w:rPr>
      <w:b/>
      <w:bCs/>
    </w:rPr>
  </w:style>
  <w:style w:type="character" w:customStyle="1" w:styleId="CommentSubjectChar">
    <w:name w:val="Comment Subject Char"/>
    <w:basedOn w:val="CommentTextChar"/>
    <w:link w:val="CommentSubject"/>
    <w:uiPriority w:val="99"/>
    <w:semiHidden/>
    <w:rsid w:val="002A189A"/>
    <w:rPr>
      <w:rFonts w:asciiTheme="minorHAnsi" w:eastAsiaTheme="minorHAnsi" w:hAnsiTheme="minorHAnsi" w:cstheme="minorBidi"/>
      <w:b/>
      <w:bCs/>
      <w:lang w:val="ms-MY"/>
    </w:rPr>
  </w:style>
  <w:style w:type="character" w:customStyle="1" w:styleId="UnresolvedMention">
    <w:name w:val="Unresolved Mention"/>
    <w:basedOn w:val="DefaultParagraphFont"/>
    <w:uiPriority w:val="99"/>
    <w:semiHidden/>
    <w:unhideWhenUsed/>
    <w:rsid w:val="002A18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HeaderChar1">
    <w:name w:val="Header Char1"/>
    <w:basedOn w:val="DefaultParagraphFont"/>
    <w:uiPriority w:val="99"/>
    <w:semiHidden/>
    <w:rsid w:val="002A189A"/>
    <w:rPr>
      <w:lang w:val="ms-MY"/>
    </w:rPr>
  </w:style>
  <w:style w:type="character" w:customStyle="1" w:styleId="FooterChar1">
    <w:name w:val="Footer Char1"/>
    <w:basedOn w:val="DefaultParagraphFont"/>
    <w:uiPriority w:val="99"/>
    <w:semiHidden/>
    <w:rsid w:val="002A189A"/>
    <w:rPr>
      <w:lang w:val="ms-MY"/>
    </w:rPr>
  </w:style>
  <w:style w:type="paragraph" w:customStyle="1" w:styleId="EndNoteBibliographyTitle">
    <w:name w:val="EndNote Bibliography Title"/>
    <w:basedOn w:val="Normal"/>
    <w:link w:val="EndNoteBibliographyTitleChar"/>
    <w:rsid w:val="002A189A"/>
    <w:pPr>
      <w:spacing w:after="0"/>
      <w:jc w:val="center"/>
    </w:pPr>
    <w:rPr>
      <w:rFonts w:ascii="Calibri" w:eastAsiaTheme="minorHAnsi" w:hAnsi="Calibri" w:cs="Calibri"/>
      <w:noProof/>
      <w:lang w:bidi="ar-SA"/>
    </w:rPr>
  </w:style>
  <w:style w:type="character" w:customStyle="1" w:styleId="EndNoteBibliographyTitleChar">
    <w:name w:val="EndNote Bibliography Title Char"/>
    <w:basedOn w:val="DefaultParagraphFont"/>
    <w:link w:val="EndNoteBibliographyTitle"/>
    <w:rsid w:val="002A189A"/>
    <w:rPr>
      <w:rFonts w:ascii="Calibri" w:eastAsiaTheme="minorHAnsi" w:hAnsi="Calibri" w:cs="Calibri"/>
      <w:noProof/>
      <w:sz w:val="22"/>
      <w:szCs w:val="22"/>
    </w:rPr>
  </w:style>
  <w:style w:type="paragraph" w:customStyle="1" w:styleId="EndNoteBibliography">
    <w:name w:val="EndNote Bibliography"/>
    <w:basedOn w:val="Normal"/>
    <w:link w:val="EndNoteBibliographyChar"/>
    <w:rsid w:val="002A189A"/>
    <w:pPr>
      <w:spacing w:line="240" w:lineRule="auto"/>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2A189A"/>
    <w:rPr>
      <w:rFonts w:ascii="Calibri" w:eastAsiaTheme="minorHAnsi" w:hAnsi="Calibri" w:cs="Calibri"/>
      <w:noProof/>
      <w:sz w:val="22"/>
      <w:szCs w:val="22"/>
    </w:rPr>
  </w:style>
  <w:style w:type="paragraph" w:customStyle="1" w:styleId="EndNoteCategoryHeading">
    <w:name w:val="EndNote Category Heading"/>
    <w:basedOn w:val="Normal"/>
    <w:link w:val="EndNoteCategoryHeadingChar"/>
    <w:rsid w:val="002A189A"/>
    <w:pPr>
      <w:spacing w:before="120" w:after="120"/>
    </w:pPr>
    <w:rPr>
      <w:rFonts w:asciiTheme="minorHAnsi" w:eastAsiaTheme="minorHAnsi" w:hAnsiTheme="minorHAnsi" w:cstheme="minorBidi"/>
      <w:lang w:val="ms-MY" w:bidi="ar-SA"/>
    </w:rPr>
  </w:style>
  <w:style w:type="character" w:customStyle="1" w:styleId="EndNoteCategoryHeadingChar">
    <w:name w:val="EndNote Category Heading Char"/>
    <w:basedOn w:val="DefaultParagraphFont"/>
    <w:link w:val="EndNoteCategoryHeading"/>
    <w:rsid w:val="002A189A"/>
    <w:rPr>
      <w:rFonts w:asciiTheme="minorHAnsi" w:eastAsiaTheme="minorHAnsi" w:hAnsiTheme="minorHAnsi" w:cstheme="minorBidi"/>
      <w:sz w:val="22"/>
      <w:szCs w:val="22"/>
      <w:lang w:val="ms-MY"/>
    </w:rPr>
  </w:style>
  <w:style w:type="paragraph" w:customStyle="1" w:styleId="EndNoteCategoryTitle">
    <w:name w:val="EndNote Category Title"/>
    <w:basedOn w:val="Normal"/>
    <w:link w:val="EndNoteCategoryTitleChar"/>
    <w:rsid w:val="002A189A"/>
    <w:pPr>
      <w:spacing w:before="120" w:after="120"/>
      <w:jc w:val="center"/>
    </w:pPr>
    <w:rPr>
      <w:rFonts w:asciiTheme="minorHAnsi" w:eastAsiaTheme="minorHAnsi" w:hAnsiTheme="minorHAnsi" w:cstheme="minorBidi"/>
      <w:lang w:val="ms-MY" w:bidi="ar-SA"/>
    </w:rPr>
  </w:style>
  <w:style w:type="character" w:customStyle="1" w:styleId="EndNoteCategoryTitleChar">
    <w:name w:val="EndNote Category Title Char"/>
    <w:basedOn w:val="DefaultParagraphFont"/>
    <w:link w:val="EndNoteCategoryTitle"/>
    <w:rsid w:val="002A189A"/>
    <w:rPr>
      <w:rFonts w:asciiTheme="minorHAnsi" w:eastAsiaTheme="minorHAnsi" w:hAnsiTheme="minorHAnsi" w:cstheme="minorBidi"/>
      <w:sz w:val="22"/>
      <w:szCs w:val="22"/>
      <w:lang w:val="ms-MY"/>
    </w:rPr>
  </w:style>
  <w:style w:type="character" w:customStyle="1" w:styleId="UnresolvedMention1">
    <w:name w:val="Unresolved Mention1"/>
    <w:basedOn w:val="DefaultParagraphFont"/>
    <w:uiPriority w:val="99"/>
    <w:semiHidden/>
    <w:unhideWhenUsed/>
    <w:rsid w:val="002A189A"/>
    <w:rPr>
      <w:color w:val="605E5C"/>
      <w:shd w:val="clear" w:color="auto" w:fill="E1DFDD"/>
    </w:rPr>
  </w:style>
  <w:style w:type="character" w:styleId="CommentReference">
    <w:name w:val="annotation reference"/>
    <w:basedOn w:val="DefaultParagraphFont"/>
    <w:uiPriority w:val="99"/>
    <w:semiHidden/>
    <w:unhideWhenUsed/>
    <w:rsid w:val="002A189A"/>
    <w:rPr>
      <w:sz w:val="16"/>
      <w:szCs w:val="16"/>
    </w:rPr>
  </w:style>
  <w:style w:type="paragraph" w:styleId="CommentText">
    <w:name w:val="annotation text"/>
    <w:basedOn w:val="Normal"/>
    <w:link w:val="CommentTextChar"/>
    <w:uiPriority w:val="99"/>
    <w:semiHidden/>
    <w:unhideWhenUsed/>
    <w:rsid w:val="002A189A"/>
    <w:pPr>
      <w:spacing w:line="240" w:lineRule="auto"/>
    </w:pPr>
    <w:rPr>
      <w:rFonts w:asciiTheme="minorHAnsi" w:eastAsiaTheme="minorHAnsi" w:hAnsiTheme="minorHAnsi" w:cstheme="minorBidi"/>
      <w:sz w:val="20"/>
      <w:szCs w:val="20"/>
      <w:lang w:val="ms-MY" w:bidi="ar-SA"/>
    </w:rPr>
  </w:style>
  <w:style w:type="character" w:customStyle="1" w:styleId="CommentTextChar">
    <w:name w:val="Comment Text Char"/>
    <w:basedOn w:val="DefaultParagraphFont"/>
    <w:link w:val="CommentText"/>
    <w:uiPriority w:val="99"/>
    <w:semiHidden/>
    <w:rsid w:val="002A189A"/>
    <w:rPr>
      <w:rFonts w:asciiTheme="minorHAnsi" w:eastAsiaTheme="minorHAnsi" w:hAnsiTheme="minorHAnsi" w:cstheme="minorBidi"/>
      <w:lang w:val="ms-MY"/>
    </w:rPr>
  </w:style>
  <w:style w:type="paragraph" w:styleId="CommentSubject">
    <w:name w:val="annotation subject"/>
    <w:basedOn w:val="CommentText"/>
    <w:next w:val="CommentText"/>
    <w:link w:val="CommentSubjectChar"/>
    <w:uiPriority w:val="99"/>
    <w:semiHidden/>
    <w:unhideWhenUsed/>
    <w:rsid w:val="002A189A"/>
    <w:rPr>
      <w:b/>
      <w:bCs/>
    </w:rPr>
  </w:style>
  <w:style w:type="character" w:customStyle="1" w:styleId="CommentSubjectChar">
    <w:name w:val="Comment Subject Char"/>
    <w:basedOn w:val="CommentTextChar"/>
    <w:link w:val="CommentSubject"/>
    <w:uiPriority w:val="99"/>
    <w:semiHidden/>
    <w:rsid w:val="002A189A"/>
    <w:rPr>
      <w:rFonts w:asciiTheme="minorHAnsi" w:eastAsiaTheme="minorHAnsi" w:hAnsiTheme="minorHAnsi" w:cstheme="minorBidi"/>
      <w:b/>
      <w:bCs/>
      <w:lang w:val="ms-MY"/>
    </w:rPr>
  </w:style>
  <w:style w:type="character" w:customStyle="1" w:styleId="UnresolvedMention">
    <w:name w:val="Unresolved Mention"/>
    <w:basedOn w:val="DefaultParagraphFont"/>
    <w:uiPriority w:val="99"/>
    <w:semiHidden/>
    <w:unhideWhenUsed/>
    <w:rsid w:val="002A1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6%20Bioaccessibility%20of%20238U%20and%20232Th%20in%20lanthanide%20concentrate%20(LC)%20and%20water%20leach%20purification%20(WLP)%20residue%20by%20DIN%20in%20vitro%20digestion%20model.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Determination%20of%20the%20Bioaccessibility%20of%20238U%20and%20232Th%20in%20Lanthanide%20Concentrate%20(LC)%20and%20Water%20Leach%20Purification%20Residue%20(WLP)%20Using%20DIN%20In%20Vitro%20Digestion%20Model\DETERM~1\READYT~1\Table%204%20Concentration%20of%20238U%20and%20232Th%20radionuclide%20after%20in%20vitro%20DIN%20ingestion%20method..docx" TargetMode="External"/><Relationship Id="rId5" Type="http://schemas.openxmlformats.org/officeDocument/2006/relationships/settings" Target="settings.xml"/><Relationship Id="rId15" Type="http://schemas.openxmlformats.org/officeDocument/2006/relationships/image" Target="media/image6.tif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tif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574B-F18D-4EEF-95BA-5683CA05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13142</Words>
  <Characters>72287</Characters>
  <Application>Microsoft Office Word</Application>
  <DocSecurity>0</DocSecurity>
  <Lines>1571</Lines>
  <Paragraphs>845</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84584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36</cp:revision>
  <cp:lastPrinted>2018-10-16T15:03:00Z</cp:lastPrinted>
  <dcterms:created xsi:type="dcterms:W3CDTF">2018-09-23T01:30:00Z</dcterms:created>
  <dcterms:modified xsi:type="dcterms:W3CDTF">2018-10-16T15:03:00Z</dcterms:modified>
</cp:coreProperties>
</file>