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A1052"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A1052"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0F7ED3" w:rsidRPr="0031211C" w:rsidRDefault="000F7ED3" w:rsidP="000F7ED3">
      <w:pPr>
        <w:spacing w:after="0" w:line="240" w:lineRule="auto"/>
        <w:jc w:val="center"/>
        <w:outlineLvl w:val="0"/>
        <w:rPr>
          <w:rFonts w:ascii="Times New Roman" w:hAnsi="Times New Roman"/>
          <w:sz w:val="28"/>
          <w:szCs w:val="28"/>
        </w:rPr>
      </w:pPr>
      <w:r w:rsidRPr="0031211C">
        <w:rPr>
          <w:rFonts w:ascii="Times New Roman" w:hAnsi="Times New Roman"/>
          <w:sz w:val="28"/>
          <w:szCs w:val="28"/>
        </w:rPr>
        <w:t>TOTAL FLAVONOIDS AND PHENOLIC CONTENTS OF STICKY AND HARD PROPOLIS FROM 10 SPECIES OF INDO-MALAYAN STINGLESS BEES</w:t>
      </w:r>
    </w:p>
    <w:p w:rsidR="000F7ED3" w:rsidRPr="0031211C" w:rsidRDefault="000F7ED3" w:rsidP="000F7ED3">
      <w:pPr>
        <w:spacing w:after="0" w:line="240" w:lineRule="auto"/>
        <w:jc w:val="center"/>
        <w:outlineLvl w:val="0"/>
        <w:rPr>
          <w:rFonts w:ascii="Times New Roman" w:hAnsi="Times New Roman"/>
          <w:sz w:val="24"/>
        </w:rPr>
      </w:pPr>
    </w:p>
    <w:p w:rsidR="000F7ED3" w:rsidRDefault="000F7ED3" w:rsidP="000F7ED3">
      <w:pPr>
        <w:spacing w:after="0" w:line="240" w:lineRule="auto"/>
        <w:jc w:val="center"/>
        <w:outlineLvl w:val="0"/>
        <w:rPr>
          <w:rFonts w:ascii="Times New Roman" w:hAnsi="Times New Roman"/>
          <w:sz w:val="24"/>
          <w:szCs w:val="24"/>
          <w:lang w:val="ms-MY"/>
        </w:rPr>
      </w:pPr>
      <w:r w:rsidRPr="0031211C">
        <w:rPr>
          <w:rFonts w:ascii="Times New Roman" w:hAnsi="Times New Roman"/>
          <w:sz w:val="24"/>
          <w:szCs w:val="24"/>
        </w:rPr>
        <w:t>(</w:t>
      </w:r>
      <w:r w:rsidRPr="0031211C">
        <w:rPr>
          <w:rFonts w:ascii="Times New Roman" w:hAnsi="Times New Roman"/>
          <w:sz w:val="24"/>
          <w:szCs w:val="24"/>
          <w:lang w:val="ms-MY"/>
        </w:rPr>
        <w:t xml:space="preserve">Jumlah Kandungan Flavonoid dan Fenolik dalam Propolis yang Melekit dan Keras daripada </w:t>
      </w:r>
    </w:p>
    <w:p w:rsidR="000F7ED3" w:rsidRPr="0031211C" w:rsidRDefault="000F7ED3" w:rsidP="000F7ED3">
      <w:pPr>
        <w:spacing w:after="0" w:line="240" w:lineRule="auto"/>
        <w:jc w:val="center"/>
        <w:outlineLvl w:val="0"/>
        <w:rPr>
          <w:rFonts w:ascii="Times New Roman" w:hAnsi="Times New Roman"/>
          <w:sz w:val="24"/>
          <w:szCs w:val="24"/>
        </w:rPr>
      </w:pPr>
      <w:r w:rsidRPr="0031211C">
        <w:rPr>
          <w:rFonts w:ascii="Times New Roman" w:hAnsi="Times New Roman"/>
          <w:sz w:val="24"/>
          <w:szCs w:val="24"/>
          <w:lang w:val="ms-MY"/>
        </w:rPr>
        <w:t>10 Spesis Lebah Kelulut Indo-Malayan</w:t>
      </w:r>
      <w:r w:rsidRPr="0031211C">
        <w:rPr>
          <w:rFonts w:ascii="Times New Roman" w:hAnsi="Times New Roman"/>
          <w:sz w:val="24"/>
          <w:szCs w:val="24"/>
        </w:rPr>
        <w:t>)</w:t>
      </w:r>
    </w:p>
    <w:p w:rsidR="000F7ED3" w:rsidRPr="000F7ED3" w:rsidRDefault="000F7ED3" w:rsidP="000F7ED3">
      <w:pPr>
        <w:spacing w:after="0" w:line="240" w:lineRule="auto"/>
        <w:jc w:val="center"/>
        <w:outlineLvl w:val="0"/>
        <w:rPr>
          <w:rFonts w:ascii="Times New Roman" w:hAnsi="Times New Roman"/>
          <w:sz w:val="20"/>
          <w:szCs w:val="20"/>
        </w:rPr>
      </w:pPr>
    </w:p>
    <w:p w:rsidR="000F7ED3" w:rsidRPr="000F7ED3" w:rsidRDefault="000F7ED3" w:rsidP="000F7ED3">
      <w:pPr>
        <w:spacing w:after="0" w:line="240" w:lineRule="auto"/>
        <w:jc w:val="center"/>
        <w:outlineLvl w:val="0"/>
        <w:rPr>
          <w:rFonts w:ascii="Times New Roman" w:hAnsi="Times New Roman"/>
          <w:b/>
          <w:sz w:val="20"/>
          <w:szCs w:val="20"/>
        </w:rPr>
      </w:pPr>
      <w:r w:rsidRPr="000F7ED3">
        <w:rPr>
          <w:rFonts w:ascii="Times New Roman" w:hAnsi="Times New Roman"/>
          <w:sz w:val="20"/>
          <w:szCs w:val="20"/>
        </w:rPr>
        <w:t>Norafiza Awang</w:t>
      </w:r>
      <w:r w:rsidRPr="000F7ED3">
        <w:rPr>
          <w:rFonts w:ascii="Times New Roman" w:hAnsi="Times New Roman"/>
          <w:sz w:val="20"/>
          <w:szCs w:val="20"/>
          <w:vertAlign w:val="superscript"/>
        </w:rPr>
        <w:t>1</w:t>
      </w:r>
      <w:r w:rsidRPr="000F7ED3">
        <w:rPr>
          <w:rFonts w:ascii="Times New Roman" w:hAnsi="Times New Roman"/>
          <w:sz w:val="20"/>
          <w:szCs w:val="20"/>
        </w:rPr>
        <w:t>, Nora’aini Ali</w:t>
      </w:r>
      <w:r w:rsidRPr="000F7ED3">
        <w:rPr>
          <w:rFonts w:ascii="Times New Roman" w:hAnsi="Times New Roman"/>
          <w:sz w:val="20"/>
          <w:szCs w:val="20"/>
          <w:vertAlign w:val="superscript"/>
        </w:rPr>
        <w:t>1</w:t>
      </w:r>
      <w:r w:rsidRPr="000F7ED3">
        <w:rPr>
          <w:rFonts w:ascii="Times New Roman" w:hAnsi="Times New Roman"/>
          <w:sz w:val="20"/>
          <w:szCs w:val="20"/>
        </w:rPr>
        <w:t>*, Fadzilah Adibah Abd Majid</w:t>
      </w:r>
      <w:r w:rsidRPr="000F7ED3">
        <w:rPr>
          <w:rFonts w:ascii="Times New Roman" w:hAnsi="Times New Roman"/>
          <w:sz w:val="20"/>
          <w:szCs w:val="20"/>
          <w:vertAlign w:val="superscript"/>
        </w:rPr>
        <w:t>2</w:t>
      </w:r>
      <w:r w:rsidRPr="000F7ED3">
        <w:rPr>
          <w:rFonts w:ascii="Times New Roman" w:hAnsi="Times New Roman"/>
          <w:sz w:val="20"/>
          <w:szCs w:val="20"/>
        </w:rPr>
        <w:t>, Sofiah Hamzah</w:t>
      </w:r>
      <w:r w:rsidRPr="000F7ED3">
        <w:rPr>
          <w:rFonts w:ascii="Times New Roman" w:hAnsi="Times New Roman"/>
          <w:sz w:val="20"/>
          <w:szCs w:val="20"/>
          <w:vertAlign w:val="superscript"/>
        </w:rPr>
        <w:t>1</w:t>
      </w:r>
      <w:r w:rsidRPr="000F7ED3">
        <w:rPr>
          <w:rFonts w:ascii="Times New Roman" w:hAnsi="Times New Roman"/>
          <w:sz w:val="20"/>
          <w:szCs w:val="20"/>
        </w:rPr>
        <w:t>, Shamsul Bahri Abd Razak</w:t>
      </w:r>
      <w:r w:rsidRPr="000F7ED3">
        <w:rPr>
          <w:rFonts w:ascii="Times New Roman" w:hAnsi="Times New Roman"/>
          <w:sz w:val="20"/>
          <w:szCs w:val="20"/>
          <w:vertAlign w:val="superscript"/>
        </w:rPr>
        <w:t>3</w:t>
      </w:r>
      <w:r w:rsidRPr="000F7ED3">
        <w:rPr>
          <w:rFonts w:ascii="Times New Roman" w:hAnsi="Times New Roman"/>
          <w:sz w:val="20"/>
          <w:szCs w:val="20"/>
        </w:rPr>
        <w:t xml:space="preserve"> </w:t>
      </w:r>
    </w:p>
    <w:p w:rsidR="000F7ED3" w:rsidRPr="0031211C" w:rsidRDefault="000F7ED3" w:rsidP="000F7ED3">
      <w:pPr>
        <w:spacing w:after="0" w:line="240" w:lineRule="auto"/>
        <w:jc w:val="center"/>
        <w:outlineLvl w:val="0"/>
        <w:rPr>
          <w:rFonts w:ascii="Times New Roman" w:hAnsi="Times New Roman"/>
          <w:i/>
          <w:sz w:val="18"/>
          <w:szCs w:val="18"/>
        </w:rPr>
      </w:pPr>
    </w:p>
    <w:p w:rsidR="000F7ED3" w:rsidRDefault="000F7ED3" w:rsidP="000F7ED3">
      <w:pPr>
        <w:spacing w:after="0" w:line="240" w:lineRule="auto"/>
        <w:jc w:val="center"/>
        <w:outlineLvl w:val="0"/>
        <w:rPr>
          <w:rFonts w:ascii="Times New Roman" w:hAnsi="Times New Roman"/>
          <w:i/>
          <w:sz w:val="18"/>
          <w:szCs w:val="18"/>
        </w:rPr>
      </w:pPr>
      <w:r w:rsidRPr="0031211C">
        <w:rPr>
          <w:rFonts w:ascii="Times New Roman" w:hAnsi="Times New Roman"/>
          <w:i/>
          <w:sz w:val="18"/>
          <w:szCs w:val="18"/>
          <w:vertAlign w:val="superscript"/>
        </w:rPr>
        <w:t>1</w:t>
      </w:r>
      <w:r>
        <w:rPr>
          <w:rFonts w:ascii="Times New Roman" w:hAnsi="Times New Roman"/>
          <w:i/>
          <w:sz w:val="18"/>
          <w:szCs w:val="18"/>
        </w:rPr>
        <w:t>School of Ocean Engineering</w:t>
      </w:r>
    </w:p>
    <w:p w:rsidR="000F7ED3" w:rsidRDefault="000F7ED3" w:rsidP="000F7ED3">
      <w:pPr>
        <w:spacing w:after="0" w:line="240" w:lineRule="auto"/>
        <w:jc w:val="center"/>
        <w:outlineLvl w:val="0"/>
        <w:rPr>
          <w:rFonts w:ascii="Times New Roman" w:hAnsi="Times New Roman"/>
          <w:i/>
          <w:sz w:val="18"/>
          <w:szCs w:val="18"/>
        </w:rPr>
      </w:pPr>
      <w:r w:rsidRPr="0031211C">
        <w:rPr>
          <w:rFonts w:ascii="Times New Roman" w:hAnsi="Times New Roman"/>
          <w:i/>
          <w:sz w:val="18"/>
          <w:szCs w:val="18"/>
          <w:vertAlign w:val="superscript"/>
        </w:rPr>
        <w:t>2</w:t>
      </w:r>
      <w:r>
        <w:rPr>
          <w:rFonts w:ascii="Times New Roman" w:hAnsi="Times New Roman"/>
          <w:i/>
          <w:sz w:val="18"/>
          <w:szCs w:val="18"/>
        </w:rPr>
        <w:t>Institute Marine Biotechnology</w:t>
      </w:r>
    </w:p>
    <w:p w:rsidR="000F7ED3" w:rsidRDefault="000F7ED3" w:rsidP="000F7ED3">
      <w:pPr>
        <w:spacing w:after="0" w:line="240" w:lineRule="auto"/>
        <w:jc w:val="center"/>
        <w:outlineLvl w:val="0"/>
        <w:rPr>
          <w:rFonts w:ascii="Times New Roman" w:hAnsi="Times New Roman"/>
          <w:i/>
          <w:sz w:val="18"/>
          <w:szCs w:val="18"/>
        </w:rPr>
      </w:pPr>
      <w:r w:rsidRPr="0031211C">
        <w:rPr>
          <w:rFonts w:ascii="Times New Roman" w:hAnsi="Times New Roman"/>
          <w:i/>
          <w:sz w:val="18"/>
          <w:szCs w:val="18"/>
          <w:vertAlign w:val="superscript"/>
        </w:rPr>
        <w:t>3</w:t>
      </w:r>
      <w:r w:rsidRPr="0031211C">
        <w:rPr>
          <w:rFonts w:ascii="Times New Roman" w:hAnsi="Times New Roman"/>
          <w:i/>
          <w:sz w:val="18"/>
          <w:szCs w:val="18"/>
        </w:rPr>
        <w:t xml:space="preserve">School </w:t>
      </w:r>
      <w:r>
        <w:rPr>
          <w:rFonts w:ascii="Times New Roman" w:hAnsi="Times New Roman"/>
          <w:i/>
          <w:sz w:val="18"/>
          <w:szCs w:val="18"/>
        </w:rPr>
        <w:t>of Food Science and Technology</w:t>
      </w:r>
    </w:p>
    <w:p w:rsidR="000F7ED3" w:rsidRPr="0031211C" w:rsidRDefault="000F7ED3" w:rsidP="000F7ED3">
      <w:pPr>
        <w:spacing w:after="0" w:line="240" w:lineRule="auto"/>
        <w:jc w:val="center"/>
        <w:outlineLvl w:val="0"/>
        <w:rPr>
          <w:rFonts w:ascii="Times New Roman" w:hAnsi="Times New Roman"/>
          <w:i/>
          <w:sz w:val="18"/>
          <w:szCs w:val="18"/>
        </w:rPr>
      </w:pPr>
      <w:r w:rsidRPr="0031211C">
        <w:rPr>
          <w:rFonts w:ascii="Times New Roman" w:hAnsi="Times New Roman"/>
          <w:i/>
          <w:sz w:val="18"/>
          <w:szCs w:val="18"/>
        </w:rPr>
        <w:t>U</w:t>
      </w:r>
      <w:r>
        <w:rPr>
          <w:rFonts w:ascii="Times New Roman" w:hAnsi="Times New Roman"/>
          <w:i/>
          <w:sz w:val="18"/>
          <w:szCs w:val="18"/>
        </w:rPr>
        <w:t xml:space="preserve">niversiti </w:t>
      </w:r>
      <w:r w:rsidRPr="0031211C">
        <w:rPr>
          <w:rFonts w:ascii="Times New Roman" w:hAnsi="Times New Roman"/>
          <w:i/>
          <w:sz w:val="18"/>
          <w:szCs w:val="18"/>
        </w:rPr>
        <w:t>M</w:t>
      </w:r>
      <w:r>
        <w:rPr>
          <w:rFonts w:ascii="Times New Roman" w:hAnsi="Times New Roman"/>
          <w:i/>
          <w:sz w:val="18"/>
          <w:szCs w:val="18"/>
        </w:rPr>
        <w:t xml:space="preserve">alaysia </w:t>
      </w:r>
      <w:r w:rsidRPr="0031211C">
        <w:rPr>
          <w:rFonts w:ascii="Times New Roman" w:hAnsi="Times New Roman"/>
          <w:i/>
          <w:sz w:val="18"/>
          <w:szCs w:val="18"/>
        </w:rPr>
        <w:t>T</w:t>
      </w:r>
      <w:r>
        <w:rPr>
          <w:rFonts w:ascii="Times New Roman" w:hAnsi="Times New Roman"/>
          <w:i/>
          <w:sz w:val="18"/>
          <w:szCs w:val="18"/>
        </w:rPr>
        <w:t xml:space="preserve">erengganu, </w:t>
      </w:r>
      <w:r w:rsidRPr="0031211C">
        <w:rPr>
          <w:rFonts w:ascii="Times New Roman" w:hAnsi="Times New Roman"/>
          <w:i/>
          <w:sz w:val="18"/>
          <w:szCs w:val="18"/>
        </w:rPr>
        <w:t>21</w:t>
      </w:r>
      <w:r>
        <w:rPr>
          <w:rFonts w:ascii="Times New Roman" w:hAnsi="Times New Roman"/>
          <w:i/>
          <w:sz w:val="18"/>
          <w:szCs w:val="18"/>
        </w:rPr>
        <w:t>0</w:t>
      </w:r>
      <w:r w:rsidRPr="0031211C">
        <w:rPr>
          <w:rFonts w:ascii="Times New Roman" w:hAnsi="Times New Roman"/>
          <w:i/>
          <w:sz w:val="18"/>
          <w:szCs w:val="18"/>
        </w:rPr>
        <w:t>30</w:t>
      </w:r>
      <w:r>
        <w:rPr>
          <w:rFonts w:ascii="Times New Roman" w:hAnsi="Times New Roman"/>
          <w:i/>
          <w:sz w:val="18"/>
          <w:szCs w:val="18"/>
        </w:rPr>
        <w:t xml:space="preserve"> </w:t>
      </w:r>
      <w:r w:rsidRPr="0031211C">
        <w:rPr>
          <w:rFonts w:ascii="Times New Roman" w:hAnsi="Times New Roman"/>
          <w:i/>
          <w:sz w:val="18"/>
          <w:szCs w:val="18"/>
        </w:rPr>
        <w:t xml:space="preserve">Kuala </w:t>
      </w:r>
      <w:r>
        <w:rPr>
          <w:rFonts w:ascii="Times New Roman" w:hAnsi="Times New Roman"/>
          <w:i/>
          <w:sz w:val="18"/>
          <w:szCs w:val="18"/>
        </w:rPr>
        <w:t>Nerus</w:t>
      </w:r>
      <w:r w:rsidRPr="0031211C">
        <w:rPr>
          <w:rFonts w:ascii="Times New Roman" w:hAnsi="Times New Roman"/>
          <w:i/>
          <w:sz w:val="18"/>
          <w:szCs w:val="18"/>
        </w:rPr>
        <w:t>, Terengganu, Malaysia</w:t>
      </w:r>
    </w:p>
    <w:p w:rsidR="000F7ED3" w:rsidRPr="0031211C" w:rsidRDefault="000F7ED3" w:rsidP="000F7ED3">
      <w:pPr>
        <w:spacing w:after="0" w:line="240" w:lineRule="auto"/>
        <w:jc w:val="center"/>
        <w:outlineLvl w:val="0"/>
        <w:rPr>
          <w:rFonts w:ascii="Times New Roman" w:hAnsi="Times New Roman"/>
          <w:sz w:val="18"/>
          <w:szCs w:val="18"/>
        </w:rPr>
      </w:pPr>
    </w:p>
    <w:p w:rsidR="000F7ED3" w:rsidRPr="0031211C" w:rsidRDefault="000F7ED3" w:rsidP="000F7ED3">
      <w:pPr>
        <w:spacing w:after="0" w:line="240" w:lineRule="auto"/>
        <w:jc w:val="center"/>
        <w:outlineLvl w:val="0"/>
        <w:rPr>
          <w:rFonts w:ascii="Times New Roman" w:hAnsi="Times New Roman"/>
          <w:i/>
          <w:sz w:val="18"/>
          <w:szCs w:val="18"/>
        </w:rPr>
      </w:pPr>
      <w:r w:rsidRPr="000F7ED3">
        <w:rPr>
          <w:rFonts w:ascii="Times New Roman" w:hAnsi="Times New Roman"/>
          <w:i/>
          <w:sz w:val="18"/>
          <w:szCs w:val="18"/>
        </w:rPr>
        <w:t>*</w:t>
      </w:r>
      <w:r w:rsidRPr="0031211C">
        <w:rPr>
          <w:rFonts w:ascii="Times New Roman" w:hAnsi="Times New Roman"/>
          <w:i/>
          <w:sz w:val="18"/>
          <w:szCs w:val="18"/>
        </w:rPr>
        <w:t xml:space="preserve">Corresponding author: </w:t>
      </w:r>
      <w:r>
        <w:rPr>
          <w:rFonts w:ascii="Times New Roman" w:hAnsi="Times New Roman"/>
          <w:i/>
          <w:sz w:val="18"/>
          <w:szCs w:val="18"/>
        </w:rPr>
        <w:t xml:space="preserve"> </w:t>
      </w:r>
      <w:r w:rsidRPr="0031211C">
        <w:rPr>
          <w:rFonts w:ascii="Times New Roman" w:hAnsi="Times New Roman"/>
          <w:i/>
          <w:sz w:val="18"/>
          <w:szCs w:val="18"/>
        </w:rPr>
        <w:t xml:space="preserve">noraaini@umt.edu.my </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B09DE">
        <w:rPr>
          <w:rFonts w:ascii="Times New Roman" w:hAnsi="Times New Roman"/>
          <w:noProof/>
          <w:sz w:val="18"/>
          <w:szCs w:val="18"/>
          <w:lang w:bidi="ar-SA"/>
        </w:rPr>
        <w:t>16 April 2017</w:t>
      </w:r>
      <w:r>
        <w:rPr>
          <w:rFonts w:ascii="Times New Roman" w:hAnsi="Times New Roman"/>
          <w:noProof/>
          <w:sz w:val="18"/>
          <w:szCs w:val="18"/>
          <w:lang w:bidi="ar-SA"/>
        </w:rPr>
        <w:t xml:space="preserve">; Accepted: </w:t>
      </w:r>
      <w:r w:rsidR="00EB09DE">
        <w:rPr>
          <w:rFonts w:ascii="Times New Roman" w:hAnsi="Times New Roman"/>
          <w:noProof/>
          <w:sz w:val="18"/>
          <w:szCs w:val="18"/>
          <w:lang w:bidi="ar-SA"/>
        </w:rPr>
        <w:t>7 March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0F7ED3" w:rsidRPr="0031211C" w:rsidRDefault="000F7ED3" w:rsidP="000F7ED3">
      <w:pPr>
        <w:spacing w:after="0" w:line="240" w:lineRule="auto"/>
        <w:jc w:val="both"/>
        <w:outlineLvl w:val="0"/>
        <w:rPr>
          <w:rFonts w:ascii="Times New Roman" w:hAnsi="Times New Roman"/>
          <w:sz w:val="18"/>
          <w:szCs w:val="18"/>
        </w:rPr>
      </w:pPr>
      <w:r w:rsidRPr="0031211C">
        <w:rPr>
          <w:rFonts w:ascii="Times New Roman" w:hAnsi="Times New Roman"/>
          <w:sz w:val="18"/>
          <w:szCs w:val="18"/>
        </w:rPr>
        <w:t>The present works aimed to identify the total flavonoids content (TFC), total phenolic content (TPC) and antioxidant activities of sticky and hard propolis of 10 species of Indo-Malayan stingless bee’s namely</w:t>
      </w:r>
      <w:r w:rsidRPr="0031211C">
        <w:rPr>
          <w:rFonts w:ascii="Times New Roman" w:hAnsi="Times New Roman"/>
          <w:i/>
          <w:sz w:val="18"/>
          <w:szCs w:val="18"/>
        </w:rPr>
        <w:t xml:space="preserve"> Heterotrigona itama (H.</w:t>
      </w:r>
      <w:r>
        <w:rPr>
          <w:rFonts w:ascii="Times New Roman" w:hAnsi="Times New Roman"/>
          <w:i/>
          <w:sz w:val="18"/>
          <w:szCs w:val="18"/>
        </w:rPr>
        <w:t xml:space="preserve"> </w:t>
      </w:r>
      <w:r w:rsidRPr="0031211C">
        <w:rPr>
          <w:rFonts w:ascii="Times New Roman" w:hAnsi="Times New Roman"/>
          <w:i/>
          <w:sz w:val="18"/>
          <w:szCs w:val="18"/>
        </w:rPr>
        <w:t>itama), Geniotrigona thoracica (G.</w:t>
      </w:r>
      <w:r>
        <w:rPr>
          <w:rFonts w:ascii="Times New Roman" w:hAnsi="Times New Roman"/>
          <w:i/>
          <w:sz w:val="18"/>
          <w:szCs w:val="18"/>
        </w:rPr>
        <w:t xml:space="preserve"> </w:t>
      </w:r>
      <w:r w:rsidRPr="0031211C">
        <w:rPr>
          <w:rFonts w:ascii="Times New Roman" w:hAnsi="Times New Roman"/>
          <w:i/>
          <w:sz w:val="18"/>
          <w:szCs w:val="18"/>
        </w:rPr>
        <w:t>thoracica), Homotrigona aliceae (H. aliceae), Homotrigona fimbriata (H. fimbriata), Tetrigona apicalis (T</w:t>
      </w:r>
      <w:r>
        <w:rPr>
          <w:rFonts w:ascii="Times New Roman" w:hAnsi="Times New Roman"/>
          <w:i/>
          <w:sz w:val="18"/>
          <w:szCs w:val="18"/>
        </w:rPr>
        <w:t xml:space="preserve">. </w:t>
      </w:r>
      <w:r w:rsidRPr="0031211C">
        <w:rPr>
          <w:rFonts w:ascii="Times New Roman" w:hAnsi="Times New Roman"/>
          <w:i/>
          <w:sz w:val="18"/>
          <w:szCs w:val="18"/>
        </w:rPr>
        <w:t>apicalis), Tetrigona vidua (T.</w:t>
      </w:r>
      <w:r>
        <w:rPr>
          <w:rFonts w:ascii="Times New Roman" w:hAnsi="Times New Roman"/>
          <w:i/>
          <w:sz w:val="18"/>
          <w:szCs w:val="18"/>
        </w:rPr>
        <w:t xml:space="preserve"> </w:t>
      </w:r>
      <w:r w:rsidRPr="0031211C">
        <w:rPr>
          <w:rFonts w:ascii="Times New Roman" w:hAnsi="Times New Roman"/>
          <w:i/>
          <w:sz w:val="18"/>
          <w:szCs w:val="18"/>
        </w:rPr>
        <w:t>vidua), Tetrigona peninsularis (T. peninsularis), Lophotrigona canifrons (L.</w:t>
      </w:r>
      <w:r>
        <w:rPr>
          <w:rFonts w:ascii="Times New Roman" w:hAnsi="Times New Roman"/>
          <w:i/>
          <w:sz w:val="18"/>
          <w:szCs w:val="18"/>
        </w:rPr>
        <w:t xml:space="preserve"> </w:t>
      </w:r>
      <w:r w:rsidRPr="0031211C">
        <w:rPr>
          <w:rFonts w:ascii="Times New Roman" w:hAnsi="Times New Roman"/>
          <w:i/>
          <w:sz w:val="18"/>
          <w:szCs w:val="18"/>
        </w:rPr>
        <w:t xml:space="preserve">canifrons), Tetrigona melanoleuca (T. melanoleuca), </w:t>
      </w:r>
      <w:r w:rsidRPr="0031211C">
        <w:rPr>
          <w:rFonts w:ascii="Times New Roman" w:hAnsi="Times New Roman"/>
          <w:sz w:val="18"/>
          <w:szCs w:val="18"/>
        </w:rPr>
        <w:t xml:space="preserve">and </w:t>
      </w:r>
      <w:r w:rsidRPr="0031211C">
        <w:rPr>
          <w:rFonts w:ascii="Times New Roman" w:hAnsi="Times New Roman"/>
          <w:i/>
          <w:sz w:val="18"/>
          <w:szCs w:val="18"/>
        </w:rPr>
        <w:t>Tetrogona binghami (T. binghami).</w:t>
      </w:r>
      <w:r w:rsidRPr="0031211C">
        <w:rPr>
          <w:rFonts w:ascii="Times New Roman" w:hAnsi="Times New Roman"/>
          <w:sz w:val="18"/>
          <w:szCs w:val="18"/>
        </w:rPr>
        <w:t xml:space="preserve"> The ethanolic extracts of these propolis (EEP) were prepared and analysed for the determination of TFC using alumin</w:t>
      </w:r>
      <w:r>
        <w:rPr>
          <w:rFonts w:ascii="Times New Roman" w:hAnsi="Times New Roman"/>
          <w:sz w:val="18"/>
          <w:szCs w:val="18"/>
        </w:rPr>
        <w:t>i</w:t>
      </w:r>
      <w:r w:rsidRPr="0031211C">
        <w:rPr>
          <w:rFonts w:ascii="Times New Roman" w:hAnsi="Times New Roman"/>
          <w:sz w:val="18"/>
          <w:szCs w:val="18"/>
        </w:rPr>
        <w:t xml:space="preserve">um chloride method, TPC and antioxidant activity using the 1,1-diphenyl-2-picrylhydrazyl (DPPH) free radical-scavenging assay system. The sticky propolis showed 91% of TFC and 49% of TPC higher than the hard propolis. Interestingly, the sticky propolis had stronger antioxidant activities than hard propolis for all species. The highest antioxidant activities were found in sticky propolis of </w:t>
      </w:r>
      <w:r w:rsidRPr="0031211C">
        <w:rPr>
          <w:rFonts w:ascii="Times New Roman" w:hAnsi="Times New Roman"/>
          <w:i/>
          <w:sz w:val="18"/>
          <w:szCs w:val="18"/>
        </w:rPr>
        <w:t>H.</w:t>
      </w:r>
      <w:r>
        <w:rPr>
          <w:rFonts w:ascii="Times New Roman" w:hAnsi="Times New Roman"/>
          <w:i/>
          <w:sz w:val="18"/>
          <w:szCs w:val="18"/>
        </w:rPr>
        <w:t xml:space="preserve"> </w:t>
      </w:r>
      <w:r w:rsidRPr="0031211C">
        <w:rPr>
          <w:rFonts w:ascii="Times New Roman" w:hAnsi="Times New Roman"/>
          <w:i/>
          <w:sz w:val="18"/>
          <w:szCs w:val="18"/>
        </w:rPr>
        <w:t>itama</w:t>
      </w:r>
      <w:r w:rsidRPr="0031211C">
        <w:rPr>
          <w:rFonts w:ascii="Times New Roman" w:hAnsi="Times New Roman"/>
          <w:sz w:val="18"/>
          <w:szCs w:val="18"/>
        </w:rPr>
        <w:t xml:space="preserve"> which is 85% of DPPH degradation while the lowest antioxidant activity was found in the hard propolis of </w:t>
      </w:r>
      <w:r w:rsidRPr="0031211C">
        <w:rPr>
          <w:rFonts w:ascii="Times New Roman" w:hAnsi="Times New Roman"/>
          <w:i/>
          <w:sz w:val="18"/>
          <w:szCs w:val="18"/>
        </w:rPr>
        <w:t>L.</w:t>
      </w:r>
      <w:r>
        <w:rPr>
          <w:rFonts w:ascii="Times New Roman" w:hAnsi="Times New Roman"/>
          <w:i/>
          <w:sz w:val="18"/>
          <w:szCs w:val="18"/>
        </w:rPr>
        <w:t xml:space="preserve"> </w:t>
      </w:r>
      <w:r w:rsidRPr="0031211C">
        <w:rPr>
          <w:rFonts w:ascii="Times New Roman" w:hAnsi="Times New Roman"/>
          <w:i/>
          <w:sz w:val="18"/>
          <w:szCs w:val="18"/>
        </w:rPr>
        <w:t>conifrons</w:t>
      </w:r>
      <w:r w:rsidRPr="0031211C">
        <w:rPr>
          <w:rFonts w:ascii="Times New Roman" w:hAnsi="Times New Roman"/>
          <w:sz w:val="18"/>
          <w:szCs w:val="18"/>
        </w:rPr>
        <w:t xml:space="preserve"> which is 5% of DPPH degradation. In conclusion, the data gathered in this study revealed that propolis from all 10 types of stingless bees’ species are biologically active. The selection of propolis for further development can be based on its biological activities, which vary according to the species of stingless bees.</w:t>
      </w:r>
    </w:p>
    <w:p w:rsidR="000F7ED3" w:rsidRPr="0031211C" w:rsidRDefault="000F7ED3" w:rsidP="000F7ED3">
      <w:pPr>
        <w:spacing w:after="0" w:line="240" w:lineRule="auto"/>
        <w:jc w:val="both"/>
        <w:outlineLvl w:val="0"/>
        <w:rPr>
          <w:rFonts w:ascii="Times New Roman" w:hAnsi="Times New Roman"/>
          <w:sz w:val="18"/>
          <w:szCs w:val="18"/>
        </w:rPr>
      </w:pPr>
    </w:p>
    <w:p w:rsidR="000F7ED3" w:rsidRPr="0031211C" w:rsidRDefault="000F7ED3" w:rsidP="000F7ED3">
      <w:pPr>
        <w:spacing w:after="0" w:line="240" w:lineRule="auto"/>
        <w:jc w:val="both"/>
        <w:outlineLvl w:val="0"/>
        <w:rPr>
          <w:rFonts w:ascii="Times New Roman" w:hAnsi="Times New Roman"/>
          <w:sz w:val="18"/>
          <w:szCs w:val="18"/>
        </w:rPr>
      </w:pPr>
      <w:r w:rsidRPr="0031211C">
        <w:rPr>
          <w:rFonts w:ascii="Times New Roman" w:hAnsi="Times New Roman"/>
          <w:b/>
          <w:sz w:val="18"/>
          <w:szCs w:val="18"/>
        </w:rPr>
        <w:t>Keywords:</w:t>
      </w:r>
      <w:r w:rsidRPr="0031211C">
        <w:rPr>
          <w:rFonts w:ascii="Times New Roman" w:hAnsi="Times New Roman"/>
          <w:sz w:val="18"/>
          <w:szCs w:val="18"/>
        </w:rPr>
        <w:t xml:space="preserve"> </w:t>
      </w:r>
      <w:r>
        <w:rPr>
          <w:rFonts w:ascii="Times New Roman" w:hAnsi="Times New Roman"/>
          <w:sz w:val="18"/>
          <w:szCs w:val="18"/>
        </w:rPr>
        <w:t xml:space="preserve"> </w:t>
      </w:r>
      <w:r w:rsidRPr="0031211C">
        <w:rPr>
          <w:rFonts w:ascii="Times New Roman" w:hAnsi="Times New Roman"/>
          <w:sz w:val="18"/>
          <w:szCs w:val="18"/>
        </w:rPr>
        <w:t xml:space="preserve">stingless bees, propolis, total flavonoids content, total phenolic content </w:t>
      </w:r>
    </w:p>
    <w:p w:rsidR="000F7ED3" w:rsidRPr="0031211C" w:rsidRDefault="000F7ED3" w:rsidP="000F7ED3">
      <w:pPr>
        <w:spacing w:after="0" w:line="240" w:lineRule="auto"/>
        <w:jc w:val="center"/>
        <w:outlineLvl w:val="0"/>
        <w:rPr>
          <w:rFonts w:ascii="Times New Roman" w:hAnsi="Times New Roman"/>
          <w:b/>
          <w:sz w:val="18"/>
          <w:szCs w:val="18"/>
        </w:rPr>
      </w:pPr>
    </w:p>
    <w:p w:rsidR="000F7ED3" w:rsidRPr="0031211C" w:rsidRDefault="000F7ED3" w:rsidP="000F7ED3">
      <w:pPr>
        <w:spacing w:after="0" w:line="240" w:lineRule="auto"/>
        <w:jc w:val="center"/>
        <w:outlineLvl w:val="0"/>
        <w:rPr>
          <w:rFonts w:ascii="Times New Roman" w:hAnsi="Times New Roman"/>
          <w:b/>
          <w:sz w:val="18"/>
          <w:szCs w:val="18"/>
          <w:lang w:val="ms-MY"/>
        </w:rPr>
      </w:pPr>
      <w:r w:rsidRPr="0031211C">
        <w:rPr>
          <w:rFonts w:ascii="Times New Roman" w:hAnsi="Times New Roman"/>
          <w:b/>
          <w:sz w:val="18"/>
          <w:szCs w:val="18"/>
          <w:lang w:val="ms-MY"/>
        </w:rPr>
        <w:t>Abstrak</w:t>
      </w:r>
    </w:p>
    <w:p w:rsidR="000F7ED3" w:rsidRPr="0031211C" w:rsidRDefault="000F7ED3" w:rsidP="000F7ED3">
      <w:pPr>
        <w:spacing w:after="0" w:line="240" w:lineRule="auto"/>
        <w:jc w:val="both"/>
        <w:outlineLvl w:val="0"/>
        <w:rPr>
          <w:rFonts w:ascii="Times New Roman" w:hAnsi="Times New Roman"/>
          <w:sz w:val="18"/>
          <w:szCs w:val="18"/>
          <w:lang w:val="ms-MY"/>
        </w:rPr>
      </w:pPr>
      <w:r w:rsidRPr="0031211C">
        <w:rPr>
          <w:rFonts w:ascii="Times New Roman" w:hAnsi="Times New Roman"/>
          <w:sz w:val="18"/>
          <w:szCs w:val="18"/>
          <w:lang w:val="ms-MY"/>
        </w:rPr>
        <w:t xml:space="preserve">Kajian ini bertujuan untuk mengenal pasti  jumlah kandungan flavonoid, jumlah kandungan fenolik dan aktiviti antioksidan dalam propolis yang melekit dan keras daripada 10 spesis lebah kelulut Indo-Malayan iaitu </w:t>
      </w:r>
      <w:r w:rsidRPr="0031211C">
        <w:rPr>
          <w:rFonts w:ascii="Times New Roman" w:hAnsi="Times New Roman"/>
          <w:i/>
          <w:sz w:val="18"/>
          <w:szCs w:val="18"/>
          <w:lang w:val="ms-MY"/>
        </w:rPr>
        <w:t>Heterotrigona itama (H.</w:t>
      </w:r>
      <w:r>
        <w:rPr>
          <w:rFonts w:ascii="Times New Roman" w:hAnsi="Times New Roman"/>
          <w:i/>
          <w:sz w:val="18"/>
          <w:szCs w:val="18"/>
          <w:lang w:val="ms-MY"/>
        </w:rPr>
        <w:t xml:space="preserve"> </w:t>
      </w:r>
      <w:r w:rsidRPr="0031211C">
        <w:rPr>
          <w:rFonts w:ascii="Times New Roman" w:hAnsi="Times New Roman"/>
          <w:i/>
          <w:sz w:val="18"/>
          <w:szCs w:val="18"/>
          <w:lang w:val="ms-MY"/>
        </w:rPr>
        <w:t>itama), Geniotrigona thoracica (G.</w:t>
      </w:r>
      <w:r>
        <w:rPr>
          <w:rFonts w:ascii="Times New Roman" w:hAnsi="Times New Roman"/>
          <w:i/>
          <w:sz w:val="18"/>
          <w:szCs w:val="18"/>
          <w:lang w:val="ms-MY"/>
        </w:rPr>
        <w:t xml:space="preserve"> </w:t>
      </w:r>
      <w:r w:rsidRPr="0031211C">
        <w:rPr>
          <w:rFonts w:ascii="Times New Roman" w:hAnsi="Times New Roman"/>
          <w:i/>
          <w:sz w:val="18"/>
          <w:szCs w:val="18"/>
          <w:lang w:val="ms-MY"/>
        </w:rPr>
        <w:t>thoracica), Homotrigona aliceae (H. aliceae), Homotrigona fimbriata (H. fimbriata), Tetrigona apicalis (T.</w:t>
      </w:r>
      <w:r>
        <w:rPr>
          <w:rFonts w:ascii="Times New Roman" w:hAnsi="Times New Roman"/>
          <w:i/>
          <w:sz w:val="18"/>
          <w:szCs w:val="18"/>
          <w:lang w:val="ms-MY"/>
        </w:rPr>
        <w:t xml:space="preserve"> </w:t>
      </w:r>
      <w:r w:rsidRPr="0031211C">
        <w:rPr>
          <w:rFonts w:ascii="Times New Roman" w:hAnsi="Times New Roman"/>
          <w:i/>
          <w:sz w:val="18"/>
          <w:szCs w:val="18"/>
          <w:lang w:val="ms-MY"/>
        </w:rPr>
        <w:t>apicalis), Tetrigona vidua (T.</w:t>
      </w:r>
      <w:r>
        <w:rPr>
          <w:rFonts w:ascii="Times New Roman" w:hAnsi="Times New Roman"/>
          <w:i/>
          <w:sz w:val="18"/>
          <w:szCs w:val="18"/>
          <w:lang w:val="ms-MY"/>
        </w:rPr>
        <w:t xml:space="preserve"> </w:t>
      </w:r>
      <w:r w:rsidRPr="0031211C">
        <w:rPr>
          <w:rFonts w:ascii="Times New Roman" w:hAnsi="Times New Roman"/>
          <w:i/>
          <w:sz w:val="18"/>
          <w:szCs w:val="18"/>
          <w:lang w:val="ms-MY"/>
        </w:rPr>
        <w:t xml:space="preserve">vidua), </w:t>
      </w:r>
      <w:r>
        <w:rPr>
          <w:rFonts w:ascii="Times New Roman" w:hAnsi="Times New Roman"/>
          <w:i/>
          <w:sz w:val="18"/>
          <w:szCs w:val="18"/>
          <w:lang w:val="ms-MY"/>
        </w:rPr>
        <w:t>T</w:t>
      </w:r>
      <w:r w:rsidRPr="0031211C">
        <w:rPr>
          <w:rFonts w:ascii="Times New Roman" w:hAnsi="Times New Roman"/>
          <w:i/>
          <w:sz w:val="18"/>
          <w:szCs w:val="18"/>
          <w:lang w:val="ms-MY"/>
        </w:rPr>
        <w:t xml:space="preserve">etrigona </w:t>
      </w:r>
      <w:r>
        <w:rPr>
          <w:rFonts w:ascii="Times New Roman" w:hAnsi="Times New Roman"/>
          <w:i/>
          <w:sz w:val="18"/>
          <w:szCs w:val="18"/>
          <w:lang w:val="ms-MY"/>
        </w:rPr>
        <w:t>p</w:t>
      </w:r>
      <w:r w:rsidRPr="0031211C">
        <w:rPr>
          <w:rFonts w:ascii="Times New Roman" w:hAnsi="Times New Roman"/>
          <w:i/>
          <w:sz w:val="18"/>
          <w:szCs w:val="18"/>
          <w:lang w:val="ms-MY"/>
        </w:rPr>
        <w:t>eninsularis (T. peninsularis), Lophotrigona</w:t>
      </w:r>
      <w:r>
        <w:rPr>
          <w:rFonts w:ascii="Times New Roman" w:hAnsi="Times New Roman"/>
          <w:i/>
          <w:sz w:val="18"/>
          <w:szCs w:val="18"/>
          <w:lang w:val="ms-MY"/>
        </w:rPr>
        <w:t xml:space="preserve"> </w:t>
      </w:r>
      <w:r w:rsidRPr="0031211C">
        <w:rPr>
          <w:rFonts w:ascii="Times New Roman" w:hAnsi="Times New Roman"/>
          <w:i/>
          <w:sz w:val="18"/>
          <w:szCs w:val="18"/>
          <w:lang w:val="ms-MY"/>
        </w:rPr>
        <w:t>canifrons (L.</w:t>
      </w:r>
      <w:r>
        <w:rPr>
          <w:rFonts w:ascii="Times New Roman" w:hAnsi="Times New Roman"/>
          <w:i/>
          <w:sz w:val="18"/>
          <w:szCs w:val="18"/>
          <w:lang w:val="ms-MY"/>
        </w:rPr>
        <w:t xml:space="preserve"> </w:t>
      </w:r>
      <w:r w:rsidRPr="0031211C">
        <w:rPr>
          <w:rFonts w:ascii="Times New Roman" w:hAnsi="Times New Roman"/>
          <w:i/>
          <w:sz w:val="18"/>
          <w:szCs w:val="18"/>
          <w:lang w:val="ms-MY"/>
        </w:rPr>
        <w:t>canifrons), Tetrigona melanoleuca (T. melanoleuca),</w:t>
      </w:r>
      <w:r w:rsidRPr="0031211C">
        <w:rPr>
          <w:rFonts w:ascii="Times New Roman" w:hAnsi="Times New Roman"/>
          <w:sz w:val="18"/>
          <w:szCs w:val="18"/>
          <w:lang w:val="ms-MY"/>
        </w:rPr>
        <w:t xml:space="preserve"> dan </w:t>
      </w:r>
      <w:r w:rsidRPr="0031211C">
        <w:rPr>
          <w:rFonts w:ascii="Times New Roman" w:hAnsi="Times New Roman"/>
          <w:i/>
          <w:sz w:val="18"/>
          <w:szCs w:val="18"/>
          <w:lang w:val="ms-MY"/>
        </w:rPr>
        <w:t xml:space="preserve">Tetrogona </w:t>
      </w:r>
      <w:r>
        <w:rPr>
          <w:rFonts w:ascii="Times New Roman" w:hAnsi="Times New Roman"/>
          <w:i/>
          <w:sz w:val="18"/>
          <w:szCs w:val="18"/>
          <w:lang w:val="ms-MY"/>
        </w:rPr>
        <w:t>b</w:t>
      </w:r>
      <w:r w:rsidRPr="0031211C">
        <w:rPr>
          <w:rFonts w:ascii="Times New Roman" w:hAnsi="Times New Roman"/>
          <w:i/>
          <w:sz w:val="18"/>
          <w:szCs w:val="18"/>
          <w:lang w:val="ms-MY"/>
        </w:rPr>
        <w:t>inghami (T. binghami)</w:t>
      </w:r>
      <w:r w:rsidRPr="0031211C">
        <w:rPr>
          <w:rFonts w:ascii="Times New Roman" w:hAnsi="Times New Roman"/>
          <w:sz w:val="18"/>
          <w:szCs w:val="18"/>
          <w:lang w:val="ms-MY"/>
        </w:rPr>
        <w:t>. Ekstrak</w:t>
      </w:r>
      <w:r>
        <w:rPr>
          <w:rFonts w:ascii="Times New Roman" w:hAnsi="Times New Roman"/>
          <w:sz w:val="18"/>
          <w:szCs w:val="18"/>
          <w:lang w:val="ms-MY"/>
        </w:rPr>
        <w:t xml:space="preserve"> etanolik</w:t>
      </w:r>
      <w:r w:rsidRPr="0031211C">
        <w:rPr>
          <w:rFonts w:ascii="Times New Roman" w:hAnsi="Times New Roman"/>
          <w:sz w:val="18"/>
          <w:szCs w:val="18"/>
          <w:lang w:val="ms-MY"/>
        </w:rPr>
        <w:t xml:space="preserve"> </w:t>
      </w:r>
      <w:r>
        <w:rPr>
          <w:rFonts w:ascii="Times New Roman" w:hAnsi="Times New Roman"/>
          <w:sz w:val="18"/>
          <w:szCs w:val="18"/>
          <w:lang w:val="ms-MY"/>
        </w:rPr>
        <w:t xml:space="preserve">propolis </w:t>
      </w:r>
      <w:r w:rsidRPr="0031211C">
        <w:rPr>
          <w:rFonts w:ascii="Times New Roman" w:hAnsi="Times New Roman"/>
          <w:sz w:val="18"/>
          <w:szCs w:val="18"/>
          <w:lang w:val="ms-MY"/>
        </w:rPr>
        <w:t>ini (EEP) telah disediakan dan dianalisis bagi menentukan jumlah kandungan flavonoid (TFC) dengan menggunakan kaedah alumi</w:t>
      </w:r>
      <w:r>
        <w:rPr>
          <w:rFonts w:ascii="Times New Roman" w:hAnsi="Times New Roman"/>
          <w:sz w:val="18"/>
          <w:szCs w:val="18"/>
          <w:lang w:val="ms-MY"/>
        </w:rPr>
        <w:t>ni</w:t>
      </w:r>
      <w:r w:rsidRPr="0031211C">
        <w:rPr>
          <w:rFonts w:ascii="Times New Roman" w:hAnsi="Times New Roman"/>
          <w:sz w:val="18"/>
          <w:szCs w:val="18"/>
          <w:lang w:val="ms-MY"/>
        </w:rPr>
        <w:t>um klorida, jumlah kandungan fenolik (TPC) dan aktiviti antioksidan menggunakan 1,1-difenil-2-</w:t>
      </w:r>
      <w:r>
        <w:rPr>
          <w:rFonts w:ascii="Times New Roman" w:hAnsi="Times New Roman"/>
          <w:sz w:val="18"/>
          <w:szCs w:val="18"/>
          <w:lang w:val="ms-MY"/>
        </w:rPr>
        <w:t>pikrilhidrazil</w:t>
      </w:r>
      <w:r w:rsidRPr="0031211C">
        <w:rPr>
          <w:rFonts w:ascii="Times New Roman" w:hAnsi="Times New Roman"/>
          <w:sz w:val="18"/>
          <w:szCs w:val="18"/>
          <w:lang w:val="ms-MY"/>
        </w:rPr>
        <w:t xml:space="preserve"> (DPPH) sistem ujian berasaskan radikal bebas. Propolis yang melekit menunjukkan TFC 91% dan TPC 49% lebih tinggi daripada propolis keras. Menariknya, propolis yang melekit mempunyai aktiviti antioksidan yang lebih kuat daripada propolis keras untuk semua spesies. Aktiviti antioksidan tertinggi didapati dalam propolis yang melekat </w:t>
      </w:r>
      <w:r w:rsidRPr="0031211C">
        <w:rPr>
          <w:rFonts w:ascii="Times New Roman" w:hAnsi="Times New Roman"/>
          <w:i/>
          <w:sz w:val="18"/>
          <w:szCs w:val="18"/>
          <w:lang w:val="ms-MY"/>
        </w:rPr>
        <w:t>H.</w:t>
      </w:r>
      <w:r>
        <w:rPr>
          <w:rFonts w:ascii="Times New Roman" w:hAnsi="Times New Roman"/>
          <w:i/>
          <w:sz w:val="18"/>
          <w:szCs w:val="18"/>
          <w:lang w:val="ms-MY"/>
        </w:rPr>
        <w:t xml:space="preserve"> </w:t>
      </w:r>
      <w:r w:rsidRPr="0031211C">
        <w:rPr>
          <w:rFonts w:ascii="Times New Roman" w:hAnsi="Times New Roman"/>
          <w:i/>
          <w:sz w:val="18"/>
          <w:szCs w:val="18"/>
          <w:lang w:val="ms-MY"/>
        </w:rPr>
        <w:t>itama</w:t>
      </w:r>
      <w:r w:rsidRPr="0031211C">
        <w:rPr>
          <w:rFonts w:ascii="Times New Roman" w:hAnsi="Times New Roman"/>
          <w:sz w:val="18"/>
          <w:szCs w:val="18"/>
          <w:lang w:val="ms-MY"/>
        </w:rPr>
        <w:t xml:space="preserve"> 85% degradasi DPPH manakala aktiviti antioksidan paling rendah didapati dalam propolis keras </w:t>
      </w:r>
      <w:r w:rsidRPr="0031211C">
        <w:rPr>
          <w:rFonts w:ascii="Times New Roman" w:hAnsi="Times New Roman"/>
          <w:i/>
          <w:sz w:val="18"/>
          <w:szCs w:val="18"/>
          <w:lang w:val="ms-MY"/>
        </w:rPr>
        <w:t>L.conifrons</w:t>
      </w:r>
      <w:r w:rsidRPr="0031211C">
        <w:rPr>
          <w:rFonts w:ascii="Times New Roman" w:hAnsi="Times New Roman"/>
          <w:sz w:val="18"/>
          <w:szCs w:val="18"/>
          <w:lang w:val="ms-MY"/>
        </w:rPr>
        <w:t xml:space="preserve"> 5% degradasi DPPH. Kesimpulannya, data yang dikumpul dalam kajian </w:t>
      </w:r>
      <w:r w:rsidRPr="0031211C">
        <w:rPr>
          <w:rFonts w:ascii="Times New Roman" w:hAnsi="Times New Roman"/>
          <w:sz w:val="18"/>
          <w:szCs w:val="18"/>
          <w:lang w:val="ms-MY"/>
        </w:rPr>
        <w:lastRenderedPageBreak/>
        <w:t>ini mendedahkan bahawa propolis dari semua 10 jenis lebah adalah spesies biologi aktif. Pemilihan propolis untuk pembangunan selanjutnya boleh berdasarkan aktiviti biologinya, yang bervariasi mengikut spesies lebah tanpa ragu-ragu.</w:t>
      </w:r>
    </w:p>
    <w:p w:rsidR="000F7ED3" w:rsidRPr="0031211C" w:rsidRDefault="000F7ED3" w:rsidP="000F7ED3">
      <w:pPr>
        <w:spacing w:after="0" w:line="240" w:lineRule="auto"/>
        <w:jc w:val="both"/>
        <w:outlineLvl w:val="0"/>
        <w:rPr>
          <w:rFonts w:ascii="Times New Roman" w:hAnsi="Times New Roman"/>
          <w:sz w:val="18"/>
          <w:szCs w:val="18"/>
          <w:lang w:val="ms-MY"/>
        </w:rPr>
      </w:pPr>
    </w:p>
    <w:p w:rsidR="000F7ED3" w:rsidRPr="0031211C" w:rsidRDefault="000F7ED3" w:rsidP="000F7ED3">
      <w:pPr>
        <w:spacing w:after="0" w:line="240" w:lineRule="auto"/>
        <w:jc w:val="both"/>
        <w:outlineLvl w:val="0"/>
        <w:rPr>
          <w:rFonts w:ascii="Times New Roman" w:hAnsi="Times New Roman"/>
          <w:b/>
          <w:sz w:val="18"/>
          <w:szCs w:val="18"/>
          <w:lang w:val="ms-MY"/>
        </w:rPr>
      </w:pPr>
      <w:r w:rsidRPr="0031211C">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31211C">
        <w:rPr>
          <w:rFonts w:ascii="Times New Roman" w:hAnsi="Times New Roman"/>
          <w:sz w:val="18"/>
          <w:szCs w:val="18"/>
          <w:lang w:val="ms-MY"/>
        </w:rPr>
        <w:t xml:space="preserve">lebah kelulut, propolis, jumlah kandungan flavonoid, jumlah kandungan fenolik </w:t>
      </w:r>
    </w:p>
    <w:p w:rsidR="006768E9" w:rsidRDefault="006768E9" w:rsidP="000F7ED3">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0F7ED3" w:rsidRPr="000F7ED3" w:rsidRDefault="000F7ED3" w:rsidP="000F7ED3">
      <w:pPr>
        <w:spacing w:after="0" w:line="240" w:lineRule="auto"/>
        <w:jc w:val="both"/>
        <w:outlineLvl w:val="0"/>
        <w:rPr>
          <w:rFonts w:ascii="Times New Roman" w:hAnsi="Times New Roman"/>
          <w:sz w:val="20"/>
          <w:szCs w:val="20"/>
        </w:rPr>
      </w:pPr>
      <w:r w:rsidRPr="000F7ED3">
        <w:rPr>
          <w:rFonts w:ascii="Times New Roman" w:hAnsi="Times New Roman"/>
          <w:sz w:val="20"/>
          <w:szCs w:val="20"/>
        </w:rPr>
        <w:t xml:space="preserve">According to EPU (2009), Malaysia is one of the world’s 12-mega biodiversity countries, with a highly rich natural and environmental resources [1, 2]. One of these natural sources is the species of stingless bees. Stingless bees reap resins from different types of plant and take them back to the hive where they are then used as propolis (propolis is an apicultural term for the resins when utilized by stingless honey bees inside a hive) [3, 4]. </w:t>
      </w:r>
    </w:p>
    <w:p w:rsidR="000F7ED3" w:rsidRPr="000F7ED3" w:rsidRDefault="000F7ED3" w:rsidP="000F7ED3">
      <w:pPr>
        <w:spacing w:after="0" w:line="240" w:lineRule="auto"/>
        <w:jc w:val="both"/>
        <w:outlineLvl w:val="0"/>
        <w:rPr>
          <w:rFonts w:ascii="Times New Roman" w:hAnsi="Times New Roman"/>
          <w:sz w:val="20"/>
          <w:szCs w:val="20"/>
        </w:rPr>
      </w:pPr>
    </w:p>
    <w:p w:rsidR="000F7ED3" w:rsidRPr="000F7ED3" w:rsidRDefault="000F7ED3" w:rsidP="000F7ED3">
      <w:pPr>
        <w:spacing w:after="0" w:line="240" w:lineRule="auto"/>
        <w:jc w:val="both"/>
        <w:outlineLvl w:val="0"/>
        <w:rPr>
          <w:rFonts w:ascii="Times New Roman" w:hAnsi="Times New Roman"/>
          <w:sz w:val="20"/>
          <w:szCs w:val="20"/>
        </w:rPr>
      </w:pPr>
      <w:r w:rsidRPr="000F7ED3">
        <w:rPr>
          <w:rFonts w:ascii="Times New Roman" w:hAnsi="Times New Roman"/>
          <w:sz w:val="20"/>
          <w:szCs w:val="20"/>
        </w:rPr>
        <w:t xml:space="preserve">Propolis is an important material, which is used by stingless bees to protect their hive and also to support their honey pot. The glue-like propolis is composed of various types of plant resins, waxes and pollens. Propolis contains a classification of chemical compounds, for example, polyphenols like flavonoid aglycones, phenolic acids and their esters, phenolic aldehydes, alcohols and ketones, sesquiterpene quinones, coumarins, steroids, amino acids and inorganic compounds. Moreover, propolis samples contain more than 160 constituents, and their structure contrasts incredibly because of the varieties of their topographical and natural birthplace [5-7]. The presence of different types of plants will also influence the types of physical and chemical properties in the propolis. </w:t>
      </w:r>
    </w:p>
    <w:p w:rsidR="000F7ED3" w:rsidRPr="000F7ED3" w:rsidRDefault="000F7ED3" w:rsidP="000F7ED3">
      <w:pPr>
        <w:spacing w:after="0" w:line="240" w:lineRule="auto"/>
        <w:jc w:val="both"/>
        <w:outlineLvl w:val="0"/>
        <w:rPr>
          <w:rFonts w:ascii="Times New Roman" w:hAnsi="Times New Roman"/>
          <w:sz w:val="20"/>
          <w:szCs w:val="20"/>
        </w:rPr>
      </w:pPr>
    </w:p>
    <w:p w:rsidR="000F7ED3" w:rsidRPr="000F7ED3" w:rsidRDefault="000F7ED3" w:rsidP="000F7ED3">
      <w:pPr>
        <w:spacing w:after="0" w:line="240" w:lineRule="auto"/>
        <w:jc w:val="both"/>
        <w:outlineLvl w:val="0"/>
        <w:rPr>
          <w:rFonts w:ascii="Times New Roman" w:hAnsi="Times New Roman"/>
          <w:sz w:val="20"/>
          <w:szCs w:val="20"/>
        </w:rPr>
      </w:pPr>
      <w:r w:rsidRPr="000F7ED3">
        <w:rPr>
          <w:rFonts w:ascii="Times New Roman" w:hAnsi="Times New Roman"/>
          <w:sz w:val="20"/>
          <w:szCs w:val="20"/>
        </w:rPr>
        <w:t xml:space="preserve">Malaysian stingless bees produce two types of propolis, the sticky and hard propolis. Figure 1 (a) and (b) shows the difference between sticky and hard propolis of stingless bees. The most common domesticated species in Malaysia are </w:t>
      </w:r>
      <w:r w:rsidRPr="000F7ED3">
        <w:rPr>
          <w:rFonts w:ascii="Times New Roman" w:hAnsi="Times New Roman"/>
          <w:i/>
          <w:sz w:val="20"/>
          <w:szCs w:val="20"/>
        </w:rPr>
        <w:t>Heterotrigona itama (H. itama)</w:t>
      </w:r>
      <w:r w:rsidRPr="000F7ED3">
        <w:rPr>
          <w:rFonts w:ascii="Times New Roman" w:hAnsi="Times New Roman"/>
          <w:sz w:val="20"/>
          <w:szCs w:val="20"/>
        </w:rPr>
        <w:t xml:space="preserve"> and </w:t>
      </w:r>
      <w:r w:rsidRPr="000F7ED3">
        <w:rPr>
          <w:rFonts w:ascii="Times New Roman" w:hAnsi="Times New Roman"/>
          <w:i/>
          <w:sz w:val="20"/>
          <w:szCs w:val="20"/>
        </w:rPr>
        <w:t>Geniotrigona thoracica (G. thoracica)</w:t>
      </w:r>
      <w:r w:rsidRPr="000F7ED3">
        <w:rPr>
          <w:rFonts w:ascii="Times New Roman" w:hAnsi="Times New Roman"/>
          <w:sz w:val="20"/>
          <w:szCs w:val="20"/>
        </w:rPr>
        <w:t xml:space="preserve"> producing sticky propolis. The stingless bees that produce hard propolis are </w:t>
      </w:r>
      <w:r w:rsidRPr="000F7ED3">
        <w:rPr>
          <w:rFonts w:ascii="Times New Roman" w:hAnsi="Times New Roman"/>
          <w:i/>
          <w:sz w:val="20"/>
          <w:szCs w:val="20"/>
        </w:rPr>
        <w:t>Homotrigona aliceae (H. aliceae), Homotrigona fimbriata (H. fimbriata), Tetrigona apicalis (T. apicalis), Tetrigona vidua (T. vidua), Tetrigona peninsularis (T. peninsularis), Lophotrigona canifrons (L. canifrons), Tetrigona melanoleuca (T. melanoleuca),</w:t>
      </w:r>
      <w:r w:rsidRPr="000F7ED3">
        <w:rPr>
          <w:rFonts w:ascii="Times New Roman" w:hAnsi="Times New Roman"/>
          <w:sz w:val="20"/>
          <w:szCs w:val="20"/>
        </w:rPr>
        <w:t xml:space="preserve"> and </w:t>
      </w:r>
      <w:r w:rsidRPr="000F7ED3">
        <w:rPr>
          <w:rFonts w:ascii="Times New Roman" w:hAnsi="Times New Roman"/>
          <w:i/>
          <w:sz w:val="20"/>
          <w:szCs w:val="20"/>
        </w:rPr>
        <w:t>Tetrogona binghami (T. binghami)</w:t>
      </w:r>
      <w:r w:rsidRPr="000F7ED3">
        <w:rPr>
          <w:rFonts w:ascii="Times New Roman" w:hAnsi="Times New Roman"/>
          <w:sz w:val="20"/>
          <w:szCs w:val="20"/>
        </w:rPr>
        <w:t xml:space="preserve"> (refer Table 1). </w:t>
      </w:r>
    </w:p>
    <w:p w:rsidR="000F7ED3" w:rsidRPr="000F7ED3" w:rsidRDefault="000F7ED3" w:rsidP="000F7ED3">
      <w:pPr>
        <w:spacing w:after="120" w:line="240" w:lineRule="auto"/>
        <w:jc w:val="both"/>
        <w:outlineLvl w:val="0"/>
        <w:rPr>
          <w:rFonts w:ascii="Times New Roman" w:hAnsi="Times New Roman"/>
          <w:sz w:val="20"/>
          <w:szCs w:val="20"/>
        </w:rPr>
      </w:pPr>
    </w:p>
    <w:p w:rsidR="000F7ED3" w:rsidRPr="000F7ED3" w:rsidRDefault="000F7ED3" w:rsidP="000F7ED3">
      <w:pPr>
        <w:spacing w:after="120" w:line="240" w:lineRule="auto"/>
        <w:jc w:val="center"/>
        <w:outlineLvl w:val="0"/>
        <w:rPr>
          <w:rFonts w:ascii="Times New Roman" w:hAnsi="Times New Roman"/>
          <w:sz w:val="20"/>
          <w:szCs w:val="20"/>
        </w:rPr>
      </w:pPr>
      <w:r w:rsidRPr="000F7ED3">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1BCE9D5A" wp14:editId="60773666">
                <wp:simplePos x="0" y="0"/>
                <wp:positionH relativeFrom="column">
                  <wp:posOffset>3070904</wp:posOffset>
                </wp:positionH>
                <wp:positionV relativeFrom="paragraph">
                  <wp:posOffset>41650</wp:posOffset>
                </wp:positionV>
                <wp:extent cx="369988" cy="258991"/>
                <wp:effectExtent l="0" t="0" r="0" b="0"/>
                <wp:wrapNone/>
                <wp:docPr id="6" name="Text Box 6"/>
                <wp:cNvGraphicFramePr/>
                <a:graphic xmlns:a="http://schemas.openxmlformats.org/drawingml/2006/main">
                  <a:graphicData uri="http://schemas.microsoft.com/office/word/2010/wordprocessingShape">
                    <wps:wsp>
                      <wps:cNvSpPr txBox="1"/>
                      <wps:spPr>
                        <a:xfrm>
                          <a:off x="0" y="0"/>
                          <a:ext cx="369988" cy="258991"/>
                        </a:xfrm>
                        <a:prstGeom prst="rect">
                          <a:avLst/>
                        </a:prstGeom>
                        <a:noFill/>
                        <a:ln w="6350">
                          <a:noFill/>
                        </a:ln>
                      </wps:spPr>
                      <wps:txbx>
                        <w:txbxContent>
                          <w:p w:rsidR="000F7ED3" w:rsidRPr="00830FB0" w:rsidRDefault="000F7ED3" w:rsidP="000F7ED3">
                            <w:pPr>
                              <w:rPr>
                                <w:rFonts w:ascii="Times New Roman" w:hAnsi="Times New Roman"/>
                                <w:b/>
                                <w:color w:val="FFFFFF" w:themeColor="background1"/>
                                <w:lang w:val="en-GB"/>
                              </w:rPr>
                            </w:pPr>
                            <w:r w:rsidRPr="00830FB0">
                              <w:rPr>
                                <w:rFonts w:ascii="Times New Roman" w:hAnsi="Times New Roman"/>
                                <w:b/>
                                <w:color w:val="FFFFFF" w:themeColor="background1"/>
                                <w:lang w:val="en-GB"/>
                              </w:rPr>
                              <w:t>(</w:t>
                            </w:r>
                            <w:r>
                              <w:rPr>
                                <w:rFonts w:ascii="Times New Roman" w:hAnsi="Times New Roman"/>
                                <w:b/>
                                <w:color w:val="FFFFFF" w:themeColor="background1"/>
                                <w:lang w:val="en-GB"/>
                              </w:rPr>
                              <w:t>b</w:t>
                            </w:r>
                            <w:r w:rsidRPr="00830FB0">
                              <w:rPr>
                                <w:rFonts w:ascii="Times New Roman" w:hAnsi="Times New Roman"/>
                                <w:b/>
                                <w:color w:val="FFFFFF" w:themeColor="background1"/>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o:spid="_x0000_s1027" type="#_x0000_t202" style="position:absolute;left:0;text-align:left;margin-left:241.8pt;margin-top:3.3pt;width:29.15pt;height:20.4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" filled="f" stroked="f" strokeweight=".5pt">
                <v:textbox>
                  <w:txbxContent>
                    <w:p w:rsidR="000F7ED3" w:rsidRPr="00830FB0" w:rsidRDefault="000F7ED3" w:rsidP="000F7ED3">
                      <w:pPr>
                        <w:rPr>
                          <w:rFonts w:ascii="Times New Roman" w:hAnsi="Times New Roman"/>
                          <w:b/>
                          <w:color w:val="FFFFFF" w:themeColor="background1"/>
                          <w:lang w:val="en-GB"/>
                        </w:rPr>
                      </w:pPr>
                      <w:r w:rsidRPr="00830FB0">
                        <w:rPr>
                          <w:rFonts w:ascii="Times New Roman" w:hAnsi="Times New Roman"/>
                          <w:b/>
                          <w:color w:val="FFFFFF" w:themeColor="background1"/>
                          <w:lang w:val="en-GB"/>
                        </w:rPr>
                        <w:t>(</w:t>
                      </w:r>
                      <w:r>
                        <w:rPr>
                          <w:rFonts w:ascii="Times New Roman" w:hAnsi="Times New Roman"/>
                          <w:b/>
                          <w:color w:val="FFFFFF" w:themeColor="background1"/>
                          <w:lang w:val="en-GB"/>
                        </w:rPr>
                        <w:t>b</w:t>
                      </w:r>
                      <w:r w:rsidRPr="00830FB0">
                        <w:rPr>
                          <w:rFonts w:ascii="Times New Roman" w:hAnsi="Times New Roman"/>
                          <w:b/>
                          <w:color w:val="FFFFFF" w:themeColor="background1"/>
                          <w:lang w:val="en-GB"/>
                        </w:rPr>
                        <w:t>)</w:t>
                      </w:r>
                    </w:p>
                  </w:txbxContent>
                </v:textbox>
              </v:shape>
            </w:pict>
          </mc:Fallback>
        </mc:AlternateContent>
      </w:r>
      <w:r w:rsidRPr="000F7ED3">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586EC371" wp14:editId="2C4C9E78">
                <wp:simplePos x="0" y="0"/>
                <wp:positionH relativeFrom="column">
                  <wp:posOffset>1125822</wp:posOffset>
                </wp:positionH>
                <wp:positionV relativeFrom="paragraph">
                  <wp:posOffset>41147</wp:posOffset>
                </wp:positionV>
                <wp:extent cx="369988" cy="258991"/>
                <wp:effectExtent l="0" t="0" r="0" b="0"/>
                <wp:wrapNone/>
                <wp:docPr id="5" name="Text Box 5"/>
                <wp:cNvGraphicFramePr/>
                <a:graphic xmlns:a="http://schemas.openxmlformats.org/drawingml/2006/main">
                  <a:graphicData uri="http://schemas.microsoft.com/office/word/2010/wordprocessingShape">
                    <wps:wsp>
                      <wps:cNvSpPr txBox="1"/>
                      <wps:spPr>
                        <a:xfrm>
                          <a:off x="0" y="0"/>
                          <a:ext cx="369988" cy="258991"/>
                        </a:xfrm>
                        <a:prstGeom prst="rect">
                          <a:avLst/>
                        </a:prstGeom>
                        <a:noFill/>
                        <a:ln w="6350">
                          <a:noFill/>
                        </a:ln>
                      </wps:spPr>
                      <wps:txbx>
                        <w:txbxContent>
                          <w:p w:rsidR="000F7ED3" w:rsidRPr="00830FB0" w:rsidRDefault="000F7ED3" w:rsidP="000F7ED3">
                            <w:pPr>
                              <w:rPr>
                                <w:rFonts w:ascii="Times New Roman" w:hAnsi="Times New Roman"/>
                                <w:b/>
                                <w:color w:val="FFFFFF" w:themeColor="background1"/>
                                <w:lang w:val="en-GB"/>
                              </w:rPr>
                            </w:pPr>
                            <w:r w:rsidRPr="00830FB0">
                              <w:rPr>
                                <w:rFonts w:ascii="Times New Roman" w:hAnsi="Times New Roman"/>
                                <w:b/>
                                <w:color w:val="FFFFFF" w:themeColor="background1"/>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 o:spid="_x0000_s1028" type="#_x0000_t202" style="position:absolute;left:0;text-align:left;margin-left:88.65pt;margin-top:3.25pt;width:29.15pt;height:20.4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" filled="f" stroked="f" strokeweight=".5pt">
                <v:textbox>
                  <w:txbxContent>
                    <w:p w:rsidR="000F7ED3" w:rsidRPr="00830FB0" w:rsidRDefault="000F7ED3" w:rsidP="000F7ED3">
                      <w:pPr>
                        <w:rPr>
                          <w:rFonts w:ascii="Times New Roman" w:hAnsi="Times New Roman"/>
                          <w:b/>
                          <w:color w:val="FFFFFF" w:themeColor="background1"/>
                          <w:lang w:val="en-GB"/>
                        </w:rPr>
                      </w:pPr>
                      <w:r w:rsidRPr="00830FB0">
                        <w:rPr>
                          <w:rFonts w:ascii="Times New Roman" w:hAnsi="Times New Roman"/>
                          <w:b/>
                          <w:color w:val="FFFFFF" w:themeColor="background1"/>
                          <w:lang w:val="en-GB"/>
                        </w:rPr>
                        <w:t>(a)</w:t>
                      </w:r>
                    </w:p>
                  </w:txbxContent>
                </v:textbox>
              </v:shape>
            </w:pict>
          </mc:Fallback>
        </mc:AlternateContent>
      </w:r>
      <w:r w:rsidRPr="000F7ED3">
        <w:rPr>
          <w:rFonts w:ascii="Times New Roman" w:hAnsi="Times New Roman"/>
          <w:noProof/>
          <w:sz w:val="20"/>
          <w:szCs w:val="20"/>
          <w:lang w:bidi="ar-SA"/>
        </w:rPr>
        <w:drawing>
          <wp:inline distT="0" distB="0" distL="0" distR="0" wp14:anchorId="126821F6" wp14:editId="3FEB8EF8">
            <wp:extent cx="1786515" cy="1716456"/>
            <wp:effectExtent l="0" t="0" r="4445" b="0"/>
            <wp:docPr id="7" name="Picture 7" descr="C:\Users\ASUS\Desktop\photo_2017-02-09_11-5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photo_2017-02-09_11-53-4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3023" cy="1722709"/>
                    </a:xfrm>
                    <a:prstGeom prst="rect">
                      <a:avLst/>
                    </a:prstGeom>
                    <a:noFill/>
                    <a:ln>
                      <a:noFill/>
                    </a:ln>
                  </pic:spPr>
                </pic:pic>
              </a:graphicData>
            </a:graphic>
          </wp:inline>
        </w:drawing>
      </w:r>
      <w:r w:rsidRPr="000F7ED3">
        <w:rPr>
          <w:rFonts w:ascii="Times New Roman" w:hAnsi="Times New Roman"/>
          <w:noProof/>
          <w:sz w:val="20"/>
          <w:szCs w:val="20"/>
          <w:lang w:bidi="ar-SA"/>
        </w:rPr>
        <w:drawing>
          <wp:inline distT="0" distB="0" distL="0" distR="0" wp14:anchorId="4AD88733" wp14:editId="6FC797D3">
            <wp:extent cx="1706737" cy="1706737"/>
            <wp:effectExtent l="0" t="0" r="8255" b="8255"/>
            <wp:docPr id="8" name="Picture 8" descr="C:\Users\ASUS\Desktop\photo_2017-02-09_11-5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photo_2017-02-09_11-53-2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366" cy="1714366"/>
                    </a:xfrm>
                    <a:prstGeom prst="rect">
                      <a:avLst/>
                    </a:prstGeom>
                    <a:noFill/>
                    <a:ln>
                      <a:noFill/>
                    </a:ln>
                  </pic:spPr>
                </pic:pic>
              </a:graphicData>
            </a:graphic>
          </wp:inline>
        </w:drawing>
      </w:r>
    </w:p>
    <w:p w:rsidR="000F7ED3" w:rsidRPr="000F7ED3" w:rsidRDefault="000F7ED3" w:rsidP="000F7ED3">
      <w:pPr>
        <w:spacing w:after="0" w:line="240" w:lineRule="auto"/>
        <w:jc w:val="center"/>
        <w:outlineLvl w:val="0"/>
        <w:rPr>
          <w:rFonts w:ascii="Times New Roman" w:hAnsi="Times New Roman"/>
          <w:sz w:val="20"/>
          <w:szCs w:val="20"/>
        </w:rPr>
      </w:pPr>
      <w:r w:rsidRPr="000F7ED3">
        <w:rPr>
          <w:rFonts w:ascii="Times New Roman" w:hAnsi="Times New Roman"/>
          <w:sz w:val="20"/>
          <w:szCs w:val="20"/>
        </w:rPr>
        <w:t>Figure 1.  Types of propolis (a) sticky propolis (b) hard propolis</w:t>
      </w:r>
    </w:p>
    <w:p w:rsidR="000F7ED3" w:rsidRPr="000F7ED3" w:rsidRDefault="000F7ED3" w:rsidP="000F7ED3">
      <w:pPr>
        <w:spacing w:after="120" w:line="240" w:lineRule="auto"/>
        <w:jc w:val="both"/>
        <w:outlineLvl w:val="0"/>
        <w:rPr>
          <w:rFonts w:ascii="Times New Roman" w:hAnsi="Times New Roman"/>
          <w:sz w:val="20"/>
          <w:szCs w:val="20"/>
        </w:rPr>
      </w:pPr>
    </w:p>
    <w:p w:rsidR="000F7ED3" w:rsidRPr="000F7ED3" w:rsidRDefault="000F7ED3" w:rsidP="000F7ED3">
      <w:pPr>
        <w:spacing w:after="0" w:line="240" w:lineRule="auto"/>
        <w:jc w:val="both"/>
        <w:outlineLvl w:val="0"/>
        <w:rPr>
          <w:rFonts w:ascii="Times New Roman" w:hAnsi="Times New Roman"/>
          <w:sz w:val="20"/>
          <w:szCs w:val="20"/>
        </w:rPr>
      </w:pPr>
      <w:r w:rsidRPr="000F7ED3">
        <w:rPr>
          <w:rFonts w:ascii="Times New Roman" w:hAnsi="Times New Roman"/>
          <w:sz w:val="20"/>
          <w:szCs w:val="20"/>
        </w:rPr>
        <w:t>Propolis was found to have different types of medicinal activities such as anti-septic, anti-bacterial, anti-cancer, anti-mycotic, anti-inflammatory, anti-protozoan, astringent, and anti-viral [8-10]. Consequently, propolis based health products are claimed to have high amount of nutrients and antioxidants and are beneficial for health and wellbeing. It is proposed that the propolis biological activities mainly depend on the presence of a large amount of flavonoids [8-10].</w:t>
      </w:r>
    </w:p>
    <w:p w:rsidR="000F7ED3" w:rsidRPr="000F7ED3" w:rsidRDefault="000F7ED3" w:rsidP="000F7ED3">
      <w:pPr>
        <w:spacing w:after="0" w:line="240" w:lineRule="auto"/>
        <w:jc w:val="both"/>
        <w:outlineLvl w:val="0"/>
        <w:rPr>
          <w:rFonts w:ascii="Times New Roman" w:hAnsi="Times New Roman"/>
          <w:sz w:val="20"/>
          <w:szCs w:val="20"/>
        </w:rPr>
      </w:pPr>
    </w:p>
    <w:p w:rsidR="000F7ED3" w:rsidRPr="000F7ED3" w:rsidRDefault="000F7ED3" w:rsidP="000F7ED3">
      <w:pPr>
        <w:spacing w:after="0" w:line="240" w:lineRule="auto"/>
        <w:jc w:val="both"/>
        <w:outlineLvl w:val="0"/>
        <w:rPr>
          <w:rFonts w:ascii="Times New Roman" w:hAnsi="Times New Roman"/>
          <w:sz w:val="20"/>
          <w:szCs w:val="20"/>
        </w:rPr>
      </w:pPr>
      <w:r w:rsidRPr="000F7ED3">
        <w:rPr>
          <w:rFonts w:ascii="Times New Roman" w:hAnsi="Times New Roman"/>
          <w:sz w:val="20"/>
          <w:szCs w:val="20"/>
        </w:rPr>
        <w:t xml:space="preserve">The biological activities of stingless bee propolis in Malaysia are not yet well studied. Some of activities, such as antioxidant properties have been found in the ethanolic extracts of propolis, and recently, </w:t>
      </w:r>
      <w:r w:rsidRPr="000F7ED3">
        <w:rPr>
          <w:rFonts w:ascii="Times New Roman" w:hAnsi="Times New Roman"/>
          <w:i/>
          <w:sz w:val="20"/>
          <w:szCs w:val="20"/>
        </w:rPr>
        <w:t>H. itama</w:t>
      </w:r>
      <w:r w:rsidRPr="000F7ED3">
        <w:rPr>
          <w:rFonts w:ascii="Times New Roman" w:hAnsi="Times New Roman"/>
          <w:sz w:val="20"/>
          <w:szCs w:val="20"/>
        </w:rPr>
        <w:t xml:space="preserve"> propolis was reported to have the highest inhibition percentage of anti-radical activity (DPPH), followed closely by </w:t>
      </w:r>
      <w:r w:rsidRPr="000F7ED3">
        <w:rPr>
          <w:rFonts w:ascii="Times New Roman" w:hAnsi="Times New Roman"/>
          <w:i/>
          <w:sz w:val="20"/>
          <w:szCs w:val="20"/>
        </w:rPr>
        <w:t>G. thoracica</w:t>
      </w:r>
      <w:r w:rsidRPr="000F7ED3">
        <w:rPr>
          <w:rFonts w:ascii="Times New Roman" w:hAnsi="Times New Roman"/>
          <w:sz w:val="20"/>
          <w:szCs w:val="20"/>
        </w:rPr>
        <w:t xml:space="preserve"> propolis [11]. At present, hardly any available literature reports the studies on the antioxidant property or chemical </w:t>
      </w:r>
      <w:r w:rsidRPr="000F7ED3">
        <w:rPr>
          <w:rFonts w:ascii="Times New Roman" w:hAnsi="Times New Roman"/>
          <w:sz w:val="20"/>
          <w:szCs w:val="20"/>
        </w:rPr>
        <w:lastRenderedPageBreak/>
        <w:t>constituents of hard propolis. Therefore, this study was conducted to initiate the screening of nutraceutical properties of sticky and hard propolis from the different stingless bees’ species in Malaysia.</w:t>
      </w:r>
    </w:p>
    <w:p w:rsidR="000F7ED3" w:rsidRPr="000F7ED3" w:rsidRDefault="000F7ED3" w:rsidP="000F7ED3">
      <w:pPr>
        <w:spacing w:after="0" w:line="240" w:lineRule="auto"/>
        <w:jc w:val="both"/>
        <w:outlineLvl w:val="0"/>
        <w:rPr>
          <w:rFonts w:ascii="Times New Roman" w:hAnsi="Times New Roman"/>
          <w:sz w:val="20"/>
          <w:szCs w:val="20"/>
        </w:rPr>
      </w:pPr>
    </w:p>
    <w:p w:rsidR="000F7ED3" w:rsidRPr="000F7ED3" w:rsidRDefault="000F7ED3" w:rsidP="000F7ED3">
      <w:pPr>
        <w:spacing w:after="0" w:line="240" w:lineRule="auto"/>
        <w:jc w:val="both"/>
        <w:outlineLvl w:val="0"/>
        <w:rPr>
          <w:rFonts w:ascii="Times New Roman" w:hAnsi="Times New Roman"/>
          <w:sz w:val="20"/>
          <w:szCs w:val="20"/>
        </w:rPr>
      </w:pPr>
      <w:r w:rsidRPr="000F7ED3">
        <w:rPr>
          <w:rFonts w:ascii="Times New Roman" w:hAnsi="Times New Roman"/>
          <w:sz w:val="20"/>
          <w:szCs w:val="20"/>
        </w:rPr>
        <w:t>In this study, the scavenging of diphenyl picrylhydrazyl (DPPH) was conducted through colorimetric method for determining free radical-scavenging activity. The aluminium nitrate method was conducted to identify the total flavonoid content, and the Folin-Ciocalteu method was used to determine the total phenolic content. It is expected that there will be variations in the nutraceutical values of the propolis from different species of stingless bees.</w:t>
      </w:r>
    </w:p>
    <w:p w:rsidR="000F7ED3" w:rsidRPr="000F7ED3" w:rsidRDefault="000F7ED3" w:rsidP="000F7ED3">
      <w:pPr>
        <w:spacing w:after="0" w:line="240" w:lineRule="auto"/>
        <w:jc w:val="center"/>
        <w:outlineLvl w:val="0"/>
        <w:rPr>
          <w:rFonts w:ascii="Times New Roman" w:hAnsi="Times New Roman"/>
          <w:sz w:val="20"/>
          <w:szCs w:val="20"/>
        </w:rPr>
      </w:pPr>
    </w:p>
    <w:p w:rsidR="000F7ED3" w:rsidRPr="000F7ED3" w:rsidRDefault="000F7ED3" w:rsidP="000F7ED3">
      <w:pPr>
        <w:spacing w:after="0" w:line="240" w:lineRule="auto"/>
        <w:jc w:val="center"/>
        <w:outlineLvl w:val="0"/>
        <w:rPr>
          <w:rFonts w:ascii="Times New Roman" w:hAnsi="Times New Roman"/>
          <w:b/>
          <w:sz w:val="20"/>
          <w:szCs w:val="20"/>
        </w:rPr>
      </w:pPr>
      <w:r w:rsidRPr="000F7ED3">
        <w:rPr>
          <w:rFonts w:ascii="Times New Roman" w:hAnsi="Times New Roman"/>
          <w:b/>
          <w:sz w:val="20"/>
          <w:szCs w:val="20"/>
        </w:rPr>
        <w:t>Materials and Methods</w:t>
      </w:r>
    </w:p>
    <w:p w:rsidR="000F7ED3" w:rsidRPr="000F7ED3" w:rsidRDefault="000F7ED3" w:rsidP="000F7ED3">
      <w:pPr>
        <w:spacing w:after="0" w:line="240" w:lineRule="auto"/>
        <w:jc w:val="both"/>
        <w:outlineLvl w:val="0"/>
        <w:rPr>
          <w:rFonts w:ascii="Times New Roman" w:hAnsi="Times New Roman"/>
          <w:sz w:val="20"/>
          <w:szCs w:val="20"/>
        </w:rPr>
      </w:pPr>
      <w:r w:rsidRPr="000F7ED3">
        <w:rPr>
          <w:rFonts w:ascii="Times New Roman" w:hAnsi="Times New Roman"/>
          <w:b/>
          <w:sz w:val="20"/>
          <w:szCs w:val="20"/>
        </w:rPr>
        <w:t>Chemicals and reagents</w:t>
      </w:r>
    </w:p>
    <w:p w:rsidR="000F7ED3" w:rsidRPr="000F7ED3" w:rsidRDefault="000F7ED3" w:rsidP="000F7ED3">
      <w:pPr>
        <w:spacing w:after="0" w:line="240" w:lineRule="auto"/>
        <w:jc w:val="both"/>
        <w:outlineLvl w:val="0"/>
        <w:rPr>
          <w:rFonts w:ascii="Times New Roman" w:hAnsi="Times New Roman"/>
          <w:sz w:val="20"/>
          <w:szCs w:val="20"/>
        </w:rPr>
      </w:pPr>
      <w:r w:rsidRPr="000F7ED3">
        <w:rPr>
          <w:rFonts w:ascii="Times New Roman" w:hAnsi="Times New Roman"/>
          <w:sz w:val="20"/>
          <w:szCs w:val="20"/>
        </w:rPr>
        <w:t>Aluminium chloride (AlCl</w:t>
      </w:r>
      <w:r w:rsidRPr="000F7ED3">
        <w:rPr>
          <w:rFonts w:ascii="Times New Roman" w:hAnsi="Times New Roman"/>
          <w:sz w:val="20"/>
          <w:szCs w:val="20"/>
          <w:vertAlign w:val="subscript"/>
        </w:rPr>
        <w:t>3</w:t>
      </w:r>
      <w:r w:rsidRPr="000F7ED3">
        <w:rPr>
          <w:rFonts w:ascii="Times New Roman" w:hAnsi="Times New Roman"/>
          <w:sz w:val="20"/>
          <w:szCs w:val="20"/>
        </w:rPr>
        <w:t>) and all solvents were purchased from Merck, Germany. 1,1-diphenyl-2-picrylhydrazyl (DPPH) and Folin Ciocalteu’s reagent were purchased from Sigma-Aldrich, USA. All chemicals and reagents used were analytical grade.</w:t>
      </w:r>
    </w:p>
    <w:p w:rsidR="000F7ED3" w:rsidRPr="000F7ED3" w:rsidRDefault="000F7ED3" w:rsidP="000F7ED3">
      <w:pPr>
        <w:spacing w:after="0" w:line="240" w:lineRule="auto"/>
        <w:jc w:val="both"/>
        <w:outlineLvl w:val="0"/>
        <w:rPr>
          <w:rFonts w:ascii="Times New Roman" w:hAnsi="Times New Roman"/>
          <w:sz w:val="20"/>
          <w:szCs w:val="20"/>
        </w:rPr>
      </w:pPr>
    </w:p>
    <w:p w:rsidR="000F7ED3" w:rsidRPr="000F7ED3" w:rsidRDefault="000F7ED3" w:rsidP="000F7ED3">
      <w:pPr>
        <w:spacing w:after="0" w:line="240" w:lineRule="auto"/>
        <w:jc w:val="both"/>
        <w:outlineLvl w:val="0"/>
        <w:rPr>
          <w:rFonts w:ascii="Times New Roman" w:hAnsi="Times New Roman"/>
          <w:sz w:val="20"/>
          <w:szCs w:val="20"/>
        </w:rPr>
      </w:pPr>
      <w:r w:rsidRPr="000F7ED3">
        <w:rPr>
          <w:rFonts w:ascii="Times New Roman" w:hAnsi="Times New Roman"/>
          <w:b/>
          <w:sz w:val="20"/>
          <w:szCs w:val="20"/>
        </w:rPr>
        <w:t>Collection and preparation of propolis</w:t>
      </w:r>
    </w:p>
    <w:p w:rsidR="000F7ED3" w:rsidRPr="000F7ED3" w:rsidRDefault="000F7ED3" w:rsidP="000F7ED3">
      <w:pPr>
        <w:spacing w:after="0" w:line="240" w:lineRule="auto"/>
        <w:jc w:val="both"/>
        <w:outlineLvl w:val="0"/>
        <w:rPr>
          <w:rFonts w:ascii="Times New Roman" w:hAnsi="Times New Roman"/>
          <w:sz w:val="20"/>
          <w:szCs w:val="20"/>
        </w:rPr>
      </w:pPr>
      <w:r w:rsidRPr="000F7ED3">
        <w:rPr>
          <w:rFonts w:ascii="Times New Roman" w:hAnsi="Times New Roman"/>
          <w:sz w:val="20"/>
          <w:szCs w:val="20"/>
        </w:rPr>
        <w:t>The propolis samples from ten species of Indo-Malayan stingless bees collected from Taman Pertanian Sekayu, Terengganu in April 2016. Each sample was freezing in -10 ºC, then ground to powder and kept desiccated up to their processing.</w:t>
      </w:r>
    </w:p>
    <w:p w:rsidR="000F7ED3" w:rsidRPr="000F7ED3" w:rsidRDefault="000F7ED3" w:rsidP="000F7ED3">
      <w:pPr>
        <w:spacing w:after="0" w:line="240" w:lineRule="auto"/>
        <w:jc w:val="both"/>
        <w:outlineLvl w:val="0"/>
        <w:rPr>
          <w:rFonts w:ascii="Times New Roman" w:hAnsi="Times New Roman"/>
          <w:sz w:val="20"/>
          <w:szCs w:val="20"/>
        </w:rPr>
      </w:pPr>
    </w:p>
    <w:p w:rsidR="000F7ED3" w:rsidRPr="000F7ED3" w:rsidRDefault="000F7ED3" w:rsidP="000F7ED3">
      <w:pPr>
        <w:spacing w:after="0" w:line="240" w:lineRule="auto"/>
        <w:jc w:val="both"/>
        <w:outlineLvl w:val="0"/>
        <w:rPr>
          <w:rFonts w:ascii="Times New Roman" w:hAnsi="Times New Roman"/>
          <w:sz w:val="20"/>
          <w:szCs w:val="20"/>
        </w:rPr>
      </w:pPr>
      <w:r w:rsidRPr="000F7ED3">
        <w:rPr>
          <w:rFonts w:ascii="Times New Roman" w:hAnsi="Times New Roman"/>
          <w:b/>
          <w:sz w:val="20"/>
          <w:szCs w:val="20"/>
        </w:rPr>
        <w:t>Extraction</w:t>
      </w:r>
    </w:p>
    <w:p w:rsidR="000F7ED3" w:rsidRPr="000F7ED3" w:rsidRDefault="000F7ED3" w:rsidP="000F7ED3">
      <w:pPr>
        <w:spacing w:after="0" w:line="240" w:lineRule="auto"/>
        <w:jc w:val="both"/>
        <w:outlineLvl w:val="0"/>
        <w:rPr>
          <w:rFonts w:ascii="Times New Roman" w:hAnsi="Times New Roman"/>
          <w:sz w:val="20"/>
          <w:szCs w:val="20"/>
        </w:rPr>
      </w:pPr>
      <w:r w:rsidRPr="000F7ED3">
        <w:rPr>
          <w:rFonts w:ascii="Times New Roman" w:hAnsi="Times New Roman"/>
          <w:sz w:val="20"/>
          <w:szCs w:val="20"/>
        </w:rPr>
        <w:t>Crude propolis (10 g) was extracted with 70% ethanol (100 ml) through mixing for 24 hours at room temperature. The crude extract was recovered by centrifugation at 27 000 x g for 20 minutes. The insoluble portion was then separated by filtration using filter paper and the filtrates were kept in a freezer at -10 ᵒC overnight. Then, they are filtered again to reduce the wax content of the extracts. The solvent was evaporated off in a vacuum oven at a temperature of 60 ᵒC to obtain dry ethanolic extract.</w:t>
      </w:r>
    </w:p>
    <w:p w:rsidR="000F7ED3" w:rsidRPr="000F7ED3" w:rsidRDefault="000F7ED3" w:rsidP="000F7ED3">
      <w:pPr>
        <w:spacing w:after="0" w:line="240" w:lineRule="auto"/>
        <w:jc w:val="both"/>
        <w:outlineLvl w:val="0"/>
        <w:rPr>
          <w:rFonts w:ascii="Times New Roman" w:hAnsi="Times New Roman"/>
          <w:sz w:val="20"/>
          <w:szCs w:val="20"/>
        </w:rPr>
      </w:pPr>
    </w:p>
    <w:p w:rsidR="000F7ED3" w:rsidRPr="000F7ED3" w:rsidRDefault="000F7ED3" w:rsidP="000F7ED3">
      <w:pPr>
        <w:spacing w:after="0" w:line="240" w:lineRule="auto"/>
        <w:jc w:val="both"/>
        <w:outlineLvl w:val="0"/>
        <w:rPr>
          <w:rFonts w:ascii="Times New Roman" w:hAnsi="Times New Roman"/>
          <w:sz w:val="20"/>
          <w:szCs w:val="20"/>
        </w:rPr>
      </w:pPr>
      <w:r w:rsidRPr="000F7ED3">
        <w:rPr>
          <w:rFonts w:ascii="Times New Roman" w:hAnsi="Times New Roman"/>
          <w:b/>
          <w:sz w:val="20"/>
          <w:szCs w:val="20"/>
        </w:rPr>
        <w:t>Preparation of standard solution</w:t>
      </w:r>
    </w:p>
    <w:p w:rsidR="000F7ED3" w:rsidRPr="000F7ED3" w:rsidRDefault="000F7ED3" w:rsidP="000F7ED3">
      <w:pPr>
        <w:spacing w:after="0" w:line="240" w:lineRule="auto"/>
        <w:jc w:val="both"/>
        <w:outlineLvl w:val="0"/>
        <w:rPr>
          <w:rFonts w:ascii="Times New Roman" w:hAnsi="Times New Roman"/>
          <w:sz w:val="20"/>
          <w:szCs w:val="20"/>
        </w:rPr>
      </w:pPr>
      <w:r w:rsidRPr="000F7ED3">
        <w:rPr>
          <w:rFonts w:ascii="Times New Roman" w:hAnsi="Times New Roman"/>
          <w:sz w:val="20"/>
          <w:szCs w:val="20"/>
        </w:rPr>
        <w:t>Gallic acid and Quercetin 10 mg were accurately weighed into a 10 ml volumetric flask, and were dissolved in 10 ml ethanol. The solution was made up to 10 ml with the same solvent [1 mg/ml].</w:t>
      </w:r>
    </w:p>
    <w:p w:rsidR="000F7ED3" w:rsidRPr="000F7ED3" w:rsidRDefault="000F7ED3" w:rsidP="000F7ED3">
      <w:pPr>
        <w:spacing w:after="0" w:line="240" w:lineRule="auto"/>
        <w:jc w:val="both"/>
        <w:outlineLvl w:val="0"/>
        <w:rPr>
          <w:rFonts w:ascii="Times New Roman" w:hAnsi="Times New Roman"/>
          <w:sz w:val="20"/>
          <w:szCs w:val="20"/>
        </w:rPr>
      </w:pPr>
    </w:p>
    <w:p w:rsidR="000F7ED3" w:rsidRPr="000F7ED3" w:rsidRDefault="000F7ED3" w:rsidP="000F7ED3">
      <w:pPr>
        <w:spacing w:after="0" w:line="240" w:lineRule="auto"/>
        <w:jc w:val="both"/>
        <w:outlineLvl w:val="0"/>
        <w:rPr>
          <w:rFonts w:ascii="Times New Roman" w:hAnsi="Times New Roman"/>
          <w:sz w:val="20"/>
          <w:szCs w:val="20"/>
        </w:rPr>
      </w:pPr>
      <w:r w:rsidRPr="000F7ED3">
        <w:rPr>
          <w:rFonts w:ascii="Times New Roman" w:hAnsi="Times New Roman"/>
          <w:b/>
          <w:sz w:val="20"/>
          <w:szCs w:val="20"/>
        </w:rPr>
        <w:t>Determination of total phenolic content</w:t>
      </w:r>
    </w:p>
    <w:p w:rsidR="000F7ED3" w:rsidRPr="000F7ED3" w:rsidRDefault="000F7ED3" w:rsidP="000F7ED3">
      <w:pPr>
        <w:spacing w:after="0" w:line="240" w:lineRule="auto"/>
        <w:jc w:val="both"/>
        <w:outlineLvl w:val="0"/>
        <w:rPr>
          <w:rFonts w:ascii="Times New Roman" w:hAnsi="Times New Roman"/>
          <w:sz w:val="20"/>
          <w:szCs w:val="20"/>
        </w:rPr>
      </w:pPr>
      <w:r w:rsidRPr="000F7ED3">
        <w:rPr>
          <w:rFonts w:ascii="Times New Roman" w:hAnsi="Times New Roman"/>
          <w:sz w:val="20"/>
          <w:szCs w:val="20"/>
        </w:rPr>
        <w:t>Total Phenolic Content (TPC) in EEP were determined according to the Folin-Ciocalteu colorimetric method [12-13]. Gallic acid was used as a standard, and the total phenolics were expressed as mg/g Gallic Acid equivalents (GAE). Consequently, 1 ml of standard solution of concentration 1.95, 3.9, 7.8, 15.63, 31.25 and 62.5 mg/ml of gallic acid were prepared in ethanol. 1 mg/ml propolis extracts with concentration of 1:10 (0.1) were also prepared in ethanol and 0.5 ml of each sample were introduced into the test tubes and mixed with 0.5 ml of the Folin-Ciocalteu reagent and 0.5 ml of 7.5% sodium carbonate, Na</w:t>
      </w:r>
      <w:r w:rsidRPr="000F7ED3">
        <w:rPr>
          <w:rFonts w:ascii="Times New Roman" w:hAnsi="Times New Roman"/>
          <w:sz w:val="20"/>
          <w:szCs w:val="20"/>
          <w:vertAlign w:val="subscript"/>
        </w:rPr>
        <w:t>2</w:t>
      </w:r>
      <w:r w:rsidRPr="000F7ED3">
        <w:rPr>
          <w:rFonts w:ascii="Times New Roman" w:hAnsi="Times New Roman"/>
          <w:sz w:val="20"/>
          <w:szCs w:val="20"/>
        </w:rPr>
        <w:t>CO</w:t>
      </w:r>
      <w:r w:rsidRPr="000F7ED3">
        <w:rPr>
          <w:rFonts w:ascii="Times New Roman" w:hAnsi="Times New Roman"/>
          <w:sz w:val="20"/>
          <w:szCs w:val="20"/>
          <w:vertAlign w:val="subscript"/>
        </w:rPr>
        <w:t>3</w:t>
      </w:r>
      <w:r w:rsidRPr="000F7ED3">
        <w:rPr>
          <w:rFonts w:ascii="Times New Roman" w:hAnsi="Times New Roman"/>
          <w:sz w:val="20"/>
          <w:szCs w:val="20"/>
        </w:rPr>
        <w:t>. The absorbance was read at 760 nm after 2 hours of incubation in the dark at room temperature.</w:t>
      </w:r>
    </w:p>
    <w:p w:rsidR="000F7ED3" w:rsidRPr="000F7ED3" w:rsidRDefault="000F7ED3" w:rsidP="000F7ED3">
      <w:pPr>
        <w:spacing w:after="0" w:line="240" w:lineRule="auto"/>
        <w:jc w:val="both"/>
        <w:outlineLvl w:val="0"/>
        <w:rPr>
          <w:rFonts w:ascii="Times New Roman" w:hAnsi="Times New Roman"/>
          <w:sz w:val="20"/>
          <w:szCs w:val="20"/>
        </w:rPr>
      </w:pPr>
    </w:p>
    <w:p w:rsidR="000F7ED3" w:rsidRPr="000F7ED3" w:rsidRDefault="000F7ED3" w:rsidP="000F7ED3">
      <w:pPr>
        <w:spacing w:after="0" w:line="240" w:lineRule="auto"/>
        <w:jc w:val="both"/>
        <w:outlineLvl w:val="0"/>
        <w:rPr>
          <w:rFonts w:ascii="Times New Roman" w:hAnsi="Times New Roman"/>
          <w:sz w:val="20"/>
          <w:szCs w:val="20"/>
        </w:rPr>
      </w:pPr>
      <w:r w:rsidRPr="000F7ED3">
        <w:rPr>
          <w:rFonts w:ascii="Times New Roman" w:hAnsi="Times New Roman"/>
          <w:b/>
          <w:sz w:val="20"/>
          <w:szCs w:val="20"/>
        </w:rPr>
        <w:t xml:space="preserve">Determination of total </w:t>
      </w:r>
      <w:bookmarkStart w:id="0" w:name="_Hlk526273654"/>
      <w:r w:rsidRPr="000F7ED3">
        <w:rPr>
          <w:rFonts w:ascii="Times New Roman" w:hAnsi="Times New Roman"/>
          <w:b/>
          <w:sz w:val="20"/>
          <w:szCs w:val="20"/>
        </w:rPr>
        <w:t>flavonoids content</w:t>
      </w:r>
      <w:bookmarkEnd w:id="0"/>
    </w:p>
    <w:p w:rsidR="000F7ED3" w:rsidRPr="000F7ED3" w:rsidRDefault="000F7ED3" w:rsidP="000F7ED3">
      <w:pPr>
        <w:spacing w:after="0" w:line="240" w:lineRule="auto"/>
        <w:jc w:val="both"/>
        <w:outlineLvl w:val="0"/>
        <w:rPr>
          <w:rFonts w:ascii="Times New Roman" w:hAnsi="Times New Roman"/>
          <w:sz w:val="20"/>
          <w:szCs w:val="20"/>
        </w:rPr>
      </w:pPr>
      <w:r w:rsidRPr="000F7ED3">
        <w:rPr>
          <w:rFonts w:ascii="Times New Roman" w:hAnsi="Times New Roman"/>
          <w:sz w:val="20"/>
          <w:szCs w:val="20"/>
        </w:rPr>
        <w:t>Aluminium chloride method was used for flavonoids determination. In this method, Quercetin was used as standard and flavonoid contents were measured as Quercetin equivalent. 1 ml of standard solution of concentration 1.95, 3.9, 7.8, 15.63, 31.25, 62.5 and 125 mg/ml of Quercetin were prepared in ethanol. 1 mg/ml of propolis extracts, with the concentration of 1:10 (0.1) were also prepared in ethanol and 0.5 ml of each sample were introduced into the test tubes and mixed with 0.5 ml of fresh 2% of Aluminium chloride, AlCl</w:t>
      </w:r>
      <w:r w:rsidRPr="000F7ED3">
        <w:rPr>
          <w:rFonts w:ascii="Times New Roman" w:hAnsi="Times New Roman"/>
          <w:sz w:val="20"/>
          <w:szCs w:val="20"/>
          <w:vertAlign w:val="subscript"/>
        </w:rPr>
        <w:t>3</w:t>
      </w:r>
      <w:r w:rsidRPr="000F7ED3">
        <w:rPr>
          <w:rFonts w:ascii="Times New Roman" w:hAnsi="Times New Roman"/>
          <w:sz w:val="20"/>
          <w:szCs w:val="20"/>
        </w:rPr>
        <w:t xml:space="preserve"> ethanol solution. After being placed in the dark at room temperature for one hour, the absorbance was measured at 420 nm [14].</w:t>
      </w:r>
    </w:p>
    <w:p w:rsidR="000F7ED3" w:rsidRPr="000F7ED3" w:rsidRDefault="000F7ED3" w:rsidP="000F7ED3">
      <w:pPr>
        <w:spacing w:after="0" w:line="240" w:lineRule="auto"/>
        <w:jc w:val="both"/>
        <w:outlineLvl w:val="0"/>
        <w:rPr>
          <w:rFonts w:ascii="Times New Roman" w:hAnsi="Times New Roman"/>
          <w:sz w:val="20"/>
          <w:szCs w:val="20"/>
        </w:rPr>
      </w:pPr>
    </w:p>
    <w:p w:rsidR="000F7ED3" w:rsidRPr="000F7ED3" w:rsidRDefault="000F7ED3" w:rsidP="000F7ED3">
      <w:pPr>
        <w:spacing w:after="0" w:line="240" w:lineRule="auto"/>
        <w:jc w:val="both"/>
        <w:outlineLvl w:val="0"/>
        <w:rPr>
          <w:rFonts w:ascii="Times New Roman" w:hAnsi="Times New Roman"/>
          <w:sz w:val="20"/>
          <w:szCs w:val="20"/>
        </w:rPr>
      </w:pPr>
      <w:r w:rsidRPr="000F7ED3">
        <w:rPr>
          <w:rFonts w:ascii="Times New Roman" w:hAnsi="Times New Roman"/>
          <w:b/>
          <w:sz w:val="20"/>
          <w:szCs w:val="20"/>
        </w:rPr>
        <w:t>DPPH radical scavenging activity</w:t>
      </w:r>
    </w:p>
    <w:p w:rsidR="000F7ED3" w:rsidRPr="000F7ED3" w:rsidRDefault="000F7ED3" w:rsidP="000F7ED3">
      <w:pPr>
        <w:spacing w:after="0" w:line="240" w:lineRule="auto"/>
        <w:jc w:val="both"/>
        <w:outlineLvl w:val="0"/>
        <w:rPr>
          <w:rFonts w:ascii="Times New Roman" w:hAnsi="Times New Roman"/>
          <w:sz w:val="20"/>
          <w:szCs w:val="20"/>
        </w:rPr>
      </w:pPr>
      <w:r w:rsidRPr="000F7ED3">
        <w:rPr>
          <w:rFonts w:ascii="Times New Roman" w:hAnsi="Times New Roman"/>
          <w:sz w:val="20"/>
          <w:szCs w:val="20"/>
        </w:rPr>
        <w:t xml:space="preserve">The DPPH free radical scavenging activity was evaluated using Blois method with slight modification [15]. The DPPH solution (0.2 mM) was prepared in methanol and 100 µl to 100 µl of the sample extracts, 5.0, 2.5, 1.25, 0.6, 0.3, 0.16, 0.08, 0.04, 0.02, 0.01, 0.005 (mg/ml). The resulting extracts solutions were kept at room temperature in a dark place for 30 minutes. The absorbance was measured at 515 nm. Moreover, the radical scavenging activity was </w:t>
      </w:r>
      <w:r w:rsidRPr="000F7ED3">
        <w:rPr>
          <w:rFonts w:ascii="Times New Roman" w:hAnsi="Times New Roman"/>
          <w:sz w:val="20"/>
          <w:szCs w:val="20"/>
        </w:rPr>
        <w:lastRenderedPageBreak/>
        <w:t xml:space="preserve">expressed as the inhibition percentage, and was calculated using the following formula, while Ascorbic acid was used as a positive control: </w:t>
      </w:r>
    </w:p>
    <w:p w:rsidR="000F7ED3" w:rsidRPr="000F7ED3" w:rsidRDefault="000F7ED3" w:rsidP="000F7ED3">
      <w:pPr>
        <w:spacing w:after="0" w:line="240" w:lineRule="auto"/>
        <w:jc w:val="both"/>
        <w:outlineLvl w:val="0"/>
        <w:rPr>
          <w:rFonts w:ascii="Times New Roman" w:hAnsi="Times New Roman"/>
          <w:sz w:val="20"/>
          <w:szCs w:val="20"/>
        </w:rPr>
      </w:pPr>
    </w:p>
    <w:p w:rsidR="000F7ED3" w:rsidRPr="000F7ED3" w:rsidRDefault="000F7ED3" w:rsidP="000F7ED3">
      <w:pPr>
        <w:spacing w:after="0" w:line="240" w:lineRule="auto"/>
        <w:outlineLvl w:val="0"/>
        <w:rPr>
          <w:rFonts w:ascii="Times New Roman" w:hAnsi="Times New Roman"/>
          <w:sz w:val="20"/>
          <w:szCs w:val="20"/>
        </w:rPr>
      </w:pPr>
      <w:r w:rsidRPr="000F7ED3">
        <w:rPr>
          <w:rFonts w:ascii="Times New Roman" w:hAnsi="Times New Roman"/>
          <w:sz w:val="20"/>
          <w:szCs w:val="20"/>
        </w:rPr>
        <w:t xml:space="preserve">             %Radical scavenging activity = [(Abs Control – Abs Sample)/ (Abs Control] x 100%                    </w:t>
      </w:r>
      <w:r>
        <w:rPr>
          <w:rFonts w:ascii="Times New Roman" w:hAnsi="Times New Roman"/>
          <w:sz w:val="20"/>
          <w:szCs w:val="20"/>
        </w:rPr>
        <w:t xml:space="preserve">            </w:t>
      </w:r>
      <w:r w:rsidRPr="000F7ED3">
        <w:rPr>
          <w:rFonts w:ascii="Times New Roman" w:hAnsi="Times New Roman"/>
          <w:sz w:val="20"/>
          <w:szCs w:val="20"/>
        </w:rPr>
        <w:t>(1)</w:t>
      </w:r>
    </w:p>
    <w:p w:rsidR="006768E9" w:rsidRDefault="006768E9" w:rsidP="00BA1F7B">
      <w:pPr>
        <w:spacing w:after="0" w:line="240" w:lineRule="auto"/>
        <w:jc w:val="center"/>
        <w:rPr>
          <w:rFonts w:ascii="Times New Roman" w:hAnsi="Times New Roman"/>
          <w:b/>
          <w:sz w:val="20"/>
          <w:szCs w:val="20"/>
        </w:rPr>
      </w:pPr>
    </w:p>
    <w:p w:rsidR="009E6FB7" w:rsidRPr="00F447A7" w:rsidRDefault="009E6FB7"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0F7ED3" w:rsidRPr="000F7ED3" w:rsidRDefault="000F7ED3" w:rsidP="000F7ED3">
      <w:pPr>
        <w:spacing w:after="0" w:line="240" w:lineRule="auto"/>
        <w:jc w:val="both"/>
        <w:outlineLvl w:val="0"/>
        <w:rPr>
          <w:rFonts w:ascii="Times New Roman" w:hAnsi="Times New Roman"/>
          <w:b/>
          <w:sz w:val="20"/>
          <w:szCs w:val="20"/>
        </w:rPr>
      </w:pPr>
      <w:r w:rsidRPr="000F7ED3">
        <w:rPr>
          <w:rFonts w:ascii="Times New Roman" w:hAnsi="Times New Roman"/>
          <w:b/>
          <w:sz w:val="20"/>
          <w:szCs w:val="20"/>
        </w:rPr>
        <w:t xml:space="preserve">Physical evaluation of 10 species of Indo-Malayan stingless bees </w:t>
      </w:r>
    </w:p>
    <w:p w:rsidR="000F7ED3" w:rsidRPr="000F7ED3" w:rsidRDefault="000F7ED3" w:rsidP="000F7ED3">
      <w:pPr>
        <w:spacing w:after="0" w:line="240" w:lineRule="auto"/>
        <w:jc w:val="both"/>
        <w:outlineLvl w:val="0"/>
        <w:rPr>
          <w:rFonts w:ascii="Times New Roman" w:hAnsi="Times New Roman"/>
          <w:sz w:val="20"/>
          <w:szCs w:val="20"/>
        </w:rPr>
      </w:pPr>
      <w:r w:rsidRPr="000F7ED3">
        <w:rPr>
          <w:rFonts w:ascii="Times New Roman" w:hAnsi="Times New Roman"/>
          <w:sz w:val="20"/>
          <w:szCs w:val="20"/>
        </w:rPr>
        <w:t>Stingless bees produce propolis as part of their defense system to protect their hives from invaders and microbial attacks. In this study, propolis produced by 10 species of stingless bees were collected and each different species of stingless bee has different physical attributes, such as their types of propolis base. Table 1 shows the different species of Indo-Malayan stingless bees propolis and their propolis physical base.</w:t>
      </w:r>
    </w:p>
    <w:p w:rsidR="000F7ED3" w:rsidRDefault="000F7ED3" w:rsidP="009E6FB7">
      <w:pPr>
        <w:spacing w:after="0" w:line="240" w:lineRule="auto"/>
        <w:jc w:val="both"/>
        <w:outlineLvl w:val="0"/>
        <w:rPr>
          <w:rFonts w:ascii="Times New Roman" w:hAnsi="Times New Roman"/>
          <w:sz w:val="20"/>
          <w:szCs w:val="20"/>
        </w:rPr>
      </w:pPr>
    </w:p>
    <w:p w:rsidR="009E6FB7" w:rsidRPr="000F7ED3" w:rsidRDefault="009E6FB7" w:rsidP="009E6FB7">
      <w:pPr>
        <w:spacing w:after="0" w:line="240" w:lineRule="auto"/>
        <w:jc w:val="both"/>
        <w:outlineLvl w:val="0"/>
        <w:rPr>
          <w:rFonts w:ascii="Times New Roman" w:hAnsi="Times New Roman"/>
          <w:sz w:val="20"/>
          <w:szCs w:val="20"/>
        </w:rPr>
      </w:pPr>
    </w:p>
    <w:p w:rsidR="000F7ED3" w:rsidRPr="000F7ED3" w:rsidRDefault="000F7ED3" w:rsidP="000F7ED3">
      <w:pPr>
        <w:spacing w:after="0" w:line="240" w:lineRule="auto"/>
        <w:jc w:val="center"/>
        <w:outlineLvl w:val="0"/>
        <w:rPr>
          <w:rFonts w:ascii="Times New Roman" w:hAnsi="Times New Roman"/>
          <w:sz w:val="20"/>
          <w:szCs w:val="20"/>
          <w:lang w:val="en-GB"/>
        </w:rPr>
      </w:pPr>
      <w:r w:rsidRPr="000F7ED3">
        <w:rPr>
          <w:rFonts w:ascii="Times New Roman" w:hAnsi="Times New Roman"/>
          <w:sz w:val="20"/>
          <w:szCs w:val="20"/>
          <w:lang w:val="en-GB"/>
        </w:rPr>
        <w:t xml:space="preserve">Table 1. </w:t>
      </w:r>
      <w:r>
        <w:rPr>
          <w:rFonts w:ascii="Times New Roman" w:hAnsi="Times New Roman"/>
          <w:sz w:val="20"/>
          <w:szCs w:val="20"/>
          <w:lang w:val="en-GB"/>
        </w:rPr>
        <w:t xml:space="preserve"> </w:t>
      </w:r>
      <w:r w:rsidRPr="000F7ED3">
        <w:rPr>
          <w:rFonts w:ascii="Times New Roman" w:hAnsi="Times New Roman"/>
          <w:sz w:val="20"/>
          <w:szCs w:val="20"/>
          <w:lang w:val="en-GB"/>
        </w:rPr>
        <w:t>Types of physical base propolis of stingless bee</w:t>
      </w:r>
    </w:p>
    <w:tbl>
      <w:tblPr>
        <w:tblW w:w="0" w:type="auto"/>
        <w:jc w:val="center"/>
        <w:tblBorders>
          <w:bottom w:val="single" w:sz="4" w:space="0" w:color="auto"/>
        </w:tblBorders>
        <w:tblLook w:val="04A0" w:firstRow="1" w:lastRow="0" w:firstColumn="1" w:lastColumn="0" w:noHBand="0" w:noVBand="1"/>
      </w:tblPr>
      <w:tblGrid>
        <w:gridCol w:w="4644"/>
        <w:gridCol w:w="4644"/>
      </w:tblGrid>
      <w:tr w:rsidR="000F7ED3" w:rsidRPr="000F7ED3" w:rsidTr="00C2606A">
        <w:trPr>
          <w:jc w:val="center"/>
        </w:trPr>
        <w:tc>
          <w:tcPr>
            <w:tcW w:w="4644" w:type="dxa"/>
            <w:tcBorders>
              <w:top w:val="single" w:sz="4" w:space="0" w:color="auto"/>
              <w:bottom w:val="single" w:sz="4" w:space="0" w:color="auto"/>
            </w:tcBorders>
            <w:shd w:val="clear" w:color="auto" w:fill="auto"/>
          </w:tcPr>
          <w:p w:rsidR="000F7ED3" w:rsidRPr="000F7ED3" w:rsidRDefault="000F7ED3" w:rsidP="000F7ED3">
            <w:pPr>
              <w:spacing w:before="60" w:after="60" w:line="240" w:lineRule="auto"/>
              <w:outlineLvl w:val="0"/>
              <w:rPr>
                <w:rFonts w:ascii="Times New Roman" w:hAnsi="Times New Roman"/>
                <w:b/>
                <w:sz w:val="20"/>
                <w:szCs w:val="20"/>
                <w:lang w:val="en-GB"/>
              </w:rPr>
            </w:pPr>
            <w:r w:rsidRPr="000F7ED3">
              <w:rPr>
                <w:rFonts w:ascii="Times New Roman" w:hAnsi="Times New Roman"/>
                <w:b/>
                <w:sz w:val="20"/>
                <w:szCs w:val="20"/>
                <w:lang w:val="en-GB"/>
              </w:rPr>
              <w:t>Sticky Propolis</w:t>
            </w:r>
          </w:p>
        </w:tc>
        <w:tc>
          <w:tcPr>
            <w:tcW w:w="4644" w:type="dxa"/>
            <w:tcBorders>
              <w:top w:val="single" w:sz="4" w:space="0" w:color="auto"/>
              <w:bottom w:val="single" w:sz="4" w:space="0" w:color="auto"/>
            </w:tcBorders>
            <w:shd w:val="clear" w:color="auto" w:fill="auto"/>
          </w:tcPr>
          <w:p w:rsidR="000F7ED3" w:rsidRPr="000F7ED3" w:rsidRDefault="000F7ED3" w:rsidP="000F7ED3">
            <w:pPr>
              <w:spacing w:before="60" w:after="60" w:line="240" w:lineRule="auto"/>
              <w:jc w:val="both"/>
              <w:outlineLvl w:val="0"/>
              <w:rPr>
                <w:rFonts w:ascii="Times New Roman" w:hAnsi="Times New Roman"/>
                <w:b/>
                <w:sz w:val="20"/>
                <w:szCs w:val="20"/>
                <w:lang w:val="en-GB"/>
              </w:rPr>
            </w:pPr>
            <w:r w:rsidRPr="000F7ED3">
              <w:rPr>
                <w:rFonts w:ascii="Times New Roman" w:hAnsi="Times New Roman"/>
                <w:b/>
                <w:sz w:val="20"/>
                <w:szCs w:val="20"/>
                <w:lang w:val="en-GB"/>
              </w:rPr>
              <w:t>Hard Propolis</w:t>
            </w:r>
          </w:p>
        </w:tc>
      </w:tr>
      <w:tr w:rsidR="000F7ED3" w:rsidRPr="000F7ED3" w:rsidTr="00C2606A">
        <w:trPr>
          <w:jc w:val="center"/>
        </w:trPr>
        <w:tc>
          <w:tcPr>
            <w:tcW w:w="4644" w:type="dxa"/>
            <w:tcBorders>
              <w:top w:val="single" w:sz="4" w:space="0" w:color="auto"/>
              <w:bottom w:val="single" w:sz="4" w:space="0" w:color="auto"/>
            </w:tcBorders>
            <w:shd w:val="clear" w:color="auto" w:fill="auto"/>
          </w:tcPr>
          <w:p w:rsidR="000F7ED3" w:rsidRPr="000F7ED3" w:rsidRDefault="000F7ED3" w:rsidP="000F7ED3">
            <w:pPr>
              <w:spacing w:before="60" w:after="0" w:line="240" w:lineRule="auto"/>
              <w:outlineLvl w:val="0"/>
              <w:rPr>
                <w:rFonts w:ascii="Times New Roman" w:hAnsi="Times New Roman"/>
                <w:i/>
                <w:sz w:val="20"/>
                <w:szCs w:val="20"/>
                <w:lang w:val="ms-MY"/>
              </w:rPr>
            </w:pPr>
            <w:r w:rsidRPr="000F7ED3">
              <w:rPr>
                <w:rFonts w:ascii="Times New Roman" w:hAnsi="Times New Roman"/>
                <w:i/>
                <w:sz w:val="20"/>
                <w:szCs w:val="20"/>
                <w:lang w:val="ms-MY"/>
              </w:rPr>
              <w:t xml:space="preserve">Heterotrigona itama (H. itama) </w:t>
            </w:r>
            <w:r w:rsidRPr="000F7ED3">
              <w:rPr>
                <w:rFonts w:ascii="Times New Roman" w:hAnsi="Times New Roman"/>
                <w:sz w:val="20"/>
                <w:szCs w:val="20"/>
                <w:lang w:val="ms-MY"/>
              </w:rPr>
              <w:t>and</w:t>
            </w:r>
          </w:p>
          <w:p w:rsidR="000F7ED3" w:rsidRPr="000F7ED3" w:rsidRDefault="000F7ED3" w:rsidP="000F7ED3">
            <w:pPr>
              <w:spacing w:after="0" w:line="240" w:lineRule="auto"/>
              <w:outlineLvl w:val="0"/>
              <w:rPr>
                <w:rFonts w:ascii="Times New Roman" w:hAnsi="Times New Roman"/>
                <w:sz w:val="20"/>
                <w:szCs w:val="20"/>
                <w:lang w:val="ms-MY"/>
              </w:rPr>
            </w:pPr>
            <w:r w:rsidRPr="000F7ED3">
              <w:rPr>
                <w:rFonts w:ascii="Times New Roman" w:hAnsi="Times New Roman"/>
                <w:i/>
                <w:sz w:val="20"/>
                <w:szCs w:val="20"/>
                <w:lang w:val="ms-MY"/>
              </w:rPr>
              <w:t>Geniotrigona thoracica (G. thoracica)</w:t>
            </w:r>
          </w:p>
        </w:tc>
        <w:tc>
          <w:tcPr>
            <w:tcW w:w="4644" w:type="dxa"/>
            <w:tcBorders>
              <w:top w:val="single" w:sz="4" w:space="0" w:color="auto"/>
              <w:bottom w:val="single" w:sz="4" w:space="0" w:color="auto"/>
            </w:tcBorders>
            <w:shd w:val="clear" w:color="auto" w:fill="auto"/>
          </w:tcPr>
          <w:p w:rsidR="000F7ED3" w:rsidRPr="000F7ED3" w:rsidRDefault="000F7ED3" w:rsidP="00C2606A">
            <w:pPr>
              <w:spacing w:before="60" w:after="0" w:line="240" w:lineRule="auto"/>
              <w:jc w:val="both"/>
              <w:outlineLvl w:val="0"/>
              <w:rPr>
                <w:rFonts w:ascii="Times New Roman" w:hAnsi="Times New Roman"/>
                <w:i/>
                <w:sz w:val="20"/>
                <w:szCs w:val="20"/>
                <w:lang w:val="ms-MY"/>
              </w:rPr>
            </w:pPr>
            <w:r w:rsidRPr="000F7ED3">
              <w:rPr>
                <w:rFonts w:ascii="Times New Roman" w:hAnsi="Times New Roman"/>
                <w:i/>
                <w:sz w:val="20"/>
                <w:szCs w:val="20"/>
                <w:lang w:val="ms-MY"/>
              </w:rPr>
              <w:t xml:space="preserve">Homotrigona aliceae (H. aliceae), Homotrigona fimbriata (H. fimbriata), Tetrigona apicalis (T. apicalis),Tetrigona vidua (T. vidua),Tetrigona peninsularis (T. peninsularis), Lophotrigona canifrons (L. canifrons), Tetrigona melanoleuca (T. melanoleuca), </w:t>
            </w:r>
            <w:r w:rsidRPr="000F7ED3">
              <w:rPr>
                <w:rFonts w:ascii="Times New Roman" w:hAnsi="Times New Roman"/>
                <w:sz w:val="20"/>
                <w:szCs w:val="20"/>
                <w:lang w:val="ms-MY"/>
              </w:rPr>
              <w:t xml:space="preserve">and </w:t>
            </w:r>
            <w:r w:rsidRPr="000F7ED3">
              <w:rPr>
                <w:rFonts w:ascii="Times New Roman" w:hAnsi="Times New Roman"/>
                <w:i/>
                <w:sz w:val="20"/>
                <w:szCs w:val="20"/>
                <w:lang w:val="ms-MY"/>
              </w:rPr>
              <w:t>Tetrogona binghami (T. binghami).</w:t>
            </w:r>
          </w:p>
          <w:p w:rsidR="000F7ED3" w:rsidRPr="000F7ED3" w:rsidRDefault="000F7ED3" w:rsidP="00986E53">
            <w:pPr>
              <w:spacing w:after="0" w:line="240" w:lineRule="auto"/>
              <w:jc w:val="both"/>
              <w:outlineLvl w:val="0"/>
              <w:rPr>
                <w:rFonts w:ascii="Times New Roman" w:hAnsi="Times New Roman"/>
                <w:sz w:val="20"/>
                <w:szCs w:val="20"/>
                <w:lang w:val="ms-MY"/>
              </w:rPr>
            </w:pPr>
          </w:p>
        </w:tc>
      </w:tr>
    </w:tbl>
    <w:p w:rsidR="000F7ED3" w:rsidRDefault="000F7ED3" w:rsidP="009E6FB7">
      <w:pPr>
        <w:spacing w:after="0" w:line="240" w:lineRule="auto"/>
        <w:jc w:val="both"/>
        <w:outlineLvl w:val="0"/>
        <w:rPr>
          <w:rFonts w:ascii="Times New Roman" w:hAnsi="Times New Roman"/>
          <w:sz w:val="20"/>
          <w:szCs w:val="20"/>
        </w:rPr>
      </w:pPr>
    </w:p>
    <w:p w:rsidR="009E6FB7" w:rsidRPr="000F7ED3" w:rsidRDefault="009E6FB7" w:rsidP="009E6FB7">
      <w:pPr>
        <w:spacing w:after="0" w:line="240" w:lineRule="auto"/>
        <w:jc w:val="both"/>
        <w:outlineLvl w:val="0"/>
        <w:rPr>
          <w:rFonts w:ascii="Times New Roman" w:hAnsi="Times New Roman"/>
          <w:sz w:val="20"/>
          <w:szCs w:val="20"/>
        </w:rPr>
      </w:pPr>
    </w:p>
    <w:p w:rsidR="000F7ED3" w:rsidRPr="000F7ED3" w:rsidRDefault="000F7ED3" w:rsidP="000F7ED3">
      <w:pPr>
        <w:spacing w:after="0" w:line="240" w:lineRule="auto"/>
        <w:jc w:val="both"/>
        <w:outlineLvl w:val="0"/>
        <w:rPr>
          <w:rFonts w:ascii="Times New Roman" w:hAnsi="Times New Roman"/>
          <w:b/>
          <w:sz w:val="20"/>
          <w:szCs w:val="20"/>
        </w:rPr>
      </w:pPr>
      <w:r w:rsidRPr="000F7ED3">
        <w:rPr>
          <w:rFonts w:ascii="Times New Roman" w:hAnsi="Times New Roman"/>
          <w:b/>
          <w:sz w:val="20"/>
          <w:szCs w:val="20"/>
        </w:rPr>
        <w:t>TFC and TPC of propolis stingless bees</w:t>
      </w:r>
    </w:p>
    <w:p w:rsidR="000F7ED3" w:rsidRPr="000F7ED3" w:rsidRDefault="000F7ED3" w:rsidP="000F7ED3">
      <w:pPr>
        <w:spacing w:after="0" w:line="240" w:lineRule="auto"/>
        <w:jc w:val="both"/>
        <w:outlineLvl w:val="0"/>
        <w:rPr>
          <w:rFonts w:ascii="Times New Roman" w:hAnsi="Times New Roman"/>
          <w:sz w:val="20"/>
          <w:szCs w:val="20"/>
        </w:rPr>
      </w:pPr>
      <w:r w:rsidRPr="000F7ED3">
        <w:rPr>
          <w:rFonts w:ascii="Times New Roman" w:hAnsi="Times New Roman"/>
          <w:sz w:val="20"/>
          <w:szCs w:val="20"/>
        </w:rPr>
        <w:t>The TFC was calculated from the regression equation of the standard plot (y = 0.016x – 0.0171, r</w:t>
      </w:r>
      <w:r w:rsidRPr="000F7ED3">
        <w:rPr>
          <w:rFonts w:ascii="Times New Roman" w:hAnsi="Times New Roman"/>
          <w:sz w:val="20"/>
          <w:szCs w:val="20"/>
          <w:vertAlign w:val="superscript"/>
        </w:rPr>
        <w:t>2</w:t>
      </w:r>
      <w:r w:rsidRPr="000F7ED3">
        <w:rPr>
          <w:rFonts w:ascii="Times New Roman" w:hAnsi="Times New Roman"/>
          <w:sz w:val="20"/>
          <w:szCs w:val="20"/>
        </w:rPr>
        <w:t>=0.997) and is expressed as quercetin equivalents (QE). The flavonoid contents can be determined in the sample extract by using aluminium chloride method at wavelength of 415 nm [16]. Several studies reported that the total flavonoids content that present in propolis extract significantly contributed to their antioxidant activities [7, 17-18]. It has been shown to be good scavengers of most oxidizing molecules, including single oxygen and various free radicals.</w:t>
      </w:r>
    </w:p>
    <w:p w:rsidR="000F7ED3" w:rsidRPr="000F7ED3" w:rsidRDefault="000F7ED3" w:rsidP="000F7ED3">
      <w:pPr>
        <w:spacing w:after="0" w:line="240" w:lineRule="auto"/>
        <w:jc w:val="both"/>
        <w:outlineLvl w:val="0"/>
        <w:rPr>
          <w:rFonts w:ascii="Times New Roman" w:hAnsi="Times New Roman"/>
          <w:sz w:val="20"/>
          <w:szCs w:val="20"/>
        </w:rPr>
      </w:pPr>
    </w:p>
    <w:p w:rsidR="000F7ED3" w:rsidRPr="000F7ED3" w:rsidRDefault="000F7ED3" w:rsidP="000F7ED3">
      <w:pPr>
        <w:spacing w:after="0" w:line="240" w:lineRule="auto"/>
        <w:jc w:val="both"/>
        <w:outlineLvl w:val="0"/>
        <w:rPr>
          <w:rFonts w:ascii="Times New Roman" w:hAnsi="Times New Roman"/>
          <w:sz w:val="20"/>
          <w:szCs w:val="20"/>
        </w:rPr>
      </w:pPr>
      <w:r w:rsidRPr="000F7ED3">
        <w:rPr>
          <w:rFonts w:ascii="Times New Roman" w:hAnsi="Times New Roman"/>
          <w:sz w:val="20"/>
          <w:szCs w:val="20"/>
        </w:rPr>
        <w:t>The TPC was determined using the Folin-Ciocalteu reagent. The result of TPC was calculated from the regression equation of the standard plot (y = 0.0417x + 0.0299, r</w:t>
      </w:r>
      <w:r w:rsidRPr="000F7ED3">
        <w:rPr>
          <w:rFonts w:ascii="Times New Roman" w:hAnsi="Times New Roman"/>
          <w:sz w:val="20"/>
          <w:szCs w:val="20"/>
          <w:vertAlign w:val="superscript"/>
        </w:rPr>
        <w:t>2</w:t>
      </w:r>
      <w:r w:rsidRPr="000F7ED3">
        <w:rPr>
          <w:rFonts w:ascii="Times New Roman" w:hAnsi="Times New Roman"/>
          <w:sz w:val="20"/>
          <w:szCs w:val="20"/>
        </w:rPr>
        <w:t xml:space="preserve"> = 0.999). The TPC in propolis play the key role as primary antioxidants or free radical scavengers. The antioxidant activity of the TPC is mainly due to their redox properties, which an important role in absorbing and neutralizing free radicals, quenching singlet and triplet oxygen or decomposing peroxides [19]. In this regard, the bioactivity of phenolics may be related to their ability to chelate metals, inhibit. lipoxygenase and scavenge free radicals [20-21]. TFC and TPC of each stingless bee species are summarized in Figure 2 and Table 2.</w:t>
      </w:r>
    </w:p>
    <w:p w:rsidR="000F7ED3" w:rsidRDefault="000F7ED3" w:rsidP="000F7ED3">
      <w:pPr>
        <w:spacing w:after="0" w:line="240" w:lineRule="auto"/>
        <w:jc w:val="both"/>
        <w:outlineLvl w:val="0"/>
        <w:rPr>
          <w:rFonts w:ascii="Times New Roman" w:hAnsi="Times New Roman"/>
          <w:sz w:val="20"/>
          <w:szCs w:val="20"/>
        </w:rPr>
      </w:pPr>
    </w:p>
    <w:p w:rsidR="009E6FB7" w:rsidRPr="000F7ED3" w:rsidRDefault="009E6FB7" w:rsidP="000F7ED3">
      <w:pPr>
        <w:spacing w:after="0" w:line="240" w:lineRule="auto"/>
        <w:jc w:val="both"/>
        <w:outlineLvl w:val="0"/>
        <w:rPr>
          <w:rFonts w:ascii="Times New Roman" w:hAnsi="Times New Roman"/>
          <w:sz w:val="20"/>
          <w:szCs w:val="20"/>
        </w:rPr>
      </w:pPr>
    </w:p>
    <w:p w:rsidR="000F7ED3" w:rsidRPr="000F7ED3" w:rsidRDefault="000F7ED3" w:rsidP="009E6FB7">
      <w:pPr>
        <w:spacing w:after="120" w:line="240" w:lineRule="auto"/>
        <w:jc w:val="center"/>
        <w:outlineLvl w:val="0"/>
        <w:rPr>
          <w:rFonts w:ascii="Times New Roman" w:hAnsi="Times New Roman"/>
          <w:sz w:val="20"/>
          <w:szCs w:val="20"/>
        </w:rPr>
      </w:pPr>
      <w:r w:rsidRPr="000F7ED3">
        <w:rPr>
          <w:rFonts w:ascii="Times New Roman" w:hAnsi="Times New Roman"/>
          <w:noProof/>
          <w:sz w:val="20"/>
          <w:szCs w:val="20"/>
          <w:lang w:bidi="ar-SA"/>
        </w:rPr>
        <w:lastRenderedPageBreak/>
        <mc:AlternateContent>
          <mc:Choice Requires="wps">
            <w:drawing>
              <wp:anchor distT="0" distB="0" distL="114300" distR="114300" simplePos="0" relativeHeight="251665920" behindDoc="0" locked="0" layoutInCell="1" allowOverlap="1" wp14:anchorId="6FB13DC5" wp14:editId="7D9B913E">
                <wp:simplePos x="0" y="0"/>
                <wp:positionH relativeFrom="column">
                  <wp:posOffset>2000250</wp:posOffset>
                </wp:positionH>
                <wp:positionV relativeFrom="paragraph">
                  <wp:posOffset>104775</wp:posOffset>
                </wp:positionV>
                <wp:extent cx="26035" cy="1804035"/>
                <wp:effectExtent l="0" t="0" r="31115" b="24765"/>
                <wp:wrapNone/>
                <wp:docPr id="2" name="Straight Connector 2"/>
                <wp:cNvGraphicFramePr/>
                <a:graphic xmlns:a="http://schemas.openxmlformats.org/drawingml/2006/main">
                  <a:graphicData uri="http://schemas.microsoft.com/office/word/2010/wordprocessingShape">
                    <wps:wsp>
                      <wps:cNvCnPr/>
                      <wps:spPr>
                        <a:xfrm>
                          <a:off x="0" y="0"/>
                          <a:ext cx="26035" cy="18040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8.25pt" to="159.55pt,1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" strokecolor="black [3040]"/>
            </w:pict>
          </mc:Fallback>
        </mc:AlternateContent>
      </w:r>
      <w:r w:rsidRPr="000F7ED3">
        <w:rPr>
          <w:rFonts w:ascii="Times New Roman" w:hAnsi="Times New Roman"/>
          <w:noProof/>
          <w:sz w:val="20"/>
          <w:szCs w:val="20"/>
          <w:lang w:bidi="ar-SA"/>
        </w:rPr>
        <w:drawing>
          <wp:inline distT="0" distB="0" distL="0" distR="0" wp14:anchorId="54200044" wp14:editId="6AB71D92">
            <wp:extent cx="3807572" cy="256032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07572" cy="2560320"/>
                    </a:xfrm>
                    <a:prstGeom prst="rect">
                      <a:avLst/>
                    </a:prstGeom>
                    <a:noFill/>
                    <a:ln>
                      <a:noFill/>
                    </a:ln>
                  </pic:spPr>
                </pic:pic>
              </a:graphicData>
            </a:graphic>
          </wp:inline>
        </w:drawing>
      </w:r>
      <w:bookmarkStart w:id="1" w:name="_GoBack"/>
      <w:bookmarkEnd w:id="1"/>
    </w:p>
    <w:p w:rsidR="000F7ED3" w:rsidRPr="000F7ED3" w:rsidRDefault="000F7ED3" w:rsidP="009E6FB7">
      <w:pPr>
        <w:spacing w:after="0" w:line="240" w:lineRule="auto"/>
        <w:jc w:val="center"/>
        <w:outlineLvl w:val="0"/>
        <w:rPr>
          <w:rFonts w:ascii="Times New Roman" w:hAnsi="Times New Roman"/>
          <w:sz w:val="20"/>
          <w:szCs w:val="20"/>
        </w:rPr>
      </w:pPr>
      <w:r w:rsidRPr="000F7ED3">
        <w:rPr>
          <w:rFonts w:ascii="Times New Roman" w:hAnsi="Times New Roman"/>
          <w:sz w:val="20"/>
          <w:szCs w:val="20"/>
        </w:rPr>
        <w:t>Figure 2.  Total flavonoids content and total phenolic content of stingless bees’ species</w:t>
      </w:r>
    </w:p>
    <w:p w:rsidR="000F7ED3" w:rsidRDefault="000F7ED3" w:rsidP="000F7ED3">
      <w:pPr>
        <w:spacing w:after="0" w:line="240" w:lineRule="auto"/>
        <w:jc w:val="both"/>
        <w:outlineLvl w:val="0"/>
        <w:rPr>
          <w:rFonts w:ascii="Times New Roman" w:hAnsi="Times New Roman"/>
          <w:sz w:val="20"/>
          <w:szCs w:val="20"/>
        </w:rPr>
      </w:pPr>
    </w:p>
    <w:p w:rsidR="009E6FB7" w:rsidRPr="000F7ED3" w:rsidRDefault="009E6FB7" w:rsidP="000F7ED3">
      <w:pPr>
        <w:spacing w:after="0" w:line="240" w:lineRule="auto"/>
        <w:jc w:val="both"/>
        <w:outlineLvl w:val="0"/>
        <w:rPr>
          <w:rFonts w:ascii="Times New Roman" w:hAnsi="Times New Roman"/>
          <w:sz w:val="20"/>
          <w:szCs w:val="20"/>
        </w:rPr>
      </w:pPr>
    </w:p>
    <w:p w:rsidR="000F7ED3" w:rsidRPr="000F7ED3" w:rsidRDefault="000F7ED3" w:rsidP="009E6FB7">
      <w:pPr>
        <w:spacing w:after="120" w:line="240" w:lineRule="auto"/>
        <w:jc w:val="center"/>
        <w:outlineLvl w:val="0"/>
        <w:rPr>
          <w:rFonts w:ascii="Times New Roman" w:hAnsi="Times New Roman"/>
          <w:sz w:val="20"/>
          <w:szCs w:val="20"/>
        </w:rPr>
      </w:pPr>
      <w:r w:rsidRPr="000F7ED3">
        <w:rPr>
          <w:rFonts w:ascii="Times New Roman" w:hAnsi="Times New Roman"/>
          <w:sz w:val="20"/>
          <w:szCs w:val="20"/>
        </w:rPr>
        <w:t xml:space="preserve">Table 2. </w:t>
      </w:r>
      <w:r w:rsidR="009E6FB7">
        <w:rPr>
          <w:rFonts w:ascii="Times New Roman" w:hAnsi="Times New Roman"/>
          <w:sz w:val="20"/>
          <w:szCs w:val="20"/>
        </w:rPr>
        <w:t xml:space="preserve"> </w:t>
      </w:r>
      <w:r w:rsidRPr="000F7ED3">
        <w:rPr>
          <w:rFonts w:ascii="Times New Roman" w:hAnsi="Times New Roman"/>
          <w:sz w:val="20"/>
          <w:szCs w:val="20"/>
        </w:rPr>
        <w:t>Mean values and standard deviations of TFC and TPC found in sticky and hard propolis extracts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700"/>
        <w:gridCol w:w="1344"/>
        <w:gridCol w:w="1344"/>
      </w:tblGrid>
      <w:tr w:rsidR="000F7ED3" w:rsidRPr="000F7ED3" w:rsidTr="009E6FB7">
        <w:trPr>
          <w:jc w:val="center"/>
        </w:trPr>
        <w:tc>
          <w:tcPr>
            <w:tcW w:w="0" w:type="auto"/>
            <w:tcBorders>
              <w:top w:val="single" w:sz="4" w:space="0" w:color="auto"/>
              <w:bottom w:val="single" w:sz="4" w:space="0" w:color="auto"/>
            </w:tcBorders>
          </w:tcPr>
          <w:p w:rsidR="000F7ED3" w:rsidRPr="000F7ED3" w:rsidRDefault="000F7ED3" w:rsidP="009E6FB7">
            <w:pPr>
              <w:spacing w:before="60" w:after="60" w:line="240" w:lineRule="auto"/>
              <w:jc w:val="both"/>
              <w:outlineLvl w:val="0"/>
              <w:rPr>
                <w:rFonts w:ascii="Times New Roman" w:hAnsi="Times New Roman" w:cs="Times New Roman"/>
                <w:b/>
                <w:sz w:val="20"/>
                <w:szCs w:val="20"/>
              </w:rPr>
            </w:pPr>
            <w:r w:rsidRPr="000F7ED3">
              <w:rPr>
                <w:rFonts w:ascii="Times New Roman" w:hAnsi="Times New Roman" w:cs="Times New Roman"/>
                <w:b/>
                <w:sz w:val="20"/>
                <w:szCs w:val="20"/>
              </w:rPr>
              <w:t>Samples Extracts</w:t>
            </w:r>
          </w:p>
        </w:tc>
        <w:tc>
          <w:tcPr>
            <w:tcW w:w="0" w:type="auto"/>
            <w:tcBorders>
              <w:top w:val="single" w:sz="4" w:space="0" w:color="auto"/>
              <w:bottom w:val="single" w:sz="4" w:space="0" w:color="auto"/>
            </w:tcBorders>
          </w:tcPr>
          <w:p w:rsidR="000F7ED3" w:rsidRPr="000F7ED3" w:rsidRDefault="000F7ED3" w:rsidP="009E6FB7">
            <w:pPr>
              <w:spacing w:before="60" w:after="60" w:line="240" w:lineRule="auto"/>
              <w:jc w:val="both"/>
              <w:outlineLvl w:val="0"/>
              <w:rPr>
                <w:rFonts w:ascii="Times New Roman" w:hAnsi="Times New Roman" w:cs="Times New Roman"/>
                <w:b/>
                <w:sz w:val="20"/>
                <w:szCs w:val="20"/>
              </w:rPr>
            </w:pPr>
            <w:r w:rsidRPr="000F7ED3">
              <w:rPr>
                <w:rFonts w:ascii="Times New Roman" w:hAnsi="Times New Roman" w:cs="Times New Roman"/>
                <w:b/>
                <w:sz w:val="20"/>
                <w:szCs w:val="20"/>
              </w:rPr>
              <w:t>TFC (mg/ml)</w:t>
            </w:r>
          </w:p>
        </w:tc>
        <w:tc>
          <w:tcPr>
            <w:tcW w:w="0" w:type="auto"/>
            <w:tcBorders>
              <w:top w:val="single" w:sz="4" w:space="0" w:color="auto"/>
              <w:bottom w:val="single" w:sz="4" w:space="0" w:color="auto"/>
            </w:tcBorders>
          </w:tcPr>
          <w:p w:rsidR="000F7ED3" w:rsidRPr="000F7ED3" w:rsidRDefault="000F7ED3" w:rsidP="009E6FB7">
            <w:pPr>
              <w:spacing w:before="60" w:after="60" w:line="240" w:lineRule="auto"/>
              <w:jc w:val="both"/>
              <w:outlineLvl w:val="0"/>
              <w:rPr>
                <w:rFonts w:ascii="Times New Roman" w:hAnsi="Times New Roman" w:cs="Times New Roman"/>
                <w:b/>
                <w:sz w:val="20"/>
                <w:szCs w:val="20"/>
              </w:rPr>
            </w:pPr>
            <w:r w:rsidRPr="000F7ED3">
              <w:rPr>
                <w:rFonts w:ascii="Times New Roman" w:hAnsi="Times New Roman" w:cs="Times New Roman"/>
                <w:b/>
                <w:sz w:val="20"/>
                <w:szCs w:val="20"/>
              </w:rPr>
              <w:t>TPC (mg/ml)</w:t>
            </w:r>
          </w:p>
        </w:tc>
      </w:tr>
      <w:tr w:rsidR="000F7ED3" w:rsidRPr="000F7ED3" w:rsidTr="009E6FB7">
        <w:trPr>
          <w:jc w:val="center"/>
        </w:trPr>
        <w:tc>
          <w:tcPr>
            <w:tcW w:w="0" w:type="auto"/>
            <w:tcBorders>
              <w:top w:val="single" w:sz="4" w:space="0" w:color="auto"/>
              <w:bottom w:val="nil"/>
            </w:tcBorders>
          </w:tcPr>
          <w:p w:rsidR="000F7ED3" w:rsidRPr="000F7ED3" w:rsidRDefault="000F7ED3" w:rsidP="009E6FB7">
            <w:pPr>
              <w:spacing w:before="60" w:after="0" w:line="240" w:lineRule="auto"/>
              <w:jc w:val="both"/>
              <w:outlineLvl w:val="0"/>
              <w:rPr>
                <w:rFonts w:ascii="Times New Roman" w:hAnsi="Times New Roman" w:cs="Times New Roman"/>
                <w:sz w:val="20"/>
                <w:szCs w:val="20"/>
              </w:rPr>
            </w:pPr>
            <w:r w:rsidRPr="000F7ED3">
              <w:rPr>
                <w:rFonts w:ascii="Times New Roman" w:hAnsi="Times New Roman" w:cs="Times New Roman"/>
                <w:i/>
                <w:sz w:val="20"/>
                <w:szCs w:val="20"/>
                <w:lang w:val="en-GB"/>
              </w:rPr>
              <w:t xml:space="preserve"> H. itama</w:t>
            </w:r>
          </w:p>
        </w:tc>
        <w:tc>
          <w:tcPr>
            <w:tcW w:w="0" w:type="auto"/>
            <w:tcBorders>
              <w:top w:val="single" w:sz="4" w:space="0" w:color="auto"/>
              <w:bottom w:val="nil"/>
            </w:tcBorders>
            <w:vAlign w:val="bottom"/>
          </w:tcPr>
          <w:p w:rsidR="000F7ED3" w:rsidRPr="000F7ED3" w:rsidRDefault="000F7ED3" w:rsidP="009E6FB7">
            <w:pPr>
              <w:spacing w:before="60" w:after="0" w:line="240" w:lineRule="auto"/>
              <w:jc w:val="both"/>
              <w:rPr>
                <w:rFonts w:ascii="Times New Roman" w:hAnsi="Times New Roman" w:cs="Times New Roman"/>
                <w:sz w:val="20"/>
                <w:szCs w:val="20"/>
                <w:lang w:eastAsia="ms-MY"/>
              </w:rPr>
            </w:pPr>
            <w:r w:rsidRPr="000F7ED3">
              <w:rPr>
                <w:rFonts w:ascii="Times New Roman" w:hAnsi="Times New Roman" w:cs="Times New Roman"/>
                <w:sz w:val="20"/>
                <w:szCs w:val="20"/>
              </w:rPr>
              <w:t>116.1 ± 3.93</w:t>
            </w:r>
          </w:p>
        </w:tc>
        <w:tc>
          <w:tcPr>
            <w:tcW w:w="0" w:type="auto"/>
            <w:tcBorders>
              <w:top w:val="single" w:sz="4" w:space="0" w:color="auto"/>
              <w:bottom w:val="nil"/>
            </w:tcBorders>
            <w:vAlign w:val="bottom"/>
          </w:tcPr>
          <w:p w:rsidR="000F7ED3" w:rsidRPr="000F7ED3" w:rsidRDefault="000F7ED3" w:rsidP="009E6FB7">
            <w:pPr>
              <w:spacing w:before="60" w:after="0" w:line="240" w:lineRule="auto"/>
              <w:jc w:val="both"/>
              <w:rPr>
                <w:rFonts w:ascii="Times New Roman" w:hAnsi="Times New Roman" w:cs="Times New Roman"/>
                <w:sz w:val="20"/>
                <w:szCs w:val="20"/>
                <w:lang w:eastAsia="ms-MY"/>
              </w:rPr>
            </w:pPr>
            <w:r w:rsidRPr="000F7ED3">
              <w:rPr>
                <w:rFonts w:ascii="Times New Roman" w:hAnsi="Times New Roman" w:cs="Times New Roman"/>
                <w:sz w:val="20"/>
                <w:szCs w:val="20"/>
              </w:rPr>
              <w:t>58.2 ± 2.97</w:t>
            </w:r>
          </w:p>
        </w:tc>
      </w:tr>
      <w:tr w:rsidR="000F7ED3" w:rsidRPr="000F7ED3" w:rsidTr="00986E53">
        <w:trPr>
          <w:jc w:val="center"/>
        </w:trPr>
        <w:tc>
          <w:tcPr>
            <w:tcW w:w="0" w:type="auto"/>
            <w:tcBorders>
              <w:top w:val="nil"/>
              <w:bottom w:val="nil"/>
            </w:tcBorders>
          </w:tcPr>
          <w:p w:rsidR="000F7ED3" w:rsidRPr="000F7ED3" w:rsidRDefault="000F7ED3" w:rsidP="009E6FB7">
            <w:pPr>
              <w:spacing w:before="60" w:after="0" w:line="240" w:lineRule="auto"/>
              <w:jc w:val="both"/>
              <w:outlineLvl w:val="0"/>
              <w:rPr>
                <w:rFonts w:ascii="Times New Roman" w:hAnsi="Times New Roman" w:cs="Times New Roman"/>
                <w:sz w:val="20"/>
                <w:szCs w:val="20"/>
              </w:rPr>
            </w:pPr>
            <w:r w:rsidRPr="000F7ED3">
              <w:rPr>
                <w:rFonts w:ascii="Times New Roman" w:hAnsi="Times New Roman" w:cs="Times New Roman"/>
                <w:i/>
                <w:sz w:val="20"/>
                <w:szCs w:val="20"/>
                <w:lang w:val="en-GB"/>
              </w:rPr>
              <w:t>G. thoracica</w:t>
            </w:r>
          </w:p>
        </w:tc>
        <w:tc>
          <w:tcPr>
            <w:tcW w:w="0" w:type="auto"/>
            <w:tcBorders>
              <w:top w:val="nil"/>
              <w:bottom w:val="nil"/>
            </w:tcBorders>
            <w:vAlign w:val="bottom"/>
          </w:tcPr>
          <w:p w:rsidR="000F7ED3" w:rsidRPr="000F7ED3" w:rsidRDefault="000F7ED3" w:rsidP="009E6FB7">
            <w:pPr>
              <w:spacing w:before="60" w:after="0" w:line="240" w:lineRule="auto"/>
              <w:jc w:val="both"/>
              <w:rPr>
                <w:rFonts w:ascii="Times New Roman" w:hAnsi="Times New Roman" w:cs="Times New Roman"/>
                <w:sz w:val="20"/>
                <w:szCs w:val="20"/>
              </w:rPr>
            </w:pPr>
            <w:r w:rsidRPr="000F7ED3">
              <w:rPr>
                <w:rFonts w:ascii="Times New Roman" w:hAnsi="Times New Roman" w:cs="Times New Roman"/>
                <w:sz w:val="20"/>
                <w:szCs w:val="20"/>
              </w:rPr>
              <w:t>18.4 ± 0.69</w:t>
            </w:r>
          </w:p>
        </w:tc>
        <w:tc>
          <w:tcPr>
            <w:tcW w:w="0" w:type="auto"/>
            <w:tcBorders>
              <w:top w:val="nil"/>
              <w:bottom w:val="nil"/>
            </w:tcBorders>
            <w:vAlign w:val="bottom"/>
          </w:tcPr>
          <w:p w:rsidR="000F7ED3" w:rsidRPr="000F7ED3" w:rsidRDefault="000F7ED3" w:rsidP="009E6FB7">
            <w:pPr>
              <w:spacing w:before="60" w:after="0" w:line="240" w:lineRule="auto"/>
              <w:jc w:val="both"/>
              <w:rPr>
                <w:rFonts w:ascii="Times New Roman" w:hAnsi="Times New Roman" w:cs="Times New Roman"/>
                <w:sz w:val="20"/>
                <w:szCs w:val="20"/>
              </w:rPr>
            </w:pPr>
            <w:r w:rsidRPr="000F7ED3">
              <w:rPr>
                <w:rFonts w:ascii="Times New Roman" w:hAnsi="Times New Roman" w:cs="Times New Roman"/>
                <w:sz w:val="20"/>
                <w:szCs w:val="20"/>
              </w:rPr>
              <w:t>49.0 ± 1.03</w:t>
            </w:r>
          </w:p>
        </w:tc>
      </w:tr>
      <w:tr w:rsidR="000F7ED3" w:rsidRPr="000F7ED3" w:rsidTr="00986E53">
        <w:trPr>
          <w:jc w:val="center"/>
        </w:trPr>
        <w:tc>
          <w:tcPr>
            <w:tcW w:w="0" w:type="auto"/>
            <w:tcBorders>
              <w:top w:val="nil"/>
              <w:bottom w:val="nil"/>
            </w:tcBorders>
            <w:vAlign w:val="bottom"/>
          </w:tcPr>
          <w:p w:rsidR="000F7ED3" w:rsidRPr="000F7ED3" w:rsidRDefault="000F7ED3" w:rsidP="009E6FB7">
            <w:pPr>
              <w:spacing w:before="60" w:after="0" w:line="240" w:lineRule="auto"/>
              <w:jc w:val="both"/>
              <w:rPr>
                <w:rFonts w:ascii="Times New Roman" w:hAnsi="Times New Roman" w:cs="Times New Roman"/>
                <w:i/>
                <w:sz w:val="20"/>
                <w:szCs w:val="20"/>
                <w:lang w:eastAsia="ms-MY"/>
              </w:rPr>
            </w:pPr>
            <w:r w:rsidRPr="000F7ED3">
              <w:rPr>
                <w:rFonts w:ascii="Times New Roman" w:hAnsi="Times New Roman" w:cs="Times New Roman"/>
                <w:i/>
                <w:sz w:val="20"/>
                <w:szCs w:val="20"/>
              </w:rPr>
              <w:t>H. aliceae</w:t>
            </w:r>
          </w:p>
        </w:tc>
        <w:tc>
          <w:tcPr>
            <w:tcW w:w="0" w:type="auto"/>
            <w:tcBorders>
              <w:top w:val="nil"/>
              <w:bottom w:val="nil"/>
            </w:tcBorders>
            <w:vAlign w:val="bottom"/>
          </w:tcPr>
          <w:p w:rsidR="000F7ED3" w:rsidRPr="000F7ED3" w:rsidRDefault="000F7ED3" w:rsidP="009E6FB7">
            <w:pPr>
              <w:spacing w:before="60" w:after="0" w:line="240" w:lineRule="auto"/>
              <w:jc w:val="both"/>
              <w:rPr>
                <w:rFonts w:ascii="Times New Roman" w:hAnsi="Times New Roman" w:cs="Times New Roman"/>
                <w:sz w:val="20"/>
                <w:szCs w:val="20"/>
              </w:rPr>
            </w:pPr>
            <w:r w:rsidRPr="000F7ED3">
              <w:rPr>
                <w:rFonts w:ascii="Times New Roman" w:hAnsi="Times New Roman" w:cs="Times New Roman"/>
                <w:sz w:val="20"/>
                <w:szCs w:val="20"/>
              </w:rPr>
              <w:t>5.1 ± 0.32</w:t>
            </w:r>
          </w:p>
        </w:tc>
        <w:tc>
          <w:tcPr>
            <w:tcW w:w="0" w:type="auto"/>
            <w:tcBorders>
              <w:top w:val="nil"/>
              <w:bottom w:val="nil"/>
            </w:tcBorders>
            <w:vAlign w:val="bottom"/>
          </w:tcPr>
          <w:p w:rsidR="000F7ED3" w:rsidRPr="000F7ED3" w:rsidRDefault="000F7ED3" w:rsidP="009E6FB7">
            <w:pPr>
              <w:spacing w:before="60" w:after="0" w:line="240" w:lineRule="auto"/>
              <w:jc w:val="both"/>
              <w:rPr>
                <w:rFonts w:ascii="Times New Roman" w:hAnsi="Times New Roman" w:cs="Times New Roman"/>
                <w:sz w:val="20"/>
                <w:szCs w:val="20"/>
              </w:rPr>
            </w:pPr>
            <w:r w:rsidRPr="000F7ED3">
              <w:rPr>
                <w:rFonts w:ascii="Times New Roman" w:hAnsi="Times New Roman" w:cs="Times New Roman"/>
                <w:sz w:val="20"/>
                <w:szCs w:val="20"/>
              </w:rPr>
              <w:t>14.2 ± 0.52</w:t>
            </w:r>
          </w:p>
        </w:tc>
      </w:tr>
      <w:tr w:rsidR="000F7ED3" w:rsidRPr="000F7ED3" w:rsidTr="00986E53">
        <w:trPr>
          <w:jc w:val="center"/>
        </w:trPr>
        <w:tc>
          <w:tcPr>
            <w:tcW w:w="0" w:type="auto"/>
            <w:tcBorders>
              <w:top w:val="nil"/>
              <w:bottom w:val="nil"/>
            </w:tcBorders>
            <w:vAlign w:val="bottom"/>
          </w:tcPr>
          <w:p w:rsidR="000F7ED3" w:rsidRPr="000F7ED3" w:rsidRDefault="000F7ED3" w:rsidP="009E6FB7">
            <w:pPr>
              <w:spacing w:before="60" w:after="0" w:line="240" w:lineRule="auto"/>
              <w:jc w:val="both"/>
              <w:rPr>
                <w:rFonts w:ascii="Times New Roman" w:hAnsi="Times New Roman" w:cs="Times New Roman"/>
                <w:i/>
                <w:sz w:val="20"/>
                <w:szCs w:val="20"/>
              </w:rPr>
            </w:pPr>
            <w:r w:rsidRPr="000F7ED3">
              <w:rPr>
                <w:rFonts w:ascii="Times New Roman" w:hAnsi="Times New Roman" w:cs="Times New Roman"/>
                <w:i/>
                <w:sz w:val="20"/>
                <w:szCs w:val="20"/>
              </w:rPr>
              <w:t>H. fimbriata</w:t>
            </w:r>
          </w:p>
        </w:tc>
        <w:tc>
          <w:tcPr>
            <w:tcW w:w="0" w:type="auto"/>
            <w:tcBorders>
              <w:top w:val="nil"/>
              <w:bottom w:val="nil"/>
            </w:tcBorders>
            <w:vAlign w:val="bottom"/>
          </w:tcPr>
          <w:p w:rsidR="000F7ED3" w:rsidRPr="000F7ED3" w:rsidRDefault="000F7ED3" w:rsidP="009E6FB7">
            <w:pPr>
              <w:spacing w:before="60" w:after="0" w:line="240" w:lineRule="auto"/>
              <w:jc w:val="both"/>
              <w:rPr>
                <w:rFonts w:ascii="Times New Roman" w:hAnsi="Times New Roman" w:cs="Times New Roman"/>
                <w:sz w:val="20"/>
                <w:szCs w:val="20"/>
              </w:rPr>
            </w:pPr>
            <w:r w:rsidRPr="000F7ED3">
              <w:rPr>
                <w:rFonts w:ascii="Times New Roman" w:hAnsi="Times New Roman" w:cs="Times New Roman"/>
                <w:sz w:val="20"/>
                <w:szCs w:val="20"/>
              </w:rPr>
              <w:t>2.5 ± 0.47</w:t>
            </w:r>
          </w:p>
        </w:tc>
        <w:tc>
          <w:tcPr>
            <w:tcW w:w="0" w:type="auto"/>
            <w:tcBorders>
              <w:top w:val="nil"/>
              <w:bottom w:val="nil"/>
            </w:tcBorders>
            <w:vAlign w:val="bottom"/>
          </w:tcPr>
          <w:p w:rsidR="000F7ED3" w:rsidRPr="000F7ED3" w:rsidRDefault="000F7ED3" w:rsidP="009E6FB7">
            <w:pPr>
              <w:spacing w:before="60" w:after="0" w:line="240" w:lineRule="auto"/>
              <w:jc w:val="both"/>
              <w:rPr>
                <w:rFonts w:ascii="Times New Roman" w:hAnsi="Times New Roman" w:cs="Times New Roman"/>
                <w:sz w:val="20"/>
                <w:szCs w:val="20"/>
              </w:rPr>
            </w:pPr>
            <w:r w:rsidRPr="000F7ED3">
              <w:rPr>
                <w:rFonts w:ascii="Times New Roman" w:hAnsi="Times New Roman" w:cs="Times New Roman"/>
                <w:sz w:val="20"/>
                <w:szCs w:val="20"/>
              </w:rPr>
              <w:t>16.2 ± 1.24</w:t>
            </w:r>
          </w:p>
        </w:tc>
      </w:tr>
      <w:tr w:rsidR="000F7ED3" w:rsidRPr="000F7ED3" w:rsidTr="00986E53">
        <w:trPr>
          <w:jc w:val="center"/>
        </w:trPr>
        <w:tc>
          <w:tcPr>
            <w:tcW w:w="0" w:type="auto"/>
            <w:tcBorders>
              <w:top w:val="nil"/>
              <w:bottom w:val="nil"/>
            </w:tcBorders>
            <w:vAlign w:val="bottom"/>
          </w:tcPr>
          <w:p w:rsidR="000F7ED3" w:rsidRPr="000F7ED3" w:rsidRDefault="000F7ED3" w:rsidP="009E6FB7">
            <w:pPr>
              <w:spacing w:before="60" w:after="0" w:line="240" w:lineRule="auto"/>
              <w:jc w:val="both"/>
              <w:rPr>
                <w:rFonts w:ascii="Times New Roman" w:hAnsi="Times New Roman" w:cs="Times New Roman"/>
                <w:i/>
                <w:sz w:val="20"/>
                <w:szCs w:val="20"/>
              </w:rPr>
            </w:pPr>
            <w:r w:rsidRPr="000F7ED3">
              <w:rPr>
                <w:rFonts w:ascii="Times New Roman" w:hAnsi="Times New Roman" w:cs="Times New Roman"/>
                <w:i/>
                <w:sz w:val="20"/>
                <w:szCs w:val="20"/>
              </w:rPr>
              <w:t>T. apicalis</w:t>
            </w:r>
          </w:p>
        </w:tc>
        <w:tc>
          <w:tcPr>
            <w:tcW w:w="0" w:type="auto"/>
            <w:tcBorders>
              <w:top w:val="nil"/>
              <w:bottom w:val="nil"/>
            </w:tcBorders>
            <w:vAlign w:val="bottom"/>
          </w:tcPr>
          <w:p w:rsidR="000F7ED3" w:rsidRPr="000F7ED3" w:rsidRDefault="000F7ED3" w:rsidP="009E6FB7">
            <w:pPr>
              <w:spacing w:before="60" w:after="0" w:line="240" w:lineRule="auto"/>
              <w:jc w:val="both"/>
              <w:rPr>
                <w:rFonts w:ascii="Times New Roman" w:hAnsi="Times New Roman" w:cs="Times New Roman"/>
                <w:sz w:val="20"/>
                <w:szCs w:val="20"/>
              </w:rPr>
            </w:pPr>
            <w:r w:rsidRPr="000F7ED3">
              <w:rPr>
                <w:rFonts w:ascii="Times New Roman" w:hAnsi="Times New Roman" w:cs="Times New Roman"/>
                <w:sz w:val="20"/>
                <w:szCs w:val="20"/>
              </w:rPr>
              <w:t>1.1 ± 0.29</w:t>
            </w:r>
          </w:p>
        </w:tc>
        <w:tc>
          <w:tcPr>
            <w:tcW w:w="0" w:type="auto"/>
            <w:tcBorders>
              <w:top w:val="nil"/>
              <w:bottom w:val="nil"/>
            </w:tcBorders>
            <w:vAlign w:val="bottom"/>
          </w:tcPr>
          <w:p w:rsidR="000F7ED3" w:rsidRPr="000F7ED3" w:rsidRDefault="000F7ED3" w:rsidP="009E6FB7">
            <w:pPr>
              <w:spacing w:before="60" w:after="0" w:line="240" w:lineRule="auto"/>
              <w:jc w:val="both"/>
              <w:rPr>
                <w:rFonts w:ascii="Times New Roman" w:hAnsi="Times New Roman" w:cs="Times New Roman"/>
                <w:sz w:val="20"/>
                <w:szCs w:val="20"/>
              </w:rPr>
            </w:pPr>
            <w:r w:rsidRPr="000F7ED3">
              <w:rPr>
                <w:rFonts w:ascii="Times New Roman" w:hAnsi="Times New Roman" w:cs="Times New Roman"/>
                <w:sz w:val="20"/>
                <w:szCs w:val="20"/>
              </w:rPr>
              <w:t>13.9 ± 1.05</w:t>
            </w:r>
          </w:p>
        </w:tc>
      </w:tr>
      <w:tr w:rsidR="000F7ED3" w:rsidRPr="000F7ED3" w:rsidTr="00986E53">
        <w:trPr>
          <w:jc w:val="center"/>
        </w:trPr>
        <w:tc>
          <w:tcPr>
            <w:tcW w:w="0" w:type="auto"/>
            <w:tcBorders>
              <w:top w:val="nil"/>
              <w:bottom w:val="nil"/>
            </w:tcBorders>
            <w:vAlign w:val="bottom"/>
          </w:tcPr>
          <w:p w:rsidR="000F7ED3" w:rsidRPr="000F7ED3" w:rsidRDefault="000F7ED3" w:rsidP="009E6FB7">
            <w:pPr>
              <w:spacing w:before="60" w:after="0" w:line="240" w:lineRule="auto"/>
              <w:jc w:val="both"/>
              <w:rPr>
                <w:rFonts w:ascii="Times New Roman" w:hAnsi="Times New Roman" w:cs="Times New Roman"/>
                <w:i/>
                <w:sz w:val="20"/>
                <w:szCs w:val="20"/>
              </w:rPr>
            </w:pPr>
            <w:r w:rsidRPr="000F7ED3">
              <w:rPr>
                <w:rFonts w:ascii="Times New Roman" w:hAnsi="Times New Roman" w:cs="Times New Roman"/>
                <w:i/>
                <w:sz w:val="20"/>
                <w:szCs w:val="20"/>
              </w:rPr>
              <w:t>T. vidua</w:t>
            </w:r>
          </w:p>
        </w:tc>
        <w:tc>
          <w:tcPr>
            <w:tcW w:w="0" w:type="auto"/>
            <w:tcBorders>
              <w:top w:val="nil"/>
              <w:bottom w:val="nil"/>
            </w:tcBorders>
            <w:vAlign w:val="bottom"/>
          </w:tcPr>
          <w:p w:rsidR="000F7ED3" w:rsidRPr="000F7ED3" w:rsidRDefault="000F7ED3" w:rsidP="009E6FB7">
            <w:pPr>
              <w:spacing w:before="60" w:after="0" w:line="240" w:lineRule="auto"/>
              <w:jc w:val="both"/>
              <w:rPr>
                <w:rFonts w:ascii="Times New Roman" w:hAnsi="Times New Roman" w:cs="Times New Roman"/>
                <w:sz w:val="20"/>
                <w:szCs w:val="20"/>
              </w:rPr>
            </w:pPr>
            <w:r w:rsidRPr="000F7ED3">
              <w:rPr>
                <w:rFonts w:ascii="Times New Roman" w:hAnsi="Times New Roman" w:cs="Times New Roman"/>
                <w:sz w:val="20"/>
                <w:szCs w:val="20"/>
              </w:rPr>
              <w:t>2.4 ± 0.45</w:t>
            </w:r>
          </w:p>
        </w:tc>
        <w:tc>
          <w:tcPr>
            <w:tcW w:w="0" w:type="auto"/>
            <w:tcBorders>
              <w:top w:val="nil"/>
              <w:bottom w:val="nil"/>
            </w:tcBorders>
            <w:vAlign w:val="bottom"/>
          </w:tcPr>
          <w:p w:rsidR="000F7ED3" w:rsidRPr="000F7ED3" w:rsidRDefault="000F7ED3" w:rsidP="009E6FB7">
            <w:pPr>
              <w:spacing w:before="60" w:after="0" w:line="240" w:lineRule="auto"/>
              <w:jc w:val="both"/>
              <w:rPr>
                <w:rFonts w:ascii="Times New Roman" w:hAnsi="Times New Roman" w:cs="Times New Roman"/>
                <w:sz w:val="20"/>
                <w:szCs w:val="20"/>
              </w:rPr>
            </w:pPr>
            <w:r w:rsidRPr="000F7ED3">
              <w:rPr>
                <w:rFonts w:ascii="Times New Roman" w:hAnsi="Times New Roman" w:cs="Times New Roman"/>
                <w:sz w:val="20"/>
                <w:szCs w:val="20"/>
              </w:rPr>
              <w:t>15.6 ± 0.61</w:t>
            </w:r>
          </w:p>
        </w:tc>
      </w:tr>
      <w:tr w:rsidR="000F7ED3" w:rsidRPr="000F7ED3" w:rsidTr="00986E53">
        <w:trPr>
          <w:jc w:val="center"/>
        </w:trPr>
        <w:tc>
          <w:tcPr>
            <w:tcW w:w="0" w:type="auto"/>
            <w:tcBorders>
              <w:top w:val="nil"/>
              <w:bottom w:val="nil"/>
            </w:tcBorders>
            <w:vAlign w:val="bottom"/>
          </w:tcPr>
          <w:p w:rsidR="000F7ED3" w:rsidRPr="000F7ED3" w:rsidRDefault="000F7ED3" w:rsidP="009E6FB7">
            <w:pPr>
              <w:spacing w:before="60" w:after="0" w:line="240" w:lineRule="auto"/>
              <w:jc w:val="both"/>
              <w:rPr>
                <w:rFonts w:ascii="Times New Roman" w:hAnsi="Times New Roman" w:cs="Times New Roman"/>
                <w:i/>
                <w:sz w:val="20"/>
                <w:szCs w:val="20"/>
              </w:rPr>
            </w:pPr>
            <w:r w:rsidRPr="000F7ED3">
              <w:rPr>
                <w:rFonts w:ascii="Times New Roman" w:hAnsi="Times New Roman" w:cs="Times New Roman"/>
                <w:i/>
                <w:sz w:val="20"/>
                <w:szCs w:val="20"/>
              </w:rPr>
              <w:t>T. Peninsularis</w:t>
            </w:r>
          </w:p>
        </w:tc>
        <w:tc>
          <w:tcPr>
            <w:tcW w:w="0" w:type="auto"/>
            <w:tcBorders>
              <w:top w:val="nil"/>
              <w:bottom w:val="nil"/>
            </w:tcBorders>
            <w:vAlign w:val="bottom"/>
          </w:tcPr>
          <w:p w:rsidR="000F7ED3" w:rsidRPr="000F7ED3" w:rsidRDefault="000F7ED3" w:rsidP="009E6FB7">
            <w:pPr>
              <w:spacing w:before="60" w:after="0" w:line="240" w:lineRule="auto"/>
              <w:jc w:val="both"/>
              <w:rPr>
                <w:rFonts w:ascii="Times New Roman" w:hAnsi="Times New Roman" w:cs="Times New Roman"/>
                <w:sz w:val="20"/>
                <w:szCs w:val="20"/>
              </w:rPr>
            </w:pPr>
            <w:r w:rsidRPr="000F7ED3">
              <w:rPr>
                <w:rFonts w:ascii="Times New Roman" w:hAnsi="Times New Roman" w:cs="Times New Roman"/>
                <w:sz w:val="20"/>
                <w:szCs w:val="20"/>
              </w:rPr>
              <w:t>5.6 ± 0.30</w:t>
            </w:r>
          </w:p>
        </w:tc>
        <w:tc>
          <w:tcPr>
            <w:tcW w:w="0" w:type="auto"/>
            <w:tcBorders>
              <w:top w:val="nil"/>
              <w:bottom w:val="nil"/>
            </w:tcBorders>
            <w:vAlign w:val="bottom"/>
          </w:tcPr>
          <w:p w:rsidR="000F7ED3" w:rsidRPr="000F7ED3" w:rsidRDefault="000F7ED3" w:rsidP="009E6FB7">
            <w:pPr>
              <w:spacing w:before="60" w:after="0" w:line="240" w:lineRule="auto"/>
              <w:jc w:val="both"/>
              <w:rPr>
                <w:rFonts w:ascii="Times New Roman" w:hAnsi="Times New Roman" w:cs="Times New Roman"/>
                <w:sz w:val="20"/>
                <w:szCs w:val="20"/>
              </w:rPr>
            </w:pPr>
            <w:r w:rsidRPr="000F7ED3">
              <w:rPr>
                <w:rFonts w:ascii="Times New Roman" w:hAnsi="Times New Roman" w:cs="Times New Roman"/>
                <w:sz w:val="20"/>
                <w:szCs w:val="20"/>
              </w:rPr>
              <w:t>16.7 ± 0.32</w:t>
            </w:r>
          </w:p>
        </w:tc>
      </w:tr>
      <w:tr w:rsidR="000F7ED3" w:rsidRPr="000F7ED3" w:rsidTr="00986E53">
        <w:trPr>
          <w:jc w:val="center"/>
        </w:trPr>
        <w:tc>
          <w:tcPr>
            <w:tcW w:w="0" w:type="auto"/>
            <w:tcBorders>
              <w:top w:val="nil"/>
              <w:bottom w:val="nil"/>
            </w:tcBorders>
            <w:vAlign w:val="bottom"/>
          </w:tcPr>
          <w:p w:rsidR="000F7ED3" w:rsidRPr="000F7ED3" w:rsidRDefault="000F7ED3" w:rsidP="009E6FB7">
            <w:pPr>
              <w:spacing w:before="60" w:after="0" w:line="240" w:lineRule="auto"/>
              <w:jc w:val="both"/>
              <w:rPr>
                <w:rFonts w:ascii="Times New Roman" w:hAnsi="Times New Roman" w:cs="Times New Roman"/>
                <w:i/>
                <w:sz w:val="20"/>
                <w:szCs w:val="20"/>
              </w:rPr>
            </w:pPr>
            <w:r w:rsidRPr="000F7ED3">
              <w:rPr>
                <w:rFonts w:ascii="Times New Roman" w:hAnsi="Times New Roman" w:cs="Times New Roman"/>
                <w:i/>
                <w:sz w:val="20"/>
                <w:szCs w:val="20"/>
              </w:rPr>
              <w:t>L. canifrons</w:t>
            </w:r>
          </w:p>
        </w:tc>
        <w:tc>
          <w:tcPr>
            <w:tcW w:w="0" w:type="auto"/>
            <w:tcBorders>
              <w:top w:val="nil"/>
              <w:bottom w:val="nil"/>
            </w:tcBorders>
            <w:vAlign w:val="bottom"/>
          </w:tcPr>
          <w:p w:rsidR="000F7ED3" w:rsidRPr="000F7ED3" w:rsidRDefault="000F7ED3" w:rsidP="009E6FB7">
            <w:pPr>
              <w:spacing w:before="60" w:after="0" w:line="240" w:lineRule="auto"/>
              <w:jc w:val="both"/>
              <w:rPr>
                <w:rFonts w:ascii="Times New Roman" w:hAnsi="Times New Roman" w:cs="Times New Roman"/>
                <w:sz w:val="20"/>
                <w:szCs w:val="20"/>
              </w:rPr>
            </w:pPr>
            <w:r w:rsidRPr="000F7ED3">
              <w:rPr>
                <w:rFonts w:ascii="Times New Roman" w:hAnsi="Times New Roman" w:cs="Times New Roman"/>
                <w:sz w:val="20"/>
                <w:szCs w:val="20"/>
              </w:rPr>
              <w:t>4.0 ± 0.20</w:t>
            </w:r>
          </w:p>
        </w:tc>
        <w:tc>
          <w:tcPr>
            <w:tcW w:w="0" w:type="auto"/>
            <w:tcBorders>
              <w:top w:val="nil"/>
              <w:bottom w:val="nil"/>
            </w:tcBorders>
            <w:vAlign w:val="bottom"/>
          </w:tcPr>
          <w:p w:rsidR="000F7ED3" w:rsidRPr="000F7ED3" w:rsidRDefault="000F7ED3" w:rsidP="009E6FB7">
            <w:pPr>
              <w:spacing w:before="60" w:after="0" w:line="240" w:lineRule="auto"/>
              <w:jc w:val="both"/>
              <w:rPr>
                <w:rFonts w:ascii="Times New Roman" w:hAnsi="Times New Roman" w:cs="Times New Roman"/>
                <w:sz w:val="20"/>
                <w:szCs w:val="20"/>
              </w:rPr>
            </w:pPr>
            <w:r w:rsidRPr="000F7ED3">
              <w:rPr>
                <w:rFonts w:ascii="Times New Roman" w:hAnsi="Times New Roman" w:cs="Times New Roman"/>
                <w:sz w:val="20"/>
                <w:szCs w:val="20"/>
              </w:rPr>
              <w:t>11.8 ± 1.12</w:t>
            </w:r>
          </w:p>
        </w:tc>
      </w:tr>
      <w:tr w:rsidR="000F7ED3" w:rsidRPr="000F7ED3" w:rsidTr="009E6FB7">
        <w:trPr>
          <w:jc w:val="center"/>
        </w:trPr>
        <w:tc>
          <w:tcPr>
            <w:tcW w:w="0" w:type="auto"/>
            <w:tcBorders>
              <w:top w:val="nil"/>
              <w:bottom w:val="nil"/>
            </w:tcBorders>
            <w:vAlign w:val="bottom"/>
          </w:tcPr>
          <w:p w:rsidR="000F7ED3" w:rsidRPr="000F7ED3" w:rsidRDefault="000F7ED3" w:rsidP="009E6FB7">
            <w:pPr>
              <w:spacing w:before="60" w:after="0" w:line="240" w:lineRule="auto"/>
              <w:jc w:val="both"/>
              <w:rPr>
                <w:rFonts w:ascii="Times New Roman" w:hAnsi="Times New Roman" w:cs="Times New Roman"/>
                <w:i/>
                <w:sz w:val="20"/>
                <w:szCs w:val="20"/>
              </w:rPr>
            </w:pPr>
            <w:r w:rsidRPr="000F7ED3">
              <w:rPr>
                <w:rFonts w:ascii="Times New Roman" w:hAnsi="Times New Roman" w:cs="Times New Roman"/>
                <w:i/>
                <w:sz w:val="20"/>
                <w:szCs w:val="20"/>
              </w:rPr>
              <w:t>T. melanoleuca</w:t>
            </w:r>
          </w:p>
        </w:tc>
        <w:tc>
          <w:tcPr>
            <w:tcW w:w="0" w:type="auto"/>
            <w:tcBorders>
              <w:top w:val="nil"/>
              <w:bottom w:val="nil"/>
            </w:tcBorders>
            <w:vAlign w:val="bottom"/>
          </w:tcPr>
          <w:p w:rsidR="000F7ED3" w:rsidRPr="000F7ED3" w:rsidRDefault="000F7ED3" w:rsidP="009E6FB7">
            <w:pPr>
              <w:spacing w:before="60" w:after="0" w:line="240" w:lineRule="auto"/>
              <w:jc w:val="both"/>
              <w:rPr>
                <w:rFonts w:ascii="Times New Roman" w:hAnsi="Times New Roman" w:cs="Times New Roman"/>
                <w:sz w:val="20"/>
                <w:szCs w:val="20"/>
              </w:rPr>
            </w:pPr>
            <w:r w:rsidRPr="000F7ED3">
              <w:rPr>
                <w:rFonts w:ascii="Times New Roman" w:hAnsi="Times New Roman" w:cs="Times New Roman"/>
                <w:sz w:val="20"/>
                <w:szCs w:val="20"/>
              </w:rPr>
              <w:t>0.6 ± 0.06</w:t>
            </w:r>
          </w:p>
        </w:tc>
        <w:tc>
          <w:tcPr>
            <w:tcW w:w="0" w:type="auto"/>
            <w:tcBorders>
              <w:top w:val="nil"/>
              <w:bottom w:val="nil"/>
            </w:tcBorders>
            <w:vAlign w:val="bottom"/>
          </w:tcPr>
          <w:p w:rsidR="000F7ED3" w:rsidRPr="000F7ED3" w:rsidRDefault="000F7ED3" w:rsidP="009E6FB7">
            <w:pPr>
              <w:spacing w:before="60" w:after="0" w:line="240" w:lineRule="auto"/>
              <w:jc w:val="both"/>
              <w:rPr>
                <w:rFonts w:ascii="Times New Roman" w:hAnsi="Times New Roman" w:cs="Times New Roman"/>
                <w:sz w:val="20"/>
                <w:szCs w:val="20"/>
              </w:rPr>
            </w:pPr>
            <w:r w:rsidRPr="000F7ED3">
              <w:rPr>
                <w:rFonts w:ascii="Times New Roman" w:hAnsi="Times New Roman" w:cs="Times New Roman"/>
                <w:sz w:val="20"/>
                <w:szCs w:val="20"/>
              </w:rPr>
              <w:t>7.6 ± 0.35</w:t>
            </w:r>
          </w:p>
        </w:tc>
      </w:tr>
      <w:tr w:rsidR="000F7ED3" w:rsidRPr="000F7ED3" w:rsidTr="009E6FB7">
        <w:trPr>
          <w:jc w:val="center"/>
        </w:trPr>
        <w:tc>
          <w:tcPr>
            <w:tcW w:w="0" w:type="auto"/>
            <w:tcBorders>
              <w:top w:val="nil"/>
              <w:bottom w:val="single" w:sz="4" w:space="0" w:color="auto"/>
            </w:tcBorders>
            <w:vAlign w:val="bottom"/>
          </w:tcPr>
          <w:p w:rsidR="000F7ED3" w:rsidRPr="000F7ED3" w:rsidRDefault="000F7ED3" w:rsidP="009E6FB7">
            <w:pPr>
              <w:spacing w:before="60" w:after="60" w:line="240" w:lineRule="auto"/>
              <w:jc w:val="both"/>
              <w:rPr>
                <w:rFonts w:ascii="Times New Roman" w:hAnsi="Times New Roman" w:cs="Times New Roman"/>
                <w:i/>
                <w:sz w:val="20"/>
                <w:szCs w:val="20"/>
              </w:rPr>
            </w:pPr>
            <w:r w:rsidRPr="000F7ED3">
              <w:rPr>
                <w:rFonts w:ascii="Times New Roman" w:hAnsi="Times New Roman" w:cs="Times New Roman"/>
                <w:i/>
                <w:sz w:val="20"/>
                <w:szCs w:val="20"/>
              </w:rPr>
              <w:t>T. binghami</w:t>
            </w:r>
          </w:p>
        </w:tc>
        <w:tc>
          <w:tcPr>
            <w:tcW w:w="0" w:type="auto"/>
            <w:tcBorders>
              <w:top w:val="nil"/>
              <w:bottom w:val="single" w:sz="4" w:space="0" w:color="auto"/>
            </w:tcBorders>
            <w:vAlign w:val="bottom"/>
          </w:tcPr>
          <w:p w:rsidR="000F7ED3" w:rsidRPr="000F7ED3" w:rsidRDefault="000F7ED3" w:rsidP="009E6FB7">
            <w:pPr>
              <w:spacing w:before="60" w:after="60" w:line="240" w:lineRule="auto"/>
              <w:jc w:val="both"/>
              <w:rPr>
                <w:rFonts w:ascii="Times New Roman" w:hAnsi="Times New Roman" w:cs="Times New Roman"/>
                <w:sz w:val="20"/>
                <w:szCs w:val="20"/>
              </w:rPr>
            </w:pPr>
            <w:r w:rsidRPr="000F7ED3">
              <w:rPr>
                <w:rFonts w:ascii="Times New Roman" w:hAnsi="Times New Roman" w:cs="Times New Roman"/>
                <w:sz w:val="20"/>
                <w:szCs w:val="20"/>
              </w:rPr>
              <w:t>0.8 ± 0.34</w:t>
            </w:r>
          </w:p>
        </w:tc>
        <w:tc>
          <w:tcPr>
            <w:tcW w:w="0" w:type="auto"/>
            <w:tcBorders>
              <w:top w:val="nil"/>
              <w:bottom w:val="single" w:sz="4" w:space="0" w:color="auto"/>
            </w:tcBorders>
            <w:vAlign w:val="bottom"/>
          </w:tcPr>
          <w:p w:rsidR="000F7ED3" w:rsidRPr="000F7ED3" w:rsidRDefault="000F7ED3" w:rsidP="009E6FB7">
            <w:pPr>
              <w:spacing w:before="60" w:after="60" w:line="240" w:lineRule="auto"/>
              <w:jc w:val="both"/>
              <w:rPr>
                <w:rFonts w:ascii="Times New Roman" w:hAnsi="Times New Roman" w:cs="Times New Roman"/>
                <w:sz w:val="20"/>
                <w:szCs w:val="20"/>
              </w:rPr>
            </w:pPr>
            <w:r w:rsidRPr="000F7ED3">
              <w:rPr>
                <w:rFonts w:ascii="Times New Roman" w:hAnsi="Times New Roman" w:cs="Times New Roman"/>
                <w:sz w:val="20"/>
                <w:szCs w:val="20"/>
              </w:rPr>
              <w:t>5.7 ± 0.45</w:t>
            </w:r>
          </w:p>
        </w:tc>
      </w:tr>
    </w:tbl>
    <w:p w:rsidR="000F7ED3" w:rsidRPr="000F7ED3" w:rsidRDefault="000F7ED3" w:rsidP="009E6FB7">
      <w:pPr>
        <w:spacing w:after="120" w:line="240" w:lineRule="auto"/>
        <w:jc w:val="both"/>
        <w:outlineLvl w:val="0"/>
        <w:rPr>
          <w:rFonts w:ascii="Times New Roman" w:hAnsi="Times New Roman"/>
          <w:sz w:val="20"/>
          <w:szCs w:val="20"/>
        </w:rPr>
      </w:pPr>
    </w:p>
    <w:p w:rsidR="000F7ED3" w:rsidRPr="000F7ED3" w:rsidRDefault="000F7ED3" w:rsidP="000F7ED3">
      <w:pPr>
        <w:spacing w:after="0" w:line="240" w:lineRule="auto"/>
        <w:jc w:val="both"/>
        <w:outlineLvl w:val="0"/>
        <w:rPr>
          <w:rFonts w:ascii="Times New Roman" w:hAnsi="Times New Roman"/>
          <w:sz w:val="20"/>
          <w:szCs w:val="20"/>
        </w:rPr>
      </w:pPr>
      <w:r w:rsidRPr="000F7ED3">
        <w:rPr>
          <w:rFonts w:ascii="Times New Roman" w:hAnsi="Times New Roman"/>
          <w:sz w:val="20"/>
          <w:szCs w:val="20"/>
        </w:rPr>
        <w:t xml:space="preserve">The maximum concentration of TFC found in the ethanolic extract of propolis was 116.1 mg/ml from the </w:t>
      </w:r>
      <w:r w:rsidRPr="000F7ED3">
        <w:rPr>
          <w:rFonts w:ascii="Times New Roman" w:hAnsi="Times New Roman"/>
          <w:i/>
          <w:sz w:val="20"/>
          <w:szCs w:val="20"/>
        </w:rPr>
        <w:t>H. itama</w:t>
      </w:r>
      <w:r w:rsidRPr="000F7ED3">
        <w:rPr>
          <w:rFonts w:ascii="Times New Roman" w:hAnsi="Times New Roman"/>
          <w:sz w:val="20"/>
          <w:szCs w:val="20"/>
        </w:rPr>
        <w:t xml:space="preserve"> species, while the lowest comes from the </w:t>
      </w:r>
      <w:r w:rsidRPr="000F7ED3">
        <w:rPr>
          <w:rFonts w:ascii="Times New Roman" w:hAnsi="Times New Roman"/>
          <w:i/>
          <w:sz w:val="20"/>
          <w:szCs w:val="20"/>
        </w:rPr>
        <w:t>T. melanoleuca</w:t>
      </w:r>
      <w:r w:rsidRPr="000F7ED3">
        <w:rPr>
          <w:rFonts w:ascii="Times New Roman" w:hAnsi="Times New Roman"/>
          <w:sz w:val="20"/>
          <w:szCs w:val="20"/>
        </w:rPr>
        <w:t xml:space="preserve"> species with 0.6 mg/ml. The amount of TPC was found to be high in </w:t>
      </w:r>
      <w:r w:rsidRPr="000F7ED3">
        <w:rPr>
          <w:rFonts w:ascii="Times New Roman" w:hAnsi="Times New Roman"/>
          <w:i/>
          <w:sz w:val="20"/>
          <w:szCs w:val="20"/>
        </w:rPr>
        <w:t>H. itama</w:t>
      </w:r>
      <w:r w:rsidRPr="000F7ED3">
        <w:rPr>
          <w:rFonts w:ascii="Times New Roman" w:hAnsi="Times New Roman"/>
          <w:sz w:val="20"/>
          <w:szCs w:val="20"/>
        </w:rPr>
        <w:t xml:space="preserve"> propolis extract (58.2 mg/ml), compared to the TPC, which was lower in the sample of </w:t>
      </w:r>
      <w:r w:rsidRPr="000F7ED3">
        <w:rPr>
          <w:rFonts w:ascii="Times New Roman" w:hAnsi="Times New Roman"/>
          <w:i/>
          <w:sz w:val="20"/>
          <w:szCs w:val="20"/>
        </w:rPr>
        <w:t>T. binghami</w:t>
      </w:r>
      <w:r w:rsidRPr="000F7ED3">
        <w:rPr>
          <w:rFonts w:ascii="Times New Roman" w:hAnsi="Times New Roman"/>
          <w:sz w:val="20"/>
          <w:szCs w:val="20"/>
        </w:rPr>
        <w:t xml:space="preserve"> propolis extract (5.7 mg/ml). Meanwhile, for both the sticky base propolis of </w:t>
      </w:r>
      <w:r w:rsidRPr="000F7ED3">
        <w:rPr>
          <w:rFonts w:ascii="Times New Roman" w:hAnsi="Times New Roman"/>
          <w:i/>
          <w:sz w:val="20"/>
          <w:szCs w:val="20"/>
        </w:rPr>
        <w:t>H. itama</w:t>
      </w:r>
      <w:r w:rsidRPr="000F7ED3">
        <w:rPr>
          <w:rFonts w:ascii="Times New Roman" w:hAnsi="Times New Roman"/>
          <w:sz w:val="20"/>
          <w:szCs w:val="20"/>
        </w:rPr>
        <w:t xml:space="preserve"> propolis extract and </w:t>
      </w:r>
      <w:r w:rsidRPr="000F7ED3">
        <w:rPr>
          <w:rFonts w:ascii="Times New Roman" w:hAnsi="Times New Roman"/>
          <w:i/>
          <w:sz w:val="20"/>
          <w:szCs w:val="20"/>
        </w:rPr>
        <w:t>G. thoracica</w:t>
      </w:r>
      <w:r w:rsidRPr="000F7ED3">
        <w:rPr>
          <w:rFonts w:ascii="Times New Roman" w:hAnsi="Times New Roman"/>
          <w:sz w:val="20"/>
          <w:szCs w:val="20"/>
        </w:rPr>
        <w:t xml:space="preserve"> propolis extract, the </w:t>
      </w:r>
      <w:r w:rsidRPr="000F7ED3">
        <w:rPr>
          <w:rFonts w:ascii="Times New Roman" w:hAnsi="Times New Roman"/>
          <w:i/>
          <w:sz w:val="20"/>
          <w:szCs w:val="20"/>
        </w:rPr>
        <w:t>H. itama</w:t>
      </w:r>
      <w:r w:rsidRPr="000F7ED3">
        <w:rPr>
          <w:rFonts w:ascii="Times New Roman" w:hAnsi="Times New Roman"/>
          <w:sz w:val="20"/>
          <w:szCs w:val="20"/>
        </w:rPr>
        <w:t xml:space="preserve"> propolis extract contains high amount of flavonoids content, compared to </w:t>
      </w:r>
      <w:r w:rsidRPr="000F7ED3">
        <w:rPr>
          <w:rFonts w:ascii="Times New Roman" w:hAnsi="Times New Roman"/>
          <w:i/>
          <w:sz w:val="20"/>
          <w:szCs w:val="20"/>
        </w:rPr>
        <w:t>G. thoracica</w:t>
      </w:r>
      <w:r w:rsidRPr="000F7ED3">
        <w:rPr>
          <w:rFonts w:ascii="Times New Roman" w:hAnsi="Times New Roman"/>
          <w:sz w:val="20"/>
          <w:szCs w:val="20"/>
        </w:rPr>
        <w:t xml:space="preserve"> propolis extract which were 116.1 mg/ml and 18.4 mg/ml, respectively. Similarly, the </w:t>
      </w:r>
      <w:r w:rsidRPr="000F7ED3">
        <w:rPr>
          <w:rFonts w:ascii="Times New Roman" w:hAnsi="Times New Roman"/>
          <w:i/>
          <w:sz w:val="20"/>
          <w:szCs w:val="20"/>
        </w:rPr>
        <w:t>H. itama</w:t>
      </w:r>
      <w:r w:rsidRPr="000F7ED3">
        <w:rPr>
          <w:rFonts w:ascii="Times New Roman" w:hAnsi="Times New Roman"/>
          <w:sz w:val="20"/>
          <w:szCs w:val="20"/>
        </w:rPr>
        <w:t xml:space="preserve"> propolis extract possesses large quantities of phenolic content compared to </w:t>
      </w:r>
      <w:r w:rsidRPr="000F7ED3">
        <w:rPr>
          <w:rFonts w:ascii="Times New Roman" w:hAnsi="Times New Roman"/>
          <w:i/>
          <w:sz w:val="20"/>
          <w:szCs w:val="20"/>
        </w:rPr>
        <w:t>G. thoracica</w:t>
      </w:r>
      <w:r w:rsidRPr="000F7ED3">
        <w:rPr>
          <w:rFonts w:ascii="Times New Roman" w:hAnsi="Times New Roman"/>
          <w:sz w:val="20"/>
          <w:szCs w:val="20"/>
        </w:rPr>
        <w:t xml:space="preserve"> propolis extract, which were 58.2 mg/ml and 18.4 mg/ml, respectively. The results obtained from the present study show that the propolis extract of </w:t>
      </w:r>
      <w:r w:rsidRPr="000F7ED3">
        <w:rPr>
          <w:rFonts w:ascii="Times New Roman" w:hAnsi="Times New Roman"/>
          <w:i/>
          <w:sz w:val="20"/>
          <w:szCs w:val="20"/>
        </w:rPr>
        <w:t>H. itama</w:t>
      </w:r>
      <w:r w:rsidRPr="000F7ED3">
        <w:rPr>
          <w:rFonts w:ascii="Times New Roman" w:hAnsi="Times New Roman"/>
          <w:sz w:val="20"/>
          <w:szCs w:val="20"/>
        </w:rPr>
        <w:t xml:space="preserve"> species, which contains the highest amount of TFC and TPC, followed by propolis extract of </w:t>
      </w:r>
      <w:r w:rsidRPr="000F7ED3">
        <w:rPr>
          <w:rFonts w:ascii="Times New Roman" w:hAnsi="Times New Roman"/>
          <w:i/>
          <w:sz w:val="20"/>
          <w:szCs w:val="20"/>
        </w:rPr>
        <w:t>G. thoracica</w:t>
      </w:r>
      <w:r w:rsidRPr="000F7ED3">
        <w:rPr>
          <w:rFonts w:ascii="Times New Roman" w:hAnsi="Times New Roman"/>
          <w:sz w:val="20"/>
          <w:szCs w:val="20"/>
        </w:rPr>
        <w:t xml:space="preserve"> species, exhibited the greatest antioxidant activity. The sticky propolis showed 91% of TFC and 49% of TPC higher than the hard propolis. Previous study has been reported that TPC and TFC of </w:t>
      </w:r>
      <w:r w:rsidRPr="000F7ED3">
        <w:rPr>
          <w:rFonts w:ascii="Times New Roman" w:hAnsi="Times New Roman"/>
          <w:i/>
          <w:sz w:val="20"/>
          <w:szCs w:val="20"/>
        </w:rPr>
        <w:t>H. itama</w:t>
      </w:r>
      <w:r w:rsidRPr="000F7ED3">
        <w:rPr>
          <w:rFonts w:ascii="Times New Roman" w:hAnsi="Times New Roman"/>
          <w:sz w:val="20"/>
          <w:szCs w:val="20"/>
        </w:rPr>
        <w:t xml:space="preserve"> was higher than </w:t>
      </w:r>
      <w:r w:rsidRPr="000F7ED3">
        <w:rPr>
          <w:rFonts w:ascii="Times New Roman" w:hAnsi="Times New Roman"/>
          <w:i/>
          <w:sz w:val="20"/>
          <w:szCs w:val="20"/>
        </w:rPr>
        <w:t xml:space="preserve">G. thoracica </w:t>
      </w:r>
      <w:r w:rsidRPr="000F7ED3">
        <w:rPr>
          <w:rFonts w:ascii="Times New Roman" w:hAnsi="Times New Roman"/>
          <w:sz w:val="20"/>
          <w:szCs w:val="20"/>
        </w:rPr>
        <w:t xml:space="preserve">[21]. Thus, both sticky base propolis of </w:t>
      </w:r>
      <w:r w:rsidRPr="000F7ED3">
        <w:rPr>
          <w:rFonts w:ascii="Times New Roman" w:hAnsi="Times New Roman"/>
          <w:i/>
          <w:sz w:val="20"/>
          <w:szCs w:val="20"/>
        </w:rPr>
        <w:t>H. itama</w:t>
      </w:r>
      <w:r w:rsidRPr="000F7ED3">
        <w:rPr>
          <w:rFonts w:ascii="Times New Roman" w:hAnsi="Times New Roman"/>
          <w:sz w:val="20"/>
          <w:szCs w:val="20"/>
        </w:rPr>
        <w:t xml:space="preserve"> and </w:t>
      </w:r>
      <w:r w:rsidRPr="000F7ED3">
        <w:rPr>
          <w:rFonts w:ascii="Times New Roman" w:hAnsi="Times New Roman"/>
          <w:i/>
          <w:sz w:val="20"/>
          <w:szCs w:val="20"/>
        </w:rPr>
        <w:t>G. thoracica</w:t>
      </w:r>
      <w:r w:rsidRPr="000F7ED3">
        <w:rPr>
          <w:rFonts w:ascii="Times New Roman" w:hAnsi="Times New Roman"/>
          <w:sz w:val="20"/>
          <w:szCs w:val="20"/>
        </w:rPr>
        <w:t xml:space="preserve"> species have more potential to be developed as part of new drugs, compared to harden base propolis of </w:t>
      </w:r>
      <w:r w:rsidRPr="000F7ED3">
        <w:rPr>
          <w:rFonts w:ascii="Times New Roman" w:hAnsi="Times New Roman"/>
          <w:i/>
          <w:sz w:val="20"/>
          <w:szCs w:val="20"/>
        </w:rPr>
        <w:t>H. aliceae, H. fimbriata, T. apicalis, T. vidua, T. peninsularis, L. canifrons, T. melanoleuca</w:t>
      </w:r>
      <w:r w:rsidRPr="000F7ED3">
        <w:rPr>
          <w:rFonts w:ascii="Times New Roman" w:hAnsi="Times New Roman"/>
          <w:sz w:val="20"/>
          <w:szCs w:val="20"/>
        </w:rPr>
        <w:t xml:space="preserve">, and </w:t>
      </w:r>
      <w:r w:rsidRPr="000F7ED3">
        <w:rPr>
          <w:rFonts w:ascii="Times New Roman" w:hAnsi="Times New Roman"/>
          <w:i/>
          <w:sz w:val="20"/>
          <w:szCs w:val="20"/>
        </w:rPr>
        <w:t>T. binghami</w:t>
      </w:r>
      <w:r w:rsidRPr="000F7ED3">
        <w:rPr>
          <w:rFonts w:ascii="Times New Roman" w:hAnsi="Times New Roman"/>
          <w:sz w:val="20"/>
          <w:szCs w:val="20"/>
        </w:rPr>
        <w:t xml:space="preserve">.  Moreover, it is clearly understood that the phenolic compounds and flavonoids are the chief components of propolis and account for </w:t>
      </w:r>
      <w:r w:rsidRPr="000F7ED3">
        <w:rPr>
          <w:rFonts w:ascii="Times New Roman" w:hAnsi="Times New Roman"/>
          <w:sz w:val="20"/>
          <w:szCs w:val="20"/>
        </w:rPr>
        <w:lastRenderedPageBreak/>
        <w:t>antioxidant properties.  The variation in the TFC of propolis is mainly attributable to the difference in the preferred regional plants pollinated by the stingless bees.  In this regard, the content of flavonoids and other phenolic substances are suggested as able to prevent cancer and heart diseases [22].</w:t>
      </w:r>
    </w:p>
    <w:p w:rsidR="000F7ED3" w:rsidRPr="000F7ED3" w:rsidRDefault="000F7ED3" w:rsidP="000F7ED3">
      <w:pPr>
        <w:spacing w:after="0" w:line="240" w:lineRule="auto"/>
        <w:jc w:val="both"/>
        <w:outlineLvl w:val="0"/>
        <w:rPr>
          <w:rFonts w:ascii="Times New Roman" w:hAnsi="Times New Roman"/>
          <w:sz w:val="20"/>
          <w:szCs w:val="20"/>
        </w:rPr>
      </w:pPr>
    </w:p>
    <w:p w:rsidR="000F7ED3" w:rsidRPr="000F7ED3" w:rsidRDefault="000F7ED3" w:rsidP="000F7ED3">
      <w:pPr>
        <w:spacing w:after="0" w:line="240" w:lineRule="auto"/>
        <w:jc w:val="both"/>
        <w:outlineLvl w:val="0"/>
        <w:rPr>
          <w:rFonts w:ascii="Times New Roman" w:hAnsi="Times New Roman"/>
          <w:b/>
          <w:sz w:val="20"/>
          <w:szCs w:val="20"/>
        </w:rPr>
      </w:pPr>
      <w:r w:rsidRPr="000F7ED3">
        <w:rPr>
          <w:rFonts w:ascii="Times New Roman" w:hAnsi="Times New Roman"/>
          <w:b/>
          <w:sz w:val="20"/>
          <w:szCs w:val="20"/>
        </w:rPr>
        <w:t>Free radical-scavenging activity</w:t>
      </w:r>
    </w:p>
    <w:p w:rsidR="000F7ED3" w:rsidRPr="000F7ED3" w:rsidRDefault="000F7ED3" w:rsidP="000F7ED3">
      <w:pPr>
        <w:spacing w:after="0" w:line="240" w:lineRule="auto"/>
        <w:jc w:val="both"/>
        <w:outlineLvl w:val="0"/>
        <w:rPr>
          <w:rFonts w:ascii="Times New Roman" w:hAnsi="Times New Roman"/>
          <w:sz w:val="20"/>
          <w:szCs w:val="20"/>
        </w:rPr>
      </w:pPr>
      <w:r w:rsidRPr="000F7ED3">
        <w:rPr>
          <w:rFonts w:ascii="Times New Roman" w:hAnsi="Times New Roman"/>
          <w:sz w:val="20"/>
          <w:szCs w:val="20"/>
        </w:rPr>
        <w:t xml:space="preserve">In order to evaluate the dose-response curve for the free radical-scavenging activity of ethanol extract of propolis, a method based on the reduction of DPPH a stable free radical, was used. The use of DPPH to scavenge radicals has advantages, including being easy to use, highly sensitive and able to analyze of large numbers of samples in a short time.  The DPPH is a free radical compound that has been widely used to analyze the free radical scavenging ability of various samples [23]. It is approved that the DPPH free radical scavenging through antioxidants is caused by their hydrogen-donating ability [24]. To evaluate the scavenging effect of DPPH on ethanol extract of propolis, DPPH inhibition was investigated and the results are shown as relative activities against control, as well as the variation of inhibition percentage. As shown in Figure 3, ascorbic acid has the highest inhibition percentage (antiradical activity), closely followed by </w:t>
      </w:r>
      <w:r w:rsidRPr="000F7ED3">
        <w:rPr>
          <w:rFonts w:ascii="Times New Roman" w:hAnsi="Times New Roman"/>
          <w:i/>
          <w:sz w:val="20"/>
          <w:szCs w:val="20"/>
        </w:rPr>
        <w:t>H. itama</w:t>
      </w:r>
      <w:r w:rsidRPr="000F7ED3">
        <w:rPr>
          <w:rFonts w:ascii="Times New Roman" w:hAnsi="Times New Roman"/>
          <w:sz w:val="20"/>
          <w:szCs w:val="20"/>
        </w:rPr>
        <w:t xml:space="preserve"> and the </w:t>
      </w:r>
      <w:r w:rsidRPr="000F7ED3">
        <w:rPr>
          <w:rFonts w:ascii="Times New Roman" w:hAnsi="Times New Roman"/>
          <w:i/>
          <w:sz w:val="20"/>
          <w:szCs w:val="20"/>
        </w:rPr>
        <w:t>L. canifrons</w:t>
      </w:r>
      <w:r w:rsidRPr="000F7ED3">
        <w:rPr>
          <w:rFonts w:ascii="Times New Roman" w:hAnsi="Times New Roman"/>
          <w:sz w:val="20"/>
          <w:szCs w:val="20"/>
        </w:rPr>
        <w:t xml:space="preserve"> has the lowest and the defenses are statistically significant. Meanwhile, although ascorbic acid showed higher scavenging activity for all tested samples, ethanol extracts of propolis of sticky propolis still showed good free radical scavenging activity compared to ethanol extracts of propolis of harden propolis. </w:t>
      </w:r>
    </w:p>
    <w:p w:rsidR="000F7ED3" w:rsidRPr="000F7ED3" w:rsidRDefault="000F7ED3" w:rsidP="009E6FB7">
      <w:pPr>
        <w:spacing w:after="120" w:line="240" w:lineRule="auto"/>
        <w:jc w:val="both"/>
        <w:outlineLvl w:val="0"/>
        <w:rPr>
          <w:rFonts w:ascii="Times New Roman" w:hAnsi="Times New Roman"/>
          <w:sz w:val="20"/>
          <w:szCs w:val="20"/>
        </w:rPr>
      </w:pPr>
    </w:p>
    <w:p w:rsidR="000F7ED3" w:rsidRPr="000F7ED3" w:rsidRDefault="000F7ED3" w:rsidP="009E6FB7">
      <w:pPr>
        <w:spacing w:after="120" w:line="240" w:lineRule="auto"/>
        <w:jc w:val="center"/>
        <w:outlineLvl w:val="0"/>
        <w:rPr>
          <w:rFonts w:ascii="Times New Roman" w:hAnsi="Times New Roman"/>
          <w:sz w:val="20"/>
          <w:szCs w:val="20"/>
        </w:rPr>
      </w:pPr>
      <w:r w:rsidRPr="000F7ED3">
        <w:rPr>
          <w:rFonts w:ascii="Times New Roman" w:hAnsi="Times New Roman"/>
          <w:noProof/>
          <w:sz w:val="20"/>
          <w:szCs w:val="20"/>
          <w:lang w:bidi="ar-SA"/>
        </w:rPr>
        <w:drawing>
          <wp:inline distT="0" distB="0" distL="0" distR="0" wp14:anchorId="350DE418" wp14:editId="70F43CF7">
            <wp:extent cx="3956400" cy="2404871"/>
            <wp:effectExtent l="19050" t="19050" r="25400" b="146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56400" cy="2404871"/>
                    </a:xfrm>
                    <a:prstGeom prst="rect">
                      <a:avLst/>
                    </a:prstGeom>
                    <a:noFill/>
                    <a:ln>
                      <a:solidFill>
                        <a:schemeClr val="tx1"/>
                      </a:solidFill>
                    </a:ln>
                  </pic:spPr>
                </pic:pic>
              </a:graphicData>
            </a:graphic>
          </wp:inline>
        </w:drawing>
      </w:r>
    </w:p>
    <w:p w:rsidR="000F7ED3" w:rsidRPr="000F7ED3" w:rsidRDefault="000F7ED3" w:rsidP="009E6FB7">
      <w:pPr>
        <w:spacing w:after="0" w:line="240" w:lineRule="auto"/>
        <w:jc w:val="center"/>
        <w:outlineLvl w:val="0"/>
        <w:rPr>
          <w:rFonts w:ascii="Times New Roman" w:hAnsi="Times New Roman"/>
          <w:sz w:val="20"/>
          <w:szCs w:val="20"/>
        </w:rPr>
      </w:pPr>
      <w:r w:rsidRPr="000F7ED3">
        <w:rPr>
          <w:rFonts w:ascii="Times New Roman" w:hAnsi="Times New Roman"/>
          <w:sz w:val="20"/>
          <w:szCs w:val="20"/>
        </w:rPr>
        <w:t>Figure 3.  Free radical-scavenging activity of propolis stingless bees</w:t>
      </w:r>
    </w:p>
    <w:p w:rsidR="006768E9" w:rsidRDefault="006768E9" w:rsidP="009E6FB7">
      <w:pPr>
        <w:spacing w:after="120" w:line="240" w:lineRule="auto"/>
        <w:jc w:val="both"/>
        <w:rPr>
          <w:rFonts w:ascii="Times New Roman" w:hAnsi="Times New Roman"/>
          <w:noProof/>
          <w:sz w:val="20"/>
          <w:szCs w:val="20"/>
          <w:lang w:bidi="ar-SA"/>
        </w:rPr>
      </w:pPr>
    </w:p>
    <w:p w:rsidR="000F7ED3" w:rsidRDefault="009E6FB7" w:rsidP="009E6FB7">
      <w:pPr>
        <w:spacing w:after="0" w:line="240" w:lineRule="auto"/>
        <w:jc w:val="both"/>
        <w:outlineLvl w:val="0"/>
        <w:rPr>
          <w:rFonts w:ascii="Times New Roman" w:hAnsi="Times New Roman"/>
          <w:sz w:val="20"/>
          <w:szCs w:val="20"/>
        </w:rPr>
      </w:pPr>
      <w:r w:rsidRPr="000F7ED3">
        <w:rPr>
          <w:rFonts w:ascii="Times New Roman" w:hAnsi="Times New Roman"/>
          <w:sz w:val="20"/>
          <w:szCs w:val="20"/>
        </w:rPr>
        <w:t xml:space="preserve">In general, these findings demonstrate that the antioxidant activity was correlated with total polyphenol contents in propolis samples. In this light, the antioxidant activity of propolis is due to the presence of phenolic acids and flavonoid compounds, which have ability to reduce free radical formation, scavenge free radicals and chelate metal ions [18]. The highest antioxidant activities were found in sticky propolis of </w:t>
      </w:r>
      <w:r w:rsidRPr="000F7ED3">
        <w:rPr>
          <w:rFonts w:ascii="Times New Roman" w:hAnsi="Times New Roman"/>
          <w:i/>
          <w:sz w:val="20"/>
          <w:szCs w:val="20"/>
        </w:rPr>
        <w:t>H. itama</w:t>
      </w:r>
      <w:r w:rsidRPr="000F7ED3">
        <w:rPr>
          <w:rFonts w:ascii="Times New Roman" w:hAnsi="Times New Roman"/>
          <w:sz w:val="20"/>
          <w:szCs w:val="20"/>
        </w:rPr>
        <w:t xml:space="preserve"> which is 85% of DPPH degradation while the lowest antioxidant activity was found in the hard propolis of </w:t>
      </w:r>
      <w:r w:rsidRPr="000F7ED3">
        <w:rPr>
          <w:rFonts w:ascii="Times New Roman" w:hAnsi="Times New Roman"/>
          <w:i/>
          <w:sz w:val="20"/>
          <w:szCs w:val="20"/>
        </w:rPr>
        <w:t>L. conifrons</w:t>
      </w:r>
      <w:r w:rsidRPr="000F7ED3">
        <w:rPr>
          <w:rFonts w:ascii="Times New Roman" w:hAnsi="Times New Roman"/>
          <w:sz w:val="20"/>
          <w:szCs w:val="20"/>
        </w:rPr>
        <w:t xml:space="preserve"> which is 5% of DPPH degradation.  The results showed that the sticky propolis extract from the </w:t>
      </w:r>
      <w:r w:rsidRPr="000F7ED3">
        <w:rPr>
          <w:rFonts w:ascii="Times New Roman" w:hAnsi="Times New Roman"/>
          <w:i/>
          <w:sz w:val="20"/>
          <w:szCs w:val="20"/>
        </w:rPr>
        <w:t>H. itama</w:t>
      </w:r>
      <w:r w:rsidRPr="000F7ED3">
        <w:rPr>
          <w:rFonts w:ascii="Times New Roman" w:hAnsi="Times New Roman"/>
          <w:sz w:val="20"/>
          <w:szCs w:val="20"/>
        </w:rPr>
        <w:t xml:space="preserve"> and </w:t>
      </w:r>
      <w:r w:rsidRPr="000F7ED3">
        <w:rPr>
          <w:rFonts w:ascii="Times New Roman" w:hAnsi="Times New Roman"/>
          <w:i/>
          <w:sz w:val="20"/>
          <w:szCs w:val="20"/>
        </w:rPr>
        <w:t>G. thoracica</w:t>
      </w:r>
      <w:r w:rsidRPr="000F7ED3">
        <w:rPr>
          <w:rFonts w:ascii="Times New Roman" w:hAnsi="Times New Roman"/>
          <w:sz w:val="20"/>
          <w:szCs w:val="20"/>
        </w:rPr>
        <w:t xml:space="preserve"> species possess higher free radical-scavenging activity which shows it suitability to be used as a source of natural antioxidants, compared to hard propolis [25]. The reasons behind the marked higher radical scavenging activity exhibited by different types of propolis are probably due to their resin plant origin, climate, and resin collection time by the stingless bees.</w:t>
      </w:r>
    </w:p>
    <w:p w:rsidR="009E6FB7" w:rsidRPr="00F447A7" w:rsidRDefault="009E6FB7"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9E6FB7" w:rsidRPr="009E6FB7" w:rsidRDefault="009E6FB7" w:rsidP="009E6FB7">
      <w:pPr>
        <w:spacing w:after="0" w:line="240" w:lineRule="auto"/>
        <w:jc w:val="both"/>
        <w:outlineLvl w:val="0"/>
        <w:rPr>
          <w:rFonts w:ascii="Times New Roman" w:hAnsi="Times New Roman"/>
          <w:sz w:val="20"/>
          <w:szCs w:val="20"/>
        </w:rPr>
      </w:pPr>
      <w:r w:rsidRPr="009E6FB7">
        <w:rPr>
          <w:rFonts w:ascii="Times New Roman" w:hAnsi="Times New Roman"/>
          <w:sz w:val="20"/>
          <w:szCs w:val="20"/>
        </w:rPr>
        <w:t xml:space="preserve">This study shows that stingless bees species play a role in determining the phytochemical and antioxidant activity. This is the first report on the antioxidant activity of Malaysian propolis which, presents the comparison between sticky and hard propolis, particularly two commonly sticky propolis produced by </w:t>
      </w:r>
      <w:r w:rsidRPr="009E6FB7">
        <w:rPr>
          <w:rFonts w:ascii="Times New Roman" w:hAnsi="Times New Roman"/>
          <w:i/>
          <w:sz w:val="20"/>
          <w:szCs w:val="20"/>
        </w:rPr>
        <w:t>H. itama</w:t>
      </w:r>
      <w:r w:rsidRPr="009E6FB7">
        <w:rPr>
          <w:rFonts w:ascii="Times New Roman" w:hAnsi="Times New Roman"/>
          <w:sz w:val="20"/>
          <w:szCs w:val="20"/>
        </w:rPr>
        <w:t xml:space="preserve"> and </w:t>
      </w:r>
      <w:r w:rsidRPr="009E6FB7">
        <w:rPr>
          <w:rFonts w:ascii="Times New Roman" w:hAnsi="Times New Roman"/>
          <w:i/>
          <w:sz w:val="20"/>
          <w:szCs w:val="20"/>
        </w:rPr>
        <w:t>G. thoracica</w:t>
      </w:r>
      <w:r w:rsidRPr="009E6FB7">
        <w:rPr>
          <w:rFonts w:ascii="Times New Roman" w:hAnsi="Times New Roman"/>
          <w:sz w:val="20"/>
          <w:szCs w:val="20"/>
        </w:rPr>
        <w:t xml:space="preserve"> species </w:t>
      </w:r>
      <w:r w:rsidRPr="009E6FB7">
        <w:rPr>
          <w:rFonts w:ascii="Times New Roman" w:hAnsi="Times New Roman"/>
          <w:sz w:val="20"/>
          <w:szCs w:val="20"/>
        </w:rPr>
        <w:lastRenderedPageBreak/>
        <w:t xml:space="preserve">and the other hard propolis of </w:t>
      </w:r>
      <w:r w:rsidRPr="009E6FB7">
        <w:rPr>
          <w:rFonts w:ascii="Times New Roman" w:hAnsi="Times New Roman"/>
          <w:i/>
          <w:sz w:val="20"/>
          <w:szCs w:val="20"/>
        </w:rPr>
        <w:t>H. aliceae, H. fimbriata, T. apicalis, T. vidua, T. peninsularis, L. canifrons, T. melanoleuca,</w:t>
      </w:r>
      <w:r w:rsidRPr="009E6FB7">
        <w:rPr>
          <w:rFonts w:ascii="Times New Roman" w:hAnsi="Times New Roman"/>
          <w:sz w:val="20"/>
          <w:szCs w:val="20"/>
        </w:rPr>
        <w:t xml:space="preserve"> and </w:t>
      </w:r>
      <w:r w:rsidRPr="009E6FB7">
        <w:rPr>
          <w:rFonts w:ascii="Times New Roman" w:hAnsi="Times New Roman"/>
          <w:i/>
          <w:sz w:val="20"/>
          <w:szCs w:val="20"/>
        </w:rPr>
        <w:t>T. binghami</w:t>
      </w:r>
      <w:r w:rsidRPr="009E6FB7">
        <w:rPr>
          <w:rFonts w:ascii="Times New Roman" w:hAnsi="Times New Roman"/>
          <w:sz w:val="20"/>
          <w:szCs w:val="20"/>
        </w:rPr>
        <w:t xml:space="preserve"> species. In this regard, the propolis samples have strong antioxidant activities, and the strongest activity was found in the </w:t>
      </w:r>
      <w:r w:rsidRPr="009E6FB7">
        <w:rPr>
          <w:rFonts w:ascii="Times New Roman" w:hAnsi="Times New Roman"/>
          <w:i/>
          <w:sz w:val="20"/>
          <w:szCs w:val="20"/>
        </w:rPr>
        <w:t>H. itama</w:t>
      </w:r>
      <w:r w:rsidRPr="009E6FB7">
        <w:rPr>
          <w:rFonts w:ascii="Times New Roman" w:hAnsi="Times New Roman"/>
          <w:sz w:val="20"/>
          <w:szCs w:val="20"/>
        </w:rPr>
        <w:t xml:space="preserve"> propolis which was came from sticky propolis. Consequently, the data presented in this study will shed some light on the potential of propolis produced by stingless bees in Malaysia.  In this light, further investigations on the identification of marker compounds should be carried out to be use in propolis standardization.</w:t>
      </w:r>
    </w:p>
    <w:p w:rsidR="009E6FB7" w:rsidRPr="009E6FB7" w:rsidRDefault="009E6FB7" w:rsidP="009E6FB7">
      <w:pPr>
        <w:spacing w:after="0" w:line="240" w:lineRule="auto"/>
        <w:jc w:val="center"/>
        <w:outlineLvl w:val="0"/>
        <w:rPr>
          <w:rFonts w:ascii="Times New Roman" w:hAnsi="Times New Roman"/>
          <w:sz w:val="20"/>
          <w:szCs w:val="20"/>
        </w:rPr>
      </w:pPr>
    </w:p>
    <w:p w:rsidR="009E6FB7" w:rsidRPr="009E6FB7" w:rsidRDefault="009E6FB7" w:rsidP="009E6FB7">
      <w:pPr>
        <w:spacing w:after="0" w:line="240" w:lineRule="auto"/>
        <w:jc w:val="center"/>
        <w:outlineLvl w:val="0"/>
        <w:rPr>
          <w:rFonts w:ascii="Times New Roman" w:hAnsi="Times New Roman"/>
          <w:b/>
          <w:sz w:val="20"/>
          <w:szCs w:val="20"/>
        </w:rPr>
      </w:pPr>
      <w:r w:rsidRPr="009E6FB7">
        <w:rPr>
          <w:rFonts w:ascii="Times New Roman" w:hAnsi="Times New Roman"/>
          <w:b/>
          <w:sz w:val="20"/>
          <w:szCs w:val="20"/>
        </w:rPr>
        <w:t>Acknowledgement</w:t>
      </w:r>
    </w:p>
    <w:p w:rsidR="006768E9" w:rsidRPr="00F447A7" w:rsidRDefault="009E6FB7" w:rsidP="009E6FB7">
      <w:pPr>
        <w:spacing w:after="0" w:line="240" w:lineRule="auto"/>
        <w:jc w:val="both"/>
        <w:outlineLvl w:val="0"/>
        <w:rPr>
          <w:rFonts w:ascii="Times New Roman" w:hAnsi="Times New Roman"/>
          <w:sz w:val="20"/>
          <w:szCs w:val="20"/>
        </w:rPr>
      </w:pPr>
      <w:r w:rsidRPr="009E6FB7">
        <w:rPr>
          <w:rFonts w:ascii="Times New Roman" w:hAnsi="Times New Roman"/>
          <w:sz w:val="20"/>
          <w:szCs w:val="20"/>
        </w:rPr>
        <w:t xml:space="preserve">This paper is fully supported by Fundamental Research Grant Scheme (Vot 59438), Ministry of Higher Education (MOHE) and University Malaysia Terengganu by the approved fund.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E6FB7" w:rsidRPr="009E6FB7" w:rsidRDefault="009E6FB7" w:rsidP="009E6FB7">
      <w:pPr>
        <w:widowControl w:val="0"/>
        <w:numPr>
          <w:ilvl w:val="0"/>
          <w:numId w:val="2"/>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Prime Minister’s Department, Malaysia (2009). Economic planning unit. Access from http://www.epu.gov.my/</w:t>
      </w:r>
      <w:r>
        <w:rPr>
          <w:rFonts w:ascii="Times New Roman" w:hAnsi="Times New Roman"/>
          <w:sz w:val="20"/>
          <w:szCs w:val="20"/>
        </w:rPr>
        <w:t xml:space="preserve"> </w:t>
      </w:r>
      <w:r w:rsidRPr="009E6FB7">
        <w:rPr>
          <w:rFonts w:ascii="Times New Roman" w:hAnsi="Times New Roman"/>
          <w:sz w:val="20"/>
          <w:szCs w:val="20"/>
        </w:rPr>
        <w:t>web [Online 18 November 2009].</w:t>
      </w:r>
    </w:p>
    <w:p w:rsidR="009E6FB7" w:rsidRPr="009E6FB7" w:rsidRDefault="009E6FB7" w:rsidP="009E6FB7">
      <w:pPr>
        <w:widowControl w:val="0"/>
        <w:numPr>
          <w:ilvl w:val="0"/>
          <w:numId w:val="2"/>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Talaat, W.  I.  A.  W., Tahir N. M. and Mohd L. H. (2012). Sustainable management of forest biodiversity and the present Malaysian policy and legal framework. </w:t>
      </w:r>
      <w:r w:rsidRPr="009E6FB7">
        <w:rPr>
          <w:rFonts w:ascii="Times New Roman" w:hAnsi="Times New Roman"/>
          <w:i/>
          <w:sz w:val="20"/>
          <w:szCs w:val="20"/>
        </w:rPr>
        <w:t>Journal of Sustainable Development,</w:t>
      </w:r>
      <w:r w:rsidRPr="009E6FB7">
        <w:rPr>
          <w:rFonts w:ascii="Times New Roman" w:hAnsi="Times New Roman"/>
          <w:sz w:val="20"/>
          <w:szCs w:val="20"/>
        </w:rPr>
        <w:t xml:space="preserve"> 5(3): 76-83.</w:t>
      </w:r>
    </w:p>
    <w:p w:rsidR="009E6FB7" w:rsidRPr="009E6FB7" w:rsidRDefault="009E6FB7" w:rsidP="009E6FB7">
      <w:pPr>
        <w:widowControl w:val="0"/>
        <w:numPr>
          <w:ilvl w:val="0"/>
          <w:numId w:val="2"/>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Bankova, V., Trusheva, B. and Popova M. (2008). new developments in propolis chemical diversity studies. </w:t>
      </w:r>
      <w:r w:rsidRPr="009E6FB7">
        <w:rPr>
          <w:rFonts w:ascii="Times New Roman" w:hAnsi="Times New Roman"/>
          <w:i/>
          <w:sz w:val="20"/>
          <w:szCs w:val="20"/>
        </w:rPr>
        <w:t>Transworld Research Network</w:t>
      </w:r>
      <w:r w:rsidRPr="009E6FB7">
        <w:rPr>
          <w:rFonts w:ascii="Times New Roman" w:hAnsi="Times New Roman"/>
          <w:sz w:val="20"/>
          <w:szCs w:val="20"/>
        </w:rPr>
        <w:t>: pp. 1-13.</w:t>
      </w:r>
    </w:p>
    <w:p w:rsidR="009E6FB7" w:rsidRPr="009E6FB7" w:rsidRDefault="009E6FB7" w:rsidP="009E6FB7">
      <w:pPr>
        <w:widowControl w:val="0"/>
        <w:numPr>
          <w:ilvl w:val="0"/>
          <w:numId w:val="2"/>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Banskota A. H., Tezuka Y. and Kadota S. (2001). Recent progress in pharmacological research of propolis. </w:t>
      </w:r>
      <w:r w:rsidRPr="009E6FB7">
        <w:rPr>
          <w:rFonts w:ascii="Times New Roman" w:hAnsi="Times New Roman"/>
          <w:i/>
          <w:sz w:val="20"/>
          <w:szCs w:val="20"/>
        </w:rPr>
        <w:t xml:space="preserve">Phytotherapy Research, </w:t>
      </w:r>
      <w:r w:rsidRPr="009E6FB7">
        <w:rPr>
          <w:rFonts w:ascii="Times New Roman" w:hAnsi="Times New Roman"/>
          <w:sz w:val="20"/>
          <w:szCs w:val="20"/>
        </w:rPr>
        <w:t>15(7): 561-571.</w:t>
      </w:r>
    </w:p>
    <w:p w:rsidR="009E6FB7" w:rsidRPr="009E6FB7" w:rsidRDefault="009E6FB7" w:rsidP="009E6FB7">
      <w:pPr>
        <w:widowControl w:val="0"/>
        <w:numPr>
          <w:ilvl w:val="0"/>
          <w:numId w:val="2"/>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Ghisalberti, E. L. (1979). Propolis: A review. </w:t>
      </w:r>
      <w:r w:rsidRPr="009E6FB7">
        <w:rPr>
          <w:rFonts w:ascii="Times New Roman" w:hAnsi="Times New Roman"/>
          <w:i/>
          <w:sz w:val="20"/>
          <w:szCs w:val="20"/>
        </w:rPr>
        <w:t>Bee World,</w:t>
      </w:r>
      <w:r w:rsidRPr="009E6FB7">
        <w:rPr>
          <w:rFonts w:ascii="Times New Roman" w:hAnsi="Times New Roman"/>
          <w:sz w:val="20"/>
          <w:szCs w:val="20"/>
        </w:rPr>
        <w:t xml:space="preserve"> 60: 59-84.</w:t>
      </w:r>
    </w:p>
    <w:p w:rsidR="009E6FB7" w:rsidRPr="009E6FB7" w:rsidRDefault="009E6FB7" w:rsidP="009E6FB7">
      <w:pPr>
        <w:widowControl w:val="0"/>
        <w:numPr>
          <w:ilvl w:val="0"/>
          <w:numId w:val="2"/>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Greenaway, W., May, J., Scaysbrook, T. and Whatley, F. R. (1991). identification by gas chromatography-mass spectrometry of 150 compounds in propolis. </w:t>
      </w:r>
      <w:r w:rsidRPr="009E6FB7">
        <w:rPr>
          <w:rFonts w:ascii="Times New Roman" w:hAnsi="Times New Roman"/>
          <w:i/>
          <w:iCs/>
          <w:sz w:val="20"/>
          <w:szCs w:val="20"/>
        </w:rPr>
        <w:t xml:space="preserve">Zeitschrift für Naturforschung, </w:t>
      </w:r>
      <w:r w:rsidRPr="009E6FB7">
        <w:rPr>
          <w:rFonts w:ascii="Times New Roman" w:hAnsi="Times New Roman"/>
          <w:sz w:val="20"/>
          <w:szCs w:val="20"/>
        </w:rPr>
        <w:t>46(1-2): 111-121.</w:t>
      </w:r>
    </w:p>
    <w:p w:rsidR="009E6FB7" w:rsidRPr="009E6FB7" w:rsidRDefault="009E6FB7" w:rsidP="009E6FB7">
      <w:pPr>
        <w:widowControl w:val="0"/>
        <w:numPr>
          <w:ilvl w:val="0"/>
          <w:numId w:val="2"/>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Bonvehí Josep, S. and Coll Francesc, V. (1994). Phenolic composition of propolis from China and from South America. </w:t>
      </w:r>
      <w:r w:rsidRPr="009E6FB7">
        <w:rPr>
          <w:rFonts w:ascii="Times New Roman" w:hAnsi="Times New Roman"/>
          <w:i/>
          <w:iCs/>
          <w:sz w:val="20"/>
          <w:szCs w:val="20"/>
        </w:rPr>
        <w:t xml:space="preserve">Zeitschrift für Naturforschung, </w:t>
      </w:r>
      <w:r w:rsidRPr="009E6FB7">
        <w:rPr>
          <w:rFonts w:ascii="Times New Roman" w:hAnsi="Times New Roman"/>
          <w:iCs/>
          <w:sz w:val="20"/>
          <w:szCs w:val="20"/>
        </w:rPr>
        <w:t>49(11-12): 712-718.</w:t>
      </w:r>
    </w:p>
    <w:p w:rsidR="009E6FB7" w:rsidRPr="009E6FB7" w:rsidRDefault="009E6FB7" w:rsidP="009E6FB7">
      <w:pPr>
        <w:widowControl w:val="0"/>
        <w:numPr>
          <w:ilvl w:val="0"/>
          <w:numId w:val="2"/>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Bankova, V., Dyulgerov, A., Popov, S. and Marekov, N. (1987). A GC/MS study of the propolis phenolic constituents. </w:t>
      </w:r>
      <w:r w:rsidRPr="009E6FB7">
        <w:rPr>
          <w:rFonts w:ascii="Times New Roman" w:hAnsi="Times New Roman"/>
          <w:i/>
          <w:iCs/>
          <w:sz w:val="20"/>
          <w:szCs w:val="20"/>
        </w:rPr>
        <w:t xml:space="preserve">Zeitschrift für Naturforschung, </w:t>
      </w:r>
      <w:r w:rsidRPr="009E6FB7">
        <w:rPr>
          <w:rFonts w:ascii="Times New Roman" w:hAnsi="Times New Roman"/>
          <w:sz w:val="20"/>
          <w:szCs w:val="20"/>
        </w:rPr>
        <w:t>42(1-2): 147-151.</w:t>
      </w:r>
    </w:p>
    <w:p w:rsidR="009E6FB7" w:rsidRPr="009E6FB7" w:rsidRDefault="009E6FB7" w:rsidP="009E6FB7">
      <w:pPr>
        <w:widowControl w:val="0"/>
        <w:numPr>
          <w:ilvl w:val="0"/>
          <w:numId w:val="2"/>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Bonvehí, J. S., Coll, F. V. and Jordà, R. E. (1994). The composition, active components and bacteriostatic activity of propolis in dietetics. </w:t>
      </w:r>
      <w:r w:rsidRPr="009E6FB7">
        <w:rPr>
          <w:rFonts w:ascii="Times New Roman" w:hAnsi="Times New Roman"/>
          <w:i/>
          <w:iCs/>
          <w:sz w:val="20"/>
          <w:szCs w:val="20"/>
        </w:rPr>
        <w:t xml:space="preserve">Journal of the American Oil Chemists’ Society, </w:t>
      </w:r>
      <w:r w:rsidRPr="009E6FB7">
        <w:rPr>
          <w:rFonts w:ascii="Times New Roman" w:hAnsi="Times New Roman"/>
          <w:sz w:val="20"/>
          <w:szCs w:val="20"/>
        </w:rPr>
        <w:t>71(5): 529-532.</w:t>
      </w:r>
    </w:p>
    <w:p w:rsidR="009E6FB7" w:rsidRPr="009E6FB7" w:rsidRDefault="009E6FB7" w:rsidP="009E6FB7">
      <w:pPr>
        <w:widowControl w:val="0"/>
        <w:numPr>
          <w:ilvl w:val="0"/>
          <w:numId w:val="2"/>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Vennat, B., Arvouet-Grand, A., Gross, D. and Pourrat, A. (1995). </w:t>
      </w:r>
      <w:r w:rsidRPr="009E6FB7">
        <w:rPr>
          <w:rFonts w:ascii="Times New Roman" w:hAnsi="Times New Roman"/>
          <w:iCs/>
          <w:sz w:val="20"/>
          <w:szCs w:val="20"/>
        </w:rPr>
        <w:t xml:space="preserve">Qualitative and quantitative analysis of flavonoids and identification of phenolic acids from a propolis extract. </w:t>
      </w:r>
      <w:r w:rsidRPr="009E6FB7">
        <w:rPr>
          <w:rFonts w:ascii="Times New Roman" w:hAnsi="Times New Roman"/>
          <w:i/>
          <w:iCs/>
          <w:sz w:val="20"/>
          <w:szCs w:val="20"/>
        </w:rPr>
        <w:t>Journal De Pharmacie De Belgique,</w:t>
      </w:r>
      <w:r w:rsidRPr="009E6FB7">
        <w:rPr>
          <w:rFonts w:ascii="Times New Roman" w:hAnsi="Times New Roman"/>
          <w:iCs/>
          <w:sz w:val="20"/>
          <w:szCs w:val="20"/>
        </w:rPr>
        <w:t xml:space="preserve"> 50: 438-444.</w:t>
      </w:r>
    </w:p>
    <w:p w:rsidR="009E6FB7" w:rsidRPr="009E6FB7" w:rsidRDefault="009E6FB7" w:rsidP="009E6FB7">
      <w:pPr>
        <w:widowControl w:val="0"/>
        <w:numPr>
          <w:ilvl w:val="0"/>
          <w:numId w:val="2"/>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Ibrahim, N., Farah Shakila Mohd Niza, N., Rodi, M., Jamil Zakaria, A., Ismail, Z. and Mohd, K. (2016). </w:t>
      </w:r>
      <w:r w:rsidRPr="009E6FB7">
        <w:rPr>
          <w:rFonts w:ascii="Times New Roman" w:hAnsi="Times New Roman"/>
          <w:iCs/>
          <w:sz w:val="20"/>
          <w:szCs w:val="20"/>
        </w:rPr>
        <w:t xml:space="preserve">Chemical and biological analyses of Malaysian stingless bee propolis extracts. </w:t>
      </w:r>
      <w:r w:rsidRPr="009E6FB7">
        <w:rPr>
          <w:rFonts w:ascii="Times New Roman" w:hAnsi="Times New Roman"/>
          <w:i/>
          <w:iCs/>
          <w:sz w:val="20"/>
          <w:szCs w:val="20"/>
        </w:rPr>
        <w:t>Malaysian Journal of Analytical Sciences,</w:t>
      </w:r>
      <w:r w:rsidRPr="009E6FB7">
        <w:rPr>
          <w:rFonts w:ascii="Times New Roman" w:hAnsi="Times New Roman"/>
          <w:iCs/>
          <w:sz w:val="20"/>
          <w:szCs w:val="20"/>
        </w:rPr>
        <w:t xml:space="preserve"> 20(2): 413-422.</w:t>
      </w:r>
    </w:p>
    <w:p w:rsidR="009E6FB7" w:rsidRPr="009E6FB7" w:rsidRDefault="009E6FB7" w:rsidP="009E6FB7">
      <w:pPr>
        <w:widowControl w:val="0"/>
        <w:numPr>
          <w:ilvl w:val="0"/>
          <w:numId w:val="2"/>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Singleton, V. L., Orthofer, R. and Lamuela-Raventós, R. M. (1999). Analysis of total phenols and other oxidation substrates and antioxidants by means of Folin-Ciocalteu reagent. </w:t>
      </w:r>
      <w:r w:rsidRPr="009E6FB7">
        <w:rPr>
          <w:rFonts w:ascii="Times New Roman" w:hAnsi="Times New Roman"/>
          <w:i/>
          <w:iCs/>
          <w:sz w:val="20"/>
          <w:szCs w:val="20"/>
        </w:rPr>
        <w:t>Methods in Enzymology,</w:t>
      </w:r>
      <w:r w:rsidRPr="009E6FB7">
        <w:rPr>
          <w:rFonts w:ascii="Times New Roman" w:hAnsi="Times New Roman"/>
          <w:sz w:val="20"/>
          <w:szCs w:val="20"/>
        </w:rPr>
        <w:t xml:space="preserve"> 299: 152-178.</w:t>
      </w:r>
    </w:p>
    <w:p w:rsidR="009E6FB7" w:rsidRPr="009E6FB7" w:rsidRDefault="009E6FB7" w:rsidP="009E6FB7">
      <w:pPr>
        <w:widowControl w:val="0"/>
        <w:numPr>
          <w:ilvl w:val="0"/>
          <w:numId w:val="2"/>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Kumazawa, S., Taniguchi, M., Suzuki, Y., Shimura, M., Kwon, M. S. and Nakayama, T. (2002). Antioxidant activity of polyphenols in carob pods. </w:t>
      </w:r>
      <w:r w:rsidRPr="009E6FB7">
        <w:rPr>
          <w:rFonts w:ascii="Times New Roman" w:hAnsi="Times New Roman"/>
          <w:i/>
          <w:iCs/>
          <w:sz w:val="20"/>
          <w:szCs w:val="20"/>
        </w:rPr>
        <w:t xml:space="preserve">Journal of Agricultural and Food Chemistry, </w:t>
      </w:r>
      <w:r w:rsidRPr="009E6FB7">
        <w:rPr>
          <w:rFonts w:ascii="Times New Roman" w:hAnsi="Times New Roman"/>
          <w:sz w:val="20"/>
          <w:szCs w:val="20"/>
        </w:rPr>
        <w:t>50(2): 373-377.</w:t>
      </w:r>
    </w:p>
    <w:p w:rsidR="009E6FB7" w:rsidRPr="009E6FB7" w:rsidRDefault="009E6FB7" w:rsidP="009E6FB7">
      <w:pPr>
        <w:widowControl w:val="0"/>
        <w:numPr>
          <w:ilvl w:val="0"/>
          <w:numId w:val="2"/>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Chang, C., Yang, M. and Wen, H. (2002). Estimation of total flavonoid content in propolis by two complementary colorimetric methods. </w:t>
      </w:r>
      <w:r w:rsidRPr="009E6FB7">
        <w:rPr>
          <w:rFonts w:ascii="Times New Roman" w:hAnsi="Times New Roman"/>
          <w:i/>
          <w:sz w:val="20"/>
          <w:szCs w:val="20"/>
        </w:rPr>
        <w:t>Journal of Food Drug Analysis,</w:t>
      </w:r>
      <w:r w:rsidRPr="009E6FB7">
        <w:rPr>
          <w:rFonts w:ascii="Times New Roman" w:hAnsi="Times New Roman"/>
          <w:sz w:val="20"/>
          <w:szCs w:val="20"/>
        </w:rPr>
        <w:t xml:space="preserve"> 10(3): 178-182.</w:t>
      </w:r>
    </w:p>
    <w:p w:rsidR="009E6FB7" w:rsidRPr="009E6FB7" w:rsidRDefault="009E6FB7" w:rsidP="009E6FB7">
      <w:pPr>
        <w:widowControl w:val="0"/>
        <w:numPr>
          <w:ilvl w:val="0"/>
          <w:numId w:val="2"/>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Blois, M. S. (1958). Antioxidant determinations by the use of a stable free radical. </w:t>
      </w:r>
      <w:r w:rsidRPr="009E6FB7">
        <w:rPr>
          <w:rFonts w:ascii="Times New Roman" w:hAnsi="Times New Roman"/>
          <w:i/>
          <w:sz w:val="20"/>
          <w:szCs w:val="20"/>
        </w:rPr>
        <w:t>Nature,</w:t>
      </w:r>
      <w:r w:rsidRPr="009E6FB7">
        <w:rPr>
          <w:rFonts w:ascii="Times New Roman" w:hAnsi="Times New Roman"/>
          <w:sz w:val="20"/>
          <w:szCs w:val="20"/>
        </w:rPr>
        <w:t xml:space="preserve"> 181: 1199-1200.</w:t>
      </w:r>
    </w:p>
    <w:p w:rsidR="009E6FB7" w:rsidRPr="009E6FB7" w:rsidRDefault="009E6FB7" w:rsidP="009E6FB7">
      <w:pPr>
        <w:widowControl w:val="0"/>
        <w:numPr>
          <w:ilvl w:val="0"/>
          <w:numId w:val="2"/>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Abu Bakar, M. F., Mohamed, M., Rahmat, A. and Fry, J. (2009). Phytochemicals and antioxidant activity of different parts of bambangan (</w:t>
      </w:r>
      <w:r w:rsidRPr="009E6FB7">
        <w:rPr>
          <w:rFonts w:ascii="Times New Roman" w:hAnsi="Times New Roman"/>
          <w:i/>
          <w:sz w:val="20"/>
          <w:szCs w:val="20"/>
        </w:rPr>
        <w:t>Mangifera pajang</w:t>
      </w:r>
      <w:r w:rsidRPr="009E6FB7">
        <w:rPr>
          <w:rFonts w:ascii="Times New Roman" w:hAnsi="Times New Roman"/>
          <w:sz w:val="20"/>
          <w:szCs w:val="20"/>
        </w:rPr>
        <w:t>) and Tarap (</w:t>
      </w:r>
      <w:r w:rsidRPr="009E6FB7">
        <w:rPr>
          <w:rFonts w:ascii="Times New Roman" w:hAnsi="Times New Roman"/>
          <w:i/>
          <w:sz w:val="20"/>
          <w:szCs w:val="20"/>
        </w:rPr>
        <w:t>Artocarpus odoratissimus</w:t>
      </w:r>
      <w:r w:rsidRPr="009E6FB7">
        <w:rPr>
          <w:rFonts w:ascii="Times New Roman" w:hAnsi="Times New Roman"/>
          <w:sz w:val="20"/>
          <w:szCs w:val="20"/>
        </w:rPr>
        <w:t xml:space="preserve">). </w:t>
      </w:r>
      <w:r w:rsidRPr="009E6FB7">
        <w:rPr>
          <w:rFonts w:ascii="Times New Roman" w:hAnsi="Times New Roman"/>
          <w:i/>
          <w:iCs/>
          <w:sz w:val="20"/>
          <w:szCs w:val="20"/>
        </w:rPr>
        <w:t xml:space="preserve">Food Chemistry, </w:t>
      </w:r>
      <w:r w:rsidRPr="009E6FB7">
        <w:rPr>
          <w:rFonts w:ascii="Times New Roman" w:hAnsi="Times New Roman"/>
          <w:sz w:val="20"/>
          <w:szCs w:val="20"/>
        </w:rPr>
        <w:t>113(2): 479-483.</w:t>
      </w:r>
    </w:p>
    <w:p w:rsidR="009E6FB7" w:rsidRPr="009E6FB7" w:rsidRDefault="009E6FB7" w:rsidP="009E6FB7">
      <w:pPr>
        <w:widowControl w:val="0"/>
        <w:numPr>
          <w:ilvl w:val="0"/>
          <w:numId w:val="2"/>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Isla, M. I., Nieva Moreno, M. I., Sampietro, A. R. and Vattuone, M. A. (2001). Antioxidant activity of argentine propolis extracts. </w:t>
      </w:r>
      <w:r w:rsidRPr="009E6FB7">
        <w:rPr>
          <w:rFonts w:ascii="Times New Roman" w:hAnsi="Times New Roman"/>
          <w:i/>
          <w:iCs/>
          <w:sz w:val="20"/>
          <w:szCs w:val="20"/>
        </w:rPr>
        <w:t xml:space="preserve">Journal of Ethnopharmacology, </w:t>
      </w:r>
      <w:r w:rsidRPr="009E6FB7">
        <w:rPr>
          <w:rFonts w:ascii="Times New Roman" w:hAnsi="Times New Roman"/>
          <w:sz w:val="20"/>
          <w:szCs w:val="20"/>
        </w:rPr>
        <w:t>76(2): 165-170.</w:t>
      </w:r>
    </w:p>
    <w:p w:rsidR="009E6FB7" w:rsidRPr="009E6FB7" w:rsidRDefault="009E6FB7" w:rsidP="009E6FB7">
      <w:pPr>
        <w:widowControl w:val="0"/>
        <w:numPr>
          <w:ilvl w:val="0"/>
          <w:numId w:val="2"/>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Kumazawa, S., Hamasaka, T. and Nakayama, T. (2004). Antioxidant activity of propolis of various geographic origins. </w:t>
      </w:r>
      <w:r w:rsidRPr="009E6FB7">
        <w:rPr>
          <w:rFonts w:ascii="Times New Roman" w:hAnsi="Times New Roman"/>
          <w:i/>
          <w:iCs/>
          <w:sz w:val="20"/>
          <w:szCs w:val="20"/>
        </w:rPr>
        <w:t xml:space="preserve">Food Chemistry, </w:t>
      </w:r>
      <w:r w:rsidRPr="009E6FB7">
        <w:rPr>
          <w:rFonts w:ascii="Times New Roman" w:hAnsi="Times New Roman"/>
          <w:sz w:val="20"/>
          <w:szCs w:val="20"/>
        </w:rPr>
        <w:t>84(3): 329-339.</w:t>
      </w:r>
    </w:p>
    <w:p w:rsidR="009E6FB7" w:rsidRDefault="009E6FB7" w:rsidP="009E6FB7">
      <w:pPr>
        <w:widowControl w:val="0"/>
        <w:numPr>
          <w:ilvl w:val="0"/>
          <w:numId w:val="2"/>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Osawa, T. (1994). Novel natural antioxidants for utilization in food and biological systems. postharvest biochemistry of plant food-materials in the tropics. Japan Scientific Press, Tokyo, Japan: pp. 241-251.</w:t>
      </w:r>
    </w:p>
    <w:p w:rsidR="009E6FB7" w:rsidRPr="009E6FB7" w:rsidRDefault="009E6FB7" w:rsidP="009E6FB7">
      <w:pPr>
        <w:widowControl w:val="0"/>
        <w:tabs>
          <w:tab w:val="left" w:pos="3765"/>
        </w:tabs>
        <w:autoSpaceDE w:val="0"/>
        <w:autoSpaceDN w:val="0"/>
        <w:spacing w:after="0" w:line="240" w:lineRule="auto"/>
        <w:jc w:val="both"/>
        <w:rPr>
          <w:rFonts w:ascii="Times New Roman" w:hAnsi="Times New Roman"/>
          <w:sz w:val="20"/>
          <w:szCs w:val="20"/>
        </w:rPr>
      </w:pPr>
    </w:p>
    <w:p w:rsidR="009E6FB7" w:rsidRPr="009E6FB7" w:rsidRDefault="009E6FB7" w:rsidP="009E6FB7">
      <w:pPr>
        <w:widowControl w:val="0"/>
        <w:numPr>
          <w:ilvl w:val="0"/>
          <w:numId w:val="2"/>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lastRenderedPageBreak/>
        <w:t xml:space="preserve">Mallavadhani, U. V., Sudhakar, A. V. S., Satyanarayana, K. V. S., Mahapatra, A., Li, W. and vanBreemen, R. B. (2006). Chemical and analytical screening of some edible mushrooms. </w:t>
      </w:r>
      <w:r w:rsidRPr="009E6FB7">
        <w:rPr>
          <w:rFonts w:ascii="Times New Roman" w:hAnsi="Times New Roman"/>
          <w:i/>
          <w:iCs/>
          <w:sz w:val="20"/>
          <w:szCs w:val="20"/>
        </w:rPr>
        <w:t xml:space="preserve">Food Chemistry, </w:t>
      </w:r>
      <w:r w:rsidRPr="009E6FB7">
        <w:rPr>
          <w:rFonts w:ascii="Times New Roman" w:hAnsi="Times New Roman"/>
          <w:sz w:val="20"/>
          <w:szCs w:val="20"/>
        </w:rPr>
        <w:t>95(1): 58-64.</w:t>
      </w:r>
    </w:p>
    <w:p w:rsidR="009E6FB7" w:rsidRPr="009E6FB7" w:rsidRDefault="009E6FB7" w:rsidP="009E6FB7">
      <w:pPr>
        <w:widowControl w:val="0"/>
        <w:numPr>
          <w:ilvl w:val="0"/>
          <w:numId w:val="2"/>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Ibrahim, N., Zakaria, A. J., Ismail, Z. and Mohd, K. (2016). Antibacterial and phenolic content of propolis produced by two Malaysian stingless bees, </w:t>
      </w:r>
      <w:r w:rsidRPr="009E6FB7">
        <w:rPr>
          <w:rFonts w:ascii="Times New Roman" w:hAnsi="Times New Roman"/>
          <w:i/>
          <w:sz w:val="20"/>
          <w:szCs w:val="20"/>
        </w:rPr>
        <w:t>Heterotrigona itama</w:t>
      </w:r>
      <w:r w:rsidRPr="009E6FB7">
        <w:rPr>
          <w:rFonts w:ascii="Times New Roman" w:hAnsi="Times New Roman"/>
          <w:sz w:val="20"/>
          <w:szCs w:val="20"/>
        </w:rPr>
        <w:t xml:space="preserve"> and </w:t>
      </w:r>
      <w:r w:rsidRPr="009E6FB7">
        <w:rPr>
          <w:rFonts w:ascii="Times New Roman" w:hAnsi="Times New Roman"/>
          <w:i/>
          <w:sz w:val="20"/>
          <w:szCs w:val="20"/>
        </w:rPr>
        <w:t>Geniotrigona thoracica. International Journal of Pharmacognosy and Phytochemical Research,</w:t>
      </w:r>
      <w:r w:rsidRPr="009E6FB7">
        <w:rPr>
          <w:rFonts w:ascii="Times New Roman" w:hAnsi="Times New Roman"/>
          <w:sz w:val="20"/>
          <w:szCs w:val="20"/>
        </w:rPr>
        <w:t xml:space="preserve"> 8(1): 156-161.</w:t>
      </w:r>
    </w:p>
    <w:p w:rsidR="009E6FB7" w:rsidRPr="009E6FB7" w:rsidRDefault="009E6FB7" w:rsidP="009E6FB7">
      <w:pPr>
        <w:widowControl w:val="0"/>
        <w:numPr>
          <w:ilvl w:val="0"/>
          <w:numId w:val="2"/>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Lin, S. Y., Liu, H. Y., Lu, Y. L. and Hou, W. C. (2005). Antioxidant activities of mucilages from different Taiwanese yam cultivars. </w:t>
      </w:r>
      <w:r w:rsidRPr="009E6FB7">
        <w:rPr>
          <w:rFonts w:ascii="Times New Roman" w:hAnsi="Times New Roman"/>
          <w:i/>
          <w:sz w:val="20"/>
          <w:szCs w:val="20"/>
        </w:rPr>
        <w:t>Botanical Bulletin of Academia Sinica,</w:t>
      </w:r>
      <w:r w:rsidRPr="009E6FB7">
        <w:rPr>
          <w:rFonts w:ascii="Times New Roman" w:hAnsi="Times New Roman"/>
          <w:sz w:val="20"/>
          <w:szCs w:val="20"/>
        </w:rPr>
        <w:t xml:space="preserve"> 46: 183-188.</w:t>
      </w:r>
    </w:p>
    <w:p w:rsidR="009E6FB7" w:rsidRPr="009E6FB7" w:rsidRDefault="009E6FB7" w:rsidP="009E6FB7">
      <w:pPr>
        <w:widowControl w:val="0"/>
        <w:numPr>
          <w:ilvl w:val="0"/>
          <w:numId w:val="2"/>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Kahkonen, M. P., Hopia, A. I., Vuorela, H. J., Rauha, J. P., Pihlaja, K., Kujala, T. S. and Heinonen, M. (1999). Antioxidant activity of plant extracts containing phenolic compounds. </w:t>
      </w:r>
      <w:r w:rsidRPr="009E6FB7">
        <w:rPr>
          <w:rFonts w:ascii="Times New Roman" w:hAnsi="Times New Roman"/>
          <w:i/>
          <w:iCs/>
          <w:sz w:val="20"/>
          <w:szCs w:val="20"/>
        </w:rPr>
        <w:t xml:space="preserve">Journal of Agricultural and Food Chemistry, </w:t>
      </w:r>
      <w:r w:rsidRPr="009E6FB7">
        <w:rPr>
          <w:rFonts w:ascii="Times New Roman" w:hAnsi="Times New Roman"/>
          <w:sz w:val="20"/>
          <w:szCs w:val="20"/>
        </w:rPr>
        <w:t>47(10): 3954-3962.</w:t>
      </w:r>
    </w:p>
    <w:p w:rsidR="009E6FB7" w:rsidRPr="009E6FB7" w:rsidRDefault="009E6FB7" w:rsidP="009E6FB7">
      <w:pPr>
        <w:widowControl w:val="0"/>
        <w:numPr>
          <w:ilvl w:val="0"/>
          <w:numId w:val="2"/>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Hatano, T., Takagi, M., Ito, H. and Yoshida, T. (1997). Phenolic constituents of liquorice. VII. A new chalcone with a potent radical scavenging activity and accompanying phenolics from liquorice. </w:t>
      </w:r>
      <w:r w:rsidRPr="009E6FB7">
        <w:rPr>
          <w:rFonts w:ascii="Times New Roman" w:hAnsi="Times New Roman"/>
          <w:i/>
          <w:iCs/>
          <w:sz w:val="20"/>
          <w:szCs w:val="20"/>
        </w:rPr>
        <w:t xml:space="preserve">Chemical and Pharmaceutical Bulletin, </w:t>
      </w:r>
      <w:r w:rsidRPr="009E6FB7">
        <w:rPr>
          <w:rFonts w:ascii="Times New Roman" w:hAnsi="Times New Roman"/>
          <w:sz w:val="20"/>
          <w:szCs w:val="20"/>
        </w:rPr>
        <w:t>45(9): 1485-1492.</w:t>
      </w:r>
    </w:p>
    <w:p w:rsidR="009E6FB7" w:rsidRPr="009E6FB7" w:rsidRDefault="009E6FB7" w:rsidP="009E6FB7">
      <w:pPr>
        <w:widowControl w:val="0"/>
        <w:numPr>
          <w:ilvl w:val="0"/>
          <w:numId w:val="2"/>
        </w:numPr>
        <w:tabs>
          <w:tab w:val="left" w:pos="3765"/>
        </w:tabs>
        <w:autoSpaceDE w:val="0"/>
        <w:autoSpaceDN w:val="0"/>
        <w:spacing w:after="0" w:line="240" w:lineRule="auto"/>
        <w:ind w:left="360"/>
        <w:jc w:val="both"/>
        <w:rPr>
          <w:rFonts w:ascii="Times New Roman" w:hAnsi="Times New Roman"/>
          <w:sz w:val="20"/>
          <w:szCs w:val="20"/>
        </w:rPr>
      </w:pPr>
      <w:r w:rsidRPr="009E6FB7">
        <w:rPr>
          <w:rFonts w:ascii="Times New Roman" w:hAnsi="Times New Roman"/>
          <w:sz w:val="20"/>
          <w:szCs w:val="20"/>
        </w:rPr>
        <w:t xml:space="preserve">Tang, S. Z., Kerry, J. P., Sheehan, D. and Buckley, D. J. (2002). Antioxidative mechanisms of tea catechins in chicken meat systems. </w:t>
      </w:r>
      <w:r w:rsidRPr="009E6FB7">
        <w:rPr>
          <w:rFonts w:ascii="Times New Roman" w:hAnsi="Times New Roman"/>
          <w:i/>
          <w:iCs/>
          <w:sz w:val="20"/>
          <w:szCs w:val="20"/>
        </w:rPr>
        <w:t xml:space="preserve">Food Chemistry, </w:t>
      </w:r>
      <w:r w:rsidRPr="009E6FB7">
        <w:rPr>
          <w:rFonts w:ascii="Times New Roman" w:hAnsi="Times New Roman"/>
          <w:sz w:val="20"/>
          <w:szCs w:val="20"/>
        </w:rPr>
        <w:t>76(1): 45-51.</w:t>
      </w:r>
    </w:p>
    <w:p w:rsidR="00A74A7E" w:rsidRPr="007A738C" w:rsidRDefault="00A74A7E" w:rsidP="009E6FB7">
      <w:pPr>
        <w:spacing w:after="0" w:line="240" w:lineRule="auto"/>
        <w:ind w:left="360" w:hanging="360"/>
        <w:jc w:val="both"/>
        <w:rPr>
          <w:rFonts w:ascii="Times New Roman" w:hAnsi="Times New Roman"/>
          <w:noProof/>
          <w:lang w:bidi="ar-SA"/>
        </w:rPr>
      </w:pPr>
    </w:p>
    <w:sectPr w:rsidR="00A74A7E" w:rsidRPr="007A738C" w:rsidSect="0041351F">
      <w:headerReference w:type="even" r:id="rId15"/>
      <w:headerReference w:type="default" r:id="rId16"/>
      <w:footerReference w:type="even" r:id="rId17"/>
      <w:footerReference w:type="default" r:id="rId18"/>
      <w:pgSz w:w="12240" w:h="15840" w:code="1"/>
      <w:pgMar w:top="1800" w:right="1469" w:bottom="1699" w:left="1440" w:header="706" w:footer="706" w:gutter="0"/>
      <w:pgNumType w:start="87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AF" w:rsidRDefault="002563AF" w:rsidP="00FB4C59">
      <w:pPr>
        <w:spacing w:after="0" w:line="240" w:lineRule="auto"/>
      </w:pPr>
      <w:r>
        <w:separator/>
      </w:r>
    </w:p>
  </w:endnote>
  <w:endnote w:type="continuationSeparator" w:id="0">
    <w:p w:rsidR="002563AF" w:rsidRDefault="002563A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50D5A">
      <w:rPr>
        <w:rFonts w:ascii="Times New Roman" w:hAnsi="Times New Roman"/>
        <w:noProof/>
      </w:rPr>
      <w:t>884</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50D5A">
      <w:rPr>
        <w:rFonts w:ascii="Times New Roman" w:hAnsi="Times New Roman"/>
        <w:noProof/>
      </w:rPr>
      <w:t>883</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AF" w:rsidRDefault="002563AF" w:rsidP="00FB4C59">
      <w:pPr>
        <w:spacing w:after="0" w:line="240" w:lineRule="auto"/>
      </w:pPr>
      <w:r>
        <w:separator/>
      </w:r>
    </w:p>
  </w:footnote>
  <w:footnote w:type="continuationSeparator" w:id="0">
    <w:p w:rsidR="002563AF" w:rsidRDefault="002563A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ED3" w:rsidRPr="000F7ED3" w:rsidRDefault="000F7ED3" w:rsidP="000F7ED3">
    <w:pPr>
      <w:spacing w:after="0" w:line="240" w:lineRule="auto"/>
      <w:ind w:left="1350" w:hanging="1350"/>
      <w:outlineLvl w:val="0"/>
      <w:rPr>
        <w:rFonts w:ascii="Times New Roman" w:hAnsi="Times New Roman"/>
        <w:sz w:val="20"/>
        <w:szCs w:val="20"/>
      </w:rPr>
    </w:pPr>
    <w:r>
      <w:rPr>
        <w:rFonts w:ascii="Times New Roman" w:hAnsi="Times New Roman"/>
        <w:sz w:val="20"/>
        <w:szCs w:val="20"/>
      </w:rPr>
      <w:t>Norafiza et al</w:t>
    </w:r>
    <w:r w:rsidR="006B72B0" w:rsidRPr="000F7ED3">
      <w:rPr>
        <w:rFonts w:ascii="Times New Roman" w:hAnsi="Times New Roman"/>
        <w:sz w:val="20"/>
        <w:szCs w:val="20"/>
      </w:rPr>
      <w:t xml:space="preserve">: </w:t>
    </w:r>
    <w:r w:rsidR="000D2B43" w:rsidRPr="000F7ED3">
      <w:rPr>
        <w:rFonts w:ascii="Times New Roman" w:hAnsi="Times New Roman"/>
        <w:sz w:val="20"/>
        <w:szCs w:val="20"/>
      </w:rPr>
      <w:t xml:space="preserve"> </w:t>
    </w:r>
    <w:r w:rsidRPr="000F7ED3">
      <w:rPr>
        <w:rFonts w:ascii="Times New Roman" w:hAnsi="Times New Roman"/>
        <w:sz w:val="20"/>
        <w:szCs w:val="20"/>
      </w:rPr>
      <w:t xml:space="preserve"> </w:t>
    </w:r>
    <w:r>
      <w:rPr>
        <w:rFonts w:ascii="Times New Roman" w:hAnsi="Times New Roman"/>
        <w:sz w:val="20"/>
        <w:szCs w:val="20"/>
      </w:rPr>
      <w:tab/>
    </w:r>
    <w:r w:rsidRPr="000F7ED3">
      <w:rPr>
        <w:rFonts w:ascii="Times New Roman" w:hAnsi="Times New Roman"/>
        <w:sz w:val="20"/>
        <w:szCs w:val="20"/>
      </w:rPr>
      <w:t>TOTAL FLAVONOIDS AND PHENOLIC CONTENTS OF STICKY AND HARD PROPOLIS FROM 10 SPECIES OF INDO-MALAYAN STINGLESS BEES</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DD7C38">
      <w:rPr>
        <w:rFonts w:ascii="Times New Roman" w:hAnsi="Times New Roman"/>
        <w:i/>
        <w:lang w:val="en-US"/>
      </w:rPr>
      <w:t>22</w:t>
    </w:r>
    <w:r>
      <w:rPr>
        <w:rFonts w:ascii="Times New Roman" w:hAnsi="Times New Roman"/>
        <w:i/>
      </w:rPr>
      <w:t xml:space="preserve"> </w:t>
    </w:r>
    <w:r w:rsidR="00203922">
      <w:rPr>
        <w:rFonts w:ascii="Times New Roman" w:hAnsi="Times New Roman"/>
        <w:i/>
        <w:lang w:val="en-US"/>
      </w:rPr>
      <w:t>No 5</w:t>
    </w:r>
    <w:r>
      <w:rPr>
        <w:rFonts w:ascii="Times New Roman" w:hAnsi="Times New Roman"/>
        <w:i/>
      </w:rPr>
      <w:t xml:space="preserve"> (201</w:t>
    </w:r>
    <w:r w:rsidR="00DD7C38">
      <w:rPr>
        <w:rFonts w:ascii="Times New Roman" w:hAnsi="Times New Roman"/>
        <w:i/>
        <w:lang w:val="en-US"/>
      </w:rPr>
      <w:t>8</w:t>
    </w:r>
    <w:r w:rsidRPr="00D75B35">
      <w:rPr>
        <w:rFonts w:ascii="Times New Roman" w:hAnsi="Times New Roman"/>
        <w:i/>
      </w:rPr>
      <w:t xml:space="preserve">): </w:t>
    </w:r>
    <w:r w:rsidR="0041351F">
      <w:rPr>
        <w:rFonts w:ascii="Times New Roman" w:hAnsi="Times New Roman"/>
        <w:i/>
        <w:lang w:val="en-US"/>
      </w:rPr>
      <w:t>877</w:t>
    </w:r>
    <w:r>
      <w:rPr>
        <w:rFonts w:ascii="Times New Roman" w:hAnsi="Times New Roman"/>
        <w:i/>
        <w:lang w:val="en-US"/>
      </w:rPr>
      <w:t xml:space="preserve"> </w:t>
    </w:r>
    <w:r w:rsidR="007A0583">
      <w:rPr>
        <w:rFonts w:ascii="Times New Roman" w:hAnsi="Times New Roman"/>
        <w:i/>
        <w:lang w:val="en-US"/>
      </w:rPr>
      <w:t>-</w:t>
    </w:r>
    <w:r w:rsidR="0041351F">
      <w:rPr>
        <w:rFonts w:ascii="Times New Roman" w:hAnsi="Times New Roman"/>
        <w:i/>
        <w:lang w:val="en-US"/>
      </w:rPr>
      <w:t xml:space="preserve"> 884</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8E2A51">
      <w:rPr>
        <w:rFonts w:ascii="Times New Roman" w:hAnsi="Times New Roman"/>
        <w:i/>
        <w:lang w:val="en-US"/>
      </w:rPr>
      <w:t>doi.org/10.17576/mjas-2018-220</w:t>
    </w:r>
    <w:r w:rsidR="00203922">
      <w:rPr>
        <w:rFonts w:ascii="Times New Roman" w:hAnsi="Times New Roman"/>
        <w:i/>
        <w:lang w:val="en-US"/>
      </w:rPr>
      <w:t>5</w:t>
    </w:r>
    <w:r w:rsidR="0041351F">
      <w:rPr>
        <w:rFonts w:ascii="Times New Roman" w:hAnsi="Times New Roman"/>
        <w:i/>
        <w:lang w:val="en-US"/>
      </w:rPr>
      <w:t>-15</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3730B"/>
    <w:multiLevelType w:val="hybridMultilevel"/>
    <w:tmpl w:val="14E039B6"/>
    <w:lvl w:ilvl="0" w:tplc="45C8630A">
      <w:start w:val="1"/>
      <w:numFmt w:val="decimal"/>
      <w:lvlText w:val="%1."/>
      <w:lvlJc w:val="left"/>
      <w:pPr>
        <w:ind w:left="720" w:hanging="360"/>
      </w:pPr>
      <w:rPr>
        <w:rFonts w:hint="default"/>
        <w:i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C49FF"/>
    <w:rsid w:val="000D16A1"/>
    <w:rsid w:val="000D2B0C"/>
    <w:rsid w:val="000D2B43"/>
    <w:rsid w:val="000F77DA"/>
    <w:rsid w:val="000F7ED3"/>
    <w:rsid w:val="001068E8"/>
    <w:rsid w:val="001106D8"/>
    <w:rsid w:val="00117BCD"/>
    <w:rsid w:val="001A3275"/>
    <w:rsid w:val="001C0506"/>
    <w:rsid w:val="001D035A"/>
    <w:rsid w:val="001D3855"/>
    <w:rsid w:val="001D6F2C"/>
    <w:rsid w:val="00203922"/>
    <w:rsid w:val="00250D5A"/>
    <w:rsid w:val="002563AF"/>
    <w:rsid w:val="00277498"/>
    <w:rsid w:val="002860B7"/>
    <w:rsid w:val="00290F4D"/>
    <w:rsid w:val="002A2FC0"/>
    <w:rsid w:val="002B188F"/>
    <w:rsid w:val="002B3BD8"/>
    <w:rsid w:val="002F3F91"/>
    <w:rsid w:val="00304767"/>
    <w:rsid w:val="00304B34"/>
    <w:rsid w:val="00312A6F"/>
    <w:rsid w:val="00352D57"/>
    <w:rsid w:val="00361BAF"/>
    <w:rsid w:val="00362FCE"/>
    <w:rsid w:val="00367D1F"/>
    <w:rsid w:val="003A2B45"/>
    <w:rsid w:val="003B6019"/>
    <w:rsid w:val="003C1F8B"/>
    <w:rsid w:val="003D585B"/>
    <w:rsid w:val="003E7DA6"/>
    <w:rsid w:val="003F12FF"/>
    <w:rsid w:val="0041351F"/>
    <w:rsid w:val="004760D4"/>
    <w:rsid w:val="00494C46"/>
    <w:rsid w:val="004A1052"/>
    <w:rsid w:val="004B43FF"/>
    <w:rsid w:val="004D7E25"/>
    <w:rsid w:val="00502641"/>
    <w:rsid w:val="005C6768"/>
    <w:rsid w:val="005E4871"/>
    <w:rsid w:val="00601C8A"/>
    <w:rsid w:val="006257E5"/>
    <w:rsid w:val="00634C25"/>
    <w:rsid w:val="0063542E"/>
    <w:rsid w:val="006416AB"/>
    <w:rsid w:val="006768E9"/>
    <w:rsid w:val="00680691"/>
    <w:rsid w:val="00687982"/>
    <w:rsid w:val="006B3EC8"/>
    <w:rsid w:val="006B72B0"/>
    <w:rsid w:val="006D286E"/>
    <w:rsid w:val="006D695E"/>
    <w:rsid w:val="00725A6A"/>
    <w:rsid w:val="007706A6"/>
    <w:rsid w:val="007943F3"/>
    <w:rsid w:val="007A0583"/>
    <w:rsid w:val="007A738C"/>
    <w:rsid w:val="007B1349"/>
    <w:rsid w:val="007D45AC"/>
    <w:rsid w:val="007E25BD"/>
    <w:rsid w:val="00802C35"/>
    <w:rsid w:val="0082181A"/>
    <w:rsid w:val="0082457A"/>
    <w:rsid w:val="00825624"/>
    <w:rsid w:val="0083587A"/>
    <w:rsid w:val="00883CC3"/>
    <w:rsid w:val="008B470E"/>
    <w:rsid w:val="008B5904"/>
    <w:rsid w:val="008D1880"/>
    <w:rsid w:val="008D29BF"/>
    <w:rsid w:val="008E1211"/>
    <w:rsid w:val="008E2A51"/>
    <w:rsid w:val="008E5BBF"/>
    <w:rsid w:val="008E6968"/>
    <w:rsid w:val="009211AF"/>
    <w:rsid w:val="00921742"/>
    <w:rsid w:val="009357B8"/>
    <w:rsid w:val="009866F6"/>
    <w:rsid w:val="009D030D"/>
    <w:rsid w:val="009E6FB7"/>
    <w:rsid w:val="00A049C6"/>
    <w:rsid w:val="00A14DB9"/>
    <w:rsid w:val="00A4762A"/>
    <w:rsid w:val="00A64690"/>
    <w:rsid w:val="00A74A7E"/>
    <w:rsid w:val="00AD1B8A"/>
    <w:rsid w:val="00AE713F"/>
    <w:rsid w:val="00AF2305"/>
    <w:rsid w:val="00AF2821"/>
    <w:rsid w:val="00B1121C"/>
    <w:rsid w:val="00B25B65"/>
    <w:rsid w:val="00B2770A"/>
    <w:rsid w:val="00B314AD"/>
    <w:rsid w:val="00B3432C"/>
    <w:rsid w:val="00B51963"/>
    <w:rsid w:val="00B618C4"/>
    <w:rsid w:val="00B75BF6"/>
    <w:rsid w:val="00B7735A"/>
    <w:rsid w:val="00B91DE7"/>
    <w:rsid w:val="00BA1F7B"/>
    <w:rsid w:val="00BA6320"/>
    <w:rsid w:val="00BB58AF"/>
    <w:rsid w:val="00BE6617"/>
    <w:rsid w:val="00BE7C30"/>
    <w:rsid w:val="00C055BF"/>
    <w:rsid w:val="00C2226A"/>
    <w:rsid w:val="00C2606A"/>
    <w:rsid w:val="00C94D92"/>
    <w:rsid w:val="00C97340"/>
    <w:rsid w:val="00CA513F"/>
    <w:rsid w:val="00CB3AA6"/>
    <w:rsid w:val="00CE2BC6"/>
    <w:rsid w:val="00CF05FF"/>
    <w:rsid w:val="00D257FB"/>
    <w:rsid w:val="00D27858"/>
    <w:rsid w:val="00D340BB"/>
    <w:rsid w:val="00D505D5"/>
    <w:rsid w:val="00D6781A"/>
    <w:rsid w:val="00D75B35"/>
    <w:rsid w:val="00D76E09"/>
    <w:rsid w:val="00D9736F"/>
    <w:rsid w:val="00D9792A"/>
    <w:rsid w:val="00DD0CD5"/>
    <w:rsid w:val="00DD377F"/>
    <w:rsid w:val="00DD7C38"/>
    <w:rsid w:val="00E25547"/>
    <w:rsid w:val="00E3287E"/>
    <w:rsid w:val="00E4120F"/>
    <w:rsid w:val="00E54D12"/>
    <w:rsid w:val="00E66197"/>
    <w:rsid w:val="00EB09DE"/>
    <w:rsid w:val="00F121A0"/>
    <w:rsid w:val="00F31093"/>
    <w:rsid w:val="00F33AB1"/>
    <w:rsid w:val="00F412AF"/>
    <w:rsid w:val="00F43667"/>
    <w:rsid w:val="00F447A7"/>
    <w:rsid w:val="00F4760B"/>
    <w:rsid w:val="00F72AAF"/>
    <w:rsid w:val="00FB4C59"/>
    <w:rsid w:val="00FB584D"/>
    <w:rsid w:val="00FB6521"/>
    <w:rsid w:val="00FE0572"/>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EB09D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09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EB09D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09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D771B-5AFE-4286-87F1-B839A3282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3628</Words>
  <Characters>20692</Characters>
  <Application>Microsoft Office Word</Application>
  <DocSecurity>0</DocSecurity>
  <Lines>349</Lines>
  <Paragraphs>124</Paragraphs>
  <ScaleCrop>false</ScaleCrop>
  <HeadingPairs>
    <vt:vector size="2" baseType="variant">
      <vt:variant>
        <vt:lpstr>Title</vt:lpstr>
      </vt:variant>
      <vt:variant>
        <vt:i4>1</vt:i4>
      </vt:variant>
    </vt:vector>
  </HeadingPairs>
  <TitlesOfParts>
    <vt:vector size="1" baseType="lpstr">
      <vt:lpstr>MJAS Vol 22 No 5 (2018)</vt:lpstr>
    </vt:vector>
  </TitlesOfParts>
  <Company>UKM</Company>
  <LinksUpToDate>false</LinksUpToDate>
  <CharactersWithSpaces>24273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5 (2018)</dc:title>
  <dc:creator>Harun Hj Hamzah</dc:creator>
  <cp:lastModifiedBy>Harun Hamzah</cp:lastModifiedBy>
  <cp:revision>16</cp:revision>
  <cp:lastPrinted>2018-10-17T01:20:00Z</cp:lastPrinted>
  <dcterms:created xsi:type="dcterms:W3CDTF">2018-10-03T10:24:00Z</dcterms:created>
  <dcterms:modified xsi:type="dcterms:W3CDTF">2018-10-17T01:20:00Z</dcterms:modified>
</cp:coreProperties>
</file>