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8364F" w:rsidRDefault="00F8364F" w:rsidP="00F8364F">
      <w:pPr>
        <w:widowControl w:val="0"/>
        <w:spacing w:after="0" w:line="240" w:lineRule="auto"/>
        <w:ind w:right="4"/>
        <w:jc w:val="center"/>
        <w:rPr>
          <w:rFonts w:ascii="Times New Roman" w:hAnsi="Times New Roman"/>
          <w:sz w:val="28"/>
          <w:szCs w:val="28"/>
        </w:rPr>
      </w:pPr>
      <w:r>
        <w:rPr>
          <w:rFonts w:ascii="Times New Roman" w:hAnsi="Times New Roman"/>
          <w:sz w:val="28"/>
          <w:szCs w:val="28"/>
        </w:rPr>
        <w:t>LIQUID NATURAL RUBBER TOUGHENED POLY(LACTIC ACID) BLEND: EFFECTS OF COMPATIBILIZER TYPES AND LOADINGS ON</w:t>
      </w:r>
    </w:p>
    <w:p w:rsidR="00F8364F" w:rsidRDefault="00F8364F" w:rsidP="00F8364F">
      <w:pPr>
        <w:widowControl w:val="0"/>
        <w:spacing w:after="0" w:line="240" w:lineRule="auto"/>
        <w:ind w:right="4"/>
        <w:jc w:val="center"/>
        <w:rPr>
          <w:rFonts w:ascii="Times New Roman" w:hAnsi="Times New Roman"/>
          <w:sz w:val="28"/>
          <w:szCs w:val="28"/>
        </w:rPr>
      </w:pPr>
      <w:r>
        <w:rPr>
          <w:rFonts w:ascii="Times New Roman" w:hAnsi="Times New Roman"/>
          <w:sz w:val="28"/>
          <w:szCs w:val="28"/>
        </w:rPr>
        <w:t xml:space="preserve"> THERMO-MECHANICAL PROPERTIES </w:t>
      </w:r>
    </w:p>
    <w:p w:rsidR="00F8364F" w:rsidRDefault="00F8364F" w:rsidP="00F8364F">
      <w:pPr>
        <w:widowControl w:val="0"/>
        <w:spacing w:before="54" w:after="0" w:line="240" w:lineRule="auto"/>
        <w:ind w:right="4"/>
        <w:jc w:val="center"/>
        <w:rPr>
          <w:rFonts w:ascii="Times New Roman" w:hAnsi="Times New Roman"/>
          <w:b/>
          <w:sz w:val="24"/>
          <w:szCs w:val="24"/>
        </w:rPr>
      </w:pPr>
    </w:p>
    <w:p w:rsidR="00F8364F" w:rsidRDefault="00F8364F" w:rsidP="00F8364F">
      <w:pPr>
        <w:widowControl w:val="0"/>
        <w:spacing w:after="0" w:line="240" w:lineRule="auto"/>
        <w:ind w:right="4"/>
        <w:jc w:val="center"/>
        <w:rPr>
          <w:rFonts w:ascii="Times New Roman" w:hAnsi="Times New Roman"/>
          <w:sz w:val="24"/>
          <w:szCs w:val="24"/>
        </w:rPr>
      </w:pPr>
      <w:r>
        <w:rPr>
          <w:rFonts w:ascii="Times New Roman" w:hAnsi="Times New Roman"/>
          <w:sz w:val="24"/>
          <w:szCs w:val="24"/>
        </w:rPr>
        <w:t xml:space="preserve">(Adunan Asid Polilaktik Diperkuat Getah Asli Cecair: Kesan Jenis dan Kandungan Penserasi Terhadap Sifat Terma-Mekanik) </w:t>
      </w:r>
    </w:p>
    <w:p w:rsidR="00F8364F" w:rsidRDefault="00F8364F" w:rsidP="00F8364F">
      <w:pPr>
        <w:widowControl w:val="0"/>
        <w:spacing w:before="9" w:after="0" w:line="240" w:lineRule="auto"/>
        <w:ind w:right="4"/>
        <w:jc w:val="center"/>
        <w:rPr>
          <w:rFonts w:ascii="Times New Roman" w:hAnsi="Times New Roman"/>
          <w:b/>
          <w:sz w:val="20"/>
          <w:szCs w:val="20"/>
        </w:rPr>
      </w:pPr>
    </w:p>
    <w:p w:rsidR="00F8364F" w:rsidRDefault="00F8364F" w:rsidP="00F8364F">
      <w:pPr>
        <w:widowControl w:val="0"/>
        <w:spacing w:after="0" w:line="240" w:lineRule="auto"/>
        <w:ind w:right="4"/>
        <w:jc w:val="center"/>
        <w:rPr>
          <w:rFonts w:ascii="Times New Roman" w:hAnsi="Times New Roman"/>
          <w:sz w:val="20"/>
          <w:szCs w:val="20"/>
        </w:rPr>
      </w:pPr>
      <w:r>
        <w:rPr>
          <w:rFonts w:ascii="Times New Roman" w:hAnsi="Times New Roman"/>
          <w:sz w:val="20"/>
          <w:szCs w:val="20"/>
        </w:rPr>
        <w:t>Mohd Farid Hakim Mohd Ruf, Sahrim Ahmad, Ruey Shan Chen</w:t>
      </w:r>
      <w:r w:rsidRPr="00F8364F">
        <w:rPr>
          <w:rFonts w:ascii="Times New Roman" w:hAnsi="Times New Roman"/>
          <w:sz w:val="20"/>
          <w:szCs w:val="20"/>
        </w:rPr>
        <w:t>*</w:t>
      </w:r>
      <w:r>
        <w:rPr>
          <w:rFonts w:ascii="Times New Roman" w:hAnsi="Times New Roman"/>
          <w:sz w:val="20"/>
          <w:szCs w:val="20"/>
        </w:rPr>
        <w:t>, Dalila Shahdan, Farrah Diyana Zailan</w:t>
      </w:r>
    </w:p>
    <w:p w:rsidR="00F8364F" w:rsidRDefault="00F8364F" w:rsidP="00F8364F">
      <w:pPr>
        <w:widowControl w:val="0"/>
        <w:spacing w:before="3" w:after="0" w:line="240" w:lineRule="auto"/>
        <w:ind w:right="4"/>
        <w:jc w:val="center"/>
        <w:rPr>
          <w:rFonts w:ascii="Times New Roman" w:hAnsi="Times New Roman"/>
          <w:sz w:val="18"/>
          <w:szCs w:val="18"/>
        </w:rPr>
      </w:pPr>
    </w:p>
    <w:p w:rsidR="00F8364F" w:rsidRDefault="00F8364F" w:rsidP="00F8364F">
      <w:pPr>
        <w:widowControl w:val="0"/>
        <w:spacing w:after="0" w:line="240" w:lineRule="auto"/>
        <w:ind w:right="4"/>
        <w:jc w:val="center"/>
        <w:rPr>
          <w:rFonts w:ascii="Times New Roman" w:hAnsi="Times New Roman"/>
          <w:i/>
          <w:sz w:val="18"/>
          <w:szCs w:val="18"/>
        </w:rPr>
      </w:pPr>
      <w:r>
        <w:rPr>
          <w:rFonts w:ascii="Times New Roman" w:hAnsi="Times New Roman"/>
          <w:i/>
          <w:sz w:val="18"/>
          <w:szCs w:val="18"/>
        </w:rPr>
        <w:t>School of Applied Physics,</w:t>
      </w:r>
    </w:p>
    <w:p w:rsidR="00F8364F" w:rsidRDefault="00F8364F" w:rsidP="00F8364F">
      <w:pPr>
        <w:widowControl w:val="0"/>
        <w:spacing w:after="0" w:line="240" w:lineRule="auto"/>
        <w:ind w:right="4"/>
        <w:jc w:val="center"/>
        <w:rPr>
          <w:rFonts w:ascii="Times New Roman" w:hAnsi="Times New Roman"/>
          <w:i/>
          <w:sz w:val="18"/>
          <w:szCs w:val="18"/>
        </w:rPr>
      </w:pPr>
      <w:r>
        <w:rPr>
          <w:rFonts w:ascii="Times New Roman" w:hAnsi="Times New Roman"/>
          <w:i/>
          <w:sz w:val="18"/>
          <w:szCs w:val="18"/>
        </w:rPr>
        <w:t>Faculty of Science and Technology,</w:t>
      </w:r>
    </w:p>
    <w:p w:rsidR="00F8364F" w:rsidRDefault="00F8364F" w:rsidP="00F8364F">
      <w:pPr>
        <w:widowControl w:val="0"/>
        <w:spacing w:after="0" w:line="240" w:lineRule="auto"/>
        <w:ind w:right="4"/>
        <w:jc w:val="center"/>
        <w:rPr>
          <w:rFonts w:ascii="Times New Roman" w:hAnsi="Times New Roman"/>
          <w:i/>
          <w:sz w:val="18"/>
          <w:szCs w:val="18"/>
        </w:rPr>
      </w:pPr>
      <w:r>
        <w:rPr>
          <w:rFonts w:ascii="Times New Roman" w:hAnsi="Times New Roman"/>
          <w:i/>
          <w:sz w:val="18"/>
          <w:szCs w:val="18"/>
        </w:rPr>
        <w:t>Universiti Kebangsaan Malaysia, 43600 UKM Bangi, Selangor, Malaysia</w:t>
      </w:r>
    </w:p>
    <w:p w:rsidR="00F8364F" w:rsidRDefault="00F8364F" w:rsidP="00F8364F">
      <w:pPr>
        <w:widowControl w:val="0"/>
        <w:spacing w:after="0" w:line="240" w:lineRule="auto"/>
        <w:ind w:right="4"/>
        <w:jc w:val="center"/>
        <w:rPr>
          <w:rFonts w:ascii="Times New Roman" w:hAnsi="Times New Roman"/>
          <w:i/>
          <w:sz w:val="18"/>
          <w:szCs w:val="18"/>
        </w:rPr>
      </w:pPr>
    </w:p>
    <w:p w:rsidR="00F8364F" w:rsidRDefault="00F8364F" w:rsidP="00F8364F">
      <w:pPr>
        <w:widowControl w:val="0"/>
        <w:spacing w:before="1" w:after="0" w:line="240" w:lineRule="auto"/>
        <w:ind w:right="4"/>
        <w:jc w:val="center"/>
        <w:rPr>
          <w:rFonts w:ascii="Times New Roman" w:hAnsi="Times New Roman"/>
          <w:i/>
          <w:sz w:val="18"/>
          <w:szCs w:val="18"/>
        </w:rPr>
      </w:pPr>
      <w:r>
        <w:rPr>
          <w:rFonts w:ascii="Times New Roman" w:hAnsi="Times New Roman"/>
          <w:sz w:val="18"/>
          <w:szCs w:val="18"/>
        </w:rPr>
        <w:t>*</w:t>
      </w:r>
      <w:r>
        <w:rPr>
          <w:rFonts w:ascii="Times New Roman" w:hAnsi="Times New Roman"/>
          <w:i/>
          <w:sz w:val="18"/>
          <w:szCs w:val="18"/>
        </w:rPr>
        <w:t>Corresponding author:</w:t>
      </w:r>
      <w:r>
        <w:rPr>
          <w:rFonts w:ascii="Times New Roman" w:hAnsi="Times New Roman"/>
          <w:i/>
          <w:sz w:val="18"/>
        </w:rPr>
        <w:t xml:space="preserve">  chen@ukm.edu.my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E6DA5">
        <w:rPr>
          <w:rFonts w:ascii="Times New Roman" w:hAnsi="Times New Roman"/>
          <w:noProof/>
          <w:sz w:val="18"/>
          <w:szCs w:val="18"/>
          <w:lang w:bidi="ar-SA"/>
        </w:rPr>
        <w:t>20 July 2017</w:t>
      </w:r>
      <w:r>
        <w:rPr>
          <w:rFonts w:ascii="Times New Roman" w:hAnsi="Times New Roman"/>
          <w:noProof/>
          <w:sz w:val="18"/>
          <w:szCs w:val="18"/>
          <w:lang w:bidi="ar-SA"/>
        </w:rPr>
        <w:t xml:space="preserve">; Accepted: </w:t>
      </w:r>
      <w:r w:rsidR="005E6DA5">
        <w:rPr>
          <w:rFonts w:ascii="Times New Roman" w:hAnsi="Times New Roman"/>
          <w:noProof/>
          <w:sz w:val="18"/>
          <w:szCs w:val="18"/>
          <w:lang w:bidi="ar-SA"/>
        </w:rPr>
        <w:t>28 April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8364F" w:rsidRDefault="00F8364F" w:rsidP="00F8364F">
      <w:pPr>
        <w:widowControl w:val="0"/>
        <w:spacing w:after="0" w:line="240" w:lineRule="auto"/>
        <w:ind w:right="4"/>
        <w:jc w:val="both"/>
        <w:rPr>
          <w:rFonts w:ascii="Times New Roman" w:hAnsi="Times New Roman"/>
          <w:sz w:val="18"/>
          <w:szCs w:val="18"/>
        </w:rPr>
      </w:pPr>
      <w:r>
        <w:rPr>
          <w:rFonts w:ascii="Times New Roman" w:hAnsi="Times New Roman"/>
          <w:sz w:val="18"/>
          <w:szCs w:val="18"/>
        </w:rPr>
        <w:t xml:space="preserve">This research was carried out to investigate the addition of grafted copolymers of maleic anhydride grafted-polylactic acid (PLA-g-MA) and maleic anhydride grafted-natural rubber (NR-g-MA) on the mechanical and thermal properties of polylactic acid/ liquid natural rubber (PLA/LNR) blends. Prior to blend preparation, the PLA-g-MA and NR-g-MA were the first self-synthesized by mixing maleic anhydride (MA) and dicumyl peroxide (DCP) which acted as initiator with the PLA and natural rubber (NR), respectively. The PLA/LNR, PLA/LNR/PLA-g-MA and PLA/LNR/NR-g-MA blends were prepared </w:t>
      </w:r>
      <w:r>
        <w:rPr>
          <w:rFonts w:ascii="Times New Roman" w:hAnsi="Times New Roman"/>
          <w:i/>
          <w:sz w:val="18"/>
          <w:szCs w:val="18"/>
        </w:rPr>
        <w:t>via</w:t>
      </w:r>
      <w:r>
        <w:rPr>
          <w:rFonts w:ascii="Times New Roman" w:hAnsi="Times New Roman"/>
          <w:sz w:val="18"/>
          <w:szCs w:val="18"/>
        </w:rPr>
        <w:t xml:space="preserve"> melt-blending method. The loading of PLA-g-MA and NR-g-MA was varied between 5, 10 and 15%, respectively. By comparing to the control sample (neat PLA/LNR blend), the addition of PLA-g-MA with 5 and 10% led to increment in tensile strength up to 22 MPa, whereas NR-g-MA promoted a negative trend of tensile properties to the blends. Differential scanning calorimetry (DSC) and thermogravimetry analysis (TGA) results showed the enhanced thermal stability for PLA/LNR/PLA-g-MA blend. Fourier transform infrared (FTIR) analysis confirmed the chemical interaction between the PLA and NR components where the grafted copolymers were successfully grafted onto PLA backbone and bonded with NR. </w:t>
      </w:r>
    </w:p>
    <w:p w:rsidR="00F8364F" w:rsidRDefault="00F8364F" w:rsidP="00F8364F">
      <w:pPr>
        <w:widowControl w:val="0"/>
        <w:spacing w:after="0"/>
        <w:ind w:right="4"/>
        <w:jc w:val="both"/>
        <w:rPr>
          <w:rFonts w:ascii="Times New Roman" w:eastAsiaTheme="minorHAnsi" w:hAnsi="Times New Roman"/>
          <w:sz w:val="18"/>
          <w:szCs w:val="18"/>
        </w:rPr>
      </w:pPr>
    </w:p>
    <w:p w:rsidR="00F8364F" w:rsidRDefault="00F8364F" w:rsidP="00F8364F">
      <w:pPr>
        <w:widowControl w:val="0"/>
        <w:spacing w:after="0" w:line="240" w:lineRule="auto"/>
        <w:ind w:right="4"/>
        <w:rPr>
          <w:rFonts w:ascii="Times New Roman" w:hAnsi="Times New Roman"/>
          <w:sz w:val="18"/>
        </w:rPr>
      </w:pPr>
      <w:r>
        <w:rPr>
          <w:rFonts w:ascii="Times New Roman" w:hAnsi="Times New Roman"/>
          <w:b/>
          <w:sz w:val="18"/>
        </w:rPr>
        <w:t xml:space="preserve">Keywords:  </w:t>
      </w:r>
      <w:r>
        <w:rPr>
          <w:rFonts w:ascii="Times New Roman" w:hAnsi="Times New Roman"/>
          <w:sz w:val="18"/>
        </w:rPr>
        <w:t>polymer blend, polylactic acid, toughening agent, compatibilizer, thermal</w:t>
      </w:r>
    </w:p>
    <w:p w:rsidR="00F8364F" w:rsidRDefault="00F8364F" w:rsidP="00F8364F">
      <w:pPr>
        <w:widowControl w:val="0"/>
        <w:spacing w:after="0" w:line="240" w:lineRule="auto"/>
        <w:ind w:right="4"/>
        <w:rPr>
          <w:rFonts w:ascii="Times New Roman" w:hAnsi="Times New Roman"/>
          <w:sz w:val="18"/>
        </w:rPr>
      </w:pPr>
    </w:p>
    <w:p w:rsidR="00F8364F" w:rsidRDefault="00F8364F" w:rsidP="00F8364F">
      <w:pPr>
        <w:widowControl w:val="0"/>
        <w:spacing w:after="0" w:line="240" w:lineRule="auto"/>
        <w:ind w:right="4"/>
        <w:jc w:val="center"/>
        <w:rPr>
          <w:rFonts w:ascii="Times New Roman" w:hAnsi="Times New Roman"/>
          <w:b/>
          <w:sz w:val="18"/>
        </w:rPr>
      </w:pPr>
      <w:r>
        <w:rPr>
          <w:rFonts w:ascii="Times New Roman" w:hAnsi="Times New Roman"/>
          <w:b/>
          <w:sz w:val="18"/>
        </w:rPr>
        <w:t>Abstrak</w:t>
      </w:r>
    </w:p>
    <w:p w:rsidR="00F8364F" w:rsidRDefault="00F8364F" w:rsidP="00F8364F">
      <w:pPr>
        <w:widowControl w:val="0"/>
        <w:spacing w:after="0" w:line="240" w:lineRule="auto"/>
        <w:ind w:right="4"/>
        <w:jc w:val="both"/>
        <w:rPr>
          <w:rFonts w:ascii="Times New Roman" w:hAnsi="Times New Roman"/>
          <w:bCs/>
          <w:sz w:val="18"/>
        </w:rPr>
      </w:pPr>
      <w:r>
        <w:rPr>
          <w:rFonts w:ascii="Times New Roman" w:hAnsi="Times New Roman"/>
          <w:sz w:val="18"/>
        </w:rPr>
        <w:t xml:space="preserve">Kajian ini dijalankan bagi mengkaji kesan penambahan kopolimer maleik anhidrida cantuman-asid polilaktik (PLA-g-MA) dan maleik anhidrida cantuman-getah asli (NR-g-MA) terhadap sifat mekanik and terma polimer adunan asid polilaktik/cecair getah asli (PLA/CGA). Sebelum penyediaan adunan, PLA-g-MA dan NR-g-MA terlebih dahulu disintesiskan dengan mengadun maleik anhidrida (MA) dan dikumil peroksida (DCP) yang bertindak sebagai pemula bersama dengan PLA dan getah asli (GA). Adunan PLA/LNR, PLA/LNR/PLA-g-MA dan PLA/LNR/NR-g-MA disediakan dengan menggunakan kaedah pengadunan dalaman. Kandungan PLA-g-MA dan NR-g-MA masing-masing divariasikan kepada 5, 10 dan 15%. Berbanding dengan sampel kawalan (adunan PLA/LNR), penambahan PLA-g-MA sebanyak 5 dan 10% memberikan peningkatan terhadap kekuatan tegangan sehingga 22 MPa manakala NR-g-MA memberikan corak penurunan terhadap adunan. Keputusan kalorimeter pemgimbasan pembezaan (DSC) dan analisa termogravimetri (TGA) menunjukkan peningkatan kestabilan terma adunan PLA/LNR/PLA-g-MA. Analisa spektroskopi inframerah transformasi </w:t>
      </w:r>
      <w:r>
        <w:rPr>
          <w:rFonts w:ascii="Times New Roman" w:hAnsi="Times New Roman"/>
          <w:bCs/>
          <w:sz w:val="18"/>
        </w:rPr>
        <w:t xml:space="preserve">Fourier (FTIR) membuktikan interaksi kimia berlaku antara komponen PLA dan NR di mana kopolimer </w:t>
      </w:r>
      <w:r>
        <w:rPr>
          <w:rFonts w:ascii="Times New Roman" w:hAnsi="Times New Roman"/>
          <w:sz w:val="18"/>
        </w:rPr>
        <w:t>cantuman</w:t>
      </w:r>
      <w:r>
        <w:rPr>
          <w:rFonts w:ascii="Times New Roman" w:hAnsi="Times New Roman"/>
          <w:bCs/>
          <w:sz w:val="18"/>
        </w:rPr>
        <w:t xml:space="preserve"> berjaya dicantum pada tulang belakang PLA dan diikat dengan NR.</w:t>
      </w:r>
    </w:p>
    <w:p w:rsidR="00F8364F" w:rsidRDefault="00F8364F" w:rsidP="00F8364F">
      <w:pPr>
        <w:widowControl w:val="0"/>
        <w:spacing w:after="0"/>
        <w:ind w:right="4"/>
        <w:jc w:val="both"/>
        <w:rPr>
          <w:rFonts w:ascii="Times New Roman" w:hAnsi="Times New Roman"/>
          <w:bCs/>
          <w:sz w:val="18"/>
        </w:rPr>
      </w:pPr>
    </w:p>
    <w:p w:rsidR="006768E9" w:rsidRPr="00F8364F" w:rsidRDefault="00F8364F" w:rsidP="00F8364F">
      <w:pPr>
        <w:widowControl w:val="0"/>
        <w:spacing w:after="0"/>
        <w:ind w:right="4"/>
        <w:jc w:val="both"/>
        <w:rPr>
          <w:rFonts w:ascii="Times New Roman" w:hAnsi="Times New Roman"/>
          <w:bCs/>
          <w:sz w:val="18"/>
        </w:rPr>
      </w:pPr>
      <w:r>
        <w:rPr>
          <w:rFonts w:ascii="Times New Roman" w:hAnsi="Times New Roman"/>
          <w:b/>
          <w:bCs/>
          <w:sz w:val="18"/>
        </w:rPr>
        <w:t>Kata kunci:</w:t>
      </w:r>
      <w:r>
        <w:rPr>
          <w:rFonts w:ascii="Times New Roman" w:hAnsi="Times New Roman"/>
          <w:bCs/>
          <w:sz w:val="18"/>
        </w:rPr>
        <w:t xml:space="preserve">  polimer adunan, asid polilaktik, agen penguat, penserasi, terma</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8364F" w:rsidRPr="00F8364F" w:rsidRDefault="00F8364F" w:rsidP="00F8364F">
      <w:pPr>
        <w:widowControl w:val="0"/>
        <w:spacing w:after="0" w:line="240" w:lineRule="auto"/>
        <w:ind w:right="4"/>
        <w:jc w:val="both"/>
        <w:rPr>
          <w:rFonts w:ascii="Times New Roman" w:hAnsi="Times New Roman"/>
          <w:sz w:val="20"/>
          <w:szCs w:val="20"/>
        </w:rPr>
      </w:pPr>
      <w:r w:rsidRPr="00F8364F">
        <w:rPr>
          <w:rFonts w:ascii="Times New Roman" w:hAnsi="Times New Roman"/>
          <w:sz w:val="20"/>
          <w:szCs w:val="20"/>
        </w:rPr>
        <w:t xml:space="preserve">Polymer blending is well known as an effective method for improving nature physical properties of one or both individual components. Unfortunately, </w:t>
      </w:r>
      <w:r w:rsidR="00191F75">
        <w:rPr>
          <w:rFonts w:ascii="Times New Roman" w:hAnsi="Times New Roman"/>
          <w:sz w:val="20"/>
          <w:szCs w:val="20"/>
        </w:rPr>
        <w:t xml:space="preserve">polymer blends are mostly not </w:t>
      </w:r>
      <w:bookmarkStart w:id="0" w:name="_GoBack"/>
      <w:bookmarkEnd w:id="0"/>
      <w:r w:rsidRPr="00F8364F">
        <w:rPr>
          <w:rFonts w:ascii="Times New Roman" w:hAnsi="Times New Roman"/>
          <w:sz w:val="20"/>
          <w:szCs w:val="20"/>
        </w:rPr>
        <w:t xml:space="preserve">miscible. To solve this immiscibility issue, the utilization of coupling agent or compatibilizer is required to improve the interfacial adhesion between the inherently immiscible polymeric components, which subsequently increasing the mechanical and other properties of blends. For instance, previous study reported that the incorporation of ethylene-glycidyl methacrylate (E-GMA) as compatibilizer had improved the compatibility of the recycled high-density polyethylene/polyethylene terephthalate (HDPE/PET) blend which subsequently resulted in the increase of mechanical properties [1]. </w:t>
      </w:r>
      <w:r w:rsidRPr="00F8364F">
        <w:rPr>
          <w:rFonts w:ascii="Times New Roman" w:hAnsi="Times New Roman"/>
          <w:bCs/>
          <w:sz w:val="20"/>
          <w:szCs w:val="20"/>
          <w:lang w:val="en-GB"/>
        </w:rPr>
        <w:t xml:space="preserve">The improvement of polymer blending properties can be achieved by the addition of toughening agent like co-polymer block and liquid natural rubber (LNR) </w:t>
      </w:r>
      <w:r w:rsidRPr="00F8364F">
        <w:rPr>
          <w:rFonts w:ascii="Times New Roman" w:hAnsi="Times New Roman"/>
          <w:sz w:val="20"/>
          <w:szCs w:val="20"/>
        </w:rPr>
        <w:t xml:space="preserve">[2]. LNR has been synthesized via a photodegradation method by cutting natural rubber (NR) into small cubes prior to mixing in the solution containing toluene solvent, methylene blue, rose Bengal and methanol. LNR was formed after the exposure under ultraviolet for approximately 12-20 days  [3]. The addition of LNR has successfully increased the mechanical properties such as tensile and impact strength in polymer blends and composites [2, 3].    </w:t>
      </w:r>
    </w:p>
    <w:p w:rsidR="00F8364F" w:rsidRPr="00F8364F" w:rsidRDefault="00F8364F" w:rsidP="00F8364F">
      <w:pPr>
        <w:widowControl w:val="0"/>
        <w:spacing w:after="0" w:line="240" w:lineRule="auto"/>
        <w:ind w:right="4"/>
        <w:jc w:val="both"/>
        <w:rPr>
          <w:rFonts w:ascii="Times New Roman" w:hAnsi="Times New Roman"/>
          <w:sz w:val="20"/>
          <w:szCs w:val="20"/>
        </w:rPr>
      </w:pPr>
    </w:p>
    <w:p w:rsidR="00F8364F" w:rsidRPr="00F8364F" w:rsidRDefault="00F8364F" w:rsidP="00F8364F">
      <w:pPr>
        <w:widowControl w:val="0"/>
        <w:spacing w:after="0" w:line="240" w:lineRule="auto"/>
        <w:ind w:right="4"/>
        <w:jc w:val="both"/>
        <w:rPr>
          <w:rFonts w:ascii="Times New Roman" w:hAnsi="Times New Roman"/>
          <w:sz w:val="20"/>
          <w:szCs w:val="20"/>
        </w:rPr>
      </w:pPr>
      <w:r w:rsidRPr="00F8364F">
        <w:rPr>
          <w:rFonts w:ascii="Times New Roman" w:hAnsi="Times New Roman"/>
          <w:bCs/>
          <w:sz w:val="20"/>
          <w:szCs w:val="20"/>
          <w:lang w:val="en-GB"/>
        </w:rPr>
        <w:t xml:space="preserve">In order to obtain better adhesion between the blending components, some modification are required </w:t>
      </w:r>
      <w:r w:rsidRPr="00F8364F">
        <w:rPr>
          <w:rFonts w:ascii="Times New Roman" w:hAnsi="Times New Roman"/>
          <w:sz w:val="20"/>
          <w:szCs w:val="20"/>
        </w:rPr>
        <w:t xml:space="preserve">[4]. One of the cheapest and simplest methods is by using the self-synthesized compatibilizer. </w:t>
      </w:r>
      <w:r w:rsidRPr="00F8364F">
        <w:rPr>
          <w:rFonts w:ascii="Times New Roman" w:hAnsi="Times New Roman"/>
          <w:bCs/>
          <w:sz w:val="20"/>
          <w:szCs w:val="20"/>
          <w:lang w:val="en-GB"/>
        </w:rPr>
        <w:t>The synthesis of</w:t>
      </w:r>
      <w:r w:rsidRPr="00F8364F">
        <w:rPr>
          <w:rFonts w:ascii="Times New Roman" w:hAnsi="Times New Roman"/>
          <w:sz w:val="20"/>
          <w:szCs w:val="20"/>
        </w:rPr>
        <w:t xml:space="preserve"> compatibilizer usually involves a free radical grafting polymerization in which the  monomers are often  grafted onto polar polymer backbones. Maleic anhydride (MA) was selected as the main functional group for  compatibilizing/coupling agent and the maleic copolymers have been extensively used for grafting onto the binary immiscible polymer blends in the previous research works [5, 6]. By adding the MA, the properties and interfacial adhesion</w:t>
      </w:r>
      <w:r w:rsidRPr="00F8364F">
        <w:rPr>
          <w:rFonts w:ascii="Times New Roman" w:hAnsi="Times New Roman"/>
          <w:bCs/>
          <w:sz w:val="20"/>
          <w:szCs w:val="20"/>
          <w:lang w:val="en-GB"/>
        </w:rPr>
        <w:t xml:space="preserve"> of the blends were enhanced </w:t>
      </w:r>
      <w:r w:rsidRPr="00F8364F">
        <w:rPr>
          <w:rFonts w:ascii="Times New Roman" w:hAnsi="Times New Roman"/>
          <w:sz w:val="20"/>
          <w:szCs w:val="20"/>
        </w:rPr>
        <w:t>[7]. As reported by Orozco and his coworkers, the blending of PLA  grafted with starch led to the better interaction as compared to the blend without the addition of MA as compatibilizer [5]. Besides, the incorporation of NR-g-MA promoted compatibilization for various blends and composites such as natural rubber/short nylon fiber composites and acrylonitrile-butadiene copolymer (NBR) [8, 9], thereby has resulted in the increase of modulus and tensile strength. Rui and his coworkers also reported that the incorporation of grafted MA compatibilizer gave better tensile property and improved interfacial adhesion of PLA/soy protein concentrate (SPC) composites [10].</w:t>
      </w:r>
    </w:p>
    <w:p w:rsidR="00F8364F" w:rsidRPr="00F8364F" w:rsidRDefault="00F8364F" w:rsidP="00F8364F">
      <w:pPr>
        <w:widowControl w:val="0"/>
        <w:spacing w:after="0" w:line="240" w:lineRule="auto"/>
        <w:ind w:right="4"/>
        <w:jc w:val="both"/>
        <w:rPr>
          <w:rFonts w:ascii="Times New Roman" w:hAnsi="Times New Roman"/>
          <w:sz w:val="20"/>
          <w:szCs w:val="20"/>
        </w:rPr>
      </w:pPr>
    </w:p>
    <w:p w:rsidR="00F8364F" w:rsidRPr="00F8364F" w:rsidRDefault="00F8364F" w:rsidP="00F8364F">
      <w:pPr>
        <w:widowControl w:val="0"/>
        <w:spacing w:after="0" w:line="240" w:lineRule="auto"/>
        <w:ind w:right="4"/>
        <w:jc w:val="both"/>
        <w:rPr>
          <w:rFonts w:ascii="Times New Roman" w:hAnsi="Times New Roman"/>
          <w:sz w:val="20"/>
          <w:szCs w:val="20"/>
        </w:rPr>
      </w:pPr>
      <w:r w:rsidRPr="00F8364F">
        <w:rPr>
          <w:rFonts w:ascii="Times New Roman" w:hAnsi="Times New Roman"/>
          <w:sz w:val="20"/>
          <w:szCs w:val="20"/>
        </w:rPr>
        <w:t xml:space="preserve">Numerous published research works have been reported on the use of PLA or PLA/LNR as the matrix in the composites, such as PLA/PP blends [11], PLA/LNR/NiZn ferrite [12], and etc. Nevertheless, </w:t>
      </w:r>
      <w:r w:rsidR="00191F75">
        <w:rPr>
          <w:rFonts w:ascii="Times New Roman" w:hAnsi="Times New Roman"/>
          <w:sz w:val="20"/>
          <w:szCs w:val="20"/>
        </w:rPr>
        <w:t>the shortcomings of these matric</w:t>
      </w:r>
      <w:r w:rsidRPr="00F8364F">
        <w:rPr>
          <w:rFonts w:ascii="Times New Roman" w:hAnsi="Times New Roman"/>
          <w:sz w:val="20"/>
          <w:szCs w:val="20"/>
        </w:rPr>
        <w:t>es should be highlighted which are the brittleness of PLA but the toughening effect on PLA can be imparted by LNR (PLA/LNR). However, the PLA/LNR somehow showed the incompatibility problem which thereby restricting the properties. In this aspect, the modification of PLA/LNR matrix is required. The aim of this research was to investigate the effect of adding different types of self-synthesized compatibilizers (PLA-g-MA or NR-g-MA) into the PLA/LNR blends and the compatibilizer loadings on the mechanical, thermal and chemical properties of the blends.</w:t>
      </w:r>
    </w:p>
    <w:p w:rsidR="00F8364F" w:rsidRPr="00F8364F" w:rsidRDefault="00F8364F" w:rsidP="00F8364F">
      <w:pPr>
        <w:widowControl w:val="0"/>
        <w:spacing w:after="0" w:line="240" w:lineRule="auto"/>
        <w:ind w:right="4"/>
        <w:jc w:val="center"/>
        <w:rPr>
          <w:rFonts w:ascii="Times New Roman" w:hAnsi="Times New Roman"/>
          <w:sz w:val="20"/>
          <w:szCs w:val="20"/>
        </w:rPr>
      </w:pPr>
    </w:p>
    <w:p w:rsidR="00F8364F" w:rsidRPr="00F8364F" w:rsidRDefault="00F8364F" w:rsidP="00F8364F">
      <w:pPr>
        <w:widowControl w:val="0"/>
        <w:spacing w:after="0" w:line="240" w:lineRule="auto"/>
        <w:ind w:right="4"/>
        <w:jc w:val="center"/>
        <w:outlineLvl w:val="0"/>
        <w:rPr>
          <w:rFonts w:ascii="Times New Roman" w:hAnsi="Times New Roman"/>
          <w:b/>
          <w:bCs/>
          <w:sz w:val="20"/>
          <w:szCs w:val="20"/>
        </w:rPr>
      </w:pPr>
      <w:r w:rsidRPr="00F8364F">
        <w:rPr>
          <w:rFonts w:ascii="Times New Roman" w:hAnsi="Times New Roman"/>
          <w:b/>
          <w:bCs/>
          <w:sz w:val="20"/>
          <w:szCs w:val="20"/>
        </w:rPr>
        <w:t>Materials and Methods</w:t>
      </w:r>
    </w:p>
    <w:p w:rsidR="00F8364F" w:rsidRPr="00F8364F" w:rsidRDefault="00F8364F" w:rsidP="00F8364F">
      <w:pPr>
        <w:widowControl w:val="0"/>
        <w:spacing w:after="0" w:line="240" w:lineRule="auto"/>
        <w:ind w:right="4"/>
        <w:rPr>
          <w:rFonts w:ascii="Times New Roman" w:hAnsi="Times New Roman"/>
          <w:b/>
          <w:sz w:val="20"/>
          <w:szCs w:val="20"/>
        </w:rPr>
      </w:pPr>
      <w:r w:rsidRPr="00F8364F">
        <w:rPr>
          <w:rFonts w:ascii="Times New Roman" w:hAnsi="Times New Roman"/>
          <w:b/>
          <w:sz w:val="20"/>
          <w:szCs w:val="20"/>
        </w:rPr>
        <w:t>Materials</w:t>
      </w:r>
    </w:p>
    <w:p w:rsidR="00F8364F" w:rsidRPr="00F8364F" w:rsidRDefault="00F8364F" w:rsidP="00F8364F">
      <w:pPr>
        <w:widowControl w:val="0"/>
        <w:spacing w:before="4" w:after="0" w:line="240" w:lineRule="auto"/>
        <w:ind w:right="4"/>
        <w:jc w:val="both"/>
        <w:rPr>
          <w:rFonts w:ascii="Times New Roman" w:hAnsi="Times New Roman"/>
          <w:sz w:val="20"/>
          <w:szCs w:val="20"/>
        </w:rPr>
      </w:pPr>
      <w:r w:rsidRPr="00F8364F">
        <w:rPr>
          <w:rFonts w:ascii="Times New Roman" w:hAnsi="Times New Roman"/>
          <w:sz w:val="20"/>
          <w:szCs w:val="20"/>
        </w:rPr>
        <w:t>Polylactic acid (PLA) was purchased from Nature Works LLC, UNIC Technology (SUZHOU) LTD with average molecular weight 5.5 x 10</w:t>
      </w:r>
      <w:r w:rsidRPr="00F8364F">
        <w:rPr>
          <w:rFonts w:ascii="Times New Roman" w:hAnsi="Times New Roman"/>
          <w:sz w:val="20"/>
          <w:szCs w:val="20"/>
          <w:vertAlign w:val="superscript"/>
        </w:rPr>
        <w:t>4</w:t>
      </w:r>
      <w:r w:rsidRPr="00F8364F">
        <w:rPr>
          <w:rFonts w:ascii="Times New Roman" w:hAnsi="Times New Roman"/>
          <w:sz w:val="20"/>
          <w:szCs w:val="20"/>
        </w:rPr>
        <w:t xml:space="preserve"> g/mol, relative viscosity of 2.5, melt flow index of 35 g/10min and melting point of 160-170 </w:t>
      </w:r>
      <w:r w:rsidRPr="00F8364F">
        <w:rPr>
          <w:rFonts w:ascii="Times New Roman" w:hAnsi="Times New Roman"/>
          <w:sz w:val="20"/>
          <w:szCs w:val="20"/>
          <w:vertAlign w:val="superscript"/>
        </w:rPr>
        <w:t>o</w:t>
      </w:r>
      <w:r w:rsidRPr="00F8364F">
        <w:rPr>
          <w:rFonts w:ascii="Times New Roman" w:hAnsi="Times New Roman"/>
          <w:sz w:val="20"/>
          <w:szCs w:val="20"/>
        </w:rPr>
        <w:t>C . SMR-L grade natural rubber (NR) with molecular weight 2.5 x 10</w:t>
      </w:r>
      <w:r w:rsidRPr="00F8364F">
        <w:rPr>
          <w:rFonts w:ascii="Times New Roman" w:hAnsi="Times New Roman"/>
          <w:sz w:val="20"/>
          <w:szCs w:val="20"/>
          <w:vertAlign w:val="superscript"/>
        </w:rPr>
        <w:t>6</w:t>
      </w:r>
      <w:r w:rsidRPr="00F8364F">
        <w:rPr>
          <w:rFonts w:ascii="Times New Roman" w:hAnsi="Times New Roman"/>
          <w:sz w:val="20"/>
          <w:szCs w:val="20"/>
        </w:rPr>
        <w:t xml:space="preserve"> g/mol was obtained from Malaysian Rubber Board (MRB). Maleic Anhydride (MA) with 99% purity, molecular weight of 98.06 g/mol and dicumyl peroxide (DCP) were purchased from Aldrich Chemistry company.</w:t>
      </w:r>
    </w:p>
    <w:p w:rsidR="00F8364F" w:rsidRPr="00F8364F" w:rsidRDefault="00F8364F" w:rsidP="00F8364F">
      <w:pPr>
        <w:widowControl w:val="0"/>
        <w:spacing w:after="0" w:line="240" w:lineRule="auto"/>
        <w:ind w:right="4"/>
        <w:rPr>
          <w:rFonts w:ascii="Times New Roman" w:hAnsi="Times New Roman"/>
          <w:sz w:val="20"/>
          <w:szCs w:val="20"/>
        </w:rPr>
      </w:pPr>
    </w:p>
    <w:p w:rsidR="00F8364F" w:rsidRPr="00F8364F" w:rsidRDefault="00F8364F" w:rsidP="00F8364F">
      <w:pPr>
        <w:widowControl w:val="0"/>
        <w:spacing w:after="0" w:line="240" w:lineRule="auto"/>
        <w:ind w:right="4"/>
        <w:outlineLvl w:val="0"/>
        <w:rPr>
          <w:rFonts w:ascii="Times New Roman" w:hAnsi="Times New Roman"/>
          <w:b/>
          <w:bCs/>
          <w:sz w:val="20"/>
          <w:szCs w:val="20"/>
        </w:rPr>
      </w:pPr>
      <w:r w:rsidRPr="00F8364F">
        <w:rPr>
          <w:rFonts w:ascii="Times New Roman" w:hAnsi="Times New Roman"/>
          <w:b/>
          <w:bCs/>
          <w:sz w:val="20"/>
          <w:szCs w:val="20"/>
        </w:rPr>
        <w:t>Preparation of liquid natural rubber</w:t>
      </w:r>
    </w:p>
    <w:p w:rsidR="00F8364F" w:rsidRPr="00F8364F" w:rsidRDefault="00F8364F" w:rsidP="00F8364F">
      <w:pPr>
        <w:widowControl w:val="0"/>
        <w:spacing w:after="0" w:line="240" w:lineRule="auto"/>
        <w:ind w:right="4"/>
        <w:jc w:val="both"/>
        <w:rPr>
          <w:rFonts w:ascii="Times New Roman" w:hAnsi="Times New Roman"/>
          <w:sz w:val="20"/>
          <w:szCs w:val="20"/>
        </w:rPr>
      </w:pPr>
      <w:r w:rsidRPr="00F8364F">
        <w:rPr>
          <w:rFonts w:ascii="Times New Roman" w:hAnsi="Times New Roman"/>
          <w:sz w:val="20"/>
          <w:szCs w:val="20"/>
        </w:rPr>
        <w:t>The liquid natural rubber (LNR) was synthesized using photochemical degradation or an oxidation technique of NR [13]. About 1.5 kg of NR were cut into small pieces and soaked in 60 cm</w:t>
      </w:r>
      <w:r w:rsidR="00191F75" w:rsidRPr="00191F75">
        <w:rPr>
          <w:rFonts w:ascii="Times New Roman" w:hAnsi="Times New Roman"/>
          <w:sz w:val="20"/>
          <w:szCs w:val="20"/>
          <w:vertAlign w:val="superscript"/>
        </w:rPr>
        <w:t>3</w:t>
      </w:r>
      <w:r w:rsidR="00191F75">
        <w:rPr>
          <w:rFonts w:ascii="Times New Roman" w:hAnsi="Times New Roman"/>
          <w:sz w:val="20"/>
          <w:szCs w:val="20"/>
        </w:rPr>
        <w:t xml:space="preserve"> </w:t>
      </w:r>
      <w:r w:rsidRPr="00F8364F">
        <w:rPr>
          <w:rFonts w:ascii="Times New Roman" w:hAnsi="Times New Roman"/>
          <w:sz w:val="20"/>
          <w:szCs w:val="20"/>
        </w:rPr>
        <w:t xml:space="preserve">glass flask that filled with approximately 4000 ml of toluene for 24 hours. After that, 0.3 g of methylene blue, 0.39 g of rose Bengal and 15 ml of methanol were added to the mixture. The mixture was stirred continuously by a mechanical stirrer at 10 rpm under the exposure to visible light for 10 days. </w:t>
      </w:r>
    </w:p>
    <w:p w:rsidR="00F8364F" w:rsidRPr="00F8364F" w:rsidRDefault="00F8364F" w:rsidP="00F8364F">
      <w:pPr>
        <w:widowControl w:val="0"/>
        <w:spacing w:after="0" w:line="240" w:lineRule="auto"/>
        <w:ind w:right="4"/>
        <w:jc w:val="both"/>
        <w:rPr>
          <w:rFonts w:ascii="Times New Roman" w:hAnsi="Times New Roman"/>
          <w:sz w:val="20"/>
          <w:szCs w:val="20"/>
        </w:rPr>
      </w:pPr>
    </w:p>
    <w:p w:rsidR="00F8364F" w:rsidRPr="00F8364F" w:rsidRDefault="00F8364F" w:rsidP="00F8364F">
      <w:pPr>
        <w:widowControl w:val="0"/>
        <w:spacing w:after="0" w:line="240" w:lineRule="auto"/>
        <w:ind w:right="4"/>
        <w:rPr>
          <w:rFonts w:ascii="Times New Roman" w:hAnsi="Times New Roman"/>
          <w:sz w:val="20"/>
          <w:szCs w:val="20"/>
        </w:rPr>
      </w:pPr>
      <w:r w:rsidRPr="00F8364F">
        <w:rPr>
          <w:rFonts w:ascii="Times New Roman" w:hAnsi="Times New Roman"/>
          <w:b/>
          <w:sz w:val="20"/>
          <w:szCs w:val="20"/>
        </w:rPr>
        <w:t xml:space="preserve">Preparation of maleic anhydride grafted - polylactic acid and - natural rubber </w:t>
      </w:r>
    </w:p>
    <w:p w:rsidR="00F8364F" w:rsidRPr="00F8364F" w:rsidRDefault="00F8364F" w:rsidP="00F8364F">
      <w:pPr>
        <w:widowControl w:val="0"/>
        <w:spacing w:after="0" w:line="240" w:lineRule="auto"/>
        <w:ind w:right="4"/>
        <w:jc w:val="both"/>
        <w:rPr>
          <w:rFonts w:ascii="Times New Roman" w:hAnsi="Times New Roman"/>
          <w:sz w:val="20"/>
          <w:szCs w:val="20"/>
        </w:rPr>
      </w:pPr>
      <w:r w:rsidRPr="00F8364F">
        <w:rPr>
          <w:rFonts w:ascii="Times New Roman" w:hAnsi="Times New Roman"/>
          <w:sz w:val="20"/>
          <w:szCs w:val="20"/>
        </w:rPr>
        <w:t>Before use, PLA pellets were dried for 24 hours at 60 </w:t>
      </w:r>
      <w:r w:rsidRPr="00F8364F">
        <w:rPr>
          <w:rFonts w:ascii="Times New Roman" w:hAnsi="Times New Roman"/>
          <w:sz w:val="20"/>
          <w:szCs w:val="20"/>
          <w:vertAlign w:val="superscript"/>
        </w:rPr>
        <w:t>o</w:t>
      </w:r>
      <w:r w:rsidRPr="00F8364F">
        <w:rPr>
          <w:rFonts w:ascii="Times New Roman" w:hAnsi="Times New Roman"/>
          <w:sz w:val="20"/>
          <w:szCs w:val="20"/>
        </w:rPr>
        <w:t>C in an oven to eliminate the moisture. The DCP was used asan initiator. The composition of MA and DCP was fixed at 3.6 and 9 phr, respectively [4, 14]. The grafting of MA onto PLA was carried out by using the internal mixer. Firstly, PLA pellets were fed into internal mixer until it was fully melted before adding DCP. For the next 3 min, MA was added and left for 15 min. The temperature of internal mixer was set at 190 </w:t>
      </w:r>
      <w:r w:rsidRPr="00F8364F">
        <w:rPr>
          <w:rFonts w:ascii="Times New Roman" w:hAnsi="Times New Roman"/>
          <w:sz w:val="20"/>
          <w:szCs w:val="20"/>
          <w:vertAlign w:val="superscript"/>
        </w:rPr>
        <w:t>o</w:t>
      </w:r>
      <w:r w:rsidRPr="00F8364F">
        <w:rPr>
          <w:rFonts w:ascii="Times New Roman" w:hAnsi="Times New Roman"/>
          <w:sz w:val="20"/>
          <w:szCs w:val="20"/>
        </w:rPr>
        <w:t>C and the screw speed was set at 80 rpm. The obtained grafted copolymers were then cut into small pieces to be used in the blending with PLA and LNR.</w:t>
      </w:r>
    </w:p>
    <w:p w:rsidR="00F8364F" w:rsidRPr="00F8364F" w:rsidRDefault="00F8364F" w:rsidP="00F8364F">
      <w:pPr>
        <w:widowControl w:val="0"/>
        <w:spacing w:after="0" w:line="240" w:lineRule="auto"/>
        <w:ind w:right="4"/>
        <w:rPr>
          <w:rFonts w:ascii="Times New Roman" w:hAnsi="Times New Roman"/>
          <w:sz w:val="20"/>
          <w:szCs w:val="20"/>
        </w:rPr>
      </w:pPr>
    </w:p>
    <w:p w:rsidR="00F8364F" w:rsidRPr="00F8364F" w:rsidRDefault="00F8364F" w:rsidP="00F8364F">
      <w:pPr>
        <w:widowControl w:val="0"/>
        <w:spacing w:after="0" w:line="240" w:lineRule="auto"/>
        <w:ind w:right="4"/>
        <w:outlineLvl w:val="0"/>
        <w:rPr>
          <w:rFonts w:ascii="Times New Roman" w:hAnsi="Times New Roman"/>
          <w:b/>
          <w:bCs/>
          <w:sz w:val="20"/>
          <w:szCs w:val="20"/>
        </w:rPr>
      </w:pPr>
      <w:r w:rsidRPr="00F8364F">
        <w:rPr>
          <w:rFonts w:ascii="Times New Roman" w:hAnsi="Times New Roman"/>
          <w:b/>
          <w:bCs/>
          <w:sz w:val="20"/>
          <w:szCs w:val="20"/>
        </w:rPr>
        <w:t>Blending preparation</w:t>
      </w:r>
    </w:p>
    <w:p w:rsidR="00F8364F" w:rsidRPr="00F8364F" w:rsidRDefault="00F8364F" w:rsidP="00F8364F">
      <w:pPr>
        <w:widowControl w:val="0"/>
        <w:spacing w:after="0" w:line="240" w:lineRule="auto"/>
        <w:ind w:right="4"/>
        <w:jc w:val="both"/>
        <w:rPr>
          <w:rFonts w:ascii="Times New Roman" w:hAnsi="Times New Roman"/>
          <w:sz w:val="20"/>
          <w:szCs w:val="20"/>
        </w:rPr>
      </w:pPr>
      <w:r w:rsidRPr="00F8364F">
        <w:rPr>
          <w:rFonts w:ascii="Times New Roman" w:hAnsi="Times New Roman"/>
          <w:sz w:val="20"/>
          <w:szCs w:val="20"/>
        </w:rPr>
        <w:t xml:space="preserve">In the presence and absence of compatibilizer, PLA/LNR blends were prepared using an internal mixer (Haake Rheomix 600P) with a processing mixing temperature at 190 ºC, a rotor speed of 80 rpm and mixing time of 15 min. The PLA/LNR was fixed at the ratio of 90:10 (wt:wt), whereas PLA-g-MA and NR-g-MA were added at 5, 10 and 15%, respectively. PLA was first placed into the mixer and allowed to melt for about 4 minutes, followed by the introduction of LNR which took another 3 minutes. Finally, the grafted copolymers were added into the mixing and it was completed in 15 minutes. After blending process, the samples were prepared </w:t>
      </w:r>
      <w:r w:rsidRPr="00F8364F">
        <w:rPr>
          <w:rFonts w:ascii="Times New Roman" w:hAnsi="Times New Roman"/>
          <w:i/>
          <w:sz w:val="20"/>
          <w:szCs w:val="20"/>
        </w:rPr>
        <w:t xml:space="preserve">via </w:t>
      </w:r>
      <w:r w:rsidRPr="00F8364F">
        <w:rPr>
          <w:rFonts w:ascii="Times New Roman" w:hAnsi="Times New Roman"/>
          <w:sz w:val="20"/>
          <w:szCs w:val="20"/>
        </w:rPr>
        <w:t>compression moulding using a hot press machine (LABTECH Engineering Company LTD) under pressure 6.9 MPa at 190 °C. A 3 mm dumb bell shape mould was used for moulding process. The periods for compression moulding were set as 4 minutes for pre-heating and venting process, 5 minutes for full pressing and 3 minutes for cool pressing</w:t>
      </w:r>
      <w:r w:rsidRPr="00F8364F">
        <w:rPr>
          <w:rFonts w:ascii="Times New Roman" w:hAnsi="Times New Roman"/>
          <w:spacing w:val="-33"/>
          <w:sz w:val="20"/>
          <w:szCs w:val="20"/>
        </w:rPr>
        <w:t xml:space="preserve"> </w:t>
      </w:r>
      <w:r w:rsidRPr="00F8364F">
        <w:rPr>
          <w:rFonts w:ascii="Times New Roman" w:hAnsi="Times New Roman"/>
          <w:sz w:val="20"/>
          <w:szCs w:val="20"/>
        </w:rPr>
        <w:t>.</w:t>
      </w:r>
    </w:p>
    <w:p w:rsidR="00F8364F" w:rsidRPr="00F8364F" w:rsidRDefault="00F8364F" w:rsidP="00F8364F">
      <w:pPr>
        <w:widowControl w:val="0"/>
        <w:spacing w:after="0" w:line="240" w:lineRule="auto"/>
        <w:ind w:right="4"/>
        <w:jc w:val="both"/>
        <w:rPr>
          <w:rFonts w:ascii="Times New Roman" w:hAnsi="Times New Roman"/>
          <w:sz w:val="20"/>
          <w:szCs w:val="20"/>
        </w:rPr>
      </w:pPr>
    </w:p>
    <w:p w:rsidR="00F8364F" w:rsidRPr="00F8364F" w:rsidRDefault="00F8364F" w:rsidP="00F8364F">
      <w:pPr>
        <w:widowControl w:val="0"/>
        <w:spacing w:after="0" w:line="240" w:lineRule="auto"/>
        <w:ind w:right="4"/>
        <w:outlineLvl w:val="0"/>
        <w:rPr>
          <w:rFonts w:ascii="Times New Roman" w:hAnsi="Times New Roman"/>
          <w:b/>
          <w:bCs/>
          <w:sz w:val="20"/>
          <w:szCs w:val="20"/>
        </w:rPr>
      </w:pPr>
      <w:r w:rsidRPr="00F8364F">
        <w:rPr>
          <w:rFonts w:ascii="Times New Roman" w:hAnsi="Times New Roman"/>
          <w:b/>
          <w:bCs/>
          <w:sz w:val="20"/>
          <w:szCs w:val="20"/>
        </w:rPr>
        <w:t>Characterization</w:t>
      </w:r>
    </w:p>
    <w:p w:rsidR="00F8364F" w:rsidRPr="00F8364F" w:rsidRDefault="00F8364F" w:rsidP="00F8364F">
      <w:pPr>
        <w:widowControl w:val="0"/>
        <w:spacing w:after="0" w:line="240" w:lineRule="auto"/>
        <w:ind w:right="4"/>
        <w:jc w:val="both"/>
        <w:rPr>
          <w:rFonts w:ascii="Times New Roman" w:hAnsi="Times New Roman"/>
          <w:sz w:val="20"/>
          <w:szCs w:val="20"/>
        </w:rPr>
      </w:pPr>
      <w:r w:rsidRPr="00F8364F">
        <w:rPr>
          <w:rFonts w:ascii="Times New Roman" w:hAnsi="Times New Roman"/>
          <w:sz w:val="20"/>
          <w:szCs w:val="20"/>
        </w:rPr>
        <w:t>The tensile test of the samples was conducted using tensile machine (model Testometric M500-50CT) with 10 kN load cell at a crosshead speed of 5 mm/min</w:t>
      </w:r>
      <w:r w:rsidRPr="00F8364F">
        <w:rPr>
          <w:rFonts w:ascii="Times New Roman" w:hAnsi="Times New Roman"/>
          <w:position w:val="9"/>
          <w:sz w:val="20"/>
          <w:szCs w:val="20"/>
        </w:rPr>
        <w:t xml:space="preserve"> </w:t>
      </w:r>
      <w:r w:rsidRPr="00F8364F">
        <w:rPr>
          <w:rFonts w:ascii="Times New Roman" w:hAnsi="Times New Roman"/>
          <w:sz w:val="20"/>
          <w:szCs w:val="20"/>
        </w:rPr>
        <w:t>according the standard ASTM D638-03. At least five samples were tested for each composition. The thermal tests were carried out using Thermogravimetric Analyzer (model Shimadzu DSC-60 Plus Series) and Differential Scanning Calorimetry (model Shimadzu DTG-60). A chemical analysis was conducted by using FTIR-Near infrared instrument (model Perkin Elmer Spectrum 400 FT-IR). The samples were scanned from 650 to 4000 cm</w:t>
      </w:r>
      <w:r w:rsidRPr="00F8364F">
        <w:rPr>
          <w:rFonts w:ascii="Times New Roman" w:hAnsi="Times New Roman"/>
          <w:sz w:val="20"/>
          <w:szCs w:val="20"/>
          <w:vertAlign w:val="superscript"/>
        </w:rPr>
        <w:t>-1</w:t>
      </w:r>
      <w:r w:rsidRPr="00F8364F">
        <w:rPr>
          <w:rFonts w:ascii="Times New Roman" w:hAnsi="Times New Roman"/>
          <w:sz w:val="20"/>
          <w:szCs w:val="20"/>
        </w:rPr>
        <w:t>.</w:t>
      </w:r>
    </w:p>
    <w:p w:rsidR="006768E9" w:rsidRPr="00F447A7" w:rsidRDefault="006768E9" w:rsidP="00F8364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8364F" w:rsidRDefault="00F8364F" w:rsidP="00F8364F">
      <w:pPr>
        <w:widowControl w:val="0"/>
        <w:spacing w:after="0" w:line="240" w:lineRule="auto"/>
        <w:ind w:right="4"/>
        <w:jc w:val="both"/>
        <w:rPr>
          <w:rFonts w:ascii="Times New Roman" w:hAnsi="Times New Roman"/>
          <w:b/>
          <w:sz w:val="20"/>
          <w:szCs w:val="20"/>
        </w:rPr>
      </w:pPr>
      <w:r>
        <w:rPr>
          <w:rFonts w:ascii="Times New Roman" w:hAnsi="Times New Roman"/>
          <w:b/>
          <w:sz w:val="20"/>
          <w:szCs w:val="20"/>
        </w:rPr>
        <w:t>Tensile properties</w:t>
      </w:r>
    </w:p>
    <w:p w:rsidR="00F8364F" w:rsidRDefault="00F8364F" w:rsidP="00F8364F">
      <w:pPr>
        <w:widowControl w:val="0"/>
        <w:spacing w:after="0" w:line="240" w:lineRule="auto"/>
        <w:ind w:right="4"/>
        <w:jc w:val="both"/>
        <w:rPr>
          <w:rFonts w:ascii="Times New Roman" w:hAnsi="Times New Roman"/>
          <w:sz w:val="20"/>
          <w:szCs w:val="20"/>
        </w:rPr>
      </w:pPr>
      <w:r>
        <w:rPr>
          <w:rFonts w:ascii="Times New Roman" w:hAnsi="Times New Roman"/>
          <w:sz w:val="20"/>
          <w:szCs w:val="20"/>
        </w:rPr>
        <w:t>Figure 1 shows the effect of PLA-g-MA loading on the (a) tensile strength and (b) Youngs modulus of the blends. By adding 5% of PLA-g-MA, it showed a slight increment in tensile strength, which increased about 2%. The optimum tensile strength was achieved at 10% PLA-g-MA (~22 MPa), which increased by approximately 15%. The great improvement in the blend properties suggests that the presence of PLA-g-MA has promoted a better compatibility and stronger adhesion between the PLA and LNR components and thus promoting a more homogeneous blend. As the loading of PLA-g-MA increased up to 15%, the tensile strength showed a significant reduction. The reduction in tensile properties was due to the less uniform and weak adhesion of the components in the blends. For NR-g-MA, the tensile strength showed a gradual reduction upon the increase of NR-g-MA loading from 5 to 15%. The reduction could be due to rubbery nature of NR [15].</w:t>
      </w:r>
    </w:p>
    <w:p w:rsidR="00F8364F" w:rsidRDefault="00F8364F" w:rsidP="00F8364F">
      <w:pPr>
        <w:widowControl w:val="0"/>
        <w:spacing w:after="0" w:line="240" w:lineRule="auto"/>
        <w:ind w:right="4"/>
        <w:jc w:val="both"/>
        <w:rPr>
          <w:rFonts w:ascii="Times New Roman" w:hAnsi="Times New Roman"/>
          <w:sz w:val="20"/>
          <w:szCs w:val="20"/>
        </w:rPr>
      </w:pPr>
    </w:p>
    <w:p w:rsidR="00F8364F" w:rsidRDefault="00F8364F" w:rsidP="00F8364F">
      <w:pPr>
        <w:widowControl w:val="0"/>
        <w:spacing w:after="0" w:line="240" w:lineRule="auto"/>
        <w:ind w:right="4"/>
        <w:jc w:val="both"/>
        <w:rPr>
          <w:rFonts w:ascii="Times New Roman" w:hAnsi="Times New Roman"/>
          <w:sz w:val="20"/>
          <w:szCs w:val="20"/>
        </w:rPr>
      </w:pPr>
      <w:r>
        <w:rPr>
          <w:rFonts w:ascii="Times New Roman" w:hAnsi="Times New Roman"/>
          <w:sz w:val="20"/>
          <w:szCs w:val="20"/>
        </w:rPr>
        <w:t xml:space="preserve">On the other hand, the presence of PLA-g-MA resulted in a lower Young’s modulus value, which decreased about 12% than that of PLA/LNR blend (Figure 1(b)). This reduction in Young’s modulus was expected and the similar trends have been reported in the previous studies [1, 16]. For both compatibilizers at the loadings of 10 and 15%, the Young’s Modulus of both blends was found to be constant as the compatibilizer achieved the optimum loading at 10%. Therefore, it was believed that the ability to withstand the tension has achieved the same level since the compatibilizer was saturated along the interface area in the blends at 15%. </w:t>
      </w:r>
    </w:p>
    <w:p w:rsidR="00F8364F" w:rsidRDefault="00F8364F" w:rsidP="00F8364F">
      <w:pPr>
        <w:widowControl w:val="0"/>
        <w:spacing w:after="0" w:line="240" w:lineRule="auto"/>
        <w:ind w:right="4"/>
        <w:jc w:val="both"/>
        <w:rPr>
          <w:rFonts w:ascii="Times New Roman" w:hAnsi="Times New Roman"/>
          <w:sz w:val="20"/>
          <w:szCs w:val="20"/>
        </w:rPr>
      </w:pPr>
    </w:p>
    <w:p w:rsidR="00F8364F" w:rsidRDefault="00F8364F" w:rsidP="00F8364F">
      <w:pPr>
        <w:widowControl w:val="0"/>
        <w:spacing w:after="0" w:line="240" w:lineRule="auto"/>
        <w:ind w:right="4"/>
        <w:jc w:val="both"/>
        <w:rPr>
          <w:rFonts w:ascii="Times New Roman" w:hAnsi="Times New Roman"/>
          <w:sz w:val="20"/>
          <w:szCs w:val="20"/>
        </w:rPr>
      </w:pPr>
      <w:r>
        <w:rPr>
          <w:rFonts w:ascii="Times New Roman" w:hAnsi="Times New Roman"/>
          <w:sz w:val="20"/>
          <w:szCs w:val="20"/>
        </w:rPr>
        <w:t xml:space="preserve">For the elongation at break shown in Figure 1(c), the addition of compatibilizer did not provide positive effect on PLA/LNR blends, as observed by the lower values than that of PLA/LNR, irrespective to the compatibilizer types. The reduction in elongation at break implies the increased brittleness of the blends. By comparing the effectiveness of PLA-g-MA and NR-g-MA, the earlier compatibilizer with 10% (optimum loading) was shown to be more suitable than the latter one. </w:t>
      </w:r>
    </w:p>
    <w:p w:rsidR="00F8364F" w:rsidRDefault="00F8364F" w:rsidP="00F8364F">
      <w:pPr>
        <w:widowControl w:val="0"/>
        <w:spacing w:after="0" w:line="240" w:lineRule="auto"/>
        <w:ind w:right="4"/>
        <w:jc w:val="both"/>
        <w:rPr>
          <w:rFonts w:ascii="Times New Roman" w:hAnsi="Times New Roman"/>
          <w:sz w:val="20"/>
          <w:szCs w:val="20"/>
        </w:rPr>
      </w:pPr>
    </w:p>
    <w:p w:rsidR="00F8364F" w:rsidRDefault="00F8364F" w:rsidP="00F8364F">
      <w:pPr>
        <w:widowControl w:val="0"/>
        <w:spacing w:after="120" w:line="240" w:lineRule="auto"/>
        <w:jc w:val="center"/>
        <w:rPr>
          <w:rFonts w:ascii="Times New Roman" w:hAnsi="Times New Roman"/>
          <w:sz w:val="20"/>
          <w:szCs w:val="20"/>
        </w:rPr>
      </w:pPr>
      <w:r>
        <w:rPr>
          <w:noProof/>
          <w:lang w:bidi="ar-SA"/>
        </w:rPr>
        <w:lastRenderedPageBreak/>
        <w:drawing>
          <wp:inline distT="0" distB="0" distL="0" distR="0" wp14:anchorId="4C317198" wp14:editId="1FDFA85E">
            <wp:extent cx="5172075" cy="2133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2075" cy="2133600"/>
                    </a:xfrm>
                    <a:prstGeom prst="rect">
                      <a:avLst/>
                    </a:prstGeom>
                    <a:noFill/>
                    <a:ln>
                      <a:noFill/>
                    </a:ln>
                  </pic:spPr>
                </pic:pic>
              </a:graphicData>
            </a:graphic>
          </wp:inline>
        </w:drawing>
      </w:r>
    </w:p>
    <w:p w:rsidR="00F8364F" w:rsidRDefault="00F8364F" w:rsidP="00C1448B">
      <w:pPr>
        <w:widowControl w:val="0"/>
        <w:spacing w:after="120" w:line="240" w:lineRule="auto"/>
        <w:jc w:val="center"/>
        <w:rPr>
          <w:rFonts w:asciiTheme="minorHAnsi" w:eastAsiaTheme="minorHAnsi" w:hAnsiTheme="minorHAnsi" w:cstheme="minorBidi"/>
          <w:noProof/>
        </w:rPr>
      </w:pPr>
      <w:r>
        <w:rPr>
          <w:noProof/>
          <w:lang w:bidi="ar-SA"/>
        </w:rPr>
        <w:drawing>
          <wp:inline distT="0" distB="0" distL="0" distR="0" wp14:anchorId="5235E39F" wp14:editId="786A1C6E">
            <wp:extent cx="2876550" cy="1914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914525"/>
                    </a:xfrm>
                    <a:prstGeom prst="rect">
                      <a:avLst/>
                    </a:prstGeom>
                    <a:noFill/>
                    <a:ln>
                      <a:noFill/>
                    </a:ln>
                  </pic:spPr>
                </pic:pic>
              </a:graphicData>
            </a:graphic>
          </wp:inline>
        </w:drawing>
      </w:r>
    </w:p>
    <w:p w:rsidR="00F8364F" w:rsidRDefault="00C1448B" w:rsidP="00C1448B">
      <w:pPr>
        <w:widowControl w:val="0"/>
        <w:spacing w:after="0" w:line="240" w:lineRule="auto"/>
        <w:ind w:left="850" w:hanging="850"/>
        <w:jc w:val="both"/>
        <w:rPr>
          <w:rFonts w:ascii="Times New Roman" w:hAnsi="Times New Roman"/>
          <w:sz w:val="20"/>
          <w:szCs w:val="20"/>
        </w:rPr>
      </w:pPr>
      <w:r>
        <w:rPr>
          <w:rFonts w:ascii="Times New Roman" w:hAnsi="Times New Roman"/>
          <w:sz w:val="20"/>
          <w:szCs w:val="20"/>
        </w:rPr>
        <w:t xml:space="preserve">Figure 1. </w:t>
      </w:r>
      <w:r>
        <w:rPr>
          <w:rFonts w:ascii="Times New Roman" w:hAnsi="Times New Roman"/>
          <w:sz w:val="20"/>
          <w:szCs w:val="20"/>
        </w:rPr>
        <w:tab/>
      </w:r>
      <w:r w:rsidR="00F8364F">
        <w:rPr>
          <w:rFonts w:ascii="Times New Roman" w:hAnsi="Times New Roman"/>
          <w:sz w:val="20"/>
          <w:szCs w:val="20"/>
        </w:rPr>
        <w:t>The effect of compatibilizer loadings on (a) tensile strength, (b) Young’s modulus and (c) elongation at break of the blends</w:t>
      </w:r>
    </w:p>
    <w:p w:rsidR="00F8364F" w:rsidRDefault="00F8364F" w:rsidP="00C1448B">
      <w:pPr>
        <w:widowControl w:val="0"/>
        <w:spacing w:after="120" w:line="240" w:lineRule="auto"/>
        <w:jc w:val="both"/>
        <w:outlineLvl w:val="0"/>
        <w:rPr>
          <w:rFonts w:ascii="Times New Roman" w:hAnsi="Times New Roman"/>
          <w:b/>
          <w:bCs/>
          <w:sz w:val="20"/>
          <w:szCs w:val="20"/>
        </w:rPr>
      </w:pPr>
    </w:p>
    <w:p w:rsidR="00F8364F" w:rsidRDefault="00F8364F" w:rsidP="00F8364F">
      <w:pPr>
        <w:widowControl w:val="0"/>
        <w:spacing w:after="0" w:line="240" w:lineRule="auto"/>
        <w:ind w:right="4"/>
        <w:jc w:val="both"/>
        <w:outlineLvl w:val="0"/>
        <w:rPr>
          <w:rFonts w:ascii="Times New Roman" w:hAnsi="Times New Roman"/>
          <w:b/>
          <w:bCs/>
          <w:sz w:val="20"/>
          <w:szCs w:val="20"/>
        </w:rPr>
      </w:pPr>
      <w:r>
        <w:rPr>
          <w:rFonts w:ascii="Times New Roman" w:hAnsi="Times New Roman"/>
          <w:b/>
          <w:bCs/>
          <w:sz w:val="20"/>
          <w:szCs w:val="20"/>
        </w:rPr>
        <w:t>Thermogravimetric (TGA) Analysis</w:t>
      </w:r>
    </w:p>
    <w:p w:rsidR="00F8364F" w:rsidRDefault="00F8364F" w:rsidP="00F8364F">
      <w:pPr>
        <w:widowControl w:val="0"/>
        <w:spacing w:after="0" w:line="240" w:lineRule="auto"/>
        <w:ind w:right="4"/>
        <w:jc w:val="both"/>
        <w:outlineLvl w:val="0"/>
        <w:rPr>
          <w:rFonts w:ascii="Times New Roman" w:eastAsiaTheme="minorHAnsi" w:hAnsi="Times New Roman"/>
          <w:sz w:val="20"/>
          <w:szCs w:val="20"/>
        </w:rPr>
      </w:pPr>
      <w:r>
        <w:rPr>
          <w:rFonts w:ascii="Times New Roman" w:hAnsi="Times New Roman"/>
          <w:sz w:val="20"/>
          <w:szCs w:val="20"/>
        </w:rPr>
        <w:t>Figure 2 shows TGA results of PLA/LNR, PLA/LNR/10% PLA-g-MA and PLA/LNR/5% NR-g-MA blends. It can be seen that the TGA curves of the PLA/LNR samples containing compatibilizers delayed the degradation process as compared to that of PLA/LNR without compatibilizer, as shown in inset image over the temperature of 180 - 330 ºC where the weight loss of PLA/LNR occurred before the PLA/LNR/compatibilizer samples. At fixed temperature of about 280 ºC, PLA/LNR exhibited a greater amount of weight loss than those containing compatibilizer, irrespective of the compatibilizer types. This implies that the thermal stability of the blends incorporated with the compatibilizer was improved. These results are in the agreement with the previous studies [15]. Upon heating to the temperature of 400 ºC, the decomposition of PLA/LNR was almost completed with only approximately 0.26% of residues. The PLA/LNR with compatibilizers, especially NR-g-MA exhibited lesser residues than that of neat PLA/LNR. This was attributed to the greater interaction of the compatibilizer with the matrix, which giving a less carbon residue [15].</w:t>
      </w:r>
    </w:p>
    <w:p w:rsidR="00F8364F" w:rsidRDefault="00F8364F" w:rsidP="00F8364F">
      <w:pPr>
        <w:widowControl w:val="0"/>
        <w:spacing w:after="0" w:line="240" w:lineRule="auto"/>
        <w:ind w:right="4"/>
        <w:jc w:val="both"/>
        <w:outlineLvl w:val="0"/>
        <w:rPr>
          <w:rFonts w:ascii="Times New Roman" w:hAnsi="Times New Roman"/>
          <w:b/>
          <w:bCs/>
          <w:sz w:val="24"/>
          <w:szCs w:val="24"/>
        </w:rPr>
      </w:pPr>
    </w:p>
    <w:p w:rsidR="00F8364F" w:rsidRDefault="00F8364F" w:rsidP="00C1448B">
      <w:pPr>
        <w:widowControl w:val="0"/>
        <w:spacing w:after="120" w:line="240" w:lineRule="auto"/>
        <w:jc w:val="center"/>
        <w:outlineLvl w:val="0"/>
        <w:rPr>
          <w:rFonts w:ascii="Times New Roman" w:eastAsiaTheme="minorHAnsi" w:hAnsi="Times New Roman"/>
          <w:sz w:val="20"/>
          <w:szCs w:val="20"/>
        </w:rPr>
      </w:pPr>
      <w:r>
        <w:rPr>
          <w:noProof/>
          <w:lang w:bidi="ar-SA"/>
        </w:rPr>
        <w:lastRenderedPageBreak/>
        <w:drawing>
          <wp:inline distT="0" distB="0" distL="0" distR="0" wp14:anchorId="653C8A7B" wp14:editId="5E9981E6">
            <wp:extent cx="3962400" cy="1952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1952625"/>
                    </a:xfrm>
                    <a:prstGeom prst="rect">
                      <a:avLst/>
                    </a:prstGeom>
                    <a:noFill/>
                    <a:ln>
                      <a:noFill/>
                    </a:ln>
                  </pic:spPr>
                </pic:pic>
              </a:graphicData>
            </a:graphic>
          </wp:inline>
        </w:drawing>
      </w:r>
    </w:p>
    <w:p w:rsidR="00F8364F" w:rsidRDefault="00F8364F" w:rsidP="00C1448B">
      <w:pPr>
        <w:widowControl w:val="0"/>
        <w:spacing w:after="0" w:line="240" w:lineRule="auto"/>
        <w:jc w:val="center"/>
        <w:outlineLvl w:val="0"/>
        <w:rPr>
          <w:rFonts w:ascii="Times New Roman" w:hAnsi="Times New Roman"/>
          <w:sz w:val="20"/>
          <w:szCs w:val="20"/>
        </w:rPr>
      </w:pPr>
      <w:r>
        <w:rPr>
          <w:rFonts w:ascii="Times New Roman" w:hAnsi="Times New Roman"/>
          <w:sz w:val="20"/>
          <w:szCs w:val="20"/>
        </w:rPr>
        <w:t xml:space="preserve">Figure 2. </w:t>
      </w:r>
      <w:r w:rsidR="00C1448B">
        <w:rPr>
          <w:rFonts w:ascii="Times New Roman" w:hAnsi="Times New Roman"/>
          <w:sz w:val="20"/>
          <w:szCs w:val="20"/>
        </w:rPr>
        <w:t xml:space="preserve"> </w:t>
      </w:r>
      <w:r>
        <w:rPr>
          <w:rFonts w:ascii="Times New Roman" w:hAnsi="Times New Roman"/>
          <w:sz w:val="20"/>
          <w:szCs w:val="20"/>
        </w:rPr>
        <w:t>TGA curve of PLA/LNR, PLA/LNR/PLA-g-MA and PLA/LNR/NR-g-MA</w:t>
      </w:r>
    </w:p>
    <w:p w:rsidR="00F8364F" w:rsidRDefault="00F8364F" w:rsidP="00C1448B">
      <w:pPr>
        <w:widowControl w:val="0"/>
        <w:spacing w:after="120" w:line="240" w:lineRule="auto"/>
        <w:jc w:val="both"/>
        <w:outlineLvl w:val="0"/>
        <w:rPr>
          <w:rFonts w:ascii="Times New Roman" w:hAnsi="Times New Roman"/>
          <w:b/>
          <w:bCs/>
          <w:sz w:val="20"/>
          <w:szCs w:val="20"/>
        </w:rPr>
      </w:pPr>
    </w:p>
    <w:p w:rsidR="00F8364F" w:rsidRDefault="00F8364F" w:rsidP="00F8364F">
      <w:pPr>
        <w:widowControl w:val="0"/>
        <w:spacing w:after="0" w:line="240" w:lineRule="auto"/>
        <w:ind w:right="4"/>
        <w:jc w:val="both"/>
        <w:outlineLvl w:val="0"/>
        <w:rPr>
          <w:rFonts w:ascii="Times New Roman" w:hAnsi="Times New Roman"/>
          <w:b/>
          <w:bCs/>
          <w:sz w:val="20"/>
          <w:szCs w:val="20"/>
        </w:rPr>
      </w:pPr>
      <w:r>
        <w:rPr>
          <w:rFonts w:ascii="Times New Roman" w:hAnsi="Times New Roman"/>
          <w:b/>
          <w:bCs/>
          <w:sz w:val="20"/>
          <w:szCs w:val="20"/>
        </w:rPr>
        <w:t>Differential scanning calorimetry analysis</w:t>
      </w:r>
    </w:p>
    <w:p w:rsidR="00F8364F" w:rsidRDefault="00F8364F" w:rsidP="00F8364F">
      <w:pPr>
        <w:widowControl w:val="0"/>
        <w:spacing w:after="0" w:line="240" w:lineRule="auto"/>
        <w:ind w:right="4"/>
        <w:jc w:val="both"/>
        <w:outlineLvl w:val="0"/>
        <w:rPr>
          <w:rFonts w:ascii="Times New Roman" w:hAnsi="Times New Roman"/>
          <w:sz w:val="20"/>
          <w:szCs w:val="20"/>
        </w:rPr>
      </w:pPr>
      <w:r>
        <w:rPr>
          <w:rFonts w:ascii="Times New Roman" w:hAnsi="Times New Roman"/>
          <w:sz w:val="20"/>
          <w:szCs w:val="20"/>
        </w:rPr>
        <w:t>Figure 3 shows the DSC curves of the blends which consist of glass transition temperature (T</w:t>
      </w:r>
      <w:r>
        <w:rPr>
          <w:rFonts w:ascii="Times New Roman" w:hAnsi="Times New Roman"/>
          <w:sz w:val="20"/>
          <w:szCs w:val="20"/>
          <w:vertAlign w:val="subscript"/>
        </w:rPr>
        <w:t>g</w:t>
      </w:r>
      <w:r>
        <w:rPr>
          <w:rFonts w:ascii="Times New Roman" w:hAnsi="Times New Roman"/>
          <w:sz w:val="20"/>
          <w:szCs w:val="20"/>
        </w:rPr>
        <w:t>), crystallization temperature (T</w:t>
      </w:r>
      <w:r>
        <w:rPr>
          <w:rFonts w:ascii="Times New Roman" w:hAnsi="Times New Roman"/>
          <w:sz w:val="20"/>
          <w:szCs w:val="20"/>
          <w:vertAlign w:val="subscript"/>
        </w:rPr>
        <w:t>c</w:t>
      </w:r>
      <w:r>
        <w:rPr>
          <w:rFonts w:ascii="Times New Roman" w:hAnsi="Times New Roman"/>
          <w:sz w:val="20"/>
          <w:szCs w:val="20"/>
        </w:rPr>
        <w:t>) and melting temperature (T</w:t>
      </w:r>
      <w:r>
        <w:rPr>
          <w:rFonts w:ascii="Times New Roman" w:hAnsi="Times New Roman"/>
          <w:sz w:val="20"/>
          <w:szCs w:val="20"/>
          <w:vertAlign w:val="subscript"/>
        </w:rPr>
        <w:t>m</w:t>
      </w:r>
      <w:r>
        <w:rPr>
          <w:rFonts w:ascii="Times New Roman" w:hAnsi="Times New Roman"/>
          <w:sz w:val="20"/>
          <w:szCs w:val="20"/>
        </w:rPr>
        <w:t>). The first endothermic peak at around 50 - 60 ºC indicated T</w:t>
      </w:r>
      <w:r>
        <w:rPr>
          <w:rFonts w:ascii="Times New Roman" w:hAnsi="Times New Roman"/>
          <w:sz w:val="20"/>
          <w:szCs w:val="20"/>
          <w:vertAlign w:val="subscript"/>
        </w:rPr>
        <w:t>g</w:t>
      </w:r>
      <w:r>
        <w:rPr>
          <w:rFonts w:ascii="Times New Roman" w:hAnsi="Times New Roman"/>
          <w:sz w:val="20"/>
          <w:szCs w:val="20"/>
        </w:rPr>
        <w:t>, T</w:t>
      </w:r>
      <w:r>
        <w:rPr>
          <w:rFonts w:ascii="Times New Roman" w:hAnsi="Times New Roman"/>
          <w:sz w:val="20"/>
          <w:szCs w:val="20"/>
          <w:vertAlign w:val="subscript"/>
        </w:rPr>
        <w:t>c</w:t>
      </w:r>
      <w:r>
        <w:rPr>
          <w:rFonts w:ascii="Times New Roman" w:hAnsi="Times New Roman"/>
          <w:sz w:val="20"/>
          <w:szCs w:val="20"/>
        </w:rPr>
        <w:t xml:space="preserve"> was at 85 ºC and T</w:t>
      </w:r>
      <w:r>
        <w:rPr>
          <w:rFonts w:ascii="Times New Roman" w:hAnsi="Times New Roman"/>
          <w:sz w:val="20"/>
          <w:szCs w:val="20"/>
          <w:vertAlign w:val="subscript"/>
        </w:rPr>
        <w:t>m</w:t>
      </w:r>
      <w:r>
        <w:rPr>
          <w:rFonts w:ascii="Times New Roman" w:hAnsi="Times New Roman"/>
          <w:sz w:val="20"/>
          <w:szCs w:val="20"/>
        </w:rPr>
        <w:t xml:space="preserve"> took place at around 168 ºC. As can be seen from the curves, PLA/LNR blend exhibited T</w:t>
      </w:r>
      <w:r>
        <w:rPr>
          <w:rFonts w:ascii="Times New Roman" w:hAnsi="Times New Roman"/>
          <w:sz w:val="20"/>
          <w:szCs w:val="20"/>
          <w:vertAlign w:val="subscript"/>
        </w:rPr>
        <w:t>g</w:t>
      </w:r>
      <w:r>
        <w:rPr>
          <w:rFonts w:ascii="Times New Roman" w:hAnsi="Times New Roman"/>
          <w:sz w:val="20"/>
          <w:szCs w:val="20"/>
        </w:rPr>
        <w:t xml:space="preserve"> at around 58 ºC, whereas the incorporation of compatibilizer into the blends slightly shifted the curve to the right. For the T</w:t>
      </w:r>
      <w:r>
        <w:rPr>
          <w:rFonts w:ascii="Times New Roman" w:hAnsi="Times New Roman"/>
          <w:sz w:val="20"/>
          <w:szCs w:val="20"/>
          <w:vertAlign w:val="subscript"/>
        </w:rPr>
        <w:t>c</w:t>
      </w:r>
      <w:r>
        <w:rPr>
          <w:rFonts w:ascii="Times New Roman" w:hAnsi="Times New Roman"/>
          <w:sz w:val="20"/>
          <w:szCs w:val="20"/>
        </w:rPr>
        <w:t>, it was shown at approximately 85 ºC for PLA/LNR. By incorporating PLA-g-MA, the T</w:t>
      </w:r>
      <w:r>
        <w:rPr>
          <w:rFonts w:ascii="Times New Roman" w:hAnsi="Times New Roman"/>
          <w:sz w:val="20"/>
          <w:szCs w:val="20"/>
          <w:vertAlign w:val="subscript"/>
        </w:rPr>
        <w:t>c</w:t>
      </w:r>
      <w:r>
        <w:rPr>
          <w:rFonts w:ascii="Times New Roman" w:hAnsi="Times New Roman"/>
          <w:sz w:val="20"/>
          <w:szCs w:val="20"/>
        </w:rPr>
        <w:t xml:space="preserve"> of the blends shifted to the right with a slight increment by approximately 3 ºC. However, NR-g-MA showed a similar peak with the PLA/LNR. These changes in PLA-g-MA indicate that the incorporation of compatibilizer increased the thermal stability of the blends. Meanwhile, the T</w:t>
      </w:r>
      <w:r>
        <w:rPr>
          <w:rFonts w:ascii="Times New Roman" w:hAnsi="Times New Roman"/>
          <w:sz w:val="20"/>
          <w:szCs w:val="20"/>
          <w:vertAlign w:val="subscript"/>
        </w:rPr>
        <w:t>m</w:t>
      </w:r>
      <w:r>
        <w:rPr>
          <w:rFonts w:ascii="Times New Roman" w:hAnsi="Times New Roman"/>
          <w:sz w:val="20"/>
          <w:szCs w:val="20"/>
        </w:rPr>
        <w:t xml:space="preserve"> peak showed a tiny right shift for the compatibilized blend. These phenomena imply that a positive effect on the thermal stability has been induced by the incorporation of compatibilizer into the PLA/LNR blend, and higher effectiveness was achieved by PLA-g-MA. This is attributed to which the grafted copolymers may prohibit the crystal formation and delay the T</w:t>
      </w:r>
      <w:r>
        <w:rPr>
          <w:rFonts w:ascii="Times New Roman" w:hAnsi="Times New Roman"/>
          <w:sz w:val="20"/>
          <w:szCs w:val="20"/>
          <w:vertAlign w:val="subscript"/>
        </w:rPr>
        <w:t>c</w:t>
      </w:r>
      <w:r>
        <w:rPr>
          <w:rFonts w:ascii="Times New Roman" w:hAnsi="Times New Roman"/>
          <w:sz w:val="20"/>
          <w:szCs w:val="20"/>
        </w:rPr>
        <w:t xml:space="preserve"> [6].</w:t>
      </w:r>
    </w:p>
    <w:p w:rsidR="00F8364F" w:rsidRDefault="00F8364F" w:rsidP="00900451">
      <w:pPr>
        <w:widowControl w:val="0"/>
        <w:spacing w:after="120" w:line="240" w:lineRule="auto"/>
        <w:jc w:val="both"/>
        <w:outlineLvl w:val="0"/>
        <w:rPr>
          <w:rFonts w:ascii="Times New Roman" w:hAnsi="Times New Roman"/>
          <w:sz w:val="20"/>
          <w:szCs w:val="20"/>
        </w:rPr>
      </w:pPr>
    </w:p>
    <w:p w:rsidR="00F8364F" w:rsidRDefault="00F8364F" w:rsidP="00C1448B">
      <w:pPr>
        <w:widowControl w:val="0"/>
        <w:spacing w:after="120" w:line="240" w:lineRule="auto"/>
        <w:jc w:val="center"/>
        <w:outlineLvl w:val="0"/>
        <w:rPr>
          <w:rFonts w:ascii="Times New Roman" w:eastAsiaTheme="minorHAnsi" w:hAnsi="Times New Roman"/>
          <w:sz w:val="20"/>
          <w:szCs w:val="20"/>
        </w:rPr>
      </w:pPr>
      <w:r>
        <w:rPr>
          <w:noProof/>
          <w:lang w:bidi="ar-SA"/>
        </w:rPr>
        <w:drawing>
          <wp:inline distT="0" distB="0" distL="0" distR="0" wp14:anchorId="42194001" wp14:editId="5DB92BF8">
            <wp:extent cx="3600450" cy="2114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2114550"/>
                    </a:xfrm>
                    <a:prstGeom prst="rect">
                      <a:avLst/>
                    </a:prstGeom>
                    <a:noFill/>
                    <a:ln w="3175">
                      <a:noFill/>
                    </a:ln>
                  </pic:spPr>
                </pic:pic>
              </a:graphicData>
            </a:graphic>
          </wp:inline>
        </w:drawing>
      </w:r>
    </w:p>
    <w:p w:rsidR="00F8364F" w:rsidRDefault="00F8364F" w:rsidP="00C1448B">
      <w:pPr>
        <w:widowControl w:val="0"/>
        <w:spacing w:after="0" w:line="240" w:lineRule="auto"/>
        <w:jc w:val="center"/>
        <w:outlineLvl w:val="0"/>
        <w:rPr>
          <w:rFonts w:asciiTheme="minorHAnsi" w:hAnsiTheme="minorHAnsi" w:cstheme="minorBidi"/>
          <w:sz w:val="20"/>
          <w:szCs w:val="20"/>
        </w:rPr>
      </w:pPr>
      <w:r>
        <w:rPr>
          <w:rFonts w:ascii="Times New Roman" w:hAnsi="Times New Roman"/>
          <w:sz w:val="20"/>
          <w:szCs w:val="20"/>
        </w:rPr>
        <w:t xml:space="preserve">Figure 3. </w:t>
      </w:r>
      <w:r w:rsidR="00C1448B">
        <w:rPr>
          <w:rFonts w:ascii="Times New Roman" w:hAnsi="Times New Roman"/>
          <w:sz w:val="20"/>
          <w:szCs w:val="20"/>
        </w:rPr>
        <w:t xml:space="preserve"> </w:t>
      </w:r>
      <w:r>
        <w:rPr>
          <w:rFonts w:ascii="Times New Roman" w:hAnsi="Times New Roman"/>
          <w:sz w:val="20"/>
          <w:szCs w:val="20"/>
        </w:rPr>
        <w:t>DSC curve of PLA/LNR, PLA/LNR/PLA-g-MA and PLA/LNR/NR-g-MA</w:t>
      </w:r>
    </w:p>
    <w:p w:rsidR="00F8364F" w:rsidRDefault="00F8364F" w:rsidP="00C1448B">
      <w:pPr>
        <w:widowControl w:val="0"/>
        <w:spacing w:after="120" w:line="240" w:lineRule="auto"/>
        <w:jc w:val="both"/>
        <w:outlineLvl w:val="0"/>
        <w:rPr>
          <w:rFonts w:ascii="Times New Roman" w:hAnsi="Times New Roman"/>
          <w:b/>
          <w:bCs/>
          <w:sz w:val="20"/>
          <w:szCs w:val="20"/>
        </w:rPr>
      </w:pPr>
    </w:p>
    <w:p w:rsidR="00F8364F" w:rsidRDefault="00F8364F" w:rsidP="00F8364F">
      <w:pPr>
        <w:widowControl w:val="0"/>
        <w:spacing w:before="51" w:after="0" w:line="240" w:lineRule="auto"/>
        <w:ind w:right="4"/>
        <w:jc w:val="both"/>
        <w:outlineLvl w:val="0"/>
        <w:rPr>
          <w:rFonts w:ascii="Times New Roman" w:hAnsi="Times New Roman"/>
          <w:b/>
          <w:bCs/>
          <w:sz w:val="20"/>
          <w:szCs w:val="20"/>
        </w:rPr>
      </w:pPr>
      <w:r>
        <w:rPr>
          <w:rFonts w:ascii="Times New Roman" w:hAnsi="Times New Roman"/>
          <w:b/>
          <w:bCs/>
          <w:sz w:val="20"/>
          <w:szCs w:val="20"/>
        </w:rPr>
        <w:t>Fourier transform infrared analysis</w:t>
      </w:r>
    </w:p>
    <w:p w:rsidR="00F8364F" w:rsidRDefault="00F8364F" w:rsidP="00F8364F">
      <w:pPr>
        <w:widowControl w:val="0"/>
        <w:spacing w:before="51" w:after="0" w:line="240" w:lineRule="auto"/>
        <w:ind w:right="4"/>
        <w:jc w:val="both"/>
        <w:outlineLvl w:val="0"/>
        <w:rPr>
          <w:rFonts w:ascii="Times New Roman" w:hAnsi="Times New Roman"/>
          <w:sz w:val="20"/>
          <w:szCs w:val="20"/>
        </w:rPr>
      </w:pPr>
      <w:r>
        <w:rPr>
          <w:rFonts w:ascii="Times New Roman" w:hAnsi="Times New Roman"/>
          <w:bCs/>
          <w:sz w:val="20"/>
          <w:szCs w:val="20"/>
        </w:rPr>
        <w:t>Figure 4 shows IR-spectra of PLA, PLA/LNR, PLA/LNR/PLA-g-MA and PLA/LNR/NR-g-MA blends. For the neat PLA, the peaks that located at 765, 881, 1096, 1191, 1462 and 1755 cm</w:t>
      </w:r>
      <w:r>
        <w:rPr>
          <w:rFonts w:ascii="Times New Roman" w:hAnsi="Times New Roman"/>
          <w:bCs/>
          <w:sz w:val="20"/>
          <w:szCs w:val="20"/>
          <w:vertAlign w:val="superscript"/>
        </w:rPr>
        <w:t>-1</w:t>
      </w:r>
      <w:r>
        <w:rPr>
          <w:rFonts w:ascii="Times New Roman" w:hAnsi="Times New Roman"/>
          <w:bCs/>
          <w:sz w:val="20"/>
          <w:szCs w:val="20"/>
        </w:rPr>
        <w:t xml:space="preserve"> are assigned to the stretching vibration of C=O while the peaks at 2858, 2930 and 3316 cm</w:t>
      </w:r>
      <w:r>
        <w:rPr>
          <w:rFonts w:ascii="Times New Roman" w:hAnsi="Times New Roman"/>
          <w:bCs/>
          <w:sz w:val="20"/>
          <w:szCs w:val="20"/>
          <w:vertAlign w:val="superscript"/>
        </w:rPr>
        <w:t>-1</w:t>
      </w:r>
      <w:r>
        <w:rPr>
          <w:rFonts w:ascii="Times New Roman" w:hAnsi="Times New Roman"/>
          <w:bCs/>
          <w:sz w:val="20"/>
          <w:szCs w:val="20"/>
        </w:rPr>
        <w:t xml:space="preserve"> are representing the CH</w:t>
      </w:r>
      <w:r>
        <w:rPr>
          <w:rFonts w:ascii="Times New Roman" w:hAnsi="Times New Roman"/>
          <w:bCs/>
          <w:sz w:val="20"/>
          <w:szCs w:val="20"/>
          <w:vertAlign w:val="subscript"/>
        </w:rPr>
        <w:t>3</w:t>
      </w:r>
      <w:r>
        <w:rPr>
          <w:rFonts w:ascii="Times New Roman" w:hAnsi="Times New Roman"/>
          <w:bCs/>
          <w:sz w:val="20"/>
          <w:szCs w:val="20"/>
        </w:rPr>
        <w:t xml:space="preserve"> stretching of PLA component. PLA exhibited a strong absorption band at 1755 cm</w:t>
      </w:r>
      <w:r>
        <w:rPr>
          <w:rFonts w:ascii="Times New Roman" w:hAnsi="Times New Roman"/>
          <w:bCs/>
          <w:sz w:val="20"/>
          <w:szCs w:val="20"/>
          <w:vertAlign w:val="superscript"/>
        </w:rPr>
        <w:t>-1</w:t>
      </w:r>
      <w:r>
        <w:rPr>
          <w:rFonts w:ascii="Times New Roman" w:hAnsi="Times New Roman"/>
          <w:bCs/>
          <w:sz w:val="20"/>
          <w:szCs w:val="20"/>
        </w:rPr>
        <w:t xml:space="preserve"> which corresponds to the C=O stretching of ester </w:t>
      </w:r>
      <w:r>
        <w:rPr>
          <w:rFonts w:ascii="Times New Roman" w:hAnsi="Times New Roman"/>
          <w:bCs/>
          <w:sz w:val="20"/>
          <w:szCs w:val="20"/>
        </w:rPr>
        <w:lastRenderedPageBreak/>
        <w:t>bond. For comparison, the addition of compatibilizer into PLA/LNR exhibits similar spectrum with that of the neat PLA/LNR. By adding the compatibilizer (PLA-g-MA and NR-g-MA) and toughening agent (LNR), a higher intensity of the peak can be observed as compared with PLA itself, exception for the absorption band of 1500-1650 cm</w:t>
      </w:r>
      <w:r>
        <w:rPr>
          <w:rFonts w:ascii="Times New Roman" w:hAnsi="Times New Roman"/>
          <w:bCs/>
          <w:sz w:val="20"/>
          <w:szCs w:val="20"/>
          <w:vertAlign w:val="superscript"/>
        </w:rPr>
        <w:t>-1</w:t>
      </w:r>
      <w:r>
        <w:rPr>
          <w:rFonts w:ascii="Times New Roman" w:hAnsi="Times New Roman"/>
          <w:bCs/>
          <w:sz w:val="20"/>
          <w:szCs w:val="20"/>
        </w:rPr>
        <w:t>, 2800-3000 cm</w:t>
      </w:r>
      <w:r>
        <w:rPr>
          <w:rFonts w:ascii="Times New Roman" w:hAnsi="Times New Roman"/>
          <w:bCs/>
          <w:sz w:val="20"/>
          <w:szCs w:val="20"/>
          <w:vertAlign w:val="superscript"/>
        </w:rPr>
        <w:t>-1</w:t>
      </w:r>
      <w:r>
        <w:rPr>
          <w:rFonts w:ascii="Times New Roman" w:hAnsi="Times New Roman"/>
          <w:bCs/>
          <w:sz w:val="20"/>
          <w:szCs w:val="20"/>
        </w:rPr>
        <w:t>, 3316 cm</w:t>
      </w:r>
      <w:r>
        <w:rPr>
          <w:rFonts w:ascii="Times New Roman" w:hAnsi="Times New Roman"/>
          <w:bCs/>
          <w:sz w:val="20"/>
          <w:szCs w:val="20"/>
          <w:vertAlign w:val="superscript"/>
        </w:rPr>
        <w:t>-1</w:t>
      </w:r>
      <w:r>
        <w:rPr>
          <w:rFonts w:ascii="Times New Roman" w:hAnsi="Times New Roman"/>
          <w:bCs/>
          <w:sz w:val="20"/>
          <w:szCs w:val="20"/>
        </w:rPr>
        <w:t>. For the blends with PLA-g-MA and NR-g-MA compatibilizer, peak at 1755 cm</w:t>
      </w:r>
      <w:r>
        <w:rPr>
          <w:rFonts w:ascii="Times New Roman" w:hAnsi="Times New Roman"/>
          <w:bCs/>
          <w:sz w:val="20"/>
          <w:szCs w:val="20"/>
          <w:vertAlign w:val="superscript"/>
        </w:rPr>
        <w:t>-1</w:t>
      </w:r>
      <w:r>
        <w:rPr>
          <w:rFonts w:ascii="Times New Roman" w:hAnsi="Times New Roman"/>
          <w:bCs/>
          <w:sz w:val="20"/>
          <w:szCs w:val="20"/>
        </w:rPr>
        <w:t xml:space="preserve"> had a more intense absorption band as compared to neat PLA and this indicates that the reaction was taken place between MA and PLA backbone </w:t>
      </w:r>
      <w:r>
        <w:rPr>
          <w:rFonts w:ascii="Times New Roman" w:hAnsi="Times New Roman"/>
          <w:sz w:val="20"/>
          <w:szCs w:val="20"/>
        </w:rPr>
        <w:t>[14].</w:t>
      </w:r>
      <w:r>
        <w:rPr>
          <w:rFonts w:ascii="Times New Roman" w:hAnsi="Times New Roman"/>
          <w:bCs/>
          <w:sz w:val="20"/>
          <w:szCs w:val="20"/>
        </w:rPr>
        <w:t xml:space="preserve"> Several peaks at 1579, 1645 and 3316 cm</w:t>
      </w:r>
      <w:r>
        <w:rPr>
          <w:rFonts w:ascii="Times New Roman" w:hAnsi="Times New Roman"/>
          <w:bCs/>
          <w:sz w:val="20"/>
          <w:szCs w:val="20"/>
          <w:vertAlign w:val="superscript"/>
        </w:rPr>
        <w:t>-1</w:t>
      </w:r>
      <w:r>
        <w:rPr>
          <w:rFonts w:ascii="Times New Roman" w:hAnsi="Times New Roman"/>
          <w:bCs/>
          <w:sz w:val="20"/>
          <w:szCs w:val="20"/>
        </w:rPr>
        <w:t xml:space="preserve"> which assigned for stretching of PLA were invisible in the spectra of compatibilized blends, and this indicates the chemical reaction occurred between the PLA and grafted MA group. Another small shoulder peak emerged at 1277 cm</w:t>
      </w:r>
      <w:r>
        <w:rPr>
          <w:rFonts w:ascii="Times New Roman" w:hAnsi="Times New Roman"/>
          <w:bCs/>
          <w:sz w:val="20"/>
          <w:szCs w:val="20"/>
          <w:vertAlign w:val="superscript"/>
        </w:rPr>
        <w:t>-1</w:t>
      </w:r>
      <w:r>
        <w:rPr>
          <w:rFonts w:ascii="Times New Roman" w:hAnsi="Times New Roman"/>
          <w:bCs/>
          <w:sz w:val="20"/>
          <w:szCs w:val="20"/>
        </w:rPr>
        <w:t xml:space="preserve"> which corresponds to the C=O stretching of carbonyl group of PLA in the PLA-g-MA spectrum. Since the amount of MA used in the blends was relatively small, the C=O stretching of MA or anhydride peak was very weak and may overlap with the carbonyl band of PLA </w:t>
      </w:r>
      <w:r>
        <w:rPr>
          <w:rFonts w:ascii="Times New Roman" w:hAnsi="Times New Roman"/>
          <w:sz w:val="20"/>
          <w:szCs w:val="20"/>
        </w:rPr>
        <w:t>[5</w:t>
      </w:r>
      <w:r>
        <w:rPr>
          <w:rFonts w:ascii="Times New Roman" w:hAnsi="Times New Roman"/>
          <w:sz w:val="20"/>
          <w:szCs w:val="20"/>
        </w:rPr>
        <w:softHyphen/>
        <w:t xml:space="preserve">]. </w:t>
      </w:r>
    </w:p>
    <w:p w:rsidR="00F8364F" w:rsidRDefault="00F8364F" w:rsidP="00C1448B">
      <w:pPr>
        <w:widowControl w:val="0"/>
        <w:spacing w:after="120" w:line="240" w:lineRule="auto"/>
        <w:jc w:val="both"/>
        <w:outlineLvl w:val="0"/>
        <w:rPr>
          <w:rFonts w:ascii="Times New Roman" w:hAnsi="Times New Roman"/>
          <w:sz w:val="20"/>
          <w:szCs w:val="20"/>
        </w:rPr>
      </w:pPr>
    </w:p>
    <w:p w:rsidR="00F8364F" w:rsidRDefault="00F8364F" w:rsidP="00C1448B">
      <w:pPr>
        <w:widowControl w:val="0"/>
        <w:spacing w:after="120" w:line="240" w:lineRule="auto"/>
        <w:jc w:val="center"/>
        <w:outlineLvl w:val="0"/>
        <w:rPr>
          <w:rFonts w:ascii="Times New Roman" w:hAnsi="Times New Roman"/>
          <w:bCs/>
          <w:sz w:val="20"/>
          <w:szCs w:val="20"/>
        </w:rPr>
      </w:pPr>
      <w:r>
        <w:rPr>
          <w:noProof/>
          <w:lang w:bidi="ar-SA"/>
        </w:rPr>
        <w:drawing>
          <wp:inline distT="0" distB="0" distL="0" distR="0" wp14:anchorId="23D8BF7C" wp14:editId="4D36AB39">
            <wp:extent cx="3362325" cy="19812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2325" cy="1981200"/>
                    </a:xfrm>
                    <a:prstGeom prst="rect">
                      <a:avLst/>
                    </a:prstGeom>
                    <a:noFill/>
                    <a:ln w="9525" cmpd="sng">
                      <a:solidFill>
                        <a:srgbClr val="000000"/>
                      </a:solidFill>
                      <a:miter lim="800000"/>
                      <a:headEnd/>
                      <a:tailEnd/>
                    </a:ln>
                    <a:effectLst/>
                  </pic:spPr>
                </pic:pic>
              </a:graphicData>
            </a:graphic>
          </wp:inline>
        </w:drawing>
      </w:r>
    </w:p>
    <w:p w:rsidR="00F8364F" w:rsidRDefault="00F8364F" w:rsidP="00C1448B">
      <w:pPr>
        <w:widowControl w:val="0"/>
        <w:spacing w:after="0" w:line="240" w:lineRule="auto"/>
        <w:jc w:val="center"/>
        <w:outlineLvl w:val="0"/>
        <w:rPr>
          <w:rFonts w:ascii="Times New Roman" w:hAnsi="Times New Roman"/>
          <w:b/>
          <w:bCs/>
          <w:sz w:val="20"/>
          <w:szCs w:val="20"/>
        </w:rPr>
      </w:pPr>
      <w:r>
        <w:rPr>
          <w:rFonts w:ascii="Times New Roman" w:hAnsi="Times New Roman"/>
          <w:bCs/>
          <w:sz w:val="20"/>
          <w:szCs w:val="20"/>
        </w:rPr>
        <w:t xml:space="preserve">Figure 4. </w:t>
      </w:r>
      <w:r w:rsidR="00C1448B">
        <w:rPr>
          <w:rFonts w:ascii="Times New Roman" w:hAnsi="Times New Roman"/>
          <w:bCs/>
          <w:sz w:val="20"/>
          <w:szCs w:val="20"/>
        </w:rPr>
        <w:t xml:space="preserve"> </w:t>
      </w:r>
      <w:r>
        <w:rPr>
          <w:rFonts w:ascii="Times New Roman" w:hAnsi="Times New Roman"/>
          <w:bCs/>
          <w:sz w:val="20"/>
          <w:szCs w:val="20"/>
        </w:rPr>
        <w:t>FTIR spectra of PLA, PLA/LNR, PLA/LNR/PLA-g-MA and PLA/LNR/NR-g-MA</w:t>
      </w:r>
    </w:p>
    <w:p w:rsidR="00F8364F" w:rsidRDefault="00F8364F" w:rsidP="00F8364F">
      <w:pPr>
        <w:widowControl w:val="0"/>
        <w:spacing w:after="0" w:line="240" w:lineRule="auto"/>
        <w:ind w:right="4"/>
        <w:jc w:val="both"/>
        <w:rPr>
          <w:rFonts w:ascii="Times New Roman" w:hAnsi="Times New Roman"/>
          <w:sz w:val="18"/>
        </w:rPr>
      </w:pPr>
    </w:p>
    <w:p w:rsidR="006768E9" w:rsidRPr="00F447A7" w:rsidRDefault="006768E9" w:rsidP="00F8364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1448B" w:rsidRDefault="00C1448B" w:rsidP="00C1448B">
      <w:pPr>
        <w:widowControl w:val="0"/>
        <w:spacing w:after="0" w:line="240" w:lineRule="auto"/>
        <w:jc w:val="both"/>
        <w:rPr>
          <w:rFonts w:ascii="Times New Roman" w:hAnsi="Times New Roman"/>
          <w:sz w:val="20"/>
          <w:szCs w:val="20"/>
        </w:rPr>
      </w:pPr>
      <w:r>
        <w:rPr>
          <w:rFonts w:ascii="Times New Roman" w:hAnsi="Times New Roman"/>
          <w:sz w:val="20"/>
          <w:szCs w:val="20"/>
        </w:rPr>
        <w:t>The tensile test showed that the PLA-g-MA was more suitable to be a compatibilizer for PLA/LNR blend as compared to NR-g-MA, and the optimum loading of PLA-g-MA was 10% PLA-g-MA. The addition of 10% PLA-g-MA into PLA/LNR blend promoted the tensile strength from the PLA/LNR which acted as the control sample. In TGA and DSC, the incorporation of PLA-g-MA into PLA/LNR blends delayed the T</w:t>
      </w:r>
      <w:r>
        <w:rPr>
          <w:rFonts w:ascii="Times New Roman" w:hAnsi="Times New Roman"/>
          <w:sz w:val="20"/>
          <w:szCs w:val="20"/>
          <w:vertAlign w:val="subscript"/>
        </w:rPr>
        <w:t>g</w:t>
      </w:r>
      <w:r>
        <w:rPr>
          <w:rFonts w:ascii="Times New Roman" w:hAnsi="Times New Roman"/>
          <w:sz w:val="20"/>
          <w:szCs w:val="20"/>
        </w:rPr>
        <w:t xml:space="preserve"> and degradation temperature, hence, the thermal stability of the blend was increased.</w:t>
      </w:r>
      <w:r>
        <w:rPr>
          <w:sz w:val="20"/>
          <w:szCs w:val="20"/>
        </w:rPr>
        <w:t xml:space="preserve"> </w:t>
      </w:r>
      <w:r>
        <w:rPr>
          <w:rFonts w:ascii="Times New Roman" w:hAnsi="Times New Roman"/>
          <w:sz w:val="20"/>
          <w:szCs w:val="20"/>
        </w:rPr>
        <w:t xml:space="preserve">From FTIR analysis, the difference in the spectra between PLA/LNR and compatibilized PLA/LNR blend showed that MA was successfully grafted to PLA backbone. </w:t>
      </w:r>
    </w:p>
    <w:p w:rsidR="00C1448B" w:rsidRDefault="00C1448B" w:rsidP="00C1448B">
      <w:pPr>
        <w:widowControl w:val="0"/>
        <w:spacing w:after="0" w:line="240" w:lineRule="auto"/>
        <w:jc w:val="center"/>
        <w:rPr>
          <w:rFonts w:asciiTheme="minorHAnsi" w:eastAsiaTheme="minorHAnsi" w:hAnsiTheme="minorHAnsi" w:cstheme="minorBidi"/>
          <w:sz w:val="20"/>
          <w:szCs w:val="20"/>
        </w:rPr>
      </w:pPr>
    </w:p>
    <w:p w:rsidR="00C1448B" w:rsidRDefault="00C1448B" w:rsidP="00C1448B">
      <w:pPr>
        <w:widowControl w:val="0"/>
        <w:spacing w:after="0" w:line="240" w:lineRule="auto"/>
        <w:jc w:val="center"/>
        <w:outlineLvl w:val="0"/>
        <w:rPr>
          <w:rFonts w:ascii="Times New Roman" w:hAnsi="Times New Roman"/>
          <w:b/>
          <w:bCs/>
          <w:sz w:val="20"/>
          <w:szCs w:val="20"/>
        </w:rPr>
      </w:pPr>
      <w:r>
        <w:rPr>
          <w:rFonts w:ascii="Times New Roman" w:hAnsi="Times New Roman"/>
          <w:b/>
          <w:bCs/>
          <w:sz w:val="20"/>
          <w:szCs w:val="20"/>
        </w:rPr>
        <w:t>Acknowledgement</w:t>
      </w:r>
    </w:p>
    <w:p w:rsidR="006768E9" w:rsidRPr="00F447A7" w:rsidRDefault="00C1448B" w:rsidP="00C1448B">
      <w:pPr>
        <w:widowControl w:val="0"/>
        <w:spacing w:after="0" w:line="240" w:lineRule="auto"/>
        <w:jc w:val="both"/>
        <w:rPr>
          <w:rFonts w:ascii="Times New Roman" w:hAnsi="Times New Roman"/>
          <w:sz w:val="20"/>
          <w:szCs w:val="20"/>
        </w:rPr>
      </w:pPr>
      <w:r>
        <w:rPr>
          <w:rFonts w:ascii="Times New Roman" w:hAnsi="Times New Roman"/>
          <w:sz w:val="20"/>
          <w:szCs w:val="20"/>
        </w:rPr>
        <w:t>The authors gratefully thank the financial support provided by Universiti Kebangsaan Malaysia (UKM) and under grant of DIP-2016-023. We also appreciate the cooperation given by the staff of Materials Science laboratory (FST), and Electron Microscopy Unit, UKM during the SEM viewing.</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Chen, R. S., Ab Ghani, M. H., Salleh, M. N., Ahmad, S. and Gan, S. (2014). Influence of blend composition and compatibilizer on mecahnical and morphological properties of recycled HDPE/PET blends. </w:t>
      </w:r>
      <w:r>
        <w:rPr>
          <w:rFonts w:ascii="Times New Roman" w:hAnsi="Times New Roman"/>
          <w:i/>
          <w:kern w:val="2"/>
          <w:sz w:val="20"/>
          <w:szCs w:val="20"/>
          <w:lang w:eastAsia="ko-KR"/>
        </w:rPr>
        <w:t>Material Sciences and Applications</w:t>
      </w:r>
      <w:r>
        <w:rPr>
          <w:rFonts w:ascii="Times New Roman" w:hAnsi="Times New Roman"/>
          <w:kern w:val="2"/>
          <w:sz w:val="20"/>
          <w:szCs w:val="20"/>
          <w:lang w:eastAsia="ko-KR"/>
        </w:rPr>
        <w:t>, 5: 943-952.</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Ahmad, S., Ibrahim, A., Che Som, S., Kohjiya, S. and Yoon, J. R. (1994). Natural rubber-HDPE blends with liquid natural rubber as a compatibilizer: thermal and mechanical properties. </w:t>
      </w:r>
      <w:r>
        <w:rPr>
          <w:rFonts w:ascii="Times New Roman" w:hAnsi="Times New Roman"/>
          <w:i/>
          <w:kern w:val="2"/>
          <w:sz w:val="20"/>
          <w:szCs w:val="20"/>
          <w:lang w:eastAsia="ko-KR"/>
        </w:rPr>
        <w:t>Journal of Applied Polymer Science</w:t>
      </w:r>
      <w:r>
        <w:rPr>
          <w:rFonts w:ascii="Times New Roman" w:hAnsi="Times New Roman"/>
          <w:kern w:val="2"/>
          <w:sz w:val="20"/>
          <w:szCs w:val="20"/>
          <w:lang w:eastAsia="ko-KR"/>
        </w:rPr>
        <w:t>, 51: 1357- 1363.</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Lee, Y. S., Ahmad, S. Rasid, R., Se Yong, E. N., Yew, C. H. and Tarawneh, M. A. (2011). Effects of liquid natural rubber (LNR) on the mechanical properties of LNR toughened epoxy composite. </w:t>
      </w:r>
      <w:r>
        <w:rPr>
          <w:rFonts w:ascii="Times New Roman" w:hAnsi="Times New Roman"/>
          <w:i/>
          <w:kern w:val="2"/>
          <w:sz w:val="20"/>
          <w:szCs w:val="20"/>
          <w:lang w:eastAsia="ko-KR"/>
        </w:rPr>
        <w:t>Sains Malaysiana</w:t>
      </w:r>
      <w:r>
        <w:rPr>
          <w:rFonts w:ascii="Times New Roman" w:hAnsi="Times New Roman"/>
          <w:kern w:val="2"/>
          <w:sz w:val="20"/>
          <w:szCs w:val="20"/>
          <w:lang w:eastAsia="ko-KR"/>
        </w:rPr>
        <w:t>, 40(7): 679-683.</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lastRenderedPageBreak/>
        <w:t xml:space="preserve">Tsou, C. H., Hung, W. S., Wu, C. S., Chen, J. C., Huang, C. Y., Chiu, S. H., Tsou, C. Y., Yao, W. H., Lin, S. M., Chu, C. K., Hu, C. C., Lee K. R. and Suen, M. C. (2014). New composition of maleic-anhydride-grafted poly(Lactic Acid)/rice husk with methylenediphenyl diisocyanate. </w:t>
      </w:r>
      <w:r>
        <w:rPr>
          <w:rFonts w:ascii="Times New Roman" w:hAnsi="Times New Roman"/>
          <w:i/>
          <w:kern w:val="2"/>
          <w:sz w:val="20"/>
          <w:szCs w:val="20"/>
          <w:lang w:eastAsia="ko-KR"/>
        </w:rPr>
        <w:t>Material Science</w:t>
      </w:r>
      <w:r>
        <w:rPr>
          <w:rFonts w:ascii="Times New Roman" w:hAnsi="Times New Roman"/>
          <w:kern w:val="2"/>
          <w:sz w:val="20"/>
          <w:szCs w:val="20"/>
          <w:lang w:eastAsia="ko-KR"/>
        </w:rPr>
        <w:t>, 20: 446-451.</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Orozco, V. H., Brostow, W., Chonkaew, W. and Lopez, B. L. (2009). Preparation and characterization of poly(lactic acid)-g-maleic anhydride + starch blends. </w:t>
      </w:r>
      <w:r>
        <w:rPr>
          <w:rFonts w:ascii="Times New Roman" w:hAnsi="Times New Roman"/>
          <w:i/>
          <w:kern w:val="2"/>
          <w:sz w:val="20"/>
          <w:szCs w:val="20"/>
          <w:lang w:eastAsia="ko-KR"/>
        </w:rPr>
        <w:t>Maromol Symposium</w:t>
      </w:r>
      <w:r>
        <w:rPr>
          <w:rFonts w:ascii="Times New Roman" w:hAnsi="Times New Roman"/>
          <w:kern w:val="2"/>
          <w:sz w:val="20"/>
          <w:szCs w:val="20"/>
          <w:lang w:eastAsia="ko-KR"/>
        </w:rPr>
        <w:t>, 277: 69-80.</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Mohammad, N. N. B., Arsad, A., Abdullah Sani, N. S. and Basri, M. H. (2017). Effect of compatibilisers on thermal and morphological properties of polylactic acid/natural rubber blends. </w:t>
      </w:r>
      <w:r>
        <w:rPr>
          <w:rFonts w:ascii="Times New Roman" w:hAnsi="Times New Roman"/>
          <w:i/>
          <w:kern w:val="2"/>
          <w:sz w:val="20"/>
          <w:szCs w:val="20"/>
          <w:lang w:eastAsia="ko-KR"/>
        </w:rPr>
        <w:t>Chemical Engineering Transactions</w:t>
      </w:r>
      <w:r>
        <w:rPr>
          <w:rFonts w:ascii="Times New Roman" w:hAnsi="Times New Roman"/>
          <w:kern w:val="2"/>
          <w:sz w:val="20"/>
          <w:szCs w:val="20"/>
          <w:lang w:eastAsia="ko-KR"/>
        </w:rPr>
        <w:t>, 56: 1027- 1032.</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Ma, P., Jiang, L., Ye, T., Dong, W. and Chen, M. (2014). Melt free-radical grafting of maleic anhydride onto biodegradable poly(lactic acid) by using styrene as a comonomer. </w:t>
      </w:r>
      <w:r>
        <w:rPr>
          <w:rFonts w:ascii="Times New Roman" w:hAnsi="Times New Roman"/>
          <w:i/>
          <w:kern w:val="2"/>
          <w:sz w:val="20"/>
          <w:szCs w:val="20"/>
          <w:lang w:eastAsia="ko-KR"/>
        </w:rPr>
        <w:t>Polymers</w:t>
      </w:r>
      <w:r>
        <w:rPr>
          <w:rFonts w:ascii="Times New Roman" w:hAnsi="Times New Roman"/>
          <w:kern w:val="2"/>
          <w:sz w:val="20"/>
          <w:szCs w:val="20"/>
          <w:lang w:eastAsia="ko-KR"/>
        </w:rPr>
        <w:t>, 6: 1528-1543.</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Afifi, H. and El-Wakil, A. A. (2008). Study of the effect of natural rubber-graft-maleic anhydride (NR-g-MA) on the compatibility of NR-NBR blends using the ultrasonic technique. </w:t>
      </w:r>
      <w:r>
        <w:rPr>
          <w:rFonts w:ascii="Times New Roman" w:hAnsi="Times New Roman"/>
          <w:i/>
          <w:kern w:val="2"/>
          <w:sz w:val="20"/>
          <w:szCs w:val="20"/>
          <w:lang w:eastAsia="ko-KR"/>
        </w:rPr>
        <w:t>Polymer-Plastic Technology and Engineering</w:t>
      </w:r>
      <w:r>
        <w:rPr>
          <w:rFonts w:ascii="Times New Roman" w:hAnsi="Times New Roman"/>
          <w:kern w:val="2"/>
          <w:sz w:val="20"/>
          <w:szCs w:val="20"/>
          <w:lang w:eastAsia="ko-KR"/>
        </w:rPr>
        <w:t>, 47: 1032-1039.</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Dong, Z. X., Liu, M. X., Jia, D. M. and Zhou, Y. H. (2013). Synthesis of natural rubber-g-maleic anhydride and its use as a compatibilizer in natural rubber/short nylon fiber composites. </w:t>
      </w:r>
      <w:r>
        <w:rPr>
          <w:rFonts w:ascii="Times New Roman" w:hAnsi="Times New Roman"/>
          <w:i/>
          <w:kern w:val="2"/>
          <w:sz w:val="20"/>
          <w:szCs w:val="20"/>
          <w:lang w:eastAsia="ko-KR"/>
        </w:rPr>
        <w:t>Chinese Journal of Polymer Science</w:t>
      </w:r>
      <w:r>
        <w:rPr>
          <w:rFonts w:ascii="Times New Roman" w:hAnsi="Times New Roman"/>
          <w:kern w:val="2"/>
          <w:sz w:val="20"/>
          <w:szCs w:val="20"/>
          <w:lang w:eastAsia="ko-KR"/>
        </w:rPr>
        <w:t>, 31: 1127-1138.</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Rui, Z., Hongzhi, L. and Jinwen, Z. (2012). Compatibilizing effects of maleated poly(lactic acid) on properties of PLA/soy protein composites. </w:t>
      </w:r>
      <w:r>
        <w:rPr>
          <w:rFonts w:ascii="Times New Roman" w:hAnsi="Times New Roman"/>
          <w:i/>
          <w:kern w:val="2"/>
          <w:sz w:val="20"/>
          <w:szCs w:val="20"/>
          <w:lang w:eastAsia="ko-KR"/>
        </w:rPr>
        <w:t>American Chemical Society</w:t>
      </w:r>
      <w:r>
        <w:rPr>
          <w:rFonts w:ascii="Times New Roman" w:hAnsi="Times New Roman"/>
          <w:kern w:val="2"/>
          <w:sz w:val="20"/>
          <w:szCs w:val="20"/>
          <w:lang w:eastAsia="ko-KR"/>
        </w:rPr>
        <w:t>, 51(22): 7786-7792.</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Bijarimi, M., Ahmad, S. and Rasid, R. (2012). Mechanical, thermal and morphological properties of PLA/PP melt blends. </w:t>
      </w:r>
      <w:r>
        <w:rPr>
          <w:rFonts w:ascii="Times New Roman" w:hAnsi="Times New Roman"/>
          <w:i/>
          <w:kern w:val="2"/>
          <w:sz w:val="20"/>
          <w:szCs w:val="20"/>
          <w:lang w:eastAsia="ko-KR"/>
        </w:rPr>
        <w:t>International Conference on Agriculture, Chemical And Environmental Sciences</w:t>
      </w:r>
      <w:r>
        <w:rPr>
          <w:rFonts w:ascii="Times New Roman" w:hAnsi="Times New Roman"/>
          <w:kern w:val="2"/>
          <w:sz w:val="20"/>
          <w:szCs w:val="20"/>
          <w:lang w:eastAsia="ko-KR"/>
        </w:rPr>
        <w:t>: pp. 115-117.</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Shahdan, D., Ahmad, S.</w:t>
      </w:r>
      <w:r>
        <w:rPr>
          <w:rFonts w:ascii="Times New Roman" w:hAnsi="Times New Roman"/>
          <w:spacing w:val="-3"/>
          <w:kern w:val="2"/>
          <w:sz w:val="20"/>
          <w:szCs w:val="20"/>
          <w:lang w:eastAsia="ko-KR"/>
        </w:rPr>
        <w:t xml:space="preserve"> </w:t>
      </w:r>
      <w:r>
        <w:rPr>
          <w:rFonts w:ascii="Times New Roman" w:hAnsi="Times New Roman"/>
          <w:kern w:val="2"/>
          <w:sz w:val="20"/>
          <w:szCs w:val="20"/>
          <w:lang w:eastAsia="ko-KR"/>
        </w:rPr>
        <w:t>and Flaifel, M. H. (2014). Effect of ultrasonic treatment on tensile properties of PLA/LNR/NiZn ferrite nanocomposite.</w:t>
      </w:r>
      <w:r>
        <w:rPr>
          <w:rFonts w:ascii="Times New Roman" w:hAnsi="Times New Roman"/>
          <w:spacing w:val="-3"/>
          <w:kern w:val="2"/>
          <w:sz w:val="20"/>
          <w:szCs w:val="20"/>
          <w:lang w:eastAsia="ko-KR"/>
        </w:rPr>
        <w:t xml:space="preserve"> </w:t>
      </w:r>
      <w:r w:rsidRPr="005E6DA5">
        <w:rPr>
          <w:rFonts w:ascii="Times New Roman" w:hAnsi="Times New Roman"/>
          <w:i/>
          <w:kern w:val="2"/>
          <w:sz w:val="20"/>
          <w:szCs w:val="20"/>
          <w:lang w:eastAsia="ko-KR"/>
        </w:rPr>
        <w:t>AIP</w:t>
      </w:r>
      <w:r w:rsidRPr="005E6DA5">
        <w:rPr>
          <w:rFonts w:ascii="Times New Roman" w:hAnsi="Times New Roman"/>
          <w:i/>
          <w:spacing w:val="-1"/>
          <w:kern w:val="2"/>
          <w:sz w:val="20"/>
          <w:szCs w:val="20"/>
          <w:lang w:eastAsia="ko-KR"/>
        </w:rPr>
        <w:t xml:space="preserve"> </w:t>
      </w:r>
      <w:r w:rsidRPr="005E6DA5">
        <w:rPr>
          <w:rFonts w:ascii="Times New Roman" w:hAnsi="Times New Roman"/>
          <w:i/>
          <w:kern w:val="2"/>
          <w:sz w:val="20"/>
          <w:szCs w:val="20"/>
          <w:lang w:eastAsia="ko-KR"/>
        </w:rPr>
        <w:t>Conference</w:t>
      </w:r>
      <w:r w:rsidRPr="005E6DA5">
        <w:rPr>
          <w:rFonts w:ascii="Times New Roman" w:hAnsi="Times New Roman"/>
          <w:i/>
          <w:spacing w:val="-4"/>
          <w:kern w:val="2"/>
          <w:sz w:val="20"/>
          <w:szCs w:val="20"/>
          <w:lang w:eastAsia="ko-KR"/>
        </w:rPr>
        <w:t xml:space="preserve"> </w:t>
      </w:r>
      <w:r w:rsidRPr="005E6DA5">
        <w:rPr>
          <w:rFonts w:ascii="Times New Roman" w:hAnsi="Times New Roman"/>
          <w:i/>
          <w:kern w:val="2"/>
          <w:sz w:val="20"/>
          <w:szCs w:val="20"/>
          <w:lang w:eastAsia="ko-KR"/>
        </w:rPr>
        <w:t>Proceedings</w:t>
      </w:r>
      <w:r>
        <w:rPr>
          <w:rFonts w:ascii="Times New Roman" w:hAnsi="Times New Roman"/>
          <w:spacing w:val="-1"/>
          <w:kern w:val="2"/>
          <w:sz w:val="20"/>
          <w:szCs w:val="20"/>
          <w:lang w:eastAsia="ko-KR"/>
        </w:rPr>
        <w:t xml:space="preserve">, </w:t>
      </w:r>
      <w:r>
        <w:rPr>
          <w:rFonts w:ascii="Times New Roman" w:hAnsi="Times New Roman"/>
          <w:kern w:val="2"/>
          <w:sz w:val="20"/>
          <w:szCs w:val="20"/>
          <w:lang w:eastAsia="ko-KR"/>
        </w:rPr>
        <w:t>1571:</w:t>
      </w:r>
      <w:r>
        <w:rPr>
          <w:rFonts w:ascii="Times New Roman" w:hAnsi="Times New Roman"/>
          <w:spacing w:val="-5"/>
          <w:kern w:val="2"/>
          <w:sz w:val="20"/>
          <w:szCs w:val="20"/>
          <w:lang w:eastAsia="ko-KR"/>
        </w:rPr>
        <w:t xml:space="preserve"> </w:t>
      </w:r>
      <w:r>
        <w:rPr>
          <w:rFonts w:ascii="Times New Roman" w:hAnsi="Times New Roman"/>
          <w:kern w:val="2"/>
          <w:sz w:val="20"/>
          <w:szCs w:val="20"/>
          <w:lang w:eastAsia="ko-KR"/>
        </w:rPr>
        <w:t>75-82.</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Abdullah, I. (1992). Liquid natural rubber as a compatibilizer in the blending of natural rubber with polypropylene. </w:t>
      </w:r>
      <w:r>
        <w:rPr>
          <w:rFonts w:ascii="Times New Roman" w:hAnsi="Times New Roman"/>
          <w:i/>
          <w:kern w:val="2"/>
          <w:sz w:val="20"/>
          <w:szCs w:val="20"/>
          <w:lang w:eastAsia="ko-KR"/>
        </w:rPr>
        <w:t>Materials Forum</w:t>
      </w:r>
      <w:r>
        <w:rPr>
          <w:rFonts w:ascii="Times New Roman" w:hAnsi="Times New Roman"/>
          <w:kern w:val="2"/>
          <w:sz w:val="20"/>
          <w:szCs w:val="20"/>
          <w:lang w:eastAsia="ko-KR"/>
        </w:rPr>
        <w:t>, 16: 353-357.</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Abdullah Sani, N. S., Arsad, A. and Rahmat, A. R. (2014). Synthesis of a compatibilizer and the effects of monomer concentration</w:t>
      </w:r>
      <w:r>
        <w:rPr>
          <w:rFonts w:ascii="Times New Roman" w:hAnsi="Times New Roman"/>
          <w:i/>
          <w:kern w:val="2"/>
          <w:sz w:val="20"/>
          <w:szCs w:val="20"/>
          <w:lang w:eastAsia="ko-KR"/>
        </w:rPr>
        <w:t>. Applied Mechanics and Materials</w:t>
      </w:r>
      <w:r>
        <w:rPr>
          <w:rFonts w:ascii="Times New Roman" w:hAnsi="Times New Roman"/>
          <w:kern w:val="2"/>
          <w:sz w:val="20"/>
          <w:szCs w:val="20"/>
          <w:lang w:eastAsia="ko-KR"/>
        </w:rPr>
        <w:t>, 554: 96-100.</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Abdullah Sani, N. S., Arsad, A., Rahmat, A. R. and Mohammad N. N. B. (2015). Effects of compatibilizer on thermal and mechanical properties of PLA/NR belnds.  </w:t>
      </w:r>
      <w:r>
        <w:rPr>
          <w:rFonts w:ascii="Times New Roman" w:hAnsi="Times New Roman"/>
          <w:i/>
          <w:kern w:val="2"/>
          <w:sz w:val="20"/>
          <w:szCs w:val="20"/>
          <w:lang w:eastAsia="ko-KR"/>
        </w:rPr>
        <w:t>Material Science Forum</w:t>
      </w:r>
      <w:r>
        <w:rPr>
          <w:rFonts w:ascii="Times New Roman" w:hAnsi="Times New Roman"/>
          <w:kern w:val="2"/>
          <w:sz w:val="20"/>
          <w:szCs w:val="20"/>
          <w:lang w:eastAsia="ko-KR"/>
        </w:rPr>
        <w:t>, 819: 241-245.</w:t>
      </w:r>
    </w:p>
    <w:p w:rsidR="00C1448B" w:rsidRDefault="00C1448B" w:rsidP="00C1448B">
      <w:pPr>
        <w:widowControl w:val="0"/>
        <w:numPr>
          <w:ilvl w:val="0"/>
          <w:numId w:val="2"/>
        </w:numPr>
        <w:autoSpaceDE w:val="0"/>
        <w:autoSpaceDN w:val="0"/>
        <w:spacing w:after="0" w:line="240" w:lineRule="auto"/>
        <w:ind w:left="360"/>
        <w:jc w:val="both"/>
        <w:outlineLvl w:val="0"/>
        <w:rPr>
          <w:rFonts w:ascii="Times New Roman" w:eastAsia="SimSun" w:hAnsi="Times New Roman"/>
          <w:kern w:val="2"/>
          <w:sz w:val="20"/>
          <w:szCs w:val="20"/>
          <w:lang w:eastAsia="ko-KR"/>
        </w:rPr>
      </w:pPr>
      <w:r>
        <w:rPr>
          <w:rFonts w:ascii="Times New Roman" w:hAnsi="Times New Roman"/>
          <w:kern w:val="2"/>
          <w:sz w:val="20"/>
          <w:szCs w:val="20"/>
          <w:lang w:eastAsia="ko-KR"/>
        </w:rPr>
        <w:t xml:space="preserve">Yi, X., Xu, L., Wang, Y. L., Zhong, G. J., Ji, X. and Li, Z. M. (2010). Morphology and properties of isotactic polypropylene/poly(ethyleneterepthalate) in situ microfibrillar reinforced blends: influence of viscosity ratio. </w:t>
      </w:r>
      <w:r>
        <w:rPr>
          <w:rFonts w:ascii="Times New Roman" w:hAnsi="Times New Roman"/>
          <w:i/>
          <w:kern w:val="2"/>
          <w:sz w:val="20"/>
          <w:szCs w:val="20"/>
          <w:lang w:eastAsia="ko-KR"/>
        </w:rPr>
        <w:t>European Polymer Journal</w:t>
      </w:r>
      <w:r>
        <w:rPr>
          <w:rFonts w:ascii="Times New Roman" w:hAnsi="Times New Roman"/>
          <w:kern w:val="2"/>
          <w:sz w:val="20"/>
          <w:szCs w:val="20"/>
          <w:lang w:eastAsia="ko-KR"/>
        </w:rPr>
        <w:t>, 46: 719-730.</w:t>
      </w:r>
    </w:p>
    <w:p w:rsidR="00A74A7E" w:rsidRPr="007A738C" w:rsidRDefault="00A74A7E" w:rsidP="00C1448B">
      <w:pPr>
        <w:spacing w:after="0" w:line="240" w:lineRule="auto"/>
        <w:ind w:left="360"/>
        <w:jc w:val="both"/>
        <w:rPr>
          <w:rFonts w:ascii="Times New Roman" w:hAnsi="Times New Roman"/>
          <w:noProof/>
          <w:lang w:bidi="ar-SA"/>
        </w:rPr>
      </w:pPr>
    </w:p>
    <w:sectPr w:rsidR="00A74A7E" w:rsidRPr="007A738C" w:rsidSect="00E34847">
      <w:headerReference w:type="even" r:id="rId16"/>
      <w:headerReference w:type="default" r:id="rId17"/>
      <w:footerReference w:type="even" r:id="rId18"/>
      <w:footerReference w:type="default" r:id="rId19"/>
      <w:pgSz w:w="12240" w:h="15840" w:code="1"/>
      <w:pgMar w:top="1800" w:right="1469" w:bottom="1699" w:left="1440" w:header="706" w:footer="706" w:gutter="0"/>
      <w:pgNumType w:start="88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C1061">
      <w:rPr>
        <w:rFonts w:ascii="Times New Roman" w:hAnsi="Times New Roman"/>
        <w:noProof/>
      </w:rPr>
      <w:t>890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C1061">
      <w:rPr>
        <w:rFonts w:ascii="Times New Roman" w:hAnsi="Times New Roman"/>
        <w:noProof/>
      </w:rPr>
      <w:t>891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84F" w:rsidRPr="0061084F" w:rsidRDefault="0061084F" w:rsidP="0061084F">
    <w:pPr>
      <w:widowControl w:val="0"/>
      <w:spacing w:after="0" w:line="240" w:lineRule="auto"/>
      <w:ind w:left="2160" w:right="4" w:hanging="2160"/>
      <w:rPr>
        <w:rFonts w:ascii="Times New Roman" w:hAnsi="Times New Roman"/>
        <w:sz w:val="20"/>
        <w:szCs w:val="20"/>
      </w:rPr>
    </w:pPr>
    <w:r>
      <w:rPr>
        <w:rFonts w:ascii="Times New Roman" w:hAnsi="Times New Roman"/>
        <w:sz w:val="20"/>
        <w:szCs w:val="20"/>
      </w:rPr>
      <w:t>Mohd Farid Hakim et al</w:t>
    </w:r>
    <w:r w:rsidR="006B72B0" w:rsidRPr="0061084F">
      <w:rPr>
        <w:rFonts w:ascii="Times New Roman" w:hAnsi="Times New Roman"/>
        <w:sz w:val="20"/>
        <w:szCs w:val="20"/>
      </w:rPr>
      <w:t xml:space="preserve">: </w:t>
    </w:r>
    <w:r w:rsidR="000D2B43" w:rsidRPr="0061084F">
      <w:rPr>
        <w:rFonts w:ascii="Times New Roman" w:hAnsi="Times New Roman"/>
        <w:sz w:val="20"/>
        <w:szCs w:val="20"/>
      </w:rPr>
      <w:t xml:space="preserve"> </w:t>
    </w:r>
    <w:r w:rsidRPr="0061084F">
      <w:rPr>
        <w:rFonts w:ascii="Times New Roman" w:hAnsi="Times New Roman"/>
        <w:sz w:val="20"/>
        <w:szCs w:val="20"/>
      </w:rPr>
      <w:t xml:space="preserve"> LIQUID NATURAL RUBBER TOUGHENED POLY(LACTIC ACID) BLEND: EFFECTS OF COMPATIBILIZER TYPES AND LOADINGS ON</w:t>
    </w:r>
    <w:r>
      <w:rPr>
        <w:rFonts w:ascii="Times New Roman" w:hAnsi="Times New Roman"/>
        <w:sz w:val="20"/>
        <w:szCs w:val="20"/>
      </w:rPr>
      <w:t xml:space="preserve"> </w:t>
    </w:r>
    <w:r w:rsidRPr="0061084F">
      <w:rPr>
        <w:rFonts w:ascii="Times New Roman" w:hAnsi="Times New Roman"/>
        <w:sz w:val="20"/>
        <w:szCs w:val="20"/>
      </w:rPr>
      <w:t xml:space="preserve">THERMO-MECHANICAL PROPERTIES </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203922">
      <w:rPr>
        <w:rFonts w:ascii="Times New Roman" w:hAnsi="Times New Roman"/>
        <w:i/>
        <w:lang w:val="en-US"/>
      </w:rPr>
      <w:t>No 5</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E34847">
      <w:rPr>
        <w:rFonts w:ascii="Times New Roman" w:hAnsi="Times New Roman"/>
        <w:i/>
        <w:lang w:val="en-US"/>
      </w:rPr>
      <w:t>885</w:t>
    </w:r>
    <w:r>
      <w:rPr>
        <w:rFonts w:ascii="Times New Roman" w:hAnsi="Times New Roman"/>
        <w:i/>
        <w:lang w:val="en-US"/>
      </w:rPr>
      <w:t xml:space="preserve"> </w:t>
    </w:r>
    <w:r w:rsidR="007A0583">
      <w:rPr>
        <w:rFonts w:ascii="Times New Roman" w:hAnsi="Times New Roman"/>
        <w:i/>
        <w:lang w:val="en-US"/>
      </w:rPr>
      <w:t>-</w:t>
    </w:r>
    <w:r w:rsidR="00E34847">
      <w:rPr>
        <w:rFonts w:ascii="Times New Roman" w:hAnsi="Times New Roman"/>
        <w:i/>
        <w:lang w:val="en-US"/>
      </w:rPr>
      <w:t xml:space="preserve"> 891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203922">
      <w:rPr>
        <w:rFonts w:ascii="Times New Roman" w:hAnsi="Times New Roman"/>
        <w:i/>
        <w:lang w:val="en-US"/>
      </w:rPr>
      <w:t>5</w:t>
    </w:r>
    <w:r w:rsidR="00E34847">
      <w:rPr>
        <w:rFonts w:ascii="Times New Roman" w:hAnsi="Times New Roman"/>
        <w:i/>
        <w:lang w:val="en-US"/>
      </w:rPr>
      <w:t>-16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2B466AF6"/>
    <w:lvl w:ilvl="0" w:tplc="C64A9736">
      <w:start w:val="1"/>
      <w:numFmt w:val="decimal"/>
      <w:lvlText w:val="%1."/>
      <w:lvlJc w:val="left"/>
      <w:pPr>
        <w:ind w:left="1572" w:hanging="360"/>
      </w:pPr>
      <w:rPr>
        <w:color w:val="auto"/>
      </w:rPr>
    </w:lvl>
    <w:lvl w:ilvl="1" w:tplc="04090019">
      <w:start w:val="1"/>
      <w:numFmt w:val="lowerLetter"/>
      <w:lvlText w:val="%2."/>
      <w:lvlJc w:val="left"/>
      <w:pPr>
        <w:ind w:left="2292" w:hanging="360"/>
      </w:pPr>
    </w:lvl>
    <w:lvl w:ilvl="2" w:tplc="0409001B">
      <w:start w:val="1"/>
      <w:numFmt w:val="lowerRoman"/>
      <w:lvlText w:val="%3."/>
      <w:lvlJc w:val="right"/>
      <w:pPr>
        <w:ind w:left="3012" w:hanging="180"/>
      </w:pPr>
    </w:lvl>
    <w:lvl w:ilvl="3" w:tplc="0409000F">
      <w:start w:val="1"/>
      <w:numFmt w:val="decimal"/>
      <w:lvlText w:val="%4."/>
      <w:lvlJc w:val="left"/>
      <w:pPr>
        <w:ind w:left="3732" w:hanging="360"/>
      </w:pPr>
    </w:lvl>
    <w:lvl w:ilvl="4" w:tplc="04090019">
      <w:start w:val="1"/>
      <w:numFmt w:val="lowerLetter"/>
      <w:lvlText w:val="%5."/>
      <w:lvlJc w:val="left"/>
      <w:pPr>
        <w:ind w:left="4452" w:hanging="360"/>
      </w:pPr>
    </w:lvl>
    <w:lvl w:ilvl="5" w:tplc="0409001B">
      <w:start w:val="1"/>
      <w:numFmt w:val="lowerRoman"/>
      <w:lvlText w:val="%6."/>
      <w:lvlJc w:val="right"/>
      <w:pPr>
        <w:ind w:left="5172" w:hanging="180"/>
      </w:pPr>
    </w:lvl>
    <w:lvl w:ilvl="6" w:tplc="0409000F">
      <w:start w:val="1"/>
      <w:numFmt w:val="decimal"/>
      <w:lvlText w:val="%7."/>
      <w:lvlJc w:val="left"/>
      <w:pPr>
        <w:ind w:left="5892" w:hanging="360"/>
      </w:pPr>
    </w:lvl>
    <w:lvl w:ilvl="7" w:tplc="04090019">
      <w:start w:val="1"/>
      <w:numFmt w:val="lowerLetter"/>
      <w:lvlText w:val="%8."/>
      <w:lvlJc w:val="left"/>
      <w:pPr>
        <w:ind w:left="6612" w:hanging="360"/>
      </w:pPr>
    </w:lvl>
    <w:lvl w:ilvl="8" w:tplc="0409001B">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91F75"/>
    <w:rsid w:val="001A3275"/>
    <w:rsid w:val="001C0506"/>
    <w:rsid w:val="001D035A"/>
    <w:rsid w:val="001D3855"/>
    <w:rsid w:val="001D6F2C"/>
    <w:rsid w:val="00203922"/>
    <w:rsid w:val="002563AF"/>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C6768"/>
    <w:rsid w:val="005E4871"/>
    <w:rsid w:val="005E6DA5"/>
    <w:rsid w:val="00601C8A"/>
    <w:rsid w:val="0061084F"/>
    <w:rsid w:val="006257E5"/>
    <w:rsid w:val="00634C25"/>
    <w:rsid w:val="0063542E"/>
    <w:rsid w:val="006416AB"/>
    <w:rsid w:val="006768E9"/>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00451"/>
    <w:rsid w:val="009211AF"/>
    <w:rsid w:val="00921742"/>
    <w:rsid w:val="009357B8"/>
    <w:rsid w:val="009866F6"/>
    <w:rsid w:val="009C1061"/>
    <w:rsid w:val="009D030D"/>
    <w:rsid w:val="00A049C6"/>
    <w:rsid w:val="00A14DB9"/>
    <w:rsid w:val="00A4762A"/>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1F7B"/>
    <w:rsid w:val="00BB5070"/>
    <w:rsid w:val="00BB58AF"/>
    <w:rsid w:val="00BE6617"/>
    <w:rsid w:val="00BE7C30"/>
    <w:rsid w:val="00C055BF"/>
    <w:rsid w:val="00C1448B"/>
    <w:rsid w:val="00C2226A"/>
    <w:rsid w:val="00C433DB"/>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32EDB"/>
    <w:rsid w:val="00E34847"/>
    <w:rsid w:val="00E4120F"/>
    <w:rsid w:val="00E54D12"/>
    <w:rsid w:val="00E66197"/>
    <w:rsid w:val="00F121A0"/>
    <w:rsid w:val="00F31093"/>
    <w:rsid w:val="00F33AB1"/>
    <w:rsid w:val="00F412AF"/>
    <w:rsid w:val="00F43667"/>
    <w:rsid w:val="00F447A7"/>
    <w:rsid w:val="00F4760B"/>
    <w:rsid w:val="00F8364F"/>
    <w:rsid w:val="00F936B6"/>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semiHidden/>
    <w:unhideWhenUsed/>
    <w:rsid w:val="005E6D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semiHidden/>
    <w:unhideWhenUsed/>
    <w:rsid w:val="005E6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9579">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5758-315B-4FAB-A7BA-F106EB61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3211</Words>
  <Characters>17874</Characters>
  <Application>Microsoft Office Word</Application>
  <DocSecurity>0</DocSecurity>
  <Lines>271</Lines>
  <Paragraphs>68</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21044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16</cp:revision>
  <cp:lastPrinted>2018-10-17T14:30:00Z</cp:lastPrinted>
  <dcterms:created xsi:type="dcterms:W3CDTF">2018-10-14T07:28:00Z</dcterms:created>
  <dcterms:modified xsi:type="dcterms:W3CDTF">2018-10-17T14:30:00Z</dcterms:modified>
</cp:coreProperties>
</file>