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3EE" w:rsidRDefault="00C343EE" w:rsidP="00C343EE">
      <w:pPr>
        <w:tabs>
          <w:tab w:val="left" w:pos="6173"/>
        </w:tabs>
        <w:spacing w:after="0" w:line="240" w:lineRule="auto"/>
        <w:rPr>
          <w:rFonts w:ascii="Times New Roman" w:hAnsi="Times New Roman"/>
          <w:bCs/>
          <w:sz w:val="24"/>
          <w:szCs w:val="24"/>
          <w:lang w:val="en"/>
        </w:rPr>
      </w:pPr>
      <w:bookmarkStart w:id="0" w:name="_Hlk514449166"/>
      <w:r>
        <w:rPr>
          <w:rFonts w:ascii="Times New Roman" w:hAnsi="Times New Roman"/>
          <w:bCs/>
          <w:sz w:val="24"/>
          <w:szCs w:val="24"/>
          <w:lang w:val="en"/>
        </w:rPr>
        <w:t>Malaysian Journal of Analytical Sciences Vol 22 No 4 (2018): 579 - 585</w:t>
      </w:r>
    </w:p>
    <w:p w:rsidR="00C343EE" w:rsidRDefault="00C343EE" w:rsidP="00C343EE">
      <w:pPr>
        <w:tabs>
          <w:tab w:val="left" w:pos="6173"/>
        </w:tabs>
        <w:spacing w:after="0" w:line="240" w:lineRule="auto"/>
        <w:rPr>
          <w:rFonts w:ascii="Times New Roman" w:hAnsi="Times New Roman"/>
          <w:bCs/>
          <w:sz w:val="24"/>
          <w:szCs w:val="24"/>
          <w:lang w:val="en"/>
        </w:rPr>
      </w:pPr>
    </w:p>
    <w:p w:rsidR="00C343EE" w:rsidRDefault="00C343EE" w:rsidP="00C343EE">
      <w:pPr>
        <w:tabs>
          <w:tab w:val="left" w:pos="6173"/>
        </w:tabs>
        <w:spacing w:after="0" w:line="240" w:lineRule="auto"/>
        <w:rPr>
          <w:rFonts w:ascii="Times New Roman" w:hAnsi="Times New Roman"/>
          <w:bCs/>
          <w:sz w:val="24"/>
          <w:szCs w:val="24"/>
          <w:lang w:val="en"/>
        </w:rPr>
      </w:pPr>
    </w:p>
    <w:p w:rsidR="00C343EE" w:rsidRPr="00C343EE" w:rsidRDefault="00C343EE" w:rsidP="00C343EE">
      <w:pPr>
        <w:tabs>
          <w:tab w:val="left" w:pos="6173"/>
        </w:tabs>
        <w:spacing w:after="0" w:line="240" w:lineRule="auto"/>
        <w:rPr>
          <w:rFonts w:ascii="Times New Roman" w:hAnsi="Times New Roman"/>
          <w:bCs/>
          <w:sz w:val="24"/>
          <w:szCs w:val="24"/>
          <w:lang w:val="en"/>
        </w:rPr>
      </w:pPr>
    </w:p>
    <w:p w:rsidR="00C343EE" w:rsidRDefault="00C343EE" w:rsidP="00C343EE">
      <w:pPr>
        <w:tabs>
          <w:tab w:val="left" w:pos="6173"/>
        </w:tabs>
        <w:spacing w:after="0" w:line="240" w:lineRule="auto"/>
        <w:jc w:val="center"/>
        <w:rPr>
          <w:rFonts w:ascii="Times New Roman" w:hAnsi="Times New Roman"/>
          <w:bCs/>
          <w:sz w:val="28"/>
          <w:szCs w:val="28"/>
          <w:lang w:val="en"/>
        </w:rPr>
      </w:pPr>
      <w:r w:rsidRPr="0051639D">
        <w:rPr>
          <w:rFonts w:ascii="Times New Roman" w:hAnsi="Times New Roman"/>
          <w:bCs/>
          <w:sz w:val="28"/>
          <w:szCs w:val="28"/>
          <w:lang w:val="en"/>
        </w:rPr>
        <w:t xml:space="preserve">CHEMICAL CHARACTERIZATION OF </w:t>
      </w:r>
      <w:r w:rsidRPr="0051639D">
        <w:rPr>
          <w:rFonts w:ascii="Times New Roman" w:hAnsi="Times New Roman"/>
          <w:bCs/>
          <w:i/>
          <w:sz w:val="28"/>
          <w:szCs w:val="28"/>
          <w:lang w:val="en"/>
        </w:rPr>
        <w:t>Berberis vulgaris</w:t>
      </w:r>
      <w:r w:rsidRPr="0051639D">
        <w:rPr>
          <w:rFonts w:ascii="Times New Roman" w:hAnsi="Times New Roman"/>
          <w:bCs/>
          <w:sz w:val="28"/>
          <w:szCs w:val="28"/>
          <w:lang w:val="en"/>
        </w:rPr>
        <w:t xml:space="preserve"> L. var. </w:t>
      </w:r>
      <w:r w:rsidRPr="0051639D">
        <w:rPr>
          <w:rFonts w:ascii="Times New Roman" w:hAnsi="Times New Roman"/>
          <w:bCs/>
          <w:i/>
          <w:sz w:val="28"/>
          <w:szCs w:val="28"/>
          <w:lang w:val="en"/>
        </w:rPr>
        <w:t>asperma</w:t>
      </w:r>
      <w:r w:rsidRPr="0051639D">
        <w:rPr>
          <w:rFonts w:ascii="Times New Roman" w:hAnsi="Times New Roman"/>
          <w:bCs/>
          <w:sz w:val="28"/>
          <w:szCs w:val="28"/>
          <w:lang w:val="en"/>
        </w:rPr>
        <w:t xml:space="preserve"> EDIBLE BERRIES</w:t>
      </w:r>
    </w:p>
    <w:p w:rsidR="00C343EE" w:rsidRPr="00D72C8F" w:rsidRDefault="00C343EE" w:rsidP="00C343EE">
      <w:pPr>
        <w:tabs>
          <w:tab w:val="left" w:pos="6173"/>
        </w:tabs>
        <w:spacing w:after="0" w:line="240" w:lineRule="auto"/>
        <w:jc w:val="center"/>
        <w:rPr>
          <w:rFonts w:ascii="Times New Roman" w:hAnsi="Times New Roman"/>
          <w:bCs/>
          <w:sz w:val="24"/>
          <w:szCs w:val="24"/>
          <w:lang w:val="en"/>
        </w:rPr>
      </w:pPr>
    </w:p>
    <w:p w:rsidR="00C343EE" w:rsidRPr="00D72C8F" w:rsidRDefault="00C343EE" w:rsidP="00C343EE">
      <w:pPr>
        <w:tabs>
          <w:tab w:val="left" w:pos="6173"/>
        </w:tabs>
        <w:spacing w:after="0" w:line="240" w:lineRule="auto"/>
        <w:jc w:val="center"/>
        <w:rPr>
          <w:rFonts w:ascii="Times New Roman" w:hAnsi="Times New Roman"/>
          <w:bCs/>
          <w:sz w:val="24"/>
          <w:szCs w:val="24"/>
          <w:lang w:val="ms-MY"/>
        </w:rPr>
      </w:pPr>
      <w:r w:rsidRPr="00D72C8F">
        <w:rPr>
          <w:rFonts w:ascii="Times New Roman" w:hAnsi="Times New Roman"/>
          <w:bCs/>
          <w:sz w:val="24"/>
          <w:szCs w:val="24"/>
          <w:lang w:val="ms-MY"/>
        </w:rPr>
        <w:t xml:space="preserve">(Pencirian Kimia Buah Beri Boleh di Makan </w:t>
      </w:r>
      <w:r w:rsidRPr="00D72C8F">
        <w:rPr>
          <w:rFonts w:ascii="Times New Roman" w:hAnsi="Times New Roman"/>
          <w:bCs/>
          <w:i/>
          <w:sz w:val="24"/>
          <w:szCs w:val="24"/>
          <w:lang w:val="ms-MY"/>
        </w:rPr>
        <w:t>Berberis vulgaris</w:t>
      </w:r>
      <w:r w:rsidRPr="00D72C8F">
        <w:rPr>
          <w:rFonts w:ascii="Times New Roman" w:hAnsi="Times New Roman"/>
          <w:bCs/>
          <w:sz w:val="24"/>
          <w:szCs w:val="24"/>
          <w:lang w:val="ms-MY"/>
        </w:rPr>
        <w:t xml:space="preserve"> L. var. </w:t>
      </w:r>
      <w:r w:rsidRPr="00D72C8F">
        <w:rPr>
          <w:rFonts w:ascii="Times New Roman" w:hAnsi="Times New Roman"/>
          <w:bCs/>
          <w:i/>
          <w:sz w:val="24"/>
          <w:szCs w:val="24"/>
          <w:lang w:val="ms-MY"/>
        </w:rPr>
        <w:t>asperma</w:t>
      </w:r>
      <w:r w:rsidRPr="00D72C8F">
        <w:rPr>
          <w:rFonts w:ascii="Times New Roman" w:hAnsi="Times New Roman"/>
          <w:bCs/>
          <w:sz w:val="24"/>
          <w:szCs w:val="24"/>
          <w:lang w:val="ms-MY"/>
        </w:rPr>
        <w:t>)</w:t>
      </w:r>
    </w:p>
    <w:bookmarkEnd w:id="0"/>
    <w:p w:rsidR="00C343EE" w:rsidRPr="00D72C8F" w:rsidRDefault="00C343EE" w:rsidP="00C343EE">
      <w:pPr>
        <w:tabs>
          <w:tab w:val="left" w:pos="6173"/>
        </w:tabs>
        <w:spacing w:after="0" w:line="240" w:lineRule="auto"/>
        <w:jc w:val="center"/>
        <w:rPr>
          <w:rFonts w:ascii="Times New Roman" w:eastAsia="PMingLiU" w:hAnsi="Times New Roman"/>
          <w:b/>
          <w:sz w:val="20"/>
          <w:szCs w:val="20"/>
        </w:rPr>
      </w:pPr>
    </w:p>
    <w:p w:rsidR="00C343EE" w:rsidRPr="00D72C8F" w:rsidRDefault="00C343EE" w:rsidP="00C343EE">
      <w:pPr>
        <w:spacing w:after="0" w:line="240" w:lineRule="auto"/>
        <w:jc w:val="center"/>
        <w:rPr>
          <w:rFonts w:ascii="Times New Roman" w:eastAsia="PMingLiU" w:hAnsi="Times New Roman"/>
          <w:sz w:val="20"/>
          <w:szCs w:val="20"/>
          <w:lang w:val="fi-FI"/>
        </w:rPr>
      </w:pPr>
      <w:bookmarkStart w:id="1" w:name="_Hlk514446652"/>
      <w:r w:rsidRPr="0051639D">
        <w:rPr>
          <w:rFonts w:ascii="Times New Roman" w:eastAsia="PMingLiU" w:hAnsi="Times New Roman"/>
          <w:sz w:val="20"/>
          <w:szCs w:val="20"/>
          <w:lang w:val="fi-FI"/>
        </w:rPr>
        <w:t>Maria Carmen S. Tan</w:t>
      </w:r>
      <w:r>
        <w:rPr>
          <w:rFonts w:ascii="Times New Roman" w:eastAsia="PMingLiU" w:hAnsi="Times New Roman"/>
          <w:sz w:val="20"/>
          <w:szCs w:val="20"/>
          <w:vertAlign w:val="superscript"/>
          <w:lang w:val="fi-FI"/>
        </w:rPr>
        <w:t>1</w:t>
      </w:r>
      <w:r w:rsidRPr="00D72C8F">
        <w:rPr>
          <w:rFonts w:ascii="Times New Roman" w:eastAsia="PMingLiU" w:hAnsi="Times New Roman"/>
          <w:sz w:val="20"/>
          <w:szCs w:val="20"/>
          <w:lang w:val="fi-FI"/>
        </w:rPr>
        <w:t>*</w:t>
      </w:r>
      <w:r w:rsidRPr="0051639D">
        <w:rPr>
          <w:rFonts w:ascii="Times New Roman" w:eastAsia="PMingLiU" w:hAnsi="Times New Roman"/>
          <w:sz w:val="20"/>
          <w:szCs w:val="20"/>
          <w:lang w:val="fi-FI"/>
        </w:rPr>
        <w:t>, Irving D. Chiong</w:t>
      </w:r>
      <w:r w:rsidRPr="0051639D">
        <w:rPr>
          <w:rFonts w:ascii="Times New Roman" w:eastAsia="PMingLiU" w:hAnsi="Times New Roman"/>
          <w:sz w:val="20"/>
          <w:szCs w:val="20"/>
          <w:vertAlign w:val="superscript"/>
          <w:lang w:val="fi-FI"/>
        </w:rPr>
        <w:t>1</w:t>
      </w:r>
      <w:r w:rsidRPr="0051639D">
        <w:rPr>
          <w:rFonts w:ascii="Times New Roman" w:eastAsia="PMingLiU" w:hAnsi="Times New Roman"/>
          <w:sz w:val="20"/>
          <w:szCs w:val="20"/>
          <w:lang w:val="fi-FI"/>
        </w:rPr>
        <w:t>,</w:t>
      </w:r>
      <w:r w:rsidRPr="0051639D">
        <w:rPr>
          <w:rFonts w:ascii="Times New Roman" w:eastAsia="PMingLiU" w:hAnsi="Times New Roman"/>
          <w:sz w:val="20"/>
          <w:szCs w:val="20"/>
          <w:vertAlign w:val="superscript"/>
          <w:lang w:val="fi-FI"/>
        </w:rPr>
        <w:t xml:space="preserve"> </w:t>
      </w:r>
      <w:r w:rsidRPr="0051639D">
        <w:rPr>
          <w:rFonts w:ascii="Times New Roman" w:eastAsia="PMingLiU" w:hAnsi="Times New Roman"/>
          <w:sz w:val="20"/>
          <w:szCs w:val="20"/>
          <w:lang w:val="fi-FI"/>
        </w:rPr>
        <w:t>Mary Stephanie S. Carranza</w:t>
      </w:r>
      <w:r w:rsidRPr="0051639D">
        <w:rPr>
          <w:rFonts w:ascii="Times New Roman" w:eastAsia="PMingLiU" w:hAnsi="Times New Roman"/>
          <w:sz w:val="20"/>
          <w:szCs w:val="20"/>
          <w:vertAlign w:val="superscript"/>
          <w:lang w:val="fi-FI"/>
        </w:rPr>
        <w:t>1</w:t>
      </w:r>
      <w:r w:rsidRPr="0051639D">
        <w:rPr>
          <w:rFonts w:ascii="Times New Roman" w:eastAsia="PMingLiU" w:hAnsi="Times New Roman"/>
          <w:sz w:val="20"/>
          <w:szCs w:val="20"/>
          <w:lang w:val="fi-FI"/>
        </w:rPr>
        <w:t>, Regina M. Salmasan</w:t>
      </w:r>
      <w:r w:rsidRPr="0051639D">
        <w:rPr>
          <w:rFonts w:ascii="Times New Roman" w:eastAsia="PMingLiU" w:hAnsi="Times New Roman"/>
          <w:sz w:val="20"/>
          <w:szCs w:val="20"/>
          <w:vertAlign w:val="superscript"/>
          <w:lang w:val="fi-FI"/>
        </w:rPr>
        <w:t>1</w:t>
      </w:r>
      <w:r w:rsidRPr="0051639D">
        <w:rPr>
          <w:rFonts w:ascii="Times New Roman" w:eastAsia="PMingLiU" w:hAnsi="Times New Roman"/>
          <w:sz w:val="20"/>
          <w:szCs w:val="20"/>
          <w:lang w:val="fi-FI"/>
        </w:rPr>
        <w:t>, Glenn G. Oyong</w:t>
      </w:r>
      <w:bookmarkEnd w:id="1"/>
      <w:r w:rsidRPr="0051639D">
        <w:rPr>
          <w:rFonts w:ascii="Times New Roman" w:eastAsia="PMingLiU" w:hAnsi="Times New Roman"/>
          <w:sz w:val="20"/>
          <w:szCs w:val="20"/>
          <w:vertAlign w:val="superscript"/>
          <w:lang w:val="fi-FI"/>
        </w:rPr>
        <w:t>2</w:t>
      </w:r>
    </w:p>
    <w:p w:rsidR="00C343EE" w:rsidRPr="00C343EE" w:rsidRDefault="00C343EE" w:rsidP="00C343EE">
      <w:pPr>
        <w:spacing w:after="0" w:line="240" w:lineRule="auto"/>
        <w:jc w:val="center"/>
        <w:rPr>
          <w:rFonts w:ascii="Times New Roman" w:eastAsia="PMingLiU" w:hAnsi="Times New Roman"/>
          <w:sz w:val="20"/>
          <w:szCs w:val="20"/>
          <w:lang w:val="fi-FI"/>
        </w:rPr>
      </w:pPr>
    </w:p>
    <w:p w:rsidR="00C343EE" w:rsidRPr="00C343EE" w:rsidRDefault="00C343EE" w:rsidP="00C343EE">
      <w:pPr>
        <w:spacing w:after="0" w:line="240" w:lineRule="auto"/>
        <w:jc w:val="center"/>
        <w:rPr>
          <w:rFonts w:ascii="Times New Roman" w:eastAsia="PMingLiU" w:hAnsi="Times New Roman"/>
          <w:bCs/>
          <w:i/>
          <w:iCs/>
          <w:sz w:val="20"/>
          <w:szCs w:val="20"/>
          <w:lang w:val="fr-FR"/>
        </w:rPr>
      </w:pPr>
      <w:r w:rsidRPr="00746F57">
        <w:rPr>
          <w:rFonts w:ascii="Times New Roman" w:eastAsia="PMingLiU" w:hAnsi="Times New Roman"/>
          <w:i/>
          <w:iCs/>
          <w:sz w:val="18"/>
          <w:szCs w:val="18"/>
          <w:vertAlign w:val="superscript"/>
          <w:lang w:val="en-PH"/>
        </w:rPr>
        <w:t xml:space="preserve"> </w:t>
      </w:r>
      <w:r w:rsidR="00746F57" w:rsidRPr="00746F57">
        <w:rPr>
          <w:rFonts w:ascii="Times New Roman" w:eastAsia="PMingLiU" w:hAnsi="Times New Roman"/>
          <w:bCs/>
          <w:i/>
          <w:iCs/>
          <w:sz w:val="18"/>
          <w:szCs w:val="18"/>
          <w:vertAlign w:val="superscript"/>
          <w:lang w:val="en-GB"/>
        </w:rPr>
        <w:t>1</w:t>
      </w:r>
      <w:r w:rsidRPr="00C343EE">
        <w:rPr>
          <w:rFonts w:ascii="Times New Roman" w:eastAsia="PMingLiU" w:hAnsi="Times New Roman"/>
          <w:bCs/>
          <w:i/>
          <w:iCs/>
          <w:sz w:val="20"/>
          <w:szCs w:val="20"/>
          <w:lang w:val="en-GB"/>
        </w:rPr>
        <w:t>Chemistry Department</w:t>
      </w:r>
    </w:p>
    <w:p w:rsidR="00C343EE" w:rsidRPr="00746F57" w:rsidRDefault="00746F57" w:rsidP="00C343EE">
      <w:pPr>
        <w:spacing w:after="0" w:line="240" w:lineRule="auto"/>
        <w:jc w:val="center"/>
        <w:rPr>
          <w:rFonts w:ascii="Times New Roman" w:eastAsia="PMingLiU" w:hAnsi="Times New Roman"/>
          <w:i/>
          <w:iCs/>
          <w:sz w:val="18"/>
          <w:szCs w:val="18"/>
          <w:lang w:val="en-PH"/>
        </w:rPr>
      </w:pPr>
      <w:r>
        <w:rPr>
          <w:rFonts w:ascii="Times New Roman" w:eastAsia="PMingLiU" w:hAnsi="Times New Roman"/>
          <w:i/>
          <w:iCs/>
          <w:sz w:val="18"/>
          <w:szCs w:val="18"/>
          <w:vertAlign w:val="superscript"/>
          <w:lang w:val="en-PH"/>
        </w:rPr>
        <w:t>2</w:t>
      </w:r>
      <w:r w:rsidRPr="00452EED">
        <w:rPr>
          <w:rFonts w:ascii="Times New Roman" w:hAnsi="Times New Roman"/>
          <w:bCs/>
          <w:i/>
          <w:color w:val="222222"/>
          <w:sz w:val="18"/>
          <w:szCs w:val="18"/>
        </w:rPr>
        <w:t>Molecular Science Unit Laboratory, Center for Natural Science and Environmental Research</w:t>
      </w:r>
    </w:p>
    <w:p w:rsidR="00C343EE" w:rsidRPr="00C343EE" w:rsidRDefault="00C343EE" w:rsidP="00C343EE">
      <w:pPr>
        <w:spacing w:after="0" w:line="240" w:lineRule="auto"/>
        <w:jc w:val="center"/>
        <w:rPr>
          <w:rFonts w:ascii="Times New Roman" w:eastAsia="PMingLiU" w:hAnsi="Times New Roman"/>
          <w:i/>
          <w:iCs/>
          <w:sz w:val="20"/>
          <w:szCs w:val="20"/>
          <w:lang w:val="en-PH"/>
        </w:rPr>
      </w:pPr>
      <w:r w:rsidRPr="00C343EE">
        <w:rPr>
          <w:rFonts w:ascii="Times New Roman" w:eastAsia="PMingLiU" w:hAnsi="Times New Roman"/>
          <w:i/>
          <w:iCs/>
          <w:sz w:val="20"/>
          <w:szCs w:val="20"/>
          <w:lang w:val="en-PH"/>
        </w:rPr>
        <w:t>De La Salle University, 2401 Taft Avenue, Manila 1004, Philippines</w:t>
      </w:r>
    </w:p>
    <w:p w:rsidR="00C343EE" w:rsidRPr="00C343EE" w:rsidRDefault="00C343EE" w:rsidP="00C343EE">
      <w:pPr>
        <w:spacing w:after="0" w:line="240" w:lineRule="auto"/>
        <w:jc w:val="center"/>
        <w:rPr>
          <w:rFonts w:ascii="Times New Roman" w:eastAsia="PMingLiU" w:hAnsi="Times New Roman"/>
          <w:i/>
          <w:iCs/>
          <w:sz w:val="20"/>
          <w:szCs w:val="20"/>
          <w:lang w:val="fr-FR"/>
        </w:rPr>
      </w:pPr>
    </w:p>
    <w:p w:rsidR="00C343EE" w:rsidRPr="00C343EE" w:rsidRDefault="00C343EE" w:rsidP="00C343EE">
      <w:pPr>
        <w:spacing w:after="0" w:line="240" w:lineRule="auto"/>
        <w:jc w:val="center"/>
        <w:rPr>
          <w:rFonts w:ascii="Times New Roman" w:hAnsi="Times New Roman"/>
          <w:i/>
          <w:iCs/>
          <w:sz w:val="20"/>
          <w:szCs w:val="20"/>
          <w:lang w:val="en-PH"/>
        </w:rPr>
      </w:pPr>
      <w:r w:rsidRPr="00C343EE">
        <w:rPr>
          <w:rFonts w:ascii="Times New Roman" w:hAnsi="Times New Roman"/>
          <w:i/>
          <w:iCs/>
          <w:sz w:val="20"/>
          <w:szCs w:val="20"/>
          <w:lang w:val="en-PH"/>
        </w:rPr>
        <w:t>*Corresponding author:  maria.carmen.tan@dlsu.edu.ph</w:t>
      </w:r>
    </w:p>
    <w:p w:rsidR="00C343EE" w:rsidRPr="00C343EE" w:rsidRDefault="00C343EE" w:rsidP="00C343EE">
      <w:pPr>
        <w:spacing w:after="0" w:line="240" w:lineRule="auto"/>
        <w:jc w:val="center"/>
        <w:rPr>
          <w:rFonts w:ascii="Times New Roman" w:hAnsi="Times New Roman"/>
          <w:noProof/>
          <w:sz w:val="20"/>
          <w:szCs w:val="20"/>
          <w:lang w:bidi="ar-SA"/>
        </w:rPr>
      </w:pPr>
    </w:p>
    <w:p w:rsidR="00C343EE" w:rsidRPr="00C343EE" w:rsidRDefault="00C343EE" w:rsidP="00C343EE">
      <w:pPr>
        <w:spacing w:after="0" w:line="240" w:lineRule="auto"/>
        <w:jc w:val="center"/>
        <w:rPr>
          <w:rFonts w:ascii="Times New Roman" w:hAnsi="Times New Roman"/>
          <w:noProof/>
          <w:sz w:val="20"/>
          <w:szCs w:val="20"/>
          <w:lang w:bidi="ar-SA"/>
        </w:rPr>
      </w:pPr>
    </w:p>
    <w:p w:rsidR="00C343EE" w:rsidRPr="00C343EE" w:rsidRDefault="00C343EE" w:rsidP="00C343EE">
      <w:pPr>
        <w:spacing w:after="0" w:line="240" w:lineRule="auto"/>
        <w:jc w:val="center"/>
        <w:rPr>
          <w:rFonts w:ascii="Times New Roman" w:hAnsi="Times New Roman"/>
          <w:noProof/>
          <w:sz w:val="20"/>
          <w:szCs w:val="20"/>
          <w:lang w:bidi="ar-SA"/>
        </w:rPr>
      </w:pPr>
      <w:r w:rsidRPr="00C343EE">
        <w:rPr>
          <w:rFonts w:ascii="Times New Roman" w:hAnsi="Times New Roman"/>
          <w:noProof/>
          <w:sz w:val="20"/>
          <w:szCs w:val="20"/>
          <w:lang w:bidi="ar-SA"/>
        </w:rPr>
        <w:t>Received: 11 January 2018; Accepted: 4 June 2018</w:t>
      </w:r>
    </w:p>
    <w:p w:rsidR="00C343EE" w:rsidRPr="00C343EE" w:rsidRDefault="00C343EE" w:rsidP="00C343EE">
      <w:pPr>
        <w:spacing w:after="0" w:line="240" w:lineRule="auto"/>
        <w:jc w:val="center"/>
        <w:rPr>
          <w:rFonts w:ascii="Times New Roman" w:hAnsi="Times New Roman"/>
          <w:noProof/>
          <w:sz w:val="20"/>
          <w:szCs w:val="20"/>
          <w:lang w:bidi="ar-SA"/>
        </w:rPr>
      </w:pPr>
    </w:p>
    <w:p w:rsidR="00C343EE" w:rsidRPr="00C343EE" w:rsidRDefault="00C343EE" w:rsidP="00C343EE">
      <w:pPr>
        <w:spacing w:after="0" w:line="240" w:lineRule="auto"/>
        <w:jc w:val="center"/>
        <w:rPr>
          <w:rFonts w:ascii="Times New Roman" w:hAnsi="Times New Roman"/>
          <w:noProof/>
          <w:sz w:val="20"/>
          <w:szCs w:val="20"/>
          <w:lang w:bidi="ar-SA"/>
        </w:rPr>
      </w:pPr>
    </w:p>
    <w:p w:rsidR="00C343EE" w:rsidRPr="00C343EE" w:rsidRDefault="00C343EE" w:rsidP="00C343EE">
      <w:pPr>
        <w:spacing w:after="0" w:line="240" w:lineRule="auto"/>
        <w:jc w:val="center"/>
        <w:rPr>
          <w:rFonts w:ascii="Times New Roman" w:hAnsi="Times New Roman"/>
          <w:b/>
          <w:noProof/>
          <w:sz w:val="20"/>
          <w:szCs w:val="20"/>
          <w:lang w:bidi="ar-SA"/>
        </w:rPr>
      </w:pPr>
      <w:r w:rsidRPr="00C343EE">
        <w:rPr>
          <w:rFonts w:ascii="Times New Roman" w:hAnsi="Times New Roman"/>
          <w:b/>
          <w:noProof/>
          <w:sz w:val="20"/>
          <w:szCs w:val="20"/>
          <w:lang w:bidi="ar-SA"/>
        </w:rPr>
        <w:t>Abstract</w:t>
      </w:r>
    </w:p>
    <w:p w:rsidR="00C343EE" w:rsidRPr="00C343EE" w:rsidRDefault="00C343EE" w:rsidP="00C343EE">
      <w:pPr>
        <w:spacing w:after="0" w:line="240" w:lineRule="auto"/>
        <w:jc w:val="both"/>
        <w:rPr>
          <w:rFonts w:ascii="Times New Roman" w:eastAsia="PMingLiU" w:hAnsi="Times New Roman"/>
          <w:bCs/>
          <w:sz w:val="20"/>
          <w:szCs w:val="20"/>
        </w:rPr>
      </w:pPr>
      <w:r w:rsidRPr="00C343EE">
        <w:rPr>
          <w:rFonts w:ascii="Times New Roman" w:eastAsia="PMingLiU" w:hAnsi="Times New Roman"/>
          <w:bCs/>
          <w:i/>
          <w:sz w:val="20"/>
          <w:szCs w:val="20"/>
          <w:lang w:val="en-PH"/>
        </w:rPr>
        <w:t xml:space="preserve">Berberis vulgaris </w:t>
      </w:r>
      <w:r w:rsidRPr="00C343EE">
        <w:rPr>
          <w:rFonts w:ascii="Times New Roman" w:eastAsia="PMingLiU" w:hAnsi="Times New Roman"/>
          <w:bCs/>
          <w:sz w:val="20"/>
          <w:szCs w:val="20"/>
          <w:lang w:val="en-PH"/>
        </w:rPr>
        <w:t xml:space="preserve">L. var. </w:t>
      </w:r>
      <w:r w:rsidRPr="00C343EE">
        <w:rPr>
          <w:rFonts w:ascii="Times New Roman" w:eastAsia="PMingLiU" w:hAnsi="Times New Roman"/>
          <w:bCs/>
          <w:i/>
          <w:sz w:val="20"/>
          <w:szCs w:val="20"/>
          <w:lang w:val="en-PH"/>
        </w:rPr>
        <w:t xml:space="preserve">asperma </w:t>
      </w:r>
      <w:r w:rsidRPr="00C343EE">
        <w:rPr>
          <w:rFonts w:ascii="Times New Roman" w:eastAsia="PMingLiU" w:hAnsi="Times New Roman"/>
          <w:bCs/>
          <w:sz w:val="20"/>
          <w:szCs w:val="20"/>
          <w:lang w:val="en-PH"/>
        </w:rPr>
        <w:t xml:space="preserve">edible fruits have been found to have activity against several microbes and to be cytotoxic in certain immortalized cancer cell lines. In this study, the berries were analyzed to find the possible metabolites that could be the curative agents. Evaluations using an LC-UV/MS technique established the presence of chlorogenic acid, rutin, and berberine in ethanolic extracts of </w:t>
      </w:r>
      <w:r w:rsidRPr="00C343EE">
        <w:rPr>
          <w:rFonts w:ascii="Times New Roman" w:eastAsia="PMingLiU" w:hAnsi="Times New Roman"/>
          <w:bCs/>
          <w:i/>
          <w:sz w:val="20"/>
          <w:szCs w:val="20"/>
          <w:lang w:val="en-PH"/>
        </w:rPr>
        <w:t>B. vulgaris</w:t>
      </w:r>
      <w:r w:rsidRPr="00C343EE">
        <w:rPr>
          <w:rFonts w:ascii="Times New Roman" w:eastAsia="PMingLiU" w:hAnsi="Times New Roman"/>
          <w:bCs/>
          <w:sz w:val="20"/>
          <w:szCs w:val="20"/>
          <w:lang w:val="en-PH"/>
        </w:rPr>
        <w:t xml:space="preserve"> berries. The ethanolic sample was found to have 47.1 mg/kg of 3-(3,4-dihydroxycinnamoyl) quinic acid, 0.02 mg/kg of rutin and 0.36 mg/kg of berberine. The free radical scavenging activity of the mixture of polyphenolics exhibited an IC</w:t>
      </w:r>
      <w:r w:rsidRPr="00C343EE">
        <w:rPr>
          <w:rFonts w:ascii="Times New Roman" w:eastAsia="PMingLiU" w:hAnsi="Times New Roman"/>
          <w:bCs/>
          <w:sz w:val="20"/>
          <w:szCs w:val="20"/>
          <w:vertAlign w:val="subscript"/>
          <w:lang w:val="en-PH"/>
        </w:rPr>
        <w:t>50</w:t>
      </w:r>
      <w:r w:rsidRPr="00C343EE">
        <w:rPr>
          <w:rFonts w:ascii="Times New Roman" w:eastAsia="PMingLiU" w:hAnsi="Times New Roman"/>
          <w:bCs/>
          <w:sz w:val="20"/>
          <w:szCs w:val="20"/>
          <w:lang w:val="en-PH"/>
        </w:rPr>
        <w:t xml:space="preserve"> at 34.48 µg/mL. An assessment of zinc and iron concentration using atom</w:t>
      </w:r>
      <w:r w:rsidR="00746F57">
        <w:rPr>
          <w:rFonts w:ascii="Times New Roman" w:eastAsia="PMingLiU" w:hAnsi="Times New Roman"/>
          <w:bCs/>
          <w:sz w:val="20"/>
          <w:szCs w:val="20"/>
          <w:lang w:val="en-PH"/>
        </w:rPr>
        <w:t>ic absorbance spectrophotometry</w:t>
      </w:r>
      <w:r w:rsidRPr="00C343EE">
        <w:rPr>
          <w:rFonts w:ascii="Times New Roman" w:eastAsia="PMingLiU" w:hAnsi="Times New Roman"/>
          <w:bCs/>
          <w:sz w:val="20"/>
          <w:szCs w:val="20"/>
          <w:lang w:val="en-PH"/>
        </w:rPr>
        <w:t xml:space="preserve"> (AAS) was determined to be 45.3 and 198.1 mg/kg, respectively. The investigation of the volatile constituents through solid phase microextraction (SPME) and by dichloromethane extraction was exp</w:t>
      </w:r>
      <w:r w:rsidR="00746F57">
        <w:rPr>
          <w:rFonts w:ascii="Times New Roman" w:eastAsia="PMingLiU" w:hAnsi="Times New Roman"/>
          <w:bCs/>
          <w:sz w:val="20"/>
          <w:szCs w:val="20"/>
          <w:lang w:val="en-PH"/>
        </w:rPr>
        <w:t>lored using a gas chromatograph</w:t>
      </w:r>
      <w:r w:rsidRPr="00C343EE">
        <w:rPr>
          <w:rFonts w:ascii="Times New Roman" w:eastAsia="PMingLiU" w:hAnsi="Times New Roman"/>
          <w:bCs/>
          <w:sz w:val="20"/>
          <w:szCs w:val="20"/>
          <w:lang w:val="en-PH"/>
        </w:rPr>
        <w:t xml:space="preserve"> e</w:t>
      </w:r>
      <w:r w:rsidR="00746F57">
        <w:rPr>
          <w:rFonts w:ascii="Times New Roman" w:eastAsia="PMingLiU" w:hAnsi="Times New Roman"/>
          <w:bCs/>
          <w:sz w:val="20"/>
          <w:szCs w:val="20"/>
          <w:lang w:val="en-PH"/>
        </w:rPr>
        <w:t>quipped with a mass spectrometer</w:t>
      </w:r>
      <w:r w:rsidRPr="00C343EE">
        <w:rPr>
          <w:rFonts w:ascii="Times New Roman" w:eastAsia="PMingLiU" w:hAnsi="Times New Roman"/>
          <w:bCs/>
          <w:sz w:val="20"/>
          <w:szCs w:val="20"/>
          <w:lang w:val="en-PH"/>
        </w:rPr>
        <w:t xml:space="preserve"> (GC-EI-MS). SPME analyses showed the presence of palmitic acid </w:t>
      </w:r>
      <w:r w:rsidR="006C6704">
        <w:rPr>
          <w:rFonts w:ascii="Times New Roman" w:eastAsia="PMingLiU" w:hAnsi="Times New Roman"/>
          <w:bCs/>
          <w:sz w:val="20"/>
          <w:szCs w:val="20"/>
          <w:lang w:val="en-PH"/>
        </w:rPr>
        <w:t xml:space="preserve">(C16:0), vaccenic acid (C18:1 Δ </w:t>
      </w:r>
      <w:r w:rsidRPr="00C343EE">
        <w:rPr>
          <w:rFonts w:ascii="Times New Roman" w:eastAsia="PMingLiU" w:hAnsi="Times New Roman"/>
          <w:bCs/>
          <w:sz w:val="20"/>
          <w:szCs w:val="20"/>
          <w:lang w:val="en-PH"/>
        </w:rPr>
        <w:t>11 trans) and stearic acid (C18:0).</w:t>
      </w:r>
      <w:r w:rsidRPr="00C343EE">
        <w:rPr>
          <w:rFonts w:ascii="Times New Roman" w:eastAsia="PMingLiU" w:hAnsi="Times New Roman"/>
          <w:bCs/>
          <w:sz w:val="20"/>
          <w:szCs w:val="20"/>
        </w:rPr>
        <w:t xml:space="preserve"> Three saturated fatty acids, SFAs (C14:0, C16:0, and C18:0), two methyl esters of the SFAs (C14:0 and C16:0), and one polyunsaturated fatty acid, PUFA (C18:2 </w:t>
      </w:r>
      <w:r w:rsidR="006C6704">
        <w:rPr>
          <w:rFonts w:ascii="Times New Roman" w:eastAsia="PMingLiU" w:hAnsi="Times New Roman"/>
          <w:bCs/>
          <w:sz w:val="20"/>
          <w:szCs w:val="20"/>
          <w:lang w:val="en-PH"/>
        </w:rPr>
        <w:t xml:space="preserve"> Δ </w:t>
      </w:r>
      <w:r w:rsidRPr="00C343EE">
        <w:rPr>
          <w:rFonts w:ascii="Times New Roman" w:eastAsia="PMingLiU" w:hAnsi="Times New Roman"/>
          <w:bCs/>
          <w:sz w:val="20"/>
          <w:szCs w:val="20"/>
        </w:rPr>
        <w:t>9,12 cis) were detected in the dichloromethane extracts of the berries.</w:t>
      </w:r>
    </w:p>
    <w:p w:rsidR="00C343EE" w:rsidRPr="00C343EE" w:rsidRDefault="00C343EE" w:rsidP="00C343EE">
      <w:pPr>
        <w:spacing w:after="0" w:line="240" w:lineRule="auto"/>
        <w:jc w:val="both"/>
        <w:rPr>
          <w:rFonts w:ascii="Times New Roman" w:eastAsia="PMingLiU" w:hAnsi="Times New Roman"/>
          <w:bCs/>
          <w:sz w:val="20"/>
          <w:szCs w:val="20"/>
        </w:rPr>
      </w:pPr>
    </w:p>
    <w:p w:rsidR="00C343EE" w:rsidRPr="00C343EE" w:rsidRDefault="00C343EE" w:rsidP="00C343EE">
      <w:pPr>
        <w:tabs>
          <w:tab w:val="left" w:pos="6186"/>
        </w:tabs>
        <w:spacing w:after="0" w:line="240" w:lineRule="auto"/>
        <w:jc w:val="both"/>
        <w:rPr>
          <w:rFonts w:ascii="Times New Roman" w:eastAsia="PMingLiU" w:hAnsi="Times New Roman"/>
          <w:bCs/>
          <w:sz w:val="20"/>
          <w:szCs w:val="20"/>
        </w:rPr>
      </w:pPr>
      <w:r w:rsidRPr="00C343EE">
        <w:rPr>
          <w:rFonts w:ascii="Times New Roman" w:eastAsia="PMingLiU" w:hAnsi="Times New Roman"/>
          <w:b/>
          <w:bCs/>
          <w:sz w:val="20"/>
          <w:szCs w:val="20"/>
        </w:rPr>
        <w:t xml:space="preserve">Keywords: </w:t>
      </w:r>
      <w:r w:rsidRPr="00C343EE">
        <w:rPr>
          <w:rFonts w:ascii="Times New Roman" w:eastAsia="PMingLiU" w:hAnsi="Times New Roman"/>
          <w:bCs/>
          <w:sz w:val="20"/>
          <w:szCs w:val="20"/>
        </w:rPr>
        <w:t xml:space="preserve"> </w:t>
      </w:r>
      <w:r w:rsidRPr="00C343EE">
        <w:rPr>
          <w:rFonts w:ascii="Times New Roman" w:eastAsia="PMingLiU" w:hAnsi="Times New Roman"/>
          <w:bCs/>
          <w:sz w:val="20"/>
          <w:szCs w:val="20"/>
          <w:lang w:val="en-PH"/>
        </w:rPr>
        <w:t>atomic absorption spectroscopy</w:t>
      </w:r>
      <w:r w:rsidRPr="00C343EE">
        <w:rPr>
          <w:rFonts w:ascii="Times New Roman" w:eastAsia="PMingLiU" w:hAnsi="Times New Roman"/>
          <w:bCs/>
          <w:sz w:val="20"/>
          <w:szCs w:val="20"/>
        </w:rPr>
        <w:t xml:space="preserve">, </w:t>
      </w:r>
      <w:r w:rsidRPr="00C343EE">
        <w:rPr>
          <w:rFonts w:ascii="Times New Roman" w:eastAsia="PMingLiU" w:hAnsi="Times New Roman"/>
          <w:bCs/>
          <w:i/>
          <w:sz w:val="20"/>
          <w:szCs w:val="20"/>
        </w:rPr>
        <w:t>Berberis vulgaris</w:t>
      </w:r>
      <w:r w:rsidRPr="00C343EE">
        <w:rPr>
          <w:rFonts w:ascii="Times New Roman" w:eastAsia="PMingLiU" w:hAnsi="Times New Roman"/>
          <w:bCs/>
          <w:sz w:val="20"/>
          <w:szCs w:val="20"/>
        </w:rPr>
        <w:t>, mass spectrometry</w:t>
      </w:r>
    </w:p>
    <w:p w:rsidR="00C343EE" w:rsidRPr="00C343EE" w:rsidRDefault="00C343EE" w:rsidP="00C343EE">
      <w:pPr>
        <w:tabs>
          <w:tab w:val="left" w:pos="6186"/>
        </w:tabs>
        <w:spacing w:after="0" w:line="240" w:lineRule="auto"/>
        <w:jc w:val="center"/>
        <w:rPr>
          <w:rFonts w:ascii="Times New Roman" w:eastAsia="PMingLiU" w:hAnsi="Times New Roman"/>
          <w:bCs/>
          <w:sz w:val="20"/>
          <w:szCs w:val="20"/>
        </w:rPr>
      </w:pPr>
    </w:p>
    <w:p w:rsidR="00C343EE" w:rsidRPr="00C343EE" w:rsidRDefault="00C343EE" w:rsidP="00C343EE">
      <w:pPr>
        <w:spacing w:after="0" w:line="240" w:lineRule="auto"/>
        <w:jc w:val="center"/>
        <w:rPr>
          <w:rFonts w:ascii="Times New Roman" w:eastAsia="PMingLiU" w:hAnsi="Times New Roman"/>
          <w:b/>
          <w:sz w:val="20"/>
          <w:szCs w:val="20"/>
        </w:rPr>
      </w:pPr>
      <w:r w:rsidRPr="00C343EE">
        <w:rPr>
          <w:rFonts w:ascii="Times New Roman" w:eastAsia="PMingLiU" w:hAnsi="Times New Roman"/>
          <w:b/>
          <w:sz w:val="20"/>
          <w:szCs w:val="20"/>
        </w:rPr>
        <w:t>Abstrak</w:t>
      </w:r>
    </w:p>
    <w:p w:rsidR="00C343EE" w:rsidRPr="00C343EE" w:rsidRDefault="00C343EE" w:rsidP="00C343EE">
      <w:pPr>
        <w:spacing w:after="0" w:line="240" w:lineRule="auto"/>
        <w:jc w:val="both"/>
        <w:rPr>
          <w:rFonts w:ascii="Times New Roman" w:eastAsia="PMingLiU" w:hAnsi="Times New Roman"/>
          <w:bCs/>
          <w:i/>
          <w:sz w:val="20"/>
          <w:szCs w:val="20"/>
          <w:lang w:val="ms-MY"/>
        </w:rPr>
      </w:pPr>
      <w:r w:rsidRPr="00C343EE">
        <w:rPr>
          <w:rFonts w:ascii="Times New Roman" w:eastAsia="PMingLiU" w:hAnsi="Times New Roman"/>
          <w:bCs/>
          <w:sz w:val="20"/>
          <w:szCs w:val="20"/>
          <w:lang w:val="ms-MY"/>
        </w:rPr>
        <w:t xml:space="preserve">Buah yang boleh dimakan </w:t>
      </w:r>
      <w:r w:rsidRPr="00C343EE">
        <w:rPr>
          <w:rFonts w:ascii="Times New Roman" w:eastAsia="PMingLiU" w:hAnsi="Times New Roman"/>
          <w:bCs/>
          <w:i/>
          <w:sz w:val="20"/>
          <w:szCs w:val="20"/>
          <w:lang w:val="ms-MY"/>
        </w:rPr>
        <w:t xml:space="preserve">Berberis vulgaris </w:t>
      </w:r>
      <w:r w:rsidRPr="00C343EE">
        <w:rPr>
          <w:rFonts w:ascii="Times New Roman" w:eastAsia="PMingLiU" w:hAnsi="Times New Roman"/>
          <w:bCs/>
          <w:sz w:val="20"/>
          <w:szCs w:val="20"/>
          <w:lang w:val="ms-MY"/>
        </w:rPr>
        <w:t xml:space="preserve">L. var. </w:t>
      </w:r>
      <w:r w:rsidRPr="00C343EE">
        <w:rPr>
          <w:rFonts w:ascii="Times New Roman" w:eastAsia="PMingLiU" w:hAnsi="Times New Roman"/>
          <w:bCs/>
          <w:i/>
          <w:sz w:val="20"/>
          <w:szCs w:val="20"/>
          <w:lang w:val="ms-MY"/>
        </w:rPr>
        <w:t xml:space="preserve">asperma </w:t>
      </w:r>
      <w:r w:rsidRPr="00C343EE">
        <w:rPr>
          <w:rFonts w:ascii="Times New Roman" w:eastAsia="PMingLiU" w:hAnsi="Times New Roman"/>
          <w:bCs/>
          <w:sz w:val="20"/>
          <w:szCs w:val="20"/>
          <w:lang w:val="ms-MY"/>
        </w:rPr>
        <w:t xml:space="preserve">telah diketahui mempunyai aktiviti melawan beberapa jenis mikrob and menjadi sitotoksik di dalam sesetengah titisan sel kekal. Dalam kajian ini, buah beri dianalisis untuk mencari kebarangkalian metabolit yang boleh digunakan sebagai agen penawar. Penilaian menggunakan teknik LC-UV/MS dibangunkan untuk mengesan kehadiran asid klorogenik, rutin dan berberin di dalam ekstrak beri </w:t>
      </w:r>
      <w:r w:rsidRPr="00C343EE">
        <w:rPr>
          <w:rFonts w:ascii="Times New Roman" w:eastAsia="PMingLiU" w:hAnsi="Times New Roman"/>
          <w:bCs/>
          <w:i/>
          <w:sz w:val="20"/>
          <w:szCs w:val="20"/>
          <w:lang w:val="ms-MY"/>
        </w:rPr>
        <w:t xml:space="preserve">B.vulgaris. </w:t>
      </w:r>
      <w:r w:rsidRPr="00C343EE">
        <w:rPr>
          <w:rFonts w:ascii="Times New Roman" w:eastAsia="PMingLiU" w:hAnsi="Times New Roman"/>
          <w:bCs/>
          <w:sz w:val="20"/>
          <w:szCs w:val="20"/>
          <w:lang w:val="ms-MY"/>
        </w:rPr>
        <w:t>Sampel etanolik ditemui mengandungi 47.1 mg/kg 3- (3,4 – dihidroksisinamoil) asid quinik, 0.02 mg/kg rutin dan 0.36 mg/kg berberin. Pemerangkapan aktiviti radikal bebas bagi campuran polifenolik wujud pada</w:t>
      </w:r>
      <w:r w:rsidRPr="00C343EE">
        <w:rPr>
          <w:rFonts w:ascii="Times New Roman" w:eastAsia="PMingLiU" w:hAnsi="Times New Roman"/>
          <w:bCs/>
          <w:sz w:val="20"/>
          <w:szCs w:val="20"/>
          <w:lang w:val="en-PH"/>
        </w:rPr>
        <w:t xml:space="preserve"> IC</w:t>
      </w:r>
      <w:r w:rsidRPr="00C343EE">
        <w:rPr>
          <w:rFonts w:ascii="Times New Roman" w:eastAsia="PMingLiU" w:hAnsi="Times New Roman"/>
          <w:bCs/>
          <w:sz w:val="20"/>
          <w:szCs w:val="20"/>
          <w:vertAlign w:val="subscript"/>
          <w:lang w:val="en-PH"/>
        </w:rPr>
        <w:t>50</w:t>
      </w:r>
      <w:r w:rsidRPr="00C343EE">
        <w:rPr>
          <w:rFonts w:ascii="Times New Roman" w:eastAsia="PMingLiU" w:hAnsi="Times New Roman"/>
          <w:bCs/>
          <w:sz w:val="20"/>
          <w:szCs w:val="20"/>
          <w:lang w:val="en-PH"/>
        </w:rPr>
        <w:t xml:space="preserve"> 34.48 µg/mL. </w:t>
      </w:r>
      <w:r w:rsidRPr="00C343EE">
        <w:rPr>
          <w:rFonts w:ascii="Times New Roman" w:eastAsia="PMingLiU" w:hAnsi="Times New Roman"/>
          <w:bCs/>
          <w:sz w:val="20"/>
          <w:szCs w:val="20"/>
          <w:lang w:val="ms-MY"/>
        </w:rPr>
        <w:t>Penilaian kepekatan zink dan be</w:t>
      </w:r>
      <w:r w:rsidR="00746F57">
        <w:rPr>
          <w:rFonts w:ascii="Times New Roman" w:eastAsia="PMingLiU" w:hAnsi="Times New Roman"/>
          <w:bCs/>
          <w:sz w:val="20"/>
          <w:szCs w:val="20"/>
          <w:lang w:val="ms-MY"/>
        </w:rPr>
        <w:t>si menggunakan spektrofotometri</w:t>
      </w:r>
      <w:r w:rsidRPr="00C343EE">
        <w:rPr>
          <w:rFonts w:ascii="Times New Roman" w:eastAsia="PMingLiU" w:hAnsi="Times New Roman"/>
          <w:bCs/>
          <w:sz w:val="20"/>
          <w:szCs w:val="20"/>
          <w:lang w:val="ms-MY"/>
        </w:rPr>
        <w:t xml:space="preserve"> serapan atom (AAS) telah ditentukan dengan masing-masing ialah 45.3 dan 198.1 mg/kg. Penyiasatan terhadap jujukan sebatian merupa dilakukan menggunakan pengekstrakan mikro fasa pepejal (SPME) dan pengekstrakan diklorometana sebelum di a</w:t>
      </w:r>
      <w:r w:rsidR="00746F57">
        <w:rPr>
          <w:rFonts w:ascii="Times New Roman" w:eastAsia="PMingLiU" w:hAnsi="Times New Roman"/>
          <w:bCs/>
          <w:sz w:val="20"/>
          <w:szCs w:val="20"/>
          <w:lang w:val="ms-MY"/>
        </w:rPr>
        <w:t>nalisis menggunakan kromatograf gas dilengkapi spektrometer</w:t>
      </w:r>
      <w:bookmarkStart w:id="2" w:name="_GoBack"/>
      <w:bookmarkEnd w:id="2"/>
      <w:r w:rsidRPr="00C343EE">
        <w:rPr>
          <w:rFonts w:ascii="Times New Roman" w:eastAsia="PMingLiU" w:hAnsi="Times New Roman"/>
          <w:bCs/>
          <w:sz w:val="20"/>
          <w:szCs w:val="20"/>
          <w:lang w:val="ms-MY"/>
        </w:rPr>
        <w:t xml:space="preserve"> jisim (GC-EI-MS). Analisis SPME menunjukkan kehadiran asid palmitik</w:t>
      </w:r>
      <w:r w:rsidRPr="00C343EE">
        <w:rPr>
          <w:rFonts w:ascii="Times New Roman" w:eastAsia="PMingLiU" w:hAnsi="Times New Roman"/>
          <w:bCs/>
          <w:i/>
          <w:sz w:val="20"/>
          <w:szCs w:val="20"/>
          <w:lang w:val="ms-MY"/>
        </w:rPr>
        <w:t xml:space="preserve"> </w:t>
      </w:r>
      <w:r w:rsidRPr="00C343EE">
        <w:rPr>
          <w:rFonts w:ascii="Times New Roman" w:eastAsia="PMingLiU" w:hAnsi="Times New Roman"/>
          <w:bCs/>
          <w:sz w:val="20"/>
          <w:szCs w:val="20"/>
          <w:lang w:val="en-PH"/>
        </w:rPr>
        <w:t xml:space="preserve">(C16:0), </w:t>
      </w:r>
      <w:r w:rsidRPr="00C343EE">
        <w:rPr>
          <w:rFonts w:ascii="Times New Roman" w:eastAsia="PMingLiU" w:hAnsi="Times New Roman"/>
          <w:bCs/>
          <w:sz w:val="20"/>
          <w:szCs w:val="20"/>
          <w:lang w:val="ms-MY"/>
        </w:rPr>
        <w:t xml:space="preserve">asid vasenik (C18:1 </w:t>
      </w:r>
      <w:r w:rsidR="006C6704">
        <w:rPr>
          <w:rFonts w:ascii="Times New Roman" w:eastAsia="PMingLiU" w:hAnsi="Times New Roman"/>
          <w:bCs/>
          <w:sz w:val="20"/>
          <w:szCs w:val="20"/>
          <w:lang w:val="en-PH"/>
        </w:rPr>
        <w:t xml:space="preserve">Δ </w:t>
      </w:r>
      <w:r w:rsidRPr="00C343EE">
        <w:rPr>
          <w:rFonts w:ascii="Times New Roman" w:eastAsia="PMingLiU" w:hAnsi="Times New Roman"/>
          <w:bCs/>
          <w:sz w:val="20"/>
          <w:szCs w:val="20"/>
          <w:lang w:val="ms-MY"/>
        </w:rPr>
        <w:t xml:space="preserve">11 trans) dan asid stearik (C18:0). Tiga asid lemak tepu, </w:t>
      </w:r>
      <w:r w:rsidRPr="00C343EE">
        <w:rPr>
          <w:rFonts w:ascii="Times New Roman" w:eastAsia="PMingLiU" w:hAnsi="Times New Roman"/>
          <w:bCs/>
          <w:sz w:val="20"/>
          <w:szCs w:val="20"/>
          <w:lang w:val="ms-MY"/>
        </w:rPr>
        <w:lastRenderedPageBreak/>
        <w:t xml:space="preserve">SFAs (C14:0, C16:0, dan C18:0), dua metal ester SFAs (C14:0 and C16:0), and satu asid lemak politaktepu, PUFA (C18:2 </w:t>
      </w:r>
      <w:r w:rsidR="006C6704">
        <w:rPr>
          <w:rFonts w:ascii="Times New Roman" w:eastAsia="PMingLiU" w:hAnsi="Times New Roman"/>
          <w:bCs/>
          <w:sz w:val="20"/>
          <w:szCs w:val="20"/>
          <w:lang w:val="en-PH"/>
        </w:rPr>
        <w:t xml:space="preserve">Δ </w:t>
      </w:r>
      <w:r w:rsidRPr="00C343EE">
        <w:rPr>
          <w:rFonts w:ascii="Times New Roman" w:eastAsia="PMingLiU" w:hAnsi="Times New Roman"/>
          <w:bCs/>
          <w:sz w:val="20"/>
          <w:szCs w:val="20"/>
          <w:lang w:val="ms-MY"/>
        </w:rPr>
        <w:t>9,12 cis) telah dikesan di dalam ekstrak diklorometana buah beri.</w:t>
      </w:r>
    </w:p>
    <w:p w:rsidR="00C343EE" w:rsidRPr="00C343EE" w:rsidRDefault="00C343EE" w:rsidP="00C343EE">
      <w:pPr>
        <w:spacing w:after="0" w:line="240" w:lineRule="auto"/>
        <w:jc w:val="both"/>
        <w:rPr>
          <w:rFonts w:ascii="Times New Roman" w:eastAsia="PMingLiU" w:hAnsi="Times New Roman"/>
          <w:bCs/>
          <w:sz w:val="20"/>
          <w:szCs w:val="20"/>
        </w:rPr>
      </w:pPr>
    </w:p>
    <w:p w:rsidR="00841546" w:rsidRDefault="00C343EE" w:rsidP="00C343EE">
      <w:pPr>
        <w:spacing w:after="0" w:line="240" w:lineRule="auto"/>
        <w:jc w:val="both"/>
        <w:rPr>
          <w:rFonts w:ascii="Times New Roman" w:eastAsia="PMingLiU" w:hAnsi="Times New Roman"/>
          <w:bCs/>
          <w:sz w:val="20"/>
          <w:szCs w:val="20"/>
          <w:lang w:val="ms-MY"/>
        </w:rPr>
      </w:pPr>
      <w:r w:rsidRPr="00C343EE">
        <w:rPr>
          <w:rFonts w:ascii="Times New Roman" w:eastAsia="PMingLiU" w:hAnsi="Times New Roman"/>
          <w:b/>
          <w:bCs/>
          <w:sz w:val="20"/>
          <w:szCs w:val="20"/>
          <w:lang w:val="ms-MY"/>
        </w:rPr>
        <w:t>Kata kunci:</w:t>
      </w:r>
      <w:r w:rsidRPr="00C343EE">
        <w:rPr>
          <w:rFonts w:ascii="Times New Roman" w:eastAsia="PMingLiU" w:hAnsi="Times New Roman"/>
          <w:bCs/>
          <w:sz w:val="20"/>
          <w:szCs w:val="20"/>
          <w:lang w:val="ms-MY"/>
        </w:rPr>
        <w:t xml:space="preserve">  spektroskopi serapan atom, </w:t>
      </w:r>
      <w:r w:rsidRPr="00C343EE">
        <w:rPr>
          <w:rFonts w:ascii="Times New Roman" w:eastAsia="PMingLiU" w:hAnsi="Times New Roman"/>
          <w:bCs/>
          <w:i/>
          <w:sz w:val="20"/>
          <w:szCs w:val="20"/>
          <w:lang w:val="ms-MY"/>
        </w:rPr>
        <w:t>Berberis vulgaris</w:t>
      </w:r>
      <w:r w:rsidRPr="00C343EE">
        <w:rPr>
          <w:rFonts w:ascii="Times New Roman" w:eastAsia="PMingLiU" w:hAnsi="Times New Roman"/>
          <w:bCs/>
          <w:sz w:val="20"/>
          <w:szCs w:val="20"/>
          <w:lang w:val="ms-MY"/>
        </w:rPr>
        <w:t>, spektrometri jisim</w:t>
      </w:r>
    </w:p>
    <w:p w:rsidR="00C343EE" w:rsidRDefault="00C343EE" w:rsidP="00C343EE">
      <w:pPr>
        <w:spacing w:after="0" w:line="240" w:lineRule="auto"/>
        <w:jc w:val="both"/>
        <w:rPr>
          <w:rFonts w:ascii="Times New Roman" w:eastAsia="PMingLiU" w:hAnsi="Times New Roman"/>
          <w:bCs/>
          <w:sz w:val="20"/>
          <w:szCs w:val="20"/>
          <w:lang w:val="ms-MY"/>
        </w:rPr>
      </w:pPr>
    </w:p>
    <w:p w:rsidR="00C343EE" w:rsidRPr="00F447A7" w:rsidRDefault="00C343EE" w:rsidP="00C343E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bookmarkStart w:id="3" w:name="_Hlk503363507"/>
    <w:bookmarkStart w:id="4" w:name="_Hlk503363973"/>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hAnsi="Times New Roman"/>
          <w:sz w:val="20"/>
          <w:szCs w:val="20"/>
        </w:rPr>
        <w:fldChar w:fldCharType="begin"/>
      </w:r>
      <w:r w:rsidRPr="00B437D9">
        <w:rPr>
          <w:rFonts w:ascii="Times New Roman" w:hAnsi="Times New Roman"/>
          <w:sz w:val="20"/>
          <w:szCs w:val="20"/>
        </w:rPr>
        <w:instrText xml:space="preserve"> HYPERLINK "http://www.ncbi.nlm.nih.gov/pubmed?term=Shamsa%20F%5BAuthor%5D&amp;cauthor=true&amp;cauthor_uid=10197751" </w:instrText>
      </w:r>
      <w:r w:rsidRPr="00B437D9">
        <w:rPr>
          <w:rFonts w:ascii="Times New Roman" w:hAnsi="Times New Roman"/>
          <w:sz w:val="20"/>
          <w:szCs w:val="20"/>
        </w:rPr>
        <w:fldChar w:fldCharType="separate"/>
      </w:r>
      <w:r w:rsidRPr="00B437D9">
        <w:rPr>
          <w:rFonts w:ascii="Times New Roman" w:eastAsia="PMingLiU" w:hAnsi="Times New Roman"/>
          <w:sz w:val="20"/>
          <w:szCs w:val="20"/>
        </w:rPr>
        <w:t>Shamsa, F</w:t>
      </w:r>
      <w:r w:rsidRPr="00B437D9">
        <w:rPr>
          <w:rFonts w:ascii="Times New Roman" w:eastAsia="PMingLiU" w:hAnsi="Times New Roman"/>
          <w:sz w:val="20"/>
          <w:szCs w:val="20"/>
        </w:rPr>
        <w:fldChar w:fldCharType="end"/>
      </w:r>
      <w:r w:rsidRPr="00B437D9">
        <w:rPr>
          <w:rFonts w:ascii="Times New Roman" w:eastAsia="PMingLiU" w:hAnsi="Times New Roman"/>
          <w:sz w:val="20"/>
          <w:szCs w:val="20"/>
        </w:rPr>
        <w:t>.,  </w:t>
      </w:r>
      <w:hyperlink r:id="rId6" w:history="1">
        <w:r w:rsidRPr="00B437D9">
          <w:rPr>
            <w:rFonts w:ascii="Times New Roman" w:eastAsia="PMingLiU" w:hAnsi="Times New Roman"/>
            <w:sz w:val="20"/>
            <w:szCs w:val="20"/>
          </w:rPr>
          <w:t>Ahmadiani, A</w:t>
        </w:r>
      </w:hyperlink>
      <w:r w:rsidRPr="00B437D9">
        <w:rPr>
          <w:rFonts w:ascii="Times New Roman" w:eastAsia="PMingLiU" w:hAnsi="Times New Roman"/>
          <w:sz w:val="20"/>
          <w:szCs w:val="20"/>
        </w:rPr>
        <w:t xml:space="preserve">. and </w:t>
      </w:r>
      <w:hyperlink r:id="rId7" w:history="1">
        <w:r w:rsidRPr="00B437D9">
          <w:rPr>
            <w:rFonts w:ascii="Times New Roman" w:eastAsia="PMingLiU" w:hAnsi="Times New Roman"/>
            <w:sz w:val="20"/>
            <w:szCs w:val="20"/>
          </w:rPr>
          <w:t>Khosrokhavar, R</w:t>
        </w:r>
      </w:hyperlink>
      <w:r w:rsidRPr="00B437D9">
        <w:rPr>
          <w:rFonts w:ascii="Times New Roman" w:eastAsia="PMingLiU" w:hAnsi="Times New Roman"/>
          <w:sz w:val="20"/>
          <w:szCs w:val="20"/>
        </w:rPr>
        <w:t>. (1999). Antihistaminic and anticholinergic activity of barberry fruit (</w:t>
      </w:r>
      <w:r w:rsidRPr="00B437D9">
        <w:rPr>
          <w:rFonts w:ascii="Times New Roman" w:eastAsia="PMingLiU" w:hAnsi="Times New Roman"/>
          <w:i/>
          <w:sz w:val="20"/>
          <w:szCs w:val="20"/>
        </w:rPr>
        <w:t>Berberis vulgaris</w:t>
      </w:r>
      <w:r w:rsidRPr="00B437D9">
        <w:rPr>
          <w:rFonts w:ascii="Times New Roman" w:eastAsia="PMingLiU" w:hAnsi="Times New Roman"/>
          <w:sz w:val="20"/>
          <w:szCs w:val="20"/>
        </w:rPr>
        <w:t xml:space="preserve">) in the guinea-pig ileum. </w:t>
      </w:r>
      <w:r w:rsidRPr="00B437D9">
        <w:rPr>
          <w:rFonts w:ascii="Times New Roman" w:eastAsia="PMingLiU" w:hAnsi="Times New Roman"/>
          <w:i/>
          <w:sz w:val="20"/>
          <w:szCs w:val="20"/>
        </w:rPr>
        <w:t>Journal of Ethnopharmacology</w:t>
      </w:r>
      <w:r w:rsidRPr="00B437D9">
        <w:rPr>
          <w:rFonts w:ascii="Times New Roman" w:eastAsia="PMingLiU" w:hAnsi="Times New Roman"/>
          <w:sz w:val="20"/>
          <w:szCs w:val="20"/>
        </w:rPr>
        <w:t>, 64(2):161-166.</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 xml:space="preserve">Taheri, S., Zarei A., Ashtiyani, S. C., Rezaei, A. and Zaheiri, S. (2012). Evaluation of the effects of hydroalcoholic extract of </w:t>
      </w:r>
      <w:r w:rsidRPr="00B437D9">
        <w:rPr>
          <w:rFonts w:ascii="Times New Roman" w:eastAsia="PMingLiU" w:hAnsi="Times New Roman"/>
          <w:i/>
          <w:sz w:val="20"/>
          <w:szCs w:val="20"/>
        </w:rPr>
        <w:t>Berberis vulgaris</w:t>
      </w:r>
      <w:r w:rsidRPr="00B437D9">
        <w:rPr>
          <w:rFonts w:ascii="Times New Roman" w:eastAsia="PMingLiU" w:hAnsi="Times New Roman"/>
          <w:sz w:val="20"/>
          <w:szCs w:val="20"/>
        </w:rPr>
        <w:t xml:space="preserve"> root on the activity of liver enzymes in male hypercholesterolemic rats. </w:t>
      </w:r>
      <w:r w:rsidRPr="00B437D9">
        <w:rPr>
          <w:rFonts w:ascii="Times New Roman" w:eastAsia="PMingLiU" w:hAnsi="Times New Roman"/>
          <w:i/>
          <w:sz w:val="20"/>
          <w:szCs w:val="20"/>
        </w:rPr>
        <w:t>Avicenna Journal of Phytomedicine</w:t>
      </w:r>
      <w:r w:rsidRPr="00B437D9">
        <w:rPr>
          <w:rFonts w:ascii="Times New Roman" w:eastAsia="PMingLiU" w:hAnsi="Times New Roman"/>
          <w:sz w:val="20"/>
          <w:szCs w:val="20"/>
        </w:rPr>
        <w:t>, 2(3): 153-161.</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 xml:space="preserve">Koncic, M. Z., Kremer, D., Karlovic, K. and Kosalec, I. (2010). Evaluation of antioxidant activities and phenolic content of </w:t>
      </w:r>
      <w:r w:rsidRPr="00B437D9">
        <w:rPr>
          <w:rFonts w:ascii="Times New Roman" w:eastAsia="PMingLiU" w:hAnsi="Times New Roman"/>
          <w:i/>
          <w:sz w:val="20"/>
          <w:szCs w:val="20"/>
        </w:rPr>
        <w:t>Berberis vulgaris</w:t>
      </w:r>
      <w:r w:rsidRPr="00B437D9">
        <w:rPr>
          <w:rFonts w:ascii="Times New Roman" w:eastAsia="PMingLiU" w:hAnsi="Times New Roman"/>
          <w:sz w:val="20"/>
          <w:szCs w:val="20"/>
        </w:rPr>
        <w:t xml:space="preserve"> L. and </w:t>
      </w:r>
      <w:r w:rsidRPr="00B437D9">
        <w:rPr>
          <w:rFonts w:ascii="Times New Roman" w:eastAsia="PMingLiU" w:hAnsi="Times New Roman"/>
          <w:i/>
          <w:sz w:val="20"/>
          <w:szCs w:val="20"/>
        </w:rPr>
        <w:t>Berberis croatica</w:t>
      </w:r>
      <w:r w:rsidRPr="00B437D9">
        <w:rPr>
          <w:rFonts w:ascii="Times New Roman" w:eastAsia="PMingLiU" w:hAnsi="Times New Roman"/>
          <w:sz w:val="20"/>
          <w:szCs w:val="20"/>
        </w:rPr>
        <w:t xml:space="preserve"> Horvat</w:t>
      </w:r>
      <w:r w:rsidRPr="00B437D9">
        <w:rPr>
          <w:rFonts w:ascii="Times New Roman" w:eastAsia="PMingLiU" w:hAnsi="Times New Roman"/>
          <w:i/>
          <w:sz w:val="20"/>
          <w:szCs w:val="20"/>
        </w:rPr>
        <w:t>. Food and Chemical Toxicology</w:t>
      </w:r>
      <w:r w:rsidRPr="00B437D9">
        <w:rPr>
          <w:rFonts w:ascii="Times New Roman" w:eastAsia="PMingLiU" w:hAnsi="Times New Roman"/>
          <w:sz w:val="20"/>
          <w:szCs w:val="20"/>
        </w:rPr>
        <w:t>, 48: 2176-2180.</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 xml:space="preserve">Sikder, A. A., Kuddus, R., Kasier, A. and Arshad, W. M. (2010). In vitro membrane stabilizing activity, total phenolic content, free radical scavenging and cytotoxic properties of </w:t>
      </w:r>
      <w:r w:rsidRPr="00B437D9">
        <w:rPr>
          <w:rFonts w:ascii="Times New Roman" w:eastAsia="PMingLiU" w:hAnsi="Times New Roman"/>
          <w:i/>
          <w:sz w:val="20"/>
          <w:szCs w:val="20"/>
        </w:rPr>
        <w:t>Aphanamixis polystachya</w:t>
      </w:r>
      <w:r w:rsidRPr="00B437D9">
        <w:rPr>
          <w:rFonts w:ascii="Times New Roman" w:eastAsia="PMingLiU" w:hAnsi="Times New Roman"/>
          <w:sz w:val="20"/>
          <w:szCs w:val="20"/>
        </w:rPr>
        <w:t xml:space="preserve"> (Wall.). </w:t>
      </w:r>
      <w:r w:rsidRPr="00B437D9">
        <w:rPr>
          <w:rFonts w:ascii="Times New Roman" w:eastAsia="PMingLiU" w:hAnsi="Times New Roman"/>
          <w:i/>
          <w:sz w:val="20"/>
          <w:szCs w:val="20"/>
        </w:rPr>
        <w:t>Bangladesh Pharmaceutical Journal</w:t>
      </w:r>
      <w:r w:rsidRPr="00B437D9">
        <w:rPr>
          <w:rFonts w:ascii="Times New Roman" w:eastAsia="PMingLiU" w:hAnsi="Times New Roman"/>
          <w:sz w:val="20"/>
          <w:szCs w:val="20"/>
        </w:rPr>
        <w:t>, 13(2): 55-59.</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Hasler, A., Sticher, O. and Meier, J. (1992). Identification and determination of the flavonoids from </w:t>
      </w:r>
      <w:r w:rsidRPr="00B437D9">
        <w:rPr>
          <w:rFonts w:ascii="Times New Roman" w:eastAsia="PMingLiU" w:hAnsi="Times New Roman"/>
          <w:i/>
          <w:sz w:val="20"/>
          <w:szCs w:val="20"/>
        </w:rPr>
        <w:t>Ginkgo biloba</w:t>
      </w:r>
      <w:r w:rsidRPr="00B437D9">
        <w:rPr>
          <w:rFonts w:ascii="Times New Roman" w:eastAsia="PMingLiU" w:hAnsi="Times New Roman"/>
          <w:sz w:val="20"/>
          <w:szCs w:val="20"/>
        </w:rPr>
        <w:t xml:space="preserve"> by high-performance liquid chromatography. </w:t>
      </w:r>
      <w:r w:rsidRPr="00B437D9">
        <w:rPr>
          <w:rFonts w:ascii="Times New Roman" w:eastAsia="PMingLiU" w:hAnsi="Times New Roman"/>
          <w:i/>
          <w:sz w:val="20"/>
          <w:szCs w:val="20"/>
        </w:rPr>
        <w:t>Journal of Chromatography</w:t>
      </w:r>
      <w:r w:rsidRPr="00B437D9">
        <w:rPr>
          <w:rFonts w:ascii="Times New Roman" w:eastAsia="PMingLiU" w:hAnsi="Times New Roman"/>
          <w:sz w:val="20"/>
          <w:szCs w:val="20"/>
        </w:rPr>
        <w:t>, 605(1): 41–48.</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 xml:space="preserve">Olszewska, M. (2007). Quantitative HPLC analysis of flavonoids and chlorogenic acid in the leaves and Inflorescences of </w:t>
      </w:r>
      <w:r w:rsidRPr="00B437D9">
        <w:rPr>
          <w:rFonts w:ascii="Times New Roman" w:eastAsia="PMingLiU" w:hAnsi="Times New Roman"/>
          <w:i/>
          <w:sz w:val="20"/>
          <w:szCs w:val="20"/>
        </w:rPr>
        <w:t>Prunus serotina</w:t>
      </w:r>
      <w:r w:rsidRPr="00B437D9">
        <w:rPr>
          <w:rFonts w:ascii="Times New Roman" w:eastAsia="PMingLiU" w:hAnsi="Times New Roman"/>
          <w:sz w:val="20"/>
          <w:szCs w:val="20"/>
        </w:rPr>
        <w:t xml:space="preserve"> Ehrh</w:t>
      </w:r>
      <w:r w:rsidRPr="00B437D9">
        <w:rPr>
          <w:rFonts w:ascii="Times New Roman" w:eastAsia="PMingLiU" w:hAnsi="Times New Roman"/>
          <w:i/>
          <w:sz w:val="20"/>
          <w:szCs w:val="20"/>
        </w:rPr>
        <w:t>. Acta Chromatographica</w:t>
      </w:r>
      <w:r w:rsidRPr="00B437D9">
        <w:rPr>
          <w:rFonts w:ascii="Times New Roman" w:eastAsia="PMingLiU" w:hAnsi="Times New Roman"/>
          <w:sz w:val="20"/>
          <w:szCs w:val="20"/>
        </w:rPr>
        <w:t>, 19: 253-269.</w:t>
      </w:r>
    </w:p>
    <w:p w:rsidR="00C343EE" w:rsidRPr="00C343EE"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 xml:space="preserve">Gordon, M. H. and Wishart, K. (2010). Effects of chlorogenic acid and bovine serum albumin on the oxidative stability of low density lipoproteins </w:t>
      </w:r>
      <w:r w:rsidRPr="00B437D9">
        <w:rPr>
          <w:rFonts w:ascii="Times New Roman" w:eastAsia="PMingLiU" w:hAnsi="Times New Roman"/>
          <w:i/>
          <w:sz w:val="20"/>
          <w:szCs w:val="20"/>
        </w:rPr>
        <w:t>in vitro</w:t>
      </w:r>
      <w:r w:rsidRPr="00B437D9">
        <w:rPr>
          <w:rFonts w:ascii="Times New Roman" w:eastAsia="PMingLiU" w:hAnsi="Times New Roman"/>
          <w:sz w:val="20"/>
          <w:szCs w:val="20"/>
        </w:rPr>
        <w:t xml:space="preserve">. </w:t>
      </w:r>
      <w:r w:rsidRPr="00B437D9">
        <w:rPr>
          <w:rFonts w:ascii="Times New Roman" w:eastAsia="PMingLiU" w:hAnsi="Times New Roman"/>
          <w:i/>
          <w:sz w:val="20"/>
          <w:szCs w:val="20"/>
        </w:rPr>
        <w:t>Journal of Agriculture Food Chemistry</w:t>
      </w:r>
      <w:r w:rsidRPr="00B437D9">
        <w:rPr>
          <w:rFonts w:ascii="Times New Roman" w:eastAsia="PMingLiU" w:hAnsi="Times New Roman"/>
          <w:sz w:val="20"/>
          <w:szCs w:val="20"/>
        </w:rPr>
        <w:t>, 58: 5828-5833.</w:t>
      </w:r>
      <w:bookmarkStart w:id="5" w:name="_Hlk502604558"/>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 xml:space="preserve">Boettler, U., Volz Pahlke, N. G., Teller, N., Kotyczka, C., Somoza, V., Stiebitz, H., Bytof, G., Lantz, I., Lang, R., Hofmann, T. and Marko, D. (2011). Coffees rich in chlorogenic acid or N-methylpyridinium induce chemopreventive phase II-enzymes via the Nrf2/ARE pathway </w:t>
      </w:r>
      <w:r w:rsidRPr="00B437D9">
        <w:rPr>
          <w:rFonts w:ascii="Times New Roman" w:eastAsia="PMingLiU" w:hAnsi="Times New Roman"/>
          <w:i/>
          <w:sz w:val="20"/>
          <w:szCs w:val="20"/>
        </w:rPr>
        <w:t>in vitro</w:t>
      </w:r>
      <w:r w:rsidRPr="00B437D9">
        <w:rPr>
          <w:rFonts w:ascii="Times New Roman" w:eastAsia="PMingLiU" w:hAnsi="Times New Roman"/>
          <w:sz w:val="20"/>
          <w:szCs w:val="20"/>
        </w:rPr>
        <w:t xml:space="preserve"> and </w:t>
      </w:r>
      <w:r w:rsidRPr="00B437D9">
        <w:rPr>
          <w:rFonts w:ascii="Times New Roman" w:eastAsia="PMingLiU" w:hAnsi="Times New Roman"/>
          <w:i/>
          <w:sz w:val="20"/>
          <w:szCs w:val="20"/>
        </w:rPr>
        <w:t>in vivo</w:t>
      </w:r>
      <w:r w:rsidRPr="00B437D9">
        <w:rPr>
          <w:rFonts w:ascii="Times New Roman" w:eastAsia="PMingLiU" w:hAnsi="Times New Roman"/>
          <w:sz w:val="20"/>
          <w:szCs w:val="20"/>
        </w:rPr>
        <w:t xml:space="preserve">. </w:t>
      </w:r>
      <w:r w:rsidRPr="00B437D9">
        <w:rPr>
          <w:rFonts w:ascii="Times New Roman" w:eastAsia="PMingLiU" w:hAnsi="Times New Roman"/>
          <w:i/>
          <w:sz w:val="20"/>
          <w:szCs w:val="20"/>
        </w:rPr>
        <w:t>Molecular Nutrition and Food Research</w:t>
      </w:r>
      <w:r w:rsidRPr="00B437D9">
        <w:rPr>
          <w:rFonts w:ascii="Times New Roman" w:eastAsia="PMingLiU" w:hAnsi="Times New Roman"/>
          <w:sz w:val="20"/>
          <w:szCs w:val="20"/>
        </w:rPr>
        <w:t>, 55: 798–802.</w:t>
      </w:r>
      <w:bookmarkEnd w:id="5"/>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 xml:space="preserve">Wang, G. F., Shi, L. P., Ren, Y. D., Liu, Q. F., Liu, H. F., Zhang, R. J., Li, Z., Zhu, F. H., He, P. L., Tang, W., Tao, P. Z., Li, C., Zhao, W. M. and Zuo, J. P. (2009). Anti-hepatitis B virus activity of chlorogenic acid, quinic acid and caffeic acid </w:t>
      </w:r>
      <w:r w:rsidRPr="00B437D9">
        <w:rPr>
          <w:rFonts w:ascii="Times New Roman" w:eastAsia="PMingLiU" w:hAnsi="Times New Roman"/>
          <w:i/>
          <w:sz w:val="20"/>
          <w:szCs w:val="20"/>
        </w:rPr>
        <w:t>in vivo</w:t>
      </w:r>
      <w:r w:rsidRPr="00B437D9">
        <w:rPr>
          <w:rFonts w:ascii="Times New Roman" w:eastAsia="PMingLiU" w:hAnsi="Times New Roman"/>
          <w:sz w:val="20"/>
          <w:szCs w:val="20"/>
        </w:rPr>
        <w:t xml:space="preserve"> and </w:t>
      </w:r>
      <w:r w:rsidRPr="00B437D9">
        <w:rPr>
          <w:rFonts w:ascii="Times New Roman" w:eastAsia="PMingLiU" w:hAnsi="Times New Roman"/>
          <w:i/>
          <w:sz w:val="20"/>
          <w:szCs w:val="20"/>
        </w:rPr>
        <w:t>in vitro</w:t>
      </w:r>
      <w:r w:rsidRPr="00B437D9">
        <w:rPr>
          <w:rFonts w:ascii="Times New Roman" w:eastAsia="PMingLiU" w:hAnsi="Times New Roman"/>
          <w:sz w:val="20"/>
          <w:szCs w:val="20"/>
        </w:rPr>
        <w:t xml:space="preserve">. </w:t>
      </w:r>
      <w:r w:rsidRPr="00B437D9">
        <w:rPr>
          <w:rFonts w:ascii="Times New Roman" w:eastAsia="PMingLiU" w:hAnsi="Times New Roman"/>
          <w:i/>
          <w:sz w:val="20"/>
          <w:szCs w:val="20"/>
        </w:rPr>
        <w:t>Antiviral Research</w:t>
      </w:r>
      <w:r w:rsidRPr="00B437D9">
        <w:rPr>
          <w:rFonts w:ascii="Times New Roman" w:eastAsia="PMingLiU" w:hAnsi="Times New Roman"/>
          <w:sz w:val="20"/>
          <w:szCs w:val="20"/>
        </w:rPr>
        <w:t>, 83: 186-190.</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 xml:space="preserve">Sato, Y., Itagaki, S., Kurokawa, T., Ogura, J., Kobayashi, M., Hirano, T., Sugawara, M. and Iseki, K. (2011).  </w:t>
      </w:r>
      <w:r w:rsidRPr="00B437D9">
        <w:rPr>
          <w:rFonts w:ascii="Times New Roman" w:eastAsia="PMingLiU" w:hAnsi="Times New Roman"/>
          <w:i/>
          <w:sz w:val="20"/>
          <w:szCs w:val="20"/>
        </w:rPr>
        <w:t>In vitro</w:t>
      </w:r>
      <w:r w:rsidRPr="00B437D9">
        <w:rPr>
          <w:rFonts w:ascii="Times New Roman" w:eastAsia="PMingLiU" w:hAnsi="Times New Roman"/>
          <w:sz w:val="20"/>
          <w:szCs w:val="20"/>
        </w:rPr>
        <w:t xml:space="preserve"> and </w:t>
      </w:r>
      <w:r w:rsidRPr="00B437D9">
        <w:rPr>
          <w:rFonts w:ascii="Times New Roman" w:eastAsia="PMingLiU" w:hAnsi="Times New Roman"/>
          <w:i/>
          <w:sz w:val="20"/>
          <w:szCs w:val="20"/>
        </w:rPr>
        <w:t>in vivo</w:t>
      </w:r>
      <w:r w:rsidRPr="00B437D9">
        <w:rPr>
          <w:rFonts w:ascii="Times New Roman" w:eastAsia="PMingLiU" w:hAnsi="Times New Roman"/>
          <w:sz w:val="20"/>
          <w:szCs w:val="20"/>
        </w:rPr>
        <w:t xml:space="preserve"> antioxidant properties of chlorogenic acid and caffeic acid. </w:t>
      </w:r>
      <w:r w:rsidRPr="00B437D9">
        <w:rPr>
          <w:rFonts w:ascii="Times New Roman" w:eastAsia="PMingLiU" w:hAnsi="Times New Roman"/>
          <w:i/>
          <w:sz w:val="20"/>
          <w:szCs w:val="20"/>
        </w:rPr>
        <w:t>International Journal of Pharmaceutics</w:t>
      </w:r>
      <w:r w:rsidRPr="00B437D9">
        <w:rPr>
          <w:rFonts w:ascii="Times New Roman" w:eastAsia="PMingLiU" w:hAnsi="Times New Roman"/>
          <w:sz w:val="20"/>
          <w:szCs w:val="20"/>
        </w:rPr>
        <w:t>, 403: 136–138.</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 xml:space="preserve">Gordon, T., Perlstein, B., Houbara, O., Felner, I., Banin, E. and Margel, S. (2011). Synthesis and characterization of zinc/iron oxide composite nanoparticles and their antibacterial properties. </w:t>
      </w:r>
      <w:r w:rsidRPr="00B437D9">
        <w:rPr>
          <w:rFonts w:ascii="Times New Roman" w:eastAsia="PMingLiU" w:hAnsi="Times New Roman"/>
          <w:i/>
          <w:sz w:val="20"/>
          <w:szCs w:val="20"/>
        </w:rPr>
        <w:t xml:space="preserve">Colloids and Surfaces A: Physicochemical Engineering Aspects, </w:t>
      </w:r>
      <w:r w:rsidRPr="00B437D9">
        <w:rPr>
          <w:rFonts w:ascii="Times New Roman" w:eastAsia="PMingLiU" w:hAnsi="Times New Roman"/>
          <w:sz w:val="20"/>
          <w:szCs w:val="20"/>
        </w:rPr>
        <w:t>374(1-3): 1-8.</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 xml:space="preserve">Tang, Y. Z. and Liu, Z. Q. (2008). Chemical kinetic behavior of chlorogenic acid in protecting erythrocyte and DNA against radical-induced oxidation. </w:t>
      </w:r>
      <w:r w:rsidRPr="00B437D9">
        <w:rPr>
          <w:rFonts w:ascii="Times New Roman" w:eastAsia="PMingLiU" w:hAnsi="Times New Roman"/>
          <w:i/>
          <w:sz w:val="20"/>
          <w:szCs w:val="20"/>
        </w:rPr>
        <w:t>Journal of Agriculture and Food Chemistry</w:t>
      </w:r>
      <w:r w:rsidRPr="00B437D9">
        <w:rPr>
          <w:rFonts w:ascii="Times New Roman" w:eastAsia="PMingLiU" w:hAnsi="Times New Roman"/>
          <w:sz w:val="20"/>
          <w:szCs w:val="20"/>
        </w:rPr>
        <w:t>, 56: 11025–11029.</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bCs/>
          <w:sz w:val="20"/>
          <w:szCs w:val="20"/>
          <w:lang w:val="en-PH"/>
        </w:rPr>
        <w:t xml:space="preserve">Khan, M. M., Ahmad, A., Ishrat, T., Khuwaja, G., Srivastawa, P., Khan, M. B., Raza, S. S., Javed, H., Vaibhav, K., Khan, A. and Islam, F. (2009). Rutin protects the neural damage induced by transient focal ischemia in rats. </w:t>
      </w:r>
      <w:r w:rsidRPr="00B437D9">
        <w:rPr>
          <w:rFonts w:ascii="Times New Roman" w:eastAsia="PMingLiU" w:hAnsi="Times New Roman"/>
          <w:bCs/>
          <w:i/>
          <w:sz w:val="20"/>
          <w:szCs w:val="20"/>
          <w:lang w:val="en-PH"/>
        </w:rPr>
        <w:t>Brain Research</w:t>
      </w:r>
      <w:r w:rsidRPr="00B437D9">
        <w:rPr>
          <w:rFonts w:ascii="Times New Roman" w:eastAsia="PMingLiU" w:hAnsi="Times New Roman"/>
          <w:bCs/>
          <w:sz w:val="20"/>
          <w:szCs w:val="20"/>
          <w:lang w:val="en-PH"/>
        </w:rPr>
        <w:t>, 1292: 123-135.</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bCs/>
          <w:sz w:val="20"/>
          <w:szCs w:val="20"/>
          <w:lang w:val="en-PH"/>
        </w:rPr>
        <w:t xml:space="preserve">Lin, J. P., Yang, J. S., Lin, J. J., Lai, K. C., Lu, H. F., Ma, C. Y., Sai-Chuen W. R. Wu, K. C., Chueh, F. S., Gibson, W. and Chung, J. G. (2012). Rutin inhibits human leukemia tumor growth in a murine xenograft model in vivo. </w:t>
      </w:r>
      <w:r w:rsidRPr="00B437D9">
        <w:rPr>
          <w:rFonts w:ascii="Times New Roman" w:eastAsia="PMingLiU" w:hAnsi="Times New Roman"/>
          <w:bCs/>
          <w:i/>
          <w:sz w:val="20"/>
          <w:szCs w:val="20"/>
          <w:lang w:val="en-PH"/>
        </w:rPr>
        <w:t>Environmental Toxicology</w:t>
      </w:r>
      <w:r w:rsidRPr="00B437D9">
        <w:rPr>
          <w:rFonts w:ascii="Times New Roman" w:eastAsia="PMingLiU" w:hAnsi="Times New Roman"/>
          <w:bCs/>
          <w:sz w:val="20"/>
          <w:szCs w:val="20"/>
          <w:lang w:val="en-PH"/>
        </w:rPr>
        <w:t>, 27(8): 480-484.</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hAnsi="Times New Roman"/>
          <w:sz w:val="20"/>
          <w:szCs w:val="20"/>
        </w:rPr>
        <w:t xml:space="preserve">Iawasa, K., Kamigauchi, M., Suguira, M., Nanba, H. (1997). Antimicrobial activity of some 13-alkyl a substituted protoberberinium salts. </w:t>
      </w:r>
      <w:r w:rsidRPr="00B437D9">
        <w:rPr>
          <w:rFonts w:ascii="Times New Roman" w:hAnsi="Times New Roman"/>
          <w:i/>
          <w:sz w:val="20"/>
          <w:szCs w:val="20"/>
        </w:rPr>
        <w:t>Planta Medica</w:t>
      </w:r>
      <w:r w:rsidRPr="00B437D9">
        <w:rPr>
          <w:rFonts w:ascii="Times New Roman" w:hAnsi="Times New Roman"/>
          <w:sz w:val="20"/>
          <w:szCs w:val="20"/>
        </w:rPr>
        <w:t xml:space="preserve">, 63(3): 196-198. </w:t>
      </w:r>
      <w:bookmarkStart w:id="6" w:name="_Hlk503365574"/>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hAnsi="Times New Roman"/>
          <w:sz w:val="20"/>
          <w:szCs w:val="20"/>
        </w:rPr>
        <w:t xml:space="preserve">Muller, K., Ziereis, K. and Gawlik, I. (1995). The antisporatic </w:t>
      </w:r>
      <w:r w:rsidRPr="00B437D9">
        <w:rPr>
          <w:rFonts w:ascii="Times New Roman" w:hAnsi="Times New Roman"/>
          <w:i/>
          <w:sz w:val="20"/>
          <w:szCs w:val="20"/>
        </w:rPr>
        <w:t>Mahonia aquifolium</w:t>
      </w:r>
      <w:r w:rsidRPr="00B437D9">
        <w:rPr>
          <w:rFonts w:ascii="Times New Roman" w:hAnsi="Times New Roman"/>
          <w:sz w:val="20"/>
          <w:szCs w:val="20"/>
        </w:rPr>
        <w:t xml:space="preserve"> and its active constituents; II. Antiproliferative against cell growth of human keratinocytes. </w:t>
      </w:r>
      <w:r w:rsidRPr="00B437D9">
        <w:rPr>
          <w:rFonts w:ascii="Times New Roman" w:hAnsi="Times New Roman"/>
          <w:i/>
          <w:sz w:val="20"/>
          <w:szCs w:val="20"/>
        </w:rPr>
        <w:t>Planta Medica</w:t>
      </w:r>
      <w:r w:rsidRPr="00B437D9">
        <w:rPr>
          <w:rFonts w:ascii="Times New Roman" w:hAnsi="Times New Roman"/>
          <w:sz w:val="20"/>
          <w:szCs w:val="20"/>
        </w:rPr>
        <w:t>, 61(1): 74-75.</w:t>
      </w:r>
      <w:bookmarkStart w:id="7" w:name="_Hlk503365599"/>
      <w:bookmarkEnd w:id="6"/>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bCs/>
          <w:sz w:val="20"/>
          <w:szCs w:val="20"/>
          <w:lang w:val="en-PH"/>
        </w:rPr>
        <w:t xml:space="preserve">Kettman, V., Kosfalova, D., Jantova, S., Cernakova, M. and Drimal, J. (2004). </w:t>
      </w:r>
      <w:r w:rsidRPr="00B437D9">
        <w:rPr>
          <w:rFonts w:ascii="Times New Roman" w:eastAsia="PMingLiU" w:hAnsi="Times New Roman"/>
          <w:bCs/>
          <w:i/>
          <w:sz w:val="20"/>
          <w:szCs w:val="20"/>
          <w:lang w:val="en-PH"/>
        </w:rPr>
        <w:t>In vitro</w:t>
      </w:r>
      <w:r w:rsidRPr="00B437D9">
        <w:rPr>
          <w:rFonts w:ascii="Times New Roman" w:eastAsia="PMingLiU" w:hAnsi="Times New Roman"/>
          <w:bCs/>
          <w:sz w:val="20"/>
          <w:szCs w:val="20"/>
          <w:lang w:val="en-PH"/>
        </w:rPr>
        <w:t xml:space="preserve"> cytotoxicity of berberine against HeLa and L1210 cancer cell lines. </w:t>
      </w:r>
      <w:r w:rsidRPr="00B437D9">
        <w:rPr>
          <w:rFonts w:ascii="Times New Roman" w:eastAsia="PMingLiU" w:hAnsi="Times New Roman"/>
          <w:bCs/>
          <w:i/>
          <w:sz w:val="20"/>
          <w:szCs w:val="20"/>
          <w:lang w:val="en-PH"/>
        </w:rPr>
        <w:t>Pharmazie</w:t>
      </w:r>
      <w:r w:rsidRPr="00B437D9">
        <w:rPr>
          <w:rFonts w:ascii="Times New Roman" w:eastAsia="PMingLiU" w:hAnsi="Times New Roman"/>
          <w:bCs/>
          <w:sz w:val="20"/>
          <w:szCs w:val="20"/>
          <w:lang w:val="en-PH"/>
        </w:rPr>
        <w:t xml:space="preserve">, 59(7): 548-551. </w:t>
      </w:r>
      <w:bookmarkEnd w:id="7"/>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 xml:space="preserve">Ling, C. A., Mahmud, S., Khadijah, S., Bakhori, M., Sirelkhatim, A., Mohamad, D., Hasan, H., Seeni, A. and Rahman, R. A. (2013). Antibacterial responses of zinc oxide structures against </w:t>
      </w:r>
      <w:r w:rsidRPr="00B437D9">
        <w:rPr>
          <w:rFonts w:ascii="Times New Roman" w:eastAsia="PMingLiU" w:hAnsi="Times New Roman"/>
          <w:i/>
          <w:sz w:val="20"/>
          <w:szCs w:val="20"/>
        </w:rPr>
        <w:t>Staphylococcus aureus</w:t>
      </w:r>
      <w:r w:rsidRPr="00B437D9">
        <w:rPr>
          <w:rFonts w:ascii="Times New Roman" w:eastAsia="PMingLiU" w:hAnsi="Times New Roman"/>
          <w:sz w:val="20"/>
          <w:szCs w:val="20"/>
        </w:rPr>
        <w:t xml:space="preserve">, </w:t>
      </w:r>
      <w:r w:rsidRPr="00B437D9">
        <w:rPr>
          <w:rFonts w:ascii="Times New Roman" w:eastAsia="PMingLiU" w:hAnsi="Times New Roman"/>
          <w:i/>
          <w:sz w:val="20"/>
          <w:szCs w:val="20"/>
        </w:rPr>
        <w:t>Pseudomonas aeruginosa</w:t>
      </w:r>
      <w:r w:rsidRPr="00B437D9">
        <w:rPr>
          <w:rFonts w:ascii="Times New Roman" w:eastAsia="PMingLiU" w:hAnsi="Times New Roman"/>
          <w:sz w:val="20"/>
          <w:szCs w:val="20"/>
        </w:rPr>
        <w:t xml:space="preserve"> and </w:t>
      </w:r>
      <w:r w:rsidRPr="00B437D9">
        <w:rPr>
          <w:rFonts w:ascii="Times New Roman" w:eastAsia="PMingLiU" w:hAnsi="Times New Roman"/>
          <w:i/>
          <w:sz w:val="20"/>
          <w:szCs w:val="20"/>
        </w:rPr>
        <w:t>Streptococcus pyogenes</w:t>
      </w:r>
      <w:r w:rsidRPr="00B437D9">
        <w:rPr>
          <w:rFonts w:ascii="Times New Roman" w:eastAsia="PMingLiU" w:hAnsi="Times New Roman"/>
          <w:sz w:val="20"/>
          <w:szCs w:val="20"/>
        </w:rPr>
        <w:t xml:space="preserve">. </w:t>
      </w:r>
      <w:r w:rsidRPr="00B437D9">
        <w:rPr>
          <w:rFonts w:ascii="Times New Roman" w:eastAsia="PMingLiU" w:hAnsi="Times New Roman"/>
          <w:i/>
          <w:sz w:val="20"/>
          <w:szCs w:val="20"/>
        </w:rPr>
        <w:t>Ceramics International</w:t>
      </w:r>
      <w:r w:rsidRPr="00B437D9">
        <w:rPr>
          <w:rFonts w:ascii="Times New Roman" w:eastAsia="PMingLiU" w:hAnsi="Times New Roman"/>
          <w:sz w:val="20"/>
          <w:szCs w:val="20"/>
        </w:rPr>
        <w:t>, 40(2): 2993–3001.</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bCs/>
          <w:sz w:val="20"/>
          <w:szCs w:val="20"/>
          <w:lang w:val="en-PH"/>
        </w:rPr>
        <w:lastRenderedPageBreak/>
        <w:t xml:space="preserve">Gordon, T., Perlstein, B., Houbara, O., Felner, I., Banin, E. and Margel, S. (2011). Synthesis and characterization of zinc/iron oxide composite nanoparticles and their antibacterial properties. </w:t>
      </w:r>
      <w:r w:rsidRPr="00B437D9">
        <w:rPr>
          <w:rFonts w:ascii="Times New Roman" w:eastAsia="PMingLiU" w:hAnsi="Times New Roman"/>
          <w:bCs/>
          <w:i/>
          <w:sz w:val="20"/>
          <w:szCs w:val="20"/>
          <w:lang w:val="en-PH"/>
        </w:rPr>
        <w:t>Colloids and Surfaces A: Physicochemical and Engineering Aspects</w:t>
      </w:r>
      <w:r w:rsidRPr="00B437D9">
        <w:rPr>
          <w:rFonts w:ascii="Times New Roman" w:eastAsia="PMingLiU" w:hAnsi="Times New Roman"/>
          <w:bCs/>
          <w:sz w:val="20"/>
          <w:szCs w:val="20"/>
          <w:lang w:val="en-PH"/>
        </w:rPr>
        <w:t xml:space="preserve">, 374(1-3): 1-8. </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Isaacs, C. E., Kim, K. S. and Thormar, H. (1994). Inactivation of enveloped viruses in human bodily fluids by purified lipids</w:t>
      </w:r>
      <w:r w:rsidRPr="00B437D9">
        <w:rPr>
          <w:rFonts w:ascii="Times New Roman" w:eastAsia="PMingLiU" w:hAnsi="Times New Roman"/>
          <w:i/>
          <w:sz w:val="20"/>
          <w:szCs w:val="20"/>
        </w:rPr>
        <w:t>.  Annals of the New York Academy of Sciences</w:t>
      </w:r>
      <w:r w:rsidRPr="00B437D9">
        <w:rPr>
          <w:rFonts w:ascii="Times New Roman" w:eastAsia="PMingLiU" w:hAnsi="Times New Roman"/>
          <w:sz w:val="20"/>
          <w:szCs w:val="20"/>
        </w:rPr>
        <w:t>, 724: 457–464.</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 xml:space="preserve">Petschow, B. W., Batema, R. P. and Ford L. L. (1996). Susceptibility of </w:t>
      </w:r>
      <w:r w:rsidRPr="00B437D9">
        <w:rPr>
          <w:rFonts w:ascii="Times New Roman" w:eastAsia="PMingLiU" w:hAnsi="Times New Roman"/>
          <w:i/>
          <w:sz w:val="20"/>
          <w:szCs w:val="20"/>
        </w:rPr>
        <w:t>Helicobacter pylori</w:t>
      </w:r>
      <w:r w:rsidRPr="00B437D9">
        <w:rPr>
          <w:rFonts w:ascii="Times New Roman" w:eastAsia="PMingLiU" w:hAnsi="Times New Roman"/>
          <w:sz w:val="20"/>
          <w:szCs w:val="20"/>
        </w:rPr>
        <w:t xml:space="preserve"> to bactericidal properties of medium-chain monoglycerides and free fatty acids. </w:t>
      </w:r>
      <w:r w:rsidRPr="00B437D9">
        <w:rPr>
          <w:rFonts w:ascii="Times New Roman" w:eastAsia="PMingLiU" w:hAnsi="Times New Roman"/>
          <w:i/>
          <w:sz w:val="20"/>
          <w:szCs w:val="20"/>
        </w:rPr>
        <w:t>Antimicrobial Agents and Chemotherapy</w:t>
      </w:r>
      <w:r w:rsidRPr="00B437D9">
        <w:rPr>
          <w:rFonts w:ascii="Times New Roman" w:eastAsia="PMingLiU" w:hAnsi="Times New Roman"/>
          <w:sz w:val="20"/>
          <w:szCs w:val="20"/>
        </w:rPr>
        <w:t>, 40: 302–306.</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 xml:space="preserve">Isaacs, C. E., Litov, R. E. and Thormar, H. (1995). Antimicrobial activity of lipids added to human milk, infant formula, and bovine milk. </w:t>
      </w:r>
      <w:r w:rsidRPr="00B437D9">
        <w:rPr>
          <w:rFonts w:ascii="Times New Roman" w:eastAsia="PMingLiU" w:hAnsi="Times New Roman"/>
          <w:i/>
          <w:sz w:val="20"/>
          <w:szCs w:val="20"/>
        </w:rPr>
        <w:t xml:space="preserve">The Journal of Nutritional Biochemistry, </w:t>
      </w:r>
      <w:r w:rsidRPr="00B437D9">
        <w:rPr>
          <w:rFonts w:ascii="Times New Roman" w:eastAsia="PMingLiU" w:hAnsi="Times New Roman"/>
          <w:sz w:val="20"/>
          <w:szCs w:val="20"/>
        </w:rPr>
        <w:t>6: 362–366.</w:t>
      </w:r>
    </w:p>
    <w:p w:rsidR="00C343EE" w:rsidRPr="00B437D9" w:rsidRDefault="00C343EE" w:rsidP="00C343EE">
      <w:pPr>
        <w:pStyle w:val="ListParagraph"/>
        <w:numPr>
          <w:ilvl w:val="0"/>
          <w:numId w:val="1"/>
        </w:numPr>
        <w:spacing w:after="0" w:line="240" w:lineRule="auto"/>
        <w:contextualSpacing w:val="0"/>
        <w:jc w:val="both"/>
        <w:rPr>
          <w:rFonts w:ascii="Times New Roman" w:eastAsia="PMingLiU" w:hAnsi="Times New Roman"/>
          <w:sz w:val="20"/>
          <w:szCs w:val="20"/>
        </w:rPr>
      </w:pPr>
      <w:r w:rsidRPr="00B437D9">
        <w:rPr>
          <w:rFonts w:ascii="Times New Roman" w:eastAsia="PMingLiU" w:hAnsi="Times New Roman"/>
          <w:sz w:val="20"/>
          <w:szCs w:val="20"/>
        </w:rPr>
        <w:t xml:space="preserve">Bergsson, G., Steingrı́msson, O. and Thormar, H. (2002). Bactericidal effects of fatty acids and monoglycerides on </w:t>
      </w:r>
      <w:r w:rsidRPr="00B437D9">
        <w:rPr>
          <w:rFonts w:ascii="Times New Roman" w:eastAsia="PMingLiU" w:hAnsi="Times New Roman"/>
          <w:i/>
          <w:sz w:val="20"/>
          <w:szCs w:val="20"/>
        </w:rPr>
        <w:t xml:space="preserve">Helicobacter pylori. </w:t>
      </w:r>
      <w:hyperlink r:id="rId8" w:tooltip="Go to International Journal of Antimicrobial Agents on ScienceDirect" w:history="1">
        <w:r w:rsidRPr="00B437D9">
          <w:rPr>
            <w:rFonts w:ascii="Times New Roman" w:eastAsia="PMingLiU" w:hAnsi="Times New Roman"/>
            <w:i/>
            <w:sz w:val="20"/>
            <w:szCs w:val="20"/>
          </w:rPr>
          <w:t>International Journal of Antimicrobial Agents</w:t>
        </w:r>
      </w:hyperlink>
      <w:r w:rsidRPr="00B437D9">
        <w:rPr>
          <w:rFonts w:ascii="Times New Roman" w:eastAsia="PMingLiU" w:hAnsi="Times New Roman"/>
          <w:sz w:val="20"/>
          <w:szCs w:val="20"/>
        </w:rPr>
        <w:t xml:space="preserve">, 20(4): 258–262.  </w:t>
      </w:r>
      <w:bookmarkStart w:id="8" w:name="_Hlk502604987"/>
    </w:p>
    <w:p w:rsidR="00C343EE" w:rsidRPr="00B437D9" w:rsidRDefault="00746F57" w:rsidP="00C343EE">
      <w:pPr>
        <w:pStyle w:val="ListParagraph"/>
        <w:numPr>
          <w:ilvl w:val="0"/>
          <w:numId w:val="1"/>
        </w:numPr>
        <w:spacing w:after="0" w:line="240" w:lineRule="auto"/>
        <w:contextualSpacing w:val="0"/>
        <w:jc w:val="both"/>
        <w:rPr>
          <w:rFonts w:ascii="Times New Roman" w:eastAsia="PMingLiU" w:hAnsi="Times New Roman"/>
          <w:sz w:val="20"/>
          <w:szCs w:val="20"/>
        </w:rPr>
      </w:pPr>
      <w:hyperlink r:id="rId9" w:history="1">
        <w:r w:rsidR="00C343EE" w:rsidRPr="00B437D9">
          <w:rPr>
            <w:rFonts w:ascii="Times New Roman" w:eastAsia="PMingLiU" w:hAnsi="Times New Roman"/>
            <w:sz w:val="20"/>
            <w:szCs w:val="20"/>
          </w:rPr>
          <w:t>Wang, Y</w:t>
        </w:r>
      </w:hyperlink>
      <w:r w:rsidR="00C343EE" w:rsidRPr="00B437D9">
        <w:rPr>
          <w:rFonts w:ascii="Times New Roman" w:eastAsia="PMingLiU" w:hAnsi="Times New Roman"/>
          <w:sz w:val="20"/>
          <w:szCs w:val="20"/>
        </w:rPr>
        <w:t>., </w:t>
      </w:r>
      <w:hyperlink r:id="rId10" w:history="1">
        <w:r w:rsidR="00C343EE" w:rsidRPr="00B437D9">
          <w:rPr>
            <w:rFonts w:ascii="Times New Roman" w:eastAsia="PMingLiU" w:hAnsi="Times New Roman"/>
            <w:sz w:val="20"/>
            <w:szCs w:val="20"/>
          </w:rPr>
          <w:t>Lu, J</w:t>
        </w:r>
      </w:hyperlink>
      <w:r w:rsidR="00C343EE" w:rsidRPr="00B437D9">
        <w:rPr>
          <w:rFonts w:ascii="Times New Roman" w:eastAsia="PMingLiU" w:hAnsi="Times New Roman"/>
          <w:sz w:val="20"/>
          <w:szCs w:val="20"/>
        </w:rPr>
        <w:t>., </w:t>
      </w:r>
      <w:hyperlink r:id="rId11" w:history="1">
        <w:r w:rsidR="00C343EE" w:rsidRPr="00B437D9">
          <w:rPr>
            <w:rFonts w:ascii="Times New Roman" w:eastAsia="PMingLiU" w:hAnsi="Times New Roman"/>
            <w:sz w:val="20"/>
            <w:szCs w:val="20"/>
          </w:rPr>
          <w:t>Ruth, M. R</w:t>
        </w:r>
      </w:hyperlink>
      <w:r w:rsidR="00C343EE" w:rsidRPr="00B437D9">
        <w:rPr>
          <w:rFonts w:ascii="Times New Roman" w:eastAsia="PMingLiU" w:hAnsi="Times New Roman"/>
          <w:sz w:val="20"/>
          <w:szCs w:val="20"/>
        </w:rPr>
        <w:t>., </w:t>
      </w:r>
      <w:hyperlink r:id="rId12" w:history="1">
        <w:r w:rsidR="00C343EE" w:rsidRPr="00B437D9">
          <w:rPr>
            <w:rFonts w:ascii="Times New Roman" w:eastAsia="PMingLiU" w:hAnsi="Times New Roman"/>
            <w:sz w:val="20"/>
            <w:szCs w:val="20"/>
          </w:rPr>
          <w:t>Goruk, S. D</w:t>
        </w:r>
      </w:hyperlink>
      <w:r w:rsidR="00C343EE" w:rsidRPr="00B437D9">
        <w:rPr>
          <w:rFonts w:ascii="Times New Roman" w:eastAsia="PMingLiU" w:hAnsi="Times New Roman"/>
          <w:sz w:val="20"/>
          <w:szCs w:val="20"/>
        </w:rPr>
        <w:t>., </w:t>
      </w:r>
      <w:hyperlink r:id="rId13" w:history="1">
        <w:r w:rsidR="00C343EE" w:rsidRPr="00B437D9">
          <w:rPr>
            <w:rFonts w:ascii="Times New Roman" w:eastAsia="PMingLiU" w:hAnsi="Times New Roman"/>
            <w:sz w:val="20"/>
            <w:szCs w:val="20"/>
          </w:rPr>
          <w:t>Reaney, M. J</w:t>
        </w:r>
      </w:hyperlink>
      <w:r w:rsidR="00C343EE" w:rsidRPr="00B437D9">
        <w:rPr>
          <w:rFonts w:ascii="Times New Roman" w:eastAsia="PMingLiU" w:hAnsi="Times New Roman"/>
          <w:sz w:val="20"/>
          <w:szCs w:val="20"/>
        </w:rPr>
        <w:t>., </w:t>
      </w:r>
      <w:hyperlink r:id="rId14" w:history="1">
        <w:r w:rsidR="00C343EE" w:rsidRPr="00B437D9">
          <w:rPr>
            <w:rFonts w:ascii="Times New Roman" w:eastAsia="PMingLiU" w:hAnsi="Times New Roman"/>
            <w:sz w:val="20"/>
            <w:szCs w:val="20"/>
          </w:rPr>
          <w:t>Glimm, D. R</w:t>
        </w:r>
      </w:hyperlink>
      <w:r w:rsidR="00C343EE" w:rsidRPr="00B437D9">
        <w:rPr>
          <w:rFonts w:ascii="Times New Roman" w:eastAsia="PMingLiU" w:hAnsi="Times New Roman"/>
          <w:sz w:val="20"/>
          <w:szCs w:val="20"/>
        </w:rPr>
        <w:t>., </w:t>
      </w:r>
      <w:hyperlink r:id="rId15" w:history="1">
        <w:r w:rsidR="00C343EE" w:rsidRPr="00B437D9">
          <w:rPr>
            <w:rFonts w:ascii="Times New Roman" w:eastAsia="PMingLiU" w:hAnsi="Times New Roman"/>
            <w:sz w:val="20"/>
            <w:szCs w:val="20"/>
          </w:rPr>
          <w:t>Vine, D. F</w:t>
        </w:r>
      </w:hyperlink>
      <w:r w:rsidR="00C343EE" w:rsidRPr="00B437D9">
        <w:rPr>
          <w:rFonts w:ascii="Times New Roman" w:eastAsia="PMingLiU" w:hAnsi="Times New Roman"/>
          <w:sz w:val="20"/>
          <w:szCs w:val="20"/>
        </w:rPr>
        <w:t>. and </w:t>
      </w:r>
      <w:hyperlink r:id="rId16" w:history="1">
        <w:r w:rsidR="00C343EE" w:rsidRPr="00B437D9">
          <w:rPr>
            <w:rFonts w:ascii="Times New Roman" w:eastAsia="PMingLiU" w:hAnsi="Times New Roman"/>
            <w:sz w:val="20"/>
            <w:szCs w:val="20"/>
          </w:rPr>
          <w:t>Field, C. J</w:t>
        </w:r>
      </w:hyperlink>
      <w:r w:rsidR="00C343EE" w:rsidRPr="00B437D9">
        <w:rPr>
          <w:rFonts w:ascii="Times New Roman" w:eastAsia="PMingLiU" w:hAnsi="Times New Roman"/>
          <w:sz w:val="20"/>
          <w:szCs w:val="20"/>
        </w:rPr>
        <w:t>. (2008). Trans-11 vaccenic acid dietary supplementation induces hypolipidemic effects in JCR:LA-cp rats</w:t>
      </w:r>
      <w:r w:rsidR="00C343EE" w:rsidRPr="00B437D9">
        <w:rPr>
          <w:rFonts w:ascii="Times New Roman" w:eastAsia="PMingLiU" w:hAnsi="Times New Roman"/>
          <w:i/>
          <w:sz w:val="20"/>
          <w:szCs w:val="20"/>
        </w:rPr>
        <w:t>. Journal of Nutrition</w:t>
      </w:r>
      <w:r w:rsidR="00C343EE" w:rsidRPr="00B437D9">
        <w:rPr>
          <w:rFonts w:ascii="Times New Roman" w:eastAsia="PMingLiU" w:hAnsi="Times New Roman"/>
          <w:sz w:val="20"/>
          <w:szCs w:val="20"/>
        </w:rPr>
        <w:t>, 138(11): 2117-2122.</w:t>
      </w:r>
      <w:bookmarkEnd w:id="8"/>
    </w:p>
    <w:p w:rsidR="00C343EE" w:rsidRPr="00C343EE" w:rsidRDefault="00746F57" w:rsidP="00C343EE">
      <w:pPr>
        <w:pStyle w:val="ListParagraph"/>
        <w:numPr>
          <w:ilvl w:val="0"/>
          <w:numId w:val="1"/>
        </w:numPr>
        <w:spacing w:after="0" w:line="240" w:lineRule="auto"/>
        <w:contextualSpacing w:val="0"/>
        <w:jc w:val="both"/>
        <w:rPr>
          <w:rFonts w:ascii="Times New Roman" w:eastAsia="PMingLiU" w:hAnsi="Times New Roman"/>
          <w:sz w:val="20"/>
          <w:szCs w:val="20"/>
        </w:rPr>
      </w:pPr>
      <w:hyperlink r:id="rId17" w:history="1">
        <w:r w:rsidR="00C343EE" w:rsidRPr="00B437D9">
          <w:rPr>
            <w:rFonts w:ascii="Times New Roman" w:eastAsia="PMingLiU" w:hAnsi="Times New Roman"/>
            <w:sz w:val="20"/>
            <w:szCs w:val="20"/>
          </w:rPr>
          <w:t>Lim</w:t>
        </w:r>
      </w:hyperlink>
      <w:r w:rsidR="00C343EE" w:rsidRPr="00B437D9">
        <w:rPr>
          <w:rFonts w:ascii="Times New Roman" w:eastAsia="PMingLiU" w:hAnsi="Times New Roman"/>
          <w:sz w:val="20"/>
          <w:szCs w:val="20"/>
        </w:rPr>
        <w:t xml:space="preserve">,, J. N., </w:t>
      </w:r>
      <w:hyperlink r:id="rId18" w:history="1">
        <w:r w:rsidR="00C343EE" w:rsidRPr="00B437D9">
          <w:rPr>
            <w:rFonts w:ascii="Times New Roman" w:eastAsia="PMingLiU" w:hAnsi="Times New Roman"/>
            <w:sz w:val="20"/>
            <w:szCs w:val="20"/>
          </w:rPr>
          <w:t>Oh</w:t>
        </w:r>
      </w:hyperlink>
      <w:r w:rsidR="00C343EE" w:rsidRPr="00B437D9">
        <w:rPr>
          <w:rFonts w:ascii="Times New Roman" w:eastAsia="PMingLiU" w:hAnsi="Times New Roman"/>
          <w:sz w:val="20"/>
          <w:szCs w:val="20"/>
        </w:rPr>
        <w:t xml:space="preserve">,  J. J., </w:t>
      </w:r>
      <w:hyperlink r:id="rId19" w:history="1">
        <w:r w:rsidR="00C343EE" w:rsidRPr="00B437D9">
          <w:rPr>
            <w:rFonts w:ascii="Times New Roman" w:eastAsia="PMingLiU" w:hAnsi="Times New Roman"/>
            <w:sz w:val="20"/>
            <w:szCs w:val="20"/>
          </w:rPr>
          <w:t>Wang</w:t>
        </w:r>
      </w:hyperlink>
      <w:r w:rsidR="00C343EE" w:rsidRPr="00B437D9">
        <w:rPr>
          <w:rFonts w:ascii="Times New Roman" w:eastAsia="PMingLiU" w:hAnsi="Times New Roman"/>
          <w:sz w:val="20"/>
          <w:szCs w:val="20"/>
        </w:rPr>
        <w:t xml:space="preserve">, T., </w:t>
      </w:r>
      <w:hyperlink r:id="rId20" w:history="1">
        <w:r w:rsidR="00C343EE" w:rsidRPr="00B437D9">
          <w:rPr>
            <w:rFonts w:ascii="Times New Roman" w:eastAsia="PMingLiU" w:hAnsi="Times New Roman"/>
            <w:sz w:val="20"/>
            <w:szCs w:val="20"/>
          </w:rPr>
          <w:t xml:space="preserve"> Lee</w:t>
        </w:r>
      </w:hyperlink>
      <w:r w:rsidR="00C343EE" w:rsidRPr="00B437D9">
        <w:rPr>
          <w:rFonts w:ascii="Times New Roman" w:eastAsia="PMingLiU" w:hAnsi="Times New Roman"/>
          <w:sz w:val="20"/>
          <w:szCs w:val="20"/>
        </w:rPr>
        <w:t>, J. S., </w:t>
      </w:r>
      <w:hyperlink r:id="rId21" w:history="1">
        <w:r w:rsidR="00C343EE" w:rsidRPr="00B437D9">
          <w:rPr>
            <w:rFonts w:ascii="Times New Roman" w:eastAsia="PMingLiU" w:hAnsi="Times New Roman"/>
            <w:sz w:val="20"/>
            <w:szCs w:val="20"/>
          </w:rPr>
          <w:t xml:space="preserve"> Kim</w:t>
        </w:r>
      </w:hyperlink>
      <w:r w:rsidR="00C343EE" w:rsidRPr="00B437D9">
        <w:rPr>
          <w:rFonts w:ascii="Times New Roman" w:eastAsia="PMingLiU" w:hAnsi="Times New Roman"/>
          <w:sz w:val="20"/>
          <w:szCs w:val="20"/>
        </w:rPr>
        <w:t>, S. H., </w:t>
      </w:r>
      <w:hyperlink r:id="rId22" w:history="1">
        <w:r w:rsidR="00C343EE" w:rsidRPr="00B437D9">
          <w:rPr>
            <w:rFonts w:ascii="Times New Roman" w:eastAsia="PMingLiU" w:hAnsi="Times New Roman"/>
            <w:sz w:val="20"/>
            <w:szCs w:val="20"/>
          </w:rPr>
          <w:t>Kim</w:t>
        </w:r>
      </w:hyperlink>
      <w:r w:rsidR="00C343EE" w:rsidRPr="00B437D9">
        <w:rPr>
          <w:rFonts w:ascii="Times New Roman" w:eastAsia="PMingLiU" w:hAnsi="Times New Roman"/>
          <w:sz w:val="20"/>
          <w:szCs w:val="20"/>
        </w:rPr>
        <w:t xml:space="preserve">, Y. J. and Lee, H. G. (2014). Trans-11 18:1 vaccenic acid (TVA) has a direct anti-carcinogenic effect on MCF-7 human mammary adenocarcinoma cells. </w:t>
      </w:r>
      <w:r w:rsidR="00C343EE" w:rsidRPr="00B437D9">
        <w:rPr>
          <w:rFonts w:ascii="Times New Roman" w:eastAsia="PMingLiU" w:hAnsi="Times New Roman"/>
          <w:i/>
          <w:sz w:val="20"/>
          <w:szCs w:val="20"/>
        </w:rPr>
        <w:t>Nutrients</w:t>
      </w:r>
      <w:r w:rsidR="00C343EE" w:rsidRPr="00B437D9">
        <w:rPr>
          <w:rFonts w:ascii="Times New Roman" w:eastAsia="PMingLiU" w:hAnsi="Times New Roman"/>
          <w:sz w:val="20"/>
          <w:szCs w:val="20"/>
        </w:rPr>
        <w:t>, 6(2): 627-636</w:t>
      </w:r>
      <w:bookmarkEnd w:id="3"/>
      <w:bookmarkEnd w:id="4"/>
      <w:r w:rsidR="00C343EE" w:rsidRPr="00B437D9">
        <w:rPr>
          <w:rFonts w:ascii="Times New Roman" w:eastAsia="PMingLiU" w:hAnsi="Times New Roman"/>
          <w:sz w:val="20"/>
          <w:szCs w:val="20"/>
        </w:rPr>
        <w:t>.</w:t>
      </w:r>
    </w:p>
    <w:sectPr w:rsidR="00C343EE" w:rsidRPr="00C343EE" w:rsidSect="00C343E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32346"/>
    <w:multiLevelType w:val="hybridMultilevel"/>
    <w:tmpl w:val="F8A80080"/>
    <w:lvl w:ilvl="0" w:tplc="3409000F">
      <w:start w:val="1"/>
      <w:numFmt w:val="decimal"/>
      <w:lvlText w:val="%1."/>
      <w:lvlJc w:val="left"/>
      <w:pPr>
        <w:ind w:left="36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3EE"/>
    <w:rsid w:val="006C6704"/>
    <w:rsid w:val="00746F57"/>
    <w:rsid w:val="00841546"/>
    <w:rsid w:val="00C343EE"/>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3E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43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3E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4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journal/09248579" TargetMode="External"/><Relationship Id="rId13" Type="http://schemas.openxmlformats.org/officeDocument/2006/relationships/hyperlink" Target="http://www.ncbi.nlm.nih.gov/pubmed?term=Reaney%20MJ%5BAuthor%5D&amp;cauthor=true&amp;cauthor_uid=18936207" TargetMode="External"/><Relationship Id="rId18" Type="http://schemas.openxmlformats.org/officeDocument/2006/relationships/hyperlink" Target="http://www.mdpi.com/search?authors=Jin-Ju%20Oh" TargetMode="External"/><Relationship Id="rId3" Type="http://schemas.microsoft.com/office/2007/relationships/stylesWithEffects" Target="stylesWithEffects.xml"/><Relationship Id="rId21" Type="http://schemas.openxmlformats.org/officeDocument/2006/relationships/hyperlink" Target="http://www.mdpi.com/search?authors=Sang-Hun%20Kim" TargetMode="External"/><Relationship Id="rId7" Type="http://schemas.openxmlformats.org/officeDocument/2006/relationships/hyperlink" Target="http://www.ncbi.nlm.nih.gov/pubmed?term=Khosrokhavar%20R%5BAuthor%5D&amp;cauthor=true&amp;cauthor_uid=10197751" TargetMode="External"/><Relationship Id="rId12" Type="http://schemas.openxmlformats.org/officeDocument/2006/relationships/hyperlink" Target="http://www.ncbi.nlm.nih.gov/pubmed?term=Goruk%20SD%5BAuthor%5D&amp;cauthor=true&amp;cauthor_uid=18936207" TargetMode="External"/><Relationship Id="rId17" Type="http://schemas.openxmlformats.org/officeDocument/2006/relationships/hyperlink" Target="http://www.mdpi.com/search?authors=Ji-Na%20Lim" TargetMode="External"/><Relationship Id="rId2" Type="http://schemas.openxmlformats.org/officeDocument/2006/relationships/styles" Target="styles.xml"/><Relationship Id="rId16" Type="http://schemas.openxmlformats.org/officeDocument/2006/relationships/hyperlink" Target="http://www.ncbi.nlm.nih.gov/pubmed?term=Field%20CJ%5BAuthor%5D&amp;cauthor=true&amp;cauthor_uid=18936207" TargetMode="External"/><Relationship Id="rId20" Type="http://schemas.openxmlformats.org/officeDocument/2006/relationships/hyperlink" Target="http://www.mdpi.com/search?authors=Jae-Sung%20Lee" TargetMode="External"/><Relationship Id="rId1" Type="http://schemas.openxmlformats.org/officeDocument/2006/relationships/numbering" Target="numbering.xml"/><Relationship Id="rId6" Type="http://schemas.openxmlformats.org/officeDocument/2006/relationships/hyperlink" Target="http://www.ncbi.nlm.nih.gov/pubmed?term=Ahmadiani%20A%5BAuthor%5D&amp;cauthor=true&amp;cauthor_uid=10197751" TargetMode="External"/><Relationship Id="rId11" Type="http://schemas.openxmlformats.org/officeDocument/2006/relationships/hyperlink" Target="http://www.ncbi.nlm.nih.gov/pubmed?term=Ruth%20MR%5BAuthor%5D&amp;cauthor=true&amp;cauthor_uid=1893620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term=Vine%20DF%5BAuthor%5D&amp;cauthor=true&amp;cauthor_uid=18936207" TargetMode="External"/><Relationship Id="rId23" Type="http://schemas.openxmlformats.org/officeDocument/2006/relationships/fontTable" Target="fontTable.xml"/><Relationship Id="rId10" Type="http://schemas.openxmlformats.org/officeDocument/2006/relationships/hyperlink" Target="http://www.ncbi.nlm.nih.gov/pubmed?term=Lu%20J%5BAuthor%5D&amp;cauthor=true&amp;cauthor_uid=18936207" TargetMode="External"/><Relationship Id="rId19" Type="http://schemas.openxmlformats.org/officeDocument/2006/relationships/hyperlink" Target="http://www.mdpi.com/search?authors=Tao%20Wang" TargetMode="External"/><Relationship Id="rId4" Type="http://schemas.openxmlformats.org/officeDocument/2006/relationships/settings" Target="settings.xml"/><Relationship Id="rId9" Type="http://schemas.openxmlformats.org/officeDocument/2006/relationships/hyperlink" Target="http://www.ncbi.nlm.nih.gov/pubmed?term=Wang%20Y%5BAuthor%5D&amp;cauthor=true&amp;cauthor_uid=18936207" TargetMode="External"/><Relationship Id="rId14" Type="http://schemas.openxmlformats.org/officeDocument/2006/relationships/hyperlink" Target="http://www.ncbi.nlm.nih.gov/pubmed?term=Glimm%20DR%5BAuthor%5D&amp;cauthor=true&amp;cauthor_uid=18936207" TargetMode="External"/><Relationship Id="rId22" Type="http://schemas.openxmlformats.org/officeDocument/2006/relationships/hyperlink" Target="http://www.mdpi.com/search?authors=Yoon-Jin%20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2018-07-11T13:18:00Z</dcterms:created>
  <dcterms:modified xsi:type="dcterms:W3CDTF">2018-08-13T04:46:00Z</dcterms:modified>
</cp:coreProperties>
</file>