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34753" w:rsidRPr="00E3287E" w:rsidRDefault="00634753"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34753" w:rsidRDefault="00634753"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634753" w:rsidRPr="00E3287E" w:rsidRDefault="00634753"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34753" w:rsidRDefault="00634753"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864C2" w:rsidRPr="00CB0E4E" w:rsidRDefault="00B864C2" w:rsidP="00B864C2">
      <w:pPr>
        <w:spacing w:after="0" w:line="240" w:lineRule="auto"/>
        <w:jc w:val="center"/>
        <w:rPr>
          <w:rFonts w:ascii="Times New Roman" w:hAnsi="Times New Roman"/>
          <w:i/>
          <w:sz w:val="28"/>
          <w:szCs w:val="28"/>
          <w:lang w:val="en-GB"/>
        </w:rPr>
      </w:pPr>
      <w:r w:rsidRPr="00CB0E4E">
        <w:rPr>
          <w:rFonts w:ascii="Times New Roman" w:hAnsi="Times New Roman"/>
          <w:sz w:val="28"/>
          <w:szCs w:val="28"/>
          <w:lang w:val="en-GB"/>
        </w:rPr>
        <w:t>MACRO, MICRO, AND NON-ESSENTIAL ELEMENTS</w:t>
      </w:r>
      <w:r>
        <w:rPr>
          <w:rFonts w:ascii="Times New Roman" w:hAnsi="Times New Roman"/>
          <w:sz w:val="28"/>
          <w:szCs w:val="28"/>
          <w:lang w:val="en-GB"/>
        </w:rPr>
        <w:t xml:space="preserve"> IN DIFFERENT </w:t>
      </w:r>
      <w:r w:rsidRPr="00CB0E4E">
        <w:rPr>
          <w:rFonts w:ascii="Times New Roman" w:hAnsi="Times New Roman"/>
          <w:sz w:val="28"/>
          <w:szCs w:val="28"/>
          <w:lang w:val="en-GB"/>
        </w:rPr>
        <w:t xml:space="preserve">PARTS OF </w:t>
      </w:r>
      <w:r w:rsidRPr="00CB0E4E">
        <w:rPr>
          <w:rFonts w:ascii="Times New Roman" w:hAnsi="Times New Roman"/>
          <w:i/>
          <w:sz w:val="28"/>
          <w:szCs w:val="28"/>
          <w:lang w:val="en-GB"/>
        </w:rPr>
        <w:t>Rhizophora apiculata</w:t>
      </w:r>
    </w:p>
    <w:p w:rsidR="00B864C2" w:rsidRPr="00B864C2" w:rsidRDefault="00B864C2" w:rsidP="00B864C2">
      <w:pPr>
        <w:spacing w:after="0" w:line="240" w:lineRule="auto"/>
        <w:jc w:val="center"/>
        <w:rPr>
          <w:rFonts w:ascii="Times New Roman" w:hAnsi="Times New Roman"/>
          <w:sz w:val="24"/>
          <w:szCs w:val="24"/>
          <w:lang w:val="en-GB"/>
        </w:rPr>
      </w:pPr>
    </w:p>
    <w:p w:rsidR="00B864C2" w:rsidRPr="00CB0E4E" w:rsidRDefault="00B864C2" w:rsidP="00B864C2">
      <w:pPr>
        <w:spacing w:after="0" w:line="240" w:lineRule="auto"/>
        <w:jc w:val="center"/>
        <w:outlineLvl w:val="0"/>
        <w:rPr>
          <w:rFonts w:ascii="Times New Roman" w:hAnsi="Times New Roman"/>
          <w:sz w:val="24"/>
          <w:lang w:val="ms-MY"/>
        </w:rPr>
      </w:pPr>
      <w:r w:rsidRPr="00CB0E4E">
        <w:rPr>
          <w:rFonts w:ascii="Times New Roman" w:hAnsi="Times New Roman"/>
          <w:sz w:val="24"/>
          <w:lang w:val="es-ES"/>
        </w:rPr>
        <w:t>(</w:t>
      </w:r>
      <w:r w:rsidRPr="00CB0E4E">
        <w:rPr>
          <w:rFonts w:ascii="Times New Roman" w:hAnsi="Times New Roman"/>
          <w:sz w:val="24"/>
          <w:lang w:val="ms-MY"/>
        </w:rPr>
        <w:t xml:space="preserve">Makro, Mikro dan Elemen Tidak Perlu di dalam Pelbagai Bahagian </w:t>
      </w:r>
      <w:r w:rsidRPr="00CB0E4E">
        <w:rPr>
          <w:rFonts w:ascii="Times New Roman" w:hAnsi="Times New Roman"/>
          <w:i/>
          <w:sz w:val="24"/>
          <w:lang w:val="ms-MY"/>
        </w:rPr>
        <w:t>Rhizophora apiculata</w:t>
      </w:r>
      <w:r w:rsidRPr="00CB0E4E">
        <w:rPr>
          <w:rFonts w:ascii="Times New Roman" w:hAnsi="Times New Roman"/>
          <w:sz w:val="24"/>
          <w:lang w:val="es-ES"/>
        </w:rPr>
        <w:t>)</w:t>
      </w:r>
    </w:p>
    <w:p w:rsidR="00B864C2" w:rsidRPr="00CB0E4E" w:rsidRDefault="00B864C2" w:rsidP="00B864C2">
      <w:pPr>
        <w:spacing w:after="0" w:line="240" w:lineRule="auto"/>
        <w:jc w:val="center"/>
        <w:rPr>
          <w:rFonts w:ascii="Times New Roman" w:hAnsi="Times New Roman"/>
          <w:sz w:val="28"/>
          <w:szCs w:val="28"/>
          <w:lang w:val="en-GB"/>
        </w:rPr>
      </w:pPr>
      <w:r w:rsidRPr="00CB0E4E">
        <w:rPr>
          <w:rFonts w:ascii="Times New Roman" w:hAnsi="Times New Roman"/>
          <w:sz w:val="28"/>
          <w:szCs w:val="28"/>
          <w:lang w:val="en-GB"/>
        </w:rPr>
        <w:t xml:space="preserve"> </w:t>
      </w:r>
    </w:p>
    <w:p w:rsidR="00B864C2" w:rsidRDefault="00B864C2" w:rsidP="00B864C2">
      <w:pPr>
        <w:spacing w:after="0" w:line="240" w:lineRule="auto"/>
        <w:jc w:val="center"/>
        <w:outlineLvl w:val="0"/>
        <w:rPr>
          <w:rFonts w:ascii="Times New Roman" w:hAnsi="Times New Roman"/>
          <w:sz w:val="20"/>
          <w:szCs w:val="20"/>
          <w:lang w:val="ms-MY"/>
        </w:rPr>
      </w:pPr>
      <w:r w:rsidRPr="00B864C2">
        <w:rPr>
          <w:rFonts w:ascii="Times New Roman" w:hAnsi="Times New Roman"/>
          <w:sz w:val="20"/>
          <w:szCs w:val="20"/>
          <w:lang w:val="ms-MY"/>
        </w:rPr>
        <w:t>Fathullah Abdullah</w:t>
      </w:r>
      <w:r w:rsidRPr="00B864C2">
        <w:rPr>
          <w:rFonts w:ascii="Times New Roman" w:hAnsi="Times New Roman"/>
          <w:sz w:val="20"/>
          <w:szCs w:val="20"/>
          <w:vertAlign w:val="superscript"/>
          <w:lang w:val="ms-MY"/>
        </w:rPr>
        <w:t>1</w:t>
      </w:r>
      <w:r w:rsidRPr="00B864C2">
        <w:rPr>
          <w:rFonts w:ascii="Times New Roman" w:hAnsi="Times New Roman"/>
          <w:sz w:val="20"/>
          <w:szCs w:val="20"/>
          <w:lang w:val="ms-MY"/>
        </w:rPr>
        <w:t>, Hasrizal Shaari</w:t>
      </w:r>
      <w:r w:rsidRPr="00B864C2">
        <w:rPr>
          <w:rFonts w:ascii="Times New Roman" w:hAnsi="Times New Roman"/>
          <w:sz w:val="20"/>
          <w:szCs w:val="20"/>
          <w:vertAlign w:val="superscript"/>
          <w:lang w:val="ms-MY"/>
        </w:rPr>
        <w:t>1</w:t>
      </w:r>
      <w:r>
        <w:rPr>
          <w:rFonts w:ascii="Times New Roman" w:hAnsi="Times New Roman"/>
          <w:sz w:val="20"/>
          <w:szCs w:val="20"/>
          <w:vertAlign w:val="superscript"/>
          <w:lang w:val="ms-MY"/>
        </w:rPr>
        <w:t>,</w:t>
      </w:r>
      <w:r w:rsidRPr="00B864C2">
        <w:rPr>
          <w:rFonts w:ascii="Times New Roman" w:hAnsi="Times New Roman"/>
          <w:sz w:val="20"/>
          <w:szCs w:val="20"/>
          <w:vertAlign w:val="superscript"/>
          <w:lang w:val="ms-MY"/>
        </w:rPr>
        <w:t>2</w:t>
      </w:r>
      <w:r w:rsidRPr="00B864C2">
        <w:rPr>
          <w:rFonts w:ascii="Times New Roman" w:hAnsi="Times New Roman"/>
          <w:sz w:val="20"/>
          <w:szCs w:val="20"/>
          <w:lang w:val="ms-MY"/>
        </w:rPr>
        <w:t>*, Behara Satyanarayana</w:t>
      </w:r>
      <w:r w:rsidRPr="00B864C2">
        <w:rPr>
          <w:rFonts w:ascii="Times New Roman" w:hAnsi="Times New Roman"/>
          <w:sz w:val="20"/>
          <w:szCs w:val="20"/>
          <w:vertAlign w:val="superscript"/>
          <w:lang w:val="ms-MY"/>
        </w:rPr>
        <w:t>2</w:t>
      </w:r>
      <w:r w:rsidRPr="00B864C2">
        <w:rPr>
          <w:rFonts w:ascii="Times New Roman" w:hAnsi="Times New Roman"/>
          <w:sz w:val="20"/>
          <w:szCs w:val="20"/>
          <w:lang w:val="ms-MY"/>
        </w:rPr>
        <w:t>, Wan Mohd Afiq Wan Mohd Khalik</w:t>
      </w:r>
      <w:r w:rsidRPr="00B864C2">
        <w:rPr>
          <w:rFonts w:ascii="Times New Roman" w:hAnsi="Times New Roman"/>
          <w:sz w:val="20"/>
          <w:szCs w:val="20"/>
          <w:vertAlign w:val="superscript"/>
          <w:lang w:val="ms-MY"/>
        </w:rPr>
        <w:t>1</w:t>
      </w:r>
      <w:r w:rsidRPr="00B864C2">
        <w:rPr>
          <w:rFonts w:ascii="Times New Roman" w:hAnsi="Times New Roman"/>
          <w:sz w:val="20"/>
          <w:szCs w:val="20"/>
          <w:lang w:val="ms-MY"/>
        </w:rPr>
        <w:t xml:space="preserve">, </w:t>
      </w:r>
    </w:p>
    <w:p w:rsidR="00B864C2" w:rsidRPr="00B864C2" w:rsidRDefault="00B864C2" w:rsidP="00B864C2">
      <w:pPr>
        <w:spacing w:after="0" w:line="240" w:lineRule="auto"/>
        <w:jc w:val="center"/>
        <w:outlineLvl w:val="0"/>
        <w:rPr>
          <w:rFonts w:ascii="Times New Roman" w:hAnsi="Times New Roman"/>
          <w:sz w:val="20"/>
          <w:szCs w:val="20"/>
          <w:lang w:val="ms-MY"/>
        </w:rPr>
      </w:pPr>
      <w:r w:rsidRPr="00B864C2">
        <w:rPr>
          <w:rFonts w:ascii="Times New Roman" w:hAnsi="Times New Roman"/>
          <w:sz w:val="20"/>
          <w:szCs w:val="20"/>
          <w:lang w:val="ms-MY"/>
        </w:rPr>
        <w:t>Mohd. Zaidi Mohd. Jaafar</w:t>
      </w:r>
      <w:r w:rsidRPr="00B864C2">
        <w:rPr>
          <w:rFonts w:ascii="Times New Roman" w:hAnsi="Times New Roman"/>
          <w:sz w:val="20"/>
          <w:szCs w:val="20"/>
          <w:vertAlign w:val="superscript"/>
          <w:lang w:val="ms-MY"/>
        </w:rPr>
        <w:t>1</w:t>
      </w:r>
      <w:r w:rsidRPr="00B864C2">
        <w:rPr>
          <w:rFonts w:ascii="Times New Roman" w:hAnsi="Times New Roman"/>
          <w:b/>
          <w:sz w:val="20"/>
          <w:szCs w:val="20"/>
          <w:lang w:val="ms-MY"/>
        </w:rPr>
        <w:t xml:space="preserve"> </w:t>
      </w:r>
    </w:p>
    <w:p w:rsidR="00B864C2" w:rsidRPr="00CB0E4E" w:rsidRDefault="00B864C2" w:rsidP="00B864C2">
      <w:pPr>
        <w:spacing w:after="0" w:line="240" w:lineRule="auto"/>
        <w:jc w:val="center"/>
        <w:outlineLvl w:val="0"/>
        <w:rPr>
          <w:rFonts w:ascii="Times New Roman" w:hAnsi="Times New Roman"/>
          <w:b/>
          <w:sz w:val="18"/>
          <w:szCs w:val="18"/>
        </w:rPr>
      </w:pPr>
    </w:p>
    <w:p w:rsidR="00B864C2" w:rsidRPr="00CB0E4E" w:rsidRDefault="00B864C2" w:rsidP="00B864C2">
      <w:pPr>
        <w:spacing w:after="0" w:line="240" w:lineRule="auto"/>
        <w:jc w:val="center"/>
        <w:rPr>
          <w:rFonts w:ascii="Times New Roman" w:hAnsi="Times New Roman"/>
          <w:i/>
          <w:sz w:val="18"/>
          <w:szCs w:val="20"/>
        </w:rPr>
      </w:pPr>
      <w:r w:rsidRPr="00CB0E4E">
        <w:rPr>
          <w:rFonts w:ascii="Times New Roman" w:hAnsi="Times New Roman"/>
          <w:i/>
          <w:sz w:val="18"/>
          <w:szCs w:val="20"/>
          <w:vertAlign w:val="superscript"/>
        </w:rPr>
        <w:t>1</w:t>
      </w:r>
      <w:r w:rsidRPr="00CB0E4E">
        <w:rPr>
          <w:rFonts w:ascii="Times New Roman" w:hAnsi="Times New Roman"/>
          <w:i/>
          <w:sz w:val="18"/>
          <w:szCs w:val="20"/>
        </w:rPr>
        <w:t>School of M</w:t>
      </w:r>
      <w:r>
        <w:rPr>
          <w:rFonts w:ascii="Times New Roman" w:hAnsi="Times New Roman"/>
          <w:i/>
          <w:sz w:val="18"/>
          <w:szCs w:val="20"/>
        </w:rPr>
        <w:t>arine and Environmental Science</w:t>
      </w:r>
      <w:r w:rsidRPr="00CB0E4E">
        <w:rPr>
          <w:rFonts w:ascii="Times New Roman" w:hAnsi="Times New Roman"/>
          <w:i/>
          <w:sz w:val="18"/>
          <w:szCs w:val="20"/>
        </w:rPr>
        <w:t xml:space="preserve"> </w:t>
      </w:r>
    </w:p>
    <w:p w:rsidR="00B864C2" w:rsidRPr="00CB0E4E" w:rsidRDefault="00B864C2" w:rsidP="00B864C2">
      <w:pPr>
        <w:spacing w:after="0" w:line="240" w:lineRule="auto"/>
        <w:jc w:val="center"/>
        <w:rPr>
          <w:rFonts w:ascii="Times New Roman" w:hAnsi="Times New Roman"/>
          <w:i/>
          <w:sz w:val="18"/>
          <w:szCs w:val="20"/>
        </w:rPr>
      </w:pPr>
      <w:r w:rsidRPr="00CB0E4E">
        <w:rPr>
          <w:rFonts w:ascii="Times New Roman" w:hAnsi="Times New Roman"/>
          <w:i/>
          <w:sz w:val="18"/>
          <w:szCs w:val="20"/>
          <w:vertAlign w:val="superscript"/>
        </w:rPr>
        <w:t>2</w:t>
      </w:r>
      <w:r w:rsidRPr="00CB0E4E">
        <w:rPr>
          <w:rFonts w:ascii="Times New Roman" w:hAnsi="Times New Roman"/>
          <w:i/>
          <w:sz w:val="18"/>
          <w:szCs w:val="20"/>
        </w:rPr>
        <w:t xml:space="preserve">Institute </w:t>
      </w:r>
      <w:r>
        <w:rPr>
          <w:rFonts w:ascii="Times New Roman" w:hAnsi="Times New Roman"/>
          <w:i/>
          <w:sz w:val="18"/>
          <w:szCs w:val="20"/>
        </w:rPr>
        <w:t>of Oceanography and Environment</w:t>
      </w:r>
      <w:r w:rsidRPr="00CB0E4E">
        <w:rPr>
          <w:rFonts w:ascii="Times New Roman" w:hAnsi="Times New Roman"/>
          <w:i/>
          <w:sz w:val="18"/>
          <w:szCs w:val="20"/>
        </w:rPr>
        <w:t xml:space="preserve"> </w:t>
      </w:r>
    </w:p>
    <w:p w:rsidR="00B864C2" w:rsidRPr="00CB0E4E" w:rsidRDefault="00B864C2" w:rsidP="00B864C2">
      <w:pPr>
        <w:spacing w:after="0" w:line="240" w:lineRule="auto"/>
        <w:jc w:val="center"/>
        <w:rPr>
          <w:rFonts w:ascii="Times New Roman" w:hAnsi="Times New Roman"/>
          <w:i/>
          <w:sz w:val="18"/>
          <w:szCs w:val="20"/>
        </w:rPr>
      </w:pPr>
      <w:r w:rsidRPr="00CB0E4E">
        <w:rPr>
          <w:rFonts w:ascii="Times New Roman" w:hAnsi="Times New Roman"/>
          <w:i/>
          <w:sz w:val="18"/>
          <w:szCs w:val="20"/>
        </w:rPr>
        <w:t xml:space="preserve">Universiti Malaysia Terengganu, 21030 Kuala Nerus, </w:t>
      </w:r>
      <w:r>
        <w:rPr>
          <w:rFonts w:ascii="Times New Roman" w:hAnsi="Times New Roman"/>
          <w:i/>
          <w:sz w:val="18"/>
          <w:szCs w:val="20"/>
        </w:rPr>
        <w:t>Terengganu,</w:t>
      </w:r>
      <w:r w:rsidRPr="00CB0E4E">
        <w:rPr>
          <w:rFonts w:ascii="Times New Roman" w:hAnsi="Times New Roman"/>
          <w:i/>
          <w:sz w:val="18"/>
          <w:szCs w:val="20"/>
        </w:rPr>
        <w:t>Malaysia</w:t>
      </w:r>
    </w:p>
    <w:p w:rsidR="00B864C2" w:rsidRPr="00CB0E4E" w:rsidRDefault="00B864C2" w:rsidP="00B864C2">
      <w:pPr>
        <w:spacing w:after="0" w:line="240" w:lineRule="auto"/>
        <w:jc w:val="center"/>
        <w:outlineLvl w:val="0"/>
        <w:rPr>
          <w:rFonts w:ascii="Times New Roman" w:hAnsi="Times New Roman"/>
          <w:b/>
          <w:sz w:val="18"/>
          <w:szCs w:val="18"/>
        </w:rPr>
      </w:pPr>
    </w:p>
    <w:p w:rsidR="00B864C2" w:rsidRPr="00CB0E4E" w:rsidRDefault="00B864C2" w:rsidP="00B864C2">
      <w:pPr>
        <w:spacing w:after="0" w:line="240" w:lineRule="auto"/>
        <w:jc w:val="center"/>
        <w:outlineLvl w:val="0"/>
        <w:rPr>
          <w:rFonts w:ascii="Times New Roman" w:hAnsi="Times New Roman"/>
          <w:i/>
          <w:sz w:val="18"/>
        </w:rPr>
      </w:pPr>
      <w:r w:rsidRPr="00B864C2">
        <w:rPr>
          <w:rFonts w:ascii="Times New Roman" w:hAnsi="Times New Roman"/>
          <w:i/>
          <w:sz w:val="18"/>
        </w:rPr>
        <w:t>*</w:t>
      </w:r>
      <w:r w:rsidRPr="00CB0E4E">
        <w:rPr>
          <w:rFonts w:ascii="Times New Roman" w:hAnsi="Times New Roman"/>
          <w:i/>
          <w:sz w:val="18"/>
        </w:rPr>
        <w:t xml:space="preserve">Corresponding author: </w:t>
      </w:r>
      <w:r w:rsidRPr="00CB0E4E">
        <w:rPr>
          <w:rFonts w:ascii="Times New Roman" w:hAnsi="Times New Roman"/>
          <w:i/>
          <w:sz w:val="18"/>
          <w:szCs w:val="20"/>
        </w:rPr>
        <w:t>riz@umt.edu.my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565C6">
        <w:rPr>
          <w:rFonts w:ascii="Times New Roman" w:hAnsi="Times New Roman"/>
          <w:noProof/>
          <w:sz w:val="18"/>
          <w:szCs w:val="18"/>
          <w:lang w:bidi="ar-SA"/>
        </w:rPr>
        <w:t>26 August 2017</w:t>
      </w:r>
      <w:r>
        <w:rPr>
          <w:rFonts w:ascii="Times New Roman" w:hAnsi="Times New Roman"/>
          <w:noProof/>
          <w:sz w:val="18"/>
          <w:szCs w:val="18"/>
          <w:lang w:bidi="ar-SA"/>
        </w:rPr>
        <w:t xml:space="preserve">; Accepted: </w:t>
      </w:r>
      <w:r w:rsidR="00A565C6">
        <w:rPr>
          <w:rFonts w:ascii="Times New Roman" w:hAnsi="Times New Roman"/>
          <w:noProof/>
          <w:sz w:val="18"/>
          <w:szCs w:val="18"/>
          <w:lang w:bidi="ar-SA"/>
        </w:rPr>
        <w:t>1 July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864C2" w:rsidRPr="00CB0E4E" w:rsidRDefault="00B864C2" w:rsidP="00B864C2">
      <w:pPr>
        <w:spacing w:after="0" w:line="240" w:lineRule="auto"/>
        <w:jc w:val="both"/>
        <w:rPr>
          <w:rFonts w:ascii="Times New Roman" w:hAnsi="Times New Roman"/>
          <w:sz w:val="18"/>
          <w:szCs w:val="20"/>
          <w:lang w:val="en-GB"/>
        </w:rPr>
      </w:pPr>
      <w:r w:rsidRPr="00CB0E4E">
        <w:rPr>
          <w:rFonts w:ascii="Times New Roman" w:hAnsi="Times New Roman"/>
          <w:sz w:val="18"/>
          <w:szCs w:val="20"/>
          <w:lang w:val="en-GB"/>
        </w:rPr>
        <w:t xml:space="preserve">A total of 50 samples of different parts (roots, stem disks, barks, trunks, twigs, and leaves) from five individuals of 20-year-old </w:t>
      </w:r>
      <w:r w:rsidRPr="00CB0E4E">
        <w:rPr>
          <w:rFonts w:ascii="Times New Roman" w:hAnsi="Times New Roman"/>
          <w:i/>
          <w:sz w:val="18"/>
          <w:szCs w:val="20"/>
          <w:lang w:val="en-GB"/>
        </w:rPr>
        <w:t>Rhizophora apiculata</w:t>
      </w:r>
      <w:r w:rsidRPr="00CB0E4E">
        <w:rPr>
          <w:rFonts w:ascii="Times New Roman" w:hAnsi="Times New Roman"/>
          <w:sz w:val="18"/>
          <w:szCs w:val="20"/>
          <w:lang w:val="en-GB"/>
        </w:rPr>
        <w:t xml:space="preserve"> were sampled at Matang Mangrove Forest, Kuala Sepetang, Perak. The aims of this study were to determine the concentration of selected macroelements (K, Mg, Na, and Ca), microelements (Al, Fe, Zn, Mn and Cu) and non-essential elements (Pb and Cd) in different parts of </w:t>
      </w:r>
      <w:r w:rsidRPr="00CB0E4E">
        <w:rPr>
          <w:rFonts w:ascii="Times New Roman" w:hAnsi="Times New Roman"/>
          <w:i/>
          <w:sz w:val="18"/>
          <w:szCs w:val="20"/>
          <w:lang w:val="en-GB"/>
        </w:rPr>
        <w:t>R. apiculata</w:t>
      </w:r>
      <w:r w:rsidRPr="00CB0E4E">
        <w:rPr>
          <w:rFonts w:ascii="Times New Roman" w:hAnsi="Times New Roman"/>
          <w:sz w:val="18"/>
          <w:szCs w:val="20"/>
          <w:lang w:val="en-GB"/>
        </w:rPr>
        <w:t xml:space="preserve">. The elemental analysis was conducted by using inductively coupled plasma-optical emission spectrometer (ICP-OES). The mean value of the studied elements was recorded in the decreasing order of Ca &gt; Na &gt; K &gt; Mg &gt; Mn &gt; Al &gt; Fe &gt; Zn &gt; Cu &gt; Pb &gt; Cd. The highest value of Ca compared to other elements in the major parts of </w:t>
      </w:r>
      <w:r w:rsidRPr="00CB0E4E">
        <w:rPr>
          <w:rFonts w:ascii="Times New Roman" w:hAnsi="Times New Roman"/>
          <w:i/>
          <w:sz w:val="18"/>
          <w:szCs w:val="20"/>
          <w:lang w:val="en-GB"/>
        </w:rPr>
        <w:t>R. apiculata</w:t>
      </w:r>
      <w:r w:rsidRPr="00CB0E4E">
        <w:rPr>
          <w:rFonts w:ascii="Times New Roman" w:hAnsi="Times New Roman"/>
          <w:sz w:val="18"/>
          <w:szCs w:val="20"/>
          <w:lang w:val="en-GB"/>
        </w:rPr>
        <w:t xml:space="preserve"> is closely related to the role of this element in the cell wall formation. The variable concentration of elements in the different parts of </w:t>
      </w:r>
      <w:r w:rsidRPr="00CB0E4E">
        <w:rPr>
          <w:rFonts w:ascii="Times New Roman" w:hAnsi="Times New Roman"/>
          <w:i/>
          <w:sz w:val="18"/>
          <w:szCs w:val="20"/>
          <w:lang w:val="en-GB"/>
        </w:rPr>
        <w:t>R. apiculata</w:t>
      </w:r>
      <w:r w:rsidRPr="00CB0E4E">
        <w:rPr>
          <w:rFonts w:ascii="Times New Roman" w:hAnsi="Times New Roman"/>
          <w:sz w:val="18"/>
          <w:szCs w:val="20"/>
          <w:lang w:val="en-GB"/>
        </w:rPr>
        <w:t xml:space="preserve"> is attributed to the absorption mechanism of the trees. High values of some macroelements than microelements suggest that a macroelement is more significant for the growth of </w:t>
      </w:r>
      <w:r w:rsidRPr="00CB0E4E">
        <w:rPr>
          <w:rFonts w:ascii="Times New Roman" w:hAnsi="Times New Roman"/>
          <w:i/>
          <w:sz w:val="18"/>
          <w:szCs w:val="20"/>
          <w:lang w:val="en-GB"/>
        </w:rPr>
        <w:t>R. apiculata</w:t>
      </w:r>
      <w:r w:rsidRPr="00CB0E4E">
        <w:rPr>
          <w:rFonts w:ascii="Times New Roman" w:hAnsi="Times New Roman"/>
          <w:sz w:val="18"/>
          <w:szCs w:val="20"/>
          <w:lang w:val="en-GB"/>
        </w:rPr>
        <w:t xml:space="preserve">. The lower mean values of Pb and Cd than other elements suggest that non-essential elements are not significantly involved in the major process of this mangrove species. This study is crucial in providing a preliminary data of the different types of elements in the different parts of the </w:t>
      </w:r>
      <w:r w:rsidRPr="00CB0E4E">
        <w:rPr>
          <w:rFonts w:ascii="Times New Roman" w:hAnsi="Times New Roman"/>
          <w:i/>
          <w:sz w:val="18"/>
          <w:szCs w:val="20"/>
          <w:lang w:val="en-GB"/>
        </w:rPr>
        <w:t>R. apiculata</w:t>
      </w:r>
      <w:r w:rsidRPr="00CB0E4E">
        <w:rPr>
          <w:rFonts w:ascii="Times New Roman" w:hAnsi="Times New Roman"/>
          <w:sz w:val="18"/>
          <w:szCs w:val="20"/>
          <w:lang w:val="en-GB"/>
        </w:rPr>
        <w:t xml:space="preserve"> species, and its importance for the future development of the charcoal industry in Kuala Sepetang, Perak.</w:t>
      </w:r>
    </w:p>
    <w:p w:rsidR="00B864C2" w:rsidRPr="00CB0E4E" w:rsidRDefault="00B864C2" w:rsidP="00B864C2">
      <w:pPr>
        <w:spacing w:after="0" w:line="240" w:lineRule="auto"/>
        <w:jc w:val="both"/>
        <w:outlineLvl w:val="0"/>
        <w:rPr>
          <w:rFonts w:ascii="Times New Roman" w:hAnsi="Times New Roman"/>
          <w:sz w:val="18"/>
          <w:szCs w:val="18"/>
          <w:lang w:val="en-GB"/>
        </w:rPr>
      </w:pPr>
    </w:p>
    <w:p w:rsidR="00B864C2" w:rsidRPr="00CB0E4E" w:rsidRDefault="00B864C2" w:rsidP="00B864C2">
      <w:pPr>
        <w:spacing w:after="0" w:line="240" w:lineRule="auto"/>
        <w:jc w:val="both"/>
        <w:outlineLvl w:val="0"/>
        <w:rPr>
          <w:rFonts w:ascii="Times New Roman" w:hAnsi="Times New Roman"/>
          <w:sz w:val="18"/>
          <w:szCs w:val="20"/>
          <w:lang w:val="en-GB"/>
        </w:rPr>
      </w:pPr>
      <w:r w:rsidRPr="00CB0E4E">
        <w:rPr>
          <w:rFonts w:ascii="Times New Roman" w:hAnsi="Times New Roman"/>
          <w:b/>
          <w:sz w:val="18"/>
          <w:szCs w:val="18"/>
          <w:lang w:val="en-GB"/>
        </w:rPr>
        <w:t>Keywords:</w:t>
      </w:r>
      <w:r w:rsidRPr="00CB0E4E">
        <w:rPr>
          <w:rFonts w:ascii="Times New Roman" w:hAnsi="Times New Roman"/>
          <w:lang w:val="en-GB"/>
        </w:rPr>
        <w:t xml:space="preserve"> </w:t>
      </w:r>
      <w:r>
        <w:rPr>
          <w:rFonts w:ascii="Times New Roman" w:hAnsi="Times New Roman"/>
          <w:lang w:val="en-GB"/>
        </w:rPr>
        <w:t xml:space="preserve"> </w:t>
      </w:r>
      <w:r w:rsidRPr="00CB0E4E">
        <w:rPr>
          <w:rFonts w:ascii="Times New Roman" w:hAnsi="Times New Roman"/>
          <w:sz w:val="18"/>
          <w:szCs w:val="20"/>
          <w:lang w:val="en-GB"/>
        </w:rPr>
        <w:t xml:space="preserve">Mangrove forest, </w:t>
      </w:r>
      <w:r w:rsidRPr="00CB0E4E">
        <w:rPr>
          <w:rFonts w:ascii="Times New Roman" w:hAnsi="Times New Roman"/>
          <w:i/>
          <w:sz w:val="18"/>
          <w:szCs w:val="20"/>
          <w:lang w:val="en-GB"/>
        </w:rPr>
        <w:t>Rhizophora apiculata</w:t>
      </w:r>
      <w:r w:rsidRPr="00CB0E4E">
        <w:rPr>
          <w:rFonts w:ascii="Times New Roman" w:hAnsi="Times New Roman"/>
          <w:sz w:val="18"/>
          <w:szCs w:val="20"/>
          <w:lang w:val="en-GB"/>
        </w:rPr>
        <w:t>, macroelement, microelement, non-essential element</w:t>
      </w:r>
    </w:p>
    <w:p w:rsidR="00B864C2" w:rsidRPr="00CB0E4E" w:rsidRDefault="00B864C2" w:rsidP="00B864C2">
      <w:pPr>
        <w:spacing w:after="0" w:line="240" w:lineRule="auto"/>
        <w:jc w:val="center"/>
        <w:outlineLvl w:val="0"/>
        <w:rPr>
          <w:rFonts w:ascii="Times New Roman" w:hAnsi="Times New Roman"/>
          <w:sz w:val="18"/>
          <w:szCs w:val="20"/>
          <w:lang w:val="en-GB"/>
        </w:rPr>
      </w:pPr>
    </w:p>
    <w:p w:rsidR="00B864C2" w:rsidRPr="00CB0E4E" w:rsidRDefault="00B864C2" w:rsidP="00B864C2">
      <w:pPr>
        <w:spacing w:after="0" w:line="240" w:lineRule="auto"/>
        <w:jc w:val="center"/>
        <w:outlineLvl w:val="0"/>
        <w:rPr>
          <w:rFonts w:ascii="Times New Roman" w:hAnsi="Times New Roman"/>
          <w:b/>
          <w:sz w:val="18"/>
          <w:szCs w:val="18"/>
          <w:lang w:val="ms-MY"/>
        </w:rPr>
      </w:pPr>
      <w:r w:rsidRPr="00CB0E4E">
        <w:rPr>
          <w:rFonts w:ascii="Times New Roman" w:hAnsi="Times New Roman"/>
          <w:b/>
          <w:sz w:val="18"/>
          <w:szCs w:val="18"/>
          <w:lang w:val="ms-MY"/>
        </w:rPr>
        <w:t>Abstrak</w:t>
      </w:r>
    </w:p>
    <w:p w:rsidR="00B864C2" w:rsidRPr="00CB0E4E" w:rsidRDefault="00B864C2" w:rsidP="00B864C2">
      <w:pPr>
        <w:spacing w:after="0" w:line="240" w:lineRule="auto"/>
        <w:jc w:val="both"/>
        <w:rPr>
          <w:rFonts w:ascii="Times New Roman" w:hAnsi="Times New Roman"/>
          <w:sz w:val="18"/>
          <w:szCs w:val="18"/>
          <w:lang w:val="ms-MY"/>
        </w:rPr>
      </w:pPr>
      <w:r w:rsidRPr="00CB0E4E">
        <w:rPr>
          <w:rFonts w:ascii="Times New Roman" w:hAnsi="Times New Roman"/>
          <w:sz w:val="18"/>
          <w:szCs w:val="18"/>
          <w:lang w:val="ms-MY"/>
        </w:rPr>
        <w:t xml:space="preserve">Sebanyak 50 sampel terdiri daripada pelbagai bahagian (akar, batang pokok, kulit, dahan, ranting dan daun) daripada 5 batang pokok spesis </w:t>
      </w:r>
      <w:r w:rsidRPr="00CB0E4E">
        <w:rPr>
          <w:rFonts w:ascii="Times New Roman" w:hAnsi="Times New Roman"/>
          <w:i/>
          <w:sz w:val="18"/>
          <w:szCs w:val="18"/>
          <w:lang w:val="ms-MY"/>
        </w:rPr>
        <w:t xml:space="preserve">Rhizophora apiculata </w:t>
      </w:r>
      <w:r w:rsidRPr="00CB0E4E">
        <w:rPr>
          <w:rFonts w:ascii="Times New Roman" w:hAnsi="Times New Roman"/>
          <w:sz w:val="18"/>
          <w:szCs w:val="18"/>
          <w:lang w:val="ms-MY"/>
        </w:rPr>
        <w:t xml:space="preserve">berusia 20 tahun telah di ambil di Hutan Simpan Matang. Kuala Sepetang, Perak. Tujuan kajian ini adalah untuk mencari nilai kepekatan elemen yang terpilih daripada makroelemen (K, Mg, Na dan Ca), mikroelemen (Al, Fe, Zn, Mn and Cu) and elemen tidak perlu (Pb dan Cd) yang terdapat dalam pelbagai bahagian pokok </w:t>
      </w:r>
      <w:r w:rsidRPr="00CB0E4E">
        <w:rPr>
          <w:rFonts w:ascii="Times New Roman" w:hAnsi="Times New Roman"/>
          <w:i/>
          <w:sz w:val="18"/>
          <w:szCs w:val="18"/>
          <w:lang w:val="ms-MY"/>
        </w:rPr>
        <w:t xml:space="preserve">R. apiculata. </w:t>
      </w:r>
      <w:r w:rsidRPr="00CB0E4E">
        <w:rPr>
          <w:rFonts w:ascii="Times New Roman" w:hAnsi="Times New Roman"/>
          <w:sz w:val="18"/>
          <w:szCs w:val="18"/>
          <w:lang w:val="ms-MY"/>
        </w:rPr>
        <w:t>Kaedah mendapatkan elemen adalah dengan menggunakan spektrometer pancaran optikal- gandingan aruhan plasma (ICP-OES). Purata jumlah elemen dalam kajian ini dicatat dalam kedudukan menurun daripada Ca &gt; Na &gt; K &gt; Mg &gt; Mn &gt; Al &gt; Fe &gt; Zn &gt; Cu &gt; Pb &gt;</w:t>
      </w:r>
      <w:r>
        <w:rPr>
          <w:rFonts w:ascii="Times New Roman" w:hAnsi="Times New Roman"/>
          <w:sz w:val="18"/>
          <w:szCs w:val="18"/>
          <w:lang w:val="ms-MY"/>
        </w:rPr>
        <w:t xml:space="preserve"> </w:t>
      </w:r>
      <w:r w:rsidRPr="00CB0E4E">
        <w:rPr>
          <w:rFonts w:ascii="Times New Roman" w:hAnsi="Times New Roman"/>
          <w:sz w:val="18"/>
          <w:szCs w:val="18"/>
          <w:lang w:val="ms-MY"/>
        </w:rPr>
        <w:t xml:space="preserve">Cd. Elemen Ca adalah tertinggi jika dibandingkan dengan elemen yang lain adalah disebabkan pokok </w:t>
      </w:r>
      <w:r w:rsidRPr="00CB0E4E">
        <w:rPr>
          <w:rFonts w:ascii="Times New Roman" w:hAnsi="Times New Roman"/>
          <w:i/>
          <w:sz w:val="18"/>
          <w:szCs w:val="18"/>
          <w:lang w:val="ms-MY"/>
        </w:rPr>
        <w:t xml:space="preserve">Rhizophora apiculata </w:t>
      </w:r>
      <w:r w:rsidRPr="00CB0E4E">
        <w:rPr>
          <w:rFonts w:ascii="Times New Roman" w:hAnsi="Times New Roman"/>
          <w:sz w:val="18"/>
          <w:szCs w:val="18"/>
          <w:lang w:val="ms-MY"/>
        </w:rPr>
        <w:t xml:space="preserve">memerlukan elemen ini untuk pembentukkan sel-sel dinding. Jumlah elemen yang pelbagai adalah disebabkan daripada cara mekanisma penyerapan pokok tersebut. Makroelemen tinggi dari mikroelemen adalah disebabkan makroelemen memerlukan sejumlah besar untuk proses tumbesaran pokok. Elemen Pb dan Cd dicatat rendah dibandingkan element lain disebabkan elemen ini tidak terlibat secara terus dalam proses utama tumbesaran pokok ini. Kajian ini dikaji adalah untuk rujukan bagi spesis </w:t>
      </w:r>
      <w:r w:rsidRPr="00CB0E4E">
        <w:rPr>
          <w:rFonts w:ascii="Times New Roman" w:hAnsi="Times New Roman"/>
          <w:i/>
          <w:sz w:val="18"/>
          <w:szCs w:val="18"/>
          <w:lang w:val="ms-MY"/>
        </w:rPr>
        <w:t xml:space="preserve">Rhizophora apiculata </w:t>
      </w:r>
      <w:r w:rsidRPr="00CB0E4E">
        <w:rPr>
          <w:rFonts w:ascii="Times New Roman" w:hAnsi="Times New Roman"/>
          <w:sz w:val="18"/>
          <w:szCs w:val="18"/>
          <w:lang w:val="ms-MY"/>
        </w:rPr>
        <w:t>dan ini adalah penting bagi pembuatan industri arang kayu di Kuala Sepetang, Perak.</w:t>
      </w:r>
    </w:p>
    <w:p w:rsidR="00B864C2" w:rsidRPr="00CB0E4E" w:rsidRDefault="00B864C2" w:rsidP="00B864C2">
      <w:pPr>
        <w:spacing w:after="0" w:line="240" w:lineRule="auto"/>
        <w:jc w:val="both"/>
        <w:rPr>
          <w:rFonts w:ascii="Times New Roman" w:hAnsi="Times New Roman"/>
          <w:sz w:val="18"/>
          <w:szCs w:val="18"/>
          <w:lang w:val="ms-MY"/>
        </w:rPr>
      </w:pPr>
    </w:p>
    <w:p w:rsidR="006768E9" w:rsidRDefault="00B864C2" w:rsidP="00B864C2">
      <w:pPr>
        <w:spacing w:after="0" w:line="240" w:lineRule="auto"/>
        <w:jc w:val="both"/>
        <w:rPr>
          <w:rFonts w:ascii="Times New Roman" w:hAnsi="Times New Roman"/>
          <w:noProof/>
          <w:sz w:val="20"/>
          <w:szCs w:val="20"/>
          <w:lang w:bidi="ar-SA"/>
        </w:rPr>
      </w:pPr>
      <w:r w:rsidRPr="00CB0E4E">
        <w:rPr>
          <w:rFonts w:ascii="Times New Roman" w:hAnsi="Times New Roman"/>
          <w:b/>
          <w:sz w:val="18"/>
          <w:szCs w:val="18"/>
          <w:lang w:val="ms-MY"/>
        </w:rPr>
        <w:t>Kata kunci:</w:t>
      </w:r>
      <w:r>
        <w:rPr>
          <w:rFonts w:ascii="Times New Roman" w:hAnsi="Times New Roman"/>
          <w:sz w:val="18"/>
          <w:szCs w:val="18"/>
          <w:lang w:val="ms-MY"/>
        </w:rPr>
        <w:t xml:space="preserve">  </w:t>
      </w:r>
      <w:r w:rsidRPr="00CB0E4E">
        <w:rPr>
          <w:rFonts w:ascii="Times New Roman" w:hAnsi="Times New Roman"/>
          <w:sz w:val="18"/>
          <w:szCs w:val="18"/>
          <w:lang w:val="ms-MY"/>
        </w:rPr>
        <w:t xml:space="preserve">Hutan bakau, </w:t>
      </w:r>
      <w:r w:rsidRPr="00CB0E4E">
        <w:rPr>
          <w:rFonts w:ascii="Times New Roman" w:hAnsi="Times New Roman"/>
          <w:i/>
          <w:sz w:val="18"/>
          <w:szCs w:val="20"/>
          <w:lang w:val="en-GB"/>
        </w:rPr>
        <w:t xml:space="preserve">Rhizophora </w:t>
      </w:r>
      <w:r w:rsidRPr="00CB0E4E">
        <w:rPr>
          <w:rFonts w:ascii="Times New Roman" w:hAnsi="Times New Roman"/>
          <w:i/>
          <w:sz w:val="18"/>
          <w:szCs w:val="20"/>
          <w:lang w:val="ms-MY"/>
        </w:rPr>
        <w:t>apiculata</w:t>
      </w:r>
      <w:r w:rsidRPr="00CB0E4E">
        <w:rPr>
          <w:rFonts w:ascii="Times New Roman" w:hAnsi="Times New Roman"/>
          <w:sz w:val="18"/>
          <w:szCs w:val="20"/>
          <w:lang w:val="ms-MY"/>
        </w:rPr>
        <w:t>, makroelemen, mikroelemen, elemen tak perlu</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864C2" w:rsidRPr="00B864C2" w:rsidRDefault="00B864C2" w:rsidP="00B864C2">
      <w:pPr>
        <w:spacing w:after="0" w:line="240" w:lineRule="auto"/>
        <w:jc w:val="both"/>
        <w:rPr>
          <w:rFonts w:ascii="Times New Roman" w:hAnsi="Times New Roman"/>
          <w:sz w:val="20"/>
          <w:szCs w:val="20"/>
          <w:lang w:val="en-GB"/>
        </w:rPr>
      </w:pPr>
      <w:r w:rsidRPr="00B864C2">
        <w:rPr>
          <w:rFonts w:ascii="Times New Roman" w:hAnsi="Times New Roman"/>
          <w:sz w:val="20"/>
          <w:szCs w:val="20"/>
          <w:lang w:val="en-GB"/>
        </w:rPr>
        <w:t>Mangrove is a dominant coastal vegetation community in tropical Asia where Malaysia-Indonesia is the centre of distribution [1]. There are over 15 million hectares of mangrove forest in over 121 countries [2, 3]. River deltas, lagoons, and estuaries are mostly preferred for the growth of mangrove plants due the special adaptation in saline environment. These areas are well adapted for the life in the tidal habitat [4]. Previous reports revealed that mangrove area is one of the most productive environments [5, 6]. The distribution of mangrove forest in Peninsular Malaysia is relatively dense in the west than the east coast. For example, Kuala Sepetang in Perak is known with its diversity of mangrove species and is very clear in forest zonation.</w:t>
      </w:r>
    </w:p>
    <w:p w:rsidR="00B864C2" w:rsidRPr="00B864C2" w:rsidRDefault="00B864C2" w:rsidP="00B864C2">
      <w:pPr>
        <w:spacing w:after="0" w:line="240" w:lineRule="auto"/>
        <w:jc w:val="both"/>
        <w:rPr>
          <w:rFonts w:ascii="Times New Roman" w:hAnsi="Times New Roman"/>
          <w:sz w:val="20"/>
          <w:szCs w:val="20"/>
          <w:lang w:val="en-GB"/>
        </w:rPr>
      </w:pPr>
    </w:p>
    <w:p w:rsidR="00B864C2" w:rsidRPr="00B864C2" w:rsidRDefault="00B864C2" w:rsidP="00B864C2">
      <w:pPr>
        <w:spacing w:after="0" w:line="240" w:lineRule="auto"/>
        <w:jc w:val="both"/>
        <w:rPr>
          <w:rFonts w:ascii="Times New Roman" w:hAnsi="Times New Roman"/>
          <w:sz w:val="20"/>
          <w:szCs w:val="20"/>
          <w:lang w:val="en-GB"/>
        </w:rPr>
      </w:pPr>
      <w:r w:rsidRPr="00B864C2">
        <w:rPr>
          <w:rFonts w:ascii="Times New Roman" w:hAnsi="Times New Roman"/>
          <w:sz w:val="20"/>
          <w:szCs w:val="20"/>
          <w:lang w:val="en-GB"/>
        </w:rPr>
        <w:t xml:space="preserve">High density of mangrove trees helps in trapping sediments carried by rivers. This results in high sedimentation rate in mangrove forests and provides a good condition for </w:t>
      </w:r>
      <w:r w:rsidRPr="00B864C2">
        <w:rPr>
          <w:rStyle w:val="hps"/>
          <w:rFonts w:ascii="Times New Roman" w:hAnsi="Times New Roman"/>
          <w:sz w:val="20"/>
          <w:szCs w:val="20"/>
          <w:lang w:val="en-GB"/>
        </w:rPr>
        <w:t>elemental deposition</w:t>
      </w:r>
      <w:r w:rsidRPr="00B864C2">
        <w:rPr>
          <w:rFonts w:ascii="Times New Roman" w:hAnsi="Times New Roman"/>
          <w:sz w:val="20"/>
          <w:szCs w:val="20"/>
          <w:lang w:val="en-GB"/>
        </w:rPr>
        <w:t xml:space="preserve"> with sediment deposits. The deposited elements will be absorbed by roots and distributed to the different parts of the mangrove tree. Consequently, a mangrove tree can be a suitable indicator of metal pollution because it has a high tolerance to metal accumulation and acts as long-term sinks for most metals [7, 8].</w:t>
      </w:r>
    </w:p>
    <w:p w:rsidR="00B864C2" w:rsidRPr="00B864C2" w:rsidRDefault="00B864C2" w:rsidP="00B864C2">
      <w:pPr>
        <w:spacing w:after="0" w:line="240" w:lineRule="auto"/>
        <w:jc w:val="both"/>
        <w:rPr>
          <w:rFonts w:ascii="Times New Roman" w:hAnsi="Times New Roman"/>
          <w:sz w:val="20"/>
          <w:szCs w:val="20"/>
          <w:lang w:val="en-GB"/>
        </w:rPr>
      </w:pPr>
    </w:p>
    <w:p w:rsidR="00B864C2" w:rsidRPr="00B864C2" w:rsidRDefault="00B864C2" w:rsidP="00B864C2">
      <w:pPr>
        <w:spacing w:after="0" w:line="240" w:lineRule="auto"/>
        <w:jc w:val="both"/>
        <w:rPr>
          <w:rFonts w:ascii="Times New Roman" w:hAnsi="Times New Roman"/>
          <w:sz w:val="20"/>
          <w:szCs w:val="20"/>
          <w:lang w:val="en-GB"/>
        </w:rPr>
      </w:pPr>
      <w:r w:rsidRPr="00B864C2">
        <w:rPr>
          <w:rFonts w:ascii="Times New Roman" w:hAnsi="Times New Roman"/>
          <w:sz w:val="20"/>
          <w:szCs w:val="20"/>
          <w:lang w:val="en-GB"/>
        </w:rPr>
        <w:t xml:space="preserve">Studies on element contents in different parts of a mangrove tree in tropical environments, including Malaysia, are not well documented. To the best of our knowledge, there is only two published works in Malaysia, reported by Kamaruzaman and Ong [9] in Setiu Wetlands, Terengganu and Kamaruzzaman et al [10] in Balok, Pahang. However, their study is limited on some elements without focusing on the elemental content in the different parts of a mangrove tree. Thus, in this study, the concentration of macroelements (K, Mg, Na, and Ca), microelements (Al, Fe, Zn, Mn, and Cu), and non-essential elements (Pb and Cd) in roots, stem disks, barks, branches, twigs, and leaves of </w:t>
      </w:r>
      <w:r w:rsidRPr="00B864C2">
        <w:rPr>
          <w:rFonts w:ascii="Times New Roman" w:hAnsi="Times New Roman"/>
          <w:i/>
          <w:sz w:val="20"/>
          <w:szCs w:val="20"/>
          <w:lang w:val="en-GB"/>
        </w:rPr>
        <w:t>Rhizophora apiculata</w:t>
      </w:r>
      <w:r w:rsidRPr="00B864C2">
        <w:rPr>
          <w:rFonts w:ascii="Times New Roman" w:hAnsi="Times New Roman"/>
          <w:sz w:val="20"/>
          <w:szCs w:val="20"/>
          <w:lang w:val="en-GB"/>
        </w:rPr>
        <w:t xml:space="preserve"> in the mangrove reserve forest of Kuala Sepetang was investigated.</w:t>
      </w:r>
    </w:p>
    <w:p w:rsidR="00B864C2" w:rsidRPr="00B864C2" w:rsidRDefault="00B864C2" w:rsidP="00B864C2">
      <w:pPr>
        <w:spacing w:after="0" w:line="240" w:lineRule="auto"/>
        <w:jc w:val="center"/>
        <w:outlineLvl w:val="0"/>
        <w:rPr>
          <w:rFonts w:ascii="Times New Roman" w:hAnsi="Times New Roman"/>
          <w:sz w:val="20"/>
          <w:szCs w:val="20"/>
          <w:lang w:val="en-GB"/>
        </w:rPr>
      </w:pPr>
    </w:p>
    <w:p w:rsidR="00B864C2" w:rsidRPr="00B864C2" w:rsidRDefault="00B864C2" w:rsidP="00B864C2">
      <w:pPr>
        <w:spacing w:after="0" w:line="240" w:lineRule="auto"/>
        <w:jc w:val="center"/>
        <w:outlineLvl w:val="0"/>
        <w:rPr>
          <w:rFonts w:ascii="Times New Roman" w:hAnsi="Times New Roman"/>
          <w:b/>
          <w:sz w:val="20"/>
          <w:szCs w:val="20"/>
          <w:lang w:val="en-GB"/>
        </w:rPr>
      </w:pPr>
      <w:r w:rsidRPr="00B864C2">
        <w:rPr>
          <w:rFonts w:ascii="Times New Roman" w:hAnsi="Times New Roman"/>
          <w:b/>
          <w:sz w:val="20"/>
          <w:szCs w:val="20"/>
          <w:lang w:val="en-GB"/>
        </w:rPr>
        <w:t>Materials and Methods</w:t>
      </w:r>
    </w:p>
    <w:p w:rsidR="00B864C2" w:rsidRPr="00B864C2" w:rsidRDefault="00B864C2" w:rsidP="00B864C2">
      <w:pPr>
        <w:spacing w:after="0" w:line="240" w:lineRule="auto"/>
        <w:jc w:val="both"/>
        <w:rPr>
          <w:rFonts w:ascii="Times New Roman" w:hAnsi="Times New Roman"/>
          <w:b/>
          <w:sz w:val="20"/>
          <w:szCs w:val="20"/>
          <w:lang w:val="en-GB"/>
        </w:rPr>
      </w:pPr>
      <w:r w:rsidRPr="00B864C2">
        <w:rPr>
          <w:rFonts w:ascii="Times New Roman" w:hAnsi="Times New Roman"/>
          <w:b/>
          <w:sz w:val="20"/>
          <w:szCs w:val="20"/>
          <w:lang w:val="en-GB"/>
        </w:rPr>
        <w:t>Description of study area</w:t>
      </w:r>
    </w:p>
    <w:p w:rsidR="00B864C2" w:rsidRPr="00B864C2" w:rsidRDefault="00B864C2" w:rsidP="00B864C2">
      <w:pPr>
        <w:spacing w:after="0" w:line="240" w:lineRule="auto"/>
        <w:jc w:val="both"/>
        <w:rPr>
          <w:rFonts w:ascii="Times New Roman" w:hAnsi="Times New Roman"/>
          <w:sz w:val="20"/>
          <w:szCs w:val="20"/>
          <w:lang w:val="en-GB"/>
        </w:rPr>
      </w:pPr>
      <w:r w:rsidRPr="00B864C2">
        <w:rPr>
          <w:rFonts w:ascii="Times New Roman" w:hAnsi="Times New Roman"/>
          <w:sz w:val="20"/>
          <w:szCs w:val="20"/>
          <w:lang w:val="en-GB"/>
        </w:rPr>
        <w:t xml:space="preserve">Kuala Sepetang Reserved Forest, Perak is located near Kuala Larut and the intersection between Sangga Besar River and Sepetang River. The Forestry Department of Perak has implemented a systematic plantation and harvesting of mangrove tree from the species of </w:t>
      </w:r>
      <w:r w:rsidRPr="00B864C2">
        <w:rPr>
          <w:rFonts w:ascii="Times New Roman" w:hAnsi="Times New Roman"/>
          <w:i/>
          <w:sz w:val="20"/>
          <w:szCs w:val="20"/>
          <w:lang w:val="en-GB"/>
        </w:rPr>
        <w:t>Rhizophora apiculata</w:t>
      </w:r>
      <w:r w:rsidRPr="00B864C2">
        <w:rPr>
          <w:rFonts w:ascii="Times New Roman" w:hAnsi="Times New Roman"/>
          <w:sz w:val="20"/>
          <w:szCs w:val="20"/>
          <w:lang w:val="en-GB"/>
        </w:rPr>
        <w:t xml:space="preserve"> and </w:t>
      </w:r>
      <w:r w:rsidRPr="00B864C2">
        <w:rPr>
          <w:rFonts w:ascii="Times New Roman" w:hAnsi="Times New Roman"/>
          <w:i/>
          <w:sz w:val="20"/>
          <w:szCs w:val="20"/>
          <w:lang w:val="en-GB"/>
        </w:rPr>
        <w:t>Rhizophora mucronata</w:t>
      </w:r>
      <w:r w:rsidRPr="00B864C2">
        <w:rPr>
          <w:rFonts w:ascii="Times New Roman" w:hAnsi="Times New Roman"/>
          <w:sz w:val="20"/>
          <w:szCs w:val="20"/>
          <w:lang w:val="en-GB"/>
        </w:rPr>
        <w:t xml:space="preserve"> for charcoal industry. They divided this large forest area into several compartments in order to manage it appropriately. The study area is located far from human settlement and there is no development occurred within the gazetted area. There is a small river called Terusan Tima that is located near to the sampling location. The coordinate of each sampling location is tabulated in Table 1. </w:t>
      </w:r>
    </w:p>
    <w:p w:rsidR="00B864C2" w:rsidRPr="00B864C2" w:rsidRDefault="00B864C2" w:rsidP="00B864C2">
      <w:pPr>
        <w:spacing w:after="120" w:line="240" w:lineRule="auto"/>
        <w:jc w:val="both"/>
        <w:rPr>
          <w:rFonts w:ascii="Times New Roman" w:hAnsi="Times New Roman"/>
          <w:sz w:val="20"/>
          <w:szCs w:val="20"/>
          <w:lang w:val="en-GB"/>
        </w:rPr>
      </w:pPr>
    </w:p>
    <w:p w:rsidR="00B864C2" w:rsidRPr="00B864C2" w:rsidRDefault="00B864C2" w:rsidP="00B864C2">
      <w:pPr>
        <w:spacing w:after="120" w:line="240" w:lineRule="auto"/>
        <w:jc w:val="center"/>
        <w:rPr>
          <w:rFonts w:ascii="Times New Roman" w:hAnsi="Times New Roman"/>
          <w:sz w:val="20"/>
          <w:szCs w:val="20"/>
        </w:rPr>
      </w:pPr>
      <w:r w:rsidRPr="00B864C2">
        <w:rPr>
          <w:rFonts w:ascii="Times New Roman" w:hAnsi="Times New Roman"/>
          <w:sz w:val="20"/>
          <w:szCs w:val="20"/>
        </w:rPr>
        <w:t xml:space="preserve">Table 1. </w:t>
      </w:r>
      <w:r>
        <w:rPr>
          <w:rFonts w:ascii="Times New Roman" w:hAnsi="Times New Roman"/>
          <w:sz w:val="20"/>
          <w:szCs w:val="20"/>
        </w:rPr>
        <w:t xml:space="preserve"> </w:t>
      </w:r>
      <w:r w:rsidRPr="00B864C2">
        <w:rPr>
          <w:rFonts w:ascii="Times New Roman" w:hAnsi="Times New Roman"/>
          <w:sz w:val="20"/>
          <w:szCs w:val="20"/>
        </w:rPr>
        <w:t>The coordinate of each sampling locations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2185"/>
        <w:gridCol w:w="2062"/>
      </w:tblGrid>
      <w:tr w:rsidR="00B864C2" w:rsidRPr="00B864C2" w:rsidTr="00B864C2">
        <w:trPr>
          <w:jc w:val="center"/>
        </w:trPr>
        <w:tc>
          <w:tcPr>
            <w:tcW w:w="1614" w:type="dxa"/>
            <w:tcBorders>
              <w:top w:val="single" w:sz="4" w:space="0" w:color="auto"/>
              <w:bottom w:val="single" w:sz="4" w:space="0" w:color="auto"/>
            </w:tcBorders>
            <w:shd w:val="clear" w:color="auto" w:fill="auto"/>
            <w:vAlign w:val="center"/>
          </w:tcPr>
          <w:p w:rsidR="00B864C2" w:rsidRPr="00B864C2" w:rsidRDefault="00B864C2" w:rsidP="00B864C2">
            <w:pPr>
              <w:spacing w:before="60" w:after="60" w:line="240" w:lineRule="auto"/>
              <w:rPr>
                <w:rFonts w:ascii="Times New Roman" w:hAnsi="Times New Roman" w:cs="Times New Roman"/>
                <w:b/>
                <w:sz w:val="20"/>
                <w:szCs w:val="20"/>
              </w:rPr>
            </w:pPr>
            <w:r w:rsidRPr="00B864C2">
              <w:rPr>
                <w:rFonts w:ascii="Times New Roman" w:hAnsi="Times New Roman" w:cs="Times New Roman"/>
                <w:b/>
                <w:sz w:val="20"/>
                <w:szCs w:val="20"/>
              </w:rPr>
              <w:t>Sampling Point</w:t>
            </w:r>
          </w:p>
        </w:tc>
        <w:tc>
          <w:tcPr>
            <w:tcW w:w="2185" w:type="dxa"/>
            <w:tcBorders>
              <w:top w:val="single" w:sz="4" w:space="0" w:color="auto"/>
              <w:bottom w:val="single" w:sz="4" w:space="0" w:color="auto"/>
            </w:tcBorders>
            <w:shd w:val="clear" w:color="auto" w:fill="auto"/>
            <w:vAlign w:val="center"/>
          </w:tcPr>
          <w:p w:rsidR="00B864C2" w:rsidRPr="00B864C2" w:rsidRDefault="00B864C2" w:rsidP="00B864C2">
            <w:pPr>
              <w:spacing w:before="60" w:after="60" w:line="240" w:lineRule="auto"/>
              <w:jc w:val="center"/>
              <w:rPr>
                <w:rFonts w:ascii="Times New Roman" w:hAnsi="Times New Roman" w:cs="Times New Roman"/>
                <w:b/>
                <w:sz w:val="20"/>
                <w:szCs w:val="20"/>
              </w:rPr>
            </w:pPr>
            <w:r w:rsidRPr="00B864C2">
              <w:rPr>
                <w:rFonts w:ascii="Times New Roman" w:hAnsi="Times New Roman" w:cs="Times New Roman"/>
                <w:b/>
                <w:sz w:val="20"/>
                <w:szCs w:val="20"/>
              </w:rPr>
              <w:t>Latitude (N)</w:t>
            </w:r>
          </w:p>
        </w:tc>
        <w:tc>
          <w:tcPr>
            <w:tcW w:w="2062" w:type="dxa"/>
            <w:tcBorders>
              <w:top w:val="single" w:sz="4" w:space="0" w:color="auto"/>
              <w:bottom w:val="single" w:sz="4" w:space="0" w:color="auto"/>
            </w:tcBorders>
            <w:shd w:val="clear" w:color="auto" w:fill="auto"/>
            <w:vAlign w:val="center"/>
          </w:tcPr>
          <w:p w:rsidR="00B864C2" w:rsidRPr="00B864C2" w:rsidRDefault="00B864C2" w:rsidP="00B864C2">
            <w:pPr>
              <w:spacing w:before="60" w:after="60" w:line="240" w:lineRule="auto"/>
              <w:jc w:val="center"/>
              <w:rPr>
                <w:rFonts w:ascii="Times New Roman" w:hAnsi="Times New Roman" w:cs="Times New Roman"/>
                <w:b/>
                <w:sz w:val="20"/>
                <w:szCs w:val="20"/>
              </w:rPr>
            </w:pPr>
            <w:r w:rsidRPr="00B864C2">
              <w:rPr>
                <w:rFonts w:ascii="Times New Roman" w:hAnsi="Times New Roman" w:cs="Times New Roman"/>
                <w:b/>
                <w:sz w:val="20"/>
                <w:szCs w:val="20"/>
              </w:rPr>
              <w:t>Longitude (E)</w:t>
            </w:r>
          </w:p>
        </w:tc>
      </w:tr>
      <w:tr w:rsidR="00B864C2" w:rsidRPr="00B864C2" w:rsidTr="00B864C2">
        <w:trPr>
          <w:jc w:val="center"/>
        </w:trPr>
        <w:tc>
          <w:tcPr>
            <w:tcW w:w="1614" w:type="dxa"/>
            <w:tcBorders>
              <w:top w:val="single" w:sz="4" w:space="0" w:color="auto"/>
            </w:tcBorders>
            <w:vAlign w:val="center"/>
          </w:tcPr>
          <w:p w:rsidR="00B864C2" w:rsidRPr="00B864C2" w:rsidRDefault="00B864C2" w:rsidP="00B864C2">
            <w:pPr>
              <w:spacing w:before="60" w:after="0" w:line="240" w:lineRule="auto"/>
              <w:rPr>
                <w:rFonts w:ascii="Times New Roman" w:hAnsi="Times New Roman" w:cs="Times New Roman"/>
                <w:sz w:val="20"/>
                <w:szCs w:val="20"/>
              </w:rPr>
            </w:pPr>
            <w:r w:rsidRPr="00B864C2">
              <w:rPr>
                <w:rFonts w:ascii="Times New Roman" w:hAnsi="Times New Roman" w:cs="Times New Roman"/>
                <w:sz w:val="20"/>
                <w:szCs w:val="20"/>
              </w:rPr>
              <w:t>1</w:t>
            </w:r>
          </w:p>
        </w:tc>
        <w:tc>
          <w:tcPr>
            <w:tcW w:w="2185" w:type="dxa"/>
            <w:tcBorders>
              <w:top w:val="single" w:sz="4" w:space="0" w:color="auto"/>
            </w:tcBorders>
            <w:vAlign w:val="center"/>
          </w:tcPr>
          <w:p w:rsidR="00B864C2" w:rsidRPr="00B864C2" w:rsidRDefault="00B864C2" w:rsidP="00B864C2">
            <w:pPr>
              <w:spacing w:before="60" w:after="0" w:line="240" w:lineRule="auto"/>
              <w:jc w:val="center"/>
              <w:rPr>
                <w:rFonts w:ascii="Times New Roman" w:hAnsi="Times New Roman" w:cs="Times New Roman"/>
                <w:sz w:val="20"/>
                <w:szCs w:val="20"/>
              </w:rPr>
            </w:pPr>
            <w:r w:rsidRPr="00B864C2">
              <w:rPr>
                <w:rFonts w:ascii="Times New Roman" w:hAnsi="Times New Roman" w:cs="Times New Roman"/>
                <w:sz w:val="20"/>
                <w:szCs w:val="20"/>
              </w:rPr>
              <w:t>04° 50' 38.076"</w:t>
            </w:r>
          </w:p>
        </w:tc>
        <w:tc>
          <w:tcPr>
            <w:tcW w:w="2062" w:type="dxa"/>
            <w:tcBorders>
              <w:top w:val="single" w:sz="4" w:space="0" w:color="auto"/>
            </w:tcBorders>
            <w:vAlign w:val="center"/>
          </w:tcPr>
          <w:p w:rsidR="00B864C2" w:rsidRPr="00B864C2" w:rsidRDefault="00B864C2" w:rsidP="00B864C2">
            <w:pPr>
              <w:spacing w:before="60" w:after="0" w:line="240" w:lineRule="auto"/>
              <w:jc w:val="center"/>
              <w:rPr>
                <w:rFonts w:ascii="Times New Roman" w:hAnsi="Times New Roman" w:cs="Times New Roman"/>
                <w:sz w:val="20"/>
                <w:szCs w:val="20"/>
              </w:rPr>
            </w:pPr>
            <w:r w:rsidRPr="00B864C2">
              <w:rPr>
                <w:rFonts w:ascii="Times New Roman" w:hAnsi="Times New Roman" w:cs="Times New Roman"/>
                <w:sz w:val="20"/>
                <w:szCs w:val="20"/>
              </w:rPr>
              <w:t>100° 37' 11.532"</w:t>
            </w:r>
          </w:p>
        </w:tc>
      </w:tr>
      <w:tr w:rsidR="00B864C2" w:rsidRPr="00B864C2" w:rsidTr="00634753">
        <w:trPr>
          <w:jc w:val="center"/>
        </w:trPr>
        <w:tc>
          <w:tcPr>
            <w:tcW w:w="1614" w:type="dxa"/>
            <w:vAlign w:val="center"/>
          </w:tcPr>
          <w:p w:rsidR="00B864C2" w:rsidRPr="00B864C2" w:rsidRDefault="00B864C2" w:rsidP="00B864C2">
            <w:pPr>
              <w:spacing w:before="60" w:after="0" w:line="240" w:lineRule="auto"/>
              <w:rPr>
                <w:rFonts w:ascii="Times New Roman" w:hAnsi="Times New Roman" w:cs="Times New Roman"/>
                <w:sz w:val="20"/>
                <w:szCs w:val="20"/>
              </w:rPr>
            </w:pPr>
            <w:r w:rsidRPr="00B864C2">
              <w:rPr>
                <w:rFonts w:ascii="Times New Roman" w:hAnsi="Times New Roman" w:cs="Times New Roman"/>
                <w:sz w:val="20"/>
                <w:szCs w:val="20"/>
              </w:rPr>
              <w:t>2</w:t>
            </w:r>
          </w:p>
        </w:tc>
        <w:tc>
          <w:tcPr>
            <w:tcW w:w="2185" w:type="dxa"/>
            <w:vAlign w:val="center"/>
          </w:tcPr>
          <w:p w:rsidR="00B864C2" w:rsidRPr="00B864C2" w:rsidRDefault="00B864C2" w:rsidP="00B864C2">
            <w:pPr>
              <w:spacing w:before="60" w:after="0" w:line="240" w:lineRule="auto"/>
              <w:jc w:val="center"/>
              <w:rPr>
                <w:rFonts w:ascii="Times New Roman" w:hAnsi="Times New Roman" w:cs="Times New Roman"/>
                <w:sz w:val="20"/>
                <w:szCs w:val="20"/>
              </w:rPr>
            </w:pPr>
            <w:r w:rsidRPr="00B864C2">
              <w:rPr>
                <w:rFonts w:ascii="Times New Roman" w:hAnsi="Times New Roman" w:cs="Times New Roman"/>
                <w:sz w:val="20"/>
                <w:szCs w:val="20"/>
              </w:rPr>
              <w:t>04° 50' 38.760"</w:t>
            </w:r>
          </w:p>
        </w:tc>
        <w:tc>
          <w:tcPr>
            <w:tcW w:w="2062" w:type="dxa"/>
            <w:vAlign w:val="center"/>
          </w:tcPr>
          <w:p w:rsidR="00B864C2" w:rsidRPr="00B864C2" w:rsidRDefault="00B864C2" w:rsidP="00B864C2">
            <w:pPr>
              <w:spacing w:before="60" w:after="0" w:line="240" w:lineRule="auto"/>
              <w:jc w:val="center"/>
              <w:rPr>
                <w:rFonts w:ascii="Times New Roman" w:hAnsi="Times New Roman" w:cs="Times New Roman"/>
                <w:sz w:val="20"/>
                <w:szCs w:val="20"/>
              </w:rPr>
            </w:pPr>
            <w:r w:rsidRPr="00B864C2">
              <w:rPr>
                <w:rFonts w:ascii="Times New Roman" w:hAnsi="Times New Roman" w:cs="Times New Roman"/>
                <w:sz w:val="20"/>
                <w:szCs w:val="20"/>
              </w:rPr>
              <w:t>100° 37' 10.704"</w:t>
            </w:r>
          </w:p>
        </w:tc>
      </w:tr>
      <w:tr w:rsidR="00B864C2" w:rsidRPr="00B864C2" w:rsidTr="00634753">
        <w:trPr>
          <w:jc w:val="center"/>
        </w:trPr>
        <w:tc>
          <w:tcPr>
            <w:tcW w:w="1614" w:type="dxa"/>
            <w:vAlign w:val="center"/>
          </w:tcPr>
          <w:p w:rsidR="00B864C2" w:rsidRPr="00B864C2" w:rsidRDefault="00B864C2" w:rsidP="00B864C2">
            <w:pPr>
              <w:spacing w:before="60" w:after="0" w:line="240" w:lineRule="auto"/>
              <w:rPr>
                <w:rFonts w:ascii="Times New Roman" w:hAnsi="Times New Roman" w:cs="Times New Roman"/>
                <w:sz w:val="20"/>
                <w:szCs w:val="20"/>
              </w:rPr>
            </w:pPr>
            <w:r w:rsidRPr="00B864C2">
              <w:rPr>
                <w:rFonts w:ascii="Times New Roman" w:hAnsi="Times New Roman" w:cs="Times New Roman"/>
                <w:sz w:val="20"/>
                <w:szCs w:val="20"/>
              </w:rPr>
              <w:t>3</w:t>
            </w:r>
          </w:p>
        </w:tc>
        <w:tc>
          <w:tcPr>
            <w:tcW w:w="2185" w:type="dxa"/>
            <w:vAlign w:val="center"/>
          </w:tcPr>
          <w:p w:rsidR="00B864C2" w:rsidRPr="00B864C2" w:rsidRDefault="00B864C2" w:rsidP="00B864C2">
            <w:pPr>
              <w:spacing w:before="60" w:after="0" w:line="240" w:lineRule="auto"/>
              <w:jc w:val="center"/>
              <w:rPr>
                <w:rFonts w:ascii="Times New Roman" w:hAnsi="Times New Roman" w:cs="Times New Roman"/>
                <w:sz w:val="20"/>
                <w:szCs w:val="20"/>
              </w:rPr>
            </w:pPr>
            <w:r w:rsidRPr="00B864C2">
              <w:rPr>
                <w:rFonts w:ascii="Times New Roman" w:hAnsi="Times New Roman" w:cs="Times New Roman"/>
                <w:sz w:val="20"/>
                <w:szCs w:val="20"/>
              </w:rPr>
              <w:t>04° 50' 38.760"</w:t>
            </w:r>
          </w:p>
        </w:tc>
        <w:tc>
          <w:tcPr>
            <w:tcW w:w="2062" w:type="dxa"/>
            <w:vAlign w:val="center"/>
          </w:tcPr>
          <w:p w:rsidR="00B864C2" w:rsidRPr="00B864C2" w:rsidRDefault="00B864C2" w:rsidP="00B864C2">
            <w:pPr>
              <w:spacing w:before="60" w:after="0" w:line="240" w:lineRule="auto"/>
              <w:jc w:val="center"/>
              <w:rPr>
                <w:rFonts w:ascii="Times New Roman" w:hAnsi="Times New Roman" w:cs="Times New Roman"/>
                <w:sz w:val="20"/>
                <w:szCs w:val="20"/>
              </w:rPr>
            </w:pPr>
            <w:r w:rsidRPr="00B864C2">
              <w:rPr>
                <w:rFonts w:ascii="Times New Roman" w:hAnsi="Times New Roman" w:cs="Times New Roman"/>
                <w:sz w:val="20"/>
                <w:szCs w:val="20"/>
              </w:rPr>
              <w:t>100° 37' 10.596"</w:t>
            </w:r>
          </w:p>
        </w:tc>
      </w:tr>
      <w:tr w:rsidR="00B864C2" w:rsidRPr="00B864C2" w:rsidTr="00B864C2">
        <w:trPr>
          <w:jc w:val="center"/>
        </w:trPr>
        <w:tc>
          <w:tcPr>
            <w:tcW w:w="1614" w:type="dxa"/>
            <w:tcBorders>
              <w:bottom w:val="nil"/>
            </w:tcBorders>
            <w:vAlign w:val="center"/>
          </w:tcPr>
          <w:p w:rsidR="00B864C2" w:rsidRPr="00B864C2" w:rsidRDefault="00B864C2" w:rsidP="00B864C2">
            <w:pPr>
              <w:spacing w:before="60" w:after="0" w:line="240" w:lineRule="auto"/>
              <w:rPr>
                <w:rFonts w:ascii="Times New Roman" w:hAnsi="Times New Roman" w:cs="Times New Roman"/>
                <w:sz w:val="20"/>
                <w:szCs w:val="20"/>
              </w:rPr>
            </w:pPr>
            <w:r w:rsidRPr="00B864C2">
              <w:rPr>
                <w:rFonts w:ascii="Times New Roman" w:hAnsi="Times New Roman" w:cs="Times New Roman"/>
                <w:sz w:val="20"/>
                <w:szCs w:val="20"/>
              </w:rPr>
              <w:t>4</w:t>
            </w:r>
          </w:p>
        </w:tc>
        <w:tc>
          <w:tcPr>
            <w:tcW w:w="2185" w:type="dxa"/>
            <w:tcBorders>
              <w:bottom w:val="nil"/>
            </w:tcBorders>
            <w:vAlign w:val="center"/>
          </w:tcPr>
          <w:p w:rsidR="00B864C2" w:rsidRPr="00B864C2" w:rsidRDefault="00B864C2" w:rsidP="00B864C2">
            <w:pPr>
              <w:spacing w:before="60" w:after="0" w:line="240" w:lineRule="auto"/>
              <w:jc w:val="center"/>
              <w:rPr>
                <w:rFonts w:ascii="Times New Roman" w:hAnsi="Times New Roman" w:cs="Times New Roman"/>
                <w:sz w:val="20"/>
                <w:szCs w:val="20"/>
              </w:rPr>
            </w:pPr>
            <w:r w:rsidRPr="00B864C2">
              <w:rPr>
                <w:rFonts w:ascii="Times New Roman" w:hAnsi="Times New Roman" w:cs="Times New Roman"/>
                <w:sz w:val="20"/>
                <w:szCs w:val="20"/>
              </w:rPr>
              <w:t>04° 50' 38.184"</w:t>
            </w:r>
          </w:p>
        </w:tc>
        <w:tc>
          <w:tcPr>
            <w:tcW w:w="2062" w:type="dxa"/>
            <w:tcBorders>
              <w:bottom w:val="nil"/>
            </w:tcBorders>
            <w:vAlign w:val="center"/>
          </w:tcPr>
          <w:p w:rsidR="00B864C2" w:rsidRPr="00B864C2" w:rsidRDefault="00B864C2" w:rsidP="00B864C2">
            <w:pPr>
              <w:spacing w:before="60" w:after="0" w:line="240" w:lineRule="auto"/>
              <w:jc w:val="center"/>
              <w:rPr>
                <w:rFonts w:ascii="Times New Roman" w:hAnsi="Times New Roman" w:cs="Times New Roman"/>
                <w:sz w:val="20"/>
                <w:szCs w:val="20"/>
              </w:rPr>
            </w:pPr>
            <w:r w:rsidRPr="00B864C2">
              <w:rPr>
                <w:rFonts w:ascii="Times New Roman" w:hAnsi="Times New Roman" w:cs="Times New Roman"/>
                <w:sz w:val="20"/>
                <w:szCs w:val="20"/>
              </w:rPr>
              <w:t>100° 37' 09.444"</w:t>
            </w:r>
          </w:p>
        </w:tc>
      </w:tr>
      <w:tr w:rsidR="00B864C2" w:rsidRPr="00B864C2" w:rsidTr="00B864C2">
        <w:trPr>
          <w:jc w:val="center"/>
        </w:trPr>
        <w:tc>
          <w:tcPr>
            <w:tcW w:w="1614" w:type="dxa"/>
            <w:tcBorders>
              <w:bottom w:val="single" w:sz="4" w:space="0" w:color="auto"/>
            </w:tcBorders>
            <w:vAlign w:val="center"/>
          </w:tcPr>
          <w:p w:rsidR="00B864C2" w:rsidRPr="00B864C2" w:rsidRDefault="00B864C2" w:rsidP="00B864C2">
            <w:pPr>
              <w:spacing w:before="60" w:after="60" w:line="240" w:lineRule="auto"/>
              <w:rPr>
                <w:rFonts w:ascii="Times New Roman" w:hAnsi="Times New Roman" w:cs="Times New Roman"/>
                <w:sz w:val="20"/>
                <w:szCs w:val="20"/>
              </w:rPr>
            </w:pPr>
            <w:r w:rsidRPr="00B864C2">
              <w:rPr>
                <w:rFonts w:ascii="Times New Roman" w:hAnsi="Times New Roman" w:cs="Times New Roman"/>
                <w:sz w:val="20"/>
                <w:szCs w:val="20"/>
              </w:rPr>
              <w:t>5</w:t>
            </w:r>
          </w:p>
        </w:tc>
        <w:tc>
          <w:tcPr>
            <w:tcW w:w="2185" w:type="dxa"/>
            <w:tcBorders>
              <w:bottom w:val="single" w:sz="4" w:space="0" w:color="auto"/>
            </w:tcBorders>
            <w:vAlign w:val="center"/>
          </w:tcPr>
          <w:p w:rsidR="00B864C2" w:rsidRPr="00B864C2" w:rsidRDefault="00B864C2" w:rsidP="00B864C2">
            <w:pPr>
              <w:spacing w:before="60" w:after="60" w:line="240" w:lineRule="auto"/>
              <w:jc w:val="center"/>
              <w:rPr>
                <w:rFonts w:ascii="Times New Roman" w:hAnsi="Times New Roman" w:cs="Times New Roman"/>
                <w:sz w:val="20"/>
                <w:szCs w:val="20"/>
              </w:rPr>
            </w:pPr>
            <w:r w:rsidRPr="00B864C2">
              <w:rPr>
                <w:rFonts w:ascii="Times New Roman" w:hAnsi="Times New Roman" w:cs="Times New Roman"/>
                <w:sz w:val="20"/>
                <w:szCs w:val="20"/>
              </w:rPr>
              <w:t>04° 50' 37.464"</w:t>
            </w:r>
          </w:p>
        </w:tc>
        <w:tc>
          <w:tcPr>
            <w:tcW w:w="2062" w:type="dxa"/>
            <w:tcBorders>
              <w:bottom w:val="single" w:sz="4" w:space="0" w:color="auto"/>
            </w:tcBorders>
            <w:vAlign w:val="center"/>
          </w:tcPr>
          <w:p w:rsidR="00B864C2" w:rsidRPr="00B864C2" w:rsidRDefault="00B864C2" w:rsidP="00B864C2">
            <w:pPr>
              <w:spacing w:before="60" w:after="60" w:line="240" w:lineRule="auto"/>
              <w:jc w:val="center"/>
              <w:rPr>
                <w:rFonts w:ascii="Times New Roman" w:hAnsi="Times New Roman" w:cs="Times New Roman"/>
                <w:sz w:val="20"/>
                <w:szCs w:val="20"/>
              </w:rPr>
            </w:pPr>
            <w:r w:rsidRPr="00B864C2">
              <w:rPr>
                <w:rFonts w:ascii="Times New Roman" w:hAnsi="Times New Roman" w:cs="Times New Roman"/>
                <w:sz w:val="20"/>
                <w:szCs w:val="20"/>
              </w:rPr>
              <w:t>100° 37' 10.020"</w:t>
            </w:r>
          </w:p>
        </w:tc>
      </w:tr>
    </w:tbl>
    <w:p w:rsidR="00B864C2" w:rsidRPr="00B864C2" w:rsidRDefault="00B864C2" w:rsidP="00B864C2">
      <w:pPr>
        <w:spacing w:after="120" w:line="240" w:lineRule="auto"/>
        <w:jc w:val="both"/>
        <w:rPr>
          <w:rFonts w:ascii="Times New Roman" w:hAnsi="Times New Roman"/>
          <w:b/>
          <w:sz w:val="20"/>
          <w:szCs w:val="20"/>
          <w:lang w:val="en-GB"/>
        </w:rPr>
      </w:pPr>
    </w:p>
    <w:p w:rsidR="00B864C2" w:rsidRPr="00B864C2" w:rsidRDefault="00B864C2" w:rsidP="00B864C2">
      <w:pPr>
        <w:spacing w:after="0" w:line="240" w:lineRule="auto"/>
        <w:jc w:val="both"/>
        <w:rPr>
          <w:rFonts w:ascii="Times New Roman" w:hAnsi="Times New Roman"/>
          <w:b/>
          <w:sz w:val="20"/>
          <w:szCs w:val="20"/>
          <w:lang w:val="en-GB"/>
        </w:rPr>
      </w:pPr>
      <w:r w:rsidRPr="00B864C2">
        <w:rPr>
          <w:rFonts w:ascii="Times New Roman" w:hAnsi="Times New Roman"/>
          <w:b/>
          <w:sz w:val="20"/>
          <w:szCs w:val="20"/>
          <w:lang w:val="en-GB"/>
        </w:rPr>
        <w:t xml:space="preserve">Sample collection and preparation </w:t>
      </w:r>
    </w:p>
    <w:p w:rsidR="00B864C2" w:rsidRPr="00B864C2" w:rsidRDefault="00B864C2" w:rsidP="00B864C2">
      <w:pPr>
        <w:spacing w:after="0" w:line="240" w:lineRule="auto"/>
        <w:jc w:val="both"/>
        <w:rPr>
          <w:rFonts w:ascii="Times New Roman" w:hAnsi="Times New Roman"/>
          <w:sz w:val="20"/>
          <w:szCs w:val="20"/>
          <w:lang w:val="en-GB"/>
        </w:rPr>
      </w:pPr>
      <w:r w:rsidRPr="00B864C2">
        <w:rPr>
          <w:rFonts w:ascii="Times New Roman" w:hAnsi="Times New Roman"/>
          <w:sz w:val="20"/>
          <w:szCs w:val="20"/>
          <w:lang w:val="en-GB"/>
        </w:rPr>
        <w:t xml:space="preserve">Five individuals of 20-year-old </w:t>
      </w:r>
      <w:r w:rsidRPr="00B864C2">
        <w:rPr>
          <w:rFonts w:ascii="Times New Roman" w:hAnsi="Times New Roman"/>
          <w:i/>
          <w:sz w:val="20"/>
          <w:szCs w:val="20"/>
          <w:lang w:val="en-GB"/>
        </w:rPr>
        <w:t>R. apiculata</w:t>
      </w:r>
      <w:r w:rsidRPr="00B864C2">
        <w:rPr>
          <w:rFonts w:ascii="Times New Roman" w:hAnsi="Times New Roman"/>
          <w:sz w:val="20"/>
          <w:szCs w:val="20"/>
          <w:lang w:val="en-GB"/>
        </w:rPr>
        <w:t xml:space="preserve"> were sampled at the Kuala Sepetang Reserve Forest in March 2016 with the help of logging contractors under the Forestry Department of Perak. The tree samples were cut and separated into six different parts of roots, stem disks, barks, branches, twigs, and leaves. The stem disk was divided into three segments: bottom, middle, and top. Each component of the trees was wrapped and stored in an icebox in order to avoid contamination from the environment. The samples were brought back to the laboratory and cleaned with distilled water. The samples were dried in oven at 65 °C for 72 hours. The dried samples were polished with </w:t>
      </w:r>
      <w:r w:rsidRPr="00B864C2">
        <w:rPr>
          <w:rFonts w:ascii="Times New Roman" w:hAnsi="Times New Roman"/>
          <w:sz w:val="20"/>
          <w:szCs w:val="20"/>
          <w:lang w:val="en-GB"/>
        </w:rPr>
        <w:lastRenderedPageBreak/>
        <w:t xml:space="preserve">sandpaper to remove any metal effects during the cutting process. The samples were subjected to ultrasonic treatment and cleaned with distilled water in order to remove any impurity particles. Again, the samples were dried in oven at 65 °C for 72 hours. The dried samples were burned combustion in a furnace at 500 °C for 10 hours. The ashes of burned samples were stored in a glass container prior to further analysis. </w:t>
      </w:r>
    </w:p>
    <w:p w:rsidR="00B864C2" w:rsidRPr="00B864C2" w:rsidRDefault="00B864C2" w:rsidP="00B864C2">
      <w:pPr>
        <w:spacing w:after="0" w:line="240" w:lineRule="auto"/>
        <w:jc w:val="both"/>
        <w:rPr>
          <w:rFonts w:ascii="Times New Roman" w:hAnsi="Times New Roman"/>
          <w:i/>
          <w:sz w:val="20"/>
          <w:szCs w:val="20"/>
          <w:lang w:val="en-GB"/>
        </w:rPr>
      </w:pPr>
    </w:p>
    <w:p w:rsidR="00B864C2" w:rsidRPr="00B864C2" w:rsidRDefault="00B864C2" w:rsidP="00B864C2">
      <w:pPr>
        <w:spacing w:after="0" w:line="240" w:lineRule="auto"/>
        <w:jc w:val="both"/>
        <w:rPr>
          <w:rFonts w:ascii="Times New Roman" w:hAnsi="Times New Roman"/>
          <w:b/>
          <w:sz w:val="20"/>
          <w:szCs w:val="20"/>
          <w:lang w:val="en-GB"/>
        </w:rPr>
      </w:pPr>
      <w:r w:rsidRPr="00B864C2">
        <w:rPr>
          <w:rFonts w:ascii="Times New Roman" w:hAnsi="Times New Roman"/>
          <w:b/>
          <w:sz w:val="20"/>
          <w:szCs w:val="20"/>
          <w:lang w:val="en-GB"/>
        </w:rPr>
        <w:t>Sample digestion and analysis</w:t>
      </w:r>
    </w:p>
    <w:p w:rsidR="00B864C2" w:rsidRPr="00B864C2" w:rsidRDefault="00B864C2" w:rsidP="00B864C2">
      <w:pPr>
        <w:spacing w:after="0" w:line="240" w:lineRule="auto"/>
        <w:jc w:val="both"/>
        <w:rPr>
          <w:rFonts w:ascii="Times New Roman" w:hAnsi="Times New Roman"/>
          <w:i/>
          <w:sz w:val="20"/>
          <w:szCs w:val="20"/>
          <w:lang w:val="en-GB"/>
        </w:rPr>
      </w:pPr>
      <w:r w:rsidRPr="00B864C2">
        <w:rPr>
          <w:rFonts w:ascii="Times New Roman" w:hAnsi="Times New Roman"/>
          <w:sz w:val="20"/>
          <w:szCs w:val="20"/>
          <w:lang w:val="en-GB"/>
        </w:rPr>
        <w:t xml:space="preserve">The analysis followed the proposed procedure by Wu et al. [11] with some modifications on the digesting time. An approximately 0.05 g of homogenised ashes sample was digested in 1.5 ml of nitric acid by using a microwave digestion oven (Advanced Microwave Digestion System, ETHOS One). The analysis of the selected elements was performed using inductively coupled plasma-optical emission spectrometry (ICP-OES) (Varian Vista-MPX). The concentration of the studied elements was reported as mg/kg. The accuracy of analysis was examined by analysing in duplicate the </w:t>
      </w:r>
      <w:r w:rsidRPr="00B864C2">
        <w:rPr>
          <w:rFonts w:ascii="Times New Roman" w:hAnsi="Times New Roman"/>
          <w:bCs/>
          <w:sz w:val="20"/>
          <w:szCs w:val="20"/>
          <w:lang w:val="en-GB"/>
        </w:rPr>
        <w:t>NIST-1547 Sigma-Aldrich standard rese</w:t>
      </w:r>
      <w:r w:rsidR="002B54C8">
        <w:rPr>
          <w:rFonts w:ascii="Times New Roman" w:hAnsi="Times New Roman"/>
          <w:bCs/>
          <w:sz w:val="20"/>
          <w:szCs w:val="20"/>
          <w:lang w:val="en-GB"/>
        </w:rPr>
        <w:t>arch material (SRM) of peach</w:t>
      </w:r>
      <w:r w:rsidRPr="00B864C2">
        <w:rPr>
          <w:rFonts w:ascii="Times New Roman" w:hAnsi="Times New Roman"/>
          <w:bCs/>
          <w:sz w:val="20"/>
          <w:szCs w:val="20"/>
          <w:lang w:val="en-GB"/>
        </w:rPr>
        <w:t xml:space="preserve"> leaves.</w:t>
      </w:r>
    </w:p>
    <w:p w:rsidR="006768E9" w:rsidRPr="00F447A7" w:rsidRDefault="006768E9" w:rsidP="00B864C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669EF" w:rsidRPr="00A669EF" w:rsidRDefault="00A669EF" w:rsidP="00A669EF">
      <w:pPr>
        <w:spacing w:after="0" w:line="240" w:lineRule="auto"/>
        <w:jc w:val="both"/>
        <w:rPr>
          <w:rFonts w:ascii="Times New Roman" w:hAnsi="Times New Roman"/>
          <w:b/>
          <w:sz w:val="20"/>
          <w:szCs w:val="20"/>
          <w:lang w:val="en-GB"/>
        </w:rPr>
      </w:pPr>
      <w:r w:rsidRPr="00A669EF">
        <w:rPr>
          <w:rFonts w:ascii="Times New Roman" w:hAnsi="Times New Roman"/>
          <w:b/>
          <w:sz w:val="20"/>
          <w:szCs w:val="20"/>
          <w:lang w:val="en-GB"/>
        </w:rPr>
        <w:t>Method validation</w:t>
      </w:r>
    </w:p>
    <w:p w:rsidR="00A669EF" w:rsidRPr="00A669EF" w:rsidRDefault="00A669EF" w:rsidP="00A669EF">
      <w:pPr>
        <w:spacing w:after="0" w:line="240" w:lineRule="auto"/>
        <w:jc w:val="both"/>
        <w:rPr>
          <w:rFonts w:ascii="Times New Roman" w:hAnsi="Times New Roman"/>
          <w:sz w:val="20"/>
          <w:szCs w:val="20"/>
          <w:lang w:val="en-GB"/>
        </w:rPr>
      </w:pPr>
      <w:r w:rsidRPr="00A669EF">
        <w:rPr>
          <w:rFonts w:ascii="Times New Roman" w:hAnsi="Times New Roman"/>
          <w:sz w:val="20"/>
          <w:szCs w:val="20"/>
          <w:lang w:val="en-GB"/>
        </w:rPr>
        <w:t>The result of recovery analysis of the selected elements was compatible with the certified values of peach leaves</w:t>
      </w:r>
      <w:r w:rsidRPr="00A669EF">
        <w:rPr>
          <w:rFonts w:ascii="Times New Roman" w:hAnsi="Times New Roman"/>
          <w:bCs/>
          <w:sz w:val="20"/>
          <w:szCs w:val="20"/>
          <w:lang w:val="en-GB"/>
        </w:rPr>
        <w:t xml:space="preserve">         (NIST-1547)</w:t>
      </w:r>
      <w:r w:rsidRPr="00A669EF">
        <w:rPr>
          <w:rFonts w:ascii="Times New Roman" w:hAnsi="Times New Roman"/>
          <w:sz w:val="20"/>
          <w:szCs w:val="20"/>
          <w:lang w:val="en-GB"/>
        </w:rPr>
        <w:t>. The recovery percentage of the measured elements was found to be acceptable, ranging between 66.3 and 105.24% (Table 2). Only Ca showed the value lower than 70%.</w:t>
      </w:r>
    </w:p>
    <w:p w:rsidR="00A669EF" w:rsidRPr="00A669EF" w:rsidRDefault="00A669EF" w:rsidP="00A669EF">
      <w:pPr>
        <w:spacing w:after="120" w:line="240" w:lineRule="auto"/>
        <w:jc w:val="both"/>
        <w:rPr>
          <w:rFonts w:ascii="Times New Roman" w:hAnsi="Times New Roman"/>
          <w:sz w:val="20"/>
          <w:szCs w:val="20"/>
          <w:lang w:val="en-GB"/>
        </w:rPr>
      </w:pPr>
    </w:p>
    <w:p w:rsidR="00A669EF" w:rsidRPr="00A669EF" w:rsidRDefault="00A669EF" w:rsidP="00A669EF">
      <w:pPr>
        <w:adjustRightInd w:val="0"/>
        <w:spacing w:after="120" w:line="240" w:lineRule="auto"/>
        <w:jc w:val="center"/>
        <w:rPr>
          <w:rFonts w:ascii="Times New Roman" w:eastAsiaTheme="minorHAnsi" w:hAnsi="Times New Roman"/>
          <w:sz w:val="20"/>
          <w:szCs w:val="20"/>
        </w:rPr>
      </w:pPr>
      <w:r w:rsidRPr="00A669EF">
        <w:rPr>
          <w:rFonts w:ascii="Times New Roman" w:eastAsiaTheme="minorHAnsi" w:hAnsi="Times New Roman"/>
          <w:sz w:val="20"/>
          <w:szCs w:val="20"/>
        </w:rPr>
        <w:t xml:space="preserve">Table 2. </w:t>
      </w:r>
      <w:r>
        <w:rPr>
          <w:rFonts w:ascii="Times New Roman" w:eastAsiaTheme="minorHAnsi" w:hAnsi="Times New Roman"/>
          <w:sz w:val="20"/>
          <w:szCs w:val="20"/>
        </w:rPr>
        <w:t xml:space="preserve"> </w:t>
      </w:r>
      <w:r w:rsidRPr="00A669EF">
        <w:rPr>
          <w:rFonts w:ascii="Times New Roman" w:eastAsiaTheme="minorHAnsi" w:hAnsi="Times New Roman"/>
          <w:sz w:val="20"/>
          <w:szCs w:val="20"/>
        </w:rPr>
        <w:t>The value of accuracy of analysis for standard reference</w:t>
      </w:r>
    </w:p>
    <w:tbl>
      <w:tblPr>
        <w:tblW w:w="6673" w:type="dxa"/>
        <w:jc w:val="center"/>
        <w:tblLook w:val="04A0" w:firstRow="1" w:lastRow="0" w:firstColumn="1" w:lastColumn="0" w:noHBand="0" w:noVBand="1"/>
      </w:tblPr>
      <w:tblGrid>
        <w:gridCol w:w="1700"/>
        <w:gridCol w:w="1740"/>
        <w:gridCol w:w="1740"/>
        <w:gridCol w:w="1493"/>
      </w:tblGrid>
      <w:tr w:rsidR="00A669EF" w:rsidRPr="00A669EF" w:rsidTr="00A669EF">
        <w:trPr>
          <w:trHeight w:val="280"/>
          <w:jc w:val="center"/>
        </w:trPr>
        <w:tc>
          <w:tcPr>
            <w:tcW w:w="1700" w:type="dxa"/>
            <w:tcBorders>
              <w:top w:val="single" w:sz="4" w:space="0" w:color="auto"/>
              <w:bottom w:val="single" w:sz="4" w:space="0" w:color="auto"/>
            </w:tcBorders>
            <w:shd w:val="clear" w:color="auto" w:fill="auto"/>
            <w:noWrap/>
            <w:vAlign w:val="center"/>
            <w:hideMark/>
          </w:tcPr>
          <w:p w:rsidR="00A669EF" w:rsidRPr="00A669EF" w:rsidRDefault="00A669EF" w:rsidP="00A669EF">
            <w:pPr>
              <w:spacing w:after="0" w:line="240" w:lineRule="auto"/>
              <w:rPr>
                <w:rFonts w:ascii="Times New Roman" w:hAnsi="Times New Roman"/>
                <w:b/>
                <w:bCs/>
                <w:sz w:val="20"/>
                <w:szCs w:val="20"/>
                <w:lang w:val="en-MY"/>
              </w:rPr>
            </w:pPr>
            <w:r w:rsidRPr="00A669EF">
              <w:rPr>
                <w:rFonts w:ascii="Times New Roman" w:hAnsi="Times New Roman"/>
                <w:b/>
                <w:bCs/>
                <w:sz w:val="20"/>
                <w:szCs w:val="20"/>
                <w:lang w:val="en-MY"/>
              </w:rPr>
              <w:t>Elements</w:t>
            </w:r>
          </w:p>
        </w:tc>
        <w:tc>
          <w:tcPr>
            <w:tcW w:w="1740" w:type="dxa"/>
            <w:tcBorders>
              <w:top w:val="single" w:sz="4" w:space="0" w:color="auto"/>
              <w:bottom w:val="single" w:sz="4" w:space="0" w:color="auto"/>
            </w:tcBorders>
            <w:shd w:val="clear" w:color="auto" w:fill="auto"/>
            <w:noWrap/>
            <w:vAlign w:val="center"/>
            <w:hideMark/>
          </w:tcPr>
          <w:p w:rsidR="00A669EF" w:rsidRPr="00A669EF" w:rsidRDefault="00A669EF" w:rsidP="00A669EF">
            <w:pPr>
              <w:spacing w:before="60" w:after="0" w:line="240" w:lineRule="auto"/>
              <w:jc w:val="center"/>
              <w:rPr>
                <w:rFonts w:ascii="Times New Roman" w:hAnsi="Times New Roman"/>
                <w:b/>
                <w:bCs/>
                <w:sz w:val="20"/>
                <w:szCs w:val="20"/>
                <w:lang w:val="en-MY"/>
              </w:rPr>
            </w:pPr>
            <w:r w:rsidRPr="00A669EF">
              <w:rPr>
                <w:rFonts w:ascii="Times New Roman" w:hAnsi="Times New Roman"/>
                <w:b/>
                <w:bCs/>
                <w:sz w:val="20"/>
                <w:szCs w:val="20"/>
                <w:lang w:val="en-MY"/>
              </w:rPr>
              <w:t>Analysed Value</w:t>
            </w:r>
          </w:p>
          <w:p w:rsidR="00A669EF" w:rsidRPr="00A669EF" w:rsidRDefault="00A669EF" w:rsidP="00A669EF">
            <w:pPr>
              <w:spacing w:after="60" w:line="240" w:lineRule="auto"/>
              <w:jc w:val="center"/>
              <w:rPr>
                <w:rFonts w:ascii="Times New Roman" w:hAnsi="Times New Roman"/>
                <w:b/>
                <w:bCs/>
                <w:sz w:val="20"/>
                <w:szCs w:val="20"/>
                <w:lang w:val="en-MY"/>
              </w:rPr>
            </w:pPr>
            <w:r w:rsidRPr="00A669EF">
              <w:rPr>
                <w:rFonts w:ascii="Times New Roman" w:hAnsi="Times New Roman"/>
                <w:b/>
                <w:bCs/>
                <w:sz w:val="20"/>
                <w:szCs w:val="20"/>
                <w:lang w:val="en-MY"/>
              </w:rPr>
              <w:t>(mg/kg)</w:t>
            </w:r>
          </w:p>
        </w:tc>
        <w:tc>
          <w:tcPr>
            <w:tcW w:w="1740" w:type="dxa"/>
            <w:tcBorders>
              <w:top w:val="single" w:sz="4" w:space="0" w:color="auto"/>
              <w:bottom w:val="single" w:sz="4" w:space="0" w:color="auto"/>
            </w:tcBorders>
            <w:shd w:val="clear" w:color="auto" w:fill="auto"/>
            <w:noWrap/>
            <w:vAlign w:val="center"/>
            <w:hideMark/>
          </w:tcPr>
          <w:p w:rsidR="00A669EF" w:rsidRPr="00A669EF" w:rsidRDefault="00A669EF" w:rsidP="00A669EF">
            <w:pPr>
              <w:spacing w:before="60" w:after="0" w:line="240" w:lineRule="auto"/>
              <w:jc w:val="center"/>
              <w:rPr>
                <w:rFonts w:ascii="Times New Roman" w:hAnsi="Times New Roman"/>
                <w:b/>
                <w:bCs/>
                <w:sz w:val="20"/>
                <w:szCs w:val="20"/>
                <w:lang w:val="en-MY"/>
              </w:rPr>
            </w:pPr>
            <w:r w:rsidRPr="00A669EF">
              <w:rPr>
                <w:rFonts w:ascii="Times New Roman" w:hAnsi="Times New Roman"/>
                <w:b/>
                <w:bCs/>
                <w:sz w:val="20"/>
                <w:szCs w:val="20"/>
                <w:lang w:val="en-MY"/>
              </w:rPr>
              <w:t>Certified Value</w:t>
            </w:r>
          </w:p>
          <w:p w:rsidR="00A669EF" w:rsidRPr="00A669EF" w:rsidRDefault="00A669EF" w:rsidP="00A669EF">
            <w:pPr>
              <w:spacing w:after="60" w:line="240" w:lineRule="auto"/>
              <w:jc w:val="center"/>
              <w:rPr>
                <w:rFonts w:ascii="Times New Roman" w:hAnsi="Times New Roman"/>
                <w:b/>
                <w:bCs/>
                <w:sz w:val="20"/>
                <w:szCs w:val="20"/>
                <w:lang w:val="en-MY"/>
              </w:rPr>
            </w:pPr>
            <w:r w:rsidRPr="00A669EF">
              <w:rPr>
                <w:rFonts w:ascii="Times New Roman" w:hAnsi="Times New Roman"/>
                <w:b/>
                <w:bCs/>
                <w:sz w:val="20"/>
                <w:szCs w:val="20"/>
                <w:lang w:val="en-MY"/>
              </w:rPr>
              <w:t>(mg/kg)</w:t>
            </w:r>
          </w:p>
        </w:tc>
        <w:tc>
          <w:tcPr>
            <w:tcW w:w="1493" w:type="dxa"/>
            <w:tcBorders>
              <w:top w:val="single" w:sz="4" w:space="0" w:color="auto"/>
              <w:bottom w:val="single" w:sz="4" w:space="0" w:color="auto"/>
            </w:tcBorders>
            <w:shd w:val="clear" w:color="auto" w:fill="auto"/>
            <w:noWrap/>
            <w:vAlign w:val="center"/>
            <w:hideMark/>
          </w:tcPr>
          <w:p w:rsidR="00A669EF" w:rsidRPr="00A669EF" w:rsidRDefault="00A669EF" w:rsidP="00A669EF">
            <w:pPr>
              <w:spacing w:before="60" w:after="0" w:line="240" w:lineRule="auto"/>
              <w:jc w:val="center"/>
              <w:rPr>
                <w:rFonts w:ascii="Times New Roman" w:hAnsi="Times New Roman"/>
                <w:b/>
                <w:bCs/>
                <w:sz w:val="20"/>
                <w:szCs w:val="20"/>
                <w:lang w:val="en-MY"/>
              </w:rPr>
            </w:pPr>
            <w:r w:rsidRPr="00A669EF">
              <w:rPr>
                <w:rFonts w:ascii="Times New Roman" w:hAnsi="Times New Roman"/>
                <w:b/>
                <w:bCs/>
                <w:sz w:val="20"/>
                <w:szCs w:val="20"/>
                <w:lang w:val="en-MY"/>
              </w:rPr>
              <w:t>Recovery</w:t>
            </w:r>
          </w:p>
          <w:p w:rsidR="00A669EF" w:rsidRPr="00A669EF" w:rsidRDefault="00A669EF" w:rsidP="00A669EF">
            <w:pPr>
              <w:spacing w:after="60" w:line="240" w:lineRule="auto"/>
              <w:jc w:val="center"/>
              <w:rPr>
                <w:rFonts w:ascii="Times New Roman" w:hAnsi="Times New Roman"/>
                <w:b/>
                <w:bCs/>
                <w:sz w:val="20"/>
                <w:szCs w:val="20"/>
                <w:lang w:val="en-MY"/>
              </w:rPr>
            </w:pPr>
            <w:r w:rsidRPr="00A669EF">
              <w:rPr>
                <w:rFonts w:ascii="Times New Roman" w:hAnsi="Times New Roman"/>
                <w:b/>
                <w:bCs/>
                <w:sz w:val="20"/>
                <w:szCs w:val="20"/>
                <w:lang w:val="en-MY"/>
              </w:rPr>
              <w:t>(%)</w:t>
            </w:r>
          </w:p>
        </w:tc>
      </w:tr>
      <w:tr w:rsidR="00A669EF" w:rsidRPr="00A669EF" w:rsidTr="00A669EF">
        <w:trPr>
          <w:trHeight w:val="280"/>
          <w:jc w:val="center"/>
        </w:trPr>
        <w:tc>
          <w:tcPr>
            <w:tcW w:w="1700" w:type="dxa"/>
            <w:tcBorders>
              <w:top w:val="single" w:sz="4" w:space="0" w:color="auto"/>
            </w:tcBorders>
            <w:shd w:val="clear" w:color="auto" w:fill="auto"/>
            <w:noWrap/>
            <w:vAlign w:val="bottom"/>
          </w:tcPr>
          <w:p w:rsidR="00A669EF" w:rsidRPr="00A669EF" w:rsidRDefault="00A669EF" w:rsidP="00A669EF">
            <w:pPr>
              <w:spacing w:before="60" w:after="0" w:line="240" w:lineRule="auto"/>
              <w:rPr>
                <w:rFonts w:ascii="Times New Roman" w:hAnsi="Times New Roman"/>
                <w:sz w:val="20"/>
                <w:szCs w:val="20"/>
                <w:lang w:val="en-MY"/>
              </w:rPr>
            </w:pPr>
            <w:r w:rsidRPr="00A669EF">
              <w:rPr>
                <w:rFonts w:ascii="Times New Roman" w:hAnsi="Times New Roman"/>
                <w:sz w:val="20"/>
                <w:szCs w:val="20"/>
                <w:lang w:val="en-MY"/>
              </w:rPr>
              <w:t xml:space="preserve">Ca </w:t>
            </w:r>
          </w:p>
        </w:tc>
        <w:tc>
          <w:tcPr>
            <w:tcW w:w="1740" w:type="dxa"/>
            <w:tcBorders>
              <w:top w:val="single" w:sz="4" w:space="0" w:color="auto"/>
            </w:tcBorders>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10334.81</w:t>
            </w:r>
          </w:p>
        </w:tc>
        <w:tc>
          <w:tcPr>
            <w:tcW w:w="1740" w:type="dxa"/>
            <w:tcBorders>
              <w:top w:val="single" w:sz="4" w:space="0" w:color="auto"/>
            </w:tcBorders>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15590</w:t>
            </w:r>
          </w:p>
        </w:tc>
        <w:tc>
          <w:tcPr>
            <w:tcW w:w="1493" w:type="dxa"/>
            <w:tcBorders>
              <w:top w:val="single" w:sz="4" w:space="0" w:color="auto"/>
            </w:tcBorders>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66.3</w:t>
            </w:r>
          </w:p>
        </w:tc>
      </w:tr>
      <w:tr w:rsidR="00A669EF" w:rsidRPr="00A669EF" w:rsidTr="00634753">
        <w:trPr>
          <w:trHeight w:val="280"/>
          <w:jc w:val="center"/>
        </w:trPr>
        <w:tc>
          <w:tcPr>
            <w:tcW w:w="1700" w:type="dxa"/>
            <w:shd w:val="clear" w:color="auto" w:fill="auto"/>
            <w:noWrap/>
            <w:vAlign w:val="bottom"/>
          </w:tcPr>
          <w:p w:rsidR="00A669EF" w:rsidRPr="00A669EF" w:rsidRDefault="00A669EF" w:rsidP="00A669EF">
            <w:pPr>
              <w:spacing w:before="60" w:after="0" w:line="240" w:lineRule="auto"/>
              <w:rPr>
                <w:rFonts w:ascii="Times New Roman" w:hAnsi="Times New Roman"/>
                <w:sz w:val="20"/>
                <w:szCs w:val="20"/>
                <w:lang w:val="en-MY"/>
              </w:rPr>
            </w:pPr>
            <w:r w:rsidRPr="00A669EF">
              <w:rPr>
                <w:rFonts w:ascii="Times New Roman" w:hAnsi="Times New Roman"/>
                <w:sz w:val="20"/>
                <w:szCs w:val="20"/>
                <w:lang w:val="en-MY"/>
              </w:rPr>
              <w:t xml:space="preserve">K </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21188.53</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24330</w:t>
            </w:r>
          </w:p>
        </w:tc>
        <w:tc>
          <w:tcPr>
            <w:tcW w:w="1493"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87.1</w:t>
            </w:r>
          </w:p>
        </w:tc>
      </w:tr>
      <w:tr w:rsidR="00A669EF" w:rsidRPr="00A669EF" w:rsidTr="00634753">
        <w:trPr>
          <w:trHeight w:val="280"/>
          <w:jc w:val="center"/>
        </w:trPr>
        <w:tc>
          <w:tcPr>
            <w:tcW w:w="1700" w:type="dxa"/>
            <w:shd w:val="clear" w:color="auto" w:fill="auto"/>
            <w:noWrap/>
            <w:vAlign w:val="bottom"/>
          </w:tcPr>
          <w:p w:rsidR="00A669EF" w:rsidRPr="00A669EF" w:rsidRDefault="00A669EF" w:rsidP="00A669EF">
            <w:pPr>
              <w:spacing w:before="60" w:after="0" w:line="240" w:lineRule="auto"/>
              <w:rPr>
                <w:rFonts w:ascii="Times New Roman" w:hAnsi="Times New Roman"/>
                <w:sz w:val="20"/>
                <w:szCs w:val="20"/>
                <w:lang w:val="en-MY"/>
              </w:rPr>
            </w:pPr>
            <w:r w:rsidRPr="00A669EF">
              <w:rPr>
                <w:rFonts w:ascii="Times New Roman" w:hAnsi="Times New Roman"/>
                <w:sz w:val="20"/>
                <w:szCs w:val="20"/>
                <w:lang w:val="en-MY"/>
              </w:rPr>
              <w:t>Mg</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3671.85</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4320</w:t>
            </w:r>
          </w:p>
        </w:tc>
        <w:tc>
          <w:tcPr>
            <w:tcW w:w="1493"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85.0</w:t>
            </w:r>
          </w:p>
        </w:tc>
      </w:tr>
      <w:tr w:rsidR="00A669EF" w:rsidRPr="00A669EF" w:rsidTr="00634753">
        <w:trPr>
          <w:trHeight w:val="280"/>
          <w:jc w:val="center"/>
        </w:trPr>
        <w:tc>
          <w:tcPr>
            <w:tcW w:w="1700" w:type="dxa"/>
            <w:shd w:val="clear" w:color="auto" w:fill="auto"/>
            <w:noWrap/>
            <w:vAlign w:val="bottom"/>
          </w:tcPr>
          <w:p w:rsidR="00A669EF" w:rsidRPr="00A669EF" w:rsidRDefault="00A669EF" w:rsidP="00A669EF">
            <w:pPr>
              <w:spacing w:before="60" w:after="0" w:line="240" w:lineRule="auto"/>
              <w:rPr>
                <w:rFonts w:ascii="Times New Roman" w:hAnsi="Times New Roman"/>
                <w:sz w:val="20"/>
                <w:szCs w:val="20"/>
                <w:lang w:val="en-MY"/>
              </w:rPr>
            </w:pPr>
            <w:r w:rsidRPr="00A669EF">
              <w:rPr>
                <w:rFonts w:ascii="Times New Roman" w:hAnsi="Times New Roman"/>
                <w:sz w:val="20"/>
                <w:szCs w:val="20"/>
                <w:lang w:val="en-MY"/>
              </w:rPr>
              <w:t xml:space="preserve">Al </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241.84</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248</w:t>
            </w:r>
          </w:p>
        </w:tc>
        <w:tc>
          <w:tcPr>
            <w:tcW w:w="1493"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97.5</w:t>
            </w:r>
          </w:p>
        </w:tc>
      </w:tr>
      <w:tr w:rsidR="00A669EF" w:rsidRPr="00A669EF" w:rsidTr="00634753">
        <w:trPr>
          <w:trHeight w:val="280"/>
          <w:jc w:val="center"/>
        </w:trPr>
        <w:tc>
          <w:tcPr>
            <w:tcW w:w="1700" w:type="dxa"/>
            <w:shd w:val="clear" w:color="auto" w:fill="auto"/>
            <w:noWrap/>
            <w:vAlign w:val="bottom"/>
          </w:tcPr>
          <w:p w:rsidR="00A669EF" w:rsidRPr="00A669EF" w:rsidRDefault="00A669EF" w:rsidP="00A669EF">
            <w:pPr>
              <w:spacing w:before="60" w:after="0" w:line="240" w:lineRule="auto"/>
              <w:rPr>
                <w:rFonts w:ascii="Times New Roman" w:hAnsi="Times New Roman"/>
                <w:sz w:val="20"/>
                <w:szCs w:val="20"/>
                <w:lang w:val="en-MY"/>
              </w:rPr>
            </w:pPr>
            <w:r w:rsidRPr="00A669EF">
              <w:rPr>
                <w:rFonts w:ascii="Times New Roman" w:hAnsi="Times New Roman"/>
                <w:sz w:val="20"/>
                <w:szCs w:val="20"/>
                <w:lang w:val="en-MY"/>
              </w:rPr>
              <w:t>Fe</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227.09</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219.8</w:t>
            </w:r>
          </w:p>
        </w:tc>
        <w:tc>
          <w:tcPr>
            <w:tcW w:w="1493"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103.3</w:t>
            </w:r>
          </w:p>
        </w:tc>
      </w:tr>
      <w:tr w:rsidR="00A669EF" w:rsidRPr="00A669EF" w:rsidTr="00634753">
        <w:trPr>
          <w:trHeight w:val="280"/>
          <w:jc w:val="center"/>
        </w:trPr>
        <w:tc>
          <w:tcPr>
            <w:tcW w:w="1700" w:type="dxa"/>
            <w:shd w:val="clear" w:color="auto" w:fill="auto"/>
            <w:noWrap/>
            <w:vAlign w:val="bottom"/>
          </w:tcPr>
          <w:p w:rsidR="00A669EF" w:rsidRPr="00A669EF" w:rsidRDefault="00A669EF" w:rsidP="00A669EF">
            <w:pPr>
              <w:spacing w:before="60" w:after="0" w:line="240" w:lineRule="auto"/>
              <w:rPr>
                <w:rFonts w:ascii="Times New Roman" w:hAnsi="Times New Roman"/>
                <w:sz w:val="20"/>
                <w:szCs w:val="20"/>
                <w:lang w:val="en-MY"/>
              </w:rPr>
            </w:pPr>
            <w:r w:rsidRPr="00A669EF">
              <w:rPr>
                <w:rFonts w:ascii="Times New Roman" w:hAnsi="Times New Roman"/>
                <w:sz w:val="20"/>
                <w:szCs w:val="20"/>
                <w:lang w:val="en-MY"/>
              </w:rPr>
              <w:t xml:space="preserve">Mn </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89.02</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97.8</w:t>
            </w:r>
          </w:p>
        </w:tc>
        <w:tc>
          <w:tcPr>
            <w:tcW w:w="1493"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91.0</w:t>
            </w:r>
          </w:p>
        </w:tc>
      </w:tr>
      <w:tr w:rsidR="00A669EF" w:rsidRPr="00A669EF" w:rsidTr="00A669EF">
        <w:trPr>
          <w:trHeight w:val="280"/>
          <w:jc w:val="center"/>
        </w:trPr>
        <w:tc>
          <w:tcPr>
            <w:tcW w:w="1700" w:type="dxa"/>
            <w:shd w:val="clear" w:color="auto" w:fill="auto"/>
            <w:noWrap/>
            <w:vAlign w:val="bottom"/>
          </w:tcPr>
          <w:p w:rsidR="00A669EF" w:rsidRPr="00A669EF" w:rsidRDefault="00A669EF" w:rsidP="00A669EF">
            <w:pPr>
              <w:spacing w:before="60" w:after="0" w:line="240" w:lineRule="auto"/>
              <w:rPr>
                <w:rFonts w:ascii="Times New Roman" w:hAnsi="Times New Roman"/>
                <w:sz w:val="20"/>
                <w:szCs w:val="20"/>
                <w:lang w:val="en-MY"/>
              </w:rPr>
            </w:pPr>
            <w:r w:rsidRPr="00A669EF">
              <w:rPr>
                <w:rFonts w:ascii="Times New Roman" w:hAnsi="Times New Roman"/>
                <w:sz w:val="20"/>
                <w:szCs w:val="20"/>
                <w:lang w:val="en-MY"/>
              </w:rPr>
              <w:t xml:space="preserve">Cu </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3.85</w:t>
            </w:r>
          </w:p>
        </w:tc>
        <w:tc>
          <w:tcPr>
            <w:tcW w:w="1740"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3.75</w:t>
            </w:r>
          </w:p>
        </w:tc>
        <w:tc>
          <w:tcPr>
            <w:tcW w:w="1493" w:type="dxa"/>
            <w:shd w:val="clear" w:color="auto" w:fill="auto"/>
            <w:noWrap/>
            <w:vAlign w:val="bottom"/>
          </w:tcPr>
          <w:p w:rsidR="00A669EF" w:rsidRPr="00A669EF" w:rsidRDefault="00A669EF" w:rsidP="00A669EF">
            <w:pPr>
              <w:spacing w:before="60" w:after="0" w:line="240" w:lineRule="auto"/>
              <w:jc w:val="center"/>
              <w:rPr>
                <w:rFonts w:ascii="Times New Roman" w:hAnsi="Times New Roman"/>
                <w:sz w:val="20"/>
                <w:szCs w:val="20"/>
                <w:lang w:val="en-MY"/>
              </w:rPr>
            </w:pPr>
            <w:r w:rsidRPr="00A669EF">
              <w:rPr>
                <w:rFonts w:ascii="Times New Roman" w:hAnsi="Times New Roman"/>
                <w:sz w:val="20"/>
                <w:szCs w:val="20"/>
                <w:lang w:val="en-MY"/>
              </w:rPr>
              <w:t>102.7</w:t>
            </w:r>
          </w:p>
        </w:tc>
      </w:tr>
      <w:tr w:rsidR="00A669EF" w:rsidRPr="00A669EF" w:rsidTr="00A669EF">
        <w:trPr>
          <w:trHeight w:val="280"/>
          <w:jc w:val="center"/>
        </w:trPr>
        <w:tc>
          <w:tcPr>
            <w:tcW w:w="1700" w:type="dxa"/>
            <w:tcBorders>
              <w:bottom w:val="single" w:sz="4" w:space="0" w:color="auto"/>
            </w:tcBorders>
            <w:shd w:val="clear" w:color="auto" w:fill="auto"/>
            <w:noWrap/>
            <w:vAlign w:val="bottom"/>
            <w:hideMark/>
          </w:tcPr>
          <w:p w:rsidR="00A669EF" w:rsidRPr="00A669EF" w:rsidRDefault="00A669EF" w:rsidP="00A669EF">
            <w:pPr>
              <w:spacing w:before="60" w:after="60" w:line="240" w:lineRule="auto"/>
              <w:rPr>
                <w:rFonts w:ascii="Times New Roman" w:hAnsi="Times New Roman"/>
                <w:sz w:val="20"/>
                <w:szCs w:val="20"/>
                <w:lang w:val="en-MY"/>
              </w:rPr>
            </w:pPr>
            <w:r w:rsidRPr="00A669EF">
              <w:rPr>
                <w:rFonts w:ascii="Times New Roman" w:hAnsi="Times New Roman"/>
                <w:sz w:val="20"/>
                <w:szCs w:val="20"/>
                <w:lang w:val="en-MY"/>
              </w:rPr>
              <w:t>Cd</w:t>
            </w:r>
          </w:p>
        </w:tc>
        <w:tc>
          <w:tcPr>
            <w:tcW w:w="1740" w:type="dxa"/>
            <w:tcBorders>
              <w:bottom w:val="single" w:sz="4" w:space="0" w:color="auto"/>
            </w:tcBorders>
            <w:shd w:val="clear" w:color="auto" w:fill="auto"/>
            <w:noWrap/>
            <w:vAlign w:val="bottom"/>
            <w:hideMark/>
          </w:tcPr>
          <w:p w:rsidR="00A669EF" w:rsidRPr="00A669EF" w:rsidRDefault="00A669EF" w:rsidP="00A669EF">
            <w:pPr>
              <w:spacing w:before="60" w:after="60" w:line="240" w:lineRule="auto"/>
              <w:jc w:val="center"/>
              <w:rPr>
                <w:rFonts w:ascii="Times New Roman" w:hAnsi="Times New Roman"/>
                <w:sz w:val="20"/>
                <w:szCs w:val="20"/>
                <w:lang w:val="en-MY"/>
              </w:rPr>
            </w:pPr>
            <w:r w:rsidRPr="00A669EF">
              <w:rPr>
                <w:rFonts w:ascii="Times New Roman" w:hAnsi="Times New Roman"/>
                <w:sz w:val="20"/>
                <w:szCs w:val="20"/>
                <w:lang w:val="en-MY"/>
              </w:rPr>
              <w:t>0.03</w:t>
            </w:r>
          </w:p>
        </w:tc>
        <w:tc>
          <w:tcPr>
            <w:tcW w:w="1740" w:type="dxa"/>
            <w:tcBorders>
              <w:bottom w:val="single" w:sz="4" w:space="0" w:color="auto"/>
            </w:tcBorders>
            <w:shd w:val="clear" w:color="auto" w:fill="auto"/>
            <w:noWrap/>
            <w:vAlign w:val="bottom"/>
            <w:hideMark/>
          </w:tcPr>
          <w:p w:rsidR="00A669EF" w:rsidRPr="00A669EF" w:rsidRDefault="00A669EF" w:rsidP="00A669EF">
            <w:pPr>
              <w:spacing w:before="60" w:after="60" w:line="240" w:lineRule="auto"/>
              <w:jc w:val="center"/>
              <w:rPr>
                <w:rFonts w:ascii="Times New Roman" w:hAnsi="Times New Roman"/>
                <w:sz w:val="20"/>
                <w:szCs w:val="20"/>
                <w:lang w:val="en-MY"/>
              </w:rPr>
            </w:pPr>
            <w:r w:rsidRPr="00A669EF">
              <w:rPr>
                <w:rFonts w:ascii="Times New Roman" w:hAnsi="Times New Roman"/>
                <w:sz w:val="20"/>
                <w:szCs w:val="20"/>
                <w:lang w:val="en-MY"/>
              </w:rPr>
              <w:t>0.0261</w:t>
            </w:r>
          </w:p>
        </w:tc>
        <w:tc>
          <w:tcPr>
            <w:tcW w:w="1493" w:type="dxa"/>
            <w:tcBorders>
              <w:bottom w:val="single" w:sz="4" w:space="0" w:color="auto"/>
            </w:tcBorders>
            <w:shd w:val="clear" w:color="auto" w:fill="auto"/>
            <w:noWrap/>
            <w:vAlign w:val="bottom"/>
            <w:hideMark/>
          </w:tcPr>
          <w:p w:rsidR="00A669EF" w:rsidRPr="00A669EF" w:rsidRDefault="00A669EF" w:rsidP="00A669EF">
            <w:pPr>
              <w:spacing w:before="60" w:after="60" w:line="240" w:lineRule="auto"/>
              <w:jc w:val="center"/>
              <w:rPr>
                <w:rFonts w:ascii="Times New Roman" w:hAnsi="Times New Roman"/>
                <w:sz w:val="20"/>
                <w:szCs w:val="20"/>
                <w:lang w:val="en-MY"/>
              </w:rPr>
            </w:pPr>
            <w:r w:rsidRPr="00A669EF">
              <w:rPr>
                <w:rFonts w:ascii="Times New Roman" w:hAnsi="Times New Roman"/>
                <w:sz w:val="20"/>
                <w:szCs w:val="20"/>
                <w:lang w:val="en-MY"/>
              </w:rPr>
              <w:t>105.2</w:t>
            </w:r>
          </w:p>
        </w:tc>
      </w:tr>
    </w:tbl>
    <w:p w:rsidR="00A669EF" w:rsidRPr="00A669EF" w:rsidRDefault="00A669EF" w:rsidP="00A669EF">
      <w:pPr>
        <w:spacing w:after="120" w:line="240" w:lineRule="auto"/>
        <w:jc w:val="both"/>
        <w:outlineLvl w:val="0"/>
        <w:rPr>
          <w:rFonts w:ascii="Times New Roman" w:hAnsi="Times New Roman"/>
          <w:sz w:val="20"/>
          <w:szCs w:val="20"/>
          <w:lang w:val="en-GB"/>
        </w:rPr>
      </w:pPr>
    </w:p>
    <w:p w:rsidR="00A669EF" w:rsidRPr="00A669EF" w:rsidRDefault="00A669EF" w:rsidP="00A669EF">
      <w:pPr>
        <w:spacing w:after="0" w:line="240" w:lineRule="auto"/>
        <w:jc w:val="both"/>
        <w:outlineLvl w:val="0"/>
        <w:rPr>
          <w:rFonts w:ascii="Times New Roman" w:hAnsi="Times New Roman"/>
          <w:b/>
          <w:sz w:val="20"/>
          <w:szCs w:val="20"/>
          <w:lang w:val="en-GB"/>
        </w:rPr>
      </w:pPr>
      <w:r w:rsidRPr="00A669EF">
        <w:rPr>
          <w:rFonts w:ascii="Times New Roman" w:hAnsi="Times New Roman"/>
          <w:b/>
          <w:sz w:val="20"/>
          <w:szCs w:val="20"/>
          <w:lang w:val="en-GB"/>
        </w:rPr>
        <w:t>Concentration levels of macroelements</w:t>
      </w:r>
    </w:p>
    <w:p w:rsidR="00A669EF" w:rsidRPr="00A669EF" w:rsidRDefault="00A669EF" w:rsidP="00A669EF">
      <w:pPr>
        <w:spacing w:after="0" w:line="240" w:lineRule="auto"/>
        <w:jc w:val="both"/>
        <w:outlineLvl w:val="0"/>
        <w:rPr>
          <w:rFonts w:ascii="Times New Roman" w:hAnsi="Times New Roman"/>
          <w:sz w:val="20"/>
          <w:szCs w:val="20"/>
          <w:lang w:val="en-GB"/>
        </w:rPr>
      </w:pPr>
      <w:r w:rsidRPr="00A669EF">
        <w:rPr>
          <w:rFonts w:ascii="Times New Roman" w:hAnsi="Times New Roman"/>
          <w:sz w:val="20"/>
          <w:szCs w:val="20"/>
          <w:lang w:val="en-GB"/>
        </w:rPr>
        <w:t>The mean value of each element is as follows: Ca &gt; Na &gt; K &gt; Mg &gt; Mn &gt; Al &gt; Fe &gt; Zn &gt; Cu &gt; Pb &gt; Cd. In general, the concentration of all macroelements shows a decreasing trend from barks to leaves. The concentration levels of macroelements ranged from 593.67 to 2973.28 mg/kg for Ca, 421.80 to 1525.04 mg/kg for Na, 958.56 to 2344.82 mg/kg for K, and 282.20 to 1163.32 mg/kg</w:t>
      </w:r>
      <w:r w:rsidRPr="00A669EF">
        <w:rPr>
          <w:rFonts w:ascii="Times New Roman" w:hAnsi="Times New Roman"/>
          <w:sz w:val="20"/>
          <w:szCs w:val="20"/>
          <w:vertAlign w:val="superscript"/>
          <w:lang w:val="en-GB"/>
        </w:rPr>
        <w:t xml:space="preserve"> </w:t>
      </w:r>
      <w:r w:rsidRPr="00A669EF">
        <w:rPr>
          <w:rFonts w:ascii="Times New Roman" w:hAnsi="Times New Roman"/>
          <w:sz w:val="20"/>
          <w:szCs w:val="20"/>
          <w:lang w:val="en-GB"/>
        </w:rPr>
        <w:t xml:space="preserve">for Mg (Figure 1). Stem disks and leaves have low concentration of macroelements compared to other parts. Plants absorb </w:t>
      </w:r>
      <w:r w:rsidRPr="00A669EF">
        <w:rPr>
          <w:rFonts w:ascii="Times New Roman" w:hAnsi="Times New Roman"/>
          <w:bCs/>
          <w:sz w:val="20"/>
          <w:szCs w:val="20"/>
          <w:lang w:val="en-GB"/>
        </w:rPr>
        <w:t>nutrient</w:t>
      </w:r>
      <w:r w:rsidRPr="00A669EF">
        <w:rPr>
          <w:rFonts w:ascii="Times New Roman" w:hAnsi="Times New Roman"/>
          <w:sz w:val="20"/>
          <w:szCs w:val="20"/>
          <w:lang w:val="en-GB"/>
        </w:rPr>
        <w:t xml:space="preserve"> through their </w:t>
      </w:r>
      <w:r w:rsidRPr="00A669EF">
        <w:rPr>
          <w:rFonts w:ascii="Times New Roman" w:hAnsi="Times New Roman"/>
          <w:bCs/>
          <w:sz w:val="20"/>
          <w:szCs w:val="20"/>
          <w:lang w:val="en-GB"/>
        </w:rPr>
        <w:t xml:space="preserve">roots or even </w:t>
      </w:r>
      <w:r w:rsidRPr="00A669EF">
        <w:rPr>
          <w:rFonts w:ascii="Times New Roman" w:hAnsi="Times New Roman"/>
          <w:bCs/>
          <w:i/>
          <w:sz w:val="20"/>
          <w:szCs w:val="20"/>
          <w:lang w:val="en-GB"/>
        </w:rPr>
        <w:t>via</w:t>
      </w:r>
      <w:r w:rsidRPr="00A669EF">
        <w:rPr>
          <w:rFonts w:ascii="Times New Roman" w:hAnsi="Times New Roman"/>
          <w:bCs/>
          <w:sz w:val="20"/>
          <w:szCs w:val="20"/>
          <w:lang w:val="en-GB"/>
        </w:rPr>
        <w:t xml:space="preserve"> their stems</w:t>
      </w:r>
      <w:r w:rsidRPr="00A669EF">
        <w:rPr>
          <w:rFonts w:ascii="Times New Roman" w:hAnsi="Times New Roman"/>
          <w:sz w:val="20"/>
          <w:szCs w:val="20"/>
          <w:lang w:val="en-GB"/>
        </w:rPr>
        <w:t xml:space="preserve"> and </w:t>
      </w:r>
      <w:r w:rsidRPr="00A669EF">
        <w:rPr>
          <w:rFonts w:ascii="Times New Roman" w:hAnsi="Times New Roman"/>
          <w:bCs/>
          <w:sz w:val="20"/>
          <w:szCs w:val="20"/>
          <w:lang w:val="en-GB"/>
        </w:rPr>
        <w:t>leaves</w:t>
      </w:r>
      <w:r w:rsidRPr="00A669EF">
        <w:rPr>
          <w:rFonts w:ascii="Times New Roman" w:hAnsi="Times New Roman"/>
          <w:sz w:val="20"/>
          <w:szCs w:val="20"/>
          <w:lang w:val="en-GB"/>
        </w:rPr>
        <w:t xml:space="preserve">, and </w:t>
      </w:r>
      <w:r w:rsidRPr="00A669EF">
        <w:rPr>
          <w:rFonts w:ascii="Times New Roman" w:hAnsi="Times New Roman"/>
          <w:bCs/>
          <w:sz w:val="20"/>
          <w:szCs w:val="20"/>
          <w:lang w:val="en-GB"/>
        </w:rPr>
        <w:t>accumulate</w:t>
      </w:r>
      <w:r w:rsidRPr="00A669EF">
        <w:rPr>
          <w:rFonts w:ascii="Times New Roman" w:hAnsi="Times New Roman"/>
          <w:sz w:val="20"/>
          <w:szCs w:val="20"/>
          <w:lang w:val="en-GB"/>
        </w:rPr>
        <w:t xml:space="preserve"> them in their </w:t>
      </w:r>
      <w:r w:rsidRPr="00A669EF">
        <w:rPr>
          <w:rFonts w:ascii="Times New Roman" w:hAnsi="Times New Roman"/>
          <w:bCs/>
          <w:sz w:val="20"/>
          <w:szCs w:val="20"/>
          <w:lang w:val="en-GB"/>
        </w:rPr>
        <w:t>tissues;</w:t>
      </w:r>
      <w:r w:rsidRPr="00A669EF">
        <w:rPr>
          <w:rFonts w:ascii="Times New Roman" w:hAnsi="Times New Roman"/>
          <w:sz w:val="20"/>
          <w:szCs w:val="20"/>
          <w:lang w:val="en-GB"/>
        </w:rPr>
        <w:t xml:space="preserve"> furthermore, plants </w:t>
      </w:r>
      <w:r w:rsidRPr="00A669EF">
        <w:rPr>
          <w:rFonts w:ascii="Times New Roman" w:hAnsi="Times New Roman"/>
          <w:bCs/>
          <w:sz w:val="20"/>
          <w:szCs w:val="20"/>
          <w:lang w:val="en-GB"/>
        </w:rPr>
        <w:t>take up elements selectively</w:t>
      </w:r>
      <w:r w:rsidRPr="00A669EF">
        <w:rPr>
          <w:rFonts w:ascii="Times New Roman" w:hAnsi="Times New Roman"/>
          <w:sz w:val="20"/>
          <w:szCs w:val="20"/>
          <w:lang w:val="en-GB"/>
        </w:rPr>
        <w:t>, which subsequently move through the biogeochemical cycle [12].</w:t>
      </w:r>
    </w:p>
    <w:p w:rsidR="00A669EF" w:rsidRPr="00A669EF" w:rsidRDefault="00A669EF" w:rsidP="00A669EF">
      <w:pPr>
        <w:spacing w:after="0" w:line="240" w:lineRule="auto"/>
        <w:jc w:val="both"/>
        <w:outlineLvl w:val="0"/>
        <w:rPr>
          <w:rFonts w:ascii="Times New Roman" w:hAnsi="Times New Roman"/>
          <w:sz w:val="20"/>
          <w:szCs w:val="20"/>
          <w:lang w:val="en-GB"/>
        </w:rPr>
      </w:pPr>
    </w:p>
    <w:p w:rsidR="00A669EF" w:rsidRPr="00A669EF" w:rsidRDefault="00A669EF" w:rsidP="00A669EF">
      <w:pPr>
        <w:spacing w:after="0" w:line="240" w:lineRule="auto"/>
        <w:jc w:val="both"/>
        <w:outlineLvl w:val="0"/>
        <w:rPr>
          <w:rFonts w:ascii="Times New Roman" w:hAnsi="Times New Roman"/>
          <w:sz w:val="20"/>
          <w:szCs w:val="20"/>
          <w:lang w:val="en-GB"/>
        </w:rPr>
      </w:pPr>
      <w:r w:rsidRPr="00A669EF">
        <w:rPr>
          <w:rFonts w:ascii="Times New Roman" w:hAnsi="Times New Roman"/>
          <w:sz w:val="20"/>
          <w:szCs w:val="20"/>
          <w:lang w:val="en-GB"/>
        </w:rPr>
        <w:t xml:space="preserve">The high concentration of macroelements in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is due to the high concentration of those elements in salt water.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is a mangrove species that can adapt in saline environment. The salt tolerance of this plant can be defined as its capacity to endure the effects of salt excess in the medium of root growth [13]. This mangrove species may have the absorption mechanism [14], thus exhibits some restricted mobility </w:t>
      </w:r>
      <w:r w:rsidRPr="00A669EF">
        <w:rPr>
          <w:rFonts w:ascii="Times New Roman" w:hAnsi="Times New Roman"/>
          <w:i/>
          <w:sz w:val="20"/>
          <w:szCs w:val="20"/>
          <w:lang w:val="en-GB"/>
        </w:rPr>
        <w:t xml:space="preserve">via </w:t>
      </w:r>
      <w:r w:rsidRPr="00A669EF">
        <w:rPr>
          <w:rFonts w:ascii="Times New Roman" w:hAnsi="Times New Roman"/>
          <w:sz w:val="20"/>
          <w:szCs w:val="20"/>
          <w:lang w:val="en-GB"/>
        </w:rPr>
        <w:t xml:space="preserve">an obvious barrier to acropetal translocation process [15]. Halophytic plants like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have special adaptation to grow in the area of high salt content [16]. Previous reports stated that every plant needs calcium for the growing process. This macroelement plays a very important role in the growth of a plant and cell wall deposition [17]. Thus, this explains the relatively high concentration of Ca in all parts of </w:t>
      </w:r>
      <w:r w:rsidRPr="00A669EF">
        <w:rPr>
          <w:rFonts w:ascii="Times New Roman" w:hAnsi="Times New Roman"/>
          <w:i/>
          <w:sz w:val="20"/>
          <w:szCs w:val="20"/>
          <w:lang w:val="en-GB"/>
        </w:rPr>
        <w:t>R. apiculata</w:t>
      </w:r>
      <w:r w:rsidRPr="00A669EF">
        <w:rPr>
          <w:rFonts w:ascii="Times New Roman" w:hAnsi="Times New Roman"/>
          <w:sz w:val="20"/>
          <w:szCs w:val="20"/>
          <w:lang w:val="en-GB"/>
        </w:rPr>
        <w:t>.</w:t>
      </w:r>
    </w:p>
    <w:p w:rsidR="00A669EF" w:rsidRPr="00A669EF" w:rsidRDefault="00A669EF" w:rsidP="00A669EF">
      <w:pPr>
        <w:spacing w:after="0" w:line="240" w:lineRule="auto"/>
        <w:jc w:val="both"/>
        <w:outlineLvl w:val="0"/>
        <w:rPr>
          <w:rFonts w:ascii="Times New Roman" w:hAnsi="Times New Roman"/>
          <w:sz w:val="20"/>
          <w:szCs w:val="20"/>
          <w:lang w:val="en-GB"/>
        </w:rPr>
      </w:pPr>
    </w:p>
    <w:p w:rsidR="00A669EF" w:rsidRPr="00A669EF" w:rsidRDefault="00A669EF" w:rsidP="00A669EF">
      <w:pPr>
        <w:spacing w:after="0" w:line="240" w:lineRule="auto"/>
        <w:jc w:val="both"/>
        <w:outlineLvl w:val="0"/>
        <w:rPr>
          <w:rFonts w:ascii="Times New Roman" w:hAnsi="Times New Roman"/>
          <w:sz w:val="20"/>
          <w:szCs w:val="20"/>
          <w:lang w:val="en-GB"/>
        </w:rPr>
      </w:pPr>
      <w:r w:rsidRPr="00A669EF">
        <w:rPr>
          <w:rFonts w:ascii="Times New Roman" w:hAnsi="Times New Roman"/>
          <w:sz w:val="20"/>
          <w:szCs w:val="20"/>
          <w:lang w:val="en-GB"/>
        </w:rPr>
        <w:lastRenderedPageBreak/>
        <w:t xml:space="preserve">Potassium is the mineral required in huge amounts by plants for metabolic functions and growth [18]. Leigh and Jones [19] reported that potassium is required for maintaining the intracellular electric neutrality, osmotic regulation, enzyme activation, protein synthesis, and photosynthetic metabolism. In saline environment, potassium becomes a vital element for osmotic regulation [20] and facilitates water uptake against strong external salt gradient [21]. Thus, this is an advantage for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to adsorb some abundant elements in saline environment. In comparison to other elements, Mg has the lowest micronutrient concentration in all parts of </w:t>
      </w:r>
      <w:r w:rsidRPr="00A669EF">
        <w:rPr>
          <w:rFonts w:ascii="Times New Roman" w:hAnsi="Times New Roman"/>
          <w:i/>
          <w:sz w:val="20"/>
          <w:szCs w:val="20"/>
          <w:lang w:val="en-GB"/>
        </w:rPr>
        <w:t>R. apiculata</w:t>
      </w:r>
      <w:r w:rsidRPr="00A669EF">
        <w:rPr>
          <w:rFonts w:ascii="Times New Roman" w:hAnsi="Times New Roman"/>
          <w:sz w:val="20"/>
          <w:szCs w:val="20"/>
          <w:lang w:val="en-GB"/>
        </w:rPr>
        <w:t>.</w:t>
      </w:r>
    </w:p>
    <w:p w:rsidR="00A669EF" w:rsidRPr="00A669EF" w:rsidRDefault="00A669EF" w:rsidP="00A669EF">
      <w:pPr>
        <w:spacing w:after="120" w:line="240" w:lineRule="auto"/>
        <w:jc w:val="both"/>
        <w:outlineLvl w:val="0"/>
        <w:rPr>
          <w:rFonts w:ascii="Times New Roman" w:hAnsi="Times New Roman"/>
          <w:sz w:val="20"/>
          <w:szCs w:val="20"/>
          <w:lang w:val="en-GB"/>
        </w:rPr>
      </w:pPr>
    </w:p>
    <w:p w:rsidR="00A669EF" w:rsidRPr="00A669EF" w:rsidRDefault="00A669EF" w:rsidP="00A669EF">
      <w:pPr>
        <w:spacing w:after="120" w:line="240" w:lineRule="auto"/>
        <w:jc w:val="center"/>
        <w:outlineLvl w:val="0"/>
        <w:rPr>
          <w:rFonts w:ascii="Times New Roman" w:hAnsi="Times New Roman"/>
          <w:sz w:val="20"/>
          <w:szCs w:val="20"/>
        </w:rPr>
      </w:pPr>
      <w:r w:rsidRPr="00A669EF">
        <w:rPr>
          <w:rFonts w:ascii="Times New Roman" w:hAnsi="Times New Roman"/>
          <w:noProof/>
          <w:sz w:val="20"/>
          <w:szCs w:val="20"/>
          <w:lang w:bidi="ar-SA"/>
        </w:rPr>
        <w:drawing>
          <wp:inline distT="0" distB="0" distL="0" distR="0" wp14:anchorId="7542D764" wp14:editId="204E101D">
            <wp:extent cx="4188460" cy="1942898"/>
            <wp:effectExtent l="19050" t="19050" r="21590" b="19685"/>
            <wp:docPr id="27" name="Picture 27" descr="Machintosh HD:Users:hasrizalshaari:Desktop: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hintosh HD:Users:hasrizalshaari:Desktop:Figure 2.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5195" cy="1950661"/>
                    </a:xfrm>
                    <a:prstGeom prst="rect">
                      <a:avLst/>
                    </a:prstGeom>
                    <a:noFill/>
                    <a:ln>
                      <a:solidFill>
                        <a:schemeClr val="tx1"/>
                      </a:solidFill>
                    </a:ln>
                  </pic:spPr>
                </pic:pic>
              </a:graphicData>
            </a:graphic>
          </wp:inline>
        </w:drawing>
      </w:r>
    </w:p>
    <w:p w:rsidR="00A669EF" w:rsidRPr="00A669EF" w:rsidRDefault="00A669EF" w:rsidP="00A669EF">
      <w:pPr>
        <w:spacing w:after="0" w:line="240" w:lineRule="auto"/>
        <w:jc w:val="center"/>
        <w:outlineLvl w:val="0"/>
        <w:rPr>
          <w:rFonts w:ascii="Times New Roman" w:hAnsi="Times New Roman"/>
          <w:sz w:val="20"/>
          <w:szCs w:val="20"/>
          <w:lang w:val="en-GB"/>
        </w:rPr>
      </w:pPr>
      <w:r w:rsidRPr="00A669EF">
        <w:rPr>
          <w:rFonts w:ascii="Times New Roman" w:hAnsi="Times New Roman"/>
          <w:sz w:val="20"/>
          <w:szCs w:val="20"/>
        </w:rPr>
        <w:t xml:space="preserve">Figure 1. </w:t>
      </w:r>
      <w:r>
        <w:rPr>
          <w:rFonts w:ascii="Times New Roman" w:hAnsi="Times New Roman"/>
          <w:sz w:val="20"/>
          <w:szCs w:val="20"/>
        </w:rPr>
        <w:t xml:space="preserve"> </w:t>
      </w:r>
      <w:r w:rsidRPr="00A669EF">
        <w:rPr>
          <w:rFonts w:ascii="Times New Roman" w:hAnsi="Times New Roman"/>
          <w:sz w:val="20"/>
          <w:szCs w:val="20"/>
        </w:rPr>
        <w:t xml:space="preserve">The concentration of macroelements in different parts of </w:t>
      </w:r>
      <w:r w:rsidRPr="00A669EF">
        <w:rPr>
          <w:rFonts w:ascii="Times New Roman" w:hAnsi="Times New Roman"/>
          <w:i/>
          <w:sz w:val="20"/>
          <w:szCs w:val="20"/>
        </w:rPr>
        <w:t>Rhizophora apiculata</w:t>
      </w:r>
    </w:p>
    <w:p w:rsidR="00A669EF" w:rsidRPr="00A669EF" w:rsidRDefault="00A669EF" w:rsidP="00A669EF">
      <w:pPr>
        <w:spacing w:after="120" w:line="240" w:lineRule="auto"/>
        <w:jc w:val="both"/>
        <w:outlineLvl w:val="0"/>
        <w:rPr>
          <w:rFonts w:ascii="Times New Roman" w:hAnsi="Times New Roman"/>
          <w:sz w:val="20"/>
          <w:szCs w:val="20"/>
          <w:lang w:val="en-GB"/>
        </w:rPr>
      </w:pPr>
    </w:p>
    <w:p w:rsidR="00A669EF" w:rsidRPr="00A669EF" w:rsidRDefault="00A669EF" w:rsidP="00A669EF">
      <w:pPr>
        <w:spacing w:after="0" w:line="240" w:lineRule="auto"/>
        <w:jc w:val="both"/>
        <w:outlineLvl w:val="0"/>
        <w:rPr>
          <w:rFonts w:ascii="Times New Roman" w:hAnsi="Times New Roman"/>
          <w:b/>
          <w:sz w:val="20"/>
          <w:szCs w:val="20"/>
          <w:lang w:val="en-GB"/>
        </w:rPr>
      </w:pPr>
      <w:r w:rsidRPr="00A669EF">
        <w:rPr>
          <w:rFonts w:ascii="Times New Roman" w:hAnsi="Times New Roman"/>
          <w:b/>
          <w:sz w:val="20"/>
          <w:szCs w:val="20"/>
          <w:lang w:val="en-GB"/>
        </w:rPr>
        <w:t>Concentration levels of microelements</w:t>
      </w:r>
    </w:p>
    <w:p w:rsidR="00A669EF" w:rsidRPr="00A669EF" w:rsidRDefault="00A669EF" w:rsidP="00A669EF">
      <w:pPr>
        <w:spacing w:after="0" w:line="240" w:lineRule="auto"/>
        <w:jc w:val="both"/>
        <w:outlineLvl w:val="0"/>
        <w:rPr>
          <w:rFonts w:ascii="Times New Roman" w:hAnsi="Times New Roman"/>
          <w:sz w:val="20"/>
          <w:szCs w:val="20"/>
          <w:lang w:val="en-GB"/>
        </w:rPr>
      </w:pPr>
      <w:r w:rsidRPr="00A669EF">
        <w:rPr>
          <w:rFonts w:ascii="Times New Roman" w:hAnsi="Times New Roman"/>
          <w:sz w:val="20"/>
          <w:szCs w:val="20"/>
          <w:lang w:val="en-GB"/>
        </w:rPr>
        <w:t xml:space="preserve">The concentration of microelements in the different parts of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ranged from 59.99 to 235.09 mg/kg for Mn, 7.44 to 76.32 mg/kg for Al, 9.23 to 48.46 mg/kg for Fe, 1.14 to 3.60 mg/kg for Zn, and 0.53 to 1.40 mg/kg</w:t>
      </w:r>
      <w:r w:rsidRPr="00A669EF">
        <w:rPr>
          <w:rFonts w:ascii="Times New Roman" w:hAnsi="Times New Roman"/>
          <w:sz w:val="20"/>
          <w:szCs w:val="20"/>
          <w:vertAlign w:val="superscript"/>
          <w:lang w:val="en-GB"/>
        </w:rPr>
        <w:t xml:space="preserve"> </w:t>
      </w:r>
      <w:r w:rsidRPr="00A669EF">
        <w:rPr>
          <w:rFonts w:ascii="Times New Roman" w:hAnsi="Times New Roman"/>
          <w:sz w:val="20"/>
          <w:szCs w:val="20"/>
          <w:lang w:val="en-GB"/>
        </w:rPr>
        <w:t xml:space="preserve">for Cu. From the results, Mn tends to be higher compared to another microelements. This indicates that Mn is the essential microelement for plant growth and involves in the reduction of nitrates in green plants [22]. There are reasons for high concentration of Mn at different parts. In Figure 2, Fe is high in roots because it is needed for the growth of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The importance of Fe is well known in the formation of chlorophyll, protein synthesis, and root growth [23]. Thus, high accumulation of Fe in roots indicates the importance of this element in the root cell formation. Another reason of high Mn and Fe concentrations in each part of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is due to the oxygen released by the mangrove roots that creates geochemical oxidant [8]. Both elements in the form of Fe</w:t>
      </w:r>
      <w:r w:rsidRPr="00A669EF">
        <w:rPr>
          <w:rFonts w:ascii="Times New Roman" w:hAnsi="Times New Roman"/>
          <w:sz w:val="20"/>
          <w:szCs w:val="20"/>
          <w:vertAlign w:val="superscript"/>
          <w:lang w:val="en-GB"/>
        </w:rPr>
        <w:t>2+</w:t>
      </w:r>
      <w:r w:rsidRPr="00A669EF">
        <w:rPr>
          <w:rFonts w:ascii="Times New Roman" w:hAnsi="Times New Roman"/>
          <w:sz w:val="20"/>
          <w:szCs w:val="20"/>
          <w:lang w:val="en-GB"/>
        </w:rPr>
        <w:t xml:space="preserve"> and Mn</w:t>
      </w:r>
      <w:r w:rsidRPr="00A669EF">
        <w:rPr>
          <w:rFonts w:ascii="Times New Roman" w:hAnsi="Times New Roman"/>
          <w:sz w:val="20"/>
          <w:szCs w:val="20"/>
          <w:vertAlign w:val="superscript"/>
          <w:lang w:val="en-GB"/>
        </w:rPr>
        <w:t>2+</w:t>
      </w:r>
      <w:r w:rsidRPr="00A669EF">
        <w:rPr>
          <w:rFonts w:ascii="Times New Roman" w:hAnsi="Times New Roman"/>
          <w:sz w:val="20"/>
          <w:szCs w:val="20"/>
          <w:lang w:val="en-GB"/>
        </w:rPr>
        <w:t xml:space="preserve"> will be oxidized into the insoluble forms of Fe(OH)</w:t>
      </w:r>
      <w:r w:rsidRPr="00A669EF">
        <w:rPr>
          <w:rFonts w:ascii="Times New Roman" w:hAnsi="Times New Roman"/>
          <w:sz w:val="20"/>
          <w:szCs w:val="20"/>
          <w:vertAlign w:val="subscript"/>
          <w:lang w:val="en-GB"/>
        </w:rPr>
        <w:t>3</w:t>
      </w:r>
      <w:r w:rsidRPr="00A669EF">
        <w:rPr>
          <w:rFonts w:ascii="Times New Roman" w:hAnsi="Times New Roman"/>
          <w:sz w:val="20"/>
          <w:szCs w:val="20"/>
          <w:lang w:val="en-GB"/>
        </w:rPr>
        <w:t xml:space="preserve"> and MnO</w:t>
      </w:r>
      <w:r w:rsidRPr="00A669EF">
        <w:rPr>
          <w:rFonts w:ascii="Times New Roman" w:hAnsi="Times New Roman"/>
          <w:sz w:val="20"/>
          <w:szCs w:val="20"/>
          <w:vertAlign w:val="subscript"/>
          <w:lang w:val="en-GB"/>
        </w:rPr>
        <w:t>2</w:t>
      </w:r>
      <w:r w:rsidRPr="00A669EF">
        <w:rPr>
          <w:rFonts w:ascii="Times New Roman" w:hAnsi="Times New Roman"/>
          <w:sz w:val="20"/>
          <w:szCs w:val="20"/>
          <w:lang w:val="en-GB"/>
        </w:rPr>
        <w:t xml:space="preserve"> [24]. </w:t>
      </w:r>
    </w:p>
    <w:p w:rsidR="00A669EF" w:rsidRPr="00A669EF" w:rsidRDefault="00A669EF" w:rsidP="00A669EF">
      <w:pPr>
        <w:spacing w:after="0" w:line="240" w:lineRule="auto"/>
        <w:jc w:val="both"/>
        <w:outlineLvl w:val="0"/>
        <w:rPr>
          <w:rFonts w:ascii="Times New Roman" w:hAnsi="Times New Roman"/>
          <w:sz w:val="20"/>
          <w:szCs w:val="20"/>
          <w:lang w:val="en-GB"/>
        </w:rPr>
      </w:pPr>
    </w:p>
    <w:p w:rsidR="00A669EF" w:rsidRPr="00A669EF" w:rsidRDefault="00A669EF" w:rsidP="00A669EF">
      <w:pPr>
        <w:spacing w:after="0" w:line="240" w:lineRule="auto"/>
        <w:jc w:val="both"/>
        <w:outlineLvl w:val="0"/>
        <w:rPr>
          <w:rFonts w:ascii="Times New Roman" w:hAnsi="Times New Roman"/>
          <w:sz w:val="20"/>
          <w:szCs w:val="20"/>
          <w:lang w:val="en-GB"/>
        </w:rPr>
      </w:pPr>
    </w:p>
    <w:p w:rsidR="00A669EF" w:rsidRPr="00A669EF" w:rsidRDefault="00A669EF" w:rsidP="00A669EF">
      <w:pPr>
        <w:tabs>
          <w:tab w:val="center" w:pos="4536"/>
          <w:tab w:val="left" w:pos="8360"/>
        </w:tabs>
        <w:spacing w:after="0" w:line="240" w:lineRule="auto"/>
        <w:ind w:right="-46"/>
        <w:jc w:val="center"/>
        <w:outlineLvl w:val="0"/>
        <w:rPr>
          <w:rFonts w:ascii="Times New Roman" w:hAnsi="Times New Roman"/>
          <w:sz w:val="20"/>
          <w:szCs w:val="20"/>
          <w:lang w:val="en-GB"/>
        </w:rPr>
      </w:pPr>
      <w:r w:rsidRPr="00A669EF">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02191DF" wp14:editId="52E61105">
                <wp:simplePos x="0" y="0"/>
                <wp:positionH relativeFrom="column">
                  <wp:posOffset>1859915</wp:posOffset>
                </wp:positionH>
                <wp:positionV relativeFrom="paragraph">
                  <wp:posOffset>110490</wp:posOffset>
                </wp:positionV>
                <wp:extent cx="419100" cy="304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304800"/>
                        </a:xfrm>
                        <a:prstGeom prst="rect">
                          <a:avLst/>
                        </a:prstGeom>
                        <a:noFill/>
                        <a:ln w="6350">
                          <a:noFill/>
                        </a:ln>
                      </wps:spPr>
                      <wps:txbx>
                        <w:txbxContent>
                          <w:p w:rsidR="00634753" w:rsidRPr="003B7130" w:rsidRDefault="00634753" w:rsidP="00A669EF">
                            <w:pPr>
                              <w:rPr>
                                <w:rFonts w:ascii="Times New Roman" w:hAnsi="Times New Roman"/>
                                <w:b/>
                              </w:rPr>
                            </w:pPr>
                            <w:r w:rsidRPr="003B7130">
                              <w:rPr>
                                <w:rFonts w:ascii="Times New Roman" w:hAnsi="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46.45pt;margin-top:8.7pt;width:33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" filled="f" stroked="f" strokeweight=".5pt">
                <v:path arrowok="t"/>
                <v:textbox>
                  <w:txbxContent>
                    <w:p w:rsidR="00634753" w:rsidRPr="003B7130" w:rsidRDefault="00634753" w:rsidP="00A669EF">
                      <w:pPr>
                        <w:rPr>
                          <w:rFonts w:ascii="Times New Roman" w:hAnsi="Times New Roman"/>
                          <w:b/>
                        </w:rPr>
                      </w:pPr>
                      <w:r w:rsidRPr="003B7130">
                        <w:rPr>
                          <w:rFonts w:ascii="Times New Roman" w:hAnsi="Times New Roman"/>
                          <w:b/>
                        </w:rPr>
                        <w:t>(a)</w:t>
                      </w:r>
                    </w:p>
                  </w:txbxContent>
                </v:textbox>
              </v:shape>
            </w:pict>
          </mc:Fallback>
        </mc:AlternateContent>
      </w:r>
      <w:r w:rsidRPr="00A669EF">
        <w:rPr>
          <w:rFonts w:ascii="Times New Roman" w:hAnsi="Times New Roman"/>
          <w:noProof/>
          <w:sz w:val="20"/>
          <w:szCs w:val="20"/>
          <w:lang w:bidi="ar-SA"/>
        </w:rPr>
        <w:drawing>
          <wp:inline distT="0" distB="0" distL="0" distR="0" wp14:anchorId="445799FB" wp14:editId="6FBB0188">
            <wp:extent cx="4204800" cy="1960071"/>
            <wp:effectExtent l="0" t="0" r="5715" b="254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4800" cy="1960071"/>
                    </a:xfrm>
                    <a:prstGeom prst="rect">
                      <a:avLst/>
                    </a:prstGeom>
                    <a:noFill/>
                    <a:ln>
                      <a:noFill/>
                    </a:ln>
                  </pic:spPr>
                </pic:pic>
              </a:graphicData>
            </a:graphic>
          </wp:inline>
        </w:drawing>
      </w:r>
    </w:p>
    <w:p w:rsidR="00A669EF" w:rsidRPr="00A669EF" w:rsidRDefault="00A669EF" w:rsidP="00A669EF">
      <w:pPr>
        <w:spacing w:after="0" w:line="240" w:lineRule="auto"/>
        <w:ind w:firstLine="142"/>
        <w:jc w:val="both"/>
        <w:outlineLvl w:val="0"/>
        <w:rPr>
          <w:rFonts w:ascii="Times New Roman" w:hAnsi="Times New Roman"/>
          <w:sz w:val="20"/>
          <w:szCs w:val="20"/>
        </w:rPr>
      </w:pPr>
    </w:p>
    <w:p w:rsidR="00A669EF" w:rsidRPr="00A669EF" w:rsidRDefault="00A669EF" w:rsidP="00A669EF">
      <w:pPr>
        <w:spacing w:after="120" w:line="240" w:lineRule="auto"/>
        <w:ind w:firstLine="144"/>
        <w:jc w:val="center"/>
        <w:outlineLvl w:val="0"/>
        <w:rPr>
          <w:rFonts w:ascii="Times New Roman" w:hAnsi="Times New Roman"/>
          <w:sz w:val="20"/>
          <w:szCs w:val="20"/>
        </w:rPr>
      </w:pPr>
      <w:r w:rsidRPr="00A669EF">
        <w:rPr>
          <w:rFonts w:ascii="Times New Roman" w:hAnsi="Times New Roman"/>
          <w:noProof/>
          <w:sz w:val="20"/>
          <w:szCs w:val="20"/>
          <w:lang w:bidi="ar-SA"/>
        </w:rPr>
        <w:lastRenderedPageBreak/>
        <mc:AlternateContent>
          <mc:Choice Requires="wps">
            <w:drawing>
              <wp:anchor distT="0" distB="0" distL="114300" distR="114300" simplePos="0" relativeHeight="251661824" behindDoc="0" locked="0" layoutInCell="1" allowOverlap="1" wp14:anchorId="3833B94D" wp14:editId="33589A3D">
                <wp:simplePos x="0" y="0"/>
                <wp:positionH relativeFrom="column">
                  <wp:posOffset>1856105</wp:posOffset>
                </wp:positionH>
                <wp:positionV relativeFrom="paragraph">
                  <wp:posOffset>88265</wp:posOffset>
                </wp:positionV>
                <wp:extent cx="419100" cy="3048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304800"/>
                        </a:xfrm>
                        <a:prstGeom prst="rect">
                          <a:avLst/>
                        </a:prstGeom>
                        <a:noFill/>
                        <a:ln w="6350">
                          <a:noFill/>
                        </a:ln>
                      </wps:spPr>
                      <wps:txbx>
                        <w:txbxContent>
                          <w:p w:rsidR="00634753" w:rsidRPr="003B7130" w:rsidRDefault="00634753" w:rsidP="00A669EF">
                            <w:pPr>
                              <w:rPr>
                                <w:rFonts w:ascii="Times New Roman" w:hAnsi="Times New Roman"/>
                                <w:b/>
                              </w:rPr>
                            </w:pPr>
                            <w:r w:rsidRPr="003B7130">
                              <w:rPr>
                                <w:rFonts w:ascii="Times New Roman" w:hAnsi="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46.15pt;margin-top:6.95pt;width:33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" filled="f" stroked="f" strokeweight=".5pt">
                <v:path arrowok="t"/>
                <v:textbox>
                  <w:txbxContent>
                    <w:p w:rsidR="00634753" w:rsidRPr="003B7130" w:rsidRDefault="00634753" w:rsidP="00A669EF">
                      <w:pPr>
                        <w:rPr>
                          <w:rFonts w:ascii="Times New Roman" w:hAnsi="Times New Roman"/>
                          <w:b/>
                        </w:rPr>
                      </w:pPr>
                      <w:r w:rsidRPr="003B7130">
                        <w:rPr>
                          <w:rFonts w:ascii="Times New Roman" w:hAnsi="Times New Roman"/>
                          <w:b/>
                        </w:rPr>
                        <w:t>(b)</w:t>
                      </w:r>
                    </w:p>
                  </w:txbxContent>
                </v:textbox>
              </v:shape>
            </w:pict>
          </mc:Fallback>
        </mc:AlternateContent>
      </w:r>
      <w:r w:rsidRPr="00A669EF">
        <w:rPr>
          <w:rFonts w:ascii="Times New Roman" w:hAnsi="Times New Roman"/>
          <w:noProof/>
          <w:sz w:val="20"/>
          <w:szCs w:val="20"/>
          <w:lang w:bidi="ar-SA"/>
        </w:rPr>
        <w:drawing>
          <wp:inline distT="0" distB="0" distL="0" distR="0" wp14:anchorId="6921D2C6" wp14:editId="519FF41C">
            <wp:extent cx="4182386" cy="1927860"/>
            <wp:effectExtent l="19050" t="19050" r="27940" b="15240"/>
            <wp:docPr id="3" name="Picture 3" descr="Machintosh HD:Users:hasrizalshaari:Desktop: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hintosh HD:Users:hasrizalshaari:Desktop:Figure 4.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88774" cy="1930805"/>
                    </a:xfrm>
                    <a:prstGeom prst="rect">
                      <a:avLst/>
                    </a:prstGeom>
                    <a:noFill/>
                    <a:ln>
                      <a:solidFill>
                        <a:schemeClr val="tx1"/>
                      </a:solidFill>
                    </a:ln>
                  </pic:spPr>
                </pic:pic>
              </a:graphicData>
            </a:graphic>
          </wp:inline>
        </w:drawing>
      </w:r>
    </w:p>
    <w:p w:rsidR="00A669EF" w:rsidRPr="00A669EF" w:rsidRDefault="00A669EF" w:rsidP="00A669EF">
      <w:pPr>
        <w:spacing w:after="0" w:line="240" w:lineRule="auto"/>
        <w:jc w:val="center"/>
        <w:outlineLvl w:val="0"/>
        <w:rPr>
          <w:rFonts w:ascii="Times New Roman" w:hAnsi="Times New Roman"/>
          <w:sz w:val="20"/>
          <w:szCs w:val="20"/>
        </w:rPr>
      </w:pPr>
      <w:r w:rsidRPr="00A669EF">
        <w:rPr>
          <w:rFonts w:ascii="Times New Roman" w:hAnsi="Times New Roman"/>
          <w:sz w:val="20"/>
          <w:szCs w:val="20"/>
        </w:rPr>
        <w:t xml:space="preserve">Figure 2. </w:t>
      </w:r>
      <w:r>
        <w:rPr>
          <w:rFonts w:ascii="Times New Roman" w:hAnsi="Times New Roman"/>
          <w:sz w:val="20"/>
          <w:szCs w:val="20"/>
        </w:rPr>
        <w:t xml:space="preserve"> </w:t>
      </w:r>
      <w:r w:rsidRPr="00A669EF">
        <w:rPr>
          <w:rFonts w:ascii="Times New Roman" w:hAnsi="Times New Roman"/>
          <w:sz w:val="20"/>
          <w:szCs w:val="20"/>
        </w:rPr>
        <w:t xml:space="preserve">Concentration of microelements in different parts of </w:t>
      </w:r>
      <w:r w:rsidRPr="00A669EF">
        <w:rPr>
          <w:rFonts w:ascii="Times New Roman" w:hAnsi="Times New Roman"/>
          <w:i/>
          <w:sz w:val="20"/>
          <w:szCs w:val="20"/>
        </w:rPr>
        <w:t>Rhizophora apiculata</w:t>
      </w:r>
    </w:p>
    <w:p w:rsidR="00A669EF" w:rsidRDefault="00A669EF" w:rsidP="00A669EF">
      <w:pPr>
        <w:spacing w:after="120" w:line="240" w:lineRule="auto"/>
        <w:jc w:val="both"/>
        <w:outlineLvl w:val="0"/>
        <w:rPr>
          <w:rFonts w:ascii="Times New Roman" w:hAnsi="Times New Roman"/>
          <w:sz w:val="20"/>
          <w:szCs w:val="20"/>
          <w:lang w:val="en-GB"/>
        </w:rPr>
      </w:pPr>
    </w:p>
    <w:p w:rsidR="00A669EF" w:rsidRPr="00A669EF" w:rsidRDefault="00A669EF" w:rsidP="00A669EF">
      <w:pPr>
        <w:spacing w:after="0" w:line="240" w:lineRule="auto"/>
        <w:jc w:val="both"/>
        <w:outlineLvl w:val="0"/>
        <w:rPr>
          <w:rFonts w:ascii="Times New Roman" w:hAnsi="Times New Roman"/>
          <w:sz w:val="20"/>
          <w:szCs w:val="20"/>
          <w:lang w:val="en-GB"/>
        </w:rPr>
      </w:pPr>
      <w:r w:rsidRPr="00A669EF">
        <w:rPr>
          <w:rFonts w:ascii="Times New Roman" w:hAnsi="Times New Roman"/>
          <w:sz w:val="20"/>
          <w:szCs w:val="20"/>
          <w:lang w:val="en-GB"/>
        </w:rPr>
        <w:t xml:space="preserve">Figure 2b shows that Zn and Cu are present in the studied parts. The presence of both elements in plants is necessary for chloroplast reactions, enzyme systems, protein synthesis, and metabolism [25]. According to Anikwe et al. [26], mangrove trees are known with the capability to accumulate a considerable number of elements in roots and barks. However, the concentrations of microelements in each part of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tend to be different due to the translocation and distribution process of the absorbed elements to other parts. Each element has different concentration in each component. This suggests that the element is immobilized and some elements are transported to the upper parts of the plant [27]. </w:t>
      </w:r>
    </w:p>
    <w:p w:rsidR="00A669EF" w:rsidRPr="00A669EF" w:rsidRDefault="00A669EF" w:rsidP="00A669EF">
      <w:pPr>
        <w:spacing w:after="0" w:line="240" w:lineRule="auto"/>
        <w:jc w:val="both"/>
        <w:outlineLvl w:val="0"/>
        <w:rPr>
          <w:rFonts w:ascii="Times New Roman" w:hAnsi="Times New Roman"/>
          <w:sz w:val="20"/>
          <w:szCs w:val="20"/>
          <w:lang w:val="en-GB"/>
        </w:rPr>
      </w:pPr>
    </w:p>
    <w:p w:rsidR="00A669EF" w:rsidRPr="00A669EF" w:rsidRDefault="00A669EF" w:rsidP="00A669EF">
      <w:pPr>
        <w:spacing w:after="0" w:line="240" w:lineRule="auto"/>
        <w:jc w:val="both"/>
        <w:outlineLvl w:val="0"/>
        <w:rPr>
          <w:rFonts w:ascii="Times New Roman" w:hAnsi="Times New Roman"/>
          <w:b/>
          <w:sz w:val="20"/>
          <w:szCs w:val="20"/>
          <w:lang w:val="en-GB"/>
        </w:rPr>
      </w:pPr>
      <w:r w:rsidRPr="00A669EF">
        <w:rPr>
          <w:rFonts w:ascii="Times New Roman" w:hAnsi="Times New Roman"/>
          <w:b/>
          <w:sz w:val="20"/>
          <w:szCs w:val="20"/>
          <w:lang w:val="en-GB"/>
        </w:rPr>
        <w:t>Concentration levels of non-essential elements</w:t>
      </w:r>
    </w:p>
    <w:p w:rsidR="00A669EF" w:rsidRPr="00A669EF" w:rsidRDefault="00A669EF" w:rsidP="00A669EF">
      <w:pPr>
        <w:spacing w:after="0" w:line="240" w:lineRule="auto"/>
        <w:jc w:val="both"/>
        <w:outlineLvl w:val="0"/>
        <w:rPr>
          <w:rFonts w:ascii="Times New Roman" w:hAnsi="Times New Roman"/>
          <w:sz w:val="20"/>
          <w:szCs w:val="20"/>
          <w:lang w:val="en-GB"/>
        </w:rPr>
      </w:pPr>
      <w:r w:rsidRPr="00A669EF">
        <w:rPr>
          <w:rFonts w:ascii="Times New Roman" w:hAnsi="Times New Roman"/>
          <w:sz w:val="20"/>
          <w:szCs w:val="20"/>
          <w:lang w:val="en-GB"/>
        </w:rPr>
        <w:t>Concentrations of non-essential elements were recorded at the low range from 0.01 to 0.03 mg/kg</w:t>
      </w:r>
      <w:r w:rsidRPr="00A669EF">
        <w:rPr>
          <w:rFonts w:ascii="Times New Roman" w:hAnsi="Times New Roman"/>
          <w:sz w:val="20"/>
          <w:szCs w:val="20"/>
          <w:vertAlign w:val="superscript"/>
          <w:lang w:val="en-GB"/>
        </w:rPr>
        <w:t xml:space="preserve"> </w:t>
      </w:r>
      <w:r w:rsidRPr="00A669EF">
        <w:rPr>
          <w:rFonts w:ascii="Times New Roman" w:hAnsi="Times New Roman"/>
          <w:sz w:val="20"/>
          <w:szCs w:val="20"/>
          <w:lang w:val="en-GB"/>
        </w:rPr>
        <w:t>for Cd and 0.08 to 0.35 mg/kg</w:t>
      </w:r>
      <w:r w:rsidRPr="00A669EF">
        <w:rPr>
          <w:rFonts w:ascii="Times New Roman" w:hAnsi="Times New Roman"/>
          <w:sz w:val="20"/>
          <w:szCs w:val="20"/>
          <w:vertAlign w:val="superscript"/>
          <w:lang w:val="en-GB"/>
        </w:rPr>
        <w:t xml:space="preserve"> </w:t>
      </w:r>
      <w:r w:rsidRPr="00A669EF">
        <w:rPr>
          <w:rFonts w:ascii="Times New Roman" w:hAnsi="Times New Roman"/>
          <w:sz w:val="20"/>
          <w:szCs w:val="20"/>
          <w:lang w:val="en-GB"/>
        </w:rPr>
        <w:t xml:space="preserve">for Pb (Figure 3). The abundance of Cd may reflect from the natural background of the environment. The accumulation of Pb in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in this research was at a normal range concentration (5.0–10.0 mg/kg) in plant material [28, 29]. Usman et al. [30] suggested that low concentration of Pb is due to the reaction with phosphates, hydroxides, carbonates, clays, and organic matters, which resulted in low solubility of Pb. This shows that Pb is immobile; besides, it has low solubility in low pH environment.</w:t>
      </w:r>
    </w:p>
    <w:p w:rsidR="00A669EF" w:rsidRPr="00A669EF" w:rsidRDefault="00A669EF" w:rsidP="00A669EF">
      <w:pPr>
        <w:spacing w:after="120" w:line="240" w:lineRule="auto"/>
        <w:jc w:val="both"/>
        <w:outlineLvl w:val="0"/>
        <w:rPr>
          <w:rFonts w:ascii="Times New Roman" w:hAnsi="Times New Roman"/>
          <w:sz w:val="20"/>
          <w:szCs w:val="20"/>
          <w:lang w:val="en-GB"/>
        </w:rPr>
      </w:pPr>
    </w:p>
    <w:p w:rsidR="00A669EF" w:rsidRPr="00A669EF" w:rsidRDefault="00A669EF" w:rsidP="00A669EF">
      <w:pPr>
        <w:spacing w:after="120" w:line="240" w:lineRule="auto"/>
        <w:jc w:val="center"/>
        <w:outlineLvl w:val="0"/>
        <w:rPr>
          <w:rFonts w:ascii="Times New Roman" w:hAnsi="Times New Roman"/>
          <w:sz w:val="20"/>
          <w:szCs w:val="20"/>
        </w:rPr>
      </w:pPr>
      <w:r w:rsidRPr="00A669EF">
        <w:rPr>
          <w:rFonts w:ascii="Times New Roman" w:hAnsi="Times New Roman"/>
          <w:noProof/>
          <w:sz w:val="20"/>
          <w:szCs w:val="20"/>
          <w:lang w:bidi="ar-SA"/>
        </w:rPr>
        <w:drawing>
          <wp:inline distT="0" distB="0" distL="0" distR="0" wp14:anchorId="3EA26723" wp14:editId="775B8EDD">
            <wp:extent cx="4295775" cy="2000250"/>
            <wp:effectExtent l="19050" t="19050" r="28575" b="19050"/>
            <wp:docPr id="30" name="Picture 30" descr="Machintosh HD:Users:hasrizalshaari:Desktop: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hintosh HD:Users:hasrizalshaari:Desktop:Figure 5.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0567" cy="2002481"/>
                    </a:xfrm>
                    <a:prstGeom prst="rect">
                      <a:avLst/>
                    </a:prstGeom>
                    <a:noFill/>
                    <a:ln>
                      <a:solidFill>
                        <a:schemeClr val="tx1"/>
                      </a:solidFill>
                    </a:ln>
                  </pic:spPr>
                </pic:pic>
              </a:graphicData>
            </a:graphic>
          </wp:inline>
        </w:drawing>
      </w:r>
    </w:p>
    <w:p w:rsidR="00A669EF" w:rsidRPr="00A669EF" w:rsidRDefault="00A669EF" w:rsidP="00A669EF">
      <w:pPr>
        <w:spacing w:after="0" w:line="240" w:lineRule="auto"/>
        <w:ind w:firstLine="142"/>
        <w:jc w:val="center"/>
        <w:outlineLvl w:val="0"/>
        <w:rPr>
          <w:rFonts w:ascii="Times New Roman" w:hAnsi="Times New Roman"/>
          <w:sz w:val="20"/>
          <w:szCs w:val="20"/>
        </w:rPr>
      </w:pPr>
      <w:r w:rsidRPr="00A669EF">
        <w:rPr>
          <w:rFonts w:ascii="Times New Roman" w:hAnsi="Times New Roman"/>
          <w:sz w:val="20"/>
          <w:szCs w:val="20"/>
        </w:rPr>
        <w:t xml:space="preserve">Figure 3. </w:t>
      </w:r>
      <w:r>
        <w:rPr>
          <w:rFonts w:ascii="Times New Roman" w:hAnsi="Times New Roman"/>
          <w:sz w:val="20"/>
          <w:szCs w:val="20"/>
        </w:rPr>
        <w:t xml:space="preserve"> </w:t>
      </w:r>
      <w:r w:rsidRPr="00A669EF">
        <w:rPr>
          <w:rFonts w:ascii="Times New Roman" w:hAnsi="Times New Roman"/>
          <w:sz w:val="20"/>
          <w:szCs w:val="20"/>
        </w:rPr>
        <w:t xml:space="preserve">Concentration of non-essential elements in different parts of </w:t>
      </w:r>
      <w:r w:rsidRPr="00A669EF">
        <w:rPr>
          <w:rFonts w:ascii="Times New Roman" w:hAnsi="Times New Roman"/>
          <w:i/>
          <w:sz w:val="20"/>
          <w:szCs w:val="20"/>
        </w:rPr>
        <w:t>Rhizophora apiculata</w:t>
      </w:r>
    </w:p>
    <w:p w:rsidR="00A669EF" w:rsidRPr="00A669EF" w:rsidRDefault="00A669EF" w:rsidP="00A669EF">
      <w:pPr>
        <w:spacing w:after="120" w:line="240" w:lineRule="auto"/>
        <w:jc w:val="both"/>
        <w:outlineLvl w:val="0"/>
        <w:rPr>
          <w:rFonts w:ascii="Times New Roman" w:hAnsi="Times New Roman"/>
          <w:sz w:val="20"/>
          <w:szCs w:val="20"/>
          <w:lang w:val="en-GB"/>
        </w:rPr>
      </w:pPr>
    </w:p>
    <w:p w:rsidR="00A669EF" w:rsidRPr="00A669EF" w:rsidRDefault="00A669EF" w:rsidP="00A669EF">
      <w:pPr>
        <w:spacing w:after="0" w:line="240" w:lineRule="auto"/>
        <w:jc w:val="both"/>
        <w:outlineLvl w:val="0"/>
        <w:rPr>
          <w:rFonts w:ascii="Times New Roman" w:hAnsi="Times New Roman"/>
          <w:b/>
          <w:sz w:val="20"/>
          <w:szCs w:val="20"/>
          <w:lang w:val="en-GB"/>
        </w:rPr>
      </w:pPr>
      <w:r w:rsidRPr="00A669EF">
        <w:rPr>
          <w:rFonts w:ascii="Times New Roman" w:hAnsi="Times New Roman"/>
          <w:b/>
          <w:sz w:val="20"/>
          <w:szCs w:val="20"/>
          <w:lang w:val="en-GB"/>
        </w:rPr>
        <w:t>Principal component analysis</w:t>
      </w:r>
    </w:p>
    <w:p w:rsidR="00A669EF" w:rsidRPr="00A669EF" w:rsidRDefault="00A669EF" w:rsidP="00A669EF">
      <w:pPr>
        <w:spacing w:after="0" w:line="240" w:lineRule="auto"/>
        <w:jc w:val="both"/>
        <w:outlineLvl w:val="0"/>
        <w:rPr>
          <w:rFonts w:ascii="Times New Roman" w:hAnsi="Times New Roman"/>
          <w:sz w:val="20"/>
          <w:szCs w:val="20"/>
          <w:lang w:val="en-GB"/>
        </w:rPr>
      </w:pPr>
      <w:r w:rsidRPr="00A669EF">
        <w:rPr>
          <w:rFonts w:ascii="Times New Roman" w:hAnsi="Times New Roman"/>
          <w:sz w:val="20"/>
          <w:szCs w:val="20"/>
          <w:lang w:val="en-GB"/>
        </w:rPr>
        <w:t xml:space="preserve">The source of metal uptake was identified using principal component analysis through eigen-decomposition method. Principal components show pronounced change in the scree plot after 2 eigenvalues (6.72, 2.67). In this study, two </w:t>
      </w:r>
      <w:r w:rsidRPr="00A669EF">
        <w:rPr>
          <w:rFonts w:ascii="Times New Roman" w:hAnsi="Times New Roman"/>
          <w:sz w:val="20"/>
          <w:szCs w:val="20"/>
          <w:lang w:val="en-GB"/>
        </w:rPr>
        <w:lastRenderedPageBreak/>
        <w:t xml:space="preserve">principal </w:t>
      </w:r>
      <w:r w:rsidR="00634753">
        <w:rPr>
          <w:rFonts w:ascii="Times New Roman" w:hAnsi="Times New Roman"/>
          <w:sz w:val="20"/>
          <w:szCs w:val="20"/>
          <w:lang w:val="en-GB"/>
        </w:rPr>
        <w:t xml:space="preserve"> </w:t>
      </w:r>
      <w:r w:rsidRPr="00A669EF">
        <w:rPr>
          <w:rFonts w:ascii="Times New Roman" w:hAnsi="Times New Roman"/>
          <w:sz w:val="20"/>
          <w:szCs w:val="20"/>
          <w:lang w:val="en-GB"/>
        </w:rPr>
        <w:t xml:space="preserve">components </w:t>
      </w:r>
      <w:r w:rsidR="00634753">
        <w:rPr>
          <w:rFonts w:ascii="Times New Roman" w:hAnsi="Times New Roman"/>
          <w:sz w:val="20"/>
          <w:szCs w:val="20"/>
          <w:lang w:val="en-GB"/>
        </w:rPr>
        <w:t xml:space="preserve"> </w:t>
      </w:r>
      <w:r w:rsidRPr="00A669EF">
        <w:rPr>
          <w:rFonts w:ascii="Times New Roman" w:hAnsi="Times New Roman"/>
          <w:sz w:val="20"/>
          <w:szCs w:val="20"/>
          <w:lang w:val="en-GB"/>
        </w:rPr>
        <w:t xml:space="preserve">rendered </w:t>
      </w:r>
      <w:r w:rsidR="00634753">
        <w:rPr>
          <w:rFonts w:ascii="Times New Roman" w:hAnsi="Times New Roman"/>
          <w:sz w:val="20"/>
          <w:szCs w:val="20"/>
          <w:lang w:val="en-GB"/>
        </w:rPr>
        <w:t xml:space="preserve"> </w:t>
      </w:r>
      <w:r w:rsidRPr="00A669EF">
        <w:rPr>
          <w:rFonts w:ascii="Times New Roman" w:hAnsi="Times New Roman"/>
          <w:sz w:val="20"/>
          <w:szCs w:val="20"/>
          <w:lang w:val="en-GB"/>
        </w:rPr>
        <w:t xml:space="preserve">explained about 85.70% of the total variance in the data sets as illustrated in Figure 4. It is clearly shown that the metal uptake by </w:t>
      </w:r>
      <w:r w:rsidRPr="00A669EF">
        <w:rPr>
          <w:rFonts w:ascii="Times New Roman" w:hAnsi="Times New Roman"/>
          <w:i/>
          <w:sz w:val="20"/>
          <w:szCs w:val="20"/>
          <w:lang w:val="en-GB"/>
        </w:rPr>
        <w:t xml:space="preserve">R. apiculata </w:t>
      </w:r>
      <w:r w:rsidRPr="00A669EF">
        <w:rPr>
          <w:rFonts w:ascii="Times New Roman" w:hAnsi="Times New Roman"/>
          <w:sz w:val="20"/>
          <w:szCs w:val="20"/>
          <w:lang w:val="en-GB"/>
        </w:rPr>
        <w:t xml:space="preserve">tends to be dominant for barks. Both essential elements, Al and Fe, were higher in the roots of </w:t>
      </w:r>
      <w:r w:rsidRPr="00A669EF">
        <w:rPr>
          <w:rFonts w:ascii="Times New Roman" w:hAnsi="Times New Roman"/>
          <w:i/>
          <w:sz w:val="20"/>
          <w:szCs w:val="20"/>
          <w:lang w:val="en-GB"/>
        </w:rPr>
        <w:t>R. apiculata</w:t>
      </w:r>
      <w:r w:rsidRPr="00A669EF">
        <w:rPr>
          <w:rFonts w:ascii="Times New Roman" w:hAnsi="Times New Roman"/>
          <w:sz w:val="20"/>
          <w:szCs w:val="20"/>
          <w:lang w:val="en-GB"/>
        </w:rPr>
        <w:t xml:space="preserve">, thus giving an idea that negative impact is minimal since it is useful for plant growth. Despite the concentrations on non-essential elements (Pb and Cd) are still low, it is noteworthy to highlight that there is a potential of metal accumulation as similar observation was also recorded for the same species by Kamaruzzaman et al. with higher concentration [10].  </w:t>
      </w:r>
    </w:p>
    <w:p w:rsidR="00A669EF" w:rsidRPr="00A669EF" w:rsidRDefault="00A669EF" w:rsidP="009C4440">
      <w:pPr>
        <w:spacing w:after="0" w:line="240" w:lineRule="auto"/>
        <w:jc w:val="both"/>
        <w:outlineLvl w:val="0"/>
        <w:rPr>
          <w:rFonts w:ascii="Times New Roman" w:hAnsi="Times New Roman"/>
          <w:sz w:val="20"/>
          <w:szCs w:val="20"/>
          <w:lang w:val="en-GB"/>
        </w:rPr>
      </w:pPr>
    </w:p>
    <w:p w:rsidR="00A669EF" w:rsidRPr="00A669EF" w:rsidRDefault="00A669EF" w:rsidP="00A669EF">
      <w:pPr>
        <w:spacing w:after="120" w:line="240" w:lineRule="auto"/>
        <w:jc w:val="center"/>
        <w:outlineLvl w:val="0"/>
        <w:rPr>
          <w:rFonts w:ascii="Times New Roman" w:hAnsi="Times New Roman"/>
          <w:sz w:val="20"/>
          <w:szCs w:val="20"/>
        </w:rPr>
      </w:pPr>
      <w:r w:rsidRPr="00A669EF">
        <w:rPr>
          <w:rFonts w:ascii="Times New Roman" w:hAnsi="Times New Roman"/>
          <w:noProof/>
          <w:sz w:val="20"/>
          <w:szCs w:val="20"/>
          <w:lang w:bidi="ar-SA"/>
        </w:rPr>
        <w:drawing>
          <wp:inline distT="0" distB="0" distL="0" distR="0" wp14:anchorId="14B05AC1" wp14:editId="4C966C1D">
            <wp:extent cx="4159001" cy="321345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8968" cy="3221152"/>
                    </a:xfrm>
                    <a:prstGeom prst="rect">
                      <a:avLst/>
                    </a:prstGeom>
                    <a:noFill/>
                    <a:ln>
                      <a:noFill/>
                    </a:ln>
                  </pic:spPr>
                </pic:pic>
              </a:graphicData>
            </a:graphic>
          </wp:inline>
        </w:drawing>
      </w:r>
    </w:p>
    <w:p w:rsidR="00A669EF" w:rsidRPr="00A669EF" w:rsidRDefault="00A669EF" w:rsidP="00A669EF">
      <w:pPr>
        <w:spacing w:after="0" w:line="240" w:lineRule="auto"/>
        <w:jc w:val="center"/>
        <w:outlineLvl w:val="0"/>
        <w:rPr>
          <w:rFonts w:ascii="Times New Roman" w:hAnsi="Times New Roman"/>
          <w:sz w:val="20"/>
          <w:szCs w:val="20"/>
        </w:rPr>
      </w:pPr>
      <w:r w:rsidRPr="00A669EF">
        <w:rPr>
          <w:rFonts w:ascii="Times New Roman" w:hAnsi="Times New Roman"/>
          <w:sz w:val="20"/>
          <w:szCs w:val="20"/>
        </w:rPr>
        <w:t xml:space="preserve">Figure 4. </w:t>
      </w:r>
      <w:r>
        <w:rPr>
          <w:rFonts w:ascii="Times New Roman" w:hAnsi="Times New Roman"/>
          <w:sz w:val="20"/>
          <w:szCs w:val="20"/>
        </w:rPr>
        <w:t xml:space="preserve"> </w:t>
      </w:r>
      <w:r w:rsidRPr="00A669EF">
        <w:rPr>
          <w:rFonts w:ascii="Times New Roman" w:hAnsi="Times New Roman"/>
          <w:sz w:val="20"/>
          <w:szCs w:val="20"/>
        </w:rPr>
        <w:t>Biplot of principle component analysis</w:t>
      </w:r>
    </w:p>
    <w:p w:rsidR="00A669EF" w:rsidRPr="00A669EF" w:rsidRDefault="00A669EF" w:rsidP="00A669EF">
      <w:pPr>
        <w:spacing w:after="120" w:line="240" w:lineRule="auto"/>
        <w:jc w:val="both"/>
        <w:outlineLvl w:val="0"/>
        <w:rPr>
          <w:rFonts w:ascii="Times New Roman" w:hAnsi="Times New Roman"/>
          <w:sz w:val="20"/>
          <w:szCs w:val="20"/>
          <w:lang w:val="en-GB"/>
        </w:rPr>
      </w:pPr>
    </w:p>
    <w:p w:rsidR="00A669EF" w:rsidRDefault="00A669EF" w:rsidP="00A669EF">
      <w:pPr>
        <w:spacing w:after="0" w:line="240" w:lineRule="auto"/>
        <w:jc w:val="both"/>
        <w:outlineLvl w:val="0"/>
        <w:rPr>
          <w:rFonts w:ascii="Times New Roman" w:hAnsi="Times New Roman"/>
          <w:sz w:val="20"/>
          <w:szCs w:val="20"/>
          <w:lang w:val="en-GB"/>
        </w:rPr>
      </w:pPr>
      <w:r w:rsidRPr="00A669EF">
        <w:rPr>
          <w:rFonts w:ascii="Times New Roman" w:hAnsi="Times New Roman"/>
          <w:sz w:val="20"/>
          <w:szCs w:val="20"/>
          <w:lang w:val="en-GB"/>
        </w:rPr>
        <w:t>The concentration of elements in the present study was compared with the studies conducted in China [31, 32] and India [24, 33] (Table 3). Previous reports were based on the selected elements and did not divide them into different categories. Comparatively, the concentrations of micro and non-essential elements in the studied parts were lower than the other studies, except for Fe and Mn. The concentration of Mn was relatively higher than the values reported by Kathiresan et al. [24] in Cuddalore, India. The concentrations of Pb and Cd can be classified as low compared to other studies. It can be concluded that the concentration of the studied elements is low and Kuala Sepetang mangrove area is receiving the studied elements from the natural sources.</w:t>
      </w:r>
    </w:p>
    <w:p w:rsidR="00A669EF" w:rsidRDefault="00A669EF" w:rsidP="00A669EF">
      <w:pPr>
        <w:spacing w:after="0" w:line="240" w:lineRule="auto"/>
        <w:jc w:val="both"/>
        <w:outlineLvl w:val="0"/>
        <w:rPr>
          <w:rFonts w:ascii="Times New Roman" w:hAnsi="Times New Roman"/>
          <w:sz w:val="20"/>
          <w:szCs w:val="20"/>
          <w:lang w:val="en-GB"/>
        </w:rPr>
      </w:pPr>
    </w:p>
    <w:p w:rsidR="00DD3171" w:rsidRPr="008C78D5" w:rsidRDefault="00A669EF" w:rsidP="008C78D5">
      <w:pPr>
        <w:spacing w:after="120" w:line="240" w:lineRule="auto"/>
        <w:jc w:val="center"/>
        <w:rPr>
          <w:rFonts w:ascii="Times New Roman" w:hAnsi="Times New Roman"/>
          <w:sz w:val="20"/>
          <w:szCs w:val="20"/>
        </w:rPr>
      </w:pPr>
      <w:r w:rsidRPr="00A669EF">
        <w:rPr>
          <w:rFonts w:ascii="Times New Roman" w:hAnsi="Times New Roman"/>
          <w:sz w:val="20"/>
          <w:szCs w:val="20"/>
        </w:rPr>
        <w:t xml:space="preserve">Table 3. </w:t>
      </w:r>
      <w:r w:rsidR="00634753">
        <w:rPr>
          <w:rFonts w:ascii="Times New Roman" w:hAnsi="Times New Roman"/>
          <w:sz w:val="20"/>
          <w:szCs w:val="20"/>
        </w:rPr>
        <w:t xml:space="preserve"> </w:t>
      </w:r>
      <w:r w:rsidRPr="00A669EF">
        <w:rPr>
          <w:rFonts w:ascii="Times New Roman" w:hAnsi="Times New Roman"/>
          <w:sz w:val="20"/>
          <w:szCs w:val="20"/>
        </w:rPr>
        <w:t>A comparison of micro- and non-essential element in the diff</w:t>
      </w:r>
      <w:r w:rsidR="008C78D5">
        <w:rPr>
          <w:rFonts w:ascii="Times New Roman" w:hAnsi="Times New Roman"/>
          <w:sz w:val="20"/>
          <w:szCs w:val="20"/>
        </w:rPr>
        <w:t>erent parts of mangrove species</w:t>
      </w:r>
    </w:p>
    <w:tbl>
      <w:tblPr>
        <w:tblStyle w:val="TableGrid"/>
        <w:tblW w:w="9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1019"/>
        <w:gridCol w:w="1206"/>
        <w:gridCol w:w="1110"/>
        <w:gridCol w:w="1110"/>
        <w:gridCol w:w="1110"/>
        <w:gridCol w:w="1110"/>
        <w:gridCol w:w="1110"/>
      </w:tblGrid>
      <w:tr w:rsidR="00DD3171" w:rsidRPr="00C13E57" w:rsidTr="008C78D5">
        <w:trPr>
          <w:jc w:val="center"/>
        </w:trPr>
        <w:tc>
          <w:tcPr>
            <w:tcW w:w="0" w:type="auto"/>
            <w:vMerge w:val="restart"/>
            <w:tcBorders>
              <w:top w:val="single" w:sz="4" w:space="0" w:color="auto"/>
            </w:tcBorders>
            <w:shd w:val="clear" w:color="auto" w:fill="auto"/>
          </w:tcPr>
          <w:p w:rsidR="00DD3171" w:rsidRPr="00C13E57" w:rsidRDefault="00DD3171" w:rsidP="008C78D5">
            <w:pPr>
              <w:spacing w:before="120" w:after="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Species</w:t>
            </w:r>
          </w:p>
        </w:tc>
        <w:tc>
          <w:tcPr>
            <w:tcW w:w="1019" w:type="dxa"/>
            <w:vMerge w:val="restart"/>
            <w:tcBorders>
              <w:top w:val="single" w:sz="4" w:space="0" w:color="auto"/>
            </w:tcBorders>
            <w:shd w:val="clear" w:color="auto" w:fill="auto"/>
          </w:tcPr>
          <w:p w:rsidR="00DD3171" w:rsidRPr="00C13E57" w:rsidRDefault="00DD3171" w:rsidP="008C78D5">
            <w:pPr>
              <w:spacing w:before="120" w:after="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Ref.</w:t>
            </w:r>
          </w:p>
        </w:tc>
        <w:tc>
          <w:tcPr>
            <w:tcW w:w="0" w:type="auto"/>
            <w:gridSpan w:val="6"/>
            <w:tcBorders>
              <w:top w:val="single" w:sz="4" w:space="0" w:color="auto"/>
              <w:bottom w:val="single" w:sz="4" w:space="0" w:color="auto"/>
            </w:tcBorders>
            <w:shd w:val="clear" w:color="auto" w:fill="auto"/>
          </w:tcPr>
          <w:p w:rsidR="00DD3171" w:rsidRPr="00C13E57" w:rsidRDefault="00DD3171" w:rsidP="008C78D5">
            <w:pPr>
              <w:spacing w:before="60" w:after="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Concentration (mg/kg)</w:t>
            </w:r>
          </w:p>
        </w:tc>
      </w:tr>
      <w:tr w:rsidR="00DD3171" w:rsidRPr="00C13E57" w:rsidTr="008C78D5">
        <w:trPr>
          <w:jc w:val="center"/>
        </w:trPr>
        <w:tc>
          <w:tcPr>
            <w:tcW w:w="0" w:type="auto"/>
            <w:vMerge/>
            <w:tcBorders>
              <w:bottom w:val="single" w:sz="4" w:space="0" w:color="auto"/>
            </w:tcBorders>
            <w:shd w:val="clear" w:color="auto" w:fill="auto"/>
          </w:tcPr>
          <w:p w:rsidR="00DD3171" w:rsidRPr="00C13E57" w:rsidRDefault="00DD3171" w:rsidP="008C78D5">
            <w:pPr>
              <w:spacing w:after="0" w:line="240" w:lineRule="auto"/>
              <w:jc w:val="center"/>
              <w:rPr>
                <w:rFonts w:ascii="Times New Roman" w:hAnsi="Times New Roman" w:cs="Times New Roman"/>
                <w:b/>
                <w:sz w:val="18"/>
                <w:szCs w:val="18"/>
              </w:rPr>
            </w:pPr>
          </w:p>
        </w:tc>
        <w:tc>
          <w:tcPr>
            <w:tcW w:w="1019" w:type="dxa"/>
            <w:vMerge/>
            <w:tcBorders>
              <w:bottom w:val="single" w:sz="4" w:space="0" w:color="auto"/>
            </w:tcBorders>
            <w:shd w:val="clear" w:color="auto" w:fill="auto"/>
          </w:tcPr>
          <w:p w:rsidR="00DD3171" w:rsidRPr="00C13E57" w:rsidRDefault="00DD3171" w:rsidP="008C78D5">
            <w:pPr>
              <w:spacing w:after="0" w:line="240" w:lineRule="auto"/>
              <w:jc w:val="center"/>
              <w:rPr>
                <w:rFonts w:ascii="Times New Roman" w:hAnsi="Times New Roman" w:cs="Times New Roman"/>
                <w:b/>
                <w:sz w:val="18"/>
                <w:szCs w:val="18"/>
              </w:rPr>
            </w:pPr>
          </w:p>
        </w:tc>
        <w:tc>
          <w:tcPr>
            <w:tcW w:w="0" w:type="auto"/>
            <w:tcBorders>
              <w:top w:val="single" w:sz="4" w:space="0" w:color="auto"/>
              <w:bottom w:val="single" w:sz="4" w:space="0" w:color="auto"/>
            </w:tcBorders>
            <w:shd w:val="clear" w:color="auto" w:fill="auto"/>
          </w:tcPr>
          <w:p w:rsidR="00DD3171" w:rsidRPr="00C13E57" w:rsidRDefault="00DD3171" w:rsidP="008C78D5">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Roots</w:t>
            </w:r>
          </w:p>
        </w:tc>
        <w:tc>
          <w:tcPr>
            <w:tcW w:w="0" w:type="auto"/>
            <w:tcBorders>
              <w:top w:val="single" w:sz="4" w:space="0" w:color="auto"/>
              <w:bottom w:val="single" w:sz="4" w:space="0" w:color="auto"/>
            </w:tcBorders>
            <w:shd w:val="clear" w:color="auto" w:fill="auto"/>
          </w:tcPr>
          <w:p w:rsidR="00DD3171" w:rsidRPr="00C13E57" w:rsidRDefault="00DD3171" w:rsidP="008C78D5">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Stem Disk</w:t>
            </w:r>
          </w:p>
        </w:tc>
        <w:tc>
          <w:tcPr>
            <w:tcW w:w="0" w:type="auto"/>
            <w:tcBorders>
              <w:top w:val="single" w:sz="4" w:space="0" w:color="auto"/>
              <w:bottom w:val="single" w:sz="4" w:space="0" w:color="auto"/>
            </w:tcBorders>
            <w:shd w:val="clear" w:color="auto" w:fill="auto"/>
          </w:tcPr>
          <w:p w:rsidR="00DD3171" w:rsidRPr="00C13E57" w:rsidRDefault="00DD3171" w:rsidP="008C78D5">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Bark</w:t>
            </w:r>
          </w:p>
        </w:tc>
        <w:tc>
          <w:tcPr>
            <w:tcW w:w="0" w:type="auto"/>
            <w:tcBorders>
              <w:top w:val="single" w:sz="4" w:space="0" w:color="auto"/>
              <w:bottom w:val="single" w:sz="4" w:space="0" w:color="auto"/>
            </w:tcBorders>
            <w:shd w:val="clear" w:color="auto" w:fill="auto"/>
          </w:tcPr>
          <w:p w:rsidR="00DD3171" w:rsidRPr="00C13E57" w:rsidRDefault="00DD3171" w:rsidP="008C78D5">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Branches</w:t>
            </w:r>
          </w:p>
        </w:tc>
        <w:tc>
          <w:tcPr>
            <w:tcW w:w="0" w:type="auto"/>
            <w:tcBorders>
              <w:top w:val="single" w:sz="4" w:space="0" w:color="auto"/>
              <w:bottom w:val="single" w:sz="4" w:space="0" w:color="auto"/>
            </w:tcBorders>
            <w:shd w:val="clear" w:color="auto" w:fill="auto"/>
          </w:tcPr>
          <w:p w:rsidR="00DD3171" w:rsidRPr="00C13E57" w:rsidRDefault="00DD3171" w:rsidP="008C78D5">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Twig</w:t>
            </w:r>
          </w:p>
        </w:tc>
        <w:tc>
          <w:tcPr>
            <w:tcW w:w="0" w:type="auto"/>
            <w:tcBorders>
              <w:top w:val="single" w:sz="4" w:space="0" w:color="auto"/>
              <w:bottom w:val="single" w:sz="4" w:space="0" w:color="auto"/>
            </w:tcBorders>
            <w:shd w:val="clear" w:color="auto" w:fill="auto"/>
          </w:tcPr>
          <w:p w:rsidR="00DD3171" w:rsidRPr="00C13E57" w:rsidRDefault="00DD3171" w:rsidP="008C78D5">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Leaves</w:t>
            </w:r>
          </w:p>
        </w:tc>
      </w:tr>
      <w:tr w:rsidR="00DD3171" w:rsidRPr="00C13E57" w:rsidTr="008C78D5">
        <w:trPr>
          <w:jc w:val="center"/>
        </w:trPr>
        <w:tc>
          <w:tcPr>
            <w:tcW w:w="0" w:type="auto"/>
            <w:tcBorders>
              <w:top w:val="single" w:sz="4" w:space="0" w:color="auto"/>
            </w:tcBorders>
            <w:shd w:val="clear" w:color="auto" w:fill="auto"/>
          </w:tcPr>
          <w:p w:rsidR="00DD3171" w:rsidRPr="00C13E57" w:rsidRDefault="00DD3171" w:rsidP="009C4440">
            <w:pPr>
              <w:spacing w:before="60" w:after="0" w:line="240" w:lineRule="auto"/>
              <w:rPr>
                <w:rFonts w:ascii="Times New Roman" w:hAnsi="Times New Roman" w:cs="Times New Roman"/>
                <w:b/>
                <w:sz w:val="18"/>
                <w:szCs w:val="18"/>
              </w:rPr>
            </w:pPr>
            <w:r w:rsidRPr="00C13E57">
              <w:rPr>
                <w:rFonts w:ascii="Times New Roman" w:hAnsi="Times New Roman" w:cs="Times New Roman"/>
                <w:b/>
                <w:sz w:val="18"/>
                <w:szCs w:val="18"/>
              </w:rPr>
              <w:t xml:space="preserve">Iron </w:t>
            </w:r>
          </w:p>
        </w:tc>
        <w:tc>
          <w:tcPr>
            <w:tcW w:w="1019" w:type="dxa"/>
            <w:tcBorders>
              <w:top w:val="single" w:sz="4" w:space="0" w:color="auto"/>
            </w:tcBorders>
            <w:shd w:val="clear" w:color="auto" w:fill="auto"/>
          </w:tcPr>
          <w:p w:rsidR="00DD3171" w:rsidRPr="00C13E57" w:rsidRDefault="00DD3171" w:rsidP="009C4440">
            <w:pPr>
              <w:spacing w:before="60" w:after="0" w:line="240" w:lineRule="auto"/>
              <w:jc w:val="center"/>
              <w:rPr>
                <w:rFonts w:ascii="Times New Roman" w:hAnsi="Times New Roman" w:cs="Times New Roman"/>
                <w:b/>
                <w:sz w:val="18"/>
                <w:szCs w:val="18"/>
              </w:rPr>
            </w:pPr>
          </w:p>
        </w:tc>
        <w:tc>
          <w:tcPr>
            <w:tcW w:w="0" w:type="auto"/>
            <w:tcBorders>
              <w:top w:val="single" w:sz="4" w:space="0" w:color="auto"/>
            </w:tcBorders>
            <w:shd w:val="clear" w:color="auto" w:fill="auto"/>
          </w:tcPr>
          <w:p w:rsidR="00DD3171" w:rsidRPr="00C13E57" w:rsidRDefault="00DD3171" w:rsidP="009C4440">
            <w:pPr>
              <w:spacing w:before="60" w:after="0" w:line="240" w:lineRule="auto"/>
              <w:jc w:val="center"/>
              <w:rPr>
                <w:rFonts w:ascii="Times New Roman" w:hAnsi="Times New Roman" w:cs="Times New Roman"/>
                <w:b/>
                <w:sz w:val="18"/>
                <w:szCs w:val="18"/>
              </w:rPr>
            </w:pPr>
          </w:p>
        </w:tc>
        <w:tc>
          <w:tcPr>
            <w:tcW w:w="0" w:type="auto"/>
            <w:tcBorders>
              <w:top w:val="single" w:sz="4" w:space="0" w:color="auto"/>
            </w:tcBorders>
            <w:shd w:val="clear" w:color="auto" w:fill="auto"/>
          </w:tcPr>
          <w:p w:rsidR="00DD3171" w:rsidRPr="00C13E57" w:rsidRDefault="00DD3171" w:rsidP="009C4440">
            <w:pPr>
              <w:spacing w:before="60" w:after="0" w:line="240" w:lineRule="auto"/>
              <w:jc w:val="center"/>
              <w:rPr>
                <w:rFonts w:ascii="Times New Roman" w:hAnsi="Times New Roman" w:cs="Times New Roman"/>
                <w:b/>
                <w:sz w:val="18"/>
                <w:szCs w:val="18"/>
              </w:rPr>
            </w:pPr>
          </w:p>
        </w:tc>
        <w:tc>
          <w:tcPr>
            <w:tcW w:w="0" w:type="auto"/>
            <w:tcBorders>
              <w:top w:val="single" w:sz="4" w:space="0" w:color="auto"/>
            </w:tcBorders>
            <w:shd w:val="clear" w:color="auto" w:fill="auto"/>
          </w:tcPr>
          <w:p w:rsidR="00DD3171" w:rsidRPr="00C13E57" w:rsidRDefault="00DD3171" w:rsidP="009C4440">
            <w:pPr>
              <w:spacing w:before="60" w:after="0" w:line="240" w:lineRule="auto"/>
              <w:jc w:val="center"/>
              <w:rPr>
                <w:rFonts w:ascii="Times New Roman" w:hAnsi="Times New Roman" w:cs="Times New Roman"/>
                <w:b/>
                <w:sz w:val="18"/>
                <w:szCs w:val="18"/>
              </w:rPr>
            </w:pPr>
          </w:p>
        </w:tc>
        <w:tc>
          <w:tcPr>
            <w:tcW w:w="0" w:type="auto"/>
            <w:tcBorders>
              <w:top w:val="single" w:sz="4" w:space="0" w:color="auto"/>
            </w:tcBorders>
            <w:shd w:val="clear" w:color="auto" w:fill="auto"/>
          </w:tcPr>
          <w:p w:rsidR="00DD3171" w:rsidRPr="00C13E57" w:rsidRDefault="00DD3171" w:rsidP="009C4440">
            <w:pPr>
              <w:spacing w:before="60" w:after="0" w:line="240" w:lineRule="auto"/>
              <w:jc w:val="center"/>
              <w:rPr>
                <w:rFonts w:ascii="Times New Roman" w:hAnsi="Times New Roman" w:cs="Times New Roman"/>
                <w:b/>
                <w:sz w:val="18"/>
                <w:szCs w:val="18"/>
              </w:rPr>
            </w:pPr>
          </w:p>
        </w:tc>
        <w:tc>
          <w:tcPr>
            <w:tcW w:w="0" w:type="auto"/>
            <w:tcBorders>
              <w:top w:val="single" w:sz="4" w:space="0" w:color="auto"/>
            </w:tcBorders>
            <w:shd w:val="clear" w:color="auto" w:fill="auto"/>
          </w:tcPr>
          <w:p w:rsidR="00DD3171" w:rsidRPr="00C13E57" w:rsidRDefault="00DD3171" w:rsidP="009C4440">
            <w:pPr>
              <w:spacing w:before="60" w:after="0" w:line="240" w:lineRule="auto"/>
              <w:jc w:val="center"/>
              <w:rPr>
                <w:rFonts w:ascii="Times New Roman" w:hAnsi="Times New Roman" w:cs="Times New Roman"/>
                <w:b/>
                <w:sz w:val="18"/>
                <w:szCs w:val="18"/>
              </w:rPr>
            </w:pPr>
          </w:p>
        </w:tc>
        <w:tc>
          <w:tcPr>
            <w:tcW w:w="0" w:type="auto"/>
            <w:tcBorders>
              <w:top w:val="single" w:sz="4" w:space="0" w:color="auto"/>
            </w:tcBorders>
            <w:shd w:val="clear" w:color="auto" w:fill="auto"/>
          </w:tcPr>
          <w:p w:rsidR="00DD3171" w:rsidRPr="00C13E57" w:rsidRDefault="00DD3171" w:rsidP="009C4440">
            <w:pPr>
              <w:spacing w:before="60" w:after="0" w:line="240" w:lineRule="auto"/>
              <w:jc w:val="center"/>
              <w:rPr>
                <w:rFonts w:ascii="Times New Roman" w:hAnsi="Times New Roman" w:cs="Times New Roman"/>
                <w:b/>
                <w:sz w:val="18"/>
                <w:szCs w:val="18"/>
              </w:rPr>
            </w:pPr>
          </w:p>
        </w:tc>
      </w:tr>
      <w:tr w:rsidR="00DD3171" w:rsidRPr="00C13E57" w:rsidTr="006D1039">
        <w:trPr>
          <w:jc w:val="center"/>
        </w:trPr>
        <w:tc>
          <w:tcPr>
            <w:tcW w:w="0" w:type="auto"/>
            <w:shd w:val="clear" w:color="auto" w:fill="auto"/>
          </w:tcPr>
          <w:p w:rsidR="00DD3171" w:rsidRPr="00C13E57" w:rsidRDefault="00DD3171" w:rsidP="008C78D5">
            <w:pPr>
              <w:spacing w:after="0" w:line="240" w:lineRule="auto"/>
              <w:rPr>
                <w:rFonts w:ascii="Times New Roman" w:hAnsi="Times New Roman" w:cs="Times New Roman"/>
                <w:i/>
                <w:sz w:val="18"/>
                <w:szCs w:val="18"/>
              </w:rPr>
            </w:pPr>
            <w:r w:rsidRPr="00C13E57">
              <w:rPr>
                <w:rFonts w:ascii="Times New Roman" w:hAnsi="Times New Roman" w:cs="Times New Roman"/>
                <w:i/>
                <w:sz w:val="18"/>
                <w:szCs w:val="18"/>
              </w:rPr>
              <w:t>R. apiculata</w:t>
            </w:r>
          </w:p>
        </w:tc>
        <w:tc>
          <w:tcPr>
            <w:tcW w:w="1019" w:type="dxa"/>
            <w:shd w:val="clear" w:color="auto" w:fill="auto"/>
          </w:tcPr>
          <w:p w:rsidR="00DD3171" w:rsidRPr="00C13E57" w:rsidRDefault="00DD3171" w:rsidP="008C78D5">
            <w:pPr>
              <w:pStyle w:val="ListParagraph"/>
              <w:spacing w:after="0" w:line="240" w:lineRule="auto"/>
              <w:ind w:left="0"/>
              <w:contextualSpacing w:val="0"/>
              <w:jc w:val="center"/>
              <w:rPr>
                <w:rFonts w:ascii="Times New Roman" w:hAnsi="Times New Roman" w:cs="Times New Roman"/>
                <w:sz w:val="18"/>
                <w:szCs w:val="18"/>
              </w:rPr>
            </w:pPr>
            <w:r w:rsidRPr="00C13E57">
              <w:rPr>
                <w:rFonts w:ascii="Times New Roman" w:hAnsi="Times New Roman" w:cs="Times New Roman"/>
                <w:sz w:val="18"/>
                <w:szCs w:val="18"/>
              </w:rPr>
              <w:t>This study</w:t>
            </w:r>
          </w:p>
        </w:tc>
        <w:tc>
          <w:tcPr>
            <w:tcW w:w="0" w:type="auto"/>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AD245F">
              <w:rPr>
                <w:rFonts w:ascii="Times New Roman" w:hAnsi="Times New Roman" w:cs="Times New Roman"/>
                <w:sz w:val="18"/>
                <w:szCs w:val="18"/>
              </w:rPr>
              <w:t>48.48±12.25</w:t>
            </w:r>
          </w:p>
        </w:tc>
        <w:tc>
          <w:tcPr>
            <w:tcW w:w="0" w:type="auto"/>
            <w:tcBorders>
              <w:top w:val="nil"/>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3.21±1.65</w:t>
            </w:r>
          </w:p>
        </w:tc>
        <w:tc>
          <w:tcPr>
            <w:tcW w:w="0" w:type="auto"/>
            <w:tcBorders>
              <w:top w:val="nil"/>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23.16±3.96</w:t>
            </w:r>
          </w:p>
        </w:tc>
        <w:tc>
          <w:tcPr>
            <w:tcW w:w="0" w:type="auto"/>
            <w:tcBorders>
              <w:top w:val="nil"/>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13.27±5.13</w:t>
            </w:r>
          </w:p>
        </w:tc>
        <w:tc>
          <w:tcPr>
            <w:tcW w:w="0" w:type="auto"/>
            <w:tcBorders>
              <w:top w:val="nil"/>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13.79±3.15</w:t>
            </w:r>
          </w:p>
        </w:tc>
        <w:tc>
          <w:tcPr>
            <w:tcW w:w="0" w:type="auto"/>
            <w:tcBorders>
              <w:top w:val="nil"/>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9.23±2.50</w:t>
            </w:r>
          </w:p>
        </w:tc>
      </w:tr>
      <w:tr w:rsidR="00DD3171" w:rsidRPr="00C13E57" w:rsidTr="009C44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vAlign w:val="center"/>
            <w:hideMark/>
          </w:tcPr>
          <w:p w:rsidR="00DD3171" w:rsidRPr="00C13E57" w:rsidRDefault="00DD3171" w:rsidP="008C78D5">
            <w:pPr>
              <w:spacing w:after="0" w:line="240" w:lineRule="auto"/>
              <w:rPr>
                <w:rFonts w:ascii="Times New Roman" w:hAnsi="Times New Roman" w:cs="Times New Roman"/>
                <w:i/>
                <w:sz w:val="18"/>
                <w:szCs w:val="18"/>
              </w:rPr>
            </w:pPr>
            <w:r w:rsidRPr="00C13E57">
              <w:rPr>
                <w:rFonts w:ascii="Times New Roman" w:hAnsi="Times New Roman" w:cs="Times New Roman"/>
                <w:i/>
                <w:sz w:val="18"/>
                <w:szCs w:val="18"/>
              </w:rPr>
              <w:t>A. marina</w:t>
            </w:r>
          </w:p>
        </w:tc>
        <w:tc>
          <w:tcPr>
            <w:tcW w:w="1019" w:type="dxa"/>
            <w:tcBorders>
              <w:top w:val="nil"/>
              <w:left w:val="nil"/>
              <w:bottom w:val="nil"/>
              <w:right w:val="nil"/>
            </w:tcBorders>
            <w:shd w:val="clear" w:color="auto" w:fill="auto"/>
            <w:noWrap/>
            <w:hideMark/>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[24]</w:t>
            </w:r>
          </w:p>
        </w:tc>
        <w:tc>
          <w:tcPr>
            <w:tcW w:w="0" w:type="auto"/>
            <w:tcBorders>
              <w:top w:val="nil"/>
              <w:left w:val="nil"/>
              <w:bottom w:val="nil"/>
              <w:right w:val="nil"/>
            </w:tcBorders>
            <w:shd w:val="clear" w:color="auto" w:fill="auto"/>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1087.0±2.8</w:t>
            </w:r>
          </w:p>
        </w:tc>
        <w:tc>
          <w:tcPr>
            <w:tcW w:w="0" w:type="auto"/>
            <w:tcBorders>
              <w:top w:val="nil"/>
              <w:left w:val="nil"/>
              <w:bottom w:val="nil"/>
              <w:right w:val="nil"/>
            </w:tcBorders>
            <w:shd w:val="clear" w:color="auto" w:fill="auto"/>
            <w:noWrap/>
            <w:hideMark/>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31.0±2.8</w:t>
            </w:r>
          </w:p>
        </w:tc>
        <w:tc>
          <w:tcPr>
            <w:tcW w:w="0" w:type="auto"/>
            <w:tcBorders>
              <w:top w:val="nil"/>
              <w:left w:val="nil"/>
              <w:bottom w:val="nil"/>
              <w:right w:val="nil"/>
            </w:tcBorders>
            <w:shd w:val="clear" w:color="auto" w:fill="auto"/>
            <w:noWrap/>
            <w:hideMark/>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125.0±2.7</w:t>
            </w:r>
          </w:p>
        </w:tc>
        <w:tc>
          <w:tcPr>
            <w:tcW w:w="0" w:type="auto"/>
            <w:tcBorders>
              <w:top w:val="nil"/>
              <w:left w:val="nil"/>
              <w:bottom w:val="nil"/>
              <w:right w:val="nil"/>
            </w:tcBorders>
            <w:shd w:val="clear" w:color="auto" w:fill="auto"/>
            <w:noWrap/>
            <w:hideMark/>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131.0±2.9</w:t>
            </w:r>
          </w:p>
        </w:tc>
      </w:tr>
      <w:tr w:rsidR="00DD3171" w:rsidRPr="00C13E57" w:rsidTr="009C44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single" w:sz="4" w:space="0" w:color="auto"/>
              <w:right w:val="nil"/>
            </w:tcBorders>
            <w:shd w:val="clear" w:color="auto" w:fill="auto"/>
            <w:noWrap/>
            <w:hideMark/>
          </w:tcPr>
          <w:p w:rsidR="00DD3171" w:rsidRPr="00C13E57" w:rsidRDefault="00DD3171" w:rsidP="008C78D5">
            <w:pPr>
              <w:spacing w:after="60" w:line="240" w:lineRule="auto"/>
              <w:rPr>
                <w:rFonts w:ascii="Times New Roman" w:hAnsi="Times New Roman" w:cs="Times New Roman"/>
                <w:i/>
                <w:sz w:val="18"/>
                <w:szCs w:val="18"/>
              </w:rPr>
            </w:pPr>
            <w:r w:rsidRPr="00C13E57">
              <w:rPr>
                <w:rFonts w:ascii="Times New Roman" w:hAnsi="Times New Roman" w:cs="Times New Roman"/>
                <w:i/>
                <w:sz w:val="18"/>
                <w:szCs w:val="18"/>
              </w:rPr>
              <w:t>A. corniculatum</w:t>
            </w:r>
          </w:p>
        </w:tc>
        <w:tc>
          <w:tcPr>
            <w:tcW w:w="1019" w:type="dxa"/>
            <w:tcBorders>
              <w:top w:val="nil"/>
              <w:left w:val="nil"/>
              <w:bottom w:val="single" w:sz="4" w:space="0" w:color="auto"/>
              <w:right w:val="nil"/>
            </w:tcBorders>
            <w:shd w:val="clear" w:color="auto" w:fill="auto"/>
            <w:noWrap/>
            <w:vAlign w:val="center"/>
            <w:hideMark/>
          </w:tcPr>
          <w:p w:rsidR="00DD3171" w:rsidRPr="00C13E57" w:rsidRDefault="00DD3171" w:rsidP="008C78D5">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[32]</w:t>
            </w:r>
          </w:p>
        </w:tc>
        <w:tc>
          <w:tcPr>
            <w:tcW w:w="0" w:type="auto"/>
            <w:tcBorders>
              <w:top w:val="nil"/>
              <w:left w:val="nil"/>
              <w:bottom w:val="single" w:sz="4" w:space="0" w:color="auto"/>
              <w:right w:val="nil"/>
            </w:tcBorders>
            <w:shd w:val="clear" w:color="auto" w:fill="auto"/>
          </w:tcPr>
          <w:p w:rsidR="00DD3171" w:rsidRPr="00C13E57" w:rsidRDefault="00DD3171" w:rsidP="008C78D5">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4619</w:t>
            </w:r>
          </w:p>
        </w:tc>
        <w:tc>
          <w:tcPr>
            <w:tcW w:w="0" w:type="auto"/>
            <w:tcBorders>
              <w:top w:val="nil"/>
              <w:left w:val="nil"/>
              <w:bottom w:val="single" w:sz="4" w:space="0" w:color="auto"/>
              <w:right w:val="nil"/>
            </w:tcBorders>
            <w:shd w:val="clear" w:color="auto" w:fill="auto"/>
            <w:noWrap/>
            <w:hideMark/>
          </w:tcPr>
          <w:p w:rsidR="00DD3171" w:rsidRPr="00C13E57" w:rsidRDefault="00DD3171" w:rsidP="008C78D5">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DD3171" w:rsidRPr="00C13E57" w:rsidRDefault="00DD3171" w:rsidP="008C78D5">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DD3171" w:rsidRPr="00C13E57" w:rsidRDefault="00DD3171" w:rsidP="008C78D5">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DD3171" w:rsidRPr="00C13E57" w:rsidRDefault="00DD3171" w:rsidP="008C78D5">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0.91</w:t>
            </w:r>
          </w:p>
        </w:tc>
        <w:tc>
          <w:tcPr>
            <w:tcW w:w="0" w:type="auto"/>
            <w:tcBorders>
              <w:top w:val="nil"/>
              <w:left w:val="nil"/>
              <w:bottom w:val="single" w:sz="4" w:space="0" w:color="auto"/>
              <w:right w:val="nil"/>
            </w:tcBorders>
            <w:shd w:val="clear" w:color="auto" w:fill="auto"/>
            <w:noWrap/>
            <w:hideMark/>
          </w:tcPr>
          <w:p w:rsidR="00DD3171" w:rsidRPr="00C13E57" w:rsidRDefault="00DD3171" w:rsidP="008C78D5">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3.23</w:t>
            </w:r>
          </w:p>
        </w:tc>
      </w:tr>
      <w:tr w:rsidR="00DD3171" w:rsidRPr="00C13E57" w:rsidTr="009C44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single" w:sz="4" w:space="0" w:color="auto"/>
              <w:left w:val="nil"/>
              <w:bottom w:val="nil"/>
              <w:right w:val="nil"/>
            </w:tcBorders>
            <w:shd w:val="clear" w:color="auto" w:fill="auto"/>
            <w:noWrap/>
          </w:tcPr>
          <w:p w:rsidR="00DD3171" w:rsidRPr="00C13E57" w:rsidRDefault="00DD3171" w:rsidP="009C4440">
            <w:pPr>
              <w:spacing w:before="60" w:after="0" w:line="240" w:lineRule="auto"/>
              <w:rPr>
                <w:rFonts w:ascii="Times New Roman" w:hAnsi="Times New Roman" w:cs="Times New Roman"/>
                <w:i/>
                <w:sz w:val="18"/>
                <w:szCs w:val="18"/>
              </w:rPr>
            </w:pPr>
            <w:r w:rsidRPr="00C13E57">
              <w:rPr>
                <w:rFonts w:ascii="Times New Roman" w:hAnsi="Times New Roman" w:cs="Times New Roman"/>
                <w:b/>
                <w:sz w:val="18"/>
                <w:szCs w:val="18"/>
              </w:rPr>
              <w:t xml:space="preserve">Copper </w:t>
            </w:r>
          </w:p>
        </w:tc>
        <w:tc>
          <w:tcPr>
            <w:tcW w:w="1019" w:type="dxa"/>
            <w:tcBorders>
              <w:top w:val="single" w:sz="4" w:space="0" w:color="auto"/>
              <w:left w:val="nil"/>
              <w:bottom w:val="nil"/>
              <w:right w:val="nil"/>
            </w:tcBorders>
            <w:shd w:val="clear" w:color="auto" w:fill="auto"/>
            <w:noWrap/>
            <w:vAlign w:val="center"/>
          </w:tcPr>
          <w:p w:rsidR="00DD3171" w:rsidRPr="00C13E57" w:rsidRDefault="00DD3171" w:rsidP="009C4440">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tcPr>
          <w:p w:rsidR="00DD3171" w:rsidRPr="00C13E57" w:rsidRDefault="00DD3171" w:rsidP="009C4440">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DD3171" w:rsidRPr="00C13E57" w:rsidRDefault="00DD3171" w:rsidP="009C4440">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DD3171" w:rsidRPr="00C13E57" w:rsidRDefault="00DD3171" w:rsidP="009C4440">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DD3171" w:rsidRPr="00C13E57" w:rsidRDefault="00DD3171" w:rsidP="009C4440">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DD3171" w:rsidRPr="00C13E57" w:rsidRDefault="00DD3171" w:rsidP="009C4440">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DD3171" w:rsidRPr="00C13E57" w:rsidRDefault="00DD3171" w:rsidP="009C4440">
            <w:pPr>
              <w:spacing w:before="60" w:after="0" w:line="240" w:lineRule="auto"/>
              <w:jc w:val="center"/>
              <w:rPr>
                <w:rFonts w:ascii="Times New Roman" w:hAnsi="Times New Roman" w:cs="Times New Roman"/>
                <w:sz w:val="18"/>
                <w:szCs w:val="18"/>
              </w:rPr>
            </w:pPr>
          </w:p>
        </w:tc>
      </w:tr>
      <w:tr w:rsidR="00DD3171" w:rsidRPr="00C13E57" w:rsidTr="006D1039">
        <w:trPr>
          <w:jc w:val="center"/>
        </w:trPr>
        <w:tc>
          <w:tcPr>
            <w:tcW w:w="0" w:type="auto"/>
            <w:shd w:val="clear" w:color="auto" w:fill="auto"/>
          </w:tcPr>
          <w:p w:rsidR="00DD3171" w:rsidRPr="00C13E57" w:rsidRDefault="00DD3171" w:rsidP="008C78D5">
            <w:pPr>
              <w:pStyle w:val="ListParagraph"/>
              <w:spacing w:after="0" w:line="240" w:lineRule="auto"/>
              <w:ind w:left="0"/>
              <w:contextualSpacing w:val="0"/>
              <w:rPr>
                <w:rFonts w:ascii="Times New Roman" w:hAnsi="Times New Roman" w:cs="Times New Roman"/>
                <w:sz w:val="18"/>
                <w:szCs w:val="18"/>
              </w:rPr>
            </w:pPr>
            <w:r w:rsidRPr="00C13E57">
              <w:rPr>
                <w:rFonts w:ascii="Times New Roman" w:hAnsi="Times New Roman" w:cs="Times New Roman"/>
                <w:i/>
                <w:sz w:val="18"/>
                <w:szCs w:val="18"/>
              </w:rPr>
              <w:t>R. apiculata</w:t>
            </w:r>
          </w:p>
        </w:tc>
        <w:tc>
          <w:tcPr>
            <w:tcW w:w="1019" w:type="dxa"/>
            <w:shd w:val="clear" w:color="auto" w:fill="auto"/>
          </w:tcPr>
          <w:p w:rsidR="00DD3171" w:rsidRPr="00C13E57" w:rsidRDefault="00DD3171" w:rsidP="008C78D5">
            <w:pPr>
              <w:pStyle w:val="ListParagraph"/>
              <w:spacing w:after="0" w:line="240" w:lineRule="auto"/>
              <w:ind w:left="0"/>
              <w:contextualSpacing w:val="0"/>
              <w:jc w:val="center"/>
              <w:rPr>
                <w:rFonts w:ascii="Times New Roman" w:hAnsi="Times New Roman" w:cs="Times New Roman"/>
                <w:sz w:val="18"/>
                <w:szCs w:val="18"/>
              </w:rPr>
            </w:pPr>
            <w:r w:rsidRPr="00C13E57">
              <w:rPr>
                <w:rFonts w:ascii="Times New Roman" w:hAnsi="Times New Roman" w:cs="Times New Roman"/>
                <w:sz w:val="18"/>
                <w:szCs w:val="18"/>
              </w:rPr>
              <w:t>This study</w:t>
            </w:r>
          </w:p>
        </w:tc>
        <w:tc>
          <w:tcPr>
            <w:tcW w:w="0" w:type="auto"/>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0.53±0.13</w:t>
            </w:r>
          </w:p>
        </w:tc>
        <w:tc>
          <w:tcPr>
            <w:tcW w:w="0" w:type="auto"/>
            <w:tcBorders>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0.21±0.12</w:t>
            </w:r>
          </w:p>
        </w:tc>
        <w:tc>
          <w:tcPr>
            <w:tcW w:w="0" w:type="auto"/>
            <w:tcBorders>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1.11±0.36</w:t>
            </w:r>
          </w:p>
        </w:tc>
        <w:tc>
          <w:tcPr>
            <w:tcW w:w="0" w:type="auto"/>
            <w:tcBorders>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0.97±0.60</w:t>
            </w:r>
          </w:p>
        </w:tc>
        <w:tc>
          <w:tcPr>
            <w:tcW w:w="0" w:type="auto"/>
            <w:tcBorders>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1.40±0.96</w:t>
            </w:r>
          </w:p>
        </w:tc>
        <w:tc>
          <w:tcPr>
            <w:tcW w:w="0" w:type="auto"/>
            <w:tcBorders>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0.58±0.15</w:t>
            </w:r>
          </w:p>
        </w:tc>
      </w:tr>
      <w:tr w:rsidR="00DD3171" w:rsidRPr="00C13E57" w:rsidTr="006D1039">
        <w:trPr>
          <w:jc w:val="center"/>
        </w:trPr>
        <w:tc>
          <w:tcPr>
            <w:tcW w:w="0" w:type="auto"/>
            <w:shd w:val="clear" w:color="auto" w:fill="auto"/>
          </w:tcPr>
          <w:p w:rsidR="00DD3171" w:rsidRPr="00C13E57" w:rsidRDefault="00DD3171" w:rsidP="008C78D5">
            <w:pPr>
              <w:spacing w:after="0" w:line="240" w:lineRule="auto"/>
              <w:rPr>
                <w:rFonts w:ascii="Times New Roman" w:hAnsi="Times New Roman" w:cs="Times New Roman"/>
                <w:i/>
                <w:sz w:val="18"/>
                <w:szCs w:val="18"/>
              </w:rPr>
            </w:pPr>
            <w:r w:rsidRPr="00C13E57">
              <w:rPr>
                <w:rFonts w:ascii="Times New Roman" w:hAnsi="Times New Roman" w:cs="Times New Roman"/>
                <w:i/>
                <w:sz w:val="18"/>
                <w:szCs w:val="18"/>
              </w:rPr>
              <w:t>A. marina</w:t>
            </w:r>
          </w:p>
        </w:tc>
        <w:tc>
          <w:tcPr>
            <w:tcW w:w="1019" w:type="dxa"/>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[24]</w:t>
            </w:r>
          </w:p>
        </w:tc>
        <w:tc>
          <w:tcPr>
            <w:tcW w:w="0" w:type="auto"/>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58.00±0.70</w:t>
            </w:r>
          </w:p>
        </w:tc>
        <w:tc>
          <w:tcPr>
            <w:tcW w:w="0" w:type="auto"/>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41.00±0.70</w:t>
            </w:r>
          </w:p>
        </w:tc>
        <w:tc>
          <w:tcPr>
            <w:tcW w:w="0" w:type="auto"/>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61.00±0.70</w:t>
            </w:r>
          </w:p>
        </w:tc>
        <w:tc>
          <w:tcPr>
            <w:tcW w:w="0" w:type="auto"/>
            <w:shd w:val="clear" w:color="auto" w:fill="auto"/>
            <w:vAlign w:val="center"/>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12.00±0.70</w:t>
            </w:r>
          </w:p>
        </w:tc>
      </w:tr>
      <w:tr w:rsidR="00DD3171" w:rsidRPr="00C13E57" w:rsidTr="009C4440">
        <w:trPr>
          <w:jc w:val="center"/>
        </w:trPr>
        <w:tc>
          <w:tcPr>
            <w:tcW w:w="0" w:type="auto"/>
            <w:shd w:val="clear" w:color="auto" w:fill="auto"/>
            <w:vAlign w:val="bottom"/>
          </w:tcPr>
          <w:p w:rsidR="00DD3171" w:rsidRPr="00C13E57" w:rsidRDefault="00DD3171" w:rsidP="008C78D5">
            <w:pPr>
              <w:spacing w:after="0" w:line="240" w:lineRule="auto"/>
              <w:rPr>
                <w:rFonts w:ascii="Times New Roman" w:hAnsi="Times New Roman" w:cs="Times New Roman"/>
                <w:i/>
                <w:sz w:val="18"/>
                <w:szCs w:val="18"/>
              </w:rPr>
            </w:pPr>
          </w:p>
        </w:tc>
        <w:tc>
          <w:tcPr>
            <w:tcW w:w="1019" w:type="dxa"/>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[31]</w:t>
            </w:r>
          </w:p>
        </w:tc>
        <w:tc>
          <w:tcPr>
            <w:tcW w:w="0" w:type="auto"/>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30±2</w:t>
            </w:r>
          </w:p>
        </w:tc>
        <w:tc>
          <w:tcPr>
            <w:tcW w:w="0" w:type="auto"/>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shd w:val="clear" w:color="auto" w:fill="auto"/>
            <w:vAlign w:val="center"/>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shd w:val="clear" w:color="auto" w:fill="auto"/>
            <w:vAlign w:val="center"/>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16±2</w:t>
            </w:r>
          </w:p>
        </w:tc>
        <w:tc>
          <w:tcPr>
            <w:tcW w:w="0" w:type="auto"/>
            <w:tcBorders>
              <w:top w:val="nil"/>
              <w:left w:val="nil"/>
              <w:right w:val="nil"/>
            </w:tcBorders>
            <w:shd w:val="clear" w:color="auto" w:fill="auto"/>
            <w:vAlign w:val="bottom"/>
          </w:tcPr>
          <w:p w:rsidR="00DD3171" w:rsidRPr="00C13E57" w:rsidRDefault="00DD3171" w:rsidP="008C78D5">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12±1</w:t>
            </w:r>
          </w:p>
        </w:tc>
      </w:tr>
      <w:tr w:rsidR="00DD3171" w:rsidRPr="00C13E57" w:rsidTr="009C4440">
        <w:trPr>
          <w:jc w:val="center"/>
        </w:trPr>
        <w:tc>
          <w:tcPr>
            <w:tcW w:w="0" w:type="auto"/>
            <w:tcBorders>
              <w:bottom w:val="single" w:sz="4" w:space="0" w:color="auto"/>
            </w:tcBorders>
            <w:shd w:val="clear" w:color="auto" w:fill="auto"/>
            <w:vAlign w:val="bottom"/>
          </w:tcPr>
          <w:p w:rsidR="00DD3171" w:rsidRPr="00C13E57" w:rsidRDefault="00DD3171" w:rsidP="009C4440">
            <w:pPr>
              <w:spacing w:after="60" w:line="240" w:lineRule="auto"/>
              <w:rPr>
                <w:rFonts w:ascii="Times New Roman" w:hAnsi="Times New Roman" w:cs="Times New Roman"/>
                <w:i/>
                <w:sz w:val="18"/>
                <w:szCs w:val="18"/>
              </w:rPr>
            </w:pPr>
            <w:r w:rsidRPr="00C13E57">
              <w:rPr>
                <w:rFonts w:ascii="Times New Roman" w:hAnsi="Times New Roman" w:cs="Times New Roman"/>
                <w:i/>
                <w:sz w:val="18"/>
                <w:szCs w:val="18"/>
              </w:rPr>
              <w:t>A. corniculatum</w:t>
            </w:r>
          </w:p>
        </w:tc>
        <w:tc>
          <w:tcPr>
            <w:tcW w:w="1019" w:type="dxa"/>
            <w:tcBorders>
              <w:bottom w:val="single" w:sz="4" w:space="0" w:color="auto"/>
            </w:tcBorders>
            <w:shd w:val="clear" w:color="auto" w:fill="auto"/>
            <w:vAlign w:val="center"/>
          </w:tcPr>
          <w:p w:rsidR="00DD3171" w:rsidRPr="00C13E57" w:rsidRDefault="00DD3171" w:rsidP="009C4440">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[32]</w:t>
            </w:r>
          </w:p>
        </w:tc>
        <w:tc>
          <w:tcPr>
            <w:tcW w:w="0" w:type="auto"/>
            <w:tcBorders>
              <w:bottom w:val="single" w:sz="4" w:space="0" w:color="auto"/>
            </w:tcBorders>
            <w:shd w:val="clear" w:color="auto" w:fill="auto"/>
            <w:vAlign w:val="bottom"/>
          </w:tcPr>
          <w:p w:rsidR="00DD3171" w:rsidRPr="00C13E57" w:rsidRDefault="00DD3171" w:rsidP="009C4440">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57.3</w:t>
            </w:r>
          </w:p>
        </w:tc>
        <w:tc>
          <w:tcPr>
            <w:tcW w:w="0" w:type="auto"/>
            <w:tcBorders>
              <w:bottom w:val="single" w:sz="4" w:space="0" w:color="auto"/>
            </w:tcBorders>
            <w:shd w:val="clear" w:color="auto" w:fill="auto"/>
            <w:vAlign w:val="bottom"/>
          </w:tcPr>
          <w:p w:rsidR="00DD3171" w:rsidRPr="00C13E57" w:rsidRDefault="00DD3171" w:rsidP="009C4440">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bottom w:val="single" w:sz="4" w:space="0" w:color="auto"/>
            </w:tcBorders>
            <w:shd w:val="clear" w:color="auto" w:fill="auto"/>
            <w:vAlign w:val="center"/>
          </w:tcPr>
          <w:p w:rsidR="00DD3171" w:rsidRPr="00C13E57" w:rsidRDefault="00DD3171" w:rsidP="009C4440">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bottom w:val="single" w:sz="4" w:space="0" w:color="auto"/>
            </w:tcBorders>
            <w:shd w:val="clear" w:color="auto" w:fill="auto"/>
            <w:vAlign w:val="center"/>
          </w:tcPr>
          <w:p w:rsidR="00DD3171" w:rsidRPr="00C13E57" w:rsidRDefault="00DD3171" w:rsidP="009C4440">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vAlign w:val="bottom"/>
          </w:tcPr>
          <w:p w:rsidR="00DD3171" w:rsidRPr="00C13E57" w:rsidRDefault="00DD3171" w:rsidP="009C4440">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6.71</w:t>
            </w:r>
          </w:p>
        </w:tc>
        <w:tc>
          <w:tcPr>
            <w:tcW w:w="0" w:type="auto"/>
            <w:tcBorders>
              <w:top w:val="nil"/>
              <w:left w:val="nil"/>
              <w:bottom w:val="single" w:sz="4" w:space="0" w:color="auto"/>
              <w:right w:val="nil"/>
            </w:tcBorders>
            <w:shd w:val="clear" w:color="auto" w:fill="auto"/>
            <w:vAlign w:val="bottom"/>
          </w:tcPr>
          <w:p w:rsidR="00DD3171" w:rsidRPr="00C13E57" w:rsidRDefault="00DD3171" w:rsidP="009C4440">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5.28</w:t>
            </w:r>
          </w:p>
        </w:tc>
      </w:tr>
    </w:tbl>
    <w:p w:rsidR="00A669EF" w:rsidRPr="00C13E57" w:rsidRDefault="00A669EF" w:rsidP="009C4440">
      <w:pPr>
        <w:spacing w:after="0" w:line="240" w:lineRule="auto"/>
        <w:outlineLvl w:val="0"/>
        <w:rPr>
          <w:rFonts w:ascii="Times New Roman" w:hAnsi="Times New Roman"/>
          <w:szCs w:val="20"/>
          <w:lang w:val="en-GB"/>
        </w:rPr>
      </w:pPr>
    </w:p>
    <w:p w:rsidR="009C4440" w:rsidRPr="008C78D5" w:rsidRDefault="009C4440" w:rsidP="009C4440">
      <w:pPr>
        <w:spacing w:after="120" w:line="240" w:lineRule="auto"/>
        <w:jc w:val="center"/>
        <w:rPr>
          <w:rFonts w:ascii="Times New Roman" w:hAnsi="Times New Roman"/>
          <w:sz w:val="20"/>
          <w:szCs w:val="20"/>
        </w:rPr>
      </w:pPr>
      <w:r w:rsidRPr="00A669EF">
        <w:rPr>
          <w:rFonts w:ascii="Times New Roman" w:hAnsi="Times New Roman"/>
          <w:sz w:val="20"/>
          <w:szCs w:val="20"/>
        </w:rPr>
        <w:t>Table 3</w:t>
      </w:r>
      <w:r>
        <w:rPr>
          <w:rFonts w:ascii="Times New Roman" w:hAnsi="Times New Roman"/>
          <w:sz w:val="20"/>
          <w:szCs w:val="20"/>
        </w:rPr>
        <w:t xml:space="preserve"> (cont’d)</w:t>
      </w:r>
      <w:r w:rsidRPr="00A669EF">
        <w:rPr>
          <w:rFonts w:ascii="Times New Roman" w:hAnsi="Times New Roman"/>
          <w:sz w:val="20"/>
          <w:szCs w:val="20"/>
        </w:rPr>
        <w:t xml:space="preserve">. </w:t>
      </w:r>
      <w:r>
        <w:rPr>
          <w:rFonts w:ascii="Times New Roman" w:hAnsi="Times New Roman"/>
          <w:sz w:val="20"/>
          <w:szCs w:val="20"/>
        </w:rPr>
        <w:t xml:space="preserve"> </w:t>
      </w:r>
      <w:r w:rsidRPr="00A669EF">
        <w:rPr>
          <w:rFonts w:ascii="Times New Roman" w:hAnsi="Times New Roman"/>
          <w:sz w:val="20"/>
          <w:szCs w:val="20"/>
        </w:rPr>
        <w:t>A comparison of micro- and non-essential element in the diff</w:t>
      </w:r>
      <w:r>
        <w:rPr>
          <w:rFonts w:ascii="Times New Roman" w:hAnsi="Times New Roman"/>
          <w:sz w:val="20"/>
          <w:szCs w:val="20"/>
        </w:rPr>
        <w:t>erent parts of mangrove species</w:t>
      </w:r>
    </w:p>
    <w:tbl>
      <w:tblPr>
        <w:tblStyle w:val="TableGrid"/>
        <w:tblW w:w="9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1019"/>
        <w:gridCol w:w="1048"/>
        <w:gridCol w:w="1048"/>
        <w:gridCol w:w="1231"/>
        <w:gridCol w:w="1231"/>
        <w:gridCol w:w="1231"/>
        <w:gridCol w:w="1048"/>
      </w:tblGrid>
      <w:tr w:rsidR="009C4440" w:rsidRPr="00C13E57" w:rsidTr="006D1039">
        <w:trPr>
          <w:jc w:val="center"/>
        </w:trPr>
        <w:tc>
          <w:tcPr>
            <w:tcW w:w="0" w:type="auto"/>
            <w:vMerge w:val="restart"/>
            <w:tcBorders>
              <w:top w:val="single" w:sz="4" w:space="0" w:color="auto"/>
            </w:tcBorders>
            <w:shd w:val="clear" w:color="auto" w:fill="auto"/>
          </w:tcPr>
          <w:p w:rsidR="009C4440" w:rsidRPr="00C13E57" w:rsidRDefault="009C4440" w:rsidP="006D1039">
            <w:pPr>
              <w:spacing w:before="120" w:after="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Species</w:t>
            </w:r>
          </w:p>
        </w:tc>
        <w:tc>
          <w:tcPr>
            <w:tcW w:w="1019" w:type="dxa"/>
            <w:vMerge w:val="restart"/>
            <w:tcBorders>
              <w:top w:val="single" w:sz="4" w:space="0" w:color="auto"/>
            </w:tcBorders>
            <w:shd w:val="clear" w:color="auto" w:fill="auto"/>
          </w:tcPr>
          <w:p w:rsidR="009C4440" w:rsidRPr="00C13E57" w:rsidRDefault="009C4440" w:rsidP="006D1039">
            <w:pPr>
              <w:spacing w:before="120" w:after="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Ref.</w:t>
            </w:r>
          </w:p>
        </w:tc>
        <w:tc>
          <w:tcPr>
            <w:tcW w:w="0" w:type="auto"/>
            <w:gridSpan w:val="6"/>
            <w:tcBorders>
              <w:top w:val="single" w:sz="4" w:space="0" w:color="auto"/>
              <w:bottom w:val="single" w:sz="4" w:space="0" w:color="auto"/>
            </w:tcBorders>
            <w:shd w:val="clear" w:color="auto" w:fill="auto"/>
          </w:tcPr>
          <w:p w:rsidR="009C4440" w:rsidRPr="00C13E57" w:rsidRDefault="009C4440" w:rsidP="006D1039">
            <w:pPr>
              <w:spacing w:before="60" w:after="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Concentration (mg/kg)</w:t>
            </w:r>
          </w:p>
        </w:tc>
      </w:tr>
      <w:tr w:rsidR="009C4440" w:rsidRPr="00C13E57" w:rsidTr="006D1039">
        <w:trPr>
          <w:jc w:val="center"/>
        </w:trPr>
        <w:tc>
          <w:tcPr>
            <w:tcW w:w="0" w:type="auto"/>
            <w:vMerge/>
            <w:tcBorders>
              <w:bottom w:val="single" w:sz="4" w:space="0" w:color="auto"/>
            </w:tcBorders>
            <w:shd w:val="clear" w:color="auto" w:fill="auto"/>
          </w:tcPr>
          <w:p w:rsidR="009C4440" w:rsidRPr="00C13E57" w:rsidRDefault="009C4440" w:rsidP="006D1039">
            <w:pPr>
              <w:spacing w:after="0" w:line="240" w:lineRule="auto"/>
              <w:jc w:val="center"/>
              <w:rPr>
                <w:rFonts w:ascii="Times New Roman" w:hAnsi="Times New Roman" w:cs="Times New Roman"/>
                <w:b/>
                <w:sz w:val="18"/>
                <w:szCs w:val="18"/>
              </w:rPr>
            </w:pPr>
          </w:p>
        </w:tc>
        <w:tc>
          <w:tcPr>
            <w:tcW w:w="1019" w:type="dxa"/>
            <w:vMerge/>
            <w:tcBorders>
              <w:bottom w:val="single" w:sz="4" w:space="0" w:color="auto"/>
            </w:tcBorders>
            <w:shd w:val="clear" w:color="auto" w:fill="auto"/>
          </w:tcPr>
          <w:p w:rsidR="009C4440" w:rsidRPr="00C13E57" w:rsidRDefault="009C4440" w:rsidP="006D1039">
            <w:pPr>
              <w:spacing w:after="0" w:line="240" w:lineRule="auto"/>
              <w:jc w:val="center"/>
              <w:rPr>
                <w:rFonts w:ascii="Times New Roman" w:hAnsi="Times New Roman" w:cs="Times New Roman"/>
                <w:b/>
                <w:sz w:val="18"/>
                <w:szCs w:val="18"/>
              </w:rPr>
            </w:pPr>
          </w:p>
        </w:tc>
        <w:tc>
          <w:tcPr>
            <w:tcW w:w="0" w:type="auto"/>
            <w:tcBorders>
              <w:top w:val="single" w:sz="4" w:space="0" w:color="auto"/>
              <w:bottom w:val="single" w:sz="4" w:space="0" w:color="auto"/>
            </w:tcBorders>
            <w:shd w:val="clear" w:color="auto" w:fill="auto"/>
          </w:tcPr>
          <w:p w:rsidR="009C4440" w:rsidRPr="00C13E57" w:rsidRDefault="009C4440" w:rsidP="006D1039">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Roots</w:t>
            </w:r>
          </w:p>
        </w:tc>
        <w:tc>
          <w:tcPr>
            <w:tcW w:w="0" w:type="auto"/>
            <w:tcBorders>
              <w:top w:val="single" w:sz="4" w:space="0" w:color="auto"/>
              <w:bottom w:val="single" w:sz="4" w:space="0" w:color="auto"/>
            </w:tcBorders>
            <w:shd w:val="clear" w:color="auto" w:fill="auto"/>
          </w:tcPr>
          <w:p w:rsidR="009C4440" w:rsidRPr="00C13E57" w:rsidRDefault="009C4440" w:rsidP="006D1039">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Stem Disk</w:t>
            </w:r>
          </w:p>
        </w:tc>
        <w:tc>
          <w:tcPr>
            <w:tcW w:w="0" w:type="auto"/>
            <w:tcBorders>
              <w:top w:val="single" w:sz="4" w:space="0" w:color="auto"/>
              <w:bottom w:val="single" w:sz="4" w:space="0" w:color="auto"/>
            </w:tcBorders>
            <w:shd w:val="clear" w:color="auto" w:fill="auto"/>
          </w:tcPr>
          <w:p w:rsidR="009C4440" w:rsidRPr="00C13E57" w:rsidRDefault="009C4440" w:rsidP="006D1039">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Bark</w:t>
            </w:r>
          </w:p>
        </w:tc>
        <w:tc>
          <w:tcPr>
            <w:tcW w:w="0" w:type="auto"/>
            <w:tcBorders>
              <w:top w:val="single" w:sz="4" w:space="0" w:color="auto"/>
              <w:bottom w:val="single" w:sz="4" w:space="0" w:color="auto"/>
            </w:tcBorders>
            <w:shd w:val="clear" w:color="auto" w:fill="auto"/>
          </w:tcPr>
          <w:p w:rsidR="009C4440" w:rsidRPr="00C13E57" w:rsidRDefault="009C4440" w:rsidP="006D1039">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Branches</w:t>
            </w:r>
          </w:p>
        </w:tc>
        <w:tc>
          <w:tcPr>
            <w:tcW w:w="0" w:type="auto"/>
            <w:tcBorders>
              <w:top w:val="single" w:sz="4" w:space="0" w:color="auto"/>
              <w:bottom w:val="single" w:sz="4" w:space="0" w:color="auto"/>
            </w:tcBorders>
            <w:shd w:val="clear" w:color="auto" w:fill="auto"/>
          </w:tcPr>
          <w:p w:rsidR="009C4440" w:rsidRPr="00C13E57" w:rsidRDefault="009C4440" w:rsidP="006D1039">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Twig</w:t>
            </w:r>
          </w:p>
        </w:tc>
        <w:tc>
          <w:tcPr>
            <w:tcW w:w="0" w:type="auto"/>
            <w:tcBorders>
              <w:top w:val="single" w:sz="4" w:space="0" w:color="auto"/>
              <w:bottom w:val="single" w:sz="4" w:space="0" w:color="auto"/>
            </w:tcBorders>
            <w:shd w:val="clear" w:color="auto" w:fill="auto"/>
          </w:tcPr>
          <w:p w:rsidR="009C4440" w:rsidRPr="00C13E57" w:rsidRDefault="009C4440" w:rsidP="006D1039">
            <w:pPr>
              <w:spacing w:after="60" w:line="240" w:lineRule="auto"/>
              <w:jc w:val="center"/>
              <w:rPr>
                <w:rFonts w:ascii="Times New Roman" w:hAnsi="Times New Roman" w:cs="Times New Roman"/>
                <w:b/>
                <w:sz w:val="18"/>
                <w:szCs w:val="18"/>
              </w:rPr>
            </w:pPr>
            <w:r w:rsidRPr="00C13E57">
              <w:rPr>
                <w:rFonts w:ascii="Times New Roman" w:hAnsi="Times New Roman" w:cs="Times New Roman"/>
                <w:b/>
                <w:sz w:val="18"/>
                <w:szCs w:val="18"/>
              </w:rPr>
              <w:t>Leaves</w:t>
            </w:r>
          </w:p>
        </w:tc>
      </w:tr>
      <w:tr w:rsidR="009C4440" w:rsidRPr="00C13E57" w:rsidTr="006D1039">
        <w:trPr>
          <w:jc w:val="center"/>
        </w:trPr>
        <w:tc>
          <w:tcPr>
            <w:tcW w:w="0" w:type="auto"/>
            <w:tcBorders>
              <w:top w:val="single" w:sz="4" w:space="0" w:color="auto"/>
            </w:tcBorders>
            <w:shd w:val="clear" w:color="auto" w:fill="auto"/>
            <w:vAlign w:val="bottom"/>
          </w:tcPr>
          <w:p w:rsidR="009C4440" w:rsidRPr="00C13E57" w:rsidRDefault="009C4440" w:rsidP="006D1039">
            <w:pPr>
              <w:spacing w:before="60" w:after="0" w:line="240" w:lineRule="auto"/>
              <w:rPr>
                <w:rFonts w:ascii="Times New Roman" w:hAnsi="Times New Roman" w:cs="Times New Roman"/>
                <w:i/>
                <w:sz w:val="18"/>
                <w:szCs w:val="18"/>
              </w:rPr>
            </w:pPr>
            <w:r w:rsidRPr="00C13E57">
              <w:rPr>
                <w:rFonts w:ascii="Times New Roman" w:hAnsi="Times New Roman" w:cs="Times New Roman"/>
                <w:b/>
                <w:sz w:val="18"/>
                <w:szCs w:val="18"/>
              </w:rPr>
              <w:t xml:space="preserve">Manganese </w:t>
            </w:r>
          </w:p>
        </w:tc>
        <w:tc>
          <w:tcPr>
            <w:tcW w:w="1019" w:type="dxa"/>
            <w:tcBorders>
              <w:top w:val="single" w:sz="4" w:space="0" w:color="auto"/>
            </w:tcBorders>
            <w:shd w:val="clear" w:color="auto" w:fill="auto"/>
            <w:vAlign w:val="center"/>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tcBorders>
            <w:shd w:val="clear" w:color="auto" w:fill="auto"/>
            <w:vAlign w:val="bottom"/>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tcBorders>
            <w:shd w:val="clear" w:color="auto" w:fill="auto"/>
            <w:vAlign w:val="bottom"/>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tcBorders>
            <w:shd w:val="clear" w:color="auto" w:fill="auto"/>
            <w:vAlign w:val="center"/>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tcBorders>
            <w:shd w:val="clear" w:color="auto" w:fill="auto"/>
            <w:vAlign w:val="center"/>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right w:val="nil"/>
            </w:tcBorders>
            <w:shd w:val="clear" w:color="auto" w:fill="auto"/>
            <w:vAlign w:val="bottom"/>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right w:val="nil"/>
            </w:tcBorders>
            <w:shd w:val="clear" w:color="auto" w:fill="auto"/>
            <w:vAlign w:val="bottom"/>
          </w:tcPr>
          <w:p w:rsidR="009C4440" w:rsidRPr="00C13E57" w:rsidRDefault="009C4440" w:rsidP="006D1039">
            <w:pPr>
              <w:spacing w:before="60" w:after="0" w:line="240" w:lineRule="auto"/>
              <w:jc w:val="center"/>
              <w:rPr>
                <w:rFonts w:ascii="Times New Roman" w:hAnsi="Times New Roman" w:cs="Times New Roman"/>
                <w:sz w:val="18"/>
                <w:szCs w:val="18"/>
              </w:rPr>
            </w:pPr>
          </w:p>
        </w:tc>
      </w:tr>
      <w:tr w:rsidR="009C4440" w:rsidRPr="00C13E57" w:rsidTr="006D1039">
        <w:trPr>
          <w:jc w:val="center"/>
        </w:trPr>
        <w:tc>
          <w:tcPr>
            <w:tcW w:w="0" w:type="auto"/>
            <w:shd w:val="clear" w:color="auto" w:fill="auto"/>
          </w:tcPr>
          <w:p w:rsidR="009C4440" w:rsidRPr="00C13E57" w:rsidRDefault="009C4440" w:rsidP="006D1039">
            <w:pPr>
              <w:pStyle w:val="ListParagraph"/>
              <w:spacing w:after="0" w:line="240" w:lineRule="auto"/>
              <w:ind w:left="0"/>
              <w:contextualSpacing w:val="0"/>
              <w:rPr>
                <w:rFonts w:ascii="Times New Roman" w:hAnsi="Times New Roman" w:cs="Times New Roman"/>
                <w:i/>
                <w:sz w:val="18"/>
                <w:szCs w:val="18"/>
              </w:rPr>
            </w:pPr>
            <w:r w:rsidRPr="00C13E57">
              <w:rPr>
                <w:rFonts w:ascii="Times New Roman" w:hAnsi="Times New Roman" w:cs="Times New Roman"/>
                <w:i/>
                <w:sz w:val="18"/>
                <w:szCs w:val="18"/>
              </w:rPr>
              <w:t>R. apiculata</w:t>
            </w:r>
          </w:p>
        </w:tc>
        <w:tc>
          <w:tcPr>
            <w:tcW w:w="1019" w:type="dxa"/>
            <w:shd w:val="clear" w:color="auto" w:fill="auto"/>
          </w:tcPr>
          <w:p w:rsidR="009C4440" w:rsidRPr="00C13E57" w:rsidRDefault="009C4440" w:rsidP="006D1039">
            <w:pPr>
              <w:pStyle w:val="ListParagraph"/>
              <w:spacing w:after="0" w:line="240" w:lineRule="auto"/>
              <w:ind w:left="0"/>
              <w:contextualSpacing w:val="0"/>
              <w:jc w:val="center"/>
              <w:rPr>
                <w:rFonts w:ascii="Times New Roman" w:hAnsi="Times New Roman" w:cs="Times New Roman"/>
                <w:sz w:val="18"/>
                <w:szCs w:val="18"/>
              </w:rPr>
            </w:pPr>
            <w:r w:rsidRPr="00C13E57">
              <w:rPr>
                <w:rFonts w:ascii="Times New Roman" w:hAnsi="Times New Roman" w:cs="Times New Roman"/>
                <w:sz w:val="18"/>
                <w:szCs w:val="18"/>
              </w:rPr>
              <w:t>This study</w:t>
            </w:r>
          </w:p>
        </w:tc>
        <w:tc>
          <w:tcPr>
            <w:tcW w:w="0" w:type="auto"/>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59.99±6.26</w:t>
            </w:r>
          </w:p>
        </w:tc>
        <w:tc>
          <w:tcPr>
            <w:tcW w:w="0" w:type="auto"/>
            <w:tcBorders>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18.04±24.6</w:t>
            </w:r>
          </w:p>
        </w:tc>
        <w:tc>
          <w:tcPr>
            <w:tcW w:w="0" w:type="auto"/>
            <w:tcBorders>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235.09±40.38</w:t>
            </w:r>
          </w:p>
        </w:tc>
        <w:tc>
          <w:tcPr>
            <w:tcW w:w="0" w:type="auto"/>
            <w:tcBorders>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169.19±24.87</w:t>
            </w:r>
          </w:p>
        </w:tc>
        <w:tc>
          <w:tcPr>
            <w:tcW w:w="0" w:type="auto"/>
            <w:tcBorders>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207.45±53.64</w:t>
            </w:r>
          </w:p>
        </w:tc>
        <w:tc>
          <w:tcPr>
            <w:tcW w:w="0" w:type="auto"/>
            <w:tcBorders>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65.07±9.16</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vAlign w:val="center"/>
            <w:hideMark/>
          </w:tcPr>
          <w:p w:rsidR="009C4440" w:rsidRPr="00C13E57" w:rsidRDefault="009C4440" w:rsidP="006D1039">
            <w:pPr>
              <w:spacing w:after="0" w:line="240" w:lineRule="auto"/>
              <w:rPr>
                <w:rFonts w:ascii="Times New Roman" w:hAnsi="Times New Roman" w:cs="Times New Roman"/>
                <w:i/>
                <w:sz w:val="18"/>
                <w:szCs w:val="18"/>
              </w:rPr>
            </w:pPr>
            <w:r w:rsidRPr="00C13E57">
              <w:rPr>
                <w:rFonts w:ascii="Times New Roman" w:hAnsi="Times New Roman" w:cs="Times New Roman"/>
                <w:i/>
                <w:sz w:val="18"/>
                <w:szCs w:val="18"/>
              </w:rPr>
              <w:t>A. marina</w:t>
            </w:r>
          </w:p>
        </w:tc>
        <w:tc>
          <w:tcPr>
            <w:tcW w:w="1019" w:type="dxa"/>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[24]</w:t>
            </w:r>
          </w:p>
        </w:tc>
        <w:tc>
          <w:tcPr>
            <w:tcW w:w="0" w:type="auto"/>
            <w:tcBorders>
              <w:top w:val="nil"/>
              <w:left w:val="nil"/>
              <w:bottom w:val="nil"/>
              <w:right w:val="nil"/>
            </w:tcBorders>
            <w:shd w:val="clear" w:color="auto" w:fill="auto"/>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21.00±0.30</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11.00±0.4</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28.00±0.10</w:t>
            </w:r>
          </w:p>
        </w:tc>
        <w:tc>
          <w:tcPr>
            <w:tcW w:w="0" w:type="auto"/>
            <w:tcBorders>
              <w:top w:val="nil"/>
              <w:left w:val="nil"/>
              <w:bottom w:val="nil"/>
              <w:right w:val="nil"/>
            </w:tcBorders>
            <w:shd w:val="clear" w:color="auto" w:fill="auto"/>
            <w:noWrap/>
            <w:vAlign w:val="center"/>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5.00±0.30</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rPr>
                <w:rFonts w:ascii="Times New Roman" w:hAnsi="Times New Roman" w:cs="Times New Roman"/>
                <w:i/>
                <w:sz w:val="18"/>
                <w:szCs w:val="18"/>
              </w:rPr>
            </w:pPr>
            <w:r w:rsidRPr="00C13E57">
              <w:rPr>
                <w:rFonts w:ascii="Times New Roman" w:hAnsi="Times New Roman" w:cs="Times New Roman"/>
                <w:i/>
                <w:sz w:val="18"/>
                <w:szCs w:val="18"/>
              </w:rPr>
              <w:t>A. corniculatum</w:t>
            </w:r>
          </w:p>
        </w:tc>
        <w:tc>
          <w:tcPr>
            <w:tcW w:w="1019" w:type="dxa"/>
            <w:tcBorders>
              <w:top w:val="nil"/>
              <w:left w:val="nil"/>
              <w:bottom w:val="single" w:sz="4" w:space="0" w:color="auto"/>
              <w:right w:val="nil"/>
            </w:tcBorders>
            <w:shd w:val="clear" w:color="auto" w:fill="auto"/>
            <w:noWrap/>
            <w:vAlign w:val="center"/>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[32]</w:t>
            </w:r>
          </w:p>
        </w:tc>
        <w:tc>
          <w:tcPr>
            <w:tcW w:w="0" w:type="auto"/>
            <w:tcBorders>
              <w:top w:val="nil"/>
              <w:left w:val="nil"/>
              <w:bottom w:val="single" w:sz="4" w:space="0" w:color="auto"/>
              <w:right w:val="nil"/>
            </w:tcBorders>
            <w:shd w:val="clear" w:color="auto" w:fill="auto"/>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740</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vAlign w:val="center"/>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135</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466</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rPr>
                <w:rFonts w:ascii="Times New Roman" w:hAnsi="Times New Roman" w:cs="Times New Roman"/>
                <w:i/>
                <w:sz w:val="18"/>
                <w:szCs w:val="18"/>
              </w:rPr>
            </w:pPr>
            <w:r w:rsidRPr="00C13E57">
              <w:rPr>
                <w:rFonts w:ascii="Times New Roman" w:hAnsi="Times New Roman" w:cs="Times New Roman"/>
                <w:b/>
                <w:sz w:val="18"/>
                <w:szCs w:val="18"/>
              </w:rPr>
              <w:t xml:space="preserve">Zinc </w:t>
            </w:r>
          </w:p>
        </w:tc>
        <w:tc>
          <w:tcPr>
            <w:tcW w:w="1019" w:type="dxa"/>
            <w:tcBorders>
              <w:top w:val="single" w:sz="4" w:space="0" w:color="auto"/>
              <w:left w:val="nil"/>
              <w:bottom w:val="nil"/>
              <w:right w:val="nil"/>
            </w:tcBorders>
            <w:shd w:val="clear" w:color="auto" w:fill="auto"/>
            <w:noWrap/>
            <w:vAlign w:val="center"/>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vAlign w:val="center"/>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r>
      <w:tr w:rsidR="009C4440" w:rsidRPr="00C13E57" w:rsidTr="006D1039">
        <w:trPr>
          <w:jc w:val="center"/>
        </w:trPr>
        <w:tc>
          <w:tcPr>
            <w:tcW w:w="0" w:type="auto"/>
            <w:shd w:val="clear" w:color="auto" w:fill="auto"/>
          </w:tcPr>
          <w:p w:rsidR="009C4440" w:rsidRPr="00C13E57" w:rsidRDefault="009C4440" w:rsidP="006D1039">
            <w:pPr>
              <w:pStyle w:val="ListParagraph"/>
              <w:spacing w:after="0" w:line="240" w:lineRule="auto"/>
              <w:ind w:left="0"/>
              <w:contextualSpacing w:val="0"/>
              <w:rPr>
                <w:rFonts w:ascii="Times New Roman" w:hAnsi="Times New Roman" w:cs="Times New Roman"/>
                <w:i/>
                <w:sz w:val="18"/>
                <w:szCs w:val="18"/>
              </w:rPr>
            </w:pPr>
            <w:r w:rsidRPr="00C13E57">
              <w:rPr>
                <w:rFonts w:ascii="Times New Roman" w:hAnsi="Times New Roman" w:cs="Times New Roman"/>
                <w:i/>
                <w:sz w:val="18"/>
                <w:szCs w:val="18"/>
              </w:rPr>
              <w:t>R. apiculata</w:t>
            </w:r>
          </w:p>
        </w:tc>
        <w:tc>
          <w:tcPr>
            <w:tcW w:w="1019" w:type="dxa"/>
            <w:shd w:val="clear" w:color="auto" w:fill="auto"/>
          </w:tcPr>
          <w:p w:rsidR="009C4440" w:rsidRPr="00C13E57" w:rsidRDefault="009C4440" w:rsidP="006D1039">
            <w:pPr>
              <w:pStyle w:val="ListParagraph"/>
              <w:spacing w:after="0" w:line="240" w:lineRule="auto"/>
              <w:ind w:left="0"/>
              <w:contextualSpacing w:val="0"/>
              <w:jc w:val="center"/>
              <w:rPr>
                <w:rFonts w:ascii="Times New Roman" w:hAnsi="Times New Roman" w:cs="Times New Roman"/>
                <w:sz w:val="18"/>
                <w:szCs w:val="18"/>
              </w:rPr>
            </w:pPr>
            <w:r w:rsidRPr="00C13E57">
              <w:rPr>
                <w:rFonts w:ascii="Times New Roman" w:hAnsi="Times New Roman" w:cs="Times New Roman"/>
                <w:sz w:val="18"/>
                <w:szCs w:val="18"/>
              </w:rPr>
              <w:t>This study</w:t>
            </w:r>
          </w:p>
        </w:tc>
        <w:tc>
          <w:tcPr>
            <w:tcW w:w="0" w:type="auto"/>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3.60±0.97</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1.38±0.54</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3.35±1.22</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3.35±2.50</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2.27±0.35</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1.14±0.34</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vAlign w:val="center"/>
            <w:hideMark/>
          </w:tcPr>
          <w:p w:rsidR="009C4440" w:rsidRPr="00C13E57" w:rsidRDefault="009C4440" w:rsidP="006D1039">
            <w:pPr>
              <w:spacing w:after="0" w:line="240" w:lineRule="auto"/>
              <w:rPr>
                <w:rFonts w:ascii="Times New Roman" w:hAnsi="Times New Roman" w:cs="Times New Roman"/>
                <w:i/>
                <w:sz w:val="18"/>
                <w:szCs w:val="18"/>
              </w:rPr>
            </w:pPr>
            <w:r w:rsidRPr="00C13E57">
              <w:rPr>
                <w:rFonts w:ascii="Times New Roman" w:hAnsi="Times New Roman" w:cs="Times New Roman"/>
                <w:i/>
                <w:sz w:val="18"/>
                <w:szCs w:val="18"/>
              </w:rPr>
              <w:t>A. marina</w:t>
            </w:r>
          </w:p>
        </w:tc>
        <w:tc>
          <w:tcPr>
            <w:tcW w:w="1019" w:type="dxa"/>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[24]</w:t>
            </w:r>
          </w:p>
        </w:tc>
        <w:tc>
          <w:tcPr>
            <w:tcW w:w="0" w:type="auto"/>
            <w:tcBorders>
              <w:top w:val="nil"/>
              <w:left w:val="nil"/>
              <w:bottom w:val="nil"/>
              <w:right w:val="nil"/>
            </w:tcBorders>
            <w:shd w:val="clear" w:color="auto" w:fill="auto"/>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21.0±0.8</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12.00±0.2</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17.0±0.9</w:t>
            </w:r>
          </w:p>
        </w:tc>
        <w:tc>
          <w:tcPr>
            <w:tcW w:w="0" w:type="auto"/>
            <w:tcBorders>
              <w:top w:val="nil"/>
              <w:left w:val="nil"/>
              <w:bottom w:val="nil"/>
              <w:right w:val="nil"/>
            </w:tcBorders>
            <w:shd w:val="clear" w:color="auto" w:fill="auto"/>
            <w:noWrap/>
            <w:vAlign w:val="center"/>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9.0±0.4</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rPr>
                <w:rFonts w:ascii="Times New Roman" w:hAnsi="Times New Roman" w:cs="Times New Roman"/>
                <w:i/>
                <w:sz w:val="18"/>
                <w:szCs w:val="18"/>
              </w:rPr>
            </w:pPr>
          </w:p>
        </w:tc>
        <w:tc>
          <w:tcPr>
            <w:tcW w:w="1019" w:type="dxa"/>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[31]</w:t>
            </w:r>
          </w:p>
        </w:tc>
        <w:tc>
          <w:tcPr>
            <w:tcW w:w="0" w:type="auto"/>
            <w:tcBorders>
              <w:top w:val="nil"/>
              <w:left w:val="nil"/>
              <w:bottom w:val="nil"/>
              <w:right w:val="nil"/>
            </w:tcBorders>
            <w:shd w:val="clear" w:color="auto" w:fill="auto"/>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37±5</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vAlign w:val="center"/>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15±1</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17±1</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rPr>
                <w:rFonts w:ascii="Times New Roman" w:hAnsi="Times New Roman" w:cs="Times New Roman"/>
                <w:i/>
                <w:sz w:val="18"/>
                <w:szCs w:val="18"/>
              </w:rPr>
            </w:pPr>
            <w:r w:rsidRPr="00C13E57">
              <w:rPr>
                <w:rFonts w:ascii="Times New Roman" w:hAnsi="Times New Roman" w:cs="Times New Roman"/>
                <w:i/>
                <w:sz w:val="18"/>
                <w:szCs w:val="18"/>
              </w:rPr>
              <w:t>A. corniculatum</w:t>
            </w:r>
          </w:p>
        </w:tc>
        <w:tc>
          <w:tcPr>
            <w:tcW w:w="1019" w:type="dxa"/>
            <w:tcBorders>
              <w:top w:val="nil"/>
              <w:left w:val="nil"/>
              <w:bottom w:val="single" w:sz="4" w:space="0" w:color="auto"/>
              <w:right w:val="nil"/>
            </w:tcBorders>
            <w:shd w:val="clear" w:color="auto" w:fill="auto"/>
            <w:noWrap/>
            <w:vAlign w:val="center"/>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[32]</w:t>
            </w:r>
          </w:p>
        </w:tc>
        <w:tc>
          <w:tcPr>
            <w:tcW w:w="0" w:type="auto"/>
            <w:tcBorders>
              <w:top w:val="nil"/>
              <w:left w:val="nil"/>
              <w:bottom w:val="single" w:sz="4" w:space="0" w:color="auto"/>
              <w:right w:val="nil"/>
            </w:tcBorders>
            <w:shd w:val="clear" w:color="auto" w:fill="auto"/>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82.8</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vAlign w:val="center"/>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11</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23.4</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rPr>
                <w:rFonts w:ascii="Times New Roman" w:hAnsi="Times New Roman" w:cs="Times New Roman"/>
                <w:i/>
                <w:sz w:val="18"/>
                <w:szCs w:val="18"/>
              </w:rPr>
            </w:pPr>
            <w:r w:rsidRPr="00C13E57">
              <w:rPr>
                <w:rFonts w:ascii="Times New Roman" w:hAnsi="Times New Roman" w:cs="Times New Roman"/>
                <w:b/>
                <w:sz w:val="18"/>
                <w:szCs w:val="18"/>
              </w:rPr>
              <w:t xml:space="preserve">Cadmium </w:t>
            </w:r>
          </w:p>
        </w:tc>
        <w:tc>
          <w:tcPr>
            <w:tcW w:w="1019" w:type="dxa"/>
            <w:tcBorders>
              <w:top w:val="single" w:sz="4" w:space="0" w:color="auto"/>
              <w:left w:val="nil"/>
              <w:bottom w:val="nil"/>
              <w:right w:val="nil"/>
            </w:tcBorders>
            <w:shd w:val="clear" w:color="auto" w:fill="auto"/>
            <w:noWrap/>
            <w:vAlign w:val="center"/>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vAlign w:val="center"/>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r>
      <w:tr w:rsidR="009C4440" w:rsidRPr="00C13E57" w:rsidTr="006D1039">
        <w:trPr>
          <w:jc w:val="center"/>
        </w:trPr>
        <w:tc>
          <w:tcPr>
            <w:tcW w:w="0" w:type="auto"/>
            <w:shd w:val="clear" w:color="auto" w:fill="auto"/>
          </w:tcPr>
          <w:p w:rsidR="009C4440" w:rsidRPr="00C13E57" w:rsidRDefault="009C4440" w:rsidP="006D1039">
            <w:pPr>
              <w:pStyle w:val="ListParagraph"/>
              <w:spacing w:after="0" w:line="240" w:lineRule="auto"/>
              <w:ind w:left="-48"/>
              <w:contextualSpacing w:val="0"/>
              <w:rPr>
                <w:rFonts w:ascii="Times New Roman" w:hAnsi="Times New Roman" w:cs="Times New Roman"/>
                <w:i/>
                <w:sz w:val="18"/>
                <w:szCs w:val="18"/>
              </w:rPr>
            </w:pPr>
            <w:r w:rsidRPr="00C13E57">
              <w:rPr>
                <w:rFonts w:ascii="Times New Roman" w:hAnsi="Times New Roman" w:cs="Times New Roman"/>
                <w:i/>
                <w:sz w:val="18"/>
                <w:szCs w:val="18"/>
              </w:rPr>
              <w:t>R. apiculata</w:t>
            </w:r>
          </w:p>
        </w:tc>
        <w:tc>
          <w:tcPr>
            <w:tcW w:w="1019" w:type="dxa"/>
            <w:shd w:val="clear" w:color="auto" w:fill="auto"/>
          </w:tcPr>
          <w:p w:rsidR="009C4440" w:rsidRPr="00C13E57" w:rsidRDefault="009C4440" w:rsidP="006D1039">
            <w:pPr>
              <w:pStyle w:val="ListParagraph"/>
              <w:spacing w:after="0" w:line="240" w:lineRule="auto"/>
              <w:ind w:left="0"/>
              <w:contextualSpacing w:val="0"/>
              <w:jc w:val="center"/>
              <w:rPr>
                <w:rFonts w:ascii="Times New Roman" w:hAnsi="Times New Roman" w:cs="Times New Roman"/>
                <w:sz w:val="18"/>
                <w:szCs w:val="18"/>
              </w:rPr>
            </w:pPr>
            <w:r w:rsidRPr="00C13E57">
              <w:rPr>
                <w:rFonts w:ascii="Times New Roman" w:hAnsi="Times New Roman" w:cs="Times New Roman"/>
                <w:sz w:val="18"/>
                <w:szCs w:val="18"/>
              </w:rPr>
              <w:t>This study</w:t>
            </w:r>
          </w:p>
        </w:tc>
        <w:tc>
          <w:tcPr>
            <w:tcW w:w="0" w:type="auto"/>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0.02±0.01</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0.01±0.01</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0.03±0.01</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0.01±0.001</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0.02±0.01</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0.01±0.006</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vAlign w:val="center"/>
            <w:hideMark/>
          </w:tcPr>
          <w:p w:rsidR="009C4440" w:rsidRPr="00C13E57" w:rsidRDefault="009C4440" w:rsidP="006D1039">
            <w:pPr>
              <w:spacing w:after="0" w:line="240" w:lineRule="auto"/>
              <w:rPr>
                <w:rFonts w:ascii="Times New Roman" w:hAnsi="Times New Roman" w:cs="Times New Roman"/>
                <w:i/>
                <w:sz w:val="18"/>
                <w:szCs w:val="18"/>
              </w:rPr>
            </w:pPr>
            <w:r w:rsidRPr="00C13E57">
              <w:rPr>
                <w:rFonts w:ascii="Times New Roman" w:hAnsi="Times New Roman" w:cs="Times New Roman"/>
                <w:i/>
                <w:sz w:val="18"/>
                <w:szCs w:val="18"/>
              </w:rPr>
              <w:t>A. marina</w:t>
            </w:r>
          </w:p>
        </w:tc>
        <w:tc>
          <w:tcPr>
            <w:tcW w:w="1019" w:type="dxa"/>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[24]</w:t>
            </w:r>
          </w:p>
        </w:tc>
        <w:tc>
          <w:tcPr>
            <w:tcW w:w="0" w:type="auto"/>
            <w:tcBorders>
              <w:top w:val="nil"/>
              <w:left w:val="nil"/>
              <w:bottom w:val="nil"/>
              <w:right w:val="nil"/>
            </w:tcBorders>
            <w:shd w:val="clear" w:color="auto" w:fill="auto"/>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0.60±0.12</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0.00±0.00</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0.40±0.10</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0.10±0.01</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rPr>
                <w:rFonts w:ascii="Times New Roman" w:hAnsi="Times New Roman" w:cs="Times New Roman"/>
                <w:sz w:val="18"/>
                <w:szCs w:val="18"/>
              </w:rPr>
            </w:pPr>
          </w:p>
        </w:tc>
        <w:tc>
          <w:tcPr>
            <w:tcW w:w="1019" w:type="dxa"/>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[31]</w:t>
            </w:r>
          </w:p>
        </w:tc>
        <w:tc>
          <w:tcPr>
            <w:tcW w:w="0" w:type="auto"/>
            <w:tcBorders>
              <w:top w:val="nil"/>
              <w:left w:val="nil"/>
              <w:bottom w:val="nil"/>
              <w:right w:val="nil"/>
            </w:tcBorders>
            <w:shd w:val="clear" w:color="auto" w:fill="auto"/>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0.15±0.01</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0.10±0.02</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0.09±0.1</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rPr>
                <w:rFonts w:ascii="Times New Roman" w:hAnsi="Times New Roman" w:cs="Times New Roman"/>
                <w:sz w:val="18"/>
                <w:szCs w:val="18"/>
              </w:rPr>
            </w:pPr>
          </w:p>
        </w:tc>
        <w:tc>
          <w:tcPr>
            <w:tcW w:w="1019" w:type="dxa"/>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[33]</w:t>
            </w:r>
          </w:p>
        </w:tc>
        <w:tc>
          <w:tcPr>
            <w:tcW w:w="0" w:type="auto"/>
            <w:tcBorders>
              <w:top w:val="nil"/>
              <w:left w:val="nil"/>
              <w:bottom w:val="single" w:sz="4" w:space="0" w:color="auto"/>
              <w:right w:val="nil"/>
            </w:tcBorders>
            <w:shd w:val="clear" w:color="auto" w:fill="auto"/>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4.05</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1.83</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5.71</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rPr>
                <w:rFonts w:ascii="Times New Roman" w:hAnsi="Times New Roman" w:cs="Times New Roman"/>
                <w:sz w:val="18"/>
                <w:szCs w:val="18"/>
              </w:rPr>
            </w:pPr>
            <w:r w:rsidRPr="00C13E57">
              <w:rPr>
                <w:rFonts w:ascii="Times New Roman" w:hAnsi="Times New Roman" w:cs="Times New Roman"/>
                <w:b/>
                <w:sz w:val="18"/>
                <w:szCs w:val="18"/>
              </w:rPr>
              <w:t xml:space="preserve">Lead </w:t>
            </w:r>
          </w:p>
        </w:tc>
        <w:tc>
          <w:tcPr>
            <w:tcW w:w="1019" w:type="dxa"/>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c>
          <w:tcPr>
            <w:tcW w:w="0" w:type="auto"/>
            <w:tcBorders>
              <w:top w:val="single" w:sz="4" w:space="0" w:color="auto"/>
              <w:left w:val="nil"/>
              <w:bottom w:val="nil"/>
              <w:right w:val="nil"/>
            </w:tcBorders>
            <w:shd w:val="clear" w:color="auto" w:fill="auto"/>
            <w:noWrap/>
          </w:tcPr>
          <w:p w:rsidR="009C4440" w:rsidRPr="00C13E57" w:rsidRDefault="009C4440" w:rsidP="006D1039">
            <w:pPr>
              <w:spacing w:before="60" w:after="0" w:line="240" w:lineRule="auto"/>
              <w:jc w:val="center"/>
              <w:rPr>
                <w:rFonts w:ascii="Times New Roman" w:hAnsi="Times New Roman" w:cs="Times New Roman"/>
                <w:sz w:val="18"/>
                <w:szCs w:val="18"/>
              </w:rPr>
            </w:pPr>
          </w:p>
        </w:tc>
      </w:tr>
      <w:tr w:rsidR="009C4440" w:rsidRPr="00C13E57" w:rsidTr="006D1039">
        <w:trPr>
          <w:jc w:val="center"/>
        </w:trPr>
        <w:tc>
          <w:tcPr>
            <w:tcW w:w="0" w:type="auto"/>
            <w:shd w:val="clear" w:color="auto" w:fill="auto"/>
          </w:tcPr>
          <w:p w:rsidR="009C4440" w:rsidRPr="00C13E57" w:rsidRDefault="009C4440" w:rsidP="006D1039">
            <w:pPr>
              <w:pStyle w:val="ListParagraph"/>
              <w:spacing w:after="0" w:line="240" w:lineRule="auto"/>
              <w:ind w:left="0"/>
              <w:contextualSpacing w:val="0"/>
              <w:rPr>
                <w:rFonts w:ascii="Times New Roman" w:hAnsi="Times New Roman" w:cs="Times New Roman"/>
                <w:i/>
                <w:sz w:val="18"/>
                <w:szCs w:val="18"/>
              </w:rPr>
            </w:pPr>
            <w:r w:rsidRPr="00C13E57">
              <w:rPr>
                <w:rFonts w:ascii="Times New Roman" w:hAnsi="Times New Roman" w:cs="Times New Roman"/>
                <w:i/>
                <w:sz w:val="18"/>
                <w:szCs w:val="18"/>
              </w:rPr>
              <w:t>R. apiculata</w:t>
            </w:r>
          </w:p>
        </w:tc>
        <w:tc>
          <w:tcPr>
            <w:tcW w:w="1019" w:type="dxa"/>
            <w:shd w:val="clear" w:color="auto" w:fill="auto"/>
          </w:tcPr>
          <w:p w:rsidR="009C4440" w:rsidRPr="00C13E57" w:rsidRDefault="009C4440" w:rsidP="006D1039">
            <w:pPr>
              <w:pStyle w:val="ListParagraph"/>
              <w:spacing w:after="0" w:line="240" w:lineRule="auto"/>
              <w:ind w:left="0"/>
              <w:contextualSpacing w:val="0"/>
              <w:jc w:val="center"/>
              <w:rPr>
                <w:rFonts w:ascii="Times New Roman" w:hAnsi="Times New Roman" w:cs="Times New Roman"/>
                <w:sz w:val="18"/>
                <w:szCs w:val="18"/>
              </w:rPr>
            </w:pPr>
            <w:r w:rsidRPr="00C13E57">
              <w:rPr>
                <w:rFonts w:ascii="Times New Roman" w:hAnsi="Times New Roman" w:cs="Times New Roman"/>
                <w:sz w:val="18"/>
                <w:szCs w:val="18"/>
              </w:rPr>
              <w:t>This study</w:t>
            </w:r>
          </w:p>
        </w:tc>
        <w:tc>
          <w:tcPr>
            <w:tcW w:w="0" w:type="auto"/>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0.22±0.13</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0.11±0.06</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0.31±0.13</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0.16±0.05</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0.35±0.11</w:t>
            </w:r>
          </w:p>
        </w:tc>
        <w:tc>
          <w:tcPr>
            <w:tcW w:w="0" w:type="auto"/>
            <w:tcBorders>
              <w:top w:val="nil"/>
              <w:left w:val="nil"/>
              <w:bottom w:val="nil"/>
              <w:right w:val="nil"/>
            </w:tcBorders>
            <w:shd w:val="clear" w:color="auto" w:fill="auto"/>
            <w:vAlign w:val="bottom"/>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0.08±0.04</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vAlign w:val="center"/>
          </w:tcPr>
          <w:p w:rsidR="009C4440" w:rsidRPr="00C13E57" w:rsidRDefault="009C4440" w:rsidP="006D1039">
            <w:pPr>
              <w:spacing w:after="0" w:line="240" w:lineRule="auto"/>
              <w:rPr>
                <w:rFonts w:ascii="Times New Roman" w:hAnsi="Times New Roman" w:cs="Times New Roman"/>
                <w:i/>
                <w:sz w:val="18"/>
                <w:szCs w:val="18"/>
              </w:rPr>
            </w:pPr>
          </w:p>
        </w:tc>
        <w:tc>
          <w:tcPr>
            <w:tcW w:w="1019" w:type="dxa"/>
            <w:tcBorders>
              <w:top w:val="nil"/>
              <w:left w:val="nil"/>
              <w:bottom w:val="nil"/>
              <w:right w:val="nil"/>
            </w:tcBorders>
            <w:shd w:val="clear" w:color="auto" w:fill="auto"/>
            <w:noWrap/>
            <w:vAlign w:val="center"/>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[9]</w:t>
            </w:r>
          </w:p>
        </w:tc>
        <w:tc>
          <w:tcPr>
            <w:tcW w:w="0" w:type="auto"/>
            <w:tcBorders>
              <w:top w:val="nil"/>
              <w:left w:val="nil"/>
              <w:bottom w:val="nil"/>
              <w:right w:val="nil"/>
            </w:tcBorders>
            <w:shd w:val="clear" w:color="auto" w:fill="auto"/>
            <w:vAlign w:val="center"/>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2.05</w:t>
            </w:r>
          </w:p>
        </w:tc>
        <w:tc>
          <w:tcPr>
            <w:tcW w:w="0" w:type="auto"/>
            <w:tcBorders>
              <w:top w:val="nil"/>
              <w:left w:val="nil"/>
              <w:bottom w:val="nil"/>
              <w:right w:val="nil"/>
            </w:tcBorders>
            <w:shd w:val="clear" w:color="auto" w:fill="auto"/>
            <w:noWrap/>
            <w:vAlign w:val="center"/>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vAlign w:val="center"/>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1.05</w:t>
            </w:r>
          </w:p>
        </w:tc>
        <w:tc>
          <w:tcPr>
            <w:tcW w:w="0" w:type="auto"/>
            <w:tcBorders>
              <w:top w:val="nil"/>
              <w:left w:val="nil"/>
              <w:bottom w:val="nil"/>
              <w:right w:val="nil"/>
            </w:tcBorders>
            <w:shd w:val="clear" w:color="auto" w:fill="auto"/>
            <w:noWrap/>
            <w:vAlign w:val="center"/>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vAlign w:val="center"/>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1.43</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vAlign w:val="center"/>
            <w:hideMark/>
          </w:tcPr>
          <w:p w:rsidR="009C4440" w:rsidRPr="00C13E57" w:rsidRDefault="009C4440" w:rsidP="006D1039">
            <w:pPr>
              <w:spacing w:after="0" w:line="240" w:lineRule="auto"/>
              <w:rPr>
                <w:rFonts w:ascii="Times New Roman" w:hAnsi="Times New Roman" w:cs="Times New Roman"/>
                <w:i/>
                <w:sz w:val="18"/>
                <w:szCs w:val="18"/>
              </w:rPr>
            </w:pPr>
            <w:r w:rsidRPr="00C13E57">
              <w:rPr>
                <w:rFonts w:ascii="Times New Roman" w:hAnsi="Times New Roman" w:cs="Times New Roman"/>
                <w:i/>
                <w:sz w:val="18"/>
                <w:szCs w:val="18"/>
              </w:rPr>
              <w:t>A. marina</w:t>
            </w:r>
          </w:p>
        </w:tc>
        <w:tc>
          <w:tcPr>
            <w:tcW w:w="1019" w:type="dxa"/>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[24]</w:t>
            </w:r>
          </w:p>
        </w:tc>
        <w:tc>
          <w:tcPr>
            <w:tcW w:w="0" w:type="auto"/>
            <w:tcBorders>
              <w:top w:val="nil"/>
              <w:left w:val="nil"/>
              <w:bottom w:val="nil"/>
              <w:right w:val="nil"/>
            </w:tcBorders>
            <w:shd w:val="clear" w:color="auto" w:fill="auto"/>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7.0±0.4</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6.0±0.3</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16.0±0.4</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6.0±0.4</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rPr>
                <w:rFonts w:ascii="Times New Roman" w:hAnsi="Times New Roman" w:cs="Times New Roman"/>
                <w:i/>
                <w:sz w:val="18"/>
                <w:szCs w:val="18"/>
              </w:rPr>
            </w:pPr>
          </w:p>
        </w:tc>
        <w:tc>
          <w:tcPr>
            <w:tcW w:w="1019" w:type="dxa"/>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[31]</w:t>
            </w:r>
          </w:p>
        </w:tc>
        <w:tc>
          <w:tcPr>
            <w:tcW w:w="0" w:type="auto"/>
            <w:tcBorders>
              <w:top w:val="nil"/>
              <w:left w:val="nil"/>
              <w:bottom w:val="nil"/>
              <w:right w:val="nil"/>
            </w:tcBorders>
            <w:shd w:val="clear" w:color="auto" w:fill="auto"/>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4.4±0.4</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1.0±0.3</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0.9±0.1</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rPr>
                <w:rFonts w:ascii="Times New Roman" w:hAnsi="Times New Roman" w:cs="Times New Roman"/>
                <w:i/>
                <w:sz w:val="18"/>
                <w:szCs w:val="18"/>
              </w:rPr>
            </w:pPr>
          </w:p>
        </w:tc>
        <w:tc>
          <w:tcPr>
            <w:tcW w:w="1019" w:type="dxa"/>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[33]</w:t>
            </w:r>
          </w:p>
        </w:tc>
        <w:tc>
          <w:tcPr>
            <w:tcW w:w="0" w:type="auto"/>
            <w:tcBorders>
              <w:top w:val="nil"/>
              <w:left w:val="nil"/>
              <w:bottom w:val="nil"/>
              <w:right w:val="nil"/>
            </w:tcBorders>
            <w:shd w:val="clear" w:color="auto" w:fill="auto"/>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1.57</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0.38</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nil"/>
              <w:right w:val="nil"/>
            </w:tcBorders>
            <w:shd w:val="clear" w:color="auto" w:fill="auto"/>
            <w:noWrap/>
            <w:hideMark/>
          </w:tcPr>
          <w:p w:rsidR="009C4440" w:rsidRPr="00C13E57" w:rsidRDefault="009C4440" w:rsidP="006D1039">
            <w:pPr>
              <w:spacing w:after="0" w:line="240" w:lineRule="auto"/>
              <w:jc w:val="center"/>
              <w:rPr>
                <w:rFonts w:ascii="Times New Roman" w:hAnsi="Times New Roman" w:cs="Times New Roman"/>
                <w:sz w:val="18"/>
                <w:szCs w:val="18"/>
              </w:rPr>
            </w:pPr>
            <w:r w:rsidRPr="00C13E57">
              <w:rPr>
                <w:rFonts w:ascii="Times New Roman" w:hAnsi="Times New Roman" w:cs="Times New Roman"/>
                <w:sz w:val="18"/>
                <w:szCs w:val="18"/>
              </w:rPr>
              <w:t>0.84</w:t>
            </w:r>
          </w:p>
        </w:tc>
      </w:tr>
      <w:tr w:rsidR="009C4440" w:rsidRPr="00C13E57" w:rsidTr="006D1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rPr>
                <w:rFonts w:ascii="Times New Roman" w:hAnsi="Times New Roman" w:cs="Times New Roman"/>
                <w:i/>
                <w:sz w:val="18"/>
                <w:szCs w:val="18"/>
              </w:rPr>
            </w:pPr>
            <w:r w:rsidRPr="00C13E57">
              <w:rPr>
                <w:rFonts w:ascii="Times New Roman" w:hAnsi="Times New Roman" w:cs="Times New Roman"/>
                <w:i/>
                <w:sz w:val="18"/>
                <w:szCs w:val="18"/>
              </w:rPr>
              <w:t>A. corniculatum</w:t>
            </w:r>
          </w:p>
        </w:tc>
        <w:tc>
          <w:tcPr>
            <w:tcW w:w="1019" w:type="dxa"/>
            <w:tcBorders>
              <w:top w:val="nil"/>
              <w:left w:val="nil"/>
              <w:bottom w:val="single" w:sz="4" w:space="0" w:color="auto"/>
              <w:right w:val="nil"/>
            </w:tcBorders>
            <w:shd w:val="clear" w:color="auto" w:fill="auto"/>
            <w:noWrap/>
            <w:vAlign w:val="center"/>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[32]</w:t>
            </w:r>
          </w:p>
        </w:tc>
        <w:tc>
          <w:tcPr>
            <w:tcW w:w="0" w:type="auto"/>
            <w:tcBorders>
              <w:top w:val="nil"/>
              <w:left w:val="nil"/>
              <w:bottom w:val="single" w:sz="4" w:space="0" w:color="auto"/>
              <w:right w:val="nil"/>
            </w:tcBorders>
            <w:shd w:val="clear" w:color="auto" w:fill="auto"/>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18.2</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n.a.</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0.91</w:t>
            </w:r>
          </w:p>
        </w:tc>
        <w:tc>
          <w:tcPr>
            <w:tcW w:w="0" w:type="auto"/>
            <w:tcBorders>
              <w:top w:val="nil"/>
              <w:left w:val="nil"/>
              <w:bottom w:val="single" w:sz="4" w:space="0" w:color="auto"/>
              <w:right w:val="nil"/>
            </w:tcBorders>
            <w:shd w:val="clear" w:color="auto" w:fill="auto"/>
            <w:noWrap/>
            <w:hideMark/>
          </w:tcPr>
          <w:p w:rsidR="009C4440" w:rsidRPr="00C13E57" w:rsidRDefault="009C4440" w:rsidP="006D1039">
            <w:pPr>
              <w:spacing w:after="60" w:line="240" w:lineRule="auto"/>
              <w:jc w:val="center"/>
              <w:rPr>
                <w:rFonts w:ascii="Times New Roman" w:hAnsi="Times New Roman" w:cs="Times New Roman"/>
                <w:sz w:val="18"/>
                <w:szCs w:val="18"/>
              </w:rPr>
            </w:pPr>
            <w:r w:rsidRPr="00C13E57">
              <w:rPr>
                <w:rFonts w:ascii="Times New Roman" w:hAnsi="Times New Roman" w:cs="Times New Roman"/>
                <w:sz w:val="18"/>
                <w:szCs w:val="18"/>
              </w:rPr>
              <w:t>3.23</w:t>
            </w:r>
          </w:p>
        </w:tc>
      </w:tr>
    </w:tbl>
    <w:p w:rsidR="009C4440" w:rsidRPr="00A669EF" w:rsidRDefault="009C4440" w:rsidP="009C4440">
      <w:pPr>
        <w:spacing w:before="60" w:after="0" w:line="240" w:lineRule="auto"/>
        <w:outlineLvl w:val="0"/>
        <w:rPr>
          <w:rFonts w:ascii="Times New Roman" w:hAnsi="Times New Roman"/>
          <w:sz w:val="20"/>
          <w:szCs w:val="20"/>
          <w:lang w:val="en-GB"/>
        </w:rPr>
      </w:pPr>
      <w:r w:rsidRPr="00A669EF">
        <w:rPr>
          <w:rFonts w:ascii="Times New Roman" w:hAnsi="Times New Roman"/>
          <w:sz w:val="20"/>
          <w:szCs w:val="20"/>
          <w:lang w:val="en-GB"/>
        </w:rPr>
        <w:t>*</w:t>
      </w:r>
      <w:r w:rsidRPr="00A669EF">
        <w:rPr>
          <w:rFonts w:ascii="Times New Roman" w:hAnsi="Times New Roman"/>
          <w:sz w:val="20"/>
          <w:szCs w:val="20"/>
        </w:rPr>
        <w:t xml:space="preserve"> n.a. – not available</w:t>
      </w:r>
    </w:p>
    <w:p w:rsidR="00A669EF" w:rsidRPr="00A669EF" w:rsidRDefault="00A669EF" w:rsidP="009C4440">
      <w:pPr>
        <w:spacing w:after="0" w:line="240" w:lineRule="auto"/>
        <w:jc w:val="center"/>
        <w:outlineLvl w:val="0"/>
        <w:rPr>
          <w:rFonts w:ascii="Times New Roman" w:hAnsi="Times New Roman"/>
          <w:sz w:val="20"/>
          <w:szCs w:val="20"/>
          <w:lang w:val="en-GB"/>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C4440" w:rsidRPr="009C4440" w:rsidRDefault="009C4440" w:rsidP="009C4440">
      <w:pPr>
        <w:spacing w:after="0" w:line="240" w:lineRule="auto"/>
        <w:jc w:val="both"/>
        <w:outlineLvl w:val="0"/>
        <w:rPr>
          <w:rFonts w:ascii="Times New Roman" w:hAnsi="Times New Roman"/>
          <w:sz w:val="20"/>
          <w:szCs w:val="20"/>
          <w:lang w:val="en-GB"/>
        </w:rPr>
      </w:pPr>
      <w:r w:rsidRPr="009C4440">
        <w:rPr>
          <w:rFonts w:ascii="Times New Roman" w:hAnsi="Times New Roman"/>
          <w:sz w:val="20"/>
          <w:szCs w:val="20"/>
          <w:lang w:val="en-GB"/>
        </w:rPr>
        <w:t xml:space="preserve">This study provides a baseline data of macroelements, microelements, and non-essential elements in different parts of 20-year-old </w:t>
      </w:r>
      <w:r w:rsidRPr="009C4440">
        <w:rPr>
          <w:rFonts w:ascii="Times New Roman" w:hAnsi="Times New Roman"/>
          <w:i/>
          <w:sz w:val="20"/>
          <w:szCs w:val="20"/>
          <w:lang w:val="en-GB"/>
        </w:rPr>
        <w:t>R. apiculata</w:t>
      </w:r>
      <w:r w:rsidRPr="009C4440">
        <w:rPr>
          <w:rFonts w:ascii="Times New Roman" w:hAnsi="Times New Roman"/>
          <w:sz w:val="20"/>
          <w:szCs w:val="20"/>
          <w:lang w:val="en-GB"/>
        </w:rPr>
        <w:t xml:space="preserve"> at Kuala Sepetang Mangrove Reserve Forest. The average concentration of the studied elements is as follows: Ca &gt; Na &gt; K &gt; Mg &gt; Mn &gt; Al &gt; Fe &gt; Zn &gt; Cu &gt; Pb &gt; Cd.  Macroelements were recorded high in all samples due to their abundance in salt water and are important for the mangrove tree growth in saline environment. Microelements may be supportive elements for plant growth and the concentration might not be as high as macronutrient elements. The low concentrations of Pb and Cd suggest that the study area is not strictly affected by the anthropogenic sources of non-essential elements. This study provides useful baseline data for the Perak Forestry Department and the charcoal industry in Kuala Sepetang, Perak, Malaysia. </w:t>
      </w:r>
    </w:p>
    <w:p w:rsidR="009C4440" w:rsidRPr="009C4440" w:rsidRDefault="009C4440" w:rsidP="009C4440">
      <w:pPr>
        <w:spacing w:after="0" w:line="240" w:lineRule="auto"/>
        <w:jc w:val="center"/>
        <w:outlineLvl w:val="0"/>
        <w:rPr>
          <w:rFonts w:ascii="Times New Roman" w:hAnsi="Times New Roman"/>
          <w:sz w:val="20"/>
          <w:szCs w:val="20"/>
          <w:lang w:val="en-GB"/>
        </w:rPr>
      </w:pPr>
    </w:p>
    <w:p w:rsidR="009C4440" w:rsidRPr="009C4440" w:rsidRDefault="009C4440" w:rsidP="009C4440">
      <w:pPr>
        <w:adjustRightInd w:val="0"/>
        <w:spacing w:after="0" w:line="240" w:lineRule="auto"/>
        <w:jc w:val="center"/>
        <w:rPr>
          <w:rFonts w:ascii="Times New Roman" w:hAnsi="Times New Roman"/>
          <w:b/>
          <w:sz w:val="20"/>
          <w:szCs w:val="20"/>
        </w:rPr>
      </w:pPr>
      <w:r w:rsidRPr="009C4440">
        <w:rPr>
          <w:rFonts w:ascii="Times New Roman" w:hAnsi="Times New Roman"/>
          <w:b/>
          <w:sz w:val="20"/>
          <w:szCs w:val="20"/>
        </w:rPr>
        <w:t>Acknowledgements</w:t>
      </w:r>
    </w:p>
    <w:p w:rsidR="006768E9" w:rsidRPr="002B54C8" w:rsidRDefault="009C4440" w:rsidP="002B54C8">
      <w:pPr>
        <w:autoSpaceDE w:val="0"/>
        <w:autoSpaceDN w:val="0"/>
        <w:adjustRightInd w:val="0"/>
        <w:spacing w:after="0" w:line="240" w:lineRule="auto"/>
        <w:jc w:val="both"/>
        <w:rPr>
          <w:rFonts w:ascii="Arial" w:eastAsia="Calibri" w:hAnsi="Arial" w:cs="Arial"/>
          <w:sz w:val="20"/>
          <w:szCs w:val="20"/>
          <w:lang w:bidi="ar-SA"/>
        </w:rPr>
      </w:pPr>
      <w:r w:rsidRPr="009C4440">
        <w:rPr>
          <w:rFonts w:ascii="Times New Roman" w:hAnsi="Times New Roman"/>
          <w:sz w:val="20"/>
          <w:szCs w:val="20"/>
        </w:rPr>
        <w:t xml:space="preserve">This work was funded by the </w:t>
      </w:r>
      <w:r w:rsidR="002B54C8" w:rsidRPr="002B54C8">
        <w:rPr>
          <w:rFonts w:ascii="Times New Roman" w:eastAsia="Calibri" w:hAnsi="Times New Roman"/>
          <w:color w:val="000000"/>
          <w:sz w:val="20"/>
          <w:szCs w:val="20"/>
          <w:lang w:bidi="ar-SA"/>
        </w:rPr>
        <w:t>Research Acculturation Grant Scheme (RAGS)</w:t>
      </w:r>
      <w:r w:rsidR="002B54C8">
        <w:rPr>
          <w:rFonts w:ascii="Arial" w:eastAsia="Calibri" w:hAnsi="Arial" w:cs="Arial"/>
          <w:sz w:val="20"/>
          <w:szCs w:val="20"/>
          <w:lang w:bidi="ar-SA"/>
        </w:rPr>
        <w:t xml:space="preserve"> </w:t>
      </w:r>
      <w:bookmarkStart w:id="0" w:name="_GoBack"/>
      <w:bookmarkEnd w:id="0"/>
      <w:r w:rsidRPr="009C4440">
        <w:rPr>
          <w:rFonts w:ascii="Times New Roman" w:hAnsi="Times New Roman"/>
          <w:sz w:val="20"/>
          <w:szCs w:val="20"/>
        </w:rPr>
        <w:t>vot no. 57097 from Universiti Malaysia Terengganu (UMT). The authors would like to appreciate the Forestry Department of Malaysia especially Larut Matang District Forest Office for their cooperation and permission to collect samples from Kuala Sepetang Mangrove Reserve Forest. The authors acknowledge the School of Marine and Environmental Sciences, and Institute of Oceanography and Environment (INOS) for providing facilities to carry out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Mazlan, A. G., Zaidi, C. C., Wan-Lotfi, W. M. and Othman, B. H. R. (2005). On the current status of marine bio-diversity in Malaysia. </w:t>
      </w:r>
      <w:r w:rsidRPr="009C4440">
        <w:rPr>
          <w:rFonts w:ascii="Times New Roman" w:hAnsi="Times New Roman"/>
          <w:i/>
          <w:sz w:val="20"/>
          <w:szCs w:val="20"/>
        </w:rPr>
        <w:t xml:space="preserve">Indian Journal of Marine Science, </w:t>
      </w:r>
      <w:r w:rsidRPr="009C4440">
        <w:rPr>
          <w:rFonts w:ascii="Times New Roman" w:hAnsi="Times New Roman"/>
          <w:sz w:val="20"/>
          <w:szCs w:val="20"/>
        </w:rPr>
        <w:t>34: 76-87.</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Agoramoorty, G., Chen, F. A. and Hsu, M. J. (2008). Threat of heavy metal pollution in halophytic and mangrove plants of Tamil Nadu, India. </w:t>
      </w:r>
      <w:r w:rsidRPr="009C4440">
        <w:rPr>
          <w:rFonts w:ascii="Times New Roman" w:hAnsi="Times New Roman"/>
          <w:i/>
          <w:sz w:val="20"/>
          <w:szCs w:val="20"/>
        </w:rPr>
        <w:t xml:space="preserve">Journal of Environmental Pollution, </w:t>
      </w:r>
      <w:r w:rsidRPr="009C4440">
        <w:rPr>
          <w:rFonts w:ascii="Times New Roman" w:hAnsi="Times New Roman"/>
          <w:sz w:val="20"/>
          <w:szCs w:val="20"/>
        </w:rPr>
        <w:t xml:space="preserve">155: 320-326.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lastRenderedPageBreak/>
        <w:t xml:space="preserve">Lewis, M., Pryor, R. and Wilking, L. (2011). Fate and effects of anthropogenic chemical in mangrove ecosystem: A review. </w:t>
      </w:r>
      <w:r w:rsidRPr="009C4440">
        <w:rPr>
          <w:rFonts w:ascii="Times New Roman" w:hAnsi="Times New Roman"/>
          <w:i/>
          <w:sz w:val="20"/>
          <w:szCs w:val="20"/>
        </w:rPr>
        <w:t>Journal of Environmental Pollution,</w:t>
      </w:r>
      <w:r w:rsidRPr="009C4440">
        <w:rPr>
          <w:rFonts w:ascii="Times New Roman" w:hAnsi="Times New Roman"/>
          <w:sz w:val="20"/>
          <w:szCs w:val="20"/>
        </w:rPr>
        <w:t xml:space="preserve"> 159: 2328-2346.</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Sternberg, L. D. L., Teh, S. Y., Ewe, S. M. L., Miralles- Wilhelm, F. and DeAngelis, D. l. (2007). Competition between hardwood hammocks and mangrove. </w:t>
      </w:r>
      <w:r w:rsidRPr="009C4440">
        <w:rPr>
          <w:rFonts w:ascii="Times New Roman" w:hAnsi="Times New Roman"/>
          <w:i/>
          <w:sz w:val="20"/>
          <w:szCs w:val="20"/>
        </w:rPr>
        <w:t>Journal of Ecosystem</w:t>
      </w:r>
      <w:r w:rsidRPr="009C4440">
        <w:rPr>
          <w:rFonts w:ascii="Times New Roman" w:hAnsi="Times New Roman"/>
          <w:sz w:val="20"/>
          <w:szCs w:val="20"/>
        </w:rPr>
        <w:t xml:space="preserve">, 10: 648-660.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Kathiresan, K. and Qasim, S. Z. (2005). Biodiversity of mangrove ecosystem. New Delhi, India: Hindustan Publishing Corporation (India), New Delhi: pp. 251.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Rönnbäck, P., Troell, M., Kautsky, N. and Primavera, J. H. (1999). Distribution pattern of shrimps and fish among </w:t>
      </w:r>
      <w:r w:rsidRPr="009C4440">
        <w:rPr>
          <w:rFonts w:ascii="Times New Roman" w:hAnsi="Times New Roman"/>
          <w:i/>
          <w:sz w:val="20"/>
          <w:szCs w:val="20"/>
        </w:rPr>
        <w:t>Avicennia</w:t>
      </w:r>
      <w:r w:rsidRPr="009C4440">
        <w:rPr>
          <w:rFonts w:ascii="Times New Roman" w:hAnsi="Times New Roman"/>
          <w:sz w:val="20"/>
          <w:szCs w:val="20"/>
        </w:rPr>
        <w:t xml:space="preserve"> and </w:t>
      </w:r>
      <w:r w:rsidRPr="009C4440">
        <w:rPr>
          <w:rFonts w:ascii="Times New Roman" w:hAnsi="Times New Roman"/>
          <w:i/>
          <w:sz w:val="20"/>
          <w:szCs w:val="20"/>
        </w:rPr>
        <w:t>Rhizophora</w:t>
      </w:r>
      <w:r w:rsidRPr="009C4440">
        <w:rPr>
          <w:rFonts w:ascii="Times New Roman" w:hAnsi="Times New Roman"/>
          <w:sz w:val="20"/>
          <w:szCs w:val="20"/>
        </w:rPr>
        <w:t xml:space="preserve"> microhabitats in the Pagbilao mangrove, Philippines. </w:t>
      </w:r>
      <w:r w:rsidRPr="009C4440">
        <w:rPr>
          <w:rFonts w:ascii="Times New Roman" w:hAnsi="Times New Roman"/>
          <w:i/>
          <w:sz w:val="20"/>
          <w:szCs w:val="20"/>
        </w:rPr>
        <w:t xml:space="preserve">Journal of Estuarine, Coastal and Shelf Science, </w:t>
      </w:r>
      <w:r w:rsidRPr="009C4440">
        <w:rPr>
          <w:rFonts w:ascii="Times New Roman" w:hAnsi="Times New Roman"/>
          <w:sz w:val="20"/>
          <w:szCs w:val="20"/>
        </w:rPr>
        <w:t xml:space="preserve">48: 223-234.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MacFarlane G. R. and Burchett M. D. (2002). Toxicity, growth and accumulation relationships of copper, lead and zinc in the grey mangrove </w:t>
      </w:r>
      <w:r w:rsidRPr="009C4440">
        <w:rPr>
          <w:rFonts w:ascii="Times New Roman" w:hAnsi="Times New Roman"/>
          <w:i/>
          <w:sz w:val="20"/>
          <w:szCs w:val="20"/>
        </w:rPr>
        <w:t>Avicennia marina</w:t>
      </w:r>
      <w:r w:rsidRPr="009C4440">
        <w:rPr>
          <w:rFonts w:ascii="Times New Roman" w:hAnsi="Times New Roman"/>
          <w:sz w:val="20"/>
          <w:szCs w:val="20"/>
        </w:rPr>
        <w:t xml:space="preserve"> (Forsk.) Vierh. </w:t>
      </w:r>
      <w:r w:rsidRPr="009C4440">
        <w:rPr>
          <w:rFonts w:ascii="Times New Roman" w:hAnsi="Times New Roman"/>
          <w:i/>
          <w:sz w:val="20"/>
          <w:szCs w:val="20"/>
        </w:rPr>
        <w:t xml:space="preserve">Marine Environmental Research, </w:t>
      </w:r>
      <w:r w:rsidRPr="009C4440">
        <w:rPr>
          <w:rFonts w:ascii="Times New Roman" w:hAnsi="Times New Roman"/>
          <w:sz w:val="20"/>
          <w:szCs w:val="20"/>
        </w:rPr>
        <w:t>54: 65–84.</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Silva, C. A. R., Lacerda, L. D. and Rezende, C. E. (1990). Heavy metal reservoirs in a red mangrove forest. </w:t>
      </w:r>
      <w:r w:rsidRPr="009C4440">
        <w:rPr>
          <w:rFonts w:ascii="Times New Roman" w:hAnsi="Times New Roman"/>
          <w:i/>
          <w:sz w:val="20"/>
          <w:szCs w:val="20"/>
        </w:rPr>
        <w:t xml:space="preserve">Journal of Biotropica, </w:t>
      </w:r>
      <w:r w:rsidRPr="009C4440">
        <w:rPr>
          <w:rFonts w:ascii="Times New Roman" w:hAnsi="Times New Roman"/>
          <w:sz w:val="20"/>
          <w:szCs w:val="20"/>
        </w:rPr>
        <w:t>22: 339–345.</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Kamaruzzaman, B. Y. and Ong, M. C. (2009). Accumulation of lead and copper in </w:t>
      </w:r>
      <w:r w:rsidRPr="009C4440">
        <w:rPr>
          <w:rFonts w:ascii="Times New Roman" w:hAnsi="Times New Roman"/>
          <w:i/>
          <w:sz w:val="20"/>
          <w:szCs w:val="20"/>
        </w:rPr>
        <w:t>Rhizophora apiculata</w:t>
      </w:r>
      <w:r w:rsidRPr="009C4440">
        <w:rPr>
          <w:rFonts w:ascii="Times New Roman" w:hAnsi="Times New Roman"/>
          <w:sz w:val="20"/>
          <w:szCs w:val="20"/>
        </w:rPr>
        <w:t xml:space="preserve"> from Setiu mangrove forest, Terengganu, Malaysia. </w:t>
      </w:r>
      <w:r w:rsidRPr="009C4440">
        <w:rPr>
          <w:rFonts w:ascii="Times New Roman" w:hAnsi="Times New Roman"/>
          <w:i/>
          <w:sz w:val="20"/>
          <w:szCs w:val="20"/>
        </w:rPr>
        <w:t xml:space="preserve">Journal of Environmental Biology, </w:t>
      </w:r>
      <w:r w:rsidRPr="009C4440">
        <w:rPr>
          <w:rFonts w:ascii="Times New Roman" w:hAnsi="Times New Roman"/>
          <w:sz w:val="20"/>
          <w:szCs w:val="20"/>
        </w:rPr>
        <w:t xml:space="preserve">30: 821-824.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Kamaruzzaman, B. Y., Rina Sharlinda, M. Z., John, B. A. and Waznah, A. S. (2011). Accumulation and Distribution of lead and copper in </w:t>
      </w:r>
      <w:r w:rsidRPr="009C4440">
        <w:rPr>
          <w:rFonts w:ascii="Times New Roman" w:hAnsi="Times New Roman"/>
          <w:i/>
          <w:sz w:val="20"/>
          <w:szCs w:val="20"/>
        </w:rPr>
        <w:t>Avicennia marina</w:t>
      </w:r>
      <w:r w:rsidRPr="009C4440">
        <w:rPr>
          <w:rFonts w:ascii="Times New Roman" w:hAnsi="Times New Roman"/>
          <w:sz w:val="20"/>
          <w:szCs w:val="20"/>
        </w:rPr>
        <w:t xml:space="preserve"> and </w:t>
      </w:r>
      <w:r w:rsidRPr="009C4440">
        <w:rPr>
          <w:rFonts w:ascii="Times New Roman" w:hAnsi="Times New Roman"/>
          <w:i/>
          <w:sz w:val="20"/>
          <w:szCs w:val="20"/>
        </w:rPr>
        <w:t>Rhizophora apiculata</w:t>
      </w:r>
      <w:r w:rsidRPr="009C4440">
        <w:rPr>
          <w:rFonts w:ascii="Times New Roman" w:hAnsi="Times New Roman"/>
          <w:sz w:val="20"/>
          <w:szCs w:val="20"/>
        </w:rPr>
        <w:t xml:space="preserve"> from Balok mangrove forest, Pahang, Malaysia. </w:t>
      </w:r>
      <w:r w:rsidRPr="009C4440">
        <w:rPr>
          <w:rFonts w:ascii="Times New Roman" w:hAnsi="Times New Roman"/>
          <w:i/>
          <w:sz w:val="20"/>
          <w:szCs w:val="20"/>
        </w:rPr>
        <w:t>Sains Malaysiana</w:t>
      </w:r>
      <w:r w:rsidRPr="009C4440">
        <w:rPr>
          <w:rFonts w:ascii="Times New Roman" w:hAnsi="Times New Roman"/>
          <w:sz w:val="20"/>
          <w:szCs w:val="20"/>
        </w:rPr>
        <w:t>, 40(6): 555-560.</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Wu, S., Feng, X. and Wittmeier, A. (1997). Microwave digestion of plant grain reference materials in nitric acid or mixture of nitric acid and hydrogen peroxide for the determination of multi-elements by inductively coupled plasma mass spectrometry. </w:t>
      </w:r>
      <w:r w:rsidRPr="009C4440">
        <w:rPr>
          <w:rFonts w:ascii="Times New Roman" w:hAnsi="Times New Roman"/>
          <w:i/>
          <w:sz w:val="20"/>
          <w:szCs w:val="20"/>
        </w:rPr>
        <w:t xml:space="preserve">Journal of Analytical Atomic Spectrometry, </w:t>
      </w:r>
      <w:r w:rsidRPr="009C4440">
        <w:rPr>
          <w:rFonts w:ascii="Times New Roman" w:hAnsi="Times New Roman"/>
          <w:sz w:val="20"/>
          <w:szCs w:val="20"/>
        </w:rPr>
        <w:t>12: 797-806.</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Ramos, S. C. A., da Silva, A. P. and de Oliveira. S. R. (2006). Concentration, stock and transport rate of heavy metals in a tropical red mangrove, Natal, Brazil. </w:t>
      </w:r>
      <w:r w:rsidRPr="009C4440">
        <w:rPr>
          <w:rFonts w:ascii="Times New Roman" w:hAnsi="Times New Roman"/>
          <w:i/>
          <w:sz w:val="20"/>
          <w:szCs w:val="20"/>
        </w:rPr>
        <w:t xml:space="preserve">Marine Chemistry, </w:t>
      </w:r>
      <w:r w:rsidRPr="009C4440">
        <w:rPr>
          <w:rFonts w:ascii="Times New Roman" w:hAnsi="Times New Roman"/>
          <w:sz w:val="20"/>
          <w:szCs w:val="20"/>
        </w:rPr>
        <w:t>99: 2-11.</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Teiz, L. and Zeiger, R. (1991). Plant physicology. The Benjamin-Cumming Publishing Company, Redwood City, CA, USA: pp. 565.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Qiu, Y. W., Yu, K. F., Zhang, G. and Wang, W. X. (2011). Accumulation and partitioning of seven trace elements in mangroves and sediment cores from three estuarine wetlands of Hanan Island, China. </w:t>
      </w:r>
      <w:r w:rsidRPr="009C4440">
        <w:rPr>
          <w:rFonts w:ascii="Times New Roman" w:hAnsi="Times New Roman"/>
          <w:i/>
          <w:sz w:val="20"/>
          <w:szCs w:val="20"/>
        </w:rPr>
        <w:t>Journal of Hazardous Materials,</w:t>
      </w:r>
      <w:r w:rsidRPr="009C4440">
        <w:rPr>
          <w:rFonts w:ascii="Times New Roman" w:hAnsi="Times New Roman"/>
          <w:sz w:val="20"/>
          <w:szCs w:val="20"/>
        </w:rPr>
        <w:t xml:space="preserve"> 190: 631-638.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MacFarlane, G. R., Pulkownik, A. and Burchett M. D. (2003). Accumulation and distribution of heavy metals in the grey mangrove, </w:t>
      </w:r>
      <w:r w:rsidRPr="009C4440">
        <w:rPr>
          <w:rFonts w:ascii="Times New Roman" w:hAnsi="Times New Roman"/>
          <w:i/>
          <w:sz w:val="20"/>
          <w:szCs w:val="20"/>
        </w:rPr>
        <w:t>Avicennia marina</w:t>
      </w:r>
      <w:r w:rsidRPr="009C4440">
        <w:rPr>
          <w:rFonts w:ascii="Times New Roman" w:hAnsi="Times New Roman"/>
          <w:sz w:val="20"/>
          <w:szCs w:val="20"/>
        </w:rPr>
        <w:t xml:space="preserve"> (Forsk.) Vierh: Biological indication potential. </w:t>
      </w:r>
      <w:r w:rsidRPr="009C4440">
        <w:rPr>
          <w:rFonts w:ascii="Times New Roman" w:hAnsi="Times New Roman"/>
          <w:i/>
          <w:sz w:val="20"/>
          <w:szCs w:val="20"/>
        </w:rPr>
        <w:t xml:space="preserve">Environmental Pollution, </w:t>
      </w:r>
      <w:r w:rsidRPr="009C4440">
        <w:rPr>
          <w:rFonts w:ascii="Times New Roman" w:hAnsi="Times New Roman"/>
          <w:sz w:val="20"/>
          <w:szCs w:val="20"/>
        </w:rPr>
        <w:t>123: 139-151.</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Glenn, E. P., Brown, J. J. and Blumwald, E. (1999). Salt tolerance and crop potential of halophytes</w:t>
      </w:r>
      <w:r w:rsidRPr="009C4440">
        <w:rPr>
          <w:rFonts w:ascii="Times New Roman" w:hAnsi="Times New Roman"/>
          <w:i/>
          <w:sz w:val="20"/>
          <w:szCs w:val="20"/>
        </w:rPr>
        <w:t xml:space="preserve">. Journal of Critical Review of Plant Sciences, </w:t>
      </w:r>
      <w:r w:rsidRPr="009C4440">
        <w:rPr>
          <w:rFonts w:ascii="Times New Roman" w:hAnsi="Times New Roman"/>
          <w:sz w:val="20"/>
          <w:szCs w:val="20"/>
        </w:rPr>
        <w:t>18: 227-255.</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Khalil, N. A., Al-Murshidy, W. A., Eman, A. M. and Badawy, R. A. (2015). Effect of plant density and calcium nutrition on growth and yield of some faba bean varieties under saline condition. </w:t>
      </w:r>
      <w:r w:rsidRPr="009C4440">
        <w:rPr>
          <w:rFonts w:ascii="Times New Roman" w:hAnsi="Times New Roman"/>
          <w:i/>
          <w:sz w:val="20"/>
          <w:szCs w:val="20"/>
        </w:rPr>
        <w:t>Journal of International Scientific Publications,</w:t>
      </w:r>
      <w:r w:rsidRPr="009C4440">
        <w:rPr>
          <w:rFonts w:ascii="Times New Roman" w:hAnsi="Times New Roman"/>
          <w:sz w:val="20"/>
          <w:szCs w:val="20"/>
        </w:rPr>
        <w:t xml:space="preserve"> 3: 440-450.</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Hsiao, T. C. and Lauchli, A. (1986). Role of potassium in plant-water relation. </w:t>
      </w:r>
      <w:r w:rsidRPr="009C4440">
        <w:rPr>
          <w:rFonts w:ascii="Times New Roman" w:hAnsi="Times New Roman"/>
          <w:i/>
          <w:sz w:val="20"/>
          <w:szCs w:val="20"/>
        </w:rPr>
        <w:t xml:space="preserve">Advanced Plant Nutrition, </w:t>
      </w:r>
      <w:r w:rsidRPr="009C4440">
        <w:rPr>
          <w:rFonts w:ascii="Times New Roman" w:hAnsi="Times New Roman"/>
          <w:sz w:val="20"/>
          <w:szCs w:val="20"/>
        </w:rPr>
        <w:t xml:space="preserve">2: 28-31.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Leigh, R. A. and Wyn Jones, R. G. (1984). A hypothesis relating critical potassium concentrations for growth to the distribution and functions of this ion in the plant cell. </w:t>
      </w:r>
      <w:r w:rsidRPr="009C4440">
        <w:rPr>
          <w:rFonts w:ascii="Times New Roman" w:hAnsi="Times New Roman"/>
          <w:i/>
          <w:sz w:val="20"/>
          <w:szCs w:val="20"/>
        </w:rPr>
        <w:t>New Phytologist</w:t>
      </w:r>
      <w:r w:rsidRPr="009C4440">
        <w:rPr>
          <w:rFonts w:ascii="Times New Roman" w:hAnsi="Times New Roman"/>
          <w:sz w:val="20"/>
          <w:szCs w:val="20"/>
        </w:rPr>
        <w:t>, 97: 1-13.</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Downton, W. J. S. (1982). Growth and osmotic relations of the mangrove </w:t>
      </w:r>
      <w:r w:rsidRPr="009C4440">
        <w:rPr>
          <w:rFonts w:ascii="Times New Roman" w:hAnsi="Times New Roman"/>
          <w:i/>
          <w:sz w:val="20"/>
          <w:szCs w:val="20"/>
        </w:rPr>
        <w:t>Avicennia marina</w:t>
      </w:r>
      <w:r w:rsidRPr="009C4440">
        <w:rPr>
          <w:rFonts w:ascii="Times New Roman" w:hAnsi="Times New Roman"/>
          <w:sz w:val="20"/>
          <w:szCs w:val="20"/>
        </w:rPr>
        <w:t xml:space="preserve">, as influenced by salinity. </w:t>
      </w:r>
      <w:r w:rsidRPr="009C4440">
        <w:rPr>
          <w:rFonts w:ascii="Times New Roman" w:hAnsi="Times New Roman"/>
          <w:i/>
          <w:sz w:val="20"/>
          <w:szCs w:val="20"/>
        </w:rPr>
        <w:t>Functional Plant Biology</w:t>
      </w:r>
      <w:r w:rsidRPr="009C4440">
        <w:rPr>
          <w:rFonts w:ascii="Times New Roman" w:hAnsi="Times New Roman"/>
          <w:sz w:val="20"/>
          <w:szCs w:val="20"/>
        </w:rPr>
        <w:t>, 9(5): 519-528.</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Reef, R., Feller, I. C. and Lovelock, C. E. (2010). Nutrition of mangroves. </w:t>
      </w:r>
      <w:r w:rsidRPr="009C4440">
        <w:rPr>
          <w:rFonts w:ascii="Times New Roman" w:hAnsi="Times New Roman"/>
          <w:i/>
          <w:sz w:val="20"/>
          <w:szCs w:val="20"/>
        </w:rPr>
        <w:t>Tree Physiology</w:t>
      </w:r>
      <w:r w:rsidRPr="009C4440">
        <w:rPr>
          <w:rFonts w:ascii="Times New Roman" w:hAnsi="Times New Roman"/>
          <w:sz w:val="20"/>
          <w:szCs w:val="20"/>
        </w:rPr>
        <w:t>, 30(9): 1148-1160.</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Chowdhury, R., Favas, P. J C., Pratas, J., Jonathan, M. P., Ganesh, P. S. and Sarkar, S. K. (2015). Accumulation of trace element by mangrove plants in Indian Sundarban Wetland: Prospects for phytoremediation. </w:t>
      </w:r>
      <w:r w:rsidRPr="009C4440">
        <w:rPr>
          <w:rFonts w:ascii="Times New Roman" w:hAnsi="Times New Roman"/>
          <w:i/>
          <w:sz w:val="20"/>
          <w:szCs w:val="20"/>
        </w:rPr>
        <w:t xml:space="preserve">International Journal of Phytoremediation, </w:t>
      </w:r>
      <w:r w:rsidRPr="009C4440">
        <w:rPr>
          <w:rFonts w:ascii="Times New Roman" w:hAnsi="Times New Roman"/>
          <w:sz w:val="20"/>
          <w:szCs w:val="20"/>
        </w:rPr>
        <w:t xml:space="preserve">17(9): 885-894.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Jones, J. B., Wolf, B. and Mills, H. A. (1991). Plant analysis handbook: A practical sampling, preparation, analysis and interpretation guide. Micro and Macro Publishing, New York.</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Kathiresan, K., Saravanankumar, K. and Mullai, P. (2014). Bioaccumulation of trace elements by </w:t>
      </w:r>
      <w:r w:rsidRPr="009C4440">
        <w:rPr>
          <w:rFonts w:ascii="Times New Roman" w:hAnsi="Times New Roman"/>
          <w:i/>
          <w:sz w:val="20"/>
          <w:szCs w:val="20"/>
        </w:rPr>
        <w:t>Avicennia marina</w:t>
      </w:r>
      <w:r w:rsidRPr="009C4440">
        <w:rPr>
          <w:rFonts w:ascii="Times New Roman" w:hAnsi="Times New Roman"/>
          <w:sz w:val="20"/>
          <w:szCs w:val="20"/>
        </w:rPr>
        <w:t xml:space="preserve">. </w:t>
      </w:r>
      <w:r w:rsidRPr="009C4440">
        <w:rPr>
          <w:rFonts w:ascii="Times New Roman" w:hAnsi="Times New Roman"/>
          <w:i/>
          <w:sz w:val="20"/>
          <w:szCs w:val="20"/>
        </w:rPr>
        <w:t xml:space="preserve">Journal of Coastal Life Medicine, </w:t>
      </w:r>
      <w:r w:rsidRPr="009C4440">
        <w:rPr>
          <w:rFonts w:ascii="Times New Roman" w:hAnsi="Times New Roman"/>
          <w:sz w:val="20"/>
          <w:szCs w:val="20"/>
        </w:rPr>
        <w:t>2(11): 888-894.</w:t>
      </w:r>
    </w:p>
    <w:p w:rsidR="00536B76"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Shaw, A. J. (1990). Heavy metal tolerance in plant: Evolutionary Aspects. CRC Press, Florida.</w:t>
      </w:r>
    </w:p>
    <w:p w:rsidR="00536B76" w:rsidRDefault="00536B76" w:rsidP="00536B76">
      <w:pPr>
        <w:widowControl w:val="0"/>
        <w:autoSpaceDE w:val="0"/>
        <w:autoSpaceDN w:val="0"/>
        <w:spacing w:after="0" w:line="240" w:lineRule="auto"/>
        <w:jc w:val="both"/>
        <w:rPr>
          <w:rFonts w:ascii="Times New Roman" w:hAnsi="Times New Roman"/>
          <w:sz w:val="20"/>
          <w:szCs w:val="20"/>
        </w:rPr>
      </w:pPr>
    </w:p>
    <w:p w:rsidR="00536B76" w:rsidRPr="00536B76" w:rsidRDefault="00536B76" w:rsidP="00536B76">
      <w:pPr>
        <w:widowControl w:val="0"/>
        <w:autoSpaceDE w:val="0"/>
        <w:autoSpaceDN w:val="0"/>
        <w:spacing w:after="0" w:line="240" w:lineRule="auto"/>
        <w:jc w:val="both"/>
        <w:rPr>
          <w:rFonts w:ascii="Times New Roman" w:hAnsi="Times New Roman"/>
          <w:sz w:val="20"/>
          <w:szCs w:val="20"/>
        </w:rPr>
      </w:pP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lastRenderedPageBreak/>
        <w:t xml:space="preserve">Anikwe, M. N. and Nwobodo, K. C. A. (2002). Long-term effect of municipal waste disposal on soil properties and productivity of sites used for urban agriculture in Abakaliki, Nigeria. </w:t>
      </w:r>
      <w:r w:rsidRPr="009C4440">
        <w:rPr>
          <w:rFonts w:ascii="Times New Roman" w:hAnsi="Times New Roman"/>
          <w:i/>
          <w:sz w:val="20"/>
          <w:szCs w:val="20"/>
        </w:rPr>
        <w:t xml:space="preserve">Bioresources Technology, </w:t>
      </w:r>
      <w:r w:rsidRPr="009C4440">
        <w:rPr>
          <w:rFonts w:ascii="Times New Roman" w:hAnsi="Times New Roman"/>
          <w:sz w:val="20"/>
          <w:szCs w:val="20"/>
        </w:rPr>
        <w:t xml:space="preserve">83: 241-250.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Abohassan, R. A. (2013). Heavy metal pollution in </w:t>
      </w:r>
      <w:r w:rsidRPr="009C4440">
        <w:rPr>
          <w:rFonts w:ascii="Times New Roman" w:hAnsi="Times New Roman"/>
          <w:i/>
          <w:sz w:val="20"/>
          <w:szCs w:val="20"/>
        </w:rPr>
        <w:t>Avicennia marina</w:t>
      </w:r>
      <w:r w:rsidRPr="009C4440">
        <w:rPr>
          <w:rFonts w:ascii="Times New Roman" w:hAnsi="Times New Roman"/>
          <w:sz w:val="20"/>
          <w:szCs w:val="20"/>
        </w:rPr>
        <w:t xml:space="preserve"> mangrove system on the Red Sea Coast of Saudi Arabia. </w:t>
      </w:r>
      <w:r w:rsidRPr="009C4440">
        <w:rPr>
          <w:rFonts w:ascii="Times New Roman" w:hAnsi="Times New Roman"/>
          <w:i/>
          <w:sz w:val="20"/>
          <w:szCs w:val="20"/>
        </w:rPr>
        <w:t xml:space="preserve">Journal of King Abdulaziz University; Meteorology, Environment and Arid Land Agriculture Science, </w:t>
      </w:r>
      <w:r w:rsidRPr="009C4440">
        <w:rPr>
          <w:rFonts w:ascii="Times New Roman" w:hAnsi="Times New Roman"/>
          <w:sz w:val="20"/>
          <w:szCs w:val="20"/>
        </w:rPr>
        <w:t>24:</w:t>
      </w:r>
      <w:r w:rsidRPr="009C4440">
        <w:rPr>
          <w:rFonts w:ascii="Times New Roman" w:hAnsi="Times New Roman"/>
          <w:i/>
          <w:sz w:val="20"/>
          <w:szCs w:val="20"/>
        </w:rPr>
        <w:t xml:space="preserve"> </w:t>
      </w:r>
      <w:r w:rsidRPr="009C4440">
        <w:rPr>
          <w:rFonts w:ascii="Times New Roman" w:hAnsi="Times New Roman"/>
          <w:sz w:val="20"/>
          <w:szCs w:val="20"/>
        </w:rPr>
        <w:t>35-53</w:t>
      </w:r>
      <w:r w:rsidRPr="009C4440">
        <w:rPr>
          <w:rFonts w:ascii="Times New Roman" w:hAnsi="Times New Roman"/>
          <w:i/>
          <w:sz w:val="20"/>
          <w:szCs w:val="20"/>
        </w:rPr>
        <w:t>.</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Alloway, B. J. (1995) Soil processes and the behaviour of metals. In: Alloway BJ (ed). Heavy metals in soils. </w:t>
      </w:r>
      <w:r w:rsidRPr="009C4440">
        <w:rPr>
          <w:rFonts w:ascii="Times New Roman" w:hAnsi="Times New Roman"/>
          <w:i/>
          <w:sz w:val="20"/>
          <w:szCs w:val="20"/>
        </w:rPr>
        <w:t>Blackie Academic and Professional</w:t>
      </w:r>
      <w:r w:rsidRPr="009C4440">
        <w:rPr>
          <w:rFonts w:ascii="Times New Roman" w:hAnsi="Times New Roman"/>
          <w:sz w:val="20"/>
          <w:szCs w:val="20"/>
        </w:rPr>
        <w:t>, New York: pp. 11-50.</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Bodin, N., Gom-Kâ, R., Thiaw, O. T., Tito de Morais, L., Le Locˊh, F. and Rozuel-Chartier, E. (2013). Assessment of trace metal contamination in mangrove ecosystem from Senegal, West Africa. </w:t>
      </w:r>
      <w:r w:rsidRPr="009C4440">
        <w:rPr>
          <w:rFonts w:ascii="Times New Roman" w:hAnsi="Times New Roman"/>
          <w:i/>
          <w:sz w:val="20"/>
          <w:szCs w:val="20"/>
        </w:rPr>
        <w:t xml:space="preserve">Chemosphere, </w:t>
      </w:r>
      <w:r w:rsidRPr="009C4440">
        <w:rPr>
          <w:rFonts w:ascii="Times New Roman" w:hAnsi="Times New Roman"/>
          <w:sz w:val="20"/>
          <w:szCs w:val="20"/>
        </w:rPr>
        <w:t>90: 50-57.</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Usman, A. R. A., Alkredaa, R. S. and Wabel, M. I. A. (2013). Heavy metal contamination in sediments and mangroves from the coast of Red Sea: </w:t>
      </w:r>
      <w:r w:rsidRPr="009C4440">
        <w:rPr>
          <w:rFonts w:ascii="Times New Roman" w:hAnsi="Times New Roman"/>
          <w:i/>
          <w:sz w:val="20"/>
          <w:szCs w:val="20"/>
        </w:rPr>
        <w:t>Avicennia marina</w:t>
      </w:r>
      <w:r w:rsidRPr="009C4440">
        <w:rPr>
          <w:rFonts w:ascii="Times New Roman" w:hAnsi="Times New Roman"/>
          <w:sz w:val="20"/>
          <w:szCs w:val="20"/>
        </w:rPr>
        <w:t xml:space="preserve"> as potential metal bioaccumulator. </w:t>
      </w:r>
      <w:r w:rsidRPr="009C4440">
        <w:rPr>
          <w:rFonts w:ascii="Times New Roman" w:hAnsi="Times New Roman"/>
          <w:i/>
          <w:sz w:val="20"/>
          <w:szCs w:val="20"/>
        </w:rPr>
        <w:t>Ecotoxicology and Environmental Safety</w:t>
      </w:r>
      <w:r w:rsidRPr="009C4440">
        <w:rPr>
          <w:rFonts w:ascii="Times New Roman" w:hAnsi="Times New Roman"/>
          <w:sz w:val="20"/>
          <w:szCs w:val="20"/>
        </w:rPr>
        <w:t xml:space="preserve">, 97: 263-270. </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Wang, Y., Qiu, Q., Xin, G., Yang, Z., Zheng J., Ye, Z. and Li, S. (2013). Heavy metal contamination in a vulnerable mangrove swamp in South China. </w:t>
      </w:r>
      <w:r w:rsidRPr="009C4440">
        <w:rPr>
          <w:rFonts w:ascii="Times New Roman" w:hAnsi="Times New Roman"/>
          <w:i/>
          <w:sz w:val="20"/>
          <w:szCs w:val="20"/>
        </w:rPr>
        <w:t>Environmental Monitoring Assessment</w:t>
      </w:r>
      <w:r w:rsidRPr="009C4440">
        <w:rPr>
          <w:rFonts w:ascii="Times New Roman" w:hAnsi="Times New Roman"/>
          <w:sz w:val="20"/>
          <w:szCs w:val="20"/>
        </w:rPr>
        <w:t>, 185(7): 5775-5787.</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Yu, R. L., Hu, G. R., Zhang, W. F. and Liu B. X. (2015). Accumulation and transfer of heavy metals in the mangroves from Quanzhou Bay Wetland, South East Coast of China. </w:t>
      </w:r>
      <w:r w:rsidRPr="009C4440">
        <w:rPr>
          <w:rFonts w:ascii="Times New Roman" w:hAnsi="Times New Roman"/>
          <w:i/>
          <w:sz w:val="20"/>
          <w:szCs w:val="20"/>
        </w:rPr>
        <w:t xml:space="preserve">Journal of Residuals Science &amp; Technology, </w:t>
      </w:r>
      <w:r w:rsidRPr="009C4440">
        <w:rPr>
          <w:rFonts w:ascii="Times New Roman" w:hAnsi="Times New Roman"/>
          <w:sz w:val="20"/>
          <w:szCs w:val="20"/>
        </w:rPr>
        <w:t>12: 79-83.</w:t>
      </w:r>
    </w:p>
    <w:p w:rsidR="00536B76" w:rsidRPr="009C4440" w:rsidRDefault="00536B76" w:rsidP="00536B76">
      <w:pPr>
        <w:pStyle w:val="ListParagraph"/>
        <w:widowControl w:val="0"/>
        <w:numPr>
          <w:ilvl w:val="0"/>
          <w:numId w:val="5"/>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Nirmal Kumar, I. J., Sajish, P. R., Nirmal Kumar, R., Basil, G. and Shailendra, V. (2011). An assessment of the accumulation potential of Pb, Zn and Cd by </w:t>
      </w:r>
      <w:r w:rsidRPr="009C4440">
        <w:rPr>
          <w:rFonts w:ascii="Times New Roman" w:hAnsi="Times New Roman"/>
          <w:i/>
          <w:sz w:val="20"/>
          <w:szCs w:val="20"/>
        </w:rPr>
        <w:t>Avicennia marina</w:t>
      </w:r>
      <w:r w:rsidRPr="009C4440">
        <w:rPr>
          <w:rFonts w:ascii="Times New Roman" w:hAnsi="Times New Roman"/>
          <w:sz w:val="20"/>
          <w:szCs w:val="20"/>
        </w:rPr>
        <w:t xml:space="preserve"> (Forssk.) Vierh. in Vamleshwar Mangroves, Gujarat, India. </w:t>
      </w:r>
      <w:r w:rsidRPr="009C4440">
        <w:rPr>
          <w:rFonts w:ascii="Times New Roman" w:hAnsi="Times New Roman"/>
          <w:i/>
          <w:sz w:val="20"/>
          <w:szCs w:val="20"/>
        </w:rPr>
        <w:t>Notulae Scientia Biologicae</w:t>
      </w:r>
      <w:r w:rsidRPr="009C4440">
        <w:rPr>
          <w:rFonts w:ascii="Times New Roman" w:hAnsi="Times New Roman"/>
          <w:sz w:val="20"/>
          <w:szCs w:val="20"/>
        </w:rPr>
        <w:t>, 3(1): 36-40.</w:t>
      </w:r>
    </w:p>
    <w:p w:rsidR="00E31A5C" w:rsidRDefault="00E31A5C" w:rsidP="00536B76">
      <w:pPr>
        <w:spacing w:after="0" w:line="240" w:lineRule="auto"/>
        <w:ind w:left="360"/>
        <w:jc w:val="both"/>
        <w:rPr>
          <w:rFonts w:ascii="Times New Roman" w:hAnsi="Times New Roman"/>
          <w:noProof/>
          <w:sz w:val="20"/>
          <w:szCs w:val="20"/>
          <w:lang w:bidi="ar-SA"/>
        </w:rPr>
      </w:pPr>
    </w:p>
    <w:sectPr w:rsidR="00E31A5C" w:rsidSect="003030C6">
      <w:headerReference w:type="even" r:id="rId16"/>
      <w:headerReference w:type="default" r:id="rId17"/>
      <w:footerReference w:type="even" r:id="rId18"/>
      <w:footerReference w:type="default" r:id="rId19"/>
      <w:pgSz w:w="12240" w:h="15840" w:code="1"/>
      <w:pgMar w:top="1800" w:right="1469" w:bottom="1699" w:left="1440" w:header="706" w:footer="706" w:gutter="0"/>
      <w:pgNumType w:start="5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753" w:rsidRDefault="00634753" w:rsidP="00FB4C59">
      <w:pPr>
        <w:spacing w:after="0" w:line="240" w:lineRule="auto"/>
      </w:pPr>
      <w:r>
        <w:separator/>
      </w:r>
    </w:p>
  </w:endnote>
  <w:endnote w:type="continuationSeparator" w:id="0">
    <w:p w:rsidR="00634753" w:rsidRDefault="0063475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634753" w:rsidRPr="00C0756D" w:rsidRDefault="00634753">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D49B6">
          <w:rPr>
            <w:rFonts w:ascii="Times New Roman" w:hAnsi="Times New Roman"/>
            <w:noProof/>
          </w:rPr>
          <w:t>578</w:t>
        </w:r>
        <w:r w:rsidRPr="00C0756D">
          <w:rPr>
            <w:rFonts w:ascii="Times New Roman" w:hAnsi="Times New Roman"/>
            <w:noProof/>
          </w:rPr>
          <w:fldChar w:fldCharType="end"/>
        </w:r>
      </w:p>
    </w:sdtContent>
  </w:sdt>
  <w:p w:rsidR="00634753" w:rsidRDefault="00634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634753" w:rsidRPr="00C0756D" w:rsidRDefault="00634753">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D49B6">
          <w:rPr>
            <w:rFonts w:ascii="Times New Roman" w:hAnsi="Times New Roman"/>
            <w:noProof/>
          </w:rPr>
          <w:t>577</w:t>
        </w:r>
        <w:r w:rsidRPr="00C0756D">
          <w:rPr>
            <w:rFonts w:ascii="Times New Roman" w:hAnsi="Times New Roman"/>
            <w:noProof/>
          </w:rPr>
          <w:fldChar w:fldCharType="end"/>
        </w:r>
      </w:p>
    </w:sdtContent>
  </w:sdt>
  <w:p w:rsidR="00634753" w:rsidRPr="004B43FF" w:rsidRDefault="00634753">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753" w:rsidRDefault="00634753" w:rsidP="00FB4C59">
      <w:pPr>
        <w:spacing w:after="0" w:line="240" w:lineRule="auto"/>
      </w:pPr>
      <w:r>
        <w:separator/>
      </w:r>
    </w:p>
  </w:footnote>
  <w:footnote w:type="continuationSeparator" w:id="0">
    <w:p w:rsidR="00634753" w:rsidRDefault="00634753"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53" w:rsidRDefault="00634753"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3030C6">
      <w:rPr>
        <w:rFonts w:ascii="Times New Roman" w:hAnsi="Times New Roman"/>
        <w:i/>
        <w:lang w:val="en-US"/>
      </w:rPr>
      <w:t>570</w:t>
    </w:r>
    <w:r>
      <w:rPr>
        <w:rFonts w:ascii="Times New Roman" w:hAnsi="Times New Roman"/>
        <w:i/>
        <w:lang w:val="en-US"/>
      </w:rPr>
      <w:t xml:space="preserve"> -</w:t>
    </w:r>
    <w:r w:rsidR="003030C6">
      <w:rPr>
        <w:rFonts w:ascii="Times New Roman" w:hAnsi="Times New Roman"/>
        <w:i/>
        <w:lang w:val="en-US"/>
      </w:rPr>
      <w:t xml:space="preserve"> 578</w:t>
    </w:r>
  </w:p>
  <w:p w:rsidR="00634753" w:rsidRPr="004B43FF" w:rsidRDefault="00634753" w:rsidP="006A3A0F">
    <w:pPr>
      <w:pStyle w:val="Header"/>
      <w:jc w:val="right"/>
      <w:rPr>
        <w:rFonts w:ascii="Times New Roman" w:hAnsi="Times New Roman"/>
        <w:i/>
        <w:lang w:val="en-US"/>
      </w:rPr>
    </w:pPr>
    <w:r>
      <w:rPr>
        <w:rFonts w:ascii="Times New Roman" w:hAnsi="Times New Roman"/>
        <w:i/>
        <w:lang w:val="en-US"/>
      </w:rPr>
      <w:t>DOI: https://doi.org/10.17576/mjas-2018-2204</w:t>
    </w:r>
    <w:r w:rsidR="003030C6">
      <w:rPr>
        <w:rFonts w:ascii="Times New Roman" w:hAnsi="Times New Roman"/>
        <w:i/>
        <w:lang w:val="en-US"/>
      </w:rPr>
      <w:t>-01</w:t>
    </w:r>
  </w:p>
  <w:p w:rsidR="00634753" w:rsidRDefault="006347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53" w:rsidRPr="00B864C2" w:rsidRDefault="00634753" w:rsidP="00B864C2">
    <w:pPr>
      <w:spacing w:after="0" w:line="240" w:lineRule="auto"/>
      <w:ind w:left="1350" w:hanging="1350"/>
      <w:rPr>
        <w:rFonts w:ascii="Times New Roman" w:hAnsi="Times New Roman"/>
        <w:i/>
        <w:sz w:val="20"/>
        <w:szCs w:val="20"/>
        <w:lang w:val="en-GB"/>
      </w:rPr>
    </w:pPr>
    <w:r w:rsidRPr="00B864C2">
      <w:rPr>
        <w:rFonts w:ascii="Times New Roman" w:hAnsi="Times New Roman"/>
        <w:sz w:val="20"/>
        <w:szCs w:val="20"/>
      </w:rPr>
      <w:t xml:space="preserve">Fathullah et al:  </w:t>
    </w:r>
    <w:r>
      <w:rPr>
        <w:rFonts w:ascii="Times New Roman" w:hAnsi="Times New Roman"/>
        <w:sz w:val="20"/>
        <w:szCs w:val="20"/>
      </w:rPr>
      <w:tab/>
    </w:r>
    <w:r w:rsidRPr="00B864C2">
      <w:rPr>
        <w:rFonts w:ascii="Times New Roman" w:hAnsi="Times New Roman"/>
        <w:sz w:val="20"/>
        <w:szCs w:val="20"/>
        <w:lang w:val="en-GB"/>
      </w:rPr>
      <w:t xml:space="preserve">MACRO, MICRO, AND NON-ESSENTIAL ELEMENTS IN DIFFERENT PARTS OF </w:t>
    </w:r>
    <w:r w:rsidRPr="00B864C2">
      <w:rPr>
        <w:rFonts w:ascii="Times New Roman" w:hAnsi="Times New Roman"/>
        <w:i/>
        <w:sz w:val="20"/>
        <w:szCs w:val="20"/>
        <w:lang w:val="en-GB"/>
      </w:rPr>
      <w:t>Rhizophora apiculata</w:t>
    </w:r>
  </w:p>
  <w:p w:rsidR="00634753" w:rsidRPr="00B75BF6" w:rsidRDefault="00634753"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75D8"/>
    <w:multiLevelType w:val="hybridMultilevel"/>
    <w:tmpl w:val="5A10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D035A"/>
    <w:rsid w:val="001D3855"/>
    <w:rsid w:val="001D6F2C"/>
    <w:rsid w:val="00221D39"/>
    <w:rsid w:val="002B188F"/>
    <w:rsid w:val="002B3BD8"/>
    <w:rsid w:val="002B54C8"/>
    <w:rsid w:val="002F3F91"/>
    <w:rsid w:val="003030C6"/>
    <w:rsid w:val="00304767"/>
    <w:rsid w:val="00304B34"/>
    <w:rsid w:val="00312C0E"/>
    <w:rsid w:val="00361BAF"/>
    <w:rsid w:val="003629CB"/>
    <w:rsid w:val="00367D1F"/>
    <w:rsid w:val="00373A9B"/>
    <w:rsid w:val="00383F26"/>
    <w:rsid w:val="003D585B"/>
    <w:rsid w:val="003E7DA6"/>
    <w:rsid w:val="003F12FF"/>
    <w:rsid w:val="004760D4"/>
    <w:rsid w:val="00494C46"/>
    <w:rsid w:val="004B43FF"/>
    <w:rsid w:val="00502641"/>
    <w:rsid w:val="00534441"/>
    <w:rsid w:val="00536B76"/>
    <w:rsid w:val="00545363"/>
    <w:rsid w:val="00583C85"/>
    <w:rsid w:val="00584156"/>
    <w:rsid w:val="005C6768"/>
    <w:rsid w:val="00634753"/>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C78D5"/>
    <w:rsid w:val="008E1211"/>
    <w:rsid w:val="008E5BBF"/>
    <w:rsid w:val="008E6968"/>
    <w:rsid w:val="00901E61"/>
    <w:rsid w:val="00903DD2"/>
    <w:rsid w:val="009127D0"/>
    <w:rsid w:val="009C4440"/>
    <w:rsid w:val="00A14DB9"/>
    <w:rsid w:val="00A4762A"/>
    <w:rsid w:val="00A565C6"/>
    <w:rsid w:val="00A669EF"/>
    <w:rsid w:val="00A74A7E"/>
    <w:rsid w:val="00A87399"/>
    <w:rsid w:val="00AD1B8A"/>
    <w:rsid w:val="00AD76AF"/>
    <w:rsid w:val="00AE713F"/>
    <w:rsid w:val="00AF3AC1"/>
    <w:rsid w:val="00B1121C"/>
    <w:rsid w:val="00B25B65"/>
    <w:rsid w:val="00B2770A"/>
    <w:rsid w:val="00B314AD"/>
    <w:rsid w:val="00B75BF6"/>
    <w:rsid w:val="00B864C2"/>
    <w:rsid w:val="00BA1F7B"/>
    <w:rsid w:val="00BB58AF"/>
    <w:rsid w:val="00BD49B6"/>
    <w:rsid w:val="00BE7C30"/>
    <w:rsid w:val="00C055BF"/>
    <w:rsid w:val="00C0756D"/>
    <w:rsid w:val="00C2226A"/>
    <w:rsid w:val="00C94D92"/>
    <w:rsid w:val="00C97340"/>
    <w:rsid w:val="00CA513F"/>
    <w:rsid w:val="00CF05FF"/>
    <w:rsid w:val="00D30A02"/>
    <w:rsid w:val="00D340BB"/>
    <w:rsid w:val="00D505D5"/>
    <w:rsid w:val="00D63C28"/>
    <w:rsid w:val="00D75B35"/>
    <w:rsid w:val="00D76E09"/>
    <w:rsid w:val="00D81C59"/>
    <w:rsid w:val="00D9736F"/>
    <w:rsid w:val="00D9792A"/>
    <w:rsid w:val="00DD3171"/>
    <w:rsid w:val="00DD377F"/>
    <w:rsid w:val="00E25547"/>
    <w:rsid w:val="00E2773B"/>
    <w:rsid w:val="00E31A5C"/>
    <w:rsid w:val="00E3287E"/>
    <w:rsid w:val="00E66197"/>
    <w:rsid w:val="00EB5BA5"/>
    <w:rsid w:val="00EF4195"/>
    <w:rsid w:val="00EF493C"/>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LightShading1">
    <w:name w:val="Light Shading1"/>
    <w:basedOn w:val="TableNormal"/>
    <w:uiPriority w:val="60"/>
    <w:rsid w:val="00903DD2"/>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903DD2"/>
  </w:style>
  <w:style w:type="table" w:styleId="TableGrid">
    <w:name w:val="Table Grid"/>
    <w:basedOn w:val="TableNormal"/>
    <w:uiPriority w:val="39"/>
    <w:rsid w:val="00903D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3DD2"/>
    <w:pPr>
      <w:spacing w:before="100" w:beforeAutospacing="1" w:after="100" w:afterAutospacing="1" w:line="240" w:lineRule="auto"/>
    </w:pPr>
    <w:rPr>
      <w:rFonts w:ascii="Times New Roman" w:hAnsi="Times New Roman"/>
      <w:sz w:val="24"/>
      <w:szCs w:val="24"/>
      <w:lang w:bidi="ar-SA"/>
    </w:rPr>
  </w:style>
  <w:style w:type="character" w:styleId="PageNumber">
    <w:name w:val="page number"/>
    <w:basedOn w:val="DefaultParagraphFont"/>
    <w:uiPriority w:val="99"/>
    <w:semiHidden/>
    <w:unhideWhenUsed/>
    <w:rsid w:val="00903DD2"/>
  </w:style>
  <w:style w:type="character" w:styleId="CommentReference">
    <w:name w:val="annotation reference"/>
    <w:basedOn w:val="DefaultParagraphFont"/>
    <w:uiPriority w:val="99"/>
    <w:semiHidden/>
    <w:unhideWhenUsed/>
    <w:rsid w:val="00903DD2"/>
    <w:rPr>
      <w:sz w:val="16"/>
      <w:szCs w:val="16"/>
    </w:rPr>
  </w:style>
  <w:style w:type="paragraph" w:styleId="CommentText">
    <w:name w:val="annotation text"/>
    <w:basedOn w:val="Normal"/>
    <w:link w:val="CommentTextChar"/>
    <w:uiPriority w:val="99"/>
    <w:semiHidden/>
    <w:unhideWhenUsed/>
    <w:rsid w:val="00903DD2"/>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903DD2"/>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903DD2"/>
    <w:rPr>
      <w:b/>
      <w:bCs/>
    </w:rPr>
  </w:style>
  <w:style w:type="character" w:customStyle="1" w:styleId="CommentSubjectChar">
    <w:name w:val="Comment Subject Char"/>
    <w:basedOn w:val="CommentTextChar"/>
    <w:link w:val="CommentSubject"/>
    <w:uiPriority w:val="99"/>
    <w:semiHidden/>
    <w:rsid w:val="00903DD2"/>
    <w:rPr>
      <w:rFonts w:asciiTheme="minorHAnsi" w:eastAsiaTheme="minorEastAsia" w:hAnsiTheme="minorHAnsi" w:cstheme="minorBidi"/>
      <w:b/>
      <w:bCs/>
      <w:kern w:val="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LightShading1">
    <w:name w:val="Light Shading1"/>
    <w:basedOn w:val="TableNormal"/>
    <w:uiPriority w:val="60"/>
    <w:rsid w:val="00903DD2"/>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903DD2"/>
  </w:style>
  <w:style w:type="table" w:styleId="TableGrid">
    <w:name w:val="Table Grid"/>
    <w:basedOn w:val="TableNormal"/>
    <w:uiPriority w:val="39"/>
    <w:rsid w:val="00903D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3DD2"/>
    <w:pPr>
      <w:spacing w:before="100" w:beforeAutospacing="1" w:after="100" w:afterAutospacing="1" w:line="240" w:lineRule="auto"/>
    </w:pPr>
    <w:rPr>
      <w:rFonts w:ascii="Times New Roman" w:hAnsi="Times New Roman"/>
      <w:sz w:val="24"/>
      <w:szCs w:val="24"/>
      <w:lang w:bidi="ar-SA"/>
    </w:rPr>
  </w:style>
  <w:style w:type="character" w:styleId="PageNumber">
    <w:name w:val="page number"/>
    <w:basedOn w:val="DefaultParagraphFont"/>
    <w:uiPriority w:val="99"/>
    <w:semiHidden/>
    <w:unhideWhenUsed/>
    <w:rsid w:val="00903DD2"/>
  </w:style>
  <w:style w:type="character" w:styleId="CommentReference">
    <w:name w:val="annotation reference"/>
    <w:basedOn w:val="DefaultParagraphFont"/>
    <w:uiPriority w:val="99"/>
    <w:semiHidden/>
    <w:unhideWhenUsed/>
    <w:rsid w:val="00903DD2"/>
    <w:rPr>
      <w:sz w:val="16"/>
      <w:szCs w:val="16"/>
    </w:rPr>
  </w:style>
  <w:style w:type="paragraph" w:styleId="CommentText">
    <w:name w:val="annotation text"/>
    <w:basedOn w:val="Normal"/>
    <w:link w:val="CommentTextChar"/>
    <w:uiPriority w:val="99"/>
    <w:semiHidden/>
    <w:unhideWhenUsed/>
    <w:rsid w:val="00903DD2"/>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903DD2"/>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903DD2"/>
    <w:rPr>
      <w:b/>
      <w:bCs/>
    </w:rPr>
  </w:style>
  <w:style w:type="character" w:customStyle="1" w:styleId="CommentSubjectChar">
    <w:name w:val="Comment Subject Char"/>
    <w:basedOn w:val="CommentTextChar"/>
    <w:link w:val="CommentSubject"/>
    <w:uiPriority w:val="99"/>
    <w:semiHidden/>
    <w:rsid w:val="00903DD2"/>
    <w:rPr>
      <w:rFonts w:asciiTheme="minorHAnsi" w:eastAsiaTheme="minorEastAsia" w:hAnsiTheme="minorHAnsi" w:cstheme="minorBidi"/>
      <w:b/>
      <w:bCs/>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83EE-6368-4B38-9DF7-BDEE1939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4075</Words>
  <Characters>21927</Characters>
  <Application>Microsoft Office Word</Application>
  <DocSecurity>0</DocSecurity>
  <Lines>627</Lines>
  <Paragraphs>356</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25701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12</cp:revision>
  <cp:lastPrinted>2018-08-13T01:15:00Z</cp:lastPrinted>
  <dcterms:created xsi:type="dcterms:W3CDTF">2018-07-11T03:19:00Z</dcterms:created>
  <dcterms:modified xsi:type="dcterms:W3CDTF">2018-08-13T01:15:00Z</dcterms:modified>
</cp:coreProperties>
</file>