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C3DA1" w:rsidRPr="00A941F9" w:rsidRDefault="006C3DA1" w:rsidP="006C3DA1">
      <w:pPr>
        <w:spacing w:after="0" w:line="240" w:lineRule="auto"/>
        <w:jc w:val="center"/>
        <w:outlineLvl w:val="0"/>
        <w:rPr>
          <w:rFonts w:ascii="Times New Roman" w:hAnsi="Times New Roman"/>
          <w:sz w:val="28"/>
          <w:szCs w:val="28"/>
          <w:lang w:val="en-GB"/>
        </w:rPr>
      </w:pPr>
      <w:r w:rsidRPr="00A941F9">
        <w:rPr>
          <w:rFonts w:ascii="Times New Roman" w:hAnsi="Times New Roman"/>
          <w:sz w:val="28"/>
          <w:szCs w:val="28"/>
          <w:lang w:val="en-GB"/>
        </w:rPr>
        <w:t>EFFECT OF INCORPORATING PURPLE-FLESHED SWEET POTATO IN BISCUIT ON ANTIOXIDANT CONTENT, ANTIOXIDANT CAPACITY AND COLOUR CHARACTERISTICS</w:t>
      </w:r>
    </w:p>
    <w:p w:rsidR="006C3DA1" w:rsidRPr="00A941F9" w:rsidRDefault="006C3DA1" w:rsidP="006C3DA1">
      <w:pPr>
        <w:spacing w:after="0" w:line="240" w:lineRule="auto"/>
        <w:jc w:val="center"/>
        <w:outlineLvl w:val="0"/>
        <w:rPr>
          <w:rFonts w:ascii="Times New Roman" w:hAnsi="Times New Roman"/>
          <w:sz w:val="24"/>
        </w:rPr>
      </w:pPr>
    </w:p>
    <w:p w:rsidR="006C3DA1" w:rsidRPr="006C3DA1" w:rsidRDefault="006C3DA1" w:rsidP="006C3DA1">
      <w:pPr>
        <w:spacing w:after="0" w:line="240" w:lineRule="auto"/>
        <w:jc w:val="center"/>
        <w:outlineLvl w:val="0"/>
        <w:rPr>
          <w:rFonts w:ascii="Times New Roman" w:hAnsi="Times New Roman"/>
          <w:sz w:val="24"/>
          <w:szCs w:val="24"/>
          <w:lang w:val="ms-MY"/>
        </w:rPr>
      </w:pPr>
      <w:r w:rsidRPr="00A941F9">
        <w:rPr>
          <w:rFonts w:ascii="Times New Roman" w:hAnsi="Times New Roman"/>
          <w:sz w:val="24"/>
          <w:szCs w:val="24"/>
        </w:rPr>
        <w:t>(</w:t>
      </w:r>
      <w:r w:rsidRPr="00A941F9">
        <w:rPr>
          <w:rFonts w:ascii="Times New Roman" w:hAnsi="Times New Roman"/>
          <w:sz w:val="24"/>
          <w:szCs w:val="24"/>
          <w:lang w:val="ms-MY"/>
        </w:rPr>
        <w:t>Kesan Penambaha</w:t>
      </w:r>
      <w:r>
        <w:rPr>
          <w:rFonts w:ascii="Times New Roman" w:hAnsi="Times New Roman"/>
          <w:sz w:val="24"/>
          <w:szCs w:val="24"/>
          <w:lang w:val="ms-MY"/>
        </w:rPr>
        <w:t>n Keledek Ungu ke dalam Biskut T</w:t>
      </w:r>
      <w:r w:rsidRPr="00A941F9">
        <w:rPr>
          <w:rFonts w:ascii="Times New Roman" w:hAnsi="Times New Roman"/>
          <w:sz w:val="24"/>
          <w:szCs w:val="24"/>
          <w:lang w:val="ms-MY"/>
        </w:rPr>
        <w:t>erhadap</w:t>
      </w:r>
      <w:r>
        <w:rPr>
          <w:rFonts w:ascii="Times New Roman" w:hAnsi="Times New Roman"/>
          <w:sz w:val="24"/>
          <w:szCs w:val="24"/>
          <w:lang w:val="ms-MY"/>
        </w:rPr>
        <w:t xml:space="preserve"> </w:t>
      </w:r>
      <w:r w:rsidRPr="00A941F9">
        <w:rPr>
          <w:rFonts w:ascii="Times New Roman" w:hAnsi="Times New Roman"/>
          <w:sz w:val="24"/>
          <w:szCs w:val="24"/>
          <w:lang w:val="ms-MY"/>
        </w:rPr>
        <w:t>Kandungan An</w:t>
      </w:r>
      <w:r>
        <w:rPr>
          <w:rFonts w:ascii="Times New Roman" w:hAnsi="Times New Roman"/>
          <w:sz w:val="24"/>
          <w:szCs w:val="24"/>
          <w:lang w:val="ms-MY"/>
        </w:rPr>
        <w:t>tioksida, Kapasiti Antioksidan dan Ciri-C</w:t>
      </w:r>
      <w:r w:rsidRPr="00A941F9">
        <w:rPr>
          <w:rFonts w:ascii="Times New Roman" w:hAnsi="Times New Roman"/>
          <w:sz w:val="24"/>
          <w:szCs w:val="24"/>
          <w:lang w:val="ms-MY"/>
        </w:rPr>
        <w:t>iri Warna</w:t>
      </w:r>
      <w:r w:rsidRPr="00A941F9">
        <w:rPr>
          <w:rFonts w:ascii="Times New Roman" w:hAnsi="Times New Roman"/>
          <w:sz w:val="24"/>
          <w:szCs w:val="24"/>
        </w:rPr>
        <w:t>)</w:t>
      </w:r>
    </w:p>
    <w:p w:rsidR="006C3DA1" w:rsidRPr="006C3DA1" w:rsidRDefault="006C3DA1" w:rsidP="006C3DA1">
      <w:pPr>
        <w:spacing w:after="0" w:line="240" w:lineRule="auto"/>
        <w:jc w:val="center"/>
        <w:outlineLvl w:val="0"/>
        <w:rPr>
          <w:rFonts w:ascii="Times New Roman" w:hAnsi="Times New Roman"/>
          <w:sz w:val="20"/>
          <w:szCs w:val="20"/>
        </w:rPr>
      </w:pPr>
    </w:p>
    <w:p w:rsidR="006C3DA1" w:rsidRPr="006C3DA1" w:rsidRDefault="006C3DA1" w:rsidP="006C3DA1">
      <w:pPr>
        <w:spacing w:after="0" w:line="240" w:lineRule="auto"/>
        <w:jc w:val="center"/>
        <w:outlineLvl w:val="0"/>
        <w:rPr>
          <w:rFonts w:ascii="Times New Roman" w:hAnsi="Times New Roman"/>
          <w:sz w:val="20"/>
          <w:szCs w:val="20"/>
          <w:lang w:val="ms-MY"/>
        </w:rPr>
      </w:pPr>
      <w:r w:rsidRPr="006C3DA1">
        <w:rPr>
          <w:rFonts w:ascii="Times New Roman" w:hAnsi="Times New Roman"/>
          <w:sz w:val="20"/>
          <w:szCs w:val="20"/>
          <w:lang w:val="ms-MY"/>
        </w:rPr>
        <w:t>Azni A. Aziz</w:t>
      </w:r>
      <w:r w:rsidRPr="006C3DA1">
        <w:rPr>
          <w:rFonts w:ascii="Times New Roman" w:hAnsi="Times New Roman"/>
          <w:sz w:val="20"/>
          <w:szCs w:val="20"/>
          <w:vertAlign w:val="superscript"/>
          <w:lang w:val="ms-MY"/>
        </w:rPr>
        <w:t>1,3</w:t>
      </w:r>
      <w:r w:rsidRPr="006C3DA1">
        <w:rPr>
          <w:rFonts w:ascii="Times New Roman" w:hAnsi="Times New Roman"/>
          <w:sz w:val="20"/>
          <w:szCs w:val="20"/>
          <w:lang w:val="ms-MY"/>
        </w:rPr>
        <w:t>, Alyani Mohd Padzil</w:t>
      </w:r>
      <w:r w:rsidRPr="006C3DA1">
        <w:rPr>
          <w:rFonts w:ascii="Times New Roman" w:hAnsi="Times New Roman"/>
          <w:sz w:val="20"/>
          <w:szCs w:val="20"/>
          <w:vertAlign w:val="superscript"/>
          <w:lang w:val="ms-MY"/>
        </w:rPr>
        <w:t>1</w:t>
      </w:r>
      <w:r w:rsidRPr="006C3DA1">
        <w:rPr>
          <w:rFonts w:ascii="Times New Roman" w:hAnsi="Times New Roman"/>
          <w:sz w:val="20"/>
          <w:szCs w:val="20"/>
          <w:lang w:val="ms-MY"/>
        </w:rPr>
        <w:t>, Ida Idayu Muhamad</w:t>
      </w:r>
      <w:r w:rsidRPr="006C3DA1">
        <w:rPr>
          <w:rFonts w:ascii="Times New Roman" w:hAnsi="Times New Roman"/>
          <w:sz w:val="20"/>
          <w:szCs w:val="20"/>
          <w:vertAlign w:val="superscript"/>
          <w:lang w:val="ms-MY"/>
        </w:rPr>
        <w:t>1,2</w:t>
      </w:r>
      <w:r w:rsidR="00290565" w:rsidRPr="00290565">
        <w:rPr>
          <w:rFonts w:ascii="Times New Roman" w:hAnsi="Times New Roman"/>
          <w:sz w:val="20"/>
          <w:szCs w:val="20"/>
          <w:lang w:val="ms-MY"/>
        </w:rPr>
        <w:t>*</w:t>
      </w:r>
    </w:p>
    <w:p w:rsidR="006C3DA1" w:rsidRPr="00A941F9" w:rsidRDefault="006C3DA1" w:rsidP="006C3DA1">
      <w:pPr>
        <w:spacing w:after="0" w:line="240" w:lineRule="auto"/>
        <w:jc w:val="center"/>
        <w:outlineLvl w:val="0"/>
        <w:rPr>
          <w:rFonts w:ascii="Times New Roman" w:hAnsi="Times New Roman"/>
          <w:sz w:val="18"/>
          <w:szCs w:val="18"/>
        </w:rPr>
      </w:pPr>
    </w:p>
    <w:p w:rsidR="006C3DA1" w:rsidRPr="00290565" w:rsidRDefault="006C3DA1" w:rsidP="00611F83">
      <w:pPr>
        <w:autoSpaceDE w:val="0"/>
        <w:autoSpaceDN w:val="0"/>
        <w:adjustRightInd w:val="0"/>
        <w:spacing w:after="0" w:line="240" w:lineRule="auto"/>
        <w:jc w:val="center"/>
        <w:rPr>
          <w:rFonts w:ascii="Times New Roman" w:eastAsia="Calibri" w:hAnsi="Times New Roman"/>
          <w:i/>
          <w:sz w:val="18"/>
          <w:szCs w:val="18"/>
          <w:lang w:bidi="ar-SA"/>
        </w:rPr>
      </w:pPr>
      <w:r w:rsidRPr="00290565">
        <w:rPr>
          <w:rFonts w:ascii="Times New Roman" w:hAnsi="Times New Roman"/>
          <w:i/>
          <w:sz w:val="18"/>
          <w:szCs w:val="18"/>
          <w:vertAlign w:val="superscript"/>
          <w:lang w:val="ms-MY"/>
        </w:rPr>
        <w:t>1</w:t>
      </w:r>
      <w:r w:rsidRPr="00290565">
        <w:rPr>
          <w:rFonts w:ascii="Times New Roman" w:hAnsi="Times New Roman"/>
          <w:i/>
          <w:sz w:val="18"/>
          <w:szCs w:val="18"/>
          <w:lang w:val="ms-MY"/>
        </w:rPr>
        <w:t xml:space="preserve">Bioprocess and Polymer Engineering Department, </w:t>
      </w:r>
      <w:r w:rsidR="00290565" w:rsidRPr="00290565">
        <w:rPr>
          <w:rFonts w:ascii="Times New Roman" w:eastAsia="Calibri" w:hAnsi="Times New Roman"/>
          <w:i/>
          <w:color w:val="000000"/>
          <w:sz w:val="18"/>
          <w:szCs w:val="18"/>
          <w:lang w:bidi="ar-SA"/>
        </w:rPr>
        <w:t>School of Chemical and Energy Engineering, Faculty of Engineering</w:t>
      </w:r>
    </w:p>
    <w:p w:rsidR="00290565" w:rsidRDefault="006C3DA1" w:rsidP="00611F83">
      <w:pPr>
        <w:pStyle w:val="BCAuthorAddress"/>
        <w:spacing w:before="0" w:line="240" w:lineRule="auto"/>
        <w:ind w:left="0" w:right="-29"/>
        <w:rPr>
          <w:rFonts w:ascii="Times New Roman" w:eastAsia="Calibri" w:hAnsi="Times New Roman"/>
          <w:color w:val="000000"/>
          <w:szCs w:val="18"/>
        </w:rPr>
      </w:pPr>
      <w:r w:rsidRPr="00290565">
        <w:rPr>
          <w:rFonts w:ascii="Times New Roman" w:hAnsi="Times New Roman"/>
          <w:szCs w:val="18"/>
          <w:vertAlign w:val="superscript"/>
          <w:lang w:val="ms-MY"/>
        </w:rPr>
        <w:t>2</w:t>
      </w:r>
      <w:r w:rsidRPr="00290565">
        <w:rPr>
          <w:rFonts w:ascii="Times New Roman" w:hAnsi="Times New Roman"/>
          <w:szCs w:val="18"/>
          <w:lang w:val="ms-MY"/>
        </w:rPr>
        <w:t xml:space="preserve">Cardiac Biomaterials Cluster, </w:t>
      </w:r>
      <w:r w:rsidR="00290565" w:rsidRPr="00290565">
        <w:rPr>
          <w:rFonts w:ascii="Times New Roman" w:eastAsia="Calibri" w:hAnsi="Times New Roman"/>
          <w:color w:val="000000"/>
          <w:szCs w:val="18"/>
        </w:rPr>
        <w:t>IJN-UTM Cardiovascular Engineering Center, School of Biomedical Engineering</w:t>
      </w:r>
    </w:p>
    <w:p w:rsidR="00290565" w:rsidRDefault="00290565" w:rsidP="004A552F">
      <w:pPr>
        <w:pStyle w:val="BCAuthorAddress"/>
        <w:tabs>
          <w:tab w:val="left" w:pos="9331"/>
        </w:tabs>
        <w:spacing w:before="0" w:line="240" w:lineRule="auto"/>
        <w:ind w:left="0" w:right="-29"/>
        <w:rPr>
          <w:rFonts w:ascii="Times New Roman" w:hAnsi="Times New Roman"/>
          <w:szCs w:val="18"/>
          <w:lang w:val="ms-MY"/>
        </w:rPr>
      </w:pPr>
      <w:r w:rsidRPr="00290565">
        <w:rPr>
          <w:rFonts w:ascii="Times New Roman" w:eastAsia="Calibri" w:hAnsi="Times New Roman"/>
          <w:color w:val="000000"/>
          <w:szCs w:val="18"/>
        </w:rPr>
        <w:t xml:space="preserve"> and Health Sciences, Faculty of Engineering</w:t>
      </w:r>
    </w:p>
    <w:p w:rsidR="006C3DA1" w:rsidRPr="00A941F9" w:rsidRDefault="006C3DA1" w:rsidP="004A552F">
      <w:pPr>
        <w:pStyle w:val="BCAuthorAddress"/>
        <w:spacing w:before="0" w:line="240" w:lineRule="auto"/>
        <w:ind w:left="0" w:right="-29"/>
        <w:rPr>
          <w:rFonts w:ascii="Times New Roman" w:hAnsi="Times New Roman"/>
          <w:szCs w:val="18"/>
          <w:lang w:val="ms-MY"/>
        </w:rPr>
      </w:pPr>
      <w:r w:rsidRPr="00A941F9">
        <w:rPr>
          <w:rFonts w:ascii="Times New Roman" w:hAnsi="Times New Roman"/>
          <w:szCs w:val="18"/>
          <w:lang w:val="ms-MY"/>
        </w:rPr>
        <w:t>Universiti Teknologi Malaysia, 81310 Johor Bahru, Johor, Malaysia</w:t>
      </w:r>
    </w:p>
    <w:p w:rsidR="006C3DA1" w:rsidRDefault="006C3DA1" w:rsidP="004A552F">
      <w:pPr>
        <w:pStyle w:val="BCAuthorAddress"/>
        <w:spacing w:before="0" w:line="240" w:lineRule="auto"/>
        <w:ind w:left="0" w:right="-29"/>
        <w:rPr>
          <w:rFonts w:ascii="Times New Roman" w:hAnsi="Times New Roman"/>
          <w:szCs w:val="18"/>
          <w:lang w:val="ms-MY"/>
        </w:rPr>
      </w:pPr>
      <w:r w:rsidRPr="00A941F9">
        <w:rPr>
          <w:rFonts w:ascii="Times New Roman" w:hAnsi="Times New Roman"/>
          <w:szCs w:val="18"/>
          <w:vertAlign w:val="superscript"/>
          <w:lang w:val="ms-MY"/>
        </w:rPr>
        <w:t>3</w:t>
      </w:r>
      <w:r w:rsidR="00290565">
        <w:rPr>
          <w:rFonts w:ascii="Times New Roman" w:hAnsi="Times New Roman"/>
          <w:szCs w:val="18"/>
          <w:lang w:val="ms-MY"/>
        </w:rPr>
        <w:t xml:space="preserve">Technology and Natural Resources </w:t>
      </w:r>
      <w:r w:rsidRPr="00A941F9">
        <w:rPr>
          <w:rFonts w:ascii="Times New Roman" w:hAnsi="Times New Roman"/>
          <w:szCs w:val="18"/>
          <w:lang w:val="ms-MY"/>
        </w:rPr>
        <w:t xml:space="preserve">Department, Faculty of </w:t>
      </w:r>
      <w:r w:rsidR="00290565">
        <w:rPr>
          <w:rFonts w:ascii="Times New Roman" w:hAnsi="Times New Roman"/>
          <w:szCs w:val="18"/>
          <w:lang w:val="ms-MY"/>
        </w:rPr>
        <w:t xml:space="preserve">Applied </w:t>
      </w:r>
      <w:r w:rsidRPr="00A941F9">
        <w:rPr>
          <w:rFonts w:ascii="Times New Roman" w:hAnsi="Times New Roman"/>
          <w:szCs w:val="18"/>
          <w:lang w:val="ms-MY"/>
        </w:rPr>
        <w:t>Science</w:t>
      </w:r>
      <w:r w:rsidR="00290565">
        <w:rPr>
          <w:rFonts w:ascii="Times New Roman" w:hAnsi="Times New Roman"/>
          <w:szCs w:val="18"/>
          <w:lang w:val="ms-MY"/>
        </w:rPr>
        <w:t>s and</w:t>
      </w:r>
      <w:r w:rsidRPr="00A941F9">
        <w:rPr>
          <w:rFonts w:ascii="Times New Roman" w:hAnsi="Times New Roman"/>
          <w:szCs w:val="18"/>
          <w:lang w:val="ms-MY"/>
        </w:rPr>
        <w:t xml:space="preserve"> Te</w:t>
      </w:r>
      <w:r w:rsidR="00290565">
        <w:rPr>
          <w:rFonts w:ascii="Times New Roman" w:hAnsi="Times New Roman"/>
          <w:szCs w:val="18"/>
          <w:lang w:val="ms-MY"/>
        </w:rPr>
        <w:t>chnology,</w:t>
      </w:r>
    </w:p>
    <w:p w:rsidR="006C3DA1" w:rsidRPr="00A941F9" w:rsidRDefault="006C3DA1" w:rsidP="004A552F">
      <w:pPr>
        <w:pStyle w:val="BCAuthorAddress"/>
        <w:spacing w:before="0" w:line="240" w:lineRule="auto"/>
        <w:ind w:left="0" w:right="-29"/>
        <w:rPr>
          <w:rFonts w:ascii="Times New Roman" w:hAnsi="Times New Roman"/>
          <w:szCs w:val="18"/>
          <w:lang w:val="ms-MY"/>
        </w:rPr>
      </w:pPr>
      <w:r w:rsidRPr="00A941F9">
        <w:rPr>
          <w:rFonts w:ascii="Times New Roman" w:hAnsi="Times New Roman"/>
          <w:szCs w:val="18"/>
          <w:lang w:val="ms-MY"/>
        </w:rPr>
        <w:t>Universiti Tun Hussein Onn Malaysia, 86400 Batu Pahat, Johor, Malaysia</w:t>
      </w:r>
    </w:p>
    <w:p w:rsidR="006C3DA1" w:rsidRPr="00A941F9" w:rsidRDefault="006C3DA1" w:rsidP="006C3DA1">
      <w:pPr>
        <w:spacing w:after="0" w:line="240" w:lineRule="auto"/>
        <w:jc w:val="center"/>
        <w:outlineLvl w:val="0"/>
        <w:rPr>
          <w:rFonts w:ascii="Times New Roman" w:hAnsi="Times New Roman"/>
          <w:sz w:val="18"/>
          <w:szCs w:val="18"/>
        </w:rPr>
      </w:pPr>
    </w:p>
    <w:p w:rsidR="006C3DA1" w:rsidRPr="00290565" w:rsidRDefault="006C3DA1" w:rsidP="00290565">
      <w:pPr>
        <w:autoSpaceDE w:val="0"/>
        <w:autoSpaceDN w:val="0"/>
        <w:adjustRightInd w:val="0"/>
        <w:spacing w:after="0" w:line="240" w:lineRule="auto"/>
        <w:jc w:val="center"/>
        <w:rPr>
          <w:rFonts w:ascii="Times New Roman" w:eastAsia="Calibri" w:hAnsi="Times New Roman"/>
          <w:i/>
          <w:sz w:val="18"/>
          <w:szCs w:val="18"/>
          <w:lang w:bidi="ar-SA"/>
        </w:rPr>
      </w:pPr>
      <w:r w:rsidRPr="00290565">
        <w:rPr>
          <w:rFonts w:ascii="Times New Roman" w:hAnsi="Times New Roman"/>
          <w:i/>
          <w:iCs/>
          <w:sz w:val="18"/>
          <w:szCs w:val="18"/>
        </w:rPr>
        <w:t xml:space="preserve">*Corresponding author:  </w:t>
      </w:r>
      <w:r w:rsidR="00290565" w:rsidRPr="00290565">
        <w:rPr>
          <w:rFonts w:ascii="Times New Roman" w:eastAsia="Calibri" w:hAnsi="Times New Roman"/>
          <w:i/>
          <w:color w:val="000000"/>
          <w:sz w:val="18"/>
          <w:szCs w:val="18"/>
          <w:lang w:bidi="ar-SA"/>
        </w:rPr>
        <w:t>idaidayu@utm.my</w:t>
      </w:r>
    </w:p>
    <w:p w:rsidR="006768E9" w:rsidRPr="00F447A7" w:rsidRDefault="006768E9" w:rsidP="006C3DA1">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17EC7">
        <w:rPr>
          <w:rFonts w:ascii="Times New Roman" w:hAnsi="Times New Roman"/>
          <w:noProof/>
          <w:sz w:val="18"/>
          <w:szCs w:val="18"/>
          <w:lang w:bidi="ar-SA"/>
        </w:rPr>
        <w:t>16 April 2017</w:t>
      </w:r>
      <w:r>
        <w:rPr>
          <w:rFonts w:ascii="Times New Roman" w:hAnsi="Times New Roman"/>
          <w:noProof/>
          <w:sz w:val="18"/>
          <w:szCs w:val="18"/>
          <w:lang w:bidi="ar-SA"/>
        </w:rPr>
        <w:t xml:space="preserve">; Accepted: </w:t>
      </w:r>
      <w:r w:rsidR="00D17EC7">
        <w:rPr>
          <w:rFonts w:ascii="Times New Roman" w:hAnsi="Times New Roman"/>
          <w:noProof/>
          <w:sz w:val="18"/>
          <w:szCs w:val="18"/>
          <w:lang w:bidi="ar-SA"/>
        </w:rPr>
        <w:t>7 April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C3DA1" w:rsidRPr="00A941F9" w:rsidRDefault="006C3DA1" w:rsidP="006C3DA1">
      <w:pPr>
        <w:spacing w:after="0" w:line="240" w:lineRule="auto"/>
        <w:jc w:val="both"/>
        <w:outlineLvl w:val="0"/>
        <w:rPr>
          <w:rFonts w:ascii="Times New Roman" w:hAnsi="Times New Roman"/>
          <w:sz w:val="18"/>
          <w:szCs w:val="18"/>
          <w:lang w:val="en-GB"/>
        </w:rPr>
      </w:pPr>
      <w:r w:rsidRPr="00A941F9">
        <w:rPr>
          <w:rFonts w:ascii="Times New Roman" w:hAnsi="Times New Roman"/>
          <w:sz w:val="18"/>
          <w:szCs w:val="18"/>
          <w:lang w:val="en-GB"/>
        </w:rPr>
        <w:t>Purple flesh sweet potato (PFSP) is considered to be a nutritionally rich crop. It also contain abundant amount of anthocyanin pigment which possess disease preventive properties. This work aims to study the effect of incorporating different form of processed PFSP, namely fresh, flour, and paste in biscuit formulation. Analysis was performed on the total phenolic, total anthocyanin content, antioxidant capacity, and colour characteristics. The analyses were made on samples, before and after the incorporation of PFSP in the biscuit. PFSP flour was prepared by directly using hot air-drying at 65</w:t>
      </w:r>
      <w:r>
        <w:rPr>
          <w:rFonts w:ascii="Times New Roman" w:hAnsi="Times New Roman"/>
          <w:sz w:val="18"/>
          <w:szCs w:val="18"/>
          <w:lang w:val="en-GB"/>
        </w:rPr>
        <w:t xml:space="preserve"> </w:t>
      </w:r>
      <w:r w:rsidRPr="00A941F9">
        <w:rPr>
          <w:rFonts w:ascii="Times New Roman" w:hAnsi="Times New Roman"/>
          <w:sz w:val="18"/>
          <w:szCs w:val="18"/>
          <w:lang w:val="en-GB"/>
        </w:rPr>
        <w:t>ºC for 18 hours while PFSP paste was steamed for 30 minutes at 100</w:t>
      </w:r>
      <w:r>
        <w:rPr>
          <w:rFonts w:ascii="Times New Roman" w:hAnsi="Times New Roman"/>
          <w:sz w:val="18"/>
          <w:szCs w:val="18"/>
          <w:lang w:val="en-GB"/>
        </w:rPr>
        <w:t xml:space="preserve"> </w:t>
      </w:r>
      <w:r w:rsidRPr="00A941F9">
        <w:rPr>
          <w:rFonts w:ascii="Times New Roman" w:hAnsi="Times New Roman"/>
          <w:sz w:val="18"/>
          <w:szCs w:val="18"/>
          <w:lang w:val="en-GB"/>
        </w:rPr>
        <w:t>ºC. The PFSP fresh contained total anthocyanin</w:t>
      </w:r>
      <w:r w:rsidR="00290565">
        <w:rPr>
          <w:rFonts w:ascii="Times New Roman" w:hAnsi="Times New Roman"/>
          <w:sz w:val="18"/>
          <w:szCs w:val="18"/>
          <w:lang w:val="en-GB"/>
        </w:rPr>
        <w:t xml:space="preserve"> content at 21.40 mg CyE/100 g f</w:t>
      </w:r>
      <w:r w:rsidRPr="00A941F9">
        <w:rPr>
          <w:rFonts w:ascii="Times New Roman" w:hAnsi="Times New Roman"/>
          <w:sz w:val="18"/>
          <w:szCs w:val="18"/>
          <w:lang w:val="en-GB"/>
        </w:rPr>
        <w:t>w, and the content increased when processed into the form of flour and paste appro</w:t>
      </w:r>
      <w:r w:rsidR="00290565">
        <w:rPr>
          <w:rFonts w:ascii="Times New Roman" w:hAnsi="Times New Roman"/>
          <w:sz w:val="18"/>
          <w:szCs w:val="18"/>
          <w:lang w:val="en-GB"/>
        </w:rPr>
        <w:t>ximately at 38.90 mg CyE/100 g fw and 52.48 mg CyE/100 g f</w:t>
      </w:r>
      <w:r w:rsidRPr="00A941F9">
        <w:rPr>
          <w:rFonts w:ascii="Times New Roman" w:hAnsi="Times New Roman"/>
          <w:sz w:val="18"/>
          <w:szCs w:val="18"/>
          <w:lang w:val="en-GB"/>
        </w:rPr>
        <w:t xml:space="preserve">w, respectively. All forms of processed PFSP enhanced the purple colour when incorporated into the biscuit formulation. The experimental results showed that biscuit added with PFSP lost 15–36% of antioxidant capacity. Based on these findings, all forms of PFSP can be a natural colourant, a potential functional food ingredient, and can become a superior source for the production of foods with health benefits.  </w:t>
      </w:r>
    </w:p>
    <w:p w:rsidR="006C3DA1" w:rsidRPr="00A941F9" w:rsidRDefault="006C3DA1" w:rsidP="006C3DA1">
      <w:pPr>
        <w:spacing w:after="0" w:line="240" w:lineRule="auto"/>
        <w:jc w:val="both"/>
        <w:outlineLvl w:val="0"/>
        <w:rPr>
          <w:rFonts w:ascii="Times New Roman" w:hAnsi="Times New Roman"/>
          <w:sz w:val="18"/>
          <w:szCs w:val="18"/>
          <w:lang w:val="en-GB"/>
        </w:rPr>
      </w:pPr>
    </w:p>
    <w:p w:rsidR="006C3DA1" w:rsidRPr="00A941F9" w:rsidRDefault="006C3DA1" w:rsidP="006C3DA1">
      <w:pPr>
        <w:spacing w:after="0" w:line="240" w:lineRule="auto"/>
        <w:jc w:val="both"/>
        <w:outlineLvl w:val="0"/>
        <w:rPr>
          <w:rFonts w:ascii="Times New Roman" w:hAnsi="Times New Roman"/>
          <w:b/>
          <w:bCs/>
          <w:sz w:val="18"/>
          <w:szCs w:val="18"/>
        </w:rPr>
      </w:pPr>
      <w:r w:rsidRPr="00A941F9">
        <w:rPr>
          <w:rFonts w:ascii="Times New Roman" w:hAnsi="Times New Roman"/>
          <w:b/>
          <w:bCs/>
          <w:sz w:val="18"/>
          <w:szCs w:val="18"/>
        </w:rPr>
        <w:t>Keywords</w:t>
      </w:r>
      <w:r w:rsidRPr="00A941F9">
        <w:rPr>
          <w:rFonts w:ascii="Times New Roman" w:hAnsi="Times New Roman"/>
          <w:sz w:val="18"/>
          <w:szCs w:val="18"/>
        </w:rPr>
        <w:t xml:space="preserve">: </w:t>
      </w:r>
      <w:r>
        <w:rPr>
          <w:rFonts w:ascii="Times New Roman" w:hAnsi="Times New Roman"/>
          <w:sz w:val="18"/>
          <w:szCs w:val="18"/>
        </w:rPr>
        <w:t xml:space="preserve"> </w:t>
      </w:r>
      <w:r w:rsidRPr="00A941F9">
        <w:rPr>
          <w:rFonts w:ascii="Times New Roman" w:hAnsi="Times New Roman"/>
          <w:sz w:val="18"/>
          <w:szCs w:val="18"/>
          <w:lang w:val="en-GB"/>
        </w:rPr>
        <w:t xml:space="preserve">purple-fleshed sweet potato, biscuit, phenolic, anthocyanin, antioxidant capacity, colour </w:t>
      </w:r>
    </w:p>
    <w:p w:rsidR="006C3DA1" w:rsidRPr="00A941F9" w:rsidRDefault="006C3DA1" w:rsidP="006C3DA1">
      <w:pPr>
        <w:spacing w:after="0" w:line="240" w:lineRule="auto"/>
        <w:jc w:val="center"/>
        <w:outlineLvl w:val="0"/>
        <w:rPr>
          <w:rFonts w:ascii="Times New Roman" w:hAnsi="Times New Roman"/>
          <w:sz w:val="18"/>
          <w:szCs w:val="18"/>
        </w:rPr>
      </w:pPr>
    </w:p>
    <w:p w:rsidR="006C3DA1" w:rsidRPr="00A941F9" w:rsidRDefault="006C3DA1" w:rsidP="006C3DA1">
      <w:pPr>
        <w:spacing w:after="0" w:line="240" w:lineRule="auto"/>
        <w:jc w:val="center"/>
        <w:outlineLvl w:val="0"/>
        <w:rPr>
          <w:rFonts w:ascii="Times New Roman" w:hAnsi="Times New Roman"/>
          <w:b/>
          <w:bCs/>
          <w:sz w:val="18"/>
          <w:szCs w:val="18"/>
          <w:lang w:val="ms-MY"/>
        </w:rPr>
      </w:pPr>
      <w:r w:rsidRPr="00A941F9">
        <w:rPr>
          <w:rFonts w:ascii="Times New Roman" w:hAnsi="Times New Roman"/>
          <w:b/>
          <w:bCs/>
          <w:sz w:val="18"/>
          <w:szCs w:val="18"/>
          <w:lang w:val="ms-MY"/>
        </w:rPr>
        <w:t>Abstrak</w:t>
      </w:r>
    </w:p>
    <w:p w:rsidR="006C3DA1" w:rsidRPr="00A941F9" w:rsidRDefault="006C3DA1" w:rsidP="006C3DA1">
      <w:pPr>
        <w:spacing w:after="0" w:line="240" w:lineRule="auto"/>
        <w:jc w:val="both"/>
        <w:outlineLvl w:val="0"/>
        <w:rPr>
          <w:rFonts w:ascii="Times New Roman" w:hAnsi="Times New Roman"/>
          <w:sz w:val="18"/>
          <w:szCs w:val="18"/>
          <w:lang w:val="ms-MY"/>
        </w:rPr>
      </w:pPr>
      <w:r w:rsidRPr="00A941F9">
        <w:rPr>
          <w:rFonts w:ascii="Times New Roman" w:hAnsi="Times New Roman"/>
          <w:sz w:val="18"/>
          <w:szCs w:val="18"/>
          <w:lang w:val="ms-MY"/>
        </w:rPr>
        <w:t>Keledek ungu (PFSP) dianggap sebagai tanaman kaya khasiat. Ia juga mengandungi sejumlah besar pigmen antosianin yang mempunyai sifat pencegah penyakit. Kajian ini bertujuan untuk mengkaji kesan penambahan PFSP yang diproses dalam beberapa bentuk berbeza iaitu mentah, tepung, dan pes ke dalam formulasi biskut. Analisis dilakukan terhadap jumlah fenolik, jumlah kandungan antosianin, kapasiti antioksidan, dan ciri-ciri warna. Analisis kajian dijalankan terhadap sampel, sebelum dan selepas PFSP dimasukkan ke dalam biskut. Tepung PFSP disediakan dengan menggunakan pengeringan udara panas pada suhu 65</w:t>
      </w:r>
      <w:r>
        <w:rPr>
          <w:rFonts w:ascii="Times New Roman" w:hAnsi="Times New Roman"/>
          <w:sz w:val="18"/>
          <w:szCs w:val="18"/>
          <w:lang w:val="ms-MY"/>
        </w:rPr>
        <w:t xml:space="preserve"> </w:t>
      </w:r>
      <w:r w:rsidRPr="00A941F9">
        <w:rPr>
          <w:rFonts w:ascii="Times New Roman" w:hAnsi="Times New Roman"/>
          <w:sz w:val="18"/>
          <w:szCs w:val="18"/>
          <w:lang w:val="ms-MY"/>
        </w:rPr>
        <w:t>ºC selama 18 jam manakala pes PFSP dikukus selama 30 minit pada suhu 100</w:t>
      </w:r>
      <w:r>
        <w:rPr>
          <w:rFonts w:ascii="Times New Roman" w:hAnsi="Times New Roman"/>
          <w:sz w:val="18"/>
          <w:szCs w:val="18"/>
          <w:lang w:val="ms-MY"/>
        </w:rPr>
        <w:t xml:space="preserve"> </w:t>
      </w:r>
      <w:r w:rsidRPr="00A941F9">
        <w:rPr>
          <w:rFonts w:ascii="Times New Roman" w:hAnsi="Times New Roman"/>
          <w:sz w:val="18"/>
          <w:szCs w:val="18"/>
          <w:lang w:val="ms-MY"/>
        </w:rPr>
        <w:t>ºC. PFSP mentah mengandungi jumlah kandungan antosian</w:t>
      </w:r>
      <w:r w:rsidR="00290565">
        <w:rPr>
          <w:rFonts w:ascii="Times New Roman" w:hAnsi="Times New Roman"/>
          <w:sz w:val="18"/>
          <w:szCs w:val="18"/>
          <w:lang w:val="ms-MY"/>
        </w:rPr>
        <w:t>in sebanyak 21.40 mg CyE/100 g f</w:t>
      </w:r>
      <w:r w:rsidRPr="00A941F9">
        <w:rPr>
          <w:rFonts w:ascii="Times New Roman" w:hAnsi="Times New Roman"/>
          <w:sz w:val="18"/>
          <w:szCs w:val="18"/>
          <w:lang w:val="ms-MY"/>
        </w:rPr>
        <w:t>w, dan kandungannya meningkat apabila diproses ke dalam bentuk tepung dan pes iaitu masing-masing sebanyak 38.90 mg CyE</w:t>
      </w:r>
      <w:r w:rsidR="00290565">
        <w:rPr>
          <w:rFonts w:ascii="Times New Roman" w:hAnsi="Times New Roman"/>
          <w:sz w:val="18"/>
          <w:szCs w:val="18"/>
          <w:lang w:val="ms-MY"/>
        </w:rPr>
        <w:t>/100g fw dan 52.48 mg CyE/100g f</w:t>
      </w:r>
      <w:r w:rsidRPr="00A941F9">
        <w:rPr>
          <w:rFonts w:ascii="Times New Roman" w:hAnsi="Times New Roman"/>
          <w:sz w:val="18"/>
          <w:szCs w:val="18"/>
          <w:lang w:val="ms-MY"/>
        </w:rPr>
        <w:t xml:space="preserve">w. Kesemua bentuk PFSP yang diproses meningkatkan warna ungu apabila dimasukkan ke dalam formulasi biskut. Keputusan eksperimen menunjukkan biskut yang ditambah PFSP hilang kapasiti antioksidan sebanyak 15–36%. Berdasarkan dapatan ini, semua bentuk PFSP dapat menjadi </w:t>
      </w:r>
      <w:r w:rsidRPr="00A941F9">
        <w:rPr>
          <w:rFonts w:ascii="Times New Roman" w:hAnsi="Times New Roman"/>
          <w:sz w:val="18"/>
          <w:szCs w:val="18"/>
          <w:lang w:val="ms-MY"/>
        </w:rPr>
        <w:lastRenderedPageBreak/>
        <w:t>pewarna semula jadi, berpotensi sebagai bahan makanan berfungsi, dan boleh menjadi sumber penting untuk pengeluaran makanan dengan manfaat kesihatan.</w:t>
      </w:r>
    </w:p>
    <w:p w:rsidR="006C3DA1" w:rsidRPr="00A941F9" w:rsidRDefault="006C3DA1" w:rsidP="006C3DA1">
      <w:pPr>
        <w:spacing w:after="0" w:line="240" w:lineRule="auto"/>
        <w:jc w:val="both"/>
        <w:outlineLvl w:val="0"/>
        <w:rPr>
          <w:rFonts w:ascii="Times New Roman" w:hAnsi="Times New Roman"/>
          <w:sz w:val="18"/>
          <w:szCs w:val="18"/>
          <w:lang w:val="ms-MY"/>
        </w:rPr>
      </w:pPr>
    </w:p>
    <w:p w:rsidR="006768E9" w:rsidRDefault="006C3DA1" w:rsidP="006C3DA1">
      <w:pPr>
        <w:spacing w:after="0" w:line="240" w:lineRule="auto"/>
        <w:jc w:val="both"/>
        <w:rPr>
          <w:rFonts w:ascii="Times New Roman" w:hAnsi="Times New Roman"/>
          <w:noProof/>
          <w:sz w:val="20"/>
          <w:szCs w:val="20"/>
          <w:lang w:bidi="ar-SA"/>
        </w:rPr>
      </w:pPr>
      <w:r w:rsidRPr="00A941F9">
        <w:rPr>
          <w:rFonts w:ascii="Times New Roman" w:hAnsi="Times New Roman"/>
          <w:b/>
          <w:bCs/>
          <w:sz w:val="18"/>
          <w:szCs w:val="18"/>
          <w:lang w:val="ms-MY"/>
        </w:rPr>
        <w:t xml:space="preserve">Kata kunci: </w:t>
      </w:r>
      <w:r>
        <w:rPr>
          <w:rFonts w:ascii="Times New Roman" w:hAnsi="Times New Roman"/>
          <w:b/>
          <w:bCs/>
          <w:sz w:val="18"/>
          <w:szCs w:val="18"/>
          <w:lang w:val="ms-MY"/>
        </w:rPr>
        <w:t xml:space="preserve"> </w:t>
      </w:r>
      <w:r w:rsidRPr="00A941F9">
        <w:rPr>
          <w:rFonts w:ascii="Times New Roman" w:hAnsi="Times New Roman"/>
          <w:sz w:val="18"/>
          <w:szCs w:val="18"/>
          <w:lang w:val="ms-MY"/>
        </w:rPr>
        <w:t>keledek ungu, biskut, fenolik, antosianin, kapasiti antioksidan, warna</w:t>
      </w:r>
    </w:p>
    <w:p w:rsidR="00494C46" w:rsidRDefault="00494C46" w:rsidP="00F447A7">
      <w:pPr>
        <w:spacing w:after="0" w:line="240" w:lineRule="auto"/>
        <w:jc w:val="center"/>
        <w:rPr>
          <w:rFonts w:ascii="Times New Roman" w:hAnsi="Times New Roman"/>
          <w:noProof/>
          <w:sz w:val="20"/>
          <w:szCs w:val="20"/>
          <w:lang w:bidi="ar-SA"/>
        </w:rPr>
      </w:pPr>
    </w:p>
    <w:p w:rsidR="006C3DA1" w:rsidRPr="00BE7C30" w:rsidRDefault="006C3DA1"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GB"/>
        </w:rPr>
        <w:t xml:space="preserve">In recent years, interest on functional food or ingredients are increasing due to the rise in health conscious among consumers. </w:t>
      </w:r>
      <w:r w:rsidRPr="006C3DA1">
        <w:rPr>
          <w:rFonts w:ascii="Times New Roman" w:hAnsi="Times New Roman"/>
          <w:sz w:val="20"/>
          <w:szCs w:val="20"/>
          <w:lang w:val="en-MY"/>
        </w:rPr>
        <w:t xml:space="preserve">Sweet potatoes are rich in vitamins B1, B2, C, and E; minerals such as calcium, magnesium, potassium and zinc; dietary fibre, and non-fibrous carbohydrates. There are many varieties of sweet potato available in the market. </w:t>
      </w:r>
      <w:r w:rsidRPr="006C3DA1">
        <w:rPr>
          <w:rFonts w:ascii="Times New Roman" w:hAnsi="Times New Roman"/>
          <w:sz w:val="20"/>
          <w:szCs w:val="20"/>
          <w:lang w:val="en-GB"/>
        </w:rPr>
        <w:t xml:space="preserve">Sweet potato could be utilized in products to improve the colour, flavour, and nutrients content. </w:t>
      </w:r>
      <w:r w:rsidRPr="006C3DA1">
        <w:rPr>
          <w:rFonts w:ascii="Times New Roman" w:hAnsi="Times New Roman"/>
          <w:sz w:val="20"/>
          <w:szCs w:val="20"/>
          <w:lang w:val="en-MY"/>
        </w:rPr>
        <w:t xml:space="preserve">In particular, anthocyanin can be found in abundant inside the purple-fleshed sweet potato varieties compared to other coloured-fleshed ones. The sweet potato roots exhibit the purple colour due to the build-up of anthocyanin as pigments. The sensory profiling for the purple sweet potatoes are characterized as fibrous visually and have chalky, dense, firm texture. The taste is characterised as of white baked potato flavour and vanilla aroma </w:t>
      </w:r>
      <w:r w:rsidRPr="006C3DA1">
        <w:rPr>
          <w:rFonts w:ascii="Times New Roman" w:hAnsi="Times New Roman"/>
          <w:noProof/>
          <w:sz w:val="20"/>
          <w:szCs w:val="20"/>
          <w:lang w:val="en-MY"/>
        </w:rPr>
        <w:t>[1]</w:t>
      </w:r>
      <w:r w:rsidRPr="006C3DA1">
        <w:rPr>
          <w:rFonts w:ascii="Times New Roman" w:hAnsi="Times New Roman"/>
          <w:sz w:val="20"/>
          <w:szCs w:val="20"/>
          <w:lang w:val="en-MY"/>
        </w:rPr>
        <w:t xml:space="preserve">. </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sz w:val="20"/>
          <w:szCs w:val="20"/>
          <w:lang w:val="en-GB"/>
        </w:rPr>
      </w:pPr>
      <w:r w:rsidRPr="006C3DA1">
        <w:rPr>
          <w:rFonts w:ascii="Times New Roman" w:hAnsi="Times New Roman"/>
          <w:sz w:val="20"/>
          <w:szCs w:val="20"/>
          <w:lang w:val="en-MY"/>
        </w:rPr>
        <w:t xml:space="preserve">Previous research findings by Kim et al. </w:t>
      </w:r>
      <w:r w:rsidRPr="006C3DA1">
        <w:rPr>
          <w:rFonts w:ascii="Times New Roman" w:hAnsi="Times New Roman"/>
          <w:noProof/>
          <w:sz w:val="20"/>
          <w:szCs w:val="20"/>
          <w:lang w:val="en-MY"/>
        </w:rPr>
        <w:t>[2]</w:t>
      </w:r>
      <w:r w:rsidRPr="006C3DA1">
        <w:rPr>
          <w:rFonts w:ascii="Times New Roman" w:hAnsi="Times New Roman"/>
          <w:sz w:val="20"/>
          <w:szCs w:val="20"/>
          <w:lang w:val="en-MY"/>
        </w:rPr>
        <w:t xml:space="preserve"> and Teow et al. </w:t>
      </w:r>
      <w:r w:rsidRPr="006C3DA1">
        <w:rPr>
          <w:rFonts w:ascii="Times New Roman" w:hAnsi="Times New Roman"/>
          <w:noProof/>
          <w:sz w:val="20"/>
          <w:szCs w:val="20"/>
          <w:lang w:val="en-MY"/>
        </w:rPr>
        <w:t>[3]</w:t>
      </w:r>
      <w:r w:rsidRPr="006C3DA1">
        <w:rPr>
          <w:rFonts w:ascii="Times New Roman" w:hAnsi="Times New Roman"/>
          <w:sz w:val="20"/>
          <w:szCs w:val="20"/>
          <w:lang w:val="en-MY"/>
        </w:rPr>
        <w:t xml:space="preserve"> indicated that purple-fleshed sweet potato has higher antioxidant activities compared to other coloured-fleshed sweet potato. This is caused by the presence of anthocyanins and phenolic compounds in the storage roots. </w:t>
      </w:r>
      <w:r w:rsidRPr="006C3DA1">
        <w:rPr>
          <w:rFonts w:ascii="Times New Roman" w:hAnsi="Times New Roman"/>
          <w:sz w:val="20"/>
          <w:szCs w:val="20"/>
          <w:lang w:val="en-GB"/>
        </w:rPr>
        <w:t xml:space="preserve">The anthocyanin is found to exhibit medical advantages, including reducing coronary illness and stroke, cancer-causing agent activity, anti-inflammatory effects, enhanced visual sharpness, and enhanced cognitive conduct </w:t>
      </w:r>
      <w:r w:rsidRPr="006C3DA1">
        <w:rPr>
          <w:rFonts w:ascii="Times New Roman" w:hAnsi="Times New Roman"/>
          <w:noProof/>
          <w:sz w:val="20"/>
          <w:szCs w:val="20"/>
          <w:lang w:val="en-GB"/>
        </w:rPr>
        <w:t>[4, 5]</w:t>
      </w:r>
      <w:r w:rsidRPr="006C3DA1">
        <w:rPr>
          <w:rFonts w:ascii="Times New Roman" w:hAnsi="Times New Roman"/>
          <w:sz w:val="20"/>
          <w:szCs w:val="20"/>
          <w:lang w:val="en-GB"/>
        </w:rPr>
        <w:t xml:space="preserve">. However, sweet potato is highly perishable and difficult to store. Thus, sweet potato can be processed into flour </w:t>
      </w:r>
      <w:r w:rsidRPr="006C3DA1">
        <w:rPr>
          <w:rFonts w:ascii="Times New Roman" w:hAnsi="Times New Roman"/>
          <w:noProof/>
          <w:sz w:val="20"/>
          <w:szCs w:val="20"/>
          <w:lang w:val="en-GB"/>
        </w:rPr>
        <w:t>[6–8]</w:t>
      </w:r>
      <w:r w:rsidRPr="006C3DA1">
        <w:rPr>
          <w:rFonts w:ascii="Times New Roman" w:hAnsi="Times New Roman"/>
          <w:sz w:val="20"/>
          <w:szCs w:val="20"/>
          <w:lang w:val="en-GB"/>
        </w:rPr>
        <w:t xml:space="preserve"> and paste or puree </w:t>
      </w:r>
      <w:r w:rsidRPr="006C3DA1">
        <w:rPr>
          <w:rFonts w:ascii="Times New Roman" w:hAnsi="Times New Roman"/>
          <w:noProof/>
          <w:sz w:val="20"/>
          <w:szCs w:val="20"/>
          <w:lang w:val="en-GB"/>
        </w:rPr>
        <w:t>[9–11]</w:t>
      </w:r>
      <w:r w:rsidRPr="006C3DA1">
        <w:rPr>
          <w:rFonts w:ascii="Times New Roman" w:hAnsi="Times New Roman"/>
          <w:sz w:val="20"/>
          <w:szCs w:val="20"/>
          <w:lang w:val="en-GB"/>
        </w:rPr>
        <w:t>, which could be incorporated into different appealing products for consumers, such as</w:t>
      </w:r>
      <w:r w:rsidRPr="006C3DA1">
        <w:rPr>
          <w:rFonts w:ascii="Times New Roman" w:hAnsi="Times New Roman"/>
          <w:sz w:val="20"/>
          <w:szCs w:val="20"/>
          <w:lang w:val="en-MY"/>
        </w:rPr>
        <w:t xml:space="preserve"> snacks, pasta, pancake, bread, and cookies. </w:t>
      </w:r>
    </w:p>
    <w:p w:rsidR="006C3DA1" w:rsidRPr="006C3DA1" w:rsidRDefault="006C3DA1" w:rsidP="006C3DA1">
      <w:pPr>
        <w:tabs>
          <w:tab w:val="left" w:pos="6056"/>
        </w:tabs>
        <w:spacing w:after="0" w:line="240" w:lineRule="auto"/>
        <w:jc w:val="both"/>
        <w:outlineLvl w:val="0"/>
        <w:rPr>
          <w:rFonts w:ascii="Times New Roman" w:hAnsi="Times New Roman"/>
          <w:sz w:val="20"/>
          <w:szCs w:val="20"/>
          <w:lang w:val="en-GB"/>
        </w:rPr>
      </w:pPr>
    </w:p>
    <w:p w:rsidR="006C3DA1" w:rsidRPr="006C3DA1" w:rsidRDefault="006C3DA1" w:rsidP="006C3DA1">
      <w:pPr>
        <w:tabs>
          <w:tab w:val="left" w:pos="3544"/>
        </w:tabs>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 xml:space="preserve">Food can act as a vehicle to deliver bioactive and micronutrients at a suitable level. This is evidenced in a study by Chan et al. </w:t>
      </w:r>
      <w:r w:rsidRPr="006C3DA1">
        <w:rPr>
          <w:rFonts w:ascii="Times New Roman" w:hAnsi="Times New Roman"/>
          <w:noProof/>
          <w:sz w:val="20"/>
          <w:szCs w:val="20"/>
          <w:lang w:val="en-MY"/>
        </w:rPr>
        <w:t>[12]</w:t>
      </w:r>
      <w:r w:rsidRPr="006C3DA1">
        <w:rPr>
          <w:rFonts w:ascii="Times New Roman" w:hAnsi="Times New Roman"/>
          <w:sz w:val="20"/>
          <w:szCs w:val="20"/>
          <w:lang w:val="en-MY"/>
        </w:rPr>
        <w:t xml:space="preserve"> which demonstrated an increment extraction yield, total phenolic substance, total flavonoid substance, and antioxidant capacity, showing that sweet potato flour bioactive compound could be stable in the gastrointestinal tract as their active component may be held and enhanced in the food. However, in creating a functional bakery product, it is essential to understand that a quality functional food not only to include the functional ingredients, but it must also meet consumers’ necessities such as appearance, taste, and composition </w:t>
      </w:r>
      <w:r w:rsidRPr="006C3DA1">
        <w:rPr>
          <w:rFonts w:ascii="Times New Roman" w:hAnsi="Times New Roman"/>
          <w:noProof/>
          <w:sz w:val="20"/>
          <w:szCs w:val="20"/>
          <w:lang w:val="en-MY"/>
        </w:rPr>
        <w:t>[13]</w:t>
      </w:r>
      <w:r w:rsidRPr="006C3DA1">
        <w:rPr>
          <w:rFonts w:ascii="Times New Roman" w:hAnsi="Times New Roman"/>
          <w:sz w:val="20"/>
          <w:szCs w:val="20"/>
          <w:lang w:val="en-GB"/>
        </w:rPr>
        <w:t>.</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sz w:val="20"/>
          <w:szCs w:val="20"/>
          <w:lang w:val="en-GB"/>
        </w:rPr>
      </w:pPr>
      <w:r w:rsidRPr="006C3DA1">
        <w:rPr>
          <w:rFonts w:ascii="Times New Roman" w:hAnsi="Times New Roman"/>
          <w:sz w:val="20"/>
          <w:szCs w:val="20"/>
          <w:lang w:val="en-GB"/>
        </w:rPr>
        <w:t xml:space="preserve">The main objectives of this study are (a) to determine the total phenolic, anthocyanin content, and antioxidant capacity of different PFSP forms, namely fresh, flour, and paste; (b) to compare the antioxidant content and capacity, before and after addition in biscuit formulation; and (c) to measure the colour characteristic of different PFSP forms and in biscuit, which will provide valuable information in utilizing PFSP in other formulated product. </w:t>
      </w:r>
    </w:p>
    <w:p w:rsidR="006C3DA1" w:rsidRPr="006C3DA1" w:rsidRDefault="006C3DA1" w:rsidP="006C3DA1">
      <w:pPr>
        <w:spacing w:after="0" w:line="240" w:lineRule="auto"/>
        <w:jc w:val="center"/>
        <w:outlineLvl w:val="0"/>
        <w:rPr>
          <w:rFonts w:ascii="Times New Roman" w:hAnsi="Times New Roman"/>
          <w:sz w:val="20"/>
          <w:szCs w:val="20"/>
        </w:rPr>
      </w:pPr>
    </w:p>
    <w:p w:rsidR="006C3DA1" w:rsidRPr="006C3DA1" w:rsidRDefault="006C3DA1" w:rsidP="006C3DA1">
      <w:pPr>
        <w:spacing w:after="0" w:line="240" w:lineRule="auto"/>
        <w:jc w:val="center"/>
        <w:outlineLvl w:val="0"/>
        <w:rPr>
          <w:rFonts w:ascii="Times New Roman" w:hAnsi="Times New Roman"/>
          <w:b/>
          <w:bCs/>
          <w:sz w:val="20"/>
          <w:szCs w:val="20"/>
        </w:rPr>
      </w:pPr>
      <w:r w:rsidRPr="006C3DA1">
        <w:rPr>
          <w:rFonts w:ascii="Times New Roman" w:hAnsi="Times New Roman"/>
          <w:b/>
          <w:bCs/>
          <w:sz w:val="20"/>
          <w:szCs w:val="20"/>
        </w:rPr>
        <w:t>Materials and Methods</w:t>
      </w:r>
    </w:p>
    <w:p w:rsidR="006C3DA1" w:rsidRPr="006C3DA1" w:rsidRDefault="006C3DA1" w:rsidP="006C3DA1">
      <w:pPr>
        <w:spacing w:after="0" w:line="240" w:lineRule="auto"/>
        <w:jc w:val="both"/>
        <w:outlineLvl w:val="0"/>
        <w:rPr>
          <w:rFonts w:ascii="Times New Roman" w:hAnsi="Times New Roman"/>
          <w:b/>
          <w:bCs/>
          <w:sz w:val="20"/>
          <w:szCs w:val="20"/>
        </w:rPr>
      </w:pPr>
      <w:r w:rsidRPr="006C3DA1">
        <w:rPr>
          <w:rFonts w:ascii="Times New Roman" w:hAnsi="Times New Roman"/>
          <w:b/>
          <w:bCs/>
          <w:sz w:val="20"/>
          <w:szCs w:val="20"/>
        </w:rPr>
        <w:t>Materials</w:t>
      </w:r>
    </w:p>
    <w:p w:rsidR="006C3DA1" w:rsidRPr="006C3DA1" w:rsidRDefault="006C3DA1" w:rsidP="006C3DA1">
      <w:pPr>
        <w:spacing w:after="0" w:line="240" w:lineRule="auto"/>
        <w:jc w:val="both"/>
        <w:outlineLvl w:val="0"/>
        <w:rPr>
          <w:rFonts w:ascii="Times New Roman" w:hAnsi="Times New Roman"/>
          <w:sz w:val="20"/>
          <w:szCs w:val="20"/>
          <w:lang w:val="en-GB"/>
        </w:rPr>
      </w:pPr>
      <w:r w:rsidRPr="006C3DA1">
        <w:rPr>
          <w:rFonts w:ascii="Times New Roman" w:hAnsi="Times New Roman"/>
          <w:sz w:val="20"/>
          <w:szCs w:val="20"/>
          <w:lang w:val="en-GB"/>
        </w:rPr>
        <w:t xml:space="preserve">The chemicals used in this study were of analytical grade, which includes acetone, chloroform, hydrochloric acid, </w:t>
      </w:r>
      <w:r w:rsidRPr="006C3DA1">
        <w:rPr>
          <w:rFonts w:ascii="Times New Roman" w:hAnsi="Times New Roman"/>
          <w:sz w:val="20"/>
          <w:szCs w:val="20"/>
          <w:lang w:val="en-MY"/>
        </w:rPr>
        <w:t xml:space="preserve">Folin-Ciocalteu reagent, </w:t>
      </w:r>
      <w:r w:rsidRPr="006C3DA1">
        <w:rPr>
          <w:rFonts w:ascii="Times New Roman" w:hAnsi="Times New Roman"/>
          <w:sz w:val="20"/>
          <w:szCs w:val="20"/>
          <w:lang w:val="en-GB"/>
        </w:rPr>
        <w:t>gallic acid</w:t>
      </w:r>
      <w:r w:rsidRPr="006C3DA1">
        <w:rPr>
          <w:rFonts w:ascii="Times New Roman" w:hAnsi="Times New Roman"/>
          <w:sz w:val="20"/>
          <w:szCs w:val="20"/>
          <w:lang w:val="en-MY"/>
        </w:rPr>
        <w:t xml:space="preserve">, sodium carbonate, </w:t>
      </w:r>
      <w:r w:rsidRPr="006C3DA1">
        <w:rPr>
          <w:rFonts w:ascii="Times New Roman" w:hAnsi="Times New Roman"/>
          <w:sz w:val="20"/>
          <w:szCs w:val="20"/>
          <w:lang w:val="en-GB"/>
        </w:rPr>
        <w:t>potassium chloride, sodium acetate, glacial acetic acid, methanol, 2,4,6-tri[2-pyridyl]-s-triazine (TPTZ), ferric chloride (FeCl</w:t>
      </w:r>
      <w:r w:rsidRPr="006C3DA1">
        <w:rPr>
          <w:rFonts w:ascii="Times New Roman" w:hAnsi="Times New Roman"/>
          <w:sz w:val="20"/>
          <w:szCs w:val="20"/>
          <w:vertAlign w:val="subscript"/>
          <w:lang w:val="en-GB"/>
        </w:rPr>
        <w:t>3.</w:t>
      </w:r>
      <w:r w:rsidRPr="006C3DA1">
        <w:rPr>
          <w:rFonts w:ascii="Times New Roman" w:hAnsi="Times New Roman"/>
          <w:sz w:val="20"/>
          <w:szCs w:val="20"/>
          <w:lang w:val="en-GB"/>
        </w:rPr>
        <w:t>6H</w:t>
      </w:r>
      <w:r w:rsidRPr="006C3DA1">
        <w:rPr>
          <w:rFonts w:ascii="Times New Roman" w:hAnsi="Times New Roman"/>
          <w:sz w:val="20"/>
          <w:szCs w:val="20"/>
          <w:vertAlign w:val="subscript"/>
          <w:lang w:val="en-GB"/>
        </w:rPr>
        <w:t>2</w:t>
      </w:r>
      <w:r w:rsidRPr="006C3DA1">
        <w:rPr>
          <w:rFonts w:ascii="Times New Roman" w:hAnsi="Times New Roman"/>
          <w:sz w:val="20"/>
          <w:szCs w:val="20"/>
          <w:lang w:val="en-GB"/>
        </w:rPr>
        <w:t>O), ferrous sulphate (FeSO</w:t>
      </w:r>
      <w:r w:rsidRPr="006C3DA1">
        <w:rPr>
          <w:rFonts w:ascii="Times New Roman" w:hAnsi="Times New Roman"/>
          <w:sz w:val="20"/>
          <w:szCs w:val="20"/>
          <w:vertAlign w:val="subscript"/>
          <w:lang w:val="en-GB"/>
        </w:rPr>
        <w:t>4</w:t>
      </w:r>
      <w:r w:rsidRPr="006C3DA1">
        <w:rPr>
          <w:rFonts w:ascii="Times New Roman" w:hAnsi="Times New Roman"/>
          <w:sz w:val="20"/>
          <w:szCs w:val="20"/>
          <w:lang w:val="en-GB"/>
        </w:rPr>
        <w:t>.7H</w:t>
      </w:r>
      <w:r w:rsidRPr="006C3DA1">
        <w:rPr>
          <w:rFonts w:ascii="Times New Roman" w:hAnsi="Times New Roman"/>
          <w:sz w:val="20"/>
          <w:szCs w:val="20"/>
          <w:vertAlign w:val="subscript"/>
          <w:lang w:val="en-GB"/>
        </w:rPr>
        <w:t>2</w:t>
      </w:r>
      <w:r w:rsidRPr="006C3DA1">
        <w:rPr>
          <w:rFonts w:ascii="Times New Roman" w:hAnsi="Times New Roman"/>
          <w:sz w:val="20"/>
          <w:szCs w:val="20"/>
          <w:lang w:val="en-GB"/>
        </w:rPr>
        <w:t xml:space="preserve">O), and 1,1-diphenyl-2-picrylhydrazyl (DPPH). The purple-fleshed sweet potato were purchased at a local market in Johor Bahru, Malaysia. Commercially available ingredients for biscuit formulation: wheat flour, butter, sugar, salt, and skim milk powder were purchased from a bakery shop in Johor Bahru.  </w:t>
      </w:r>
    </w:p>
    <w:p w:rsidR="006C3DA1" w:rsidRPr="006C3DA1" w:rsidRDefault="006C3DA1" w:rsidP="006C3DA1">
      <w:pPr>
        <w:spacing w:after="0" w:line="240" w:lineRule="auto"/>
        <w:jc w:val="both"/>
        <w:outlineLvl w:val="0"/>
        <w:rPr>
          <w:rFonts w:ascii="Times New Roman" w:hAnsi="Times New Roman"/>
          <w:sz w:val="20"/>
          <w:szCs w:val="20"/>
          <w:lang w:val="en-GB"/>
        </w:rPr>
      </w:pPr>
    </w:p>
    <w:p w:rsidR="006C3DA1" w:rsidRPr="006C3DA1" w:rsidRDefault="006C3DA1" w:rsidP="006C3DA1">
      <w:pPr>
        <w:spacing w:after="0" w:line="240" w:lineRule="auto"/>
        <w:jc w:val="both"/>
        <w:outlineLvl w:val="0"/>
        <w:rPr>
          <w:rFonts w:ascii="Times New Roman" w:hAnsi="Times New Roman"/>
          <w:b/>
          <w:bCs/>
          <w:sz w:val="20"/>
          <w:szCs w:val="20"/>
          <w:lang w:val="en-GB"/>
        </w:rPr>
      </w:pPr>
      <w:r w:rsidRPr="006C3DA1">
        <w:rPr>
          <w:rFonts w:ascii="Times New Roman" w:hAnsi="Times New Roman"/>
          <w:b/>
          <w:bCs/>
          <w:sz w:val="20"/>
          <w:szCs w:val="20"/>
          <w:lang w:val="en-GB"/>
        </w:rPr>
        <w:t xml:space="preserve">Preparation of fresh, flour, and paste from purple-fleshed sweet potato </w:t>
      </w:r>
    </w:p>
    <w:p w:rsidR="006C3DA1" w:rsidRPr="006C3DA1" w:rsidRDefault="006C3DA1" w:rsidP="006C3DA1">
      <w:pPr>
        <w:spacing w:after="0" w:line="240" w:lineRule="auto"/>
        <w:jc w:val="both"/>
        <w:outlineLvl w:val="0"/>
        <w:rPr>
          <w:rFonts w:ascii="Times New Roman" w:hAnsi="Times New Roman"/>
          <w:sz w:val="20"/>
          <w:szCs w:val="20"/>
          <w:lang w:val="en-GB"/>
        </w:rPr>
      </w:pPr>
      <w:r w:rsidRPr="006C3DA1">
        <w:rPr>
          <w:rFonts w:ascii="Times New Roman" w:hAnsi="Times New Roman"/>
          <w:sz w:val="20"/>
          <w:szCs w:val="20"/>
          <w:lang w:val="en-GB"/>
        </w:rPr>
        <w:t xml:space="preserve">The three forms of PFSP were prepared by manually washing, peeling, and cutting into thin slices of 2 mm thick. PFSP fresh slices were further shredded into small pieces. PFSP flour was processed by directly using hot air-drying at 65 °C for 18 hours, </w:t>
      </w:r>
      <w:r w:rsidRPr="006C3DA1">
        <w:rPr>
          <w:rFonts w:ascii="Times New Roman" w:hAnsi="Times New Roman"/>
          <w:sz w:val="20"/>
          <w:szCs w:val="20"/>
          <w:lang w:val="en-MY"/>
        </w:rPr>
        <w:t xml:space="preserve">finely ground using a commercial blender (Philips, Malaysia), and sieved through an 80-mesh (Retsch, Germany) screen to obtain uniform-size. The flours were then packed in polypropylene bags and stored at 5-10 °C until further use. Meanwhile, </w:t>
      </w:r>
      <w:r w:rsidRPr="006C3DA1">
        <w:rPr>
          <w:rFonts w:ascii="Times New Roman" w:hAnsi="Times New Roman"/>
          <w:sz w:val="20"/>
          <w:szCs w:val="20"/>
          <w:lang w:val="en-GB"/>
        </w:rPr>
        <w:t>PFSP paste was made by steaming for 30 minutes at 100 °C, cooled, and mashed into paste.</w:t>
      </w:r>
    </w:p>
    <w:p w:rsidR="006C3DA1" w:rsidRDefault="006C3DA1" w:rsidP="006C3DA1">
      <w:pPr>
        <w:spacing w:after="0" w:line="240" w:lineRule="auto"/>
        <w:jc w:val="both"/>
        <w:outlineLvl w:val="0"/>
        <w:rPr>
          <w:rFonts w:ascii="Times New Roman" w:hAnsi="Times New Roman"/>
          <w:sz w:val="20"/>
          <w:szCs w:val="20"/>
          <w:lang w:val="en-GB"/>
        </w:rPr>
      </w:pPr>
    </w:p>
    <w:p w:rsidR="006C3DA1" w:rsidRPr="006C3DA1" w:rsidRDefault="006C3DA1" w:rsidP="006C3DA1">
      <w:pPr>
        <w:spacing w:after="0" w:line="240" w:lineRule="auto"/>
        <w:jc w:val="both"/>
        <w:outlineLvl w:val="0"/>
        <w:rPr>
          <w:rFonts w:ascii="Times New Roman" w:hAnsi="Times New Roman"/>
          <w:sz w:val="20"/>
          <w:szCs w:val="20"/>
          <w:lang w:val="en-GB"/>
        </w:rPr>
      </w:pPr>
    </w:p>
    <w:p w:rsidR="006C3DA1" w:rsidRPr="006C3DA1" w:rsidRDefault="006C3DA1" w:rsidP="006C3DA1">
      <w:pPr>
        <w:spacing w:after="0" w:line="240" w:lineRule="auto"/>
        <w:jc w:val="both"/>
        <w:outlineLvl w:val="0"/>
        <w:rPr>
          <w:rFonts w:ascii="Times New Roman" w:hAnsi="Times New Roman"/>
          <w:b/>
          <w:bCs/>
          <w:sz w:val="20"/>
          <w:szCs w:val="20"/>
          <w:lang w:val="en-GB"/>
        </w:rPr>
      </w:pPr>
      <w:r w:rsidRPr="006C3DA1">
        <w:rPr>
          <w:rFonts w:ascii="Times New Roman" w:hAnsi="Times New Roman"/>
          <w:b/>
          <w:bCs/>
          <w:sz w:val="20"/>
          <w:szCs w:val="20"/>
          <w:lang w:val="en-GB"/>
        </w:rPr>
        <w:lastRenderedPageBreak/>
        <w:t>Biscuit formulation</w:t>
      </w: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GB"/>
        </w:rPr>
        <w:t>200 g wheat flour, 84 g sugar, 80 g butter, 2.5 g salt, and 2 g skim milk powder were used as the biscuit formulation. PFSP was incorporated at 30% flour weight basis. The butter and sugar was creamed, then salt, skim milk powder and water was added. Finally, the PFSP and wheat flour were mixed until uniform. The dough was rolled out at 5 mm thick and pressed using a 5 mm round cutter. The biscuit were then baked at 160 °C for 20 minutes in an electric oven (OT52R, Khind, Malaysia), cooled, and stored in a zip lock bag for further analysis. The analysis was performed on both conditions, before and after incorporation of PFSP in biscuit.</w:t>
      </w:r>
    </w:p>
    <w:p w:rsidR="006C3DA1" w:rsidRPr="006C3DA1" w:rsidRDefault="006C3DA1" w:rsidP="006C3DA1">
      <w:pPr>
        <w:spacing w:after="0" w:line="240" w:lineRule="auto"/>
        <w:jc w:val="both"/>
        <w:outlineLvl w:val="0"/>
        <w:rPr>
          <w:rFonts w:ascii="Times New Roman" w:hAnsi="Times New Roman"/>
          <w:sz w:val="20"/>
          <w:szCs w:val="20"/>
          <w:lang w:val="en-GB"/>
        </w:rPr>
      </w:pPr>
    </w:p>
    <w:p w:rsidR="006C3DA1" w:rsidRPr="006C3DA1" w:rsidRDefault="006C3DA1" w:rsidP="006C3DA1">
      <w:pPr>
        <w:spacing w:after="0" w:line="240" w:lineRule="auto"/>
        <w:jc w:val="both"/>
        <w:outlineLvl w:val="0"/>
        <w:rPr>
          <w:rFonts w:ascii="Times New Roman" w:hAnsi="Times New Roman"/>
          <w:b/>
          <w:bCs/>
          <w:sz w:val="20"/>
          <w:szCs w:val="20"/>
          <w:lang w:val="en-GB"/>
        </w:rPr>
      </w:pPr>
      <w:r w:rsidRPr="006C3DA1">
        <w:rPr>
          <w:rFonts w:ascii="Times New Roman" w:hAnsi="Times New Roman"/>
          <w:b/>
          <w:bCs/>
          <w:sz w:val="20"/>
          <w:szCs w:val="20"/>
          <w:lang w:val="en-GB"/>
        </w:rPr>
        <w:t>Extraction</w:t>
      </w:r>
    </w:p>
    <w:p w:rsidR="006C3DA1" w:rsidRPr="00E600CD" w:rsidRDefault="006C3DA1" w:rsidP="00E600CD">
      <w:pPr>
        <w:autoSpaceDE w:val="0"/>
        <w:autoSpaceDN w:val="0"/>
        <w:adjustRightInd w:val="0"/>
        <w:spacing w:after="0" w:line="240" w:lineRule="auto"/>
        <w:jc w:val="both"/>
        <w:rPr>
          <w:rFonts w:ascii="Times New Roman" w:eastAsia="Calibri" w:hAnsi="Times New Roman"/>
          <w:sz w:val="20"/>
          <w:szCs w:val="20"/>
          <w:lang w:bidi="ar-SA"/>
        </w:rPr>
      </w:pPr>
      <w:r w:rsidRPr="00E600CD">
        <w:rPr>
          <w:rFonts w:ascii="Times New Roman" w:hAnsi="Times New Roman"/>
          <w:sz w:val="20"/>
          <w:szCs w:val="20"/>
          <w:lang w:val="en-MY"/>
        </w:rPr>
        <w:t xml:space="preserve">Extraction of samples was performed </w:t>
      </w:r>
      <w:r w:rsidR="00E600CD" w:rsidRPr="00E600CD">
        <w:rPr>
          <w:rFonts w:ascii="Times New Roman" w:hAnsi="Times New Roman"/>
          <w:sz w:val="20"/>
          <w:szCs w:val="20"/>
          <w:lang w:val="en-GB"/>
        </w:rPr>
        <w:t xml:space="preserve">as described </w:t>
      </w:r>
      <w:r w:rsidR="00E600CD" w:rsidRPr="00E600CD">
        <w:rPr>
          <w:rFonts w:ascii="Times New Roman" w:eastAsia="Calibri" w:hAnsi="Times New Roman"/>
          <w:color w:val="000000"/>
          <w:sz w:val="20"/>
          <w:szCs w:val="20"/>
          <w:lang w:bidi="ar-SA"/>
        </w:rPr>
        <w:t>by Rodriguez</w:t>
      </w:r>
      <w:r w:rsidR="00E600CD" w:rsidRPr="00E600CD">
        <w:rPr>
          <w:rFonts w:ascii="Cambria Math" w:eastAsia="Calibri" w:hAnsi="Cambria Math" w:cs="Cambria Math"/>
          <w:color w:val="000000"/>
          <w:sz w:val="20"/>
          <w:szCs w:val="20"/>
          <w:lang w:bidi="ar-SA"/>
        </w:rPr>
        <w:t>‐</w:t>
      </w:r>
      <w:r w:rsidR="00E600CD" w:rsidRPr="00E600CD">
        <w:rPr>
          <w:rFonts w:ascii="Times New Roman" w:eastAsia="Calibri" w:hAnsi="Times New Roman"/>
          <w:color w:val="000000"/>
          <w:sz w:val="20"/>
          <w:szCs w:val="20"/>
          <w:lang w:bidi="ar-SA"/>
        </w:rPr>
        <w:t>Saona and Wrolstad</w:t>
      </w:r>
      <w:r w:rsidRPr="00E600CD">
        <w:rPr>
          <w:rFonts w:ascii="Times New Roman" w:hAnsi="Times New Roman"/>
          <w:sz w:val="20"/>
          <w:szCs w:val="20"/>
          <w:lang w:val="en-GB"/>
        </w:rPr>
        <w:t xml:space="preserve"> </w:t>
      </w:r>
      <w:r w:rsidRPr="00E600CD">
        <w:rPr>
          <w:rFonts w:ascii="Times New Roman" w:hAnsi="Times New Roman"/>
          <w:noProof/>
          <w:sz w:val="20"/>
          <w:szCs w:val="20"/>
          <w:lang w:val="en-MY"/>
        </w:rPr>
        <w:t>[14]</w:t>
      </w:r>
      <w:r w:rsidRPr="00E600CD">
        <w:rPr>
          <w:rFonts w:ascii="Times New Roman" w:hAnsi="Times New Roman"/>
          <w:sz w:val="20"/>
          <w:szCs w:val="20"/>
          <w:lang w:val="en-MY"/>
        </w:rPr>
        <w:t xml:space="preserve">. The samples were freeze-dried (Alpha 1-2LD Plus, Martin Christ, Germany) at –50 °C for 12 hours. An amount of 50 g of the freeze-dried sample were weighed into a conical flask and mixed with 70% aqueous acetone 1:2 (w/v) by stirring for 15 minutes. The extract (filtrate) was obtained by filtering through Whatman No. 1 filter paper. The procedure was repeated thrice until a faintly coloured solution was attained. The filtrate was then transferred into a separating funnel and chloroform 1:2 (v/v) was added and gently mix until there is a clear partition between the two phases. The upper portion was then transferred into a rotary evaporator at 40 °C to remove the solvent residue and made up to 100 mL with acidified distilled water. The extraction was poured in a sample bottle and kept at 4 °C until further use. Duplicate extractions were made for each sample. </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b/>
          <w:bCs/>
          <w:sz w:val="20"/>
          <w:szCs w:val="20"/>
          <w:lang w:val="en-MY"/>
        </w:rPr>
      </w:pPr>
      <w:r w:rsidRPr="006C3DA1">
        <w:rPr>
          <w:rFonts w:ascii="Times New Roman" w:hAnsi="Times New Roman"/>
          <w:b/>
          <w:bCs/>
          <w:sz w:val="20"/>
          <w:szCs w:val="20"/>
          <w:lang w:val="en-MY"/>
        </w:rPr>
        <w:t>Total phenolic content</w:t>
      </w: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 xml:space="preserve">Total phenolic content was measured by Folin-Ciocalteu method </w:t>
      </w:r>
      <w:r w:rsidRPr="006C3DA1">
        <w:rPr>
          <w:rFonts w:ascii="Times New Roman" w:hAnsi="Times New Roman"/>
          <w:noProof/>
          <w:sz w:val="20"/>
          <w:szCs w:val="20"/>
          <w:lang w:val="en-MY"/>
        </w:rPr>
        <w:t>[15]</w:t>
      </w:r>
      <w:r w:rsidRPr="006C3DA1">
        <w:rPr>
          <w:rFonts w:ascii="Times New Roman" w:hAnsi="Times New Roman"/>
          <w:sz w:val="20"/>
          <w:szCs w:val="20"/>
          <w:lang w:val="en-MY"/>
        </w:rPr>
        <w:t>. Briefly, 20 µL of the sample extract was respectively mixed with 1.58 mL water, followed by 100 µL Folin-Ciocalteu reagent in a 1 cm, 2 mL plastic cuvette and incubated for 5 minutes. Then, 300 µL sodium carbonate solution was added, mixed, and incubated for 2 hours at room temperature. The sample was observed at 765 nm using a UV- Spectrophotometer (Jenway 7305 Spectrophotometer, USA). Gallic acid was used as a standard and the results was expressed as milligram of galli</w:t>
      </w:r>
      <w:r w:rsidR="007871C1">
        <w:rPr>
          <w:rFonts w:ascii="Times New Roman" w:hAnsi="Times New Roman"/>
          <w:sz w:val="20"/>
          <w:szCs w:val="20"/>
          <w:lang w:val="en-MY"/>
        </w:rPr>
        <w:t>c acid equivalent (mg GAE/100g f</w:t>
      </w:r>
      <w:r w:rsidRPr="006C3DA1">
        <w:rPr>
          <w:rFonts w:ascii="Times New Roman" w:hAnsi="Times New Roman"/>
          <w:sz w:val="20"/>
          <w:szCs w:val="20"/>
          <w:lang w:val="en-MY"/>
        </w:rPr>
        <w:t>w).</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b/>
          <w:bCs/>
          <w:sz w:val="20"/>
          <w:szCs w:val="20"/>
          <w:lang w:val="en-MY"/>
        </w:rPr>
      </w:pPr>
      <w:r w:rsidRPr="006C3DA1">
        <w:rPr>
          <w:rFonts w:ascii="Times New Roman" w:hAnsi="Times New Roman"/>
          <w:b/>
          <w:bCs/>
          <w:sz w:val="20"/>
          <w:szCs w:val="20"/>
          <w:lang w:val="en-MY"/>
        </w:rPr>
        <w:t>Total monomeric anthocyanin content</w:t>
      </w: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GB"/>
        </w:rPr>
        <w:t xml:space="preserve">Total monomeric anthocyanin content was determined by using pH differential method </w:t>
      </w:r>
      <w:r w:rsidRPr="006C3DA1">
        <w:rPr>
          <w:rFonts w:ascii="Times New Roman" w:hAnsi="Times New Roman"/>
          <w:noProof/>
          <w:sz w:val="20"/>
          <w:szCs w:val="20"/>
          <w:lang w:val="en-GB"/>
        </w:rPr>
        <w:t>[16]</w:t>
      </w:r>
      <w:r w:rsidRPr="006C3DA1">
        <w:rPr>
          <w:rFonts w:ascii="Times New Roman" w:hAnsi="Times New Roman"/>
          <w:sz w:val="20"/>
          <w:szCs w:val="20"/>
          <w:lang w:val="en-GB"/>
        </w:rPr>
        <w:t xml:space="preserve">. </w:t>
      </w:r>
      <w:r w:rsidRPr="006C3DA1">
        <w:rPr>
          <w:rFonts w:ascii="Times New Roman" w:hAnsi="Times New Roman"/>
          <w:sz w:val="20"/>
          <w:szCs w:val="20"/>
          <w:lang w:val="en-MY"/>
        </w:rPr>
        <w:t xml:space="preserve">Two 0.3 mL sample extracts were prepared for dilution. One was added with 2.7 mL </w:t>
      </w:r>
      <w:r w:rsidRPr="006C3DA1">
        <w:rPr>
          <w:rFonts w:ascii="Times New Roman" w:hAnsi="Times New Roman"/>
          <w:sz w:val="20"/>
          <w:szCs w:val="20"/>
          <w:lang w:val="en-GB"/>
        </w:rPr>
        <w:t>potassium chloride buffer, pH 1.0 and another one was added with 2.7 mL sodium acetate buffer, pH 4.5</w:t>
      </w:r>
      <w:r w:rsidRPr="006C3DA1">
        <w:rPr>
          <w:rFonts w:ascii="Times New Roman" w:hAnsi="Times New Roman"/>
          <w:sz w:val="20"/>
          <w:szCs w:val="20"/>
          <w:lang w:val="en-MY"/>
        </w:rPr>
        <w:t xml:space="preserve">. The sample was left to equilibrate for 15 minutes before using a UV-Spectrophotometer (Jenway 7305 Spectrophotometer, USA) to read the absorbance at 510 nm and 700 nm. Difference in absorbance between pH values and wavelengths were calculated using the following equation 1: </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sz w:val="20"/>
          <w:szCs w:val="20"/>
          <w:lang w:val="en-MY"/>
        </w:rPr>
      </w:pPr>
      <m:oMath>
        <m:r>
          <w:rPr>
            <w:rFonts w:ascii="Cambria Math" w:hAnsi="Cambria Math"/>
            <w:sz w:val="20"/>
            <w:szCs w:val="20"/>
            <w:lang w:val="en-MY"/>
          </w:rPr>
          <m:t xml:space="preserve">                   </m:t>
        </m:r>
        <m:r>
          <m:rPr>
            <m:sty m:val="p"/>
          </m:rPr>
          <w:rPr>
            <w:rFonts w:ascii="Cambria Math" w:hAnsi="Cambria Math"/>
            <w:sz w:val="20"/>
            <w:szCs w:val="20"/>
            <w:lang w:val="en-MY"/>
          </w:rPr>
          <m:t>A=</m:t>
        </m:r>
        <m:d>
          <m:dPr>
            <m:ctrlPr>
              <w:rPr>
                <w:rFonts w:ascii="Cambria Math" w:hAnsi="Cambria Math"/>
                <w:sz w:val="20"/>
                <w:szCs w:val="20"/>
                <w:lang w:val="en-MY"/>
              </w:rPr>
            </m:ctrlPr>
          </m:dPr>
          <m:e>
            <m:sSub>
              <m:sSubPr>
                <m:ctrlPr>
                  <w:rPr>
                    <w:rFonts w:ascii="Cambria Math" w:hAnsi="Cambria Math"/>
                    <w:sz w:val="20"/>
                    <w:szCs w:val="20"/>
                    <w:lang w:val="en-MY"/>
                  </w:rPr>
                </m:ctrlPr>
              </m:sSubPr>
              <m:e>
                <m:r>
                  <m:rPr>
                    <m:sty m:val="p"/>
                  </m:rPr>
                  <w:rPr>
                    <w:rFonts w:ascii="Cambria Math" w:hAnsi="Cambria Math"/>
                    <w:sz w:val="20"/>
                    <w:szCs w:val="20"/>
                    <w:lang w:val="en-MY"/>
                  </w:rPr>
                  <m:t>A</m:t>
                </m:r>
              </m:e>
              <m:sub>
                <m:r>
                  <m:rPr>
                    <m:sty m:val="p"/>
                  </m:rPr>
                  <w:rPr>
                    <w:rFonts w:ascii="Cambria Math" w:hAnsi="Cambria Math"/>
                    <w:sz w:val="20"/>
                    <w:szCs w:val="20"/>
                    <w:lang w:val="en-MY"/>
                  </w:rPr>
                  <m:t>510nm</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A</m:t>
                </m:r>
              </m:e>
              <m:sub>
                <m:r>
                  <m:rPr>
                    <m:sty m:val="p"/>
                  </m:rPr>
                  <w:rPr>
                    <w:rFonts w:ascii="Cambria Math" w:hAnsi="Cambria Math"/>
                    <w:sz w:val="20"/>
                    <w:szCs w:val="20"/>
                    <w:lang w:val="en-MY"/>
                  </w:rPr>
                  <m:t>700nm</m:t>
                </m:r>
              </m:sub>
            </m:sSub>
          </m:e>
        </m:d>
        <m:sSub>
          <m:sSubPr>
            <m:ctrlPr>
              <w:rPr>
                <w:rFonts w:ascii="Cambria Math" w:hAnsi="Cambria Math"/>
                <w:sz w:val="20"/>
                <w:szCs w:val="20"/>
                <w:lang w:val="en-MY"/>
              </w:rPr>
            </m:ctrlPr>
          </m:sSubPr>
          <m:e>
            <m:r>
              <m:rPr>
                <m:sty m:val="p"/>
              </m:rPr>
              <w:rPr>
                <w:rFonts w:ascii="Cambria Math" w:hAnsi="Cambria Math"/>
                <w:sz w:val="20"/>
                <w:szCs w:val="20"/>
                <w:lang w:val="en-MY"/>
              </w:rPr>
              <m:t>pH</m:t>
            </m:r>
          </m:e>
          <m:sub>
            <m:r>
              <m:rPr>
                <m:sty m:val="p"/>
              </m:rPr>
              <w:rPr>
                <w:rFonts w:ascii="Cambria Math" w:hAnsi="Cambria Math"/>
                <w:sz w:val="20"/>
                <w:szCs w:val="20"/>
                <w:lang w:val="en-MY"/>
              </w:rPr>
              <m:t xml:space="preserve">1.0 </m:t>
            </m:r>
          </m:sub>
        </m:sSub>
        <m:r>
          <m:rPr>
            <m:sty m:val="p"/>
          </m:rPr>
          <w:rPr>
            <w:rFonts w:ascii="Cambria Math" w:hAnsi="Cambria Math"/>
            <w:sz w:val="20"/>
            <w:szCs w:val="20"/>
            <w:lang w:val="en-MY"/>
          </w:rPr>
          <m:t>- (</m:t>
        </m:r>
        <m:sSub>
          <m:sSubPr>
            <m:ctrlPr>
              <w:rPr>
                <w:rFonts w:ascii="Cambria Math" w:hAnsi="Cambria Math"/>
                <w:sz w:val="20"/>
                <w:szCs w:val="20"/>
                <w:lang w:val="en-MY"/>
              </w:rPr>
            </m:ctrlPr>
          </m:sSubPr>
          <m:e>
            <m:r>
              <m:rPr>
                <m:sty m:val="p"/>
              </m:rPr>
              <w:rPr>
                <w:rFonts w:ascii="Cambria Math" w:hAnsi="Cambria Math"/>
                <w:sz w:val="20"/>
                <w:szCs w:val="20"/>
                <w:lang w:val="en-MY"/>
              </w:rPr>
              <m:t>A</m:t>
            </m:r>
          </m:e>
          <m:sub>
            <m:r>
              <m:rPr>
                <m:sty m:val="p"/>
              </m:rPr>
              <w:rPr>
                <w:rFonts w:ascii="Cambria Math" w:hAnsi="Cambria Math"/>
                <w:sz w:val="20"/>
                <w:szCs w:val="20"/>
                <w:lang w:val="en-MY"/>
              </w:rPr>
              <m:t>510nm</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A</m:t>
            </m:r>
          </m:e>
          <m:sub>
            <m:r>
              <m:rPr>
                <m:sty m:val="p"/>
              </m:rPr>
              <w:rPr>
                <w:rFonts w:ascii="Cambria Math" w:hAnsi="Cambria Math"/>
                <w:sz w:val="20"/>
                <w:szCs w:val="20"/>
                <w:lang w:val="en-MY"/>
              </w:rPr>
              <m:t>700nm</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pH</m:t>
            </m:r>
          </m:e>
          <m:sub>
            <m:r>
              <m:rPr>
                <m:sty m:val="p"/>
              </m:rPr>
              <w:rPr>
                <w:rFonts w:ascii="Cambria Math" w:hAnsi="Cambria Math"/>
                <w:sz w:val="20"/>
                <w:szCs w:val="20"/>
                <w:lang w:val="en-MY"/>
              </w:rPr>
              <m:t>4.5</m:t>
            </m:r>
          </m:sub>
        </m:sSub>
      </m:oMath>
      <w:r w:rsidRPr="006C3DA1">
        <w:rPr>
          <w:rFonts w:ascii="Times New Roman" w:hAnsi="Times New Roman"/>
          <w:sz w:val="20"/>
          <w:szCs w:val="20"/>
          <w:lang w:val="en-MY"/>
        </w:rPr>
        <w:t xml:space="preserve">                                                               </w:t>
      </w:r>
      <w:r>
        <w:rPr>
          <w:rFonts w:ascii="Times New Roman" w:hAnsi="Times New Roman"/>
          <w:sz w:val="20"/>
          <w:szCs w:val="20"/>
          <w:lang w:val="en-MY"/>
        </w:rPr>
        <w:t xml:space="preserve">      </w:t>
      </w:r>
      <w:r w:rsidRPr="006C3DA1">
        <w:rPr>
          <w:rFonts w:ascii="Times New Roman" w:hAnsi="Times New Roman"/>
          <w:sz w:val="20"/>
          <w:szCs w:val="20"/>
          <w:lang w:val="en-MY"/>
        </w:rPr>
        <w:t>(1)</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Meanwhile, concentration of monomeric anthocyanin pigment can be calculated as follows (equation 2):</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 xml:space="preserve">                </w:t>
      </w:r>
      <m:oMath>
        <m:r>
          <m:rPr>
            <m:sty m:val="p"/>
          </m:rPr>
          <w:rPr>
            <w:rFonts w:ascii="Cambria Math" w:hAnsi="Cambria Math"/>
            <w:sz w:val="20"/>
            <w:szCs w:val="20"/>
            <w:lang w:val="en-MY"/>
          </w:rPr>
          <m:t>Monomeric anthocyanin pigment (mg/L)=(A × MW ×DF ×1000)  ÷(ε ×1)</m:t>
        </m:r>
      </m:oMath>
      <w:r w:rsidRPr="006C3DA1">
        <w:rPr>
          <w:rFonts w:ascii="Times New Roman" w:hAnsi="Times New Roman"/>
          <w:sz w:val="20"/>
          <w:szCs w:val="20"/>
          <w:lang w:val="en-MY"/>
        </w:rPr>
        <w:tab/>
      </w:r>
      <w:r w:rsidRPr="006C3DA1">
        <w:rPr>
          <w:rFonts w:ascii="Times New Roman" w:hAnsi="Times New Roman"/>
          <w:sz w:val="20"/>
          <w:szCs w:val="20"/>
          <w:lang w:val="en-MY"/>
        </w:rPr>
        <w:tab/>
        <w:t xml:space="preserve">  </w:t>
      </w:r>
      <w:r>
        <w:rPr>
          <w:rFonts w:ascii="Times New Roman" w:hAnsi="Times New Roman"/>
          <w:sz w:val="20"/>
          <w:szCs w:val="20"/>
          <w:lang w:val="en-MY"/>
        </w:rPr>
        <w:t xml:space="preserve">      </w:t>
      </w:r>
      <w:r w:rsidRPr="006C3DA1">
        <w:rPr>
          <w:rFonts w:ascii="Times New Roman" w:hAnsi="Times New Roman"/>
          <w:sz w:val="20"/>
          <w:szCs w:val="20"/>
          <w:lang w:val="en-MY"/>
        </w:rPr>
        <w:t xml:space="preserve"> (2)</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where, MW is the molecular weight of Cyanidin-3-glucoside (MW = 449.2), ε is the molar absorptivity (ε = 26900), DF is the dilution factor, and 1 is for standard 1 cm path length. Results were expressed as mg cyanidin-3-glu</w:t>
      </w:r>
      <w:r w:rsidR="007871C1">
        <w:rPr>
          <w:rFonts w:ascii="Times New Roman" w:hAnsi="Times New Roman"/>
          <w:sz w:val="20"/>
          <w:szCs w:val="20"/>
          <w:lang w:val="en-MY"/>
        </w:rPr>
        <w:t>coside equivalent (mg CyE/100g f</w:t>
      </w:r>
      <w:r w:rsidRPr="006C3DA1">
        <w:rPr>
          <w:rFonts w:ascii="Times New Roman" w:hAnsi="Times New Roman"/>
          <w:sz w:val="20"/>
          <w:szCs w:val="20"/>
          <w:lang w:val="en-MY"/>
        </w:rPr>
        <w:t>w) because it is predominantly found in sweet potato.</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b/>
          <w:bCs/>
          <w:sz w:val="20"/>
          <w:szCs w:val="20"/>
          <w:lang w:val="en-MY"/>
        </w:rPr>
      </w:pPr>
      <w:r w:rsidRPr="006C3DA1">
        <w:rPr>
          <w:rFonts w:ascii="Times New Roman" w:hAnsi="Times New Roman"/>
          <w:b/>
          <w:bCs/>
          <w:sz w:val="20"/>
          <w:szCs w:val="20"/>
          <w:lang w:val="en-MY"/>
        </w:rPr>
        <w:t xml:space="preserve">Antioxidant capacity </w:t>
      </w: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 xml:space="preserve">Ferric Reducing Antioxidant Power (FRAP) was measured using a method adapted from Benzie and Strain </w:t>
      </w:r>
      <w:r w:rsidRPr="006C3DA1">
        <w:rPr>
          <w:rFonts w:ascii="Times New Roman" w:hAnsi="Times New Roman"/>
          <w:noProof/>
          <w:sz w:val="20"/>
          <w:szCs w:val="20"/>
          <w:lang w:val="en-MY"/>
        </w:rPr>
        <w:t>[17]</w:t>
      </w:r>
      <w:r w:rsidRPr="006C3DA1">
        <w:rPr>
          <w:rFonts w:ascii="Times New Roman" w:hAnsi="Times New Roman"/>
          <w:sz w:val="20"/>
          <w:szCs w:val="20"/>
          <w:lang w:val="en-MY"/>
        </w:rPr>
        <w:t>. In brief, 30 µL of sample extract was added into 1 mL of FRAP reagent (300 mM acetate buffer pH 3.6, 10 mM TPTZ in 40 mM HCl and 20 mM FeCl</w:t>
      </w:r>
      <w:r w:rsidRPr="006C3DA1">
        <w:rPr>
          <w:rFonts w:ascii="Times New Roman" w:hAnsi="Times New Roman"/>
          <w:sz w:val="20"/>
          <w:szCs w:val="20"/>
          <w:vertAlign w:val="subscript"/>
          <w:lang w:val="en-MY"/>
        </w:rPr>
        <w:t>3</w:t>
      </w:r>
      <w:r w:rsidRPr="006C3DA1">
        <w:rPr>
          <w:rFonts w:ascii="Times New Roman" w:hAnsi="Times New Roman"/>
          <w:sz w:val="20"/>
          <w:szCs w:val="20"/>
          <w:lang w:val="en-MY"/>
        </w:rPr>
        <w:t xml:space="preserve"> at a ratio of 10:1:1). The mixture was left for 4 minutes and the absorbance was read at 593 nm using a UV-Visible spectrophotometer (Jenway 7305 Spectrophotometer, USA). </w:t>
      </w:r>
      <w:r w:rsidRPr="006C3DA1">
        <w:rPr>
          <w:rFonts w:ascii="Times New Roman" w:hAnsi="Times New Roman"/>
          <w:sz w:val="20"/>
          <w:szCs w:val="20"/>
          <w:lang w:val="en-GB"/>
        </w:rPr>
        <w:t>Ferrous sulphate (FeSO</w:t>
      </w:r>
      <w:r w:rsidRPr="006C3DA1">
        <w:rPr>
          <w:rFonts w:ascii="Times New Roman" w:hAnsi="Times New Roman"/>
          <w:sz w:val="20"/>
          <w:szCs w:val="20"/>
          <w:vertAlign w:val="subscript"/>
          <w:lang w:val="en-GB"/>
        </w:rPr>
        <w:t>4</w:t>
      </w:r>
      <w:r w:rsidRPr="006C3DA1">
        <w:rPr>
          <w:rFonts w:ascii="Times New Roman" w:hAnsi="Times New Roman"/>
          <w:sz w:val="20"/>
          <w:szCs w:val="20"/>
          <w:lang w:val="en-GB"/>
        </w:rPr>
        <w:t>.7H</w:t>
      </w:r>
      <w:r w:rsidRPr="006C3DA1">
        <w:rPr>
          <w:rFonts w:ascii="Times New Roman" w:hAnsi="Times New Roman"/>
          <w:sz w:val="20"/>
          <w:szCs w:val="20"/>
          <w:vertAlign w:val="subscript"/>
          <w:lang w:val="en-GB"/>
        </w:rPr>
        <w:t>2</w:t>
      </w:r>
      <w:r w:rsidRPr="006C3DA1">
        <w:rPr>
          <w:rFonts w:ascii="Times New Roman" w:hAnsi="Times New Roman"/>
          <w:sz w:val="20"/>
          <w:szCs w:val="20"/>
          <w:lang w:val="en-GB"/>
        </w:rPr>
        <w:t>O)</w:t>
      </w:r>
      <w:r w:rsidRPr="006C3DA1">
        <w:rPr>
          <w:rFonts w:ascii="Times New Roman" w:hAnsi="Times New Roman"/>
          <w:sz w:val="20"/>
          <w:szCs w:val="20"/>
          <w:lang w:val="en-MY"/>
        </w:rPr>
        <w:t xml:space="preserve"> was used as a standard and</w:t>
      </w:r>
      <w:r w:rsidR="007871C1">
        <w:rPr>
          <w:rFonts w:ascii="Times New Roman" w:hAnsi="Times New Roman"/>
          <w:sz w:val="20"/>
          <w:szCs w:val="20"/>
          <w:lang w:val="en-MY"/>
        </w:rPr>
        <w:t xml:space="preserve"> FRAP was expressed as mg Fe/g f</w:t>
      </w:r>
      <w:r w:rsidRPr="006C3DA1">
        <w:rPr>
          <w:rFonts w:ascii="Times New Roman" w:hAnsi="Times New Roman"/>
          <w:sz w:val="20"/>
          <w:szCs w:val="20"/>
          <w:lang w:val="en-MY"/>
        </w:rPr>
        <w:t>w.</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The DPPH* radical scavenging assay was performed as</w:t>
      </w:r>
      <w:r w:rsidR="00A33DC8">
        <w:rPr>
          <w:rFonts w:ascii="Times New Roman" w:hAnsi="Times New Roman"/>
          <w:sz w:val="20"/>
          <w:szCs w:val="20"/>
          <w:lang w:val="en-MY"/>
        </w:rPr>
        <w:t xml:space="preserve"> described by </w:t>
      </w:r>
      <w:bookmarkStart w:id="0" w:name="_GoBack"/>
      <w:bookmarkEnd w:id="0"/>
      <w:r w:rsidR="00A33DC8" w:rsidRPr="00A33DC8">
        <w:rPr>
          <w:rFonts w:ascii="Times New Roman" w:eastAsia="Calibri" w:hAnsi="Times New Roman"/>
          <w:color w:val="000000"/>
          <w:sz w:val="20"/>
          <w:szCs w:val="20"/>
          <w:lang w:bidi="ar-SA"/>
        </w:rPr>
        <w:t>Brand-Willams et al</w:t>
      </w:r>
      <w:r w:rsidR="00A33DC8">
        <w:rPr>
          <w:rFonts w:ascii="Times New Roman" w:eastAsia="Calibri" w:hAnsi="Times New Roman"/>
          <w:color w:val="000000"/>
          <w:sz w:val="20"/>
          <w:szCs w:val="20"/>
          <w:lang w:bidi="ar-SA"/>
        </w:rPr>
        <w:t>.</w:t>
      </w:r>
      <w:r w:rsidR="00A33DC8">
        <w:rPr>
          <w:rFonts w:ascii="Times New Roman" w:hAnsi="Times New Roman"/>
          <w:sz w:val="20"/>
          <w:szCs w:val="20"/>
          <w:lang w:val="en-MY"/>
        </w:rPr>
        <w:t xml:space="preserve"> </w:t>
      </w:r>
      <w:r w:rsidRPr="006C3DA1">
        <w:rPr>
          <w:rFonts w:ascii="Times New Roman" w:hAnsi="Times New Roman"/>
          <w:noProof/>
          <w:sz w:val="20"/>
          <w:szCs w:val="20"/>
          <w:lang w:val="en-MY"/>
        </w:rPr>
        <w:t>[18]</w:t>
      </w:r>
      <w:r w:rsidRPr="006C3DA1">
        <w:rPr>
          <w:rFonts w:ascii="Times New Roman" w:hAnsi="Times New Roman"/>
          <w:sz w:val="20"/>
          <w:szCs w:val="20"/>
          <w:lang w:val="en-MY"/>
        </w:rPr>
        <w:t xml:space="preserve"> with a slight modification by mixing 0.2 mL of sample extract added with 1.8 mL of methanol and 2 mL DPPH (0.06 mM) in </w:t>
      </w:r>
      <w:r w:rsidRPr="006C3DA1">
        <w:rPr>
          <w:rFonts w:ascii="Times New Roman" w:hAnsi="Times New Roman"/>
          <w:sz w:val="20"/>
          <w:szCs w:val="20"/>
          <w:lang w:val="en-MY"/>
        </w:rPr>
        <w:lastRenderedPageBreak/>
        <w:t>methanol solution. The reaction mixtures were kept at room temperature in the dark for 30 minutes. The absorbance was measured at 517 nm using UV-Spectrophotometer (Jenway 7305 Spectrophotometer, USA). Antioxidant activity (%) by the DPPH free radical was calculated by using the following formula:</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ind w:left="720" w:firstLine="720"/>
        <w:jc w:val="both"/>
        <w:outlineLvl w:val="0"/>
        <w:rPr>
          <w:rFonts w:ascii="Times New Roman" w:hAnsi="Times New Roman"/>
          <w:sz w:val="20"/>
          <w:szCs w:val="20"/>
          <w:lang w:val="en-MY"/>
        </w:rPr>
      </w:pPr>
      <m:oMathPara>
        <m:oMathParaPr>
          <m:jc m:val="left"/>
        </m:oMathParaPr>
        <m:oMath>
          <m:r>
            <m:rPr>
              <m:sty m:val="p"/>
            </m:rPr>
            <w:rPr>
              <w:rFonts w:ascii="Cambria Math" w:hAnsi="Cambria Math"/>
              <w:sz w:val="20"/>
              <w:szCs w:val="20"/>
              <w:lang w:val="en-MY"/>
            </w:rPr>
            <m:t xml:space="preserve">Antioxidative activity </m:t>
          </m:r>
          <m:d>
            <m:dPr>
              <m:ctrlPr>
                <w:rPr>
                  <w:rFonts w:ascii="Cambria Math" w:hAnsi="Cambria Math"/>
                  <w:sz w:val="20"/>
                  <w:szCs w:val="20"/>
                  <w:lang w:val="en-MY"/>
                </w:rPr>
              </m:ctrlPr>
            </m:dPr>
            <m:e>
              <m:r>
                <m:rPr>
                  <m:sty m:val="p"/>
                </m:rPr>
                <w:rPr>
                  <w:rFonts w:ascii="Cambria Math" w:hAnsi="Cambria Math"/>
                  <w:sz w:val="20"/>
                  <w:szCs w:val="20"/>
                  <w:lang w:val="en-MY"/>
                </w:rPr>
                <m:t>%</m:t>
              </m:r>
            </m:e>
          </m:d>
          <m:r>
            <m:rPr>
              <m:sty m:val="p"/>
            </m:rPr>
            <w:rPr>
              <w:rFonts w:ascii="Cambria Math" w:hAnsi="Cambria Math"/>
              <w:sz w:val="20"/>
              <w:szCs w:val="20"/>
              <w:lang w:val="en-MY"/>
            </w:rPr>
            <m:t>=</m:t>
          </m:r>
          <m:f>
            <m:fPr>
              <m:ctrlPr>
                <w:rPr>
                  <w:rFonts w:ascii="Cambria Math" w:hAnsi="Cambria Math"/>
                  <w:sz w:val="20"/>
                  <w:szCs w:val="20"/>
                  <w:lang w:val="en-MY"/>
                </w:rPr>
              </m:ctrlPr>
            </m:fPr>
            <m:num>
              <m:sSub>
                <m:sSubPr>
                  <m:ctrlPr>
                    <w:rPr>
                      <w:rFonts w:ascii="Cambria Math" w:hAnsi="Cambria Math"/>
                      <w:sz w:val="20"/>
                      <w:szCs w:val="20"/>
                      <w:lang w:val="en-MY"/>
                    </w:rPr>
                  </m:ctrlPr>
                </m:sSubPr>
                <m:e>
                  <m:r>
                    <m:rPr>
                      <m:sty m:val="p"/>
                    </m:rPr>
                    <w:rPr>
                      <w:rFonts w:ascii="Cambria Math" w:hAnsi="Cambria Math"/>
                      <w:sz w:val="20"/>
                      <w:szCs w:val="20"/>
                      <w:lang w:val="en-MY"/>
                    </w:rPr>
                    <m:t>A</m:t>
                  </m:r>
                </m:e>
                <m:sub>
                  <m:r>
                    <m:rPr>
                      <m:sty m:val="p"/>
                    </m:rPr>
                    <w:rPr>
                      <w:rFonts w:ascii="Cambria Math" w:hAnsi="Cambria Math"/>
                      <w:sz w:val="20"/>
                      <w:szCs w:val="20"/>
                      <w:lang w:val="en-MY"/>
                    </w:rPr>
                    <m:t>b</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A</m:t>
                  </m:r>
                </m:e>
                <m:sub>
                  <m:r>
                    <m:rPr>
                      <m:sty m:val="p"/>
                    </m:rPr>
                    <w:rPr>
                      <w:rFonts w:ascii="Cambria Math" w:hAnsi="Cambria Math"/>
                      <w:sz w:val="20"/>
                      <w:szCs w:val="20"/>
                      <w:lang w:val="en-MY"/>
                    </w:rPr>
                    <m:t>s</m:t>
                  </m:r>
                </m:sub>
              </m:sSub>
              <m:r>
                <m:rPr>
                  <m:sty m:val="p"/>
                </m:rPr>
                <w:rPr>
                  <w:rFonts w:ascii="Cambria Math" w:hAnsi="Cambria Math"/>
                  <w:sz w:val="20"/>
                  <w:szCs w:val="20"/>
                  <w:lang w:val="en-MY"/>
                </w:rPr>
                <m:t xml:space="preserve"> </m:t>
              </m:r>
            </m:num>
            <m:den>
              <m:sSub>
                <m:sSubPr>
                  <m:ctrlPr>
                    <w:rPr>
                      <w:rFonts w:ascii="Cambria Math" w:hAnsi="Cambria Math"/>
                      <w:sz w:val="20"/>
                      <w:szCs w:val="20"/>
                      <w:lang w:val="en-MY"/>
                    </w:rPr>
                  </m:ctrlPr>
                </m:sSubPr>
                <m:e>
                  <m:r>
                    <m:rPr>
                      <m:sty m:val="p"/>
                    </m:rPr>
                    <w:rPr>
                      <w:rFonts w:ascii="Cambria Math" w:hAnsi="Cambria Math"/>
                      <w:sz w:val="20"/>
                      <w:szCs w:val="20"/>
                      <w:lang w:val="en-MY"/>
                    </w:rPr>
                    <m:t>A</m:t>
                  </m:r>
                </m:e>
                <m:sub>
                  <m:r>
                    <m:rPr>
                      <m:sty m:val="p"/>
                    </m:rPr>
                    <w:rPr>
                      <w:rFonts w:ascii="Cambria Math" w:hAnsi="Cambria Math"/>
                      <w:sz w:val="20"/>
                      <w:szCs w:val="20"/>
                      <w:lang w:val="en-MY"/>
                    </w:rPr>
                    <m:t>b</m:t>
                  </m:r>
                </m:sub>
              </m:sSub>
            </m:den>
          </m:f>
          <m:r>
            <m:rPr>
              <m:sty m:val="p"/>
            </m:rPr>
            <w:rPr>
              <w:rFonts w:ascii="Cambria Math" w:hAnsi="Cambria Math"/>
              <w:sz w:val="20"/>
              <w:szCs w:val="20"/>
              <w:lang w:val="en-MY"/>
            </w:rPr>
            <m:t xml:space="preserve"> × 100</m:t>
          </m:r>
        </m:oMath>
      </m:oMathPara>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where, A</w:t>
      </w:r>
      <w:r w:rsidRPr="006C3DA1">
        <w:rPr>
          <w:rFonts w:ascii="Times New Roman" w:hAnsi="Times New Roman"/>
          <w:sz w:val="20"/>
          <w:szCs w:val="20"/>
          <w:vertAlign w:val="subscript"/>
          <w:lang w:val="en-MY"/>
        </w:rPr>
        <w:t>b</w:t>
      </w:r>
      <w:r w:rsidRPr="006C3DA1">
        <w:rPr>
          <w:rFonts w:ascii="Times New Roman" w:hAnsi="Times New Roman"/>
          <w:sz w:val="20"/>
          <w:szCs w:val="20"/>
          <w:lang w:val="en-MY"/>
        </w:rPr>
        <w:t xml:space="preserve"> is the absorbance of blank (DPPH only) and A</w:t>
      </w:r>
      <w:r w:rsidRPr="006C3DA1">
        <w:rPr>
          <w:rFonts w:ascii="Times New Roman" w:hAnsi="Times New Roman"/>
          <w:sz w:val="20"/>
          <w:szCs w:val="20"/>
          <w:vertAlign w:val="subscript"/>
          <w:lang w:val="en-MY"/>
        </w:rPr>
        <w:t>s</w:t>
      </w:r>
      <w:r w:rsidRPr="006C3DA1">
        <w:rPr>
          <w:rFonts w:ascii="Times New Roman" w:hAnsi="Times New Roman"/>
          <w:sz w:val="20"/>
          <w:szCs w:val="20"/>
          <w:lang w:val="en-MY"/>
        </w:rPr>
        <w:t xml:space="preserve"> is the absorbance of sample.</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b/>
          <w:bCs/>
          <w:sz w:val="20"/>
          <w:szCs w:val="20"/>
          <w:lang w:val="en-MY"/>
        </w:rPr>
      </w:pPr>
      <w:r w:rsidRPr="006C3DA1">
        <w:rPr>
          <w:rFonts w:ascii="Times New Roman" w:hAnsi="Times New Roman"/>
          <w:b/>
          <w:bCs/>
          <w:sz w:val="20"/>
          <w:szCs w:val="20"/>
          <w:lang w:val="en-MY"/>
        </w:rPr>
        <w:t>Colour analysis</w:t>
      </w: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 xml:space="preserve">The colour of the samples was measured using a colorimeter (Konica Minolta, Japan) adopting CIE L*a*b* colour system and set with a D65 illuminant at 10º. The L* represents lightness, a* express (+) red or (-) green, and b* express (+) yellow or (-) blue. </w:t>
      </w:r>
      <w:r w:rsidRPr="006C3DA1">
        <w:rPr>
          <w:rFonts w:ascii="Times New Roman" w:hAnsi="Times New Roman"/>
          <w:sz w:val="20"/>
          <w:szCs w:val="20"/>
        </w:rPr>
        <w:t>The chroma (C*) and hue angle (h*) was calculated by [a*</w:t>
      </w:r>
      <w:r w:rsidRPr="006C3DA1">
        <w:rPr>
          <w:rFonts w:ascii="Times New Roman" w:hAnsi="Times New Roman"/>
          <w:sz w:val="20"/>
          <w:szCs w:val="20"/>
          <w:vertAlign w:val="superscript"/>
        </w:rPr>
        <w:t>2</w:t>
      </w:r>
      <w:r w:rsidRPr="006C3DA1">
        <w:rPr>
          <w:rFonts w:ascii="Times New Roman" w:hAnsi="Times New Roman"/>
          <w:sz w:val="20"/>
          <w:szCs w:val="20"/>
        </w:rPr>
        <w:t xml:space="preserve"> + b*</w:t>
      </w:r>
      <w:r w:rsidRPr="006C3DA1">
        <w:rPr>
          <w:rFonts w:ascii="Times New Roman" w:hAnsi="Times New Roman"/>
          <w:sz w:val="20"/>
          <w:szCs w:val="20"/>
          <w:vertAlign w:val="superscript"/>
        </w:rPr>
        <w:t>2</w:t>
      </w:r>
      <w:r w:rsidRPr="006C3DA1">
        <w:rPr>
          <w:rFonts w:ascii="Times New Roman" w:hAnsi="Times New Roman"/>
          <w:sz w:val="20"/>
          <w:szCs w:val="20"/>
        </w:rPr>
        <w:t>]</w:t>
      </w:r>
      <w:r w:rsidRPr="006C3DA1">
        <w:rPr>
          <w:rFonts w:ascii="Times New Roman" w:hAnsi="Times New Roman"/>
          <w:sz w:val="20"/>
          <w:szCs w:val="20"/>
          <w:vertAlign w:val="superscript"/>
        </w:rPr>
        <w:t xml:space="preserve">1/2 </w:t>
      </w:r>
      <w:r w:rsidRPr="006C3DA1">
        <w:rPr>
          <w:rFonts w:ascii="Times New Roman" w:hAnsi="Times New Roman"/>
          <w:sz w:val="20"/>
          <w:szCs w:val="20"/>
        </w:rPr>
        <w:t xml:space="preserve">and arctan (b*/a*) respectively from the a* and b* values. C* represents the difference in saturation (+) brighter and (-) duller while h* indicates colour hue, where the units are in the form of degrees, ranging from 0° (red), 60° (yellow), 120° (green), 180° (cyan), 240° (blue), 300° (magenta), and back to 0°. </w:t>
      </w:r>
      <w:r w:rsidRPr="006C3DA1">
        <w:rPr>
          <w:rFonts w:ascii="Times New Roman" w:hAnsi="Times New Roman"/>
          <w:sz w:val="20"/>
          <w:szCs w:val="20"/>
          <w:lang w:val="en-MY"/>
        </w:rPr>
        <w:t>The final data were averaged from six replications.</w:t>
      </w:r>
    </w:p>
    <w:p w:rsidR="006C3DA1" w:rsidRPr="006C3DA1" w:rsidRDefault="006C3DA1" w:rsidP="006C3DA1">
      <w:pPr>
        <w:spacing w:after="0" w:line="240" w:lineRule="auto"/>
        <w:jc w:val="both"/>
        <w:outlineLvl w:val="0"/>
        <w:rPr>
          <w:rFonts w:ascii="Times New Roman" w:hAnsi="Times New Roman"/>
          <w:sz w:val="20"/>
          <w:szCs w:val="20"/>
          <w:lang w:val="en-MY"/>
        </w:rPr>
      </w:pPr>
    </w:p>
    <w:p w:rsidR="006C3DA1" w:rsidRPr="006C3DA1" w:rsidRDefault="006C3DA1" w:rsidP="006C3DA1">
      <w:pPr>
        <w:spacing w:after="0" w:line="240" w:lineRule="auto"/>
        <w:jc w:val="both"/>
        <w:outlineLvl w:val="0"/>
        <w:rPr>
          <w:rFonts w:ascii="Times New Roman" w:hAnsi="Times New Roman"/>
          <w:b/>
          <w:bCs/>
          <w:sz w:val="20"/>
          <w:szCs w:val="20"/>
          <w:lang w:val="en-MY"/>
        </w:rPr>
      </w:pPr>
      <w:r w:rsidRPr="006C3DA1">
        <w:rPr>
          <w:rFonts w:ascii="Times New Roman" w:hAnsi="Times New Roman"/>
          <w:b/>
          <w:bCs/>
          <w:sz w:val="20"/>
          <w:szCs w:val="20"/>
          <w:lang w:val="en-MY"/>
        </w:rPr>
        <w:t>Statistical analysis</w:t>
      </w:r>
    </w:p>
    <w:p w:rsidR="006C3DA1" w:rsidRPr="006C3DA1" w:rsidRDefault="006C3DA1" w:rsidP="006C3DA1">
      <w:pPr>
        <w:spacing w:after="0" w:line="240" w:lineRule="auto"/>
        <w:jc w:val="both"/>
        <w:outlineLvl w:val="0"/>
        <w:rPr>
          <w:rFonts w:ascii="Times New Roman" w:hAnsi="Times New Roman"/>
          <w:sz w:val="20"/>
          <w:szCs w:val="20"/>
          <w:lang w:val="en-MY"/>
        </w:rPr>
      </w:pPr>
      <w:r w:rsidRPr="006C3DA1">
        <w:rPr>
          <w:rFonts w:ascii="Times New Roman" w:hAnsi="Times New Roman"/>
          <w:sz w:val="20"/>
          <w:szCs w:val="20"/>
          <w:lang w:val="en-MY"/>
        </w:rPr>
        <w:t xml:space="preserve">Analysis of variance (ANOVA) was carried out to determine and compare the significance of differences between means (comparison between means of samples).  The results are shown as mean ± standard deviation of mean.  The level of significance was set at p &lt; 0.05.  </w:t>
      </w:r>
    </w:p>
    <w:p w:rsidR="006768E9" w:rsidRPr="00F447A7" w:rsidRDefault="006768E9" w:rsidP="006C3DA1">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8390C" w:rsidRPr="0098390C" w:rsidRDefault="0098390C" w:rsidP="0098390C">
      <w:pPr>
        <w:spacing w:after="0" w:line="240" w:lineRule="auto"/>
        <w:jc w:val="both"/>
        <w:outlineLvl w:val="0"/>
        <w:rPr>
          <w:rFonts w:ascii="Times New Roman" w:hAnsi="Times New Roman"/>
          <w:b/>
          <w:bCs/>
          <w:sz w:val="20"/>
          <w:szCs w:val="20"/>
        </w:rPr>
      </w:pPr>
      <w:r w:rsidRPr="0098390C">
        <w:rPr>
          <w:rFonts w:ascii="Times New Roman" w:hAnsi="Times New Roman"/>
          <w:b/>
          <w:bCs/>
          <w:sz w:val="20"/>
          <w:szCs w:val="20"/>
        </w:rPr>
        <w:t>Effect of different PFSP forms and its incorporation in biscuit on antioxidant content</w:t>
      </w:r>
    </w:p>
    <w:p w:rsidR="0098390C" w:rsidRPr="0098390C" w:rsidRDefault="0098390C" w:rsidP="0098390C">
      <w:pPr>
        <w:spacing w:after="0" w:line="240" w:lineRule="auto"/>
        <w:jc w:val="both"/>
        <w:outlineLvl w:val="0"/>
        <w:rPr>
          <w:rFonts w:ascii="Times New Roman" w:hAnsi="Times New Roman"/>
          <w:sz w:val="20"/>
          <w:szCs w:val="20"/>
          <w:lang w:val="en-GB"/>
        </w:rPr>
      </w:pPr>
      <w:r w:rsidRPr="0098390C">
        <w:rPr>
          <w:rFonts w:ascii="Times New Roman" w:hAnsi="Times New Roman"/>
          <w:sz w:val="20"/>
          <w:szCs w:val="20"/>
          <w:lang w:val="en-GB"/>
        </w:rPr>
        <w:t xml:space="preserve">As shown in Table 1, </w:t>
      </w:r>
      <w:r w:rsidRPr="0098390C">
        <w:rPr>
          <w:rFonts w:ascii="Times New Roman" w:hAnsi="Times New Roman"/>
          <w:sz w:val="20"/>
          <w:szCs w:val="20"/>
        </w:rPr>
        <w:t>phenolic content in PF</w:t>
      </w:r>
      <w:r w:rsidR="007871C1">
        <w:rPr>
          <w:rFonts w:ascii="Times New Roman" w:hAnsi="Times New Roman"/>
          <w:sz w:val="20"/>
          <w:szCs w:val="20"/>
        </w:rPr>
        <w:t>SP fresh is 76.70 mg GAE/100 g f</w:t>
      </w:r>
      <w:r w:rsidRPr="0098390C">
        <w:rPr>
          <w:rFonts w:ascii="Times New Roman" w:hAnsi="Times New Roman"/>
          <w:sz w:val="20"/>
          <w:szCs w:val="20"/>
        </w:rPr>
        <w:t xml:space="preserve">w. After steaming into PFSP paste, the phenolic content increased nearly twice higher than the fresh sample. However, drying PFSP into flour did not show any significant difference compared to fresh sample. Cell structure was broken and ruptured during steaming which resulted in more components expressed from the tuber. Drying also released more bound phenolic from breakdown of cellular structure due to thermal treatment </w:t>
      </w:r>
      <w:r w:rsidRPr="0098390C">
        <w:rPr>
          <w:rFonts w:ascii="Times New Roman" w:hAnsi="Times New Roman"/>
          <w:noProof/>
          <w:sz w:val="20"/>
          <w:szCs w:val="20"/>
        </w:rPr>
        <w:t>[19]</w:t>
      </w:r>
      <w:r w:rsidRPr="0098390C">
        <w:rPr>
          <w:rFonts w:ascii="Times New Roman" w:hAnsi="Times New Roman"/>
          <w:sz w:val="20"/>
          <w:szCs w:val="20"/>
        </w:rPr>
        <w:t xml:space="preserve">. When incorporated in biscuit, the PFSP paste loss the most amount of total phenolic at 70%, while the PFSP fresh and flour at 46% and 33%, respectively. Substantial reduction </w:t>
      </w:r>
      <w:r w:rsidRPr="0098390C">
        <w:rPr>
          <w:rFonts w:ascii="Times New Roman" w:hAnsi="Times New Roman"/>
          <w:sz w:val="20"/>
          <w:szCs w:val="20"/>
          <w:lang w:val="en-GB"/>
        </w:rPr>
        <w:t xml:space="preserve">in phenolic content was probable due to a cell rupture causing leaching into water, degradation from processing and oxidation by polyphenol oxidase </w:t>
      </w:r>
      <w:r w:rsidRPr="0098390C">
        <w:rPr>
          <w:rFonts w:ascii="Times New Roman" w:hAnsi="Times New Roman"/>
          <w:noProof/>
          <w:sz w:val="20"/>
          <w:szCs w:val="20"/>
          <w:lang w:val="en-GB"/>
        </w:rPr>
        <w:t>[20]</w:t>
      </w:r>
      <w:r w:rsidRPr="0098390C">
        <w:rPr>
          <w:rFonts w:ascii="Times New Roman" w:hAnsi="Times New Roman"/>
          <w:sz w:val="20"/>
          <w:szCs w:val="20"/>
          <w:lang w:val="en-GB"/>
        </w:rPr>
        <w:t>.</w:t>
      </w:r>
    </w:p>
    <w:p w:rsidR="0098390C" w:rsidRPr="0098390C" w:rsidRDefault="0098390C" w:rsidP="0098390C">
      <w:pPr>
        <w:spacing w:after="120" w:line="240" w:lineRule="auto"/>
        <w:jc w:val="both"/>
        <w:outlineLvl w:val="0"/>
        <w:rPr>
          <w:rFonts w:ascii="Times New Roman" w:hAnsi="Times New Roman"/>
          <w:sz w:val="20"/>
          <w:szCs w:val="20"/>
          <w:lang w:val="en-GB"/>
        </w:rPr>
      </w:pPr>
    </w:p>
    <w:p w:rsidR="0098390C" w:rsidRDefault="0098390C" w:rsidP="0098390C">
      <w:pPr>
        <w:spacing w:after="0" w:line="240" w:lineRule="auto"/>
        <w:ind w:left="709" w:hanging="709"/>
        <w:jc w:val="center"/>
        <w:outlineLvl w:val="0"/>
        <w:rPr>
          <w:rFonts w:ascii="Times New Roman" w:hAnsi="Times New Roman"/>
          <w:sz w:val="20"/>
          <w:szCs w:val="20"/>
        </w:rPr>
      </w:pPr>
      <w:r w:rsidRPr="0098390C">
        <w:rPr>
          <w:rFonts w:ascii="Times New Roman" w:hAnsi="Times New Roman"/>
          <w:sz w:val="20"/>
          <w:szCs w:val="20"/>
        </w:rPr>
        <w:t>Table 1</w:t>
      </w:r>
      <w:r>
        <w:rPr>
          <w:rFonts w:ascii="Times New Roman" w:hAnsi="Times New Roman"/>
          <w:sz w:val="20"/>
          <w:szCs w:val="20"/>
        </w:rPr>
        <w:t xml:space="preserve">.  </w:t>
      </w:r>
      <w:r w:rsidRPr="0098390C">
        <w:rPr>
          <w:rFonts w:ascii="Times New Roman" w:hAnsi="Times New Roman"/>
          <w:sz w:val="20"/>
          <w:szCs w:val="20"/>
        </w:rPr>
        <w:t xml:space="preserve">The total phenolic content and total anthocyanin content (means ± standard deviation) of different form </w:t>
      </w:r>
    </w:p>
    <w:p w:rsidR="0098390C" w:rsidRPr="0098390C" w:rsidRDefault="0098390C" w:rsidP="0098390C">
      <w:pPr>
        <w:spacing w:after="120" w:line="240" w:lineRule="auto"/>
        <w:ind w:left="706" w:hanging="706"/>
        <w:jc w:val="center"/>
        <w:outlineLvl w:val="0"/>
        <w:rPr>
          <w:rFonts w:ascii="Times New Roman" w:hAnsi="Times New Roman"/>
          <w:sz w:val="20"/>
          <w:szCs w:val="20"/>
        </w:rPr>
      </w:pPr>
      <w:r w:rsidRPr="0098390C">
        <w:rPr>
          <w:rFonts w:ascii="Times New Roman" w:hAnsi="Times New Roman"/>
          <w:sz w:val="20"/>
          <w:szCs w:val="20"/>
        </w:rPr>
        <w:t>of purple-fleshed sweet potato and its incorporation in biscuit</w:t>
      </w:r>
    </w:p>
    <w:tbl>
      <w:tblPr>
        <w:tblStyle w:val="LightShading1"/>
        <w:tblW w:w="0" w:type="auto"/>
        <w:jc w:val="center"/>
        <w:tblInd w:w="-1305" w:type="dxa"/>
        <w:tblLook w:val="04A0" w:firstRow="1" w:lastRow="0" w:firstColumn="1" w:lastColumn="0" w:noHBand="0" w:noVBand="1"/>
      </w:tblPr>
      <w:tblGrid>
        <w:gridCol w:w="2453"/>
        <w:gridCol w:w="2176"/>
        <w:gridCol w:w="2532"/>
      </w:tblGrid>
      <w:tr w:rsidR="0098390C" w:rsidRPr="0098390C" w:rsidTr="0098390C">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2453" w:type="dxa"/>
            <w:tcBorders>
              <w:top w:val="single" w:sz="4" w:space="0" w:color="auto"/>
              <w:bottom w:val="single" w:sz="4" w:space="0" w:color="auto"/>
            </w:tcBorders>
            <w:shd w:val="clear" w:color="auto" w:fill="auto"/>
          </w:tcPr>
          <w:p w:rsidR="0098390C" w:rsidRPr="0098390C" w:rsidRDefault="0098390C" w:rsidP="008E3714">
            <w:pPr>
              <w:spacing w:after="0" w:line="240" w:lineRule="auto"/>
              <w:jc w:val="both"/>
              <w:outlineLvl w:val="0"/>
              <w:rPr>
                <w:rFonts w:ascii="Times New Roman" w:hAnsi="Times New Roman" w:cs="Times New Roman"/>
                <w:color w:val="auto"/>
                <w:sz w:val="20"/>
                <w:szCs w:val="20"/>
              </w:rPr>
            </w:pPr>
          </w:p>
        </w:tc>
        <w:tc>
          <w:tcPr>
            <w:tcW w:w="0" w:type="auto"/>
            <w:tcBorders>
              <w:top w:val="single" w:sz="4" w:space="0" w:color="auto"/>
              <w:bottom w:val="single" w:sz="4" w:space="0" w:color="auto"/>
            </w:tcBorders>
            <w:shd w:val="clear" w:color="auto" w:fill="auto"/>
          </w:tcPr>
          <w:p w:rsidR="0098390C" w:rsidRPr="0098390C" w:rsidRDefault="0098390C" w:rsidP="0098390C">
            <w:pPr>
              <w:pStyle w:val="BodyText"/>
              <w:spacing w:before="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Total Phenolic Content</w:t>
            </w:r>
          </w:p>
          <w:p w:rsidR="0098390C" w:rsidRPr="0098390C" w:rsidRDefault="007871C1" w:rsidP="0098390C">
            <w:pPr>
              <w:pStyle w:val="BodyText"/>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Pr>
                <w:rFonts w:cs="Times New Roman"/>
                <w:color w:val="auto"/>
                <w:sz w:val="20"/>
              </w:rPr>
              <w:t>(mg GAE/100g f</w:t>
            </w:r>
            <w:r w:rsidR="0098390C" w:rsidRPr="0098390C">
              <w:rPr>
                <w:rFonts w:cs="Times New Roman"/>
                <w:color w:val="auto"/>
                <w:sz w:val="20"/>
              </w:rPr>
              <w:t>w)</w:t>
            </w:r>
          </w:p>
        </w:tc>
        <w:tc>
          <w:tcPr>
            <w:tcW w:w="0" w:type="auto"/>
            <w:tcBorders>
              <w:top w:val="single" w:sz="4" w:space="0" w:color="auto"/>
              <w:bottom w:val="single" w:sz="4" w:space="0" w:color="auto"/>
            </w:tcBorders>
            <w:shd w:val="clear" w:color="auto" w:fill="auto"/>
          </w:tcPr>
          <w:p w:rsidR="0098390C" w:rsidRPr="0098390C" w:rsidRDefault="0098390C" w:rsidP="0098390C">
            <w:pPr>
              <w:pStyle w:val="BodyText"/>
              <w:spacing w:before="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Total Anthocyanin Content</w:t>
            </w:r>
          </w:p>
          <w:p w:rsidR="0098390C" w:rsidRPr="0098390C" w:rsidRDefault="007871C1" w:rsidP="0098390C">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Pr>
                <w:rFonts w:cs="Times New Roman"/>
                <w:color w:val="auto"/>
                <w:sz w:val="20"/>
              </w:rPr>
              <w:t>(mg CyE/100g f</w:t>
            </w:r>
            <w:r w:rsidR="0098390C" w:rsidRPr="0098390C">
              <w:rPr>
                <w:rFonts w:cs="Times New Roman"/>
                <w:color w:val="auto"/>
                <w:sz w:val="20"/>
              </w:rPr>
              <w:t>w)</w:t>
            </w:r>
          </w:p>
        </w:tc>
      </w:tr>
      <w:tr w:rsidR="0098390C" w:rsidRPr="0098390C" w:rsidTr="0098390C">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2453" w:type="dxa"/>
            <w:tcBorders>
              <w:top w:val="single" w:sz="4" w:space="0" w:color="auto"/>
            </w:tcBorders>
            <w:shd w:val="clear" w:color="auto" w:fill="auto"/>
          </w:tcPr>
          <w:p w:rsidR="0098390C" w:rsidRPr="0098390C" w:rsidRDefault="0098390C" w:rsidP="0098390C">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Fresh</w:t>
            </w:r>
          </w:p>
        </w:tc>
        <w:tc>
          <w:tcPr>
            <w:tcW w:w="0" w:type="auto"/>
            <w:tcBorders>
              <w:top w:val="single" w:sz="4" w:space="0" w:color="auto"/>
            </w:tcBorders>
            <w:shd w:val="clear" w:color="auto" w:fill="auto"/>
          </w:tcPr>
          <w:p w:rsidR="0098390C" w:rsidRPr="0098390C" w:rsidRDefault="0098390C" w:rsidP="0098390C">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76.70 ± 1.24</w:t>
            </w:r>
            <w:r w:rsidRPr="0098390C">
              <w:rPr>
                <w:rFonts w:ascii="Times New Roman" w:hAnsi="Times New Roman" w:cs="Times New Roman"/>
                <w:color w:val="auto"/>
                <w:sz w:val="20"/>
                <w:szCs w:val="20"/>
                <w:vertAlign w:val="superscript"/>
              </w:rPr>
              <w:t>a</w:t>
            </w:r>
          </w:p>
        </w:tc>
        <w:tc>
          <w:tcPr>
            <w:tcW w:w="0" w:type="auto"/>
            <w:tcBorders>
              <w:top w:val="single" w:sz="4" w:space="0" w:color="auto"/>
            </w:tcBorders>
            <w:shd w:val="clear" w:color="auto" w:fill="auto"/>
          </w:tcPr>
          <w:p w:rsidR="0098390C" w:rsidRPr="0098390C" w:rsidRDefault="0098390C" w:rsidP="0098390C">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21.40 ± 0.25</w:t>
            </w:r>
            <w:r w:rsidRPr="0098390C">
              <w:rPr>
                <w:rFonts w:ascii="Times New Roman" w:hAnsi="Times New Roman" w:cs="Times New Roman"/>
                <w:color w:val="auto"/>
                <w:sz w:val="20"/>
                <w:szCs w:val="20"/>
                <w:vertAlign w:val="superscript"/>
              </w:rPr>
              <w:t>a</w:t>
            </w:r>
          </w:p>
        </w:tc>
      </w:tr>
      <w:tr w:rsidR="0098390C" w:rsidRPr="0098390C" w:rsidTr="0098390C">
        <w:trPr>
          <w:trHeight w:val="70"/>
          <w:jc w:val="center"/>
        </w:trPr>
        <w:tc>
          <w:tcPr>
            <w:cnfStyle w:val="001000000000" w:firstRow="0" w:lastRow="0" w:firstColumn="1" w:lastColumn="0" w:oddVBand="0" w:evenVBand="0" w:oddHBand="0" w:evenHBand="0" w:firstRowFirstColumn="0" w:firstRowLastColumn="0" w:lastRowFirstColumn="0" w:lastRowLastColumn="0"/>
            <w:tcW w:w="2453" w:type="dxa"/>
            <w:tcBorders>
              <w:bottom w:val="nil"/>
            </w:tcBorders>
            <w:shd w:val="clear" w:color="auto" w:fill="auto"/>
          </w:tcPr>
          <w:p w:rsidR="0098390C" w:rsidRPr="0098390C" w:rsidRDefault="0098390C" w:rsidP="0098390C">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Flour</w:t>
            </w:r>
          </w:p>
        </w:tc>
        <w:tc>
          <w:tcPr>
            <w:tcW w:w="0" w:type="auto"/>
            <w:tcBorders>
              <w:bottom w:val="nil"/>
            </w:tcBorders>
            <w:shd w:val="clear" w:color="auto" w:fill="auto"/>
          </w:tcPr>
          <w:p w:rsidR="0098390C" w:rsidRPr="0098390C" w:rsidRDefault="0098390C" w:rsidP="0098390C">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80.89 ± 1.58</w:t>
            </w:r>
            <w:r w:rsidRPr="0098390C">
              <w:rPr>
                <w:rFonts w:ascii="Times New Roman" w:hAnsi="Times New Roman" w:cs="Times New Roman"/>
                <w:color w:val="auto"/>
                <w:sz w:val="20"/>
                <w:szCs w:val="20"/>
                <w:vertAlign w:val="superscript"/>
              </w:rPr>
              <w:t>a</w:t>
            </w:r>
          </w:p>
        </w:tc>
        <w:tc>
          <w:tcPr>
            <w:tcW w:w="0" w:type="auto"/>
            <w:tcBorders>
              <w:bottom w:val="nil"/>
            </w:tcBorders>
            <w:shd w:val="clear" w:color="auto" w:fill="auto"/>
          </w:tcPr>
          <w:p w:rsidR="0098390C" w:rsidRPr="0098390C" w:rsidRDefault="0098390C" w:rsidP="0098390C">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38.90 ± 0.34</w:t>
            </w:r>
            <w:r w:rsidRPr="0098390C">
              <w:rPr>
                <w:rFonts w:ascii="Times New Roman" w:hAnsi="Times New Roman" w:cs="Times New Roman"/>
                <w:color w:val="auto"/>
                <w:sz w:val="20"/>
                <w:szCs w:val="20"/>
                <w:vertAlign w:val="superscript"/>
              </w:rPr>
              <w:t>b</w:t>
            </w:r>
          </w:p>
        </w:tc>
      </w:tr>
      <w:tr w:rsidR="0098390C" w:rsidRPr="0098390C" w:rsidTr="0098390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53" w:type="dxa"/>
            <w:tcBorders>
              <w:top w:val="nil"/>
              <w:bottom w:val="single" w:sz="4" w:space="0" w:color="auto"/>
            </w:tcBorders>
            <w:shd w:val="clear" w:color="auto" w:fill="auto"/>
          </w:tcPr>
          <w:p w:rsidR="0098390C" w:rsidRPr="0098390C" w:rsidRDefault="0098390C" w:rsidP="0098390C">
            <w:pPr>
              <w:spacing w:before="60" w:after="6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Paste</w:t>
            </w:r>
          </w:p>
        </w:tc>
        <w:tc>
          <w:tcPr>
            <w:tcW w:w="0" w:type="auto"/>
            <w:tcBorders>
              <w:top w:val="nil"/>
              <w:bottom w:val="single" w:sz="4" w:space="0" w:color="auto"/>
            </w:tcBorders>
            <w:shd w:val="clear" w:color="auto" w:fill="auto"/>
          </w:tcPr>
          <w:p w:rsidR="0098390C" w:rsidRPr="0098390C" w:rsidRDefault="0098390C" w:rsidP="0098390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118.27 ± 2.77</w:t>
            </w:r>
            <w:r w:rsidRPr="0098390C">
              <w:rPr>
                <w:rFonts w:ascii="Times New Roman" w:hAnsi="Times New Roman" w:cs="Times New Roman"/>
                <w:color w:val="auto"/>
                <w:sz w:val="20"/>
                <w:szCs w:val="20"/>
                <w:vertAlign w:val="superscript"/>
              </w:rPr>
              <w:t>b</w:t>
            </w:r>
          </w:p>
        </w:tc>
        <w:tc>
          <w:tcPr>
            <w:tcW w:w="0" w:type="auto"/>
            <w:tcBorders>
              <w:top w:val="nil"/>
              <w:bottom w:val="single" w:sz="4" w:space="0" w:color="auto"/>
            </w:tcBorders>
            <w:shd w:val="clear" w:color="auto" w:fill="auto"/>
          </w:tcPr>
          <w:p w:rsidR="0098390C" w:rsidRPr="0098390C" w:rsidRDefault="0098390C" w:rsidP="0098390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52.48 ± 0.10</w:t>
            </w:r>
            <w:r w:rsidRPr="0098390C">
              <w:rPr>
                <w:rFonts w:ascii="Times New Roman" w:hAnsi="Times New Roman" w:cs="Times New Roman"/>
                <w:color w:val="auto"/>
                <w:sz w:val="20"/>
                <w:szCs w:val="20"/>
                <w:vertAlign w:val="superscript"/>
              </w:rPr>
              <w:t>c</w:t>
            </w:r>
          </w:p>
        </w:tc>
      </w:tr>
      <w:tr w:rsidR="0098390C" w:rsidRPr="0098390C" w:rsidTr="0098390C">
        <w:trPr>
          <w:trHeight w:val="122"/>
          <w:jc w:val="center"/>
        </w:trPr>
        <w:tc>
          <w:tcPr>
            <w:cnfStyle w:val="001000000000" w:firstRow="0" w:lastRow="0" w:firstColumn="1" w:lastColumn="0" w:oddVBand="0" w:evenVBand="0" w:oddHBand="0" w:evenHBand="0" w:firstRowFirstColumn="0" w:firstRowLastColumn="0" w:lastRowFirstColumn="0" w:lastRowLastColumn="0"/>
            <w:tcW w:w="4629" w:type="dxa"/>
            <w:gridSpan w:val="2"/>
            <w:tcBorders>
              <w:top w:val="single" w:sz="4" w:space="0" w:color="auto"/>
              <w:bottom w:val="nil"/>
            </w:tcBorders>
            <w:shd w:val="clear" w:color="auto" w:fill="auto"/>
          </w:tcPr>
          <w:p w:rsidR="0098390C" w:rsidRPr="0098390C" w:rsidRDefault="0098390C" w:rsidP="0098390C">
            <w:pPr>
              <w:spacing w:before="60" w:after="0" w:line="240" w:lineRule="auto"/>
              <w:jc w:val="both"/>
              <w:rPr>
                <w:rFonts w:ascii="Times New Roman" w:hAnsi="Times New Roman" w:cs="Times New Roman"/>
                <w:color w:val="auto"/>
                <w:sz w:val="20"/>
                <w:szCs w:val="20"/>
              </w:rPr>
            </w:pPr>
            <w:r w:rsidRPr="0098390C">
              <w:rPr>
                <w:rFonts w:ascii="Times New Roman" w:hAnsi="Times New Roman" w:cs="Times New Roman"/>
                <w:b w:val="0"/>
                <w:bCs w:val="0"/>
                <w:i/>
                <w:iCs/>
                <w:color w:val="auto"/>
                <w:sz w:val="20"/>
                <w:szCs w:val="20"/>
              </w:rPr>
              <w:t>Incorporation in Biscuit</w:t>
            </w:r>
          </w:p>
        </w:tc>
        <w:tc>
          <w:tcPr>
            <w:tcW w:w="0" w:type="auto"/>
            <w:tcBorders>
              <w:top w:val="single" w:sz="4" w:space="0" w:color="auto"/>
              <w:bottom w:val="nil"/>
            </w:tcBorders>
            <w:shd w:val="clear" w:color="auto" w:fill="auto"/>
          </w:tcPr>
          <w:p w:rsidR="0098390C" w:rsidRPr="0098390C" w:rsidRDefault="0098390C" w:rsidP="0098390C">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98390C" w:rsidRPr="0098390C" w:rsidTr="0098390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53" w:type="dxa"/>
            <w:tcBorders>
              <w:top w:val="nil"/>
            </w:tcBorders>
            <w:shd w:val="clear" w:color="auto" w:fill="auto"/>
          </w:tcPr>
          <w:p w:rsidR="0098390C" w:rsidRPr="0098390C" w:rsidRDefault="0098390C" w:rsidP="0098390C">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Control</w:t>
            </w:r>
          </w:p>
        </w:tc>
        <w:tc>
          <w:tcPr>
            <w:tcW w:w="0" w:type="auto"/>
            <w:tcBorders>
              <w:top w:val="nil"/>
            </w:tcBorders>
            <w:shd w:val="clear" w:color="auto" w:fill="auto"/>
          </w:tcPr>
          <w:p w:rsidR="0098390C" w:rsidRPr="0098390C" w:rsidRDefault="0098390C" w:rsidP="0098390C">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23.97 ± 0.14</w:t>
            </w:r>
            <w:r w:rsidRPr="0098390C">
              <w:rPr>
                <w:rFonts w:ascii="Times New Roman" w:hAnsi="Times New Roman" w:cs="Times New Roman"/>
                <w:color w:val="auto"/>
                <w:sz w:val="20"/>
                <w:szCs w:val="20"/>
                <w:vertAlign w:val="superscript"/>
              </w:rPr>
              <w:t>a</w:t>
            </w:r>
          </w:p>
        </w:tc>
        <w:tc>
          <w:tcPr>
            <w:tcW w:w="0" w:type="auto"/>
            <w:tcBorders>
              <w:top w:val="nil"/>
            </w:tcBorders>
            <w:shd w:val="clear" w:color="auto" w:fill="auto"/>
          </w:tcPr>
          <w:p w:rsidR="0098390C" w:rsidRPr="0098390C" w:rsidRDefault="0098390C" w:rsidP="0098390C">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390C">
              <w:rPr>
                <w:rFonts w:ascii="Times New Roman" w:hAnsi="Times New Roman" w:cs="Times New Roman"/>
                <w:color w:val="auto"/>
                <w:sz w:val="20"/>
                <w:szCs w:val="20"/>
              </w:rPr>
              <w:t>-</w:t>
            </w:r>
          </w:p>
        </w:tc>
      </w:tr>
      <w:tr w:rsidR="0098390C" w:rsidRPr="0098390C" w:rsidTr="0098390C">
        <w:trPr>
          <w:trHeight w:val="96"/>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auto"/>
          </w:tcPr>
          <w:p w:rsidR="0098390C" w:rsidRPr="0098390C" w:rsidRDefault="0098390C" w:rsidP="0098390C">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Fresh</w:t>
            </w:r>
          </w:p>
        </w:tc>
        <w:tc>
          <w:tcPr>
            <w:tcW w:w="0" w:type="auto"/>
            <w:shd w:val="clear" w:color="auto" w:fill="auto"/>
          </w:tcPr>
          <w:p w:rsidR="0098390C" w:rsidRPr="0098390C" w:rsidRDefault="0098390C" w:rsidP="0098390C">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41.07 ± 0.28</w:t>
            </w:r>
            <w:r w:rsidRPr="0098390C">
              <w:rPr>
                <w:rFonts w:ascii="Times New Roman" w:hAnsi="Times New Roman" w:cs="Times New Roman"/>
                <w:color w:val="auto"/>
                <w:sz w:val="20"/>
                <w:szCs w:val="20"/>
                <w:vertAlign w:val="superscript"/>
              </w:rPr>
              <w:t>b</w:t>
            </w:r>
          </w:p>
        </w:tc>
        <w:tc>
          <w:tcPr>
            <w:tcW w:w="0" w:type="auto"/>
            <w:shd w:val="clear" w:color="auto" w:fill="auto"/>
          </w:tcPr>
          <w:p w:rsidR="0098390C" w:rsidRPr="0098390C" w:rsidRDefault="0098390C" w:rsidP="0098390C">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3.55 ± 0.26</w:t>
            </w:r>
            <w:r w:rsidRPr="0098390C">
              <w:rPr>
                <w:rFonts w:ascii="Times New Roman" w:hAnsi="Times New Roman" w:cs="Times New Roman"/>
                <w:color w:val="auto"/>
                <w:sz w:val="20"/>
                <w:szCs w:val="20"/>
                <w:vertAlign w:val="superscript"/>
              </w:rPr>
              <w:t>a</w:t>
            </w:r>
          </w:p>
        </w:tc>
      </w:tr>
      <w:tr w:rsidR="0098390C" w:rsidRPr="0098390C" w:rsidTr="0098390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53" w:type="dxa"/>
            <w:tcBorders>
              <w:bottom w:val="nil"/>
            </w:tcBorders>
            <w:shd w:val="clear" w:color="auto" w:fill="auto"/>
          </w:tcPr>
          <w:p w:rsidR="0098390C" w:rsidRPr="0098390C" w:rsidRDefault="0098390C" w:rsidP="0098390C">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Flour</w:t>
            </w:r>
          </w:p>
        </w:tc>
        <w:tc>
          <w:tcPr>
            <w:tcW w:w="0" w:type="auto"/>
            <w:tcBorders>
              <w:bottom w:val="nil"/>
            </w:tcBorders>
            <w:shd w:val="clear" w:color="auto" w:fill="auto"/>
          </w:tcPr>
          <w:p w:rsidR="0098390C" w:rsidRPr="0098390C" w:rsidRDefault="0098390C" w:rsidP="0098390C">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54.39 ± 0.88</w:t>
            </w:r>
            <w:r w:rsidRPr="0098390C">
              <w:rPr>
                <w:rFonts w:ascii="Times New Roman" w:hAnsi="Times New Roman" w:cs="Times New Roman"/>
                <w:color w:val="auto"/>
                <w:sz w:val="20"/>
                <w:szCs w:val="20"/>
                <w:vertAlign w:val="superscript"/>
              </w:rPr>
              <w:t>c</w:t>
            </w:r>
          </w:p>
        </w:tc>
        <w:tc>
          <w:tcPr>
            <w:tcW w:w="0" w:type="auto"/>
            <w:tcBorders>
              <w:bottom w:val="nil"/>
            </w:tcBorders>
            <w:shd w:val="clear" w:color="auto" w:fill="auto"/>
          </w:tcPr>
          <w:p w:rsidR="0098390C" w:rsidRPr="0098390C" w:rsidRDefault="0098390C" w:rsidP="0098390C">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10.81 ± 0.10</w:t>
            </w:r>
            <w:r w:rsidRPr="0098390C">
              <w:rPr>
                <w:rFonts w:ascii="Times New Roman" w:hAnsi="Times New Roman" w:cs="Times New Roman"/>
                <w:color w:val="auto"/>
                <w:sz w:val="20"/>
                <w:szCs w:val="20"/>
                <w:vertAlign w:val="superscript"/>
              </w:rPr>
              <w:t>b</w:t>
            </w:r>
          </w:p>
        </w:tc>
      </w:tr>
      <w:tr w:rsidR="0098390C" w:rsidRPr="0098390C" w:rsidTr="0098390C">
        <w:trPr>
          <w:trHeight w:val="70"/>
          <w:jc w:val="center"/>
        </w:trPr>
        <w:tc>
          <w:tcPr>
            <w:cnfStyle w:val="001000000000" w:firstRow="0" w:lastRow="0" w:firstColumn="1" w:lastColumn="0" w:oddVBand="0" w:evenVBand="0" w:oddHBand="0" w:evenHBand="0" w:firstRowFirstColumn="0" w:firstRowLastColumn="0" w:lastRowFirstColumn="0" w:lastRowLastColumn="0"/>
            <w:tcW w:w="2453" w:type="dxa"/>
            <w:tcBorders>
              <w:top w:val="nil"/>
              <w:bottom w:val="single" w:sz="4" w:space="0" w:color="auto"/>
            </w:tcBorders>
            <w:shd w:val="clear" w:color="auto" w:fill="auto"/>
          </w:tcPr>
          <w:p w:rsidR="0098390C" w:rsidRPr="0098390C" w:rsidRDefault="0098390C" w:rsidP="0098390C">
            <w:pPr>
              <w:spacing w:before="60" w:after="6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Paste</w:t>
            </w:r>
          </w:p>
        </w:tc>
        <w:tc>
          <w:tcPr>
            <w:tcW w:w="0" w:type="auto"/>
            <w:tcBorders>
              <w:top w:val="nil"/>
              <w:bottom w:val="single" w:sz="4" w:space="0" w:color="auto"/>
            </w:tcBorders>
            <w:shd w:val="clear" w:color="auto" w:fill="auto"/>
          </w:tcPr>
          <w:p w:rsidR="0098390C" w:rsidRPr="0098390C" w:rsidRDefault="0098390C" w:rsidP="0098390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35.00 ± 0.29</w:t>
            </w:r>
            <w:r w:rsidRPr="0098390C">
              <w:rPr>
                <w:rFonts w:ascii="Times New Roman" w:hAnsi="Times New Roman" w:cs="Times New Roman"/>
                <w:color w:val="auto"/>
                <w:sz w:val="20"/>
                <w:szCs w:val="20"/>
                <w:vertAlign w:val="superscript"/>
              </w:rPr>
              <w:t>d</w:t>
            </w:r>
          </w:p>
        </w:tc>
        <w:tc>
          <w:tcPr>
            <w:tcW w:w="0" w:type="auto"/>
            <w:tcBorders>
              <w:top w:val="nil"/>
              <w:bottom w:val="single" w:sz="4" w:space="0" w:color="auto"/>
            </w:tcBorders>
            <w:shd w:val="clear" w:color="auto" w:fill="auto"/>
          </w:tcPr>
          <w:p w:rsidR="0098390C" w:rsidRPr="0098390C" w:rsidRDefault="0098390C" w:rsidP="0098390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4.14 ± 0.13</w:t>
            </w:r>
            <w:r w:rsidRPr="0098390C">
              <w:rPr>
                <w:rFonts w:ascii="Times New Roman" w:hAnsi="Times New Roman" w:cs="Times New Roman"/>
                <w:color w:val="auto"/>
                <w:sz w:val="20"/>
                <w:szCs w:val="20"/>
                <w:vertAlign w:val="superscript"/>
              </w:rPr>
              <w:t>c</w:t>
            </w:r>
          </w:p>
        </w:tc>
      </w:tr>
    </w:tbl>
    <w:p w:rsidR="0098390C" w:rsidRPr="0098390C" w:rsidRDefault="0098390C" w:rsidP="0098390C">
      <w:pPr>
        <w:pStyle w:val="BodyText"/>
        <w:spacing w:before="60"/>
        <w:ind w:firstLine="1080"/>
        <w:rPr>
          <w:sz w:val="18"/>
          <w:szCs w:val="18"/>
        </w:rPr>
      </w:pPr>
      <w:r w:rsidRPr="0098390C">
        <w:rPr>
          <w:sz w:val="18"/>
          <w:szCs w:val="18"/>
        </w:rPr>
        <w:t>a, b, c means with different letter(s) in the same column differed significantly (p &lt;0.05)</w:t>
      </w:r>
    </w:p>
    <w:p w:rsidR="0098390C" w:rsidRPr="0098390C" w:rsidRDefault="0098390C" w:rsidP="0098390C">
      <w:pPr>
        <w:pStyle w:val="BodyText"/>
        <w:rPr>
          <w:sz w:val="20"/>
        </w:rPr>
      </w:pPr>
    </w:p>
    <w:p w:rsidR="0098390C" w:rsidRPr="0098390C" w:rsidRDefault="0098390C" w:rsidP="0098390C">
      <w:pPr>
        <w:spacing w:after="0" w:line="240" w:lineRule="auto"/>
        <w:jc w:val="both"/>
        <w:outlineLvl w:val="0"/>
        <w:rPr>
          <w:rFonts w:ascii="Times New Roman" w:hAnsi="Times New Roman"/>
          <w:sz w:val="20"/>
          <w:szCs w:val="20"/>
        </w:rPr>
      </w:pPr>
      <w:r w:rsidRPr="0098390C">
        <w:rPr>
          <w:rFonts w:ascii="Times New Roman" w:hAnsi="Times New Roman"/>
          <w:sz w:val="20"/>
          <w:szCs w:val="20"/>
          <w:lang w:val="en-GB"/>
        </w:rPr>
        <w:lastRenderedPageBreak/>
        <w:t>PFSP paste had the highest total anthocyanin</w:t>
      </w:r>
      <w:r w:rsidR="007871C1">
        <w:rPr>
          <w:rFonts w:ascii="Times New Roman" w:hAnsi="Times New Roman"/>
          <w:sz w:val="20"/>
          <w:szCs w:val="20"/>
          <w:lang w:val="en-GB"/>
        </w:rPr>
        <w:t xml:space="preserve"> content at 52.48 mg CyE/100 g f</w:t>
      </w:r>
      <w:r w:rsidRPr="0098390C">
        <w:rPr>
          <w:rFonts w:ascii="Times New Roman" w:hAnsi="Times New Roman"/>
          <w:sz w:val="20"/>
          <w:szCs w:val="20"/>
          <w:lang w:val="en-GB"/>
        </w:rPr>
        <w:t xml:space="preserve">w which was twice higher than the PFSP fresh. The results suggest that steaming of PFSP into paste inactivate enzymes that degrade anthocyanin pigments and other antioxidant compounds. </w:t>
      </w:r>
      <w:r w:rsidRPr="0098390C">
        <w:rPr>
          <w:rFonts w:ascii="Times New Roman" w:hAnsi="Times New Roman"/>
          <w:sz w:val="20"/>
          <w:szCs w:val="20"/>
        </w:rPr>
        <w:t xml:space="preserve">This showed that PFSP fresh are a good source of anthocyanins and the level of these compounds increased when processed in different form. </w:t>
      </w:r>
      <w:r w:rsidRPr="0098390C">
        <w:rPr>
          <w:rFonts w:ascii="Times New Roman" w:hAnsi="Times New Roman"/>
          <w:sz w:val="20"/>
          <w:szCs w:val="20"/>
          <w:lang w:val="en-MY"/>
        </w:rPr>
        <w:t xml:space="preserve">Anthocyanins found in this type of sweet potato exhibit more stability as compared to those in strawberry, raspberry, apple, and soybean with black seed coat with a low level of acylation </w:t>
      </w:r>
      <w:r w:rsidRPr="0098390C">
        <w:rPr>
          <w:rFonts w:ascii="Times New Roman" w:hAnsi="Times New Roman"/>
          <w:noProof/>
          <w:sz w:val="20"/>
          <w:szCs w:val="20"/>
          <w:lang w:val="en-MY"/>
        </w:rPr>
        <w:t>[5]</w:t>
      </w:r>
      <w:r w:rsidRPr="0098390C">
        <w:rPr>
          <w:rFonts w:ascii="Times New Roman" w:hAnsi="Times New Roman"/>
          <w:sz w:val="20"/>
          <w:szCs w:val="20"/>
          <w:lang w:val="en-MY"/>
        </w:rPr>
        <w:t xml:space="preserve">. Discoveries of acylated anthocyanins with better stability demonstrated that these colours may be more desirable in food product </w:t>
      </w:r>
      <w:r w:rsidRPr="0098390C">
        <w:rPr>
          <w:rFonts w:ascii="Times New Roman" w:hAnsi="Times New Roman"/>
          <w:noProof/>
          <w:sz w:val="20"/>
          <w:szCs w:val="20"/>
          <w:lang w:val="en-MY"/>
        </w:rPr>
        <w:t>[21]</w:t>
      </w:r>
      <w:r w:rsidRPr="0098390C">
        <w:rPr>
          <w:rFonts w:ascii="Times New Roman" w:hAnsi="Times New Roman"/>
          <w:sz w:val="20"/>
          <w:szCs w:val="20"/>
          <w:lang w:val="en-MY"/>
        </w:rPr>
        <w:t>.</w:t>
      </w:r>
    </w:p>
    <w:p w:rsidR="0098390C" w:rsidRPr="0098390C" w:rsidRDefault="0098390C" w:rsidP="0098390C">
      <w:pPr>
        <w:spacing w:after="0" w:line="240" w:lineRule="auto"/>
        <w:jc w:val="both"/>
        <w:outlineLvl w:val="0"/>
        <w:rPr>
          <w:rFonts w:ascii="Times New Roman" w:hAnsi="Times New Roman"/>
          <w:sz w:val="20"/>
          <w:szCs w:val="20"/>
          <w:lang w:val="en-MY"/>
        </w:rPr>
      </w:pPr>
    </w:p>
    <w:p w:rsidR="0098390C" w:rsidRPr="0098390C" w:rsidRDefault="0098390C" w:rsidP="0098390C">
      <w:pPr>
        <w:spacing w:after="0" w:line="240" w:lineRule="auto"/>
        <w:jc w:val="both"/>
        <w:outlineLvl w:val="0"/>
        <w:rPr>
          <w:rFonts w:ascii="Times New Roman" w:hAnsi="Times New Roman"/>
          <w:sz w:val="20"/>
          <w:szCs w:val="20"/>
          <w:lang w:val="en-MY"/>
        </w:rPr>
      </w:pPr>
      <w:r w:rsidRPr="0098390C">
        <w:rPr>
          <w:rFonts w:ascii="Times New Roman" w:hAnsi="Times New Roman"/>
          <w:sz w:val="20"/>
          <w:szCs w:val="20"/>
          <w:lang w:val="en-MY"/>
        </w:rPr>
        <w:t xml:space="preserve">The antioxidant of a food matrix is likely to be enhanced when another functional ingredient is incorporated or substituted. As seen, after incorporation in biscuit formulation the anthocyanin content was still available where biscuit with </w:t>
      </w:r>
      <w:r w:rsidR="007871C1">
        <w:rPr>
          <w:rFonts w:ascii="Times New Roman" w:hAnsi="Times New Roman"/>
          <w:sz w:val="20"/>
          <w:szCs w:val="20"/>
          <w:lang w:val="en-MY"/>
        </w:rPr>
        <w:t>PFSP flour (10.81 mg CyE/100 g f</w:t>
      </w:r>
      <w:r w:rsidRPr="0098390C">
        <w:rPr>
          <w:rFonts w:ascii="Times New Roman" w:hAnsi="Times New Roman"/>
          <w:sz w:val="20"/>
          <w:szCs w:val="20"/>
          <w:lang w:val="en-MY"/>
        </w:rPr>
        <w:t>w) had the retention more than twice as compared to biscuit with PFSP fresh and paste. The stability of antioxidant compound anthocyanin in food processing could be seen in a study of biscuit production with added anthocyanin extract from red and black berries mix, sour cherries, grape, and pressed grape marc. The anthocyanin content in the baked cookies contained 103 × 10</w:t>
      </w:r>
      <w:r w:rsidRPr="0098390C">
        <w:rPr>
          <w:rFonts w:ascii="Times New Roman" w:hAnsi="Times New Roman"/>
          <w:sz w:val="20"/>
          <w:szCs w:val="20"/>
          <w:vertAlign w:val="superscript"/>
          <w:lang w:val="en-MY"/>
        </w:rPr>
        <w:t>−3</w:t>
      </w:r>
      <w:r w:rsidRPr="0098390C">
        <w:rPr>
          <w:rFonts w:ascii="Times New Roman" w:hAnsi="Times New Roman"/>
          <w:sz w:val="20"/>
          <w:szCs w:val="20"/>
          <w:lang w:val="en-MY"/>
        </w:rPr>
        <w:t xml:space="preserve"> g CyCl/ kg product. Considered that the mean weight of biscuits was about 8 g, five biscuits supply for about 4 × 10</w:t>
      </w:r>
      <w:r w:rsidRPr="0098390C">
        <w:rPr>
          <w:rFonts w:ascii="Times New Roman" w:hAnsi="Times New Roman"/>
          <w:sz w:val="20"/>
          <w:szCs w:val="20"/>
          <w:vertAlign w:val="superscript"/>
          <w:lang w:val="en-MY"/>
        </w:rPr>
        <w:t>−3</w:t>
      </w:r>
      <w:r w:rsidRPr="0098390C">
        <w:rPr>
          <w:rFonts w:ascii="Times New Roman" w:hAnsi="Times New Roman"/>
          <w:sz w:val="20"/>
          <w:szCs w:val="20"/>
          <w:lang w:val="en-MY"/>
        </w:rPr>
        <w:t xml:space="preserve"> g anthocyanins, similarly to the most marketed food supplements, that contain 2 × 10</w:t>
      </w:r>
      <w:r w:rsidRPr="0098390C">
        <w:rPr>
          <w:rFonts w:ascii="Times New Roman" w:hAnsi="Times New Roman"/>
          <w:sz w:val="20"/>
          <w:szCs w:val="20"/>
          <w:vertAlign w:val="superscript"/>
          <w:lang w:val="en-MY"/>
        </w:rPr>
        <w:t>−3</w:t>
      </w:r>
      <w:r w:rsidRPr="0098390C">
        <w:rPr>
          <w:rFonts w:ascii="Times New Roman" w:hAnsi="Times New Roman"/>
          <w:sz w:val="20"/>
          <w:szCs w:val="20"/>
          <w:lang w:val="en-MY"/>
        </w:rPr>
        <w:t xml:space="preserve"> – 18 × 10</w:t>
      </w:r>
      <w:r w:rsidRPr="0098390C">
        <w:rPr>
          <w:rFonts w:ascii="Times New Roman" w:hAnsi="Times New Roman"/>
          <w:sz w:val="20"/>
          <w:szCs w:val="20"/>
          <w:vertAlign w:val="superscript"/>
          <w:lang w:val="en-MY"/>
        </w:rPr>
        <w:t>−3</w:t>
      </w:r>
      <w:r w:rsidRPr="0098390C">
        <w:rPr>
          <w:rFonts w:ascii="Times New Roman" w:hAnsi="Times New Roman"/>
          <w:sz w:val="20"/>
          <w:szCs w:val="20"/>
          <w:lang w:val="en-MY"/>
        </w:rPr>
        <w:t xml:space="preserve"> g anthocyanins per dose </w:t>
      </w:r>
      <w:r w:rsidRPr="0098390C">
        <w:rPr>
          <w:rFonts w:ascii="Times New Roman" w:hAnsi="Times New Roman"/>
          <w:noProof/>
          <w:sz w:val="20"/>
          <w:szCs w:val="20"/>
          <w:lang w:val="en-MY"/>
        </w:rPr>
        <w:t>[22]</w:t>
      </w:r>
      <w:r w:rsidRPr="0098390C">
        <w:rPr>
          <w:rFonts w:ascii="Times New Roman" w:hAnsi="Times New Roman"/>
          <w:sz w:val="20"/>
          <w:szCs w:val="20"/>
          <w:lang w:val="en-MY"/>
        </w:rPr>
        <w:t>.</w:t>
      </w:r>
    </w:p>
    <w:p w:rsidR="0098390C" w:rsidRPr="0098390C" w:rsidRDefault="0098390C" w:rsidP="0098390C">
      <w:pPr>
        <w:spacing w:after="0" w:line="240" w:lineRule="auto"/>
        <w:jc w:val="both"/>
        <w:outlineLvl w:val="0"/>
        <w:rPr>
          <w:rFonts w:ascii="Times New Roman" w:hAnsi="Times New Roman"/>
          <w:sz w:val="20"/>
          <w:szCs w:val="20"/>
          <w:lang w:val="en-MY"/>
        </w:rPr>
      </w:pPr>
    </w:p>
    <w:p w:rsidR="0098390C" w:rsidRPr="0098390C" w:rsidRDefault="0098390C" w:rsidP="0098390C">
      <w:pPr>
        <w:spacing w:after="0" w:line="240" w:lineRule="auto"/>
        <w:jc w:val="both"/>
        <w:outlineLvl w:val="0"/>
        <w:rPr>
          <w:rFonts w:ascii="Times New Roman" w:hAnsi="Times New Roman"/>
          <w:b/>
          <w:bCs/>
          <w:sz w:val="20"/>
          <w:szCs w:val="20"/>
        </w:rPr>
      </w:pPr>
      <w:r w:rsidRPr="0098390C">
        <w:rPr>
          <w:rFonts w:ascii="Times New Roman" w:hAnsi="Times New Roman"/>
          <w:b/>
          <w:bCs/>
          <w:sz w:val="20"/>
          <w:szCs w:val="20"/>
        </w:rPr>
        <w:t>Effect of different PFSP form and its incorporation in biscuit on antioxidant capacity</w:t>
      </w:r>
    </w:p>
    <w:p w:rsidR="0098390C" w:rsidRPr="0098390C" w:rsidRDefault="0098390C" w:rsidP="0098390C">
      <w:pPr>
        <w:spacing w:after="0" w:line="240" w:lineRule="auto"/>
        <w:jc w:val="both"/>
        <w:outlineLvl w:val="0"/>
        <w:rPr>
          <w:rFonts w:ascii="Times New Roman" w:hAnsi="Times New Roman"/>
          <w:sz w:val="20"/>
          <w:szCs w:val="20"/>
        </w:rPr>
      </w:pPr>
      <w:r w:rsidRPr="0098390C">
        <w:rPr>
          <w:rFonts w:ascii="Times New Roman" w:hAnsi="Times New Roman"/>
          <w:sz w:val="20"/>
          <w:szCs w:val="20"/>
        </w:rPr>
        <w:t>Ferric reducing power indicate the ability of natural antioxidant to donate electrons. Table 2 shows the FRAP values of the antioxidant extract of PFSP. PFSP paste had the highest</w:t>
      </w:r>
      <w:r w:rsidR="007871C1">
        <w:rPr>
          <w:rFonts w:ascii="Times New Roman" w:hAnsi="Times New Roman"/>
          <w:sz w:val="20"/>
          <w:szCs w:val="20"/>
        </w:rPr>
        <w:t xml:space="preserve"> reducing power (148.19 g Fe/g f</w:t>
      </w:r>
      <w:r w:rsidRPr="0098390C">
        <w:rPr>
          <w:rFonts w:ascii="Times New Roman" w:hAnsi="Times New Roman"/>
          <w:sz w:val="20"/>
          <w:szCs w:val="20"/>
        </w:rPr>
        <w:t>w), while PFSP fresh exhibited the lowest pow</w:t>
      </w:r>
      <w:r w:rsidR="007871C1">
        <w:rPr>
          <w:rFonts w:ascii="Times New Roman" w:hAnsi="Times New Roman"/>
          <w:sz w:val="20"/>
          <w:szCs w:val="20"/>
        </w:rPr>
        <w:t>er (85.97 g Fe/g f</w:t>
      </w:r>
      <w:r w:rsidRPr="0098390C">
        <w:rPr>
          <w:rFonts w:ascii="Times New Roman" w:hAnsi="Times New Roman"/>
          <w:sz w:val="20"/>
          <w:szCs w:val="20"/>
        </w:rPr>
        <w:t>w) among all three forms. The PFSP flour and PFSP paste had significantly h</w:t>
      </w:r>
      <w:r w:rsidR="007871C1">
        <w:rPr>
          <w:rFonts w:ascii="Times New Roman" w:hAnsi="Times New Roman"/>
          <w:sz w:val="20"/>
          <w:szCs w:val="20"/>
        </w:rPr>
        <w:t>igher FRAP value 130.72 g Fe/g fw and 148.19 g Fe/g f</w:t>
      </w:r>
      <w:r w:rsidRPr="0098390C">
        <w:rPr>
          <w:rFonts w:ascii="Times New Roman" w:hAnsi="Times New Roman"/>
          <w:sz w:val="20"/>
          <w:szCs w:val="20"/>
        </w:rPr>
        <w:t xml:space="preserve">w, respectively than the PFSP fresh samples, indicating that the reducing power in sweet potato was increased by thermal process </w:t>
      </w:r>
      <w:r w:rsidRPr="0098390C">
        <w:rPr>
          <w:rFonts w:ascii="Times New Roman" w:hAnsi="Times New Roman"/>
          <w:noProof/>
          <w:sz w:val="20"/>
          <w:szCs w:val="20"/>
        </w:rPr>
        <w:t>[23]</w:t>
      </w:r>
      <w:r w:rsidRPr="0098390C">
        <w:rPr>
          <w:rFonts w:ascii="Times New Roman" w:hAnsi="Times New Roman"/>
          <w:sz w:val="20"/>
          <w:szCs w:val="20"/>
        </w:rPr>
        <w:t>. Meanwhile, further thermal processing on biscuit causes the antioxidant capacity to be significantly reduced.  The highest antioxidant capacity is biscuit</w:t>
      </w:r>
      <w:r w:rsidR="007871C1">
        <w:rPr>
          <w:rFonts w:ascii="Times New Roman" w:hAnsi="Times New Roman"/>
          <w:sz w:val="20"/>
          <w:szCs w:val="20"/>
        </w:rPr>
        <w:t xml:space="preserve"> with PFSP flour (28.64 g Fe/g f</w:t>
      </w:r>
      <w:r w:rsidRPr="0098390C">
        <w:rPr>
          <w:rFonts w:ascii="Times New Roman" w:hAnsi="Times New Roman"/>
          <w:sz w:val="20"/>
          <w:szCs w:val="20"/>
        </w:rPr>
        <w:t>w), whereas the lowest is in biscuit with PFS</w:t>
      </w:r>
      <w:r w:rsidR="007871C1">
        <w:rPr>
          <w:rFonts w:ascii="Times New Roman" w:hAnsi="Times New Roman"/>
          <w:sz w:val="20"/>
          <w:szCs w:val="20"/>
        </w:rPr>
        <w:t>P fresh (9.73 g Fe/g f</w:t>
      </w:r>
      <w:r w:rsidRPr="0098390C">
        <w:rPr>
          <w:rFonts w:ascii="Times New Roman" w:hAnsi="Times New Roman"/>
          <w:sz w:val="20"/>
          <w:szCs w:val="20"/>
        </w:rPr>
        <w:t xml:space="preserve">w). However, all biscuits with PFSP incorporated showed a significant increase in antioxidant capacity as compared to </w:t>
      </w:r>
      <w:r w:rsidR="007871C1">
        <w:rPr>
          <w:rFonts w:ascii="Times New Roman" w:hAnsi="Times New Roman"/>
          <w:sz w:val="20"/>
          <w:szCs w:val="20"/>
        </w:rPr>
        <w:t>control biscuit at 1.21 g Fe/g f</w:t>
      </w:r>
      <w:r w:rsidRPr="0098390C">
        <w:rPr>
          <w:rFonts w:ascii="Times New Roman" w:hAnsi="Times New Roman"/>
          <w:sz w:val="20"/>
          <w:szCs w:val="20"/>
        </w:rPr>
        <w:t>w. This suggests that not only PFSP contribute to the colour of the biscuit, it also enhances the antioxidant capacity.</w:t>
      </w:r>
    </w:p>
    <w:p w:rsidR="0098390C" w:rsidRPr="0098390C" w:rsidRDefault="0098390C" w:rsidP="0098390C">
      <w:pPr>
        <w:spacing w:after="120" w:line="240" w:lineRule="auto"/>
        <w:jc w:val="both"/>
        <w:outlineLvl w:val="0"/>
        <w:rPr>
          <w:rFonts w:ascii="Times New Roman" w:hAnsi="Times New Roman"/>
          <w:sz w:val="20"/>
          <w:szCs w:val="20"/>
        </w:rPr>
      </w:pPr>
    </w:p>
    <w:p w:rsidR="0098390C" w:rsidRDefault="0098390C" w:rsidP="0098390C">
      <w:pPr>
        <w:spacing w:after="0" w:line="240" w:lineRule="auto"/>
        <w:ind w:left="851" w:hanging="851"/>
        <w:jc w:val="center"/>
        <w:outlineLvl w:val="0"/>
        <w:rPr>
          <w:rFonts w:ascii="Times New Roman" w:hAnsi="Times New Roman"/>
          <w:sz w:val="20"/>
          <w:szCs w:val="20"/>
        </w:rPr>
      </w:pPr>
      <w:r w:rsidRPr="0098390C">
        <w:rPr>
          <w:rFonts w:ascii="Times New Roman" w:hAnsi="Times New Roman"/>
          <w:sz w:val="20"/>
          <w:szCs w:val="20"/>
        </w:rPr>
        <w:t xml:space="preserve">Table 2.  The antioxidant capacity (means ± standard deviation) of different form </w:t>
      </w:r>
    </w:p>
    <w:p w:rsidR="0098390C" w:rsidRPr="0098390C" w:rsidRDefault="0098390C" w:rsidP="0098390C">
      <w:pPr>
        <w:spacing w:after="120" w:line="240" w:lineRule="auto"/>
        <w:ind w:left="850" w:hanging="850"/>
        <w:jc w:val="center"/>
        <w:outlineLvl w:val="0"/>
        <w:rPr>
          <w:rFonts w:ascii="Times New Roman" w:hAnsi="Times New Roman"/>
          <w:sz w:val="20"/>
          <w:szCs w:val="20"/>
        </w:rPr>
      </w:pPr>
      <w:r w:rsidRPr="0098390C">
        <w:rPr>
          <w:rFonts w:ascii="Times New Roman" w:hAnsi="Times New Roman"/>
          <w:sz w:val="20"/>
          <w:szCs w:val="20"/>
        </w:rPr>
        <w:t>purple-fleshed sweet potato incorporated in biscuit</w:t>
      </w:r>
    </w:p>
    <w:tbl>
      <w:tblPr>
        <w:tblStyle w:val="LightShading1"/>
        <w:tblW w:w="0" w:type="auto"/>
        <w:jc w:val="center"/>
        <w:tblInd w:w="-269" w:type="dxa"/>
        <w:tblLook w:val="04A0" w:firstRow="1" w:lastRow="0" w:firstColumn="1" w:lastColumn="0" w:noHBand="0" w:noVBand="1"/>
      </w:tblPr>
      <w:tblGrid>
        <w:gridCol w:w="2419"/>
        <w:gridCol w:w="1533"/>
        <w:gridCol w:w="1583"/>
      </w:tblGrid>
      <w:tr w:rsidR="0098390C" w:rsidRPr="0098390C" w:rsidTr="00DC06F3">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2419" w:type="dxa"/>
            <w:tcBorders>
              <w:top w:val="single" w:sz="4" w:space="0" w:color="auto"/>
              <w:bottom w:val="single" w:sz="4" w:space="0" w:color="auto"/>
            </w:tcBorders>
            <w:shd w:val="clear" w:color="auto" w:fill="auto"/>
          </w:tcPr>
          <w:p w:rsidR="0098390C" w:rsidRPr="0098390C" w:rsidRDefault="0098390C" w:rsidP="008E3714">
            <w:pPr>
              <w:spacing w:after="0" w:line="240" w:lineRule="auto"/>
              <w:jc w:val="both"/>
              <w:outlineLvl w:val="0"/>
              <w:rPr>
                <w:rFonts w:ascii="Times New Roman" w:hAnsi="Times New Roman" w:cs="Times New Roman"/>
                <w:color w:val="auto"/>
                <w:sz w:val="20"/>
                <w:szCs w:val="20"/>
              </w:rPr>
            </w:pPr>
          </w:p>
        </w:tc>
        <w:tc>
          <w:tcPr>
            <w:tcW w:w="1533" w:type="dxa"/>
            <w:tcBorders>
              <w:top w:val="single" w:sz="4" w:space="0" w:color="auto"/>
              <w:bottom w:val="single" w:sz="4" w:space="0" w:color="auto"/>
            </w:tcBorders>
            <w:shd w:val="clear" w:color="auto" w:fill="auto"/>
          </w:tcPr>
          <w:p w:rsidR="0098390C" w:rsidRPr="0098390C" w:rsidRDefault="0098390C" w:rsidP="0098390C">
            <w:pPr>
              <w:pStyle w:val="BodyText"/>
              <w:spacing w:before="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FRAP</w:t>
            </w:r>
          </w:p>
          <w:p w:rsidR="0098390C" w:rsidRPr="0098390C" w:rsidRDefault="007871C1" w:rsidP="0098390C">
            <w:pPr>
              <w:pStyle w:val="BodyText"/>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Pr>
                <w:rFonts w:cs="Times New Roman"/>
                <w:color w:val="auto"/>
                <w:sz w:val="20"/>
              </w:rPr>
              <w:t>(mg Fe/g f</w:t>
            </w:r>
            <w:r w:rsidR="0098390C" w:rsidRPr="0098390C">
              <w:rPr>
                <w:rFonts w:cs="Times New Roman"/>
                <w:color w:val="auto"/>
                <w:sz w:val="20"/>
              </w:rPr>
              <w:t>w)</w:t>
            </w:r>
          </w:p>
        </w:tc>
        <w:tc>
          <w:tcPr>
            <w:tcW w:w="1583" w:type="dxa"/>
            <w:tcBorders>
              <w:top w:val="single" w:sz="4" w:space="0" w:color="auto"/>
              <w:bottom w:val="single" w:sz="4" w:space="0" w:color="auto"/>
            </w:tcBorders>
            <w:shd w:val="clear" w:color="auto" w:fill="auto"/>
          </w:tcPr>
          <w:p w:rsidR="0098390C" w:rsidRPr="0098390C" w:rsidRDefault="0098390C" w:rsidP="0098390C">
            <w:pPr>
              <w:pStyle w:val="BodyText"/>
              <w:spacing w:before="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DPPH</w:t>
            </w:r>
          </w:p>
          <w:p w:rsidR="0098390C" w:rsidRPr="0098390C" w:rsidRDefault="0098390C" w:rsidP="0098390C">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w:t>
            </w:r>
          </w:p>
        </w:tc>
      </w:tr>
      <w:tr w:rsidR="0098390C" w:rsidRPr="0098390C" w:rsidTr="00DC06F3">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419" w:type="dxa"/>
            <w:tcBorders>
              <w:top w:val="single" w:sz="4" w:space="0" w:color="auto"/>
            </w:tcBorders>
            <w:shd w:val="clear" w:color="auto" w:fill="auto"/>
          </w:tcPr>
          <w:p w:rsidR="0098390C" w:rsidRPr="0098390C" w:rsidRDefault="0098390C" w:rsidP="00DC06F3">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Fresh</w:t>
            </w:r>
          </w:p>
        </w:tc>
        <w:tc>
          <w:tcPr>
            <w:tcW w:w="1533" w:type="dxa"/>
            <w:tcBorders>
              <w:top w:val="single" w:sz="4" w:space="0" w:color="auto"/>
            </w:tcBorders>
            <w:shd w:val="clear" w:color="auto" w:fill="auto"/>
          </w:tcPr>
          <w:p w:rsidR="0098390C" w:rsidRPr="0098390C" w:rsidRDefault="0098390C" w:rsidP="00DC06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85.97 ± 3.42</w:t>
            </w:r>
            <w:r w:rsidRPr="0098390C">
              <w:rPr>
                <w:rFonts w:ascii="Times New Roman" w:hAnsi="Times New Roman" w:cs="Times New Roman"/>
                <w:color w:val="auto"/>
                <w:sz w:val="20"/>
                <w:szCs w:val="20"/>
                <w:vertAlign w:val="superscript"/>
              </w:rPr>
              <w:t>a</w:t>
            </w:r>
          </w:p>
        </w:tc>
        <w:tc>
          <w:tcPr>
            <w:tcW w:w="1583" w:type="dxa"/>
            <w:tcBorders>
              <w:top w:val="single" w:sz="4" w:space="0" w:color="auto"/>
            </w:tcBorders>
            <w:shd w:val="clear" w:color="auto" w:fill="auto"/>
          </w:tcPr>
          <w:p w:rsidR="0098390C" w:rsidRPr="0098390C" w:rsidRDefault="0098390C" w:rsidP="00DC06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84.78 ± 0.37</w:t>
            </w:r>
            <w:r w:rsidRPr="0098390C">
              <w:rPr>
                <w:rFonts w:ascii="Times New Roman" w:hAnsi="Times New Roman" w:cs="Times New Roman"/>
                <w:color w:val="auto"/>
                <w:sz w:val="20"/>
                <w:szCs w:val="20"/>
                <w:vertAlign w:val="superscript"/>
              </w:rPr>
              <w:t>a</w:t>
            </w:r>
          </w:p>
        </w:tc>
      </w:tr>
      <w:tr w:rsidR="0098390C" w:rsidRPr="0098390C" w:rsidTr="00DC06F3">
        <w:trPr>
          <w:trHeight w:val="74"/>
          <w:jc w:val="center"/>
        </w:trPr>
        <w:tc>
          <w:tcPr>
            <w:cnfStyle w:val="001000000000" w:firstRow="0" w:lastRow="0" w:firstColumn="1" w:lastColumn="0" w:oddVBand="0" w:evenVBand="0" w:oddHBand="0" w:evenHBand="0" w:firstRowFirstColumn="0" w:firstRowLastColumn="0" w:lastRowFirstColumn="0" w:lastRowLastColumn="0"/>
            <w:tcW w:w="2419" w:type="dxa"/>
            <w:tcBorders>
              <w:bottom w:val="nil"/>
            </w:tcBorders>
            <w:shd w:val="clear" w:color="auto" w:fill="auto"/>
          </w:tcPr>
          <w:p w:rsidR="0098390C" w:rsidRPr="0098390C" w:rsidRDefault="0098390C" w:rsidP="00DC06F3">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Flour</w:t>
            </w:r>
          </w:p>
        </w:tc>
        <w:tc>
          <w:tcPr>
            <w:tcW w:w="1533" w:type="dxa"/>
            <w:tcBorders>
              <w:bottom w:val="nil"/>
            </w:tcBorders>
            <w:shd w:val="clear" w:color="auto" w:fill="auto"/>
          </w:tcPr>
          <w:p w:rsidR="0098390C" w:rsidRPr="0098390C" w:rsidRDefault="0098390C" w:rsidP="00DC06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130.72 ± 3.40</w:t>
            </w:r>
            <w:r w:rsidRPr="0098390C">
              <w:rPr>
                <w:rFonts w:ascii="Times New Roman" w:hAnsi="Times New Roman" w:cs="Times New Roman"/>
                <w:color w:val="auto"/>
                <w:sz w:val="20"/>
                <w:szCs w:val="20"/>
                <w:vertAlign w:val="superscript"/>
              </w:rPr>
              <w:t>b</w:t>
            </w:r>
          </w:p>
        </w:tc>
        <w:tc>
          <w:tcPr>
            <w:tcW w:w="1583" w:type="dxa"/>
            <w:tcBorders>
              <w:bottom w:val="nil"/>
            </w:tcBorders>
            <w:shd w:val="clear" w:color="auto" w:fill="auto"/>
          </w:tcPr>
          <w:p w:rsidR="0098390C" w:rsidRPr="0098390C" w:rsidRDefault="0098390C" w:rsidP="00DC06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86.46 ± 0.26</w:t>
            </w:r>
            <w:r w:rsidRPr="0098390C">
              <w:rPr>
                <w:rFonts w:ascii="Times New Roman" w:hAnsi="Times New Roman" w:cs="Times New Roman"/>
                <w:color w:val="auto"/>
                <w:sz w:val="20"/>
                <w:szCs w:val="20"/>
                <w:vertAlign w:val="superscript"/>
              </w:rPr>
              <w:t>b</w:t>
            </w:r>
          </w:p>
        </w:tc>
      </w:tr>
      <w:tr w:rsidR="0098390C" w:rsidRPr="0098390C" w:rsidTr="00DC06F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19" w:type="dxa"/>
            <w:tcBorders>
              <w:top w:val="nil"/>
              <w:bottom w:val="single" w:sz="4" w:space="0" w:color="auto"/>
            </w:tcBorders>
            <w:shd w:val="clear" w:color="auto" w:fill="auto"/>
          </w:tcPr>
          <w:p w:rsidR="0098390C" w:rsidRPr="0098390C" w:rsidRDefault="0098390C" w:rsidP="00DC06F3">
            <w:pPr>
              <w:spacing w:before="60" w:after="6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Paste</w:t>
            </w:r>
          </w:p>
        </w:tc>
        <w:tc>
          <w:tcPr>
            <w:tcW w:w="1533" w:type="dxa"/>
            <w:tcBorders>
              <w:top w:val="nil"/>
              <w:bottom w:val="single" w:sz="4" w:space="0" w:color="auto"/>
            </w:tcBorders>
            <w:shd w:val="clear" w:color="auto" w:fill="auto"/>
          </w:tcPr>
          <w:p w:rsidR="0098390C" w:rsidRPr="0098390C" w:rsidRDefault="0098390C" w:rsidP="00DC06F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148.19 ± 2.19</w:t>
            </w:r>
            <w:r w:rsidRPr="0098390C">
              <w:rPr>
                <w:rFonts w:ascii="Times New Roman" w:hAnsi="Times New Roman" w:cs="Times New Roman"/>
                <w:color w:val="auto"/>
                <w:sz w:val="20"/>
                <w:szCs w:val="20"/>
                <w:vertAlign w:val="superscript"/>
              </w:rPr>
              <w:t>c</w:t>
            </w:r>
          </w:p>
        </w:tc>
        <w:tc>
          <w:tcPr>
            <w:tcW w:w="1583" w:type="dxa"/>
            <w:tcBorders>
              <w:top w:val="nil"/>
              <w:bottom w:val="single" w:sz="4" w:space="0" w:color="auto"/>
            </w:tcBorders>
            <w:shd w:val="clear" w:color="auto" w:fill="auto"/>
          </w:tcPr>
          <w:p w:rsidR="0098390C" w:rsidRPr="0098390C" w:rsidRDefault="0098390C" w:rsidP="00DC06F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92.07 ± 0.65</w:t>
            </w:r>
            <w:r w:rsidRPr="0098390C">
              <w:rPr>
                <w:rFonts w:ascii="Times New Roman" w:hAnsi="Times New Roman" w:cs="Times New Roman"/>
                <w:color w:val="auto"/>
                <w:sz w:val="20"/>
                <w:szCs w:val="20"/>
                <w:vertAlign w:val="superscript"/>
              </w:rPr>
              <w:t>c</w:t>
            </w:r>
          </w:p>
        </w:tc>
      </w:tr>
      <w:tr w:rsidR="00DC06F3" w:rsidRPr="0098390C" w:rsidTr="00DC06F3">
        <w:trPr>
          <w:trHeight w:val="60"/>
          <w:jc w:val="center"/>
        </w:trPr>
        <w:tc>
          <w:tcPr>
            <w:cnfStyle w:val="001000000000" w:firstRow="0" w:lastRow="0" w:firstColumn="1" w:lastColumn="0" w:oddVBand="0" w:evenVBand="0" w:oddHBand="0" w:evenHBand="0" w:firstRowFirstColumn="0" w:firstRowLastColumn="0" w:lastRowFirstColumn="0" w:lastRowLastColumn="0"/>
            <w:tcW w:w="2419" w:type="dxa"/>
            <w:tcBorders>
              <w:top w:val="single" w:sz="4" w:space="0" w:color="auto"/>
              <w:bottom w:val="nil"/>
            </w:tcBorders>
            <w:shd w:val="clear" w:color="auto" w:fill="auto"/>
          </w:tcPr>
          <w:p w:rsidR="0098390C" w:rsidRPr="0098390C" w:rsidRDefault="0098390C" w:rsidP="00DC06F3">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i/>
                <w:iCs/>
                <w:color w:val="auto"/>
                <w:sz w:val="20"/>
                <w:szCs w:val="20"/>
              </w:rPr>
              <w:t>Incorporation in Biscuit</w:t>
            </w:r>
          </w:p>
        </w:tc>
        <w:tc>
          <w:tcPr>
            <w:tcW w:w="1533" w:type="dxa"/>
            <w:tcBorders>
              <w:top w:val="single" w:sz="4" w:space="0" w:color="auto"/>
              <w:bottom w:val="nil"/>
            </w:tcBorders>
            <w:shd w:val="clear" w:color="auto" w:fill="auto"/>
          </w:tcPr>
          <w:p w:rsidR="0098390C" w:rsidRPr="0098390C" w:rsidRDefault="0098390C" w:rsidP="00DC06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583" w:type="dxa"/>
            <w:tcBorders>
              <w:top w:val="single" w:sz="4" w:space="0" w:color="auto"/>
              <w:bottom w:val="nil"/>
            </w:tcBorders>
            <w:shd w:val="clear" w:color="auto" w:fill="auto"/>
          </w:tcPr>
          <w:p w:rsidR="0098390C" w:rsidRPr="0098390C" w:rsidRDefault="0098390C" w:rsidP="00DC06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98390C" w:rsidRPr="0098390C" w:rsidTr="00DC06F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19" w:type="dxa"/>
            <w:tcBorders>
              <w:top w:val="nil"/>
            </w:tcBorders>
            <w:shd w:val="clear" w:color="auto" w:fill="auto"/>
          </w:tcPr>
          <w:p w:rsidR="0098390C" w:rsidRPr="0098390C" w:rsidRDefault="0098390C" w:rsidP="00DC06F3">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Control</w:t>
            </w:r>
          </w:p>
        </w:tc>
        <w:tc>
          <w:tcPr>
            <w:tcW w:w="1533" w:type="dxa"/>
            <w:tcBorders>
              <w:top w:val="nil"/>
            </w:tcBorders>
            <w:shd w:val="clear" w:color="auto" w:fill="auto"/>
          </w:tcPr>
          <w:p w:rsidR="0098390C" w:rsidRPr="0098390C" w:rsidRDefault="0098390C" w:rsidP="00DC06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1.21 ± 0.06</w:t>
            </w:r>
            <w:r w:rsidRPr="0098390C">
              <w:rPr>
                <w:rFonts w:ascii="Times New Roman" w:hAnsi="Times New Roman" w:cs="Times New Roman"/>
                <w:color w:val="auto"/>
                <w:sz w:val="20"/>
                <w:szCs w:val="20"/>
                <w:vertAlign w:val="superscript"/>
              </w:rPr>
              <w:t>a</w:t>
            </w:r>
          </w:p>
        </w:tc>
        <w:tc>
          <w:tcPr>
            <w:tcW w:w="1583" w:type="dxa"/>
            <w:tcBorders>
              <w:top w:val="nil"/>
            </w:tcBorders>
            <w:shd w:val="clear" w:color="auto" w:fill="auto"/>
          </w:tcPr>
          <w:p w:rsidR="0098390C" w:rsidRPr="0098390C" w:rsidRDefault="0098390C" w:rsidP="00DC06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35.40 ± 1.05</w:t>
            </w:r>
            <w:r w:rsidRPr="0098390C">
              <w:rPr>
                <w:rFonts w:ascii="Times New Roman" w:hAnsi="Times New Roman" w:cs="Times New Roman"/>
                <w:color w:val="auto"/>
                <w:sz w:val="20"/>
                <w:szCs w:val="20"/>
                <w:vertAlign w:val="superscript"/>
              </w:rPr>
              <w:t>a</w:t>
            </w:r>
          </w:p>
        </w:tc>
      </w:tr>
      <w:tr w:rsidR="0098390C" w:rsidRPr="0098390C" w:rsidTr="00DC06F3">
        <w:trPr>
          <w:trHeight w:val="70"/>
          <w:jc w:val="center"/>
        </w:trPr>
        <w:tc>
          <w:tcPr>
            <w:cnfStyle w:val="001000000000" w:firstRow="0" w:lastRow="0" w:firstColumn="1" w:lastColumn="0" w:oddVBand="0" w:evenVBand="0" w:oddHBand="0" w:evenHBand="0" w:firstRowFirstColumn="0" w:firstRowLastColumn="0" w:lastRowFirstColumn="0" w:lastRowLastColumn="0"/>
            <w:tcW w:w="2419" w:type="dxa"/>
            <w:shd w:val="clear" w:color="auto" w:fill="auto"/>
          </w:tcPr>
          <w:p w:rsidR="0098390C" w:rsidRPr="0098390C" w:rsidRDefault="0098390C" w:rsidP="00DC06F3">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Fresh</w:t>
            </w:r>
          </w:p>
        </w:tc>
        <w:tc>
          <w:tcPr>
            <w:tcW w:w="1533" w:type="dxa"/>
            <w:shd w:val="clear" w:color="auto" w:fill="auto"/>
          </w:tcPr>
          <w:p w:rsidR="0098390C" w:rsidRPr="0098390C" w:rsidRDefault="0098390C" w:rsidP="00DC06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9.73 ± 0.04</w:t>
            </w:r>
            <w:r w:rsidRPr="0098390C">
              <w:rPr>
                <w:rFonts w:ascii="Times New Roman" w:hAnsi="Times New Roman" w:cs="Times New Roman"/>
                <w:color w:val="auto"/>
                <w:sz w:val="20"/>
                <w:szCs w:val="20"/>
                <w:vertAlign w:val="superscript"/>
              </w:rPr>
              <w:t>b</w:t>
            </w:r>
          </w:p>
        </w:tc>
        <w:tc>
          <w:tcPr>
            <w:tcW w:w="1583" w:type="dxa"/>
            <w:shd w:val="clear" w:color="auto" w:fill="auto"/>
          </w:tcPr>
          <w:p w:rsidR="0098390C" w:rsidRPr="0098390C" w:rsidRDefault="0098390C" w:rsidP="00DC06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54.12 ± 0.52</w:t>
            </w:r>
            <w:r w:rsidRPr="0098390C">
              <w:rPr>
                <w:rFonts w:ascii="Times New Roman" w:hAnsi="Times New Roman" w:cs="Times New Roman"/>
                <w:color w:val="auto"/>
                <w:sz w:val="20"/>
                <w:szCs w:val="20"/>
                <w:vertAlign w:val="superscript"/>
              </w:rPr>
              <w:t>b</w:t>
            </w:r>
          </w:p>
        </w:tc>
      </w:tr>
      <w:tr w:rsidR="0098390C" w:rsidRPr="0098390C" w:rsidTr="00DC06F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19" w:type="dxa"/>
            <w:tcBorders>
              <w:bottom w:val="nil"/>
            </w:tcBorders>
            <w:shd w:val="clear" w:color="auto" w:fill="auto"/>
          </w:tcPr>
          <w:p w:rsidR="0098390C" w:rsidRPr="0098390C" w:rsidRDefault="0098390C" w:rsidP="00DC06F3">
            <w:pPr>
              <w:spacing w:before="60" w:after="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Flour</w:t>
            </w:r>
          </w:p>
        </w:tc>
        <w:tc>
          <w:tcPr>
            <w:tcW w:w="1533" w:type="dxa"/>
            <w:tcBorders>
              <w:bottom w:val="nil"/>
            </w:tcBorders>
            <w:shd w:val="clear" w:color="auto" w:fill="auto"/>
          </w:tcPr>
          <w:p w:rsidR="0098390C" w:rsidRPr="0098390C" w:rsidRDefault="0098390C" w:rsidP="00DC06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28.64 ± 0.27</w:t>
            </w:r>
            <w:r w:rsidRPr="0098390C">
              <w:rPr>
                <w:rFonts w:ascii="Times New Roman" w:hAnsi="Times New Roman" w:cs="Times New Roman"/>
                <w:color w:val="auto"/>
                <w:sz w:val="20"/>
                <w:szCs w:val="20"/>
                <w:vertAlign w:val="superscript"/>
              </w:rPr>
              <w:t>c</w:t>
            </w:r>
          </w:p>
        </w:tc>
        <w:tc>
          <w:tcPr>
            <w:tcW w:w="1583" w:type="dxa"/>
            <w:tcBorders>
              <w:bottom w:val="nil"/>
            </w:tcBorders>
            <w:shd w:val="clear" w:color="auto" w:fill="auto"/>
          </w:tcPr>
          <w:p w:rsidR="0098390C" w:rsidRPr="0098390C" w:rsidRDefault="0098390C" w:rsidP="00DC06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73.82 ± 0.71</w:t>
            </w:r>
            <w:r w:rsidRPr="0098390C">
              <w:rPr>
                <w:rFonts w:ascii="Times New Roman" w:hAnsi="Times New Roman" w:cs="Times New Roman"/>
                <w:color w:val="auto"/>
                <w:sz w:val="20"/>
                <w:szCs w:val="20"/>
                <w:vertAlign w:val="superscript"/>
              </w:rPr>
              <w:t>c</w:t>
            </w:r>
          </w:p>
        </w:tc>
      </w:tr>
      <w:tr w:rsidR="0098390C" w:rsidRPr="0098390C" w:rsidTr="00DC06F3">
        <w:trPr>
          <w:trHeight w:val="108"/>
          <w:jc w:val="center"/>
        </w:trPr>
        <w:tc>
          <w:tcPr>
            <w:cnfStyle w:val="001000000000" w:firstRow="0" w:lastRow="0" w:firstColumn="1" w:lastColumn="0" w:oddVBand="0" w:evenVBand="0" w:oddHBand="0" w:evenHBand="0" w:firstRowFirstColumn="0" w:firstRowLastColumn="0" w:lastRowFirstColumn="0" w:lastRowLastColumn="0"/>
            <w:tcW w:w="2419" w:type="dxa"/>
            <w:tcBorders>
              <w:top w:val="nil"/>
              <w:bottom w:val="single" w:sz="4" w:space="0" w:color="auto"/>
            </w:tcBorders>
            <w:shd w:val="clear" w:color="auto" w:fill="auto"/>
          </w:tcPr>
          <w:p w:rsidR="0098390C" w:rsidRPr="0098390C" w:rsidRDefault="0098390C" w:rsidP="00DC06F3">
            <w:pPr>
              <w:spacing w:before="60" w:after="60" w:line="240" w:lineRule="auto"/>
              <w:jc w:val="both"/>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Paste</w:t>
            </w:r>
          </w:p>
        </w:tc>
        <w:tc>
          <w:tcPr>
            <w:tcW w:w="1533" w:type="dxa"/>
            <w:tcBorders>
              <w:top w:val="nil"/>
              <w:bottom w:val="single" w:sz="4" w:space="0" w:color="auto"/>
            </w:tcBorders>
            <w:shd w:val="clear" w:color="auto" w:fill="auto"/>
          </w:tcPr>
          <w:p w:rsidR="0098390C" w:rsidRPr="0098390C" w:rsidRDefault="0098390C" w:rsidP="00DC06F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16.39 ± 0.16</w:t>
            </w:r>
            <w:r w:rsidRPr="0098390C">
              <w:rPr>
                <w:rFonts w:ascii="Times New Roman" w:hAnsi="Times New Roman" w:cs="Times New Roman"/>
                <w:color w:val="auto"/>
                <w:sz w:val="20"/>
                <w:szCs w:val="20"/>
                <w:vertAlign w:val="superscript"/>
              </w:rPr>
              <w:t>d</w:t>
            </w:r>
          </w:p>
        </w:tc>
        <w:tc>
          <w:tcPr>
            <w:tcW w:w="1583" w:type="dxa"/>
            <w:tcBorders>
              <w:top w:val="nil"/>
              <w:bottom w:val="single" w:sz="4" w:space="0" w:color="auto"/>
            </w:tcBorders>
            <w:shd w:val="clear" w:color="auto" w:fill="auto"/>
          </w:tcPr>
          <w:p w:rsidR="0098390C" w:rsidRPr="0098390C" w:rsidRDefault="0098390C" w:rsidP="00DC06F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98390C">
              <w:rPr>
                <w:rFonts w:ascii="Times New Roman" w:hAnsi="Times New Roman" w:cs="Times New Roman"/>
                <w:color w:val="auto"/>
                <w:sz w:val="20"/>
                <w:szCs w:val="20"/>
              </w:rPr>
              <w:t>64.12 ± 0.71</w:t>
            </w:r>
            <w:r w:rsidRPr="0098390C">
              <w:rPr>
                <w:rFonts w:ascii="Times New Roman" w:hAnsi="Times New Roman" w:cs="Times New Roman"/>
                <w:color w:val="auto"/>
                <w:sz w:val="20"/>
                <w:szCs w:val="20"/>
                <w:vertAlign w:val="superscript"/>
              </w:rPr>
              <w:t>d</w:t>
            </w:r>
          </w:p>
        </w:tc>
      </w:tr>
    </w:tbl>
    <w:p w:rsidR="0098390C" w:rsidRPr="00DC06F3" w:rsidRDefault="0098390C" w:rsidP="00DC06F3">
      <w:pPr>
        <w:pStyle w:val="BodyText"/>
        <w:spacing w:before="60"/>
        <w:ind w:left="1890" w:right="1861"/>
        <w:rPr>
          <w:sz w:val="18"/>
          <w:szCs w:val="18"/>
        </w:rPr>
      </w:pPr>
      <w:r w:rsidRPr="00DC06F3">
        <w:rPr>
          <w:sz w:val="18"/>
          <w:szCs w:val="18"/>
        </w:rPr>
        <w:t>a, b, c, d means with different letter(s) in the same column differed significantly (p &lt;0.05)</w:t>
      </w:r>
    </w:p>
    <w:p w:rsidR="0098390C" w:rsidRPr="0098390C" w:rsidRDefault="0098390C" w:rsidP="00DC06F3">
      <w:pPr>
        <w:spacing w:after="120" w:line="240" w:lineRule="auto"/>
        <w:jc w:val="both"/>
        <w:outlineLvl w:val="0"/>
        <w:rPr>
          <w:rFonts w:ascii="Times New Roman" w:hAnsi="Times New Roman"/>
          <w:sz w:val="20"/>
          <w:szCs w:val="20"/>
        </w:rPr>
      </w:pPr>
    </w:p>
    <w:p w:rsidR="00A82E41" w:rsidRDefault="00A82E41" w:rsidP="0098390C">
      <w:pPr>
        <w:spacing w:after="0" w:line="240" w:lineRule="auto"/>
        <w:jc w:val="both"/>
        <w:outlineLvl w:val="0"/>
        <w:rPr>
          <w:rFonts w:ascii="Times New Roman" w:hAnsi="Times New Roman"/>
          <w:sz w:val="20"/>
          <w:szCs w:val="20"/>
        </w:rPr>
      </w:pPr>
    </w:p>
    <w:p w:rsidR="00A82E41" w:rsidRDefault="00A82E41" w:rsidP="0098390C">
      <w:pPr>
        <w:spacing w:after="0" w:line="240" w:lineRule="auto"/>
        <w:jc w:val="both"/>
        <w:outlineLvl w:val="0"/>
        <w:rPr>
          <w:rFonts w:ascii="Times New Roman" w:hAnsi="Times New Roman"/>
          <w:sz w:val="20"/>
          <w:szCs w:val="20"/>
        </w:rPr>
      </w:pPr>
    </w:p>
    <w:p w:rsidR="00A82E41" w:rsidRDefault="00A82E41" w:rsidP="0098390C">
      <w:pPr>
        <w:spacing w:after="0" w:line="240" w:lineRule="auto"/>
        <w:jc w:val="both"/>
        <w:outlineLvl w:val="0"/>
        <w:rPr>
          <w:rFonts w:ascii="Times New Roman" w:hAnsi="Times New Roman"/>
          <w:sz w:val="20"/>
          <w:szCs w:val="20"/>
        </w:rPr>
      </w:pPr>
    </w:p>
    <w:p w:rsidR="0098390C" w:rsidRPr="0098390C" w:rsidRDefault="0098390C" w:rsidP="0098390C">
      <w:pPr>
        <w:spacing w:after="0" w:line="240" w:lineRule="auto"/>
        <w:jc w:val="both"/>
        <w:outlineLvl w:val="0"/>
        <w:rPr>
          <w:rFonts w:ascii="Times New Roman" w:hAnsi="Times New Roman"/>
          <w:sz w:val="20"/>
          <w:szCs w:val="20"/>
          <w:lang w:val="en-MY"/>
        </w:rPr>
      </w:pPr>
      <w:r w:rsidRPr="0098390C">
        <w:rPr>
          <w:rFonts w:ascii="Times New Roman" w:hAnsi="Times New Roman"/>
          <w:sz w:val="20"/>
          <w:szCs w:val="20"/>
        </w:rPr>
        <w:lastRenderedPageBreak/>
        <w:t xml:space="preserve">There was significant difference in DPPH values among all forms of PFSP and when incorporated in biscuit as shown in Table 2. Obviously, the sample before being added in biscuit exhibits a higher radical scavenging activity between 84–92% in all forms. </w:t>
      </w:r>
      <w:r w:rsidRPr="0098390C">
        <w:rPr>
          <w:rFonts w:ascii="Times New Roman" w:hAnsi="Times New Roman"/>
          <w:sz w:val="20"/>
          <w:szCs w:val="20"/>
          <w:lang w:val="en-GB"/>
        </w:rPr>
        <w:t xml:space="preserve">However, when incorporated in biscuit, PFSP paste suffered about 30% loss of antioxidant capacity. In comparison with PFSP flour in biscuit, only 15% lost in antioxidant capacity. PFSP fresh in biscuit has the lowest antioxidant capacity of 54.12% followed by PFSP paste 64.12%, and PFSP flour 73.82%. A study by previous researcher </w:t>
      </w:r>
      <w:r w:rsidRPr="0098390C">
        <w:rPr>
          <w:rFonts w:ascii="Times New Roman" w:hAnsi="Times New Roman"/>
          <w:noProof/>
          <w:sz w:val="20"/>
          <w:szCs w:val="20"/>
          <w:lang w:val="en-GB"/>
        </w:rPr>
        <w:t>[24]</w:t>
      </w:r>
      <w:r w:rsidRPr="0098390C">
        <w:rPr>
          <w:rFonts w:ascii="Times New Roman" w:hAnsi="Times New Roman"/>
          <w:sz w:val="20"/>
          <w:szCs w:val="20"/>
          <w:lang w:val="en-GB"/>
        </w:rPr>
        <w:t xml:space="preserve">, </w:t>
      </w:r>
      <w:r w:rsidRPr="0098390C">
        <w:rPr>
          <w:rFonts w:ascii="Times New Roman" w:hAnsi="Times New Roman"/>
          <w:sz w:val="20"/>
          <w:szCs w:val="20"/>
          <w:lang w:val="en-MY"/>
        </w:rPr>
        <w:t xml:space="preserve">showed that purple sweet potato demonstrated stronger DPPH radical-scavenging activities as compared to other commercial food pigments of the anthocyanidin family. DPPH radical scavenging activity can be contributed by the presence of anthocyanin or phenolic compound depending on the type of purple sweet potato cultivar. As demonstrated in a comparative study, the radical scavenger in cultivar Ayamurasaki and Kyushu-132 are dominantly contributed by anthocyanin while the cultivar of Miyanou-36 and Bise are from phenolic compounds </w:t>
      </w:r>
      <w:r w:rsidRPr="0098390C">
        <w:rPr>
          <w:rFonts w:ascii="Times New Roman" w:hAnsi="Times New Roman"/>
          <w:noProof/>
          <w:sz w:val="20"/>
          <w:szCs w:val="20"/>
          <w:lang w:val="en-MY"/>
        </w:rPr>
        <w:t>[25]</w:t>
      </w:r>
      <w:r w:rsidRPr="0098390C">
        <w:rPr>
          <w:rFonts w:ascii="Times New Roman" w:hAnsi="Times New Roman"/>
          <w:sz w:val="20"/>
          <w:szCs w:val="20"/>
          <w:lang w:val="en-MY"/>
        </w:rPr>
        <w:t xml:space="preserve">. This observation is supported by another study which showed that the antioxidant activity by sweet potato not only come from anthocyanins but also from an additive effect with hydroxycinnamic acids </w:t>
      </w:r>
      <w:r w:rsidRPr="0098390C">
        <w:rPr>
          <w:rFonts w:ascii="Times New Roman" w:hAnsi="Times New Roman"/>
          <w:noProof/>
          <w:sz w:val="20"/>
          <w:szCs w:val="20"/>
          <w:lang w:val="en-MY"/>
        </w:rPr>
        <w:t>[26]</w:t>
      </w:r>
      <w:r w:rsidRPr="0098390C">
        <w:rPr>
          <w:rFonts w:ascii="Times New Roman" w:hAnsi="Times New Roman"/>
          <w:sz w:val="20"/>
          <w:szCs w:val="20"/>
          <w:lang w:val="en-MY"/>
        </w:rPr>
        <w:t>.</w:t>
      </w:r>
    </w:p>
    <w:p w:rsidR="0098390C" w:rsidRPr="0098390C" w:rsidRDefault="0098390C" w:rsidP="0098390C">
      <w:pPr>
        <w:spacing w:after="0" w:line="240" w:lineRule="auto"/>
        <w:jc w:val="both"/>
        <w:outlineLvl w:val="0"/>
        <w:rPr>
          <w:rFonts w:ascii="Times New Roman" w:hAnsi="Times New Roman"/>
          <w:sz w:val="20"/>
          <w:szCs w:val="20"/>
        </w:rPr>
      </w:pPr>
    </w:p>
    <w:p w:rsidR="0098390C" w:rsidRPr="0098390C" w:rsidRDefault="0098390C" w:rsidP="0098390C">
      <w:pPr>
        <w:spacing w:after="0" w:line="240" w:lineRule="auto"/>
        <w:jc w:val="both"/>
        <w:outlineLvl w:val="0"/>
        <w:rPr>
          <w:rFonts w:ascii="Times New Roman" w:hAnsi="Times New Roman"/>
          <w:b/>
          <w:bCs/>
          <w:sz w:val="20"/>
          <w:szCs w:val="20"/>
        </w:rPr>
      </w:pPr>
      <w:r w:rsidRPr="0098390C">
        <w:rPr>
          <w:rFonts w:ascii="Times New Roman" w:hAnsi="Times New Roman"/>
          <w:b/>
          <w:bCs/>
          <w:sz w:val="20"/>
          <w:szCs w:val="20"/>
        </w:rPr>
        <w:t>Effect of different PFSP form and its incorporation in biscuit on colour characteristics</w:t>
      </w:r>
    </w:p>
    <w:p w:rsidR="0098390C" w:rsidRPr="0098390C" w:rsidRDefault="0098390C" w:rsidP="0098390C">
      <w:pPr>
        <w:pStyle w:val="BodyText"/>
        <w:rPr>
          <w:sz w:val="20"/>
          <w:lang w:val="en-US"/>
        </w:rPr>
      </w:pPr>
      <w:r w:rsidRPr="0098390C">
        <w:rPr>
          <w:sz w:val="20"/>
        </w:rPr>
        <w:t xml:space="preserve">The colour values are presented in Table 3 where PFSP fresh, flour, and paste exhibited hue angles of a purple (magenta) colour </w:t>
      </w:r>
      <w:r w:rsidRPr="0098390C">
        <w:rPr>
          <w:sz w:val="20"/>
          <w:lang w:val="en-US"/>
        </w:rPr>
        <w:t xml:space="preserve">due to the rich accumulation of anthocyanins in the flesh of the storage roots. </w:t>
      </w:r>
      <w:r w:rsidRPr="0098390C">
        <w:rPr>
          <w:sz w:val="20"/>
          <w:lang w:val="en-MY"/>
        </w:rPr>
        <w:t xml:space="preserve">Analysis using HPLC-DAD/ESI-MS/MS on purple sweet potato concluded that the cyanidin and peonidin that contribute to the blue and red hue are the major contributor anthocyanin pigment colour found in purple-fleshed </w:t>
      </w:r>
      <w:r w:rsidRPr="0098390C">
        <w:rPr>
          <w:noProof/>
          <w:sz w:val="20"/>
          <w:lang w:val="en-MY"/>
        </w:rPr>
        <w:t>[27]</w:t>
      </w:r>
      <w:r w:rsidRPr="0098390C">
        <w:rPr>
          <w:sz w:val="20"/>
          <w:lang w:val="en-US"/>
        </w:rPr>
        <w:t xml:space="preserve">. </w:t>
      </w:r>
      <w:r w:rsidRPr="0098390C">
        <w:rPr>
          <w:sz w:val="20"/>
        </w:rPr>
        <w:t xml:space="preserve">PFSP paste showed significantly lower L* value which is the darkest colour among all form. Inversely, when added in biscuit, PFSP flour had the lowest L* value. All forms of PFSP lost its negative b* value when incorporated in biscuit formulation. The difference in a* and b* values may be contributed to the amount of phenolic and anthocyanin content present </w:t>
      </w:r>
      <w:r w:rsidRPr="0098390C">
        <w:rPr>
          <w:noProof/>
          <w:sz w:val="20"/>
        </w:rPr>
        <w:t>[28]</w:t>
      </w:r>
      <w:r w:rsidRPr="0098390C">
        <w:rPr>
          <w:sz w:val="20"/>
        </w:rPr>
        <w:t>.</w:t>
      </w:r>
      <w:r w:rsidRPr="0098390C">
        <w:rPr>
          <w:sz w:val="20"/>
          <w:lang w:val="en-MY"/>
        </w:rPr>
        <w:t xml:space="preserve"> </w:t>
      </w:r>
      <w:r w:rsidRPr="0098390C">
        <w:rPr>
          <w:sz w:val="20"/>
        </w:rPr>
        <w:t xml:space="preserve">When incorporated in biscuit, the hue angle was towards red colour and control biscuit exhibit a hue angle towards yellow colour as seen in a digital picture in Figure 1. The considerable changes of colour value in different forms of PFSP incorporated in biscuit was attributed to the degradation of anthocyanin during processing and baking </w:t>
      </w:r>
      <w:r w:rsidRPr="0098390C">
        <w:rPr>
          <w:noProof/>
          <w:sz w:val="20"/>
        </w:rPr>
        <w:t>[23]</w:t>
      </w:r>
      <w:r w:rsidRPr="0098390C">
        <w:rPr>
          <w:sz w:val="20"/>
        </w:rPr>
        <w:t xml:space="preserve">. </w:t>
      </w:r>
    </w:p>
    <w:p w:rsidR="0098390C" w:rsidRPr="0098390C" w:rsidRDefault="0098390C" w:rsidP="00DC06F3">
      <w:pPr>
        <w:pStyle w:val="BodyText"/>
        <w:spacing w:after="120"/>
        <w:rPr>
          <w:sz w:val="20"/>
        </w:rPr>
      </w:pPr>
    </w:p>
    <w:p w:rsidR="0098390C" w:rsidRPr="00DC06F3" w:rsidRDefault="0098390C" w:rsidP="00DC06F3">
      <w:pPr>
        <w:spacing w:after="120" w:line="240" w:lineRule="auto"/>
        <w:ind w:left="706" w:hanging="706"/>
        <w:jc w:val="center"/>
        <w:outlineLvl w:val="0"/>
        <w:rPr>
          <w:rFonts w:ascii="Times New Roman" w:hAnsi="Times New Roman"/>
          <w:sz w:val="20"/>
          <w:szCs w:val="20"/>
        </w:rPr>
      </w:pPr>
      <w:r w:rsidRPr="0098390C">
        <w:rPr>
          <w:rFonts w:ascii="Times New Roman" w:hAnsi="Times New Roman"/>
          <w:sz w:val="20"/>
          <w:szCs w:val="20"/>
        </w:rPr>
        <w:t xml:space="preserve">Table 3. </w:t>
      </w:r>
      <w:r w:rsidR="00DC06F3">
        <w:rPr>
          <w:rFonts w:ascii="Times New Roman" w:hAnsi="Times New Roman"/>
          <w:sz w:val="20"/>
          <w:szCs w:val="20"/>
        </w:rPr>
        <w:t xml:space="preserve"> </w:t>
      </w:r>
      <w:r w:rsidRPr="0098390C">
        <w:rPr>
          <w:rFonts w:ascii="Times New Roman" w:hAnsi="Times New Roman"/>
          <w:sz w:val="20"/>
          <w:szCs w:val="20"/>
        </w:rPr>
        <w:t>The colour characteristic (means ± standard deviation) of different form purple-fleshed sweet potato incorporated in biscuit</w:t>
      </w:r>
    </w:p>
    <w:tbl>
      <w:tblPr>
        <w:tblStyle w:val="LightShading1"/>
        <w:tblW w:w="0" w:type="auto"/>
        <w:jc w:val="center"/>
        <w:tblInd w:w="-373" w:type="dxa"/>
        <w:tblLook w:val="04A0" w:firstRow="1" w:lastRow="0" w:firstColumn="1" w:lastColumn="0" w:noHBand="0" w:noVBand="1"/>
      </w:tblPr>
      <w:tblGrid>
        <w:gridCol w:w="1521"/>
        <w:gridCol w:w="1291"/>
        <w:gridCol w:w="1291"/>
        <w:gridCol w:w="1291"/>
        <w:gridCol w:w="924"/>
        <w:gridCol w:w="1078"/>
      </w:tblGrid>
      <w:tr w:rsidR="0098390C" w:rsidRPr="0098390C" w:rsidTr="00DC06F3">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bottom w:val="single" w:sz="4" w:space="0" w:color="auto"/>
            </w:tcBorders>
            <w:shd w:val="clear" w:color="auto" w:fill="auto"/>
          </w:tcPr>
          <w:p w:rsidR="0098390C" w:rsidRPr="0098390C" w:rsidRDefault="0098390C" w:rsidP="00DC06F3">
            <w:pPr>
              <w:spacing w:after="0" w:line="240" w:lineRule="auto"/>
              <w:outlineLvl w:val="0"/>
              <w:rPr>
                <w:rFonts w:ascii="Times New Roman" w:hAnsi="Times New Roman" w:cs="Times New Roman"/>
                <w:color w:val="auto"/>
                <w:sz w:val="20"/>
                <w:szCs w:val="20"/>
              </w:rPr>
            </w:pPr>
          </w:p>
        </w:tc>
        <w:tc>
          <w:tcPr>
            <w:tcW w:w="0" w:type="auto"/>
            <w:tcBorders>
              <w:top w:val="single" w:sz="4" w:space="0" w:color="auto"/>
              <w:bottom w:val="single" w:sz="4" w:space="0" w:color="auto"/>
            </w:tcBorders>
            <w:shd w:val="clear" w:color="auto" w:fill="auto"/>
          </w:tcPr>
          <w:p w:rsidR="0098390C" w:rsidRPr="0098390C" w:rsidRDefault="0098390C" w:rsidP="00DC06F3">
            <w:pPr>
              <w:pStyle w:val="BodyText"/>
              <w:spacing w:before="6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rPr>
            </w:pPr>
            <w:r w:rsidRPr="0098390C">
              <w:rPr>
                <w:rFonts w:cs="Times New Roman"/>
                <w:color w:val="auto"/>
                <w:sz w:val="20"/>
              </w:rPr>
              <w:t>L*</w:t>
            </w:r>
          </w:p>
        </w:tc>
        <w:tc>
          <w:tcPr>
            <w:tcW w:w="0" w:type="auto"/>
            <w:tcBorders>
              <w:top w:val="single" w:sz="4" w:space="0" w:color="auto"/>
              <w:bottom w:val="single" w:sz="4" w:space="0" w:color="auto"/>
            </w:tcBorders>
            <w:shd w:val="clear" w:color="auto" w:fill="auto"/>
          </w:tcPr>
          <w:p w:rsidR="0098390C" w:rsidRPr="0098390C" w:rsidRDefault="0098390C" w:rsidP="00DC06F3">
            <w:pPr>
              <w:pStyle w:val="BodyText"/>
              <w:spacing w:before="6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rPr>
            </w:pPr>
            <w:r w:rsidRPr="0098390C">
              <w:rPr>
                <w:rFonts w:cs="Times New Roman"/>
                <w:color w:val="auto"/>
                <w:sz w:val="20"/>
              </w:rPr>
              <w:t>a*</w:t>
            </w:r>
          </w:p>
        </w:tc>
        <w:tc>
          <w:tcPr>
            <w:tcW w:w="0" w:type="auto"/>
            <w:tcBorders>
              <w:top w:val="single" w:sz="4" w:space="0" w:color="auto"/>
              <w:bottom w:val="single" w:sz="4" w:space="0" w:color="auto"/>
            </w:tcBorders>
            <w:shd w:val="clear" w:color="auto" w:fill="auto"/>
          </w:tcPr>
          <w:p w:rsidR="0098390C" w:rsidRPr="0098390C" w:rsidRDefault="0098390C" w:rsidP="00DC06F3">
            <w:pPr>
              <w:pStyle w:val="BodyText"/>
              <w:spacing w:before="6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rPr>
            </w:pPr>
            <w:r w:rsidRPr="0098390C">
              <w:rPr>
                <w:rFonts w:cs="Times New Roman"/>
                <w:color w:val="auto"/>
                <w:sz w:val="20"/>
              </w:rPr>
              <w:t>b*</w:t>
            </w:r>
          </w:p>
        </w:tc>
        <w:tc>
          <w:tcPr>
            <w:tcW w:w="0" w:type="auto"/>
            <w:tcBorders>
              <w:top w:val="single" w:sz="4" w:space="0" w:color="auto"/>
              <w:bottom w:val="single" w:sz="4" w:space="0" w:color="auto"/>
            </w:tcBorders>
          </w:tcPr>
          <w:p w:rsidR="0098390C" w:rsidRPr="0098390C" w:rsidRDefault="0098390C" w:rsidP="00DC06F3">
            <w:pPr>
              <w:pStyle w:val="BodyText"/>
              <w:spacing w:before="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Chroma</w:t>
            </w:r>
          </w:p>
          <w:p w:rsidR="0098390C" w:rsidRPr="0098390C" w:rsidRDefault="0098390C" w:rsidP="00DC06F3">
            <w:pPr>
              <w:pStyle w:val="BodyText"/>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rPr>
            </w:pPr>
            <w:r w:rsidRPr="0098390C">
              <w:rPr>
                <w:rFonts w:cs="Times New Roman"/>
                <w:color w:val="auto"/>
                <w:sz w:val="20"/>
              </w:rPr>
              <w:t>(C*)</w:t>
            </w:r>
          </w:p>
        </w:tc>
        <w:tc>
          <w:tcPr>
            <w:tcW w:w="0" w:type="auto"/>
            <w:tcBorders>
              <w:top w:val="single" w:sz="4" w:space="0" w:color="auto"/>
              <w:bottom w:val="single" w:sz="4" w:space="0" w:color="auto"/>
            </w:tcBorders>
            <w:shd w:val="clear" w:color="auto" w:fill="auto"/>
          </w:tcPr>
          <w:p w:rsidR="0098390C" w:rsidRPr="0098390C" w:rsidRDefault="0098390C" w:rsidP="00DC06F3">
            <w:pPr>
              <w:pStyle w:val="BodyText"/>
              <w:spacing w:before="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Hue angle</w:t>
            </w:r>
          </w:p>
          <w:p w:rsidR="0098390C" w:rsidRPr="0098390C" w:rsidRDefault="0098390C" w:rsidP="00DC06F3">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rPr>
            </w:pPr>
            <w:r w:rsidRPr="0098390C">
              <w:rPr>
                <w:rFonts w:cs="Times New Roman"/>
                <w:color w:val="auto"/>
                <w:sz w:val="20"/>
              </w:rPr>
              <w:t>(h</w:t>
            </w:r>
            <w:r w:rsidRPr="0098390C">
              <w:rPr>
                <w:rFonts w:cs="Times New Roman"/>
                <w:color w:val="auto"/>
                <w:sz w:val="20"/>
                <w:vertAlign w:val="superscript"/>
              </w:rPr>
              <w:t>*</w:t>
            </w:r>
            <w:r w:rsidRPr="0098390C">
              <w:rPr>
                <w:rFonts w:cs="Times New Roman"/>
                <w:color w:val="auto"/>
                <w:sz w:val="20"/>
              </w:rPr>
              <w:t>)</w:t>
            </w:r>
          </w:p>
        </w:tc>
      </w:tr>
      <w:tr w:rsidR="0098390C" w:rsidRPr="0098390C" w:rsidTr="00DC06F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tcBorders>
            <w:shd w:val="clear" w:color="auto" w:fill="auto"/>
          </w:tcPr>
          <w:p w:rsidR="0098390C" w:rsidRPr="0098390C" w:rsidRDefault="0098390C" w:rsidP="00DC06F3">
            <w:pPr>
              <w:spacing w:before="60" w:after="0" w:line="240" w:lineRule="auto"/>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Fresh</w:t>
            </w:r>
          </w:p>
        </w:tc>
        <w:tc>
          <w:tcPr>
            <w:tcW w:w="0" w:type="auto"/>
            <w:tcBorders>
              <w:top w:val="single" w:sz="4" w:space="0" w:color="auto"/>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32.77 ± 1.39</w:t>
            </w:r>
            <w:r w:rsidRPr="0098390C">
              <w:rPr>
                <w:rFonts w:cs="Times New Roman"/>
                <w:color w:val="auto"/>
                <w:sz w:val="20"/>
                <w:vertAlign w:val="superscript"/>
              </w:rPr>
              <w:t>a</w:t>
            </w:r>
          </w:p>
        </w:tc>
        <w:tc>
          <w:tcPr>
            <w:tcW w:w="0" w:type="auto"/>
            <w:tcBorders>
              <w:top w:val="single" w:sz="4" w:space="0" w:color="auto"/>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30.63 ± 1.71</w:t>
            </w:r>
            <w:r w:rsidRPr="0098390C">
              <w:rPr>
                <w:rFonts w:cs="Times New Roman"/>
                <w:color w:val="auto"/>
                <w:sz w:val="20"/>
                <w:vertAlign w:val="superscript"/>
              </w:rPr>
              <w:t>a</w:t>
            </w:r>
          </w:p>
        </w:tc>
        <w:tc>
          <w:tcPr>
            <w:tcW w:w="0" w:type="auto"/>
            <w:tcBorders>
              <w:top w:val="single" w:sz="4" w:space="0" w:color="auto"/>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-9.47 ± 1.07</w:t>
            </w:r>
            <w:r w:rsidRPr="0098390C">
              <w:rPr>
                <w:rFonts w:cs="Times New Roman"/>
                <w:color w:val="auto"/>
                <w:sz w:val="20"/>
                <w:vertAlign w:val="superscript"/>
              </w:rPr>
              <w:t>a</w:t>
            </w:r>
          </w:p>
        </w:tc>
        <w:tc>
          <w:tcPr>
            <w:tcW w:w="0" w:type="auto"/>
            <w:tcBorders>
              <w:top w:val="single" w:sz="4" w:space="0" w:color="auto"/>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rPr>
            </w:pPr>
            <w:r w:rsidRPr="0098390C">
              <w:rPr>
                <w:rFonts w:cs="Times New Roman"/>
                <w:color w:val="auto"/>
                <w:sz w:val="20"/>
              </w:rPr>
              <w:t>32.06</w:t>
            </w:r>
          </w:p>
        </w:tc>
        <w:tc>
          <w:tcPr>
            <w:tcW w:w="0" w:type="auto"/>
            <w:tcBorders>
              <w:top w:val="single" w:sz="4" w:space="0" w:color="auto"/>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rPr>
            </w:pPr>
            <w:r w:rsidRPr="0098390C">
              <w:rPr>
                <w:rFonts w:cs="Times New Roman"/>
                <w:color w:val="auto"/>
                <w:sz w:val="20"/>
              </w:rPr>
              <w:t>342.82</w:t>
            </w:r>
          </w:p>
        </w:tc>
      </w:tr>
      <w:tr w:rsidR="0098390C" w:rsidRPr="0098390C" w:rsidTr="00DC06F3">
        <w:trPr>
          <w:trHeight w:val="141"/>
          <w:jc w:val="center"/>
        </w:trPr>
        <w:tc>
          <w:tcPr>
            <w:cnfStyle w:val="001000000000" w:firstRow="0" w:lastRow="0" w:firstColumn="1" w:lastColumn="0" w:oddVBand="0" w:evenVBand="0" w:oddHBand="0" w:evenHBand="0" w:firstRowFirstColumn="0" w:firstRowLastColumn="0" w:lastRowFirstColumn="0" w:lastRowLastColumn="0"/>
            <w:tcW w:w="1521" w:type="dxa"/>
            <w:tcBorders>
              <w:bottom w:val="nil"/>
            </w:tcBorders>
            <w:shd w:val="clear" w:color="auto" w:fill="auto"/>
          </w:tcPr>
          <w:p w:rsidR="0098390C" w:rsidRPr="0098390C" w:rsidRDefault="0098390C" w:rsidP="00DC06F3">
            <w:pPr>
              <w:spacing w:before="60" w:after="0" w:line="240" w:lineRule="auto"/>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Flour</w:t>
            </w:r>
          </w:p>
        </w:tc>
        <w:tc>
          <w:tcPr>
            <w:tcW w:w="0" w:type="auto"/>
            <w:tcBorders>
              <w:bottom w:val="nil"/>
            </w:tcBorders>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vertAlign w:val="superscript"/>
              </w:rPr>
            </w:pPr>
            <w:r w:rsidRPr="0098390C">
              <w:rPr>
                <w:rFonts w:cs="Times New Roman"/>
                <w:color w:val="auto"/>
                <w:sz w:val="20"/>
              </w:rPr>
              <w:t>61.22 ± 0.78</w:t>
            </w:r>
            <w:r w:rsidRPr="0098390C">
              <w:rPr>
                <w:rFonts w:cs="Times New Roman"/>
                <w:color w:val="auto"/>
                <w:sz w:val="20"/>
                <w:vertAlign w:val="superscript"/>
              </w:rPr>
              <w:t>b</w:t>
            </w:r>
          </w:p>
        </w:tc>
        <w:tc>
          <w:tcPr>
            <w:tcW w:w="0" w:type="auto"/>
            <w:tcBorders>
              <w:bottom w:val="nil"/>
            </w:tcBorders>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vertAlign w:val="superscript"/>
              </w:rPr>
            </w:pPr>
            <w:r w:rsidRPr="0098390C">
              <w:rPr>
                <w:rFonts w:cs="Times New Roman"/>
                <w:color w:val="auto"/>
                <w:sz w:val="20"/>
              </w:rPr>
              <w:t>17.23 ± 0.31</w:t>
            </w:r>
            <w:r w:rsidRPr="0098390C">
              <w:rPr>
                <w:rFonts w:cs="Times New Roman"/>
                <w:color w:val="auto"/>
                <w:sz w:val="20"/>
                <w:vertAlign w:val="superscript"/>
              </w:rPr>
              <w:t>b</w:t>
            </w:r>
          </w:p>
        </w:tc>
        <w:tc>
          <w:tcPr>
            <w:tcW w:w="0" w:type="auto"/>
            <w:tcBorders>
              <w:bottom w:val="nil"/>
            </w:tcBorders>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vertAlign w:val="superscript"/>
              </w:rPr>
            </w:pPr>
            <w:r w:rsidRPr="0098390C">
              <w:rPr>
                <w:rFonts w:cs="Times New Roman"/>
                <w:color w:val="auto"/>
                <w:sz w:val="20"/>
              </w:rPr>
              <w:t>-0.23 ± 0.16</w:t>
            </w:r>
            <w:r w:rsidRPr="0098390C">
              <w:rPr>
                <w:rFonts w:cs="Times New Roman"/>
                <w:color w:val="auto"/>
                <w:sz w:val="20"/>
                <w:vertAlign w:val="superscript"/>
              </w:rPr>
              <w:t>b</w:t>
            </w:r>
          </w:p>
        </w:tc>
        <w:tc>
          <w:tcPr>
            <w:tcW w:w="0" w:type="auto"/>
            <w:tcBorders>
              <w:bottom w:val="nil"/>
            </w:tcBorders>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17.23</w:t>
            </w:r>
          </w:p>
        </w:tc>
        <w:tc>
          <w:tcPr>
            <w:tcW w:w="0" w:type="auto"/>
            <w:tcBorders>
              <w:bottom w:val="nil"/>
            </w:tcBorders>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359.24</w:t>
            </w:r>
          </w:p>
        </w:tc>
      </w:tr>
      <w:tr w:rsidR="0098390C" w:rsidRPr="0098390C" w:rsidTr="00DC06F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21" w:type="dxa"/>
            <w:tcBorders>
              <w:top w:val="nil"/>
              <w:bottom w:val="single" w:sz="4" w:space="0" w:color="auto"/>
            </w:tcBorders>
            <w:shd w:val="clear" w:color="auto" w:fill="auto"/>
          </w:tcPr>
          <w:p w:rsidR="0098390C" w:rsidRPr="0098390C" w:rsidRDefault="0098390C" w:rsidP="00DC06F3">
            <w:pPr>
              <w:spacing w:before="60" w:after="60" w:line="240" w:lineRule="auto"/>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Paste</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27.08 ± 0.63</w:t>
            </w:r>
            <w:r w:rsidRPr="0098390C">
              <w:rPr>
                <w:rFonts w:cs="Times New Roman"/>
                <w:color w:val="auto"/>
                <w:sz w:val="20"/>
                <w:vertAlign w:val="superscript"/>
              </w:rPr>
              <w:t>c</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17.43 ± 0.40</w:t>
            </w:r>
            <w:r w:rsidRPr="0098390C">
              <w:rPr>
                <w:rFonts w:cs="Times New Roman"/>
                <w:color w:val="auto"/>
                <w:sz w:val="20"/>
                <w:vertAlign w:val="superscript"/>
              </w:rPr>
              <w:t>b</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-7.12 ± 0.19</w:t>
            </w:r>
            <w:r w:rsidRPr="0098390C">
              <w:rPr>
                <w:rFonts w:cs="Times New Roman"/>
                <w:color w:val="auto"/>
                <w:sz w:val="20"/>
                <w:vertAlign w:val="superscript"/>
              </w:rPr>
              <w:t>c</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rPr>
            </w:pPr>
            <w:r w:rsidRPr="0098390C">
              <w:rPr>
                <w:rFonts w:cs="Times New Roman"/>
                <w:color w:val="auto"/>
                <w:sz w:val="20"/>
              </w:rPr>
              <w:t>18.83</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rPr>
            </w:pPr>
            <w:r w:rsidRPr="0098390C">
              <w:rPr>
                <w:rFonts w:cs="Times New Roman"/>
                <w:color w:val="auto"/>
                <w:sz w:val="20"/>
              </w:rPr>
              <w:t>337.78</w:t>
            </w:r>
          </w:p>
        </w:tc>
      </w:tr>
      <w:tr w:rsidR="0098390C" w:rsidRPr="0098390C" w:rsidTr="00DC06F3">
        <w:trPr>
          <w:trHeight w:val="60"/>
          <w:jc w:val="center"/>
        </w:trPr>
        <w:tc>
          <w:tcPr>
            <w:cnfStyle w:val="001000000000" w:firstRow="0" w:lastRow="0" w:firstColumn="1" w:lastColumn="0" w:oddVBand="0" w:evenVBand="0" w:oddHBand="0" w:evenHBand="0" w:firstRowFirstColumn="0" w:firstRowLastColumn="0" w:lastRowFirstColumn="0" w:lastRowLastColumn="0"/>
            <w:tcW w:w="2812" w:type="dxa"/>
            <w:gridSpan w:val="2"/>
            <w:tcBorders>
              <w:top w:val="single" w:sz="4" w:space="0" w:color="auto"/>
              <w:bottom w:val="nil"/>
            </w:tcBorders>
            <w:shd w:val="clear" w:color="auto" w:fill="auto"/>
          </w:tcPr>
          <w:p w:rsidR="0098390C" w:rsidRPr="0098390C" w:rsidRDefault="0098390C" w:rsidP="00DC06F3">
            <w:pPr>
              <w:pStyle w:val="BodyText"/>
              <w:spacing w:before="60"/>
              <w:jc w:val="left"/>
              <w:rPr>
                <w:rFonts w:cs="Times New Roman"/>
                <w:color w:val="auto"/>
                <w:sz w:val="20"/>
              </w:rPr>
            </w:pPr>
            <w:r w:rsidRPr="0098390C">
              <w:rPr>
                <w:rFonts w:cs="Times New Roman"/>
                <w:b w:val="0"/>
                <w:bCs w:val="0"/>
                <w:i/>
                <w:iCs/>
                <w:color w:val="auto"/>
                <w:sz w:val="20"/>
              </w:rPr>
              <w:t>Incorporation in Biscuit</w:t>
            </w:r>
          </w:p>
        </w:tc>
        <w:tc>
          <w:tcPr>
            <w:tcW w:w="0" w:type="auto"/>
            <w:tcBorders>
              <w:top w:val="single" w:sz="4" w:space="0" w:color="auto"/>
              <w:bottom w:val="nil"/>
            </w:tcBorders>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p>
        </w:tc>
        <w:tc>
          <w:tcPr>
            <w:tcW w:w="0" w:type="auto"/>
            <w:tcBorders>
              <w:top w:val="single" w:sz="4" w:space="0" w:color="auto"/>
              <w:bottom w:val="nil"/>
            </w:tcBorders>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p>
        </w:tc>
        <w:tc>
          <w:tcPr>
            <w:tcW w:w="0" w:type="auto"/>
            <w:tcBorders>
              <w:top w:val="single" w:sz="4" w:space="0" w:color="auto"/>
              <w:bottom w:val="nil"/>
            </w:tcBorders>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p>
        </w:tc>
        <w:tc>
          <w:tcPr>
            <w:tcW w:w="0" w:type="auto"/>
            <w:tcBorders>
              <w:top w:val="single" w:sz="4" w:space="0" w:color="auto"/>
              <w:bottom w:val="nil"/>
            </w:tcBorders>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p>
        </w:tc>
      </w:tr>
      <w:tr w:rsidR="0098390C" w:rsidRPr="0098390C" w:rsidTr="00DC06F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21" w:type="dxa"/>
            <w:tcBorders>
              <w:top w:val="nil"/>
            </w:tcBorders>
            <w:shd w:val="clear" w:color="auto" w:fill="auto"/>
          </w:tcPr>
          <w:p w:rsidR="0098390C" w:rsidRPr="0098390C" w:rsidRDefault="0098390C" w:rsidP="00DC06F3">
            <w:pPr>
              <w:spacing w:before="60" w:after="0" w:line="240" w:lineRule="auto"/>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Control</w:t>
            </w:r>
          </w:p>
        </w:tc>
        <w:tc>
          <w:tcPr>
            <w:tcW w:w="0" w:type="auto"/>
            <w:tcBorders>
              <w:top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75.40 ± 0.46</w:t>
            </w:r>
            <w:r w:rsidRPr="0098390C">
              <w:rPr>
                <w:rFonts w:cs="Times New Roman"/>
                <w:color w:val="auto"/>
                <w:sz w:val="20"/>
                <w:vertAlign w:val="superscript"/>
              </w:rPr>
              <w:t>a</w:t>
            </w:r>
          </w:p>
        </w:tc>
        <w:tc>
          <w:tcPr>
            <w:tcW w:w="0" w:type="auto"/>
            <w:tcBorders>
              <w:top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2.88 ± 0.34</w:t>
            </w:r>
            <w:r w:rsidRPr="0098390C">
              <w:rPr>
                <w:rFonts w:cs="Times New Roman"/>
                <w:color w:val="auto"/>
                <w:sz w:val="20"/>
                <w:vertAlign w:val="superscript"/>
              </w:rPr>
              <w:t>a</w:t>
            </w:r>
          </w:p>
        </w:tc>
        <w:tc>
          <w:tcPr>
            <w:tcW w:w="0" w:type="auto"/>
            <w:tcBorders>
              <w:top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31.03 ± 0.61</w:t>
            </w:r>
            <w:r w:rsidRPr="0098390C">
              <w:rPr>
                <w:rFonts w:cs="Times New Roman"/>
                <w:color w:val="auto"/>
                <w:sz w:val="20"/>
                <w:vertAlign w:val="superscript"/>
              </w:rPr>
              <w:t>a</w:t>
            </w:r>
          </w:p>
        </w:tc>
        <w:tc>
          <w:tcPr>
            <w:tcW w:w="0" w:type="auto"/>
            <w:tcBorders>
              <w:top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rPr>
            </w:pPr>
            <w:r w:rsidRPr="0098390C">
              <w:rPr>
                <w:rFonts w:cs="Times New Roman"/>
                <w:color w:val="auto"/>
                <w:sz w:val="20"/>
              </w:rPr>
              <w:t>31.16</w:t>
            </w:r>
          </w:p>
        </w:tc>
        <w:tc>
          <w:tcPr>
            <w:tcW w:w="0" w:type="auto"/>
            <w:tcBorders>
              <w:top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rPr>
            </w:pPr>
            <w:r w:rsidRPr="0098390C">
              <w:rPr>
                <w:rFonts w:cs="Times New Roman"/>
                <w:color w:val="auto"/>
                <w:sz w:val="20"/>
              </w:rPr>
              <w:t>84.71</w:t>
            </w:r>
          </w:p>
        </w:tc>
      </w:tr>
      <w:tr w:rsidR="0098390C" w:rsidRPr="0098390C" w:rsidTr="00DC06F3">
        <w:trPr>
          <w:trHeight w:val="70"/>
          <w:jc w:val="center"/>
        </w:trPr>
        <w:tc>
          <w:tcPr>
            <w:cnfStyle w:val="001000000000" w:firstRow="0" w:lastRow="0" w:firstColumn="1" w:lastColumn="0" w:oddVBand="0" w:evenVBand="0" w:oddHBand="0" w:evenHBand="0" w:firstRowFirstColumn="0" w:firstRowLastColumn="0" w:lastRowFirstColumn="0" w:lastRowLastColumn="0"/>
            <w:tcW w:w="1521" w:type="dxa"/>
            <w:shd w:val="clear" w:color="auto" w:fill="auto"/>
          </w:tcPr>
          <w:p w:rsidR="0098390C" w:rsidRPr="0098390C" w:rsidRDefault="0098390C" w:rsidP="00DC06F3">
            <w:pPr>
              <w:spacing w:before="60" w:after="0" w:line="240" w:lineRule="auto"/>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Fresh</w:t>
            </w:r>
          </w:p>
        </w:tc>
        <w:tc>
          <w:tcPr>
            <w:tcW w:w="0" w:type="auto"/>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vertAlign w:val="superscript"/>
              </w:rPr>
            </w:pPr>
            <w:r w:rsidRPr="0098390C">
              <w:rPr>
                <w:rFonts w:cs="Times New Roman"/>
                <w:color w:val="auto"/>
                <w:sz w:val="20"/>
              </w:rPr>
              <w:t>62.93 ± 1.58</w:t>
            </w:r>
            <w:r w:rsidRPr="0098390C">
              <w:rPr>
                <w:rFonts w:cs="Times New Roman"/>
                <w:color w:val="auto"/>
                <w:sz w:val="20"/>
                <w:vertAlign w:val="superscript"/>
              </w:rPr>
              <w:t>b</w:t>
            </w:r>
          </w:p>
        </w:tc>
        <w:tc>
          <w:tcPr>
            <w:tcW w:w="0" w:type="auto"/>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vertAlign w:val="superscript"/>
              </w:rPr>
            </w:pPr>
            <w:r w:rsidRPr="0098390C">
              <w:rPr>
                <w:rFonts w:cs="Times New Roman"/>
                <w:color w:val="auto"/>
                <w:sz w:val="20"/>
              </w:rPr>
              <w:t>12.36 ± 1.16</w:t>
            </w:r>
            <w:r w:rsidRPr="0098390C">
              <w:rPr>
                <w:rFonts w:cs="Times New Roman"/>
                <w:color w:val="auto"/>
                <w:sz w:val="20"/>
                <w:vertAlign w:val="superscript"/>
              </w:rPr>
              <w:t>b</w:t>
            </w:r>
          </w:p>
        </w:tc>
        <w:tc>
          <w:tcPr>
            <w:tcW w:w="0" w:type="auto"/>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vertAlign w:val="superscript"/>
              </w:rPr>
            </w:pPr>
            <w:r w:rsidRPr="0098390C">
              <w:rPr>
                <w:rFonts w:cs="Times New Roman"/>
                <w:color w:val="auto"/>
                <w:sz w:val="20"/>
              </w:rPr>
              <w:t>15.45 ± 1.43</w:t>
            </w:r>
            <w:r w:rsidRPr="0098390C">
              <w:rPr>
                <w:rFonts w:cs="Times New Roman"/>
                <w:color w:val="auto"/>
                <w:sz w:val="20"/>
                <w:vertAlign w:val="superscript"/>
              </w:rPr>
              <w:t>b</w:t>
            </w:r>
          </w:p>
        </w:tc>
        <w:tc>
          <w:tcPr>
            <w:tcW w:w="0" w:type="auto"/>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19.79</w:t>
            </w:r>
          </w:p>
        </w:tc>
        <w:tc>
          <w:tcPr>
            <w:tcW w:w="0" w:type="auto"/>
            <w:shd w:val="clear" w:color="auto" w:fill="auto"/>
          </w:tcPr>
          <w:p w:rsidR="0098390C" w:rsidRPr="0098390C" w:rsidRDefault="0098390C" w:rsidP="00DC06F3">
            <w:pPr>
              <w:pStyle w:val="BodyText"/>
              <w:spacing w:before="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51.35</w:t>
            </w:r>
          </w:p>
        </w:tc>
      </w:tr>
      <w:tr w:rsidR="0098390C" w:rsidRPr="0098390C" w:rsidTr="00DC06F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21" w:type="dxa"/>
            <w:tcBorders>
              <w:bottom w:val="nil"/>
            </w:tcBorders>
            <w:shd w:val="clear" w:color="auto" w:fill="auto"/>
          </w:tcPr>
          <w:p w:rsidR="0098390C" w:rsidRPr="0098390C" w:rsidRDefault="0098390C" w:rsidP="00DC06F3">
            <w:pPr>
              <w:spacing w:before="60" w:after="0" w:line="240" w:lineRule="auto"/>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Flour</w:t>
            </w:r>
          </w:p>
        </w:tc>
        <w:tc>
          <w:tcPr>
            <w:tcW w:w="0" w:type="auto"/>
            <w:tcBorders>
              <w:bottom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48.66 ± 0.68</w:t>
            </w:r>
            <w:r w:rsidRPr="0098390C">
              <w:rPr>
                <w:rFonts w:cs="Times New Roman"/>
                <w:color w:val="auto"/>
                <w:sz w:val="20"/>
                <w:vertAlign w:val="superscript"/>
              </w:rPr>
              <w:t>c</w:t>
            </w:r>
          </w:p>
        </w:tc>
        <w:tc>
          <w:tcPr>
            <w:tcW w:w="0" w:type="auto"/>
            <w:tcBorders>
              <w:bottom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20.94 ± 0.63</w:t>
            </w:r>
            <w:r w:rsidRPr="0098390C">
              <w:rPr>
                <w:rFonts w:cs="Times New Roman"/>
                <w:color w:val="auto"/>
                <w:sz w:val="20"/>
                <w:vertAlign w:val="superscript"/>
              </w:rPr>
              <w:t>c</w:t>
            </w:r>
          </w:p>
        </w:tc>
        <w:tc>
          <w:tcPr>
            <w:tcW w:w="0" w:type="auto"/>
            <w:tcBorders>
              <w:bottom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vertAlign w:val="superscript"/>
              </w:rPr>
            </w:pPr>
            <w:r w:rsidRPr="0098390C">
              <w:rPr>
                <w:rFonts w:cs="Times New Roman"/>
                <w:color w:val="auto"/>
                <w:sz w:val="20"/>
              </w:rPr>
              <w:t>9.71 ± 0.69</w:t>
            </w:r>
            <w:r w:rsidRPr="0098390C">
              <w:rPr>
                <w:rFonts w:cs="Times New Roman"/>
                <w:color w:val="auto"/>
                <w:sz w:val="20"/>
                <w:vertAlign w:val="superscript"/>
              </w:rPr>
              <w:t>c</w:t>
            </w:r>
          </w:p>
        </w:tc>
        <w:tc>
          <w:tcPr>
            <w:tcW w:w="0" w:type="auto"/>
            <w:tcBorders>
              <w:bottom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rPr>
            </w:pPr>
            <w:r w:rsidRPr="0098390C">
              <w:rPr>
                <w:rFonts w:cs="Times New Roman"/>
                <w:color w:val="auto"/>
                <w:sz w:val="20"/>
              </w:rPr>
              <w:t>23.08</w:t>
            </w:r>
          </w:p>
        </w:tc>
        <w:tc>
          <w:tcPr>
            <w:tcW w:w="0" w:type="auto"/>
            <w:tcBorders>
              <w:bottom w:val="nil"/>
            </w:tcBorders>
            <w:shd w:val="clear" w:color="auto" w:fill="auto"/>
          </w:tcPr>
          <w:p w:rsidR="0098390C" w:rsidRPr="0098390C" w:rsidRDefault="0098390C" w:rsidP="00DC06F3">
            <w:pPr>
              <w:pStyle w:val="BodyText"/>
              <w:spacing w:before="6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rPr>
            </w:pPr>
            <w:r w:rsidRPr="0098390C">
              <w:rPr>
                <w:rFonts w:cs="Times New Roman"/>
                <w:color w:val="auto"/>
                <w:sz w:val="20"/>
              </w:rPr>
              <w:t>24.89</w:t>
            </w:r>
          </w:p>
        </w:tc>
      </w:tr>
      <w:tr w:rsidR="0098390C" w:rsidRPr="0098390C" w:rsidTr="00DC06F3">
        <w:trPr>
          <w:trHeight w:val="70"/>
          <w:jc w:val="center"/>
        </w:trPr>
        <w:tc>
          <w:tcPr>
            <w:cnfStyle w:val="001000000000" w:firstRow="0" w:lastRow="0" w:firstColumn="1" w:lastColumn="0" w:oddVBand="0" w:evenVBand="0" w:oddHBand="0" w:evenHBand="0" w:firstRowFirstColumn="0" w:firstRowLastColumn="0" w:lastRowFirstColumn="0" w:lastRowLastColumn="0"/>
            <w:tcW w:w="1521" w:type="dxa"/>
            <w:tcBorders>
              <w:top w:val="nil"/>
              <w:bottom w:val="single" w:sz="4" w:space="0" w:color="auto"/>
            </w:tcBorders>
            <w:shd w:val="clear" w:color="auto" w:fill="auto"/>
          </w:tcPr>
          <w:p w:rsidR="0098390C" w:rsidRPr="0098390C" w:rsidRDefault="0098390C" w:rsidP="00DC06F3">
            <w:pPr>
              <w:spacing w:before="60" w:after="60" w:line="240" w:lineRule="auto"/>
              <w:rPr>
                <w:rFonts w:ascii="Times New Roman" w:hAnsi="Times New Roman" w:cs="Times New Roman"/>
                <w:b w:val="0"/>
                <w:bCs w:val="0"/>
                <w:color w:val="auto"/>
                <w:sz w:val="20"/>
                <w:szCs w:val="20"/>
              </w:rPr>
            </w:pPr>
            <w:r w:rsidRPr="0098390C">
              <w:rPr>
                <w:rFonts w:ascii="Times New Roman" w:hAnsi="Times New Roman" w:cs="Times New Roman"/>
                <w:b w:val="0"/>
                <w:bCs w:val="0"/>
                <w:color w:val="auto"/>
                <w:sz w:val="20"/>
                <w:szCs w:val="20"/>
              </w:rPr>
              <w:t>PFSP Paste</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vertAlign w:val="superscript"/>
              </w:rPr>
            </w:pPr>
            <w:r w:rsidRPr="0098390C">
              <w:rPr>
                <w:rFonts w:cs="Times New Roman"/>
                <w:color w:val="auto"/>
                <w:sz w:val="20"/>
              </w:rPr>
              <w:t>59.46 ± 0.57</w:t>
            </w:r>
            <w:r w:rsidRPr="0098390C">
              <w:rPr>
                <w:rFonts w:cs="Times New Roman"/>
                <w:color w:val="auto"/>
                <w:sz w:val="20"/>
                <w:vertAlign w:val="superscript"/>
              </w:rPr>
              <w:t>d</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vertAlign w:val="superscript"/>
              </w:rPr>
            </w:pPr>
            <w:r w:rsidRPr="0098390C">
              <w:rPr>
                <w:rFonts w:cs="Times New Roman"/>
                <w:color w:val="auto"/>
                <w:sz w:val="20"/>
              </w:rPr>
              <w:t>15.69 ± 0.88</w:t>
            </w:r>
            <w:r w:rsidRPr="0098390C">
              <w:rPr>
                <w:rFonts w:cs="Times New Roman"/>
                <w:color w:val="auto"/>
                <w:sz w:val="20"/>
                <w:vertAlign w:val="superscript"/>
              </w:rPr>
              <w:t>d</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vertAlign w:val="superscript"/>
              </w:rPr>
            </w:pPr>
            <w:r w:rsidRPr="0098390C">
              <w:rPr>
                <w:rFonts w:cs="Times New Roman"/>
                <w:color w:val="auto"/>
                <w:sz w:val="20"/>
              </w:rPr>
              <w:t>11.09 ± 2.58</w:t>
            </w:r>
            <w:r w:rsidRPr="0098390C">
              <w:rPr>
                <w:rFonts w:cs="Times New Roman"/>
                <w:color w:val="auto"/>
                <w:sz w:val="20"/>
                <w:vertAlign w:val="superscript"/>
              </w:rPr>
              <w:t>c</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19.21</w:t>
            </w:r>
          </w:p>
        </w:tc>
        <w:tc>
          <w:tcPr>
            <w:tcW w:w="0" w:type="auto"/>
            <w:tcBorders>
              <w:top w:val="nil"/>
              <w:bottom w:val="single" w:sz="4" w:space="0" w:color="auto"/>
            </w:tcBorders>
            <w:shd w:val="clear" w:color="auto" w:fill="auto"/>
          </w:tcPr>
          <w:p w:rsidR="0098390C" w:rsidRPr="0098390C" w:rsidRDefault="0098390C" w:rsidP="00DC06F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rPr>
            </w:pPr>
            <w:r w:rsidRPr="0098390C">
              <w:rPr>
                <w:rFonts w:cs="Times New Roman"/>
                <w:color w:val="auto"/>
                <w:sz w:val="20"/>
              </w:rPr>
              <w:t>35.26</w:t>
            </w:r>
          </w:p>
        </w:tc>
      </w:tr>
    </w:tbl>
    <w:p w:rsidR="0098390C" w:rsidRPr="00DC06F3" w:rsidRDefault="0098390C" w:rsidP="00DC06F3">
      <w:pPr>
        <w:pStyle w:val="BodyText"/>
        <w:spacing w:before="60"/>
        <w:ind w:firstLine="720"/>
        <w:rPr>
          <w:sz w:val="18"/>
          <w:szCs w:val="18"/>
        </w:rPr>
      </w:pPr>
      <w:r w:rsidRPr="0098390C">
        <w:rPr>
          <w:sz w:val="20"/>
        </w:rPr>
        <w:t xml:space="preserve">      </w:t>
      </w:r>
      <w:r w:rsidR="00DC06F3">
        <w:rPr>
          <w:sz w:val="20"/>
        </w:rPr>
        <w:t xml:space="preserve"> </w:t>
      </w:r>
      <w:r w:rsidRPr="00DC06F3">
        <w:rPr>
          <w:sz w:val="18"/>
          <w:szCs w:val="18"/>
        </w:rPr>
        <w:t>a, b, c, d Means with different letter(s) in the same column differed significantly (p &lt;0.05)</w:t>
      </w:r>
    </w:p>
    <w:p w:rsidR="0098390C" w:rsidRPr="0098390C" w:rsidRDefault="0098390C" w:rsidP="0098390C">
      <w:pPr>
        <w:pStyle w:val="BodyText"/>
        <w:rPr>
          <w:sz w:val="20"/>
        </w:rPr>
      </w:pPr>
    </w:p>
    <w:p w:rsidR="0098390C" w:rsidRPr="0098390C" w:rsidRDefault="0098390C" w:rsidP="0098390C">
      <w:pPr>
        <w:pStyle w:val="BodyText"/>
        <w:rPr>
          <w:sz w:val="20"/>
        </w:rPr>
      </w:pPr>
      <w:r w:rsidRPr="0098390C">
        <w:rPr>
          <w:sz w:val="20"/>
        </w:rPr>
        <w:t>.</w:t>
      </w:r>
    </w:p>
    <w:p w:rsidR="0098390C" w:rsidRPr="0098390C" w:rsidRDefault="0098390C" w:rsidP="00DC06F3">
      <w:pPr>
        <w:pStyle w:val="BodyText"/>
        <w:spacing w:after="120"/>
        <w:jc w:val="center"/>
        <w:rPr>
          <w:sz w:val="20"/>
        </w:rPr>
      </w:pPr>
      <w:r w:rsidRPr="0098390C">
        <w:rPr>
          <w:noProof/>
          <w:sz w:val="20"/>
          <w:lang w:val="en-US" w:eastAsia="en-US"/>
        </w:rPr>
        <w:lastRenderedPageBreak/>
        <w:drawing>
          <wp:inline distT="0" distB="0" distL="0" distR="0" wp14:anchorId="02C33168" wp14:editId="154B25FF">
            <wp:extent cx="4772025"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3810000"/>
                    </a:xfrm>
                    <a:prstGeom prst="rect">
                      <a:avLst/>
                    </a:prstGeom>
                    <a:noFill/>
                  </pic:spPr>
                </pic:pic>
              </a:graphicData>
            </a:graphic>
          </wp:inline>
        </w:drawing>
      </w:r>
    </w:p>
    <w:p w:rsidR="0098390C" w:rsidRPr="0098390C" w:rsidRDefault="0098390C" w:rsidP="00DC06F3">
      <w:pPr>
        <w:spacing w:after="0" w:line="240" w:lineRule="auto"/>
        <w:ind w:left="900" w:hanging="900"/>
        <w:jc w:val="both"/>
        <w:outlineLvl w:val="0"/>
        <w:rPr>
          <w:rFonts w:ascii="Times New Roman" w:hAnsi="Times New Roman"/>
          <w:b/>
          <w:bCs/>
          <w:sz w:val="20"/>
          <w:szCs w:val="20"/>
        </w:rPr>
      </w:pPr>
      <w:r w:rsidRPr="0098390C">
        <w:rPr>
          <w:rFonts w:ascii="Times New Roman" w:hAnsi="Times New Roman"/>
          <w:sz w:val="20"/>
          <w:szCs w:val="20"/>
        </w:rPr>
        <w:t xml:space="preserve">Figure 1.  </w:t>
      </w:r>
      <w:r w:rsidR="00DC06F3">
        <w:rPr>
          <w:rFonts w:ascii="Times New Roman" w:hAnsi="Times New Roman"/>
          <w:sz w:val="20"/>
          <w:szCs w:val="20"/>
        </w:rPr>
        <w:tab/>
      </w:r>
      <w:r w:rsidRPr="0098390C">
        <w:rPr>
          <w:rFonts w:ascii="Times New Roman" w:hAnsi="Times New Roman"/>
          <w:sz w:val="20"/>
          <w:szCs w:val="20"/>
        </w:rPr>
        <w:t>Biscuit incorporated with 30% different form PFSP. (a) Control, (b) PFSP fresh biscuit, (c) PFSP flour biscuit, (d) PFSP paste biscuit</w:t>
      </w:r>
      <w:r w:rsidRPr="0098390C">
        <w:rPr>
          <w:rFonts w:ascii="Times New Roman" w:hAnsi="Times New Roman"/>
          <w:b/>
          <w:bCs/>
          <w:sz w:val="20"/>
          <w:szCs w:val="20"/>
        </w:rPr>
        <w:t xml:space="preserve"> </w:t>
      </w:r>
    </w:p>
    <w:p w:rsidR="006768E9" w:rsidRDefault="006768E9" w:rsidP="00F447A7">
      <w:pPr>
        <w:spacing w:after="0" w:line="240" w:lineRule="auto"/>
        <w:jc w:val="center"/>
        <w:rPr>
          <w:rFonts w:ascii="Times New Roman" w:hAnsi="Times New Roman"/>
          <w:noProof/>
          <w:sz w:val="20"/>
          <w:szCs w:val="20"/>
          <w:lang w:bidi="ar-SA"/>
        </w:rPr>
      </w:pPr>
    </w:p>
    <w:p w:rsidR="00DC06F3" w:rsidRPr="00F447A7" w:rsidRDefault="00DC06F3"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DC06F3" w:rsidRPr="00DC06F3" w:rsidRDefault="00DC06F3" w:rsidP="00DC06F3">
      <w:pPr>
        <w:pStyle w:val="BodyText"/>
        <w:rPr>
          <w:sz w:val="20"/>
        </w:rPr>
      </w:pPr>
      <w:r w:rsidRPr="00DC06F3">
        <w:rPr>
          <w:sz w:val="20"/>
        </w:rPr>
        <w:t>Incorporation of any form of PFSP in biscuit not only produce a more attractive biscuit in terms of colour. It also add an additional content of phenolic and anthocyanin which significantly showed a higher antioxidant capacity compared to control biscuit, especially in PFSP flour form. Thus, more products utilizing purple flesh sweet potato could be commercialized in the near future and exert their health benefits by helping prevent lifestyle chronic disease.</w:t>
      </w:r>
    </w:p>
    <w:p w:rsidR="00DC06F3" w:rsidRPr="00DC06F3" w:rsidRDefault="00DC06F3" w:rsidP="00DC06F3">
      <w:pPr>
        <w:pStyle w:val="BodyText"/>
        <w:jc w:val="center"/>
        <w:rPr>
          <w:sz w:val="20"/>
        </w:rPr>
      </w:pPr>
    </w:p>
    <w:p w:rsidR="00DC06F3" w:rsidRPr="00DC06F3" w:rsidRDefault="00DC06F3" w:rsidP="00DC06F3">
      <w:pPr>
        <w:spacing w:after="0" w:line="240" w:lineRule="auto"/>
        <w:jc w:val="center"/>
        <w:outlineLvl w:val="0"/>
        <w:rPr>
          <w:rFonts w:ascii="Times New Roman" w:hAnsi="Times New Roman"/>
          <w:b/>
          <w:bCs/>
          <w:sz w:val="20"/>
          <w:szCs w:val="20"/>
        </w:rPr>
      </w:pPr>
      <w:r w:rsidRPr="00DC06F3">
        <w:rPr>
          <w:rFonts w:ascii="Times New Roman" w:hAnsi="Times New Roman"/>
          <w:b/>
          <w:bCs/>
          <w:sz w:val="20"/>
          <w:szCs w:val="20"/>
        </w:rPr>
        <w:t>Acknowledgement</w:t>
      </w:r>
    </w:p>
    <w:p w:rsidR="006768E9" w:rsidRPr="00F447A7" w:rsidRDefault="00DC06F3" w:rsidP="00DC06F3">
      <w:pPr>
        <w:pStyle w:val="BodyText"/>
        <w:rPr>
          <w:sz w:val="20"/>
        </w:rPr>
      </w:pPr>
      <w:r w:rsidRPr="00DC06F3">
        <w:rPr>
          <w:sz w:val="20"/>
        </w:rPr>
        <w:t>The authors would like to thank Universiti Teknologi Malaysia (UTM), Universiti Tun Hussein Onn Malaysia (UTHM), Ministry of Higher Education (MOHE), Research Management Centre (RMC), UTM for their financial support of this work through the project number Q. J130000.3044.00M80 and R. J130000.7809.4F343 for their financial support of this work.</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Leksrisompong, P. P., Whitson, M. E., Truong, V. D. and Drake, M. A. (2012). Sensory attributes and consumer acceptance of sweet potato cultivars with varying flesh colour. </w:t>
      </w:r>
      <w:r w:rsidRPr="00DC06F3">
        <w:rPr>
          <w:rFonts w:ascii="Times New Roman" w:hAnsi="Times New Roman"/>
          <w:i/>
          <w:iCs/>
          <w:noProof/>
          <w:sz w:val="20"/>
          <w:szCs w:val="20"/>
        </w:rPr>
        <w:t>Journal of Sensory Studies,</w:t>
      </w:r>
      <w:r w:rsidRPr="00DC06F3">
        <w:rPr>
          <w:rFonts w:ascii="Times New Roman" w:hAnsi="Times New Roman"/>
          <w:noProof/>
          <w:sz w:val="20"/>
          <w:szCs w:val="20"/>
        </w:rPr>
        <w:t xml:space="preserve"> 27 (1): 59-69.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Kim, J. M., Park, S. J., Lee, C.</w:t>
      </w:r>
      <w:r w:rsidR="00335C6A">
        <w:rPr>
          <w:rFonts w:ascii="Times New Roman" w:hAnsi="Times New Roman"/>
          <w:noProof/>
          <w:sz w:val="20"/>
          <w:szCs w:val="20"/>
        </w:rPr>
        <w:t xml:space="preserve"> </w:t>
      </w:r>
      <w:r w:rsidRPr="00DC06F3">
        <w:rPr>
          <w:rFonts w:ascii="Times New Roman" w:hAnsi="Times New Roman"/>
          <w:noProof/>
          <w:sz w:val="20"/>
          <w:szCs w:val="20"/>
        </w:rPr>
        <w:t xml:space="preserve">S., Ren, C., Kim, S. S. and Shin, M. (2011). Functional properties of different korean sweet potato varieties. </w:t>
      </w:r>
      <w:r w:rsidRPr="00DC06F3">
        <w:rPr>
          <w:rFonts w:ascii="Times New Roman" w:hAnsi="Times New Roman"/>
          <w:i/>
          <w:iCs/>
          <w:noProof/>
          <w:sz w:val="20"/>
          <w:szCs w:val="20"/>
        </w:rPr>
        <w:t>Food Science and Biotechnology,</w:t>
      </w:r>
      <w:r w:rsidRPr="00DC06F3">
        <w:rPr>
          <w:rFonts w:ascii="Times New Roman" w:hAnsi="Times New Roman"/>
          <w:noProof/>
          <w:sz w:val="20"/>
          <w:szCs w:val="20"/>
        </w:rPr>
        <w:t xml:space="preserve"> 20(6): 1501-1507. </w:t>
      </w:r>
    </w:p>
    <w:p w:rsidR="00A82E41"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Teow, C. C., Truong, V. D., McFeeters, R. F., Thompson, R. L., Pecota, K. V. and Yencho, G. C. (2007). Antioxidant activities, phenolic and β-carotene contents of sweet potato genotypes with varying flesh colours. </w:t>
      </w:r>
      <w:r w:rsidRPr="00DC06F3">
        <w:rPr>
          <w:rFonts w:ascii="Times New Roman" w:hAnsi="Times New Roman"/>
          <w:i/>
          <w:iCs/>
          <w:noProof/>
          <w:sz w:val="20"/>
          <w:szCs w:val="20"/>
        </w:rPr>
        <w:t>Food Chemistry,</w:t>
      </w:r>
      <w:r w:rsidRPr="00DC06F3">
        <w:rPr>
          <w:rFonts w:ascii="Times New Roman" w:hAnsi="Times New Roman"/>
          <w:noProof/>
          <w:sz w:val="20"/>
          <w:szCs w:val="20"/>
        </w:rPr>
        <w:t xml:space="preserve"> 103(3): 829-838.</w:t>
      </w:r>
    </w:p>
    <w:p w:rsidR="00A82E41" w:rsidRPr="00A82E41" w:rsidRDefault="00A82E41" w:rsidP="00A82E41">
      <w:pPr>
        <w:widowControl w:val="0"/>
        <w:autoSpaceDE w:val="0"/>
        <w:autoSpaceDN w:val="0"/>
        <w:adjustRightInd w:val="0"/>
        <w:spacing w:after="0" w:line="240" w:lineRule="auto"/>
        <w:jc w:val="both"/>
        <w:rPr>
          <w:rFonts w:ascii="Times New Roman" w:hAnsi="Times New Roman"/>
          <w:noProof/>
          <w:sz w:val="20"/>
          <w:szCs w:val="20"/>
        </w:rPr>
      </w:pP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lastRenderedPageBreak/>
        <w:t xml:space="preserve">Wrolstad, R. (2006). Anthocyanin pigments-bioactivity and coloring properties. </w:t>
      </w:r>
      <w:r w:rsidRPr="00DC06F3">
        <w:rPr>
          <w:rFonts w:ascii="Times New Roman" w:hAnsi="Times New Roman"/>
          <w:i/>
          <w:iCs/>
          <w:noProof/>
          <w:sz w:val="20"/>
          <w:szCs w:val="20"/>
        </w:rPr>
        <w:t>Journal of Food Science,</w:t>
      </w:r>
      <w:r w:rsidRPr="00DC06F3">
        <w:rPr>
          <w:rFonts w:ascii="Times New Roman" w:hAnsi="Times New Roman"/>
          <w:noProof/>
          <w:sz w:val="20"/>
          <w:szCs w:val="20"/>
        </w:rPr>
        <w:t xml:space="preserve"> 69(5): 419-425.</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Suda, I., Oki, T., Masuda, M., Kobayashi, M., Nishiba, Y. and Furuta, S. (2003). Physiological functionality of purple-fleshed sweet potatoes containing anthocyanins and their utilization in foods. </w:t>
      </w:r>
      <w:r w:rsidRPr="00DC06F3">
        <w:rPr>
          <w:rFonts w:ascii="Times New Roman" w:hAnsi="Times New Roman"/>
          <w:i/>
          <w:iCs/>
          <w:noProof/>
          <w:sz w:val="20"/>
          <w:szCs w:val="20"/>
        </w:rPr>
        <w:t>Japan Agricultural Research Quarterly,</w:t>
      </w:r>
      <w:r w:rsidRPr="00DC06F3">
        <w:rPr>
          <w:rFonts w:ascii="Times New Roman" w:hAnsi="Times New Roman"/>
          <w:noProof/>
          <w:sz w:val="20"/>
          <w:szCs w:val="20"/>
        </w:rPr>
        <w:t xml:space="preserve"> 37(3): 167-173.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Greene, J. L. and Bovell-Benjamin, A. C. (2004). Macroscopic and sensory evaluation of bread supplemented with sweet-potato flour. </w:t>
      </w:r>
      <w:r w:rsidRPr="00DC06F3">
        <w:rPr>
          <w:rFonts w:ascii="Times New Roman" w:hAnsi="Times New Roman"/>
          <w:i/>
          <w:iCs/>
          <w:noProof/>
          <w:sz w:val="20"/>
          <w:szCs w:val="20"/>
        </w:rPr>
        <w:t xml:space="preserve">Journal of Food Science, </w:t>
      </w:r>
      <w:r w:rsidRPr="00DC06F3">
        <w:rPr>
          <w:rFonts w:ascii="Times New Roman" w:hAnsi="Times New Roman"/>
          <w:noProof/>
          <w:sz w:val="20"/>
          <w:szCs w:val="20"/>
        </w:rPr>
        <w:t xml:space="preserve">69(4): 167-173.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Huang, Y. C., Chang, Y. H. and Shao, Y. Y. (2006). Effects of genotype and treatment on the antioxidant activity of sweet potato in Taiwan. </w:t>
      </w:r>
      <w:r w:rsidRPr="00DC06F3">
        <w:rPr>
          <w:rFonts w:ascii="Times New Roman" w:hAnsi="Times New Roman"/>
          <w:i/>
          <w:iCs/>
          <w:noProof/>
          <w:sz w:val="20"/>
          <w:szCs w:val="20"/>
        </w:rPr>
        <w:t xml:space="preserve">Food Chemistry, </w:t>
      </w:r>
      <w:r w:rsidRPr="00DC06F3">
        <w:rPr>
          <w:rFonts w:ascii="Times New Roman" w:hAnsi="Times New Roman"/>
          <w:noProof/>
          <w:sz w:val="20"/>
          <w:szCs w:val="20"/>
        </w:rPr>
        <w:t>98(3): 529-538.</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Ruttarattanamongkol, K., Chittrakorn, S., Weerawatanakorn, M. and Dangpium, N. (2015). Effect of drying conditions on properties, pigments and antioxidant activity retentions of pretreated orange and purple-fleshed sweet potato flours. </w:t>
      </w:r>
      <w:r w:rsidRPr="00DC06F3">
        <w:rPr>
          <w:rFonts w:ascii="Times New Roman" w:hAnsi="Times New Roman"/>
          <w:i/>
          <w:iCs/>
          <w:noProof/>
          <w:sz w:val="20"/>
          <w:szCs w:val="20"/>
        </w:rPr>
        <w:t xml:space="preserve">Journal of Food Science and Technology, </w:t>
      </w:r>
      <w:r w:rsidRPr="00DC06F3">
        <w:rPr>
          <w:rFonts w:ascii="Times New Roman" w:hAnsi="Times New Roman"/>
          <w:noProof/>
          <w:sz w:val="20"/>
          <w:szCs w:val="20"/>
        </w:rPr>
        <w:t>53(4): 1811-1822.</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Wu, K. L., Sung, W. C. and Yang, C. H. (2009). Characteristics of dough and bread as affected by the incorporation of sweet potato paste in the formulation. </w:t>
      </w:r>
      <w:r w:rsidRPr="00DC06F3">
        <w:rPr>
          <w:rFonts w:ascii="Times New Roman" w:hAnsi="Times New Roman"/>
          <w:i/>
          <w:iCs/>
          <w:noProof/>
          <w:sz w:val="20"/>
          <w:szCs w:val="20"/>
        </w:rPr>
        <w:t>Journal of Marine Science and Technology,</w:t>
      </w:r>
      <w:r w:rsidRPr="00DC06F3">
        <w:rPr>
          <w:rFonts w:ascii="Times New Roman" w:hAnsi="Times New Roman"/>
          <w:noProof/>
          <w:sz w:val="20"/>
          <w:szCs w:val="20"/>
        </w:rPr>
        <w:t xml:space="preserve"> 17(1): 13-22.</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Steed, L. E. and Truong, V. D. (2008). Anthocyanin content, antioxidant activity, and selected physical properties of flowable purple-fleshed sweetpotato purees. </w:t>
      </w:r>
      <w:r w:rsidRPr="00DC06F3">
        <w:rPr>
          <w:rFonts w:ascii="Times New Roman" w:hAnsi="Times New Roman"/>
          <w:i/>
          <w:iCs/>
          <w:noProof/>
          <w:sz w:val="20"/>
          <w:szCs w:val="20"/>
        </w:rPr>
        <w:t xml:space="preserve">Journal of Food Science, </w:t>
      </w:r>
      <w:r w:rsidRPr="00DC06F3">
        <w:rPr>
          <w:rFonts w:ascii="Times New Roman" w:hAnsi="Times New Roman"/>
          <w:noProof/>
          <w:sz w:val="20"/>
          <w:szCs w:val="20"/>
        </w:rPr>
        <w:t xml:space="preserve">73(5): 215-221.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Ginting, E. and Yulifianti, R. (2015). Characteristics of noodle prepared from orange-fleshed sweet potato, and domestic wheat flour. </w:t>
      </w:r>
      <w:r w:rsidRPr="00DC06F3">
        <w:rPr>
          <w:rFonts w:ascii="Times New Roman" w:hAnsi="Times New Roman"/>
          <w:i/>
          <w:iCs/>
          <w:noProof/>
          <w:sz w:val="20"/>
          <w:szCs w:val="20"/>
        </w:rPr>
        <w:t xml:space="preserve">Procedia Food Science, </w:t>
      </w:r>
      <w:r w:rsidRPr="00DC06F3">
        <w:rPr>
          <w:rFonts w:ascii="Times New Roman" w:hAnsi="Times New Roman"/>
          <w:noProof/>
          <w:sz w:val="20"/>
          <w:szCs w:val="20"/>
        </w:rPr>
        <w:t>3: 289-302.</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Chan, K. W., Khong, N. M. H., Iqbal, S., Umar, I. M. and Ismail, M. (2012). Antioxidant property enhancement of sweet potato flour under simulated gastrointestinal pH. </w:t>
      </w:r>
      <w:r w:rsidRPr="00DC06F3">
        <w:rPr>
          <w:rFonts w:ascii="Times New Roman" w:hAnsi="Times New Roman"/>
          <w:i/>
          <w:iCs/>
          <w:noProof/>
          <w:sz w:val="20"/>
          <w:szCs w:val="20"/>
        </w:rPr>
        <w:t>International Journal of Molecular Sciences,</w:t>
      </w:r>
      <w:r w:rsidRPr="00DC06F3">
        <w:rPr>
          <w:rFonts w:ascii="Times New Roman" w:hAnsi="Times New Roman"/>
          <w:noProof/>
          <w:sz w:val="20"/>
          <w:szCs w:val="20"/>
        </w:rPr>
        <w:t xml:space="preserve"> 13: 8987 – 8997.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Siró, I., Kápolna, E., Kápolna, B. and Lugasi, A. (2008). Functional food. product development, marketing and consumer acceptance- A review. </w:t>
      </w:r>
      <w:r w:rsidRPr="00DC06F3">
        <w:rPr>
          <w:rFonts w:ascii="Times New Roman" w:hAnsi="Times New Roman"/>
          <w:i/>
          <w:iCs/>
          <w:noProof/>
          <w:sz w:val="20"/>
          <w:szCs w:val="20"/>
        </w:rPr>
        <w:t>Appetite,</w:t>
      </w:r>
      <w:r w:rsidRPr="00DC06F3">
        <w:rPr>
          <w:rFonts w:ascii="Times New Roman" w:hAnsi="Times New Roman"/>
          <w:noProof/>
          <w:sz w:val="20"/>
          <w:szCs w:val="20"/>
        </w:rPr>
        <w:t xml:space="preserve"> 51(3): 456-467.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Rodriguez</w:t>
      </w:r>
      <w:r w:rsidRPr="00DC06F3">
        <w:rPr>
          <w:rFonts w:ascii="Cambria Math" w:hAnsi="Cambria Math" w:cs="Cambria Math"/>
          <w:noProof/>
          <w:sz w:val="20"/>
          <w:szCs w:val="20"/>
        </w:rPr>
        <w:t>‐</w:t>
      </w:r>
      <w:r w:rsidRPr="00DC06F3">
        <w:rPr>
          <w:rFonts w:ascii="Times New Roman" w:hAnsi="Times New Roman"/>
          <w:noProof/>
          <w:sz w:val="20"/>
          <w:szCs w:val="20"/>
        </w:rPr>
        <w:t xml:space="preserve">Saona, L. E. and Wrolstad, R. E. (2001). Extraction, isolation, and purification of anthocyanins. In </w:t>
      </w:r>
      <w:r w:rsidRPr="00DC06F3">
        <w:rPr>
          <w:rFonts w:ascii="Times New Roman" w:hAnsi="Times New Roman"/>
          <w:i/>
          <w:iCs/>
          <w:noProof/>
          <w:sz w:val="20"/>
          <w:szCs w:val="20"/>
        </w:rPr>
        <w:t>Current Protocols in Food Analytical Chemistry</w:t>
      </w:r>
      <w:r w:rsidRPr="00DC06F3">
        <w:rPr>
          <w:rFonts w:ascii="Times New Roman" w:hAnsi="Times New Roman"/>
          <w:noProof/>
          <w:sz w:val="20"/>
          <w:szCs w:val="20"/>
        </w:rPr>
        <w:t>. Hoboken, NJ, USA: John Wiley &amp; Sons, Inc. F1.1.1 – F1.1.11.</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Waterhouse, A. L. (2003). Determination of total phenolics. In </w:t>
      </w:r>
      <w:r w:rsidRPr="00DC06F3">
        <w:rPr>
          <w:rFonts w:ascii="Times New Roman" w:hAnsi="Times New Roman"/>
          <w:i/>
          <w:iCs/>
          <w:noProof/>
          <w:sz w:val="20"/>
          <w:szCs w:val="20"/>
        </w:rPr>
        <w:t>Current Protocols in Food Analytical Chemistry</w:t>
      </w:r>
      <w:r w:rsidRPr="00DC06F3">
        <w:rPr>
          <w:rFonts w:ascii="Times New Roman" w:hAnsi="Times New Roman"/>
          <w:noProof/>
          <w:sz w:val="20"/>
          <w:szCs w:val="20"/>
        </w:rPr>
        <w:t>. Hoboken, NJ, USA: John Wiley &amp; Sons, Inc. I1.1.1 – I1.1.8.</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Giusti, M. M. and Wrolstad, R. E. (2001). Characterization and measurement of anthocyanins by UV-visible spectroscopy. In </w:t>
      </w:r>
      <w:r w:rsidRPr="00DC06F3">
        <w:rPr>
          <w:rFonts w:ascii="Times New Roman" w:hAnsi="Times New Roman"/>
          <w:i/>
          <w:iCs/>
          <w:noProof/>
          <w:sz w:val="20"/>
          <w:szCs w:val="20"/>
        </w:rPr>
        <w:t>Current Protocols in Food Analytical Chemistry</w:t>
      </w:r>
      <w:r w:rsidRPr="00DC06F3">
        <w:rPr>
          <w:rFonts w:ascii="Times New Roman" w:hAnsi="Times New Roman"/>
          <w:noProof/>
          <w:sz w:val="20"/>
          <w:szCs w:val="20"/>
        </w:rPr>
        <w:t>. Hoboken, NJ, USA: John Wiley &amp; Sons, Inc. F1.2.1 – F1.2.13.</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Benzie, I. F. F. and Strain, J. J. (1996). The ferric reducing ability of plasma (FRAP) as a measure of “antioxidant power”: The FRAP assay. </w:t>
      </w:r>
      <w:r w:rsidRPr="00DC06F3">
        <w:rPr>
          <w:rFonts w:ascii="Times New Roman" w:hAnsi="Times New Roman"/>
          <w:i/>
          <w:iCs/>
          <w:noProof/>
          <w:sz w:val="20"/>
          <w:szCs w:val="20"/>
        </w:rPr>
        <w:t>Analytical Biochemistry,</w:t>
      </w:r>
      <w:r w:rsidRPr="00DC06F3">
        <w:rPr>
          <w:rFonts w:ascii="Times New Roman" w:hAnsi="Times New Roman"/>
          <w:noProof/>
          <w:sz w:val="20"/>
          <w:szCs w:val="20"/>
        </w:rPr>
        <w:t xml:space="preserve"> 239 (1): 70-76.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Brand-Williams, W., Cuvelier, M. E. and Berset, C. (1995). Use of a free radical method to evaluate antioxidant activity. </w:t>
      </w:r>
      <w:r w:rsidRPr="00DC06F3">
        <w:rPr>
          <w:rFonts w:ascii="Times New Roman" w:hAnsi="Times New Roman"/>
          <w:i/>
          <w:iCs/>
          <w:noProof/>
          <w:sz w:val="20"/>
          <w:szCs w:val="20"/>
        </w:rPr>
        <w:t xml:space="preserve">LWT - Food Science and Technology, </w:t>
      </w:r>
      <w:r w:rsidRPr="00DC06F3">
        <w:rPr>
          <w:rFonts w:ascii="Times New Roman" w:hAnsi="Times New Roman"/>
          <w:noProof/>
          <w:sz w:val="20"/>
          <w:szCs w:val="20"/>
        </w:rPr>
        <w:t xml:space="preserve">28(1): 25-30.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Yang, J., Chen, J., Zhao, Y. and Mao, L. (2010). Effects of drying processes on the antioxidant properties in sweet potatoes. </w:t>
      </w:r>
      <w:r w:rsidRPr="00DC06F3">
        <w:rPr>
          <w:rFonts w:ascii="Times New Roman" w:hAnsi="Times New Roman"/>
          <w:i/>
          <w:iCs/>
          <w:noProof/>
          <w:sz w:val="20"/>
          <w:szCs w:val="20"/>
        </w:rPr>
        <w:t>Agricultural Sciences in China,</w:t>
      </w:r>
      <w:r w:rsidRPr="00DC06F3">
        <w:rPr>
          <w:rFonts w:ascii="Times New Roman" w:hAnsi="Times New Roman"/>
          <w:noProof/>
          <w:sz w:val="20"/>
          <w:szCs w:val="20"/>
        </w:rPr>
        <w:t xml:space="preserve"> 9(10): 1522-1529.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Takenaka, M., Nanayama, K., Isobe, S. and Murata, M. (2006). Changes in caffeic acid derivatives in sweet potato (</w:t>
      </w:r>
      <w:r w:rsidRPr="00DC06F3">
        <w:rPr>
          <w:rFonts w:ascii="Times New Roman" w:hAnsi="Times New Roman"/>
          <w:i/>
          <w:iCs/>
          <w:noProof/>
          <w:sz w:val="20"/>
          <w:szCs w:val="20"/>
        </w:rPr>
        <w:t>Ipomoea batatas L</w:t>
      </w:r>
      <w:r w:rsidRPr="00DC06F3">
        <w:rPr>
          <w:rFonts w:ascii="Times New Roman" w:hAnsi="Times New Roman"/>
          <w:noProof/>
          <w:sz w:val="20"/>
          <w:szCs w:val="20"/>
        </w:rPr>
        <w:t xml:space="preserve">.) during cooking and processing. </w:t>
      </w:r>
      <w:r w:rsidRPr="00DC06F3">
        <w:rPr>
          <w:rFonts w:ascii="Times New Roman" w:hAnsi="Times New Roman"/>
          <w:i/>
          <w:iCs/>
          <w:noProof/>
          <w:sz w:val="20"/>
          <w:szCs w:val="20"/>
        </w:rPr>
        <w:t>Bioscience, Biotechnology, and Biochemistry,</w:t>
      </w:r>
      <w:r w:rsidRPr="00DC06F3">
        <w:rPr>
          <w:rFonts w:ascii="Times New Roman" w:hAnsi="Times New Roman"/>
          <w:noProof/>
          <w:sz w:val="20"/>
          <w:szCs w:val="20"/>
        </w:rPr>
        <w:t xml:space="preserve"> 70(1): 172-177.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Giusti, M. M. and Wrolstad, R. E. (2003). Acylated anthocyanins from edible sources and their applications in food systems. </w:t>
      </w:r>
      <w:r w:rsidRPr="00DC06F3">
        <w:rPr>
          <w:rFonts w:ascii="Times New Roman" w:hAnsi="Times New Roman"/>
          <w:i/>
          <w:iCs/>
          <w:noProof/>
          <w:sz w:val="20"/>
          <w:szCs w:val="20"/>
        </w:rPr>
        <w:t>Biochemical Engineering Journal,</w:t>
      </w:r>
      <w:r w:rsidRPr="00DC06F3">
        <w:rPr>
          <w:rFonts w:ascii="Times New Roman" w:hAnsi="Times New Roman"/>
          <w:noProof/>
          <w:sz w:val="20"/>
          <w:szCs w:val="20"/>
        </w:rPr>
        <w:t xml:space="preserve"> 14(3): 217-225.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Pasqualone, A., Bianco, A. M., Paradiso, V. M., Summo, C., Gambacorta, G., Caponio, F. and Blanco, A. (2015). Production and characterization of functional biscuits obtained from purple wheat. </w:t>
      </w:r>
      <w:r w:rsidRPr="00DC06F3">
        <w:rPr>
          <w:rFonts w:ascii="Times New Roman" w:hAnsi="Times New Roman"/>
          <w:i/>
          <w:iCs/>
          <w:noProof/>
          <w:sz w:val="20"/>
          <w:szCs w:val="20"/>
        </w:rPr>
        <w:t xml:space="preserve">Food Chemistry, </w:t>
      </w:r>
      <w:r w:rsidRPr="00DC06F3">
        <w:rPr>
          <w:rFonts w:ascii="Times New Roman" w:hAnsi="Times New Roman"/>
          <w:noProof/>
          <w:sz w:val="20"/>
          <w:szCs w:val="20"/>
        </w:rPr>
        <w:t>180: 64-70.</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Tang, Y., Cai, W. and Xu, B. (2015). Profiles of phenolics, carotenoids and antioxidative capacities of thermal processed white, yellow, orange and purple sweet potatoes grown in Guilin, China. </w:t>
      </w:r>
      <w:r w:rsidRPr="00DC06F3">
        <w:rPr>
          <w:rFonts w:ascii="Times New Roman" w:hAnsi="Times New Roman"/>
          <w:i/>
          <w:iCs/>
          <w:noProof/>
          <w:sz w:val="20"/>
          <w:szCs w:val="20"/>
        </w:rPr>
        <w:t xml:space="preserve">Food Science and Human Wellness, </w:t>
      </w:r>
      <w:r w:rsidRPr="00DC06F3">
        <w:rPr>
          <w:rFonts w:ascii="Times New Roman" w:hAnsi="Times New Roman"/>
          <w:noProof/>
          <w:sz w:val="20"/>
          <w:szCs w:val="20"/>
        </w:rPr>
        <w:t xml:space="preserve">4 (3): 123-132. </w:t>
      </w:r>
    </w:p>
    <w:p w:rsidR="00A82E41"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Kano, M., Takayanagi, T., Harada, K., Makino, K. and Ishikawa, F. (2005). Antioxidative activity of anthocyanins from purple sweet potato, </w:t>
      </w:r>
      <w:r w:rsidRPr="00DC06F3">
        <w:rPr>
          <w:rFonts w:ascii="Times New Roman" w:hAnsi="Times New Roman"/>
          <w:i/>
          <w:iCs/>
          <w:noProof/>
          <w:sz w:val="20"/>
          <w:szCs w:val="20"/>
        </w:rPr>
        <w:t>Ipomoera batatas</w:t>
      </w:r>
      <w:r w:rsidRPr="00DC06F3">
        <w:rPr>
          <w:rFonts w:ascii="Times New Roman" w:hAnsi="Times New Roman"/>
          <w:noProof/>
          <w:sz w:val="20"/>
          <w:szCs w:val="20"/>
        </w:rPr>
        <w:t xml:space="preserve"> cultivar ayamurasaki. </w:t>
      </w:r>
      <w:r w:rsidRPr="00DC06F3">
        <w:rPr>
          <w:rFonts w:ascii="Times New Roman" w:hAnsi="Times New Roman"/>
          <w:i/>
          <w:iCs/>
          <w:noProof/>
          <w:sz w:val="20"/>
          <w:szCs w:val="20"/>
        </w:rPr>
        <w:t xml:space="preserve">Bioscience, Biotechnology, and Biochemistry, </w:t>
      </w:r>
      <w:r w:rsidRPr="00DC06F3">
        <w:rPr>
          <w:rFonts w:ascii="Times New Roman" w:hAnsi="Times New Roman"/>
          <w:noProof/>
          <w:sz w:val="20"/>
          <w:szCs w:val="20"/>
        </w:rPr>
        <w:t>69(5): 979-988.</w:t>
      </w:r>
    </w:p>
    <w:p w:rsidR="00A82E41" w:rsidRPr="00A82E41" w:rsidRDefault="00A82E41" w:rsidP="00A82E41">
      <w:pPr>
        <w:widowControl w:val="0"/>
        <w:autoSpaceDE w:val="0"/>
        <w:autoSpaceDN w:val="0"/>
        <w:adjustRightInd w:val="0"/>
        <w:spacing w:after="0" w:line="240" w:lineRule="auto"/>
        <w:jc w:val="both"/>
        <w:rPr>
          <w:rFonts w:ascii="Times New Roman" w:hAnsi="Times New Roman"/>
          <w:noProof/>
          <w:sz w:val="20"/>
          <w:szCs w:val="20"/>
        </w:rPr>
      </w:pP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lastRenderedPageBreak/>
        <w:t xml:space="preserve">Oki, T., Masuda, M., Furuta, S., Nishiba, Y., Terahara, N. and Suda, I. (2002). Involvement of anthocyanins and other phenolic compounds in radical-scavenging activity of purple-fleshed sweet potato cultivars. </w:t>
      </w:r>
      <w:r w:rsidRPr="00DC06F3">
        <w:rPr>
          <w:rFonts w:ascii="Times New Roman" w:hAnsi="Times New Roman"/>
          <w:i/>
          <w:iCs/>
          <w:noProof/>
          <w:sz w:val="20"/>
          <w:szCs w:val="20"/>
        </w:rPr>
        <w:t>Journal of Food Science,</w:t>
      </w:r>
      <w:r w:rsidRPr="00DC06F3">
        <w:rPr>
          <w:rFonts w:ascii="Times New Roman" w:hAnsi="Times New Roman"/>
          <w:noProof/>
          <w:sz w:val="20"/>
          <w:szCs w:val="20"/>
        </w:rPr>
        <w:t xml:space="preserve"> 67(5): 1752-1756.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Philpott, M., Gould, K. S., Lim, C. and Ferguson, L. R. (2004). </w:t>
      </w:r>
      <w:r w:rsidRPr="00DC06F3">
        <w:rPr>
          <w:rFonts w:ascii="Times New Roman" w:hAnsi="Times New Roman"/>
          <w:i/>
          <w:noProof/>
          <w:sz w:val="20"/>
          <w:szCs w:val="20"/>
        </w:rPr>
        <w:t>In situ</w:t>
      </w:r>
      <w:r w:rsidRPr="00DC06F3">
        <w:rPr>
          <w:rFonts w:ascii="Times New Roman" w:hAnsi="Times New Roman"/>
          <w:noProof/>
          <w:sz w:val="20"/>
          <w:szCs w:val="20"/>
        </w:rPr>
        <w:t xml:space="preserve"> and </w:t>
      </w:r>
      <w:r w:rsidRPr="00DC06F3">
        <w:rPr>
          <w:rFonts w:ascii="Times New Roman" w:hAnsi="Times New Roman"/>
          <w:i/>
          <w:noProof/>
          <w:sz w:val="20"/>
          <w:szCs w:val="20"/>
        </w:rPr>
        <w:t>in vitro</w:t>
      </w:r>
      <w:r w:rsidRPr="00DC06F3">
        <w:rPr>
          <w:rFonts w:ascii="Times New Roman" w:hAnsi="Times New Roman"/>
          <w:noProof/>
          <w:sz w:val="20"/>
          <w:szCs w:val="20"/>
        </w:rPr>
        <w:t xml:space="preserve"> antioxidant activity of sweetpotato anthocyanins. </w:t>
      </w:r>
      <w:r w:rsidRPr="00DC06F3">
        <w:rPr>
          <w:rFonts w:ascii="Times New Roman" w:hAnsi="Times New Roman"/>
          <w:i/>
          <w:iCs/>
          <w:noProof/>
          <w:sz w:val="20"/>
          <w:szCs w:val="20"/>
        </w:rPr>
        <w:t xml:space="preserve">Journal of Agricultural and Food Chemistry, </w:t>
      </w:r>
      <w:r w:rsidRPr="00DC06F3">
        <w:rPr>
          <w:rFonts w:ascii="Times New Roman" w:hAnsi="Times New Roman"/>
          <w:noProof/>
          <w:sz w:val="20"/>
          <w:szCs w:val="20"/>
        </w:rPr>
        <w:t>52(6): 1511-1513.</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 xml:space="preserve">Truong, V. D., Deighton, N., Thompson, R. T., McFeeters, R. F., Dean, L. O., Pecota, K. V. and Yencho, G. C. (2010). Characterization of anthocyanins and anthocyanidins in purple-fleshed sweetpotatoes by HPLC-DAD/ESI-MS/MS. </w:t>
      </w:r>
      <w:r w:rsidRPr="00DC06F3">
        <w:rPr>
          <w:rFonts w:ascii="Times New Roman" w:hAnsi="Times New Roman"/>
          <w:i/>
          <w:iCs/>
          <w:noProof/>
          <w:sz w:val="20"/>
          <w:szCs w:val="20"/>
        </w:rPr>
        <w:t>Journal of Agricultural and Food Chemistry</w:t>
      </w:r>
      <w:r w:rsidRPr="00DC06F3">
        <w:rPr>
          <w:rFonts w:ascii="Times New Roman" w:hAnsi="Times New Roman"/>
          <w:noProof/>
          <w:sz w:val="20"/>
          <w:szCs w:val="20"/>
        </w:rPr>
        <w:t xml:space="preserve">, 58(1): 404-410. </w:t>
      </w:r>
    </w:p>
    <w:p w:rsidR="00A82E41" w:rsidRPr="00DC06F3" w:rsidRDefault="00A82E41" w:rsidP="00A82E41">
      <w:pPr>
        <w:pStyle w:val="ListParagraph"/>
        <w:widowControl w:val="0"/>
        <w:numPr>
          <w:ilvl w:val="0"/>
          <w:numId w:val="2"/>
        </w:numPr>
        <w:autoSpaceDE w:val="0"/>
        <w:autoSpaceDN w:val="0"/>
        <w:adjustRightInd w:val="0"/>
        <w:spacing w:after="0" w:line="240" w:lineRule="auto"/>
        <w:ind w:left="360" w:hanging="360"/>
        <w:contextualSpacing w:val="0"/>
        <w:jc w:val="both"/>
        <w:rPr>
          <w:rFonts w:ascii="Times New Roman" w:hAnsi="Times New Roman"/>
          <w:noProof/>
          <w:sz w:val="20"/>
          <w:szCs w:val="20"/>
        </w:rPr>
      </w:pPr>
      <w:r w:rsidRPr="00DC06F3">
        <w:rPr>
          <w:rFonts w:ascii="Times New Roman" w:hAnsi="Times New Roman"/>
          <w:noProof/>
          <w:sz w:val="20"/>
          <w:szCs w:val="20"/>
        </w:rPr>
        <w:t>Yang, J. and Gadi, R. L. (2008). Effects of steaming and dehydration on anthocyanins, antioxidant activity, total phenols and color characteristics of purple-fleshed sweet potatoes (</w:t>
      </w:r>
      <w:r w:rsidRPr="00DC06F3">
        <w:rPr>
          <w:rFonts w:ascii="Times New Roman" w:hAnsi="Times New Roman"/>
          <w:i/>
          <w:iCs/>
          <w:noProof/>
          <w:sz w:val="20"/>
          <w:szCs w:val="20"/>
        </w:rPr>
        <w:t>Ipomoea batatas</w:t>
      </w:r>
      <w:r w:rsidRPr="00DC06F3">
        <w:rPr>
          <w:rFonts w:ascii="Times New Roman" w:hAnsi="Times New Roman"/>
          <w:noProof/>
          <w:sz w:val="20"/>
          <w:szCs w:val="20"/>
        </w:rPr>
        <w:t xml:space="preserve">). </w:t>
      </w:r>
      <w:r w:rsidRPr="00DC06F3">
        <w:rPr>
          <w:rFonts w:ascii="Times New Roman" w:hAnsi="Times New Roman"/>
          <w:i/>
          <w:iCs/>
          <w:noProof/>
          <w:sz w:val="20"/>
          <w:szCs w:val="20"/>
        </w:rPr>
        <w:t>American Journal of Food Technology</w:t>
      </w:r>
      <w:r w:rsidRPr="00DC06F3">
        <w:rPr>
          <w:rFonts w:ascii="Times New Roman" w:hAnsi="Times New Roman"/>
          <w:noProof/>
          <w:sz w:val="20"/>
          <w:szCs w:val="20"/>
        </w:rPr>
        <w:t>, 3(4): 224-234.</w:t>
      </w:r>
    </w:p>
    <w:p w:rsidR="00A74A7E" w:rsidRPr="007A738C" w:rsidRDefault="00A74A7E" w:rsidP="00A82E41">
      <w:pPr>
        <w:spacing w:after="0" w:line="240" w:lineRule="auto"/>
        <w:ind w:left="360"/>
        <w:jc w:val="both"/>
        <w:rPr>
          <w:rFonts w:ascii="Times New Roman" w:hAnsi="Times New Roman"/>
          <w:noProof/>
          <w:lang w:bidi="ar-SA"/>
        </w:rPr>
      </w:pPr>
    </w:p>
    <w:sectPr w:rsidR="00A74A7E" w:rsidRPr="007A738C" w:rsidSect="001D3EBD">
      <w:headerReference w:type="even" r:id="rId12"/>
      <w:headerReference w:type="default" r:id="rId13"/>
      <w:footerReference w:type="even" r:id="rId14"/>
      <w:footerReference w:type="default" r:id="rId15"/>
      <w:pgSz w:w="12240" w:h="15840" w:code="1"/>
      <w:pgMar w:top="1800" w:right="1469" w:bottom="1699" w:left="1440" w:header="706" w:footer="706" w:gutter="0"/>
      <w:pgNumType w:start="6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46A2B">
      <w:rPr>
        <w:rFonts w:ascii="Times New Roman" w:hAnsi="Times New Roman"/>
        <w:noProof/>
      </w:rPr>
      <w:t>674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46A2B">
      <w:rPr>
        <w:rFonts w:ascii="Times New Roman" w:hAnsi="Times New Roman"/>
        <w:noProof/>
      </w:rPr>
      <w:t>675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0C" w:rsidRPr="0098390C" w:rsidRDefault="0098390C" w:rsidP="0098390C">
    <w:pPr>
      <w:spacing w:after="0" w:line="240" w:lineRule="auto"/>
      <w:ind w:left="990" w:hanging="990"/>
      <w:outlineLvl w:val="0"/>
      <w:rPr>
        <w:rFonts w:ascii="Times New Roman" w:hAnsi="Times New Roman"/>
        <w:sz w:val="20"/>
        <w:szCs w:val="20"/>
        <w:lang w:val="en-GB"/>
      </w:rPr>
    </w:pPr>
    <w:r>
      <w:rPr>
        <w:rFonts w:ascii="Times New Roman" w:hAnsi="Times New Roman"/>
        <w:sz w:val="20"/>
        <w:szCs w:val="20"/>
      </w:rPr>
      <w:t>Azni et al</w:t>
    </w:r>
    <w:r w:rsidR="006B72B0" w:rsidRPr="0098390C">
      <w:rPr>
        <w:rFonts w:ascii="Times New Roman" w:hAnsi="Times New Roman"/>
        <w:sz w:val="20"/>
        <w:szCs w:val="20"/>
      </w:rPr>
      <w:t xml:space="preserve">: </w:t>
    </w:r>
    <w:r w:rsidR="000D2B43" w:rsidRPr="0098390C">
      <w:rPr>
        <w:rFonts w:ascii="Times New Roman" w:hAnsi="Times New Roman"/>
        <w:sz w:val="20"/>
        <w:szCs w:val="20"/>
      </w:rPr>
      <w:t xml:space="preserve"> </w:t>
    </w:r>
    <w:r w:rsidRPr="0098390C">
      <w:rPr>
        <w:rFonts w:ascii="Times New Roman" w:hAnsi="Times New Roman"/>
        <w:sz w:val="20"/>
        <w:szCs w:val="20"/>
      </w:rPr>
      <w:t xml:space="preserve"> </w:t>
    </w:r>
    <w:r w:rsidRPr="0098390C">
      <w:rPr>
        <w:rFonts w:ascii="Times New Roman" w:hAnsi="Times New Roman"/>
        <w:sz w:val="20"/>
        <w:szCs w:val="20"/>
        <w:lang w:val="en-GB"/>
      </w:rPr>
      <w:t>EFFECT OF INCORPORATING PURPLE-FLESHED SWEET POTATO IN BISCUIT ON ANTIOXIDANT CONTENT, ANTIOXIDANT CAPACITY AND COLOUR CHARACTERISTICS</w:t>
    </w:r>
  </w:p>
  <w:p w:rsidR="002B3BD8" w:rsidRPr="006B72B0" w:rsidRDefault="002B3BD8" w:rsidP="006B72B0">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1C0506">
      <w:rPr>
        <w:rFonts w:ascii="Times New Roman" w:hAnsi="Times New Roman"/>
        <w:i/>
        <w:lang w:val="en-US"/>
      </w:rPr>
      <w:t>No 4</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1D3EBD">
      <w:rPr>
        <w:rFonts w:ascii="Times New Roman" w:hAnsi="Times New Roman"/>
        <w:i/>
        <w:lang w:val="en-US"/>
      </w:rPr>
      <w:t>667</w:t>
    </w:r>
    <w:r>
      <w:rPr>
        <w:rFonts w:ascii="Times New Roman" w:hAnsi="Times New Roman"/>
        <w:i/>
        <w:lang w:val="en-US"/>
      </w:rPr>
      <w:t xml:space="preserve"> </w:t>
    </w:r>
    <w:r w:rsidR="007A0583">
      <w:rPr>
        <w:rFonts w:ascii="Times New Roman" w:hAnsi="Times New Roman"/>
        <w:i/>
        <w:lang w:val="en-US"/>
      </w:rPr>
      <w:t>-</w:t>
    </w:r>
    <w:r w:rsidR="001D3EBD">
      <w:rPr>
        <w:rFonts w:ascii="Times New Roman" w:hAnsi="Times New Roman"/>
        <w:i/>
        <w:lang w:val="en-US"/>
      </w:rPr>
      <w:t xml:space="preserve"> 675</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w:t>
    </w:r>
    <w:r w:rsidR="001C0506">
      <w:rPr>
        <w:rFonts w:ascii="Times New Roman" w:hAnsi="Times New Roman"/>
        <w:i/>
        <w:lang w:val="en-US"/>
      </w:rPr>
      <w:t>4</w:t>
    </w:r>
    <w:r w:rsidR="001D3EBD">
      <w:rPr>
        <w:rFonts w:ascii="Times New Roman" w:hAnsi="Times New Roman"/>
        <w:i/>
        <w:lang w:val="en-US"/>
      </w:rPr>
      <w:t>-13</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D4B2669"/>
    <w:multiLevelType w:val="hybridMultilevel"/>
    <w:tmpl w:val="30020A42"/>
    <w:lvl w:ilvl="0" w:tplc="48F8E24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4936"/>
    <w:rsid w:val="000C49FF"/>
    <w:rsid w:val="000D16A1"/>
    <w:rsid w:val="000D2B0C"/>
    <w:rsid w:val="000D2B43"/>
    <w:rsid w:val="000F77DA"/>
    <w:rsid w:val="001068E8"/>
    <w:rsid w:val="001106D8"/>
    <w:rsid w:val="00117BCD"/>
    <w:rsid w:val="001A3275"/>
    <w:rsid w:val="001C0506"/>
    <w:rsid w:val="001D035A"/>
    <w:rsid w:val="001D3855"/>
    <w:rsid w:val="001D3EBD"/>
    <w:rsid w:val="001D6F2C"/>
    <w:rsid w:val="002563AF"/>
    <w:rsid w:val="00277498"/>
    <w:rsid w:val="002860B7"/>
    <w:rsid w:val="00290565"/>
    <w:rsid w:val="00290F4D"/>
    <w:rsid w:val="002A2FC0"/>
    <w:rsid w:val="002B188F"/>
    <w:rsid w:val="002B3BD8"/>
    <w:rsid w:val="002C1291"/>
    <w:rsid w:val="002F3F91"/>
    <w:rsid w:val="00304767"/>
    <w:rsid w:val="00304B34"/>
    <w:rsid w:val="00312A6F"/>
    <w:rsid w:val="00335C6A"/>
    <w:rsid w:val="00352D57"/>
    <w:rsid w:val="00361BAF"/>
    <w:rsid w:val="00362FCE"/>
    <w:rsid w:val="00367D1F"/>
    <w:rsid w:val="003B6019"/>
    <w:rsid w:val="003D585B"/>
    <w:rsid w:val="003E7DA6"/>
    <w:rsid w:val="003F12FF"/>
    <w:rsid w:val="004760D4"/>
    <w:rsid w:val="00494C46"/>
    <w:rsid w:val="004A1052"/>
    <w:rsid w:val="004A552F"/>
    <w:rsid w:val="004B43FF"/>
    <w:rsid w:val="004D7E25"/>
    <w:rsid w:val="00502641"/>
    <w:rsid w:val="00547828"/>
    <w:rsid w:val="005A7F28"/>
    <w:rsid w:val="005C6768"/>
    <w:rsid w:val="005E4871"/>
    <w:rsid w:val="00601C8A"/>
    <w:rsid w:val="00611F83"/>
    <w:rsid w:val="006257E5"/>
    <w:rsid w:val="00634C25"/>
    <w:rsid w:val="0063542E"/>
    <w:rsid w:val="006416AB"/>
    <w:rsid w:val="006768E9"/>
    <w:rsid w:val="00687982"/>
    <w:rsid w:val="006B3EC8"/>
    <w:rsid w:val="006B72B0"/>
    <w:rsid w:val="006C3DA1"/>
    <w:rsid w:val="006D286E"/>
    <w:rsid w:val="006D695E"/>
    <w:rsid w:val="00725A6A"/>
    <w:rsid w:val="0073568D"/>
    <w:rsid w:val="007706A6"/>
    <w:rsid w:val="007871C1"/>
    <w:rsid w:val="007943F3"/>
    <w:rsid w:val="007A0583"/>
    <w:rsid w:val="007A738C"/>
    <w:rsid w:val="007B1349"/>
    <w:rsid w:val="007D45AC"/>
    <w:rsid w:val="007E25BD"/>
    <w:rsid w:val="00802C35"/>
    <w:rsid w:val="00807ADC"/>
    <w:rsid w:val="0082181A"/>
    <w:rsid w:val="0082457A"/>
    <w:rsid w:val="00825624"/>
    <w:rsid w:val="0083587A"/>
    <w:rsid w:val="008415BA"/>
    <w:rsid w:val="008712EA"/>
    <w:rsid w:val="00883CC3"/>
    <w:rsid w:val="008B470E"/>
    <w:rsid w:val="008B5904"/>
    <w:rsid w:val="008D1880"/>
    <w:rsid w:val="008D29BF"/>
    <w:rsid w:val="008D6AEE"/>
    <w:rsid w:val="008E1211"/>
    <w:rsid w:val="008E2A51"/>
    <w:rsid w:val="008E5BBF"/>
    <w:rsid w:val="008E6968"/>
    <w:rsid w:val="009211AF"/>
    <w:rsid w:val="00921742"/>
    <w:rsid w:val="009357B8"/>
    <w:rsid w:val="0098390C"/>
    <w:rsid w:val="009866F6"/>
    <w:rsid w:val="009D030D"/>
    <w:rsid w:val="00A049C6"/>
    <w:rsid w:val="00A14DB9"/>
    <w:rsid w:val="00A33DC8"/>
    <w:rsid w:val="00A4762A"/>
    <w:rsid w:val="00A5485A"/>
    <w:rsid w:val="00A64690"/>
    <w:rsid w:val="00A74A7E"/>
    <w:rsid w:val="00A82E41"/>
    <w:rsid w:val="00AD1B8A"/>
    <w:rsid w:val="00AD3EEE"/>
    <w:rsid w:val="00AE713F"/>
    <w:rsid w:val="00AF2305"/>
    <w:rsid w:val="00AF2821"/>
    <w:rsid w:val="00B1121C"/>
    <w:rsid w:val="00B25B65"/>
    <w:rsid w:val="00B2770A"/>
    <w:rsid w:val="00B314AD"/>
    <w:rsid w:val="00B51963"/>
    <w:rsid w:val="00B56AF6"/>
    <w:rsid w:val="00B75BF6"/>
    <w:rsid w:val="00B7735A"/>
    <w:rsid w:val="00B91DE7"/>
    <w:rsid w:val="00BA1F7B"/>
    <w:rsid w:val="00BB58AF"/>
    <w:rsid w:val="00BE6617"/>
    <w:rsid w:val="00BE7C30"/>
    <w:rsid w:val="00C055BF"/>
    <w:rsid w:val="00C2226A"/>
    <w:rsid w:val="00C94D92"/>
    <w:rsid w:val="00C97340"/>
    <w:rsid w:val="00CA513F"/>
    <w:rsid w:val="00CA6791"/>
    <w:rsid w:val="00CB3AA6"/>
    <w:rsid w:val="00CE2BC6"/>
    <w:rsid w:val="00CF05FF"/>
    <w:rsid w:val="00D17EC7"/>
    <w:rsid w:val="00D257FB"/>
    <w:rsid w:val="00D340BB"/>
    <w:rsid w:val="00D505D5"/>
    <w:rsid w:val="00D6781A"/>
    <w:rsid w:val="00D75B35"/>
    <w:rsid w:val="00D76E09"/>
    <w:rsid w:val="00D9736F"/>
    <w:rsid w:val="00D9792A"/>
    <w:rsid w:val="00DC06F3"/>
    <w:rsid w:val="00DD0CD5"/>
    <w:rsid w:val="00DD377F"/>
    <w:rsid w:val="00DD7C38"/>
    <w:rsid w:val="00E25547"/>
    <w:rsid w:val="00E3287E"/>
    <w:rsid w:val="00E4120F"/>
    <w:rsid w:val="00E54D12"/>
    <w:rsid w:val="00E600CD"/>
    <w:rsid w:val="00E66197"/>
    <w:rsid w:val="00F121A0"/>
    <w:rsid w:val="00F31093"/>
    <w:rsid w:val="00F3152F"/>
    <w:rsid w:val="00F33AB1"/>
    <w:rsid w:val="00F412AF"/>
    <w:rsid w:val="00F43667"/>
    <w:rsid w:val="00F447A7"/>
    <w:rsid w:val="00F46A2B"/>
    <w:rsid w:val="00F4760B"/>
    <w:rsid w:val="00FB4C59"/>
    <w:rsid w:val="00FB584D"/>
    <w:rsid w:val="00FB6521"/>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B56AF6"/>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CAuthorAddress">
    <w:name w:val="BC_Author_Address"/>
    <w:basedOn w:val="Normal"/>
    <w:next w:val="Normal"/>
    <w:rsid w:val="00B56AF6"/>
    <w:pPr>
      <w:spacing w:before="80" w:after="0" w:line="200" w:lineRule="exact"/>
      <w:ind w:left="706" w:right="706"/>
      <w:jc w:val="center"/>
    </w:pPr>
    <w:rPr>
      <w:rFonts w:ascii="Times" w:hAnsi="Times"/>
      <w:i/>
      <w:sz w:val="18"/>
      <w:szCs w:val="20"/>
      <w:lang w:bidi="ar-SA"/>
    </w:rPr>
  </w:style>
  <w:style w:type="paragraph" w:styleId="BodyText">
    <w:name w:val="Body Text"/>
    <w:basedOn w:val="Normal"/>
    <w:link w:val="BodyTextChar"/>
    <w:rsid w:val="00B56AF6"/>
    <w:pPr>
      <w:spacing w:after="0" w:line="240" w:lineRule="auto"/>
      <w:jc w:val="both"/>
    </w:pPr>
    <w:rPr>
      <w:rFonts w:ascii="Times New Roman" w:hAnsi="Times New Roman"/>
      <w:szCs w:val="20"/>
      <w:lang w:val="en-GB" w:eastAsia="fr-FR" w:bidi="ar-SA"/>
    </w:rPr>
  </w:style>
  <w:style w:type="character" w:customStyle="1" w:styleId="BodyTextChar">
    <w:name w:val="Body Text Char"/>
    <w:basedOn w:val="DefaultParagraphFont"/>
    <w:link w:val="BodyText"/>
    <w:rsid w:val="00B56AF6"/>
    <w:rPr>
      <w:rFonts w:ascii="Times New Roman" w:eastAsia="Times New Roman" w:hAnsi="Times New Roman"/>
      <w:sz w:val="22"/>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B56AF6"/>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CAuthorAddress">
    <w:name w:val="BC_Author_Address"/>
    <w:basedOn w:val="Normal"/>
    <w:next w:val="Normal"/>
    <w:rsid w:val="00B56AF6"/>
    <w:pPr>
      <w:spacing w:before="80" w:after="0" w:line="200" w:lineRule="exact"/>
      <w:ind w:left="706" w:right="706"/>
      <w:jc w:val="center"/>
    </w:pPr>
    <w:rPr>
      <w:rFonts w:ascii="Times" w:hAnsi="Times"/>
      <w:i/>
      <w:sz w:val="18"/>
      <w:szCs w:val="20"/>
      <w:lang w:bidi="ar-SA"/>
    </w:rPr>
  </w:style>
  <w:style w:type="paragraph" w:styleId="BodyText">
    <w:name w:val="Body Text"/>
    <w:basedOn w:val="Normal"/>
    <w:link w:val="BodyTextChar"/>
    <w:rsid w:val="00B56AF6"/>
    <w:pPr>
      <w:spacing w:after="0" w:line="240" w:lineRule="auto"/>
      <w:jc w:val="both"/>
    </w:pPr>
    <w:rPr>
      <w:rFonts w:ascii="Times New Roman" w:hAnsi="Times New Roman"/>
      <w:szCs w:val="20"/>
      <w:lang w:val="en-GB" w:eastAsia="fr-FR" w:bidi="ar-SA"/>
    </w:rPr>
  </w:style>
  <w:style w:type="character" w:customStyle="1" w:styleId="BodyTextChar">
    <w:name w:val="Body Text Char"/>
    <w:basedOn w:val="DefaultParagraphFont"/>
    <w:link w:val="BodyText"/>
    <w:rsid w:val="00B56AF6"/>
    <w:rPr>
      <w:rFonts w:ascii="Times New Roman" w:eastAsia="Times New Roman" w:hAnsi="Times New Roman"/>
      <w:sz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9A642-5BEF-4171-8D73-A9F7D0A3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4431</Words>
  <Characters>24234</Characters>
  <Application>Microsoft Office Word</Application>
  <DocSecurity>0</DocSecurity>
  <Lines>470</Lines>
  <Paragraphs>205</Paragraphs>
  <ScaleCrop>false</ScaleCrop>
  <HeadingPairs>
    <vt:vector size="2" baseType="variant">
      <vt:variant>
        <vt:lpstr>Title</vt:lpstr>
      </vt:variant>
      <vt:variant>
        <vt:i4>1</vt:i4>
      </vt:variant>
    </vt:vector>
  </HeadingPairs>
  <TitlesOfParts>
    <vt:vector size="1" baseType="lpstr">
      <vt:lpstr>MJAS Vol 22 No 4 (2018)</vt:lpstr>
    </vt:vector>
  </TitlesOfParts>
  <Company>UKM</Company>
  <LinksUpToDate>false</LinksUpToDate>
  <CharactersWithSpaces>28626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4 (2018)</dc:title>
  <dc:creator>Harun Hj Hamzah</dc:creator>
  <cp:lastModifiedBy>Harun Hamzah</cp:lastModifiedBy>
  <cp:revision>21</cp:revision>
  <cp:lastPrinted>2018-08-15T23:46:00Z</cp:lastPrinted>
  <dcterms:created xsi:type="dcterms:W3CDTF">2018-08-02T08:01:00Z</dcterms:created>
  <dcterms:modified xsi:type="dcterms:W3CDTF">2018-08-15T23:46:00Z</dcterms:modified>
</cp:coreProperties>
</file>