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2C51C0" w:rsidRPr="00E31DEE" w:rsidRDefault="002C51C0" w:rsidP="002C51C0">
      <w:pPr>
        <w:spacing w:after="0" w:line="240" w:lineRule="auto"/>
        <w:jc w:val="center"/>
        <w:outlineLvl w:val="0"/>
        <w:rPr>
          <w:rFonts w:ascii="Times New Roman" w:hAnsi="Times New Roman"/>
          <w:bCs/>
          <w:sz w:val="28"/>
          <w:lang w:val="en-GB"/>
        </w:rPr>
      </w:pPr>
      <w:r w:rsidRPr="00E31DEE">
        <w:rPr>
          <w:rFonts w:ascii="Times New Roman" w:hAnsi="Times New Roman"/>
          <w:bCs/>
          <w:sz w:val="28"/>
          <w:lang w:val="en-GB"/>
        </w:rPr>
        <w:t>PHYSICOCHEMICAL PROPERTIES OF ENCAPSULATED PURPLE SWEET POTATO EXTRACT; EFFECT OF MALTODEXTRIN CONCENTRATION, AND MICROWAVE DRYING POWER</w:t>
      </w:r>
    </w:p>
    <w:p w:rsidR="002C51C0" w:rsidRPr="00E31DEE" w:rsidRDefault="002C51C0" w:rsidP="002C51C0">
      <w:pPr>
        <w:spacing w:after="0" w:line="240" w:lineRule="auto"/>
        <w:jc w:val="center"/>
        <w:outlineLvl w:val="0"/>
        <w:rPr>
          <w:rFonts w:ascii="Times New Roman" w:hAnsi="Times New Roman"/>
          <w:sz w:val="24"/>
        </w:rPr>
      </w:pPr>
    </w:p>
    <w:p w:rsidR="002C51C0" w:rsidRPr="00B6687E" w:rsidRDefault="002C51C0" w:rsidP="002C51C0">
      <w:pPr>
        <w:spacing w:after="0" w:line="240" w:lineRule="auto"/>
        <w:jc w:val="center"/>
        <w:outlineLvl w:val="0"/>
        <w:rPr>
          <w:rFonts w:ascii="Times New Roman" w:hAnsi="Times New Roman"/>
          <w:sz w:val="24"/>
          <w:lang w:val="ms-MY"/>
        </w:rPr>
      </w:pPr>
      <w:r w:rsidRPr="00E31DEE">
        <w:rPr>
          <w:rFonts w:ascii="Times New Roman" w:hAnsi="Times New Roman"/>
          <w:sz w:val="24"/>
        </w:rPr>
        <w:t>(</w:t>
      </w:r>
      <w:r w:rsidRPr="00B6687E">
        <w:rPr>
          <w:rFonts w:ascii="Times New Roman" w:hAnsi="Times New Roman"/>
          <w:sz w:val="24"/>
          <w:lang w:val="ms-MY"/>
        </w:rPr>
        <w:t>Sifat Fizikokimia Ekstrak Keledek Ungu yang Dikapsul; Kesan Kepekatan Maltodekstrin,</w:t>
      </w:r>
      <w:r>
        <w:rPr>
          <w:rFonts w:ascii="Times New Roman" w:hAnsi="Times New Roman"/>
          <w:sz w:val="24"/>
          <w:lang w:val="ms-MY"/>
        </w:rPr>
        <w:t xml:space="preserve"> </w:t>
      </w:r>
      <w:r w:rsidRPr="00B6687E">
        <w:rPr>
          <w:rFonts w:ascii="Times New Roman" w:hAnsi="Times New Roman"/>
          <w:sz w:val="24"/>
          <w:lang w:val="ms-MY"/>
        </w:rPr>
        <w:t>dan Kuasa Pengeringan Gelomban</w:t>
      </w:r>
      <w:r>
        <w:rPr>
          <w:rFonts w:ascii="Times New Roman" w:hAnsi="Times New Roman"/>
          <w:sz w:val="24"/>
          <w:lang w:val="ms-MY"/>
        </w:rPr>
        <w:t>g Mikro</w:t>
      </w:r>
      <w:r w:rsidRPr="00B6687E">
        <w:rPr>
          <w:rFonts w:ascii="Times New Roman" w:hAnsi="Times New Roman"/>
          <w:sz w:val="24"/>
          <w:lang w:val="ms-MY"/>
        </w:rPr>
        <w:t>)</w:t>
      </w:r>
    </w:p>
    <w:p w:rsidR="002C51C0" w:rsidRPr="00111966" w:rsidRDefault="002C51C0" w:rsidP="002C51C0">
      <w:pPr>
        <w:spacing w:after="0" w:line="240" w:lineRule="auto"/>
        <w:jc w:val="center"/>
        <w:outlineLvl w:val="0"/>
        <w:rPr>
          <w:rFonts w:ascii="Times New Roman" w:hAnsi="Times New Roman"/>
        </w:rPr>
      </w:pPr>
    </w:p>
    <w:p w:rsidR="002C51C0" w:rsidRPr="002C51C0" w:rsidRDefault="002C51C0" w:rsidP="002C51C0">
      <w:pPr>
        <w:spacing w:after="0" w:line="240" w:lineRule="auto"/>
        <w:jc w:val="center"/>
        <w:outlineLvl w:val="0"/>
        <w:rPr>
          <w:rFonts w:ascii="Times New Roman" w:hAnsi="Times New Roman"/>
          <w:sz w:val="20"/>
          <w:szCs w:val="20"/>
          <w:lang w:val="en-GB"/>
        </w:rPr>
      </w:pPr>
      <w:r w:rsidRPr="002C51C0">
        <w:rPr>
          <w:rFonts w:ascii="Times New Roman" w:hAnsi="Times New Roman"/>
          <w:sz w:val="20"/>
          <w:szCs w:val="20"/>
          <w:lang w:val="en-GB"/>
        </w:rPr>
        <w:t>Alyani Mohd Padzil</w:t>
      </w:r>
      <w:r w:rsidRPr="002C51C0">
        <w:rPr>
          <w:rFonts w:ascii="Times New Roman" w:hAnsi="Times New Roman"/>
          <w:sz w:val="20"/>
          <w:szCs w:val="20"/>
          <w:vertAlign w:val="superscript"/>
          <w:lang w:val="en-GB"/>
        </w:rPr>
        <w:t>1</w:t>
      </w:r>
      <w:r w:rsidRPr="002C51C0">
        <w:rPr>
          <w:rFonts w:ascii="Times New Roman" w:hAnsi="Times New Roman"/>
          <w:sz w:val="20"/>
          <w:szCs w:val="20"/>
          <w:lang w:val="en-GB"/>
        </w:rPr>
        <w:t>*, Azni A. Aziz</w:t>
      </w:r>
      <w:r w:rsidRPr="002C51C0">
        <w:rPr>
          <w:rFonts w:ascii="Times New Roman" w:hAnsi="Times New Roman"/>
          <w:sz w:val="20"/>
          <w:szCs w:val="20"/>
          <w:vertAlign w:val="superscript"/>
          <w:lang w:val="en-GB"/>
        </w:rPr>
        <w:t>1</w:t>
      </w:r>
      <w:r w:rsidRPr="002C51C0">
        <w:rPr>
          <w:rFonts w:ascii="Times New Roman" w:hAnsi="Times New Roman"/>
          <w:sz w:val="20"/>
          <w:szCs w:val="20"/>
          <w:lang w:val="en-GB"/>
        </w:rPr>
        <w:t>,</w:t>
      </w:r>
      <w:r w:rsidRPr="002C51C0">
        <w:rPr>
          <w:rFonts w:ascii="Times New Roman" w:hAnsi="Times New Roman"/>
          <w:sz w:val="20"/>
          <w:szCs w:val="20"/>
          <w:vertAlign w:val="superscript"/>
          <w:lang w:val="en-GB"/>
        </w:rPr>
        <w:t xml:space="preserve"> </w:t>
      </w:r>
      <w:r w:rsidRPr="002C51C0">
        <w:rPr>
          <w:rFonts w:ascii="Times New Roman" w:hAnsi="Times New Roman"/>
          <w:sz w:val="20"/>
          <w:szCs w:val="20"/>
          <w:lang w:val="en-GB"/>
        </w:rPr>
        <w:t>Ida Idayu Muhamad</w:t>
      </w:r>
      <w:r w:rsidRPr="002C51C0">
        <w:rPr>
          <w:rFonts w:ascii="Times New Roman" w:hAnsi="Times New Roman"/>
          <w:sz w:val="20"/>
          <w:szCs w:val="20"/>
          <w:vertAlign w:val="superscript"/>
          <w:lang w:val="en-GB"/>
        </w:rPr>
        <w:t>1, 2</w:t>
      </w:r>
    </w:p>
    <w:p w:rsidR="002C51C0" w:rsidRPr="00F21FD5" w:rsidRDefault="002C51C0" w:rsidP="002C51C0">
      <w:pPr>
        <w:spacing w:after="0" w:line="240" w:lineRule="auto"/>
        <w:jc w:val="center"/>
        <w:outlineLvl w:val="0"/>
        <w:rPr>
          <w:rFonts w:ascii="Times New Roman" w:hAnsi="Times New Roman"/>
          <w:sz w:val="18"/>
          <w:szCs w:val="18"/>
        </w:rPr>
      </w:pPr>
    </w:p>
    <w:p w:rsidR="002C51C0" w:rsidRDefault="002C51C0" w:rsidP="002C51C0">
      <w:pPr>
        <w:spacing w:after="0" w:line="240" w:lineRule="auto"/>
        <w:jc w:val="center"/>
        <w:outlineLvl w:val="0"/>
        <w:rPr>
          <w:rFonts w:ascii="Times New Roman" w:hAnsi="Times New Roman"/>
          <w:i/>
          <w:sz w:val="18"/>
          <w:szCs w:val="18"/>
        </w:rPr>
      </w:pPr>
      <w:r w:rsidRPr="00E31DEE">
        <w:rPr>
          <w:rFonts w:ascii="Times New Roman" w:hAnsi="Times New Roman"/>
          <w:i/>
          <w:sz w:val="18"/>
          <w:szCs w:val="18"/>
          <w:vertAlign w:val="superscript"/>
        </w:rPr>
        <w:t>1</w:t>
      </w:r>
      <w:r w:rsidRPr="00E31DEE">
        <w:rPr>
          <w:rFonts w:ascii="Times New Roman" w:hAnsi="Times New Roman"/>
          <w:i/>
          <w:sz w:val="18"/>
          <w:szCs w:val="18"/>
        </w:rPr>
        <w:t>Bioprocess and Polymer Engineering Department, Faculty of C</w:t>
      </w:r>
      <w:r>
        <w:rPr>
          <w:rFonts w:ascii="Times New Roman" w:hAnsi="Times New Roman"/>
          <w:i/>
          <w:sz w:val="18"/>
          <w:szCs w:val="18"/>
        </w:rPr>
        <w:t>hemical and Energy Engineering</w:t>
      </w:r>
    </w:p>
    <w:p w:rsidR="002C51C0" w:rsidRDefault="002C51C0" w:rsidP="002C51C0">
      <w:pPr>
        <w:pStyle w:val="BCAuthorAddress"/>
        <w:spacing w:before="0" w:line="240" w:lineRule="auto"/>
        <w:ind w:left="0" w:right="-29"/>
        <w:rPr>
          <w:rFonts w:ascii="Times New Roman" w:hAnsi="Times New Roman"/>
          <w:szCs w:val="24"/>
        </w:rPr>
      </w:pPr>
      <w:r>
        <w:rPr>
          <w:rFonts w:ascii="Times New Roman" w:hAnsi="Times New Roman"/>
          <w:szCs w:val="24"/>
          <w:vertAlign w:val="superscript"/>
        </w:rPr>
        <w:t>2</w:t>
      </w:r>
      <w:r w:rsidRPr="00E31DEE">
        <w:rPr>
          <w:rFonts w:ascii="Times New Roman" w:hAnsi="Times New Roman"/>
          <w:szCs w:val="24"/>
        </w:rPr>
        <w:t>IJN-UTM Cardiovascular Engineering Center Level 2, Block B, Building V01, Fac</w:t>
      </w:r>
      <w:r>
        <w:rPr>
          <w:rFonts w:ascii="Times New Roman" w:hAnsi="Times New Roman"/>
          <w:szCs w:val="24"/>
        </w:rPr>
        <w:t>ulty of Biomedical Engineering</w:t>
      </w:r>
    </w:p>
    <w:p w:rsidR="002C51C0" w:rsidRPr="00E31DEE" w:rsidRDefault="002C51C0" w:rsidP="002C51C0">
      <w:pPr>
        <w:pStyle w:val="BCAuthorAddress"/>
        <w:spacing w:before="0" w:line="240" w:lineRule="auto"/>
        <w:ind w:left="0" w:right="709"/>
        <w:rPr>
          <w:rFonts w:ascii="Times New Roman" w:hAnsi="Times New Roman"/>
          <w:szCs w:val="24"/>
        </w:rPr>
      </w:pPr>
      <w:r w:rsidRPr="00E31DEE">
        <w:rPr>
          <w:rFonts w:ascii="Times New Roman" w:hAnsi="Times New Roman"/>
          <w:szCs w:val="24"/>
        </w:rPr>
        <w:t>Universiti Teknologi Malaysia, 81310 Johor Bahru, Johor, Malaysia.</w:t>
      </w:r>
    </w:p>
    <w:p w:rsidR="002C51C0" w:rsidRPr="00F21FD5" w:rsidRDefault="002C51C0" w:rsidP="002C51C0">
      <w:pPr>
        <w:spacing w:after="0" w:line="240" w:lineRule="auto"/>
        <w:jc w:val="center"/>
        <w:outlineLvl w:val="0"/>
        <w:rPr>
          <w:rFonts w:ascii="Times New Roman" w:hAnsi="Times New Roman"/>
          <w:sz w:val="18"/>
          <w:szCs w:val="18"/>
        </w:rPr>
      </w:pPr>
    </w:p>
    <w:p w:rsidR="002C51C0" w:rsidRPr="00E31DEE" w:rsidRDefault="002C51C0" w:rsidP="002C51C0">
      <w:pPr>
        <w:spacing w:after="0" w:line="240" w:lineRule="auto"/>
        <w:jc w:val="center"/>
        <w:outlineLvl w:val="0"/>
        <w:rPr>
          <w:rFonts w:ascii="Times New Roman" w:hAnsi="Times New Roman"/>
          <w:i/>
          <w:sz w:val="18"/>
        </w:rPr>
      </w:pPr>
      <w:r w:rsidRPr="002C51C0">
        <w:rPr>
          <w:rFonts w:ascii="Times New Roman" w:hAnsi="Times New Roman"/>
          <w:i/>
          <w:sz w:val="18"/>
        </w:rPr>
        <w:t>*</w:t>
      </w:r>
      <w:r>
        <w:rPr>
          <w:rFonts w:ascii="Times New Roman" w:hAnsi="Times New Roman"/>
          <w:i/>
          <w:sz w:val="18"/>
        </w:rPr>
        <w:t xml:space="preserve">Corresponding author:  </w:t>
      </w:r>
      <w:r w:rsidRPr="00E31DEE">
        <w:rPr>
          <w:rFonts w:ascii="Times New Roman" w:hAnsi="Times New Roman"/>
          <w:i/>
          <w:sz w:val="18"/>
        </w:rPr>
        <w:t>mpr.</w:t>
      </w:r>
      <w:r w:rsidRPr="00E31DEE">
        <w:rPr>
          <w:rFonts w:ascii="Times New Roman" w:hAnsi="Times New Roman"/>
          <w:i/>
          <w:sz w:val="18"/>
          <w:lang w:val="en-GB"/>
        </w:rPr>
        <w:t>alyani@gmail.com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E1892">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3E1892">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2C51C0" w:rsidRPr="00853AA1" w:rsidRDefault="002C51C0" w:rsidP="002C51C0">
      <w:pPr>
        <w:spacing w:after="0" w:line="240" w:lineRule="auto"/>
        <w:jc w:val="both"/>
        <w:outlineLvl w:val="0"/>
        <w:rPr>
          <w:rFonts w:ascii="Times New Roman" w:hAnsi="Times New Roman"/>
          <w:sz w:val="18"/>
          <w:szCs w:val="18"/>
        </w:rPr>
      </w:pPr>
      <w:r w:rsidRPr="00853AA1">
        <w:rPr>
          <w:rFonts w:ascii="Times New Roman" w:hAnsi="Times New Roman"/>
          <w:sz w:val="18"/>
          <w:szCs w:val="18"/>
          <w:lang w:val="en-GB"/>
        </w:rPr>
        <w:t>Purple sweet potato (PSP) is</w:t>
      </w:r>
      <w:r>
        <w:rPr>
          <w:rFonts w:ascii="Times New Roman" w:hAnsi="Times New Roman"/>
          <w:sz w:val="18"/>
          <w:szCs w:val="18"/>
          <w:lang w:val="en-GB"/>
        </w:rPr>
        <w:t xml:space="preserve"> </w:t>
      </w:r>
      <w:r w:rsidRPr="00853AA1">
        <w:rPr>
          <w:rFonts w:ascii="Times New Roman" w:hAnsi="Times New Roman"/>
          <w:sz w:val="18"/>
          <w:szCs w:val="18"/>
          <w:lang w:val="en-GB"/>
        </w:rPr>
        <w:t>rich with anthocyanin and has a great potential as natural food colorant. In this study, investigation on the effect of maltodextrin (MD, DE 4.0–7.0) concentration as wall material and various microwave drying powers towards physicochemical properties of microwave assisted encapsulation of purple sweet potato extract (PSPE) has been conducted. The effects of microwave power (550 W and 330W) and MD concentration (20%, 25%, and 30%) were analysed for moisture content, water activity, colour, and total monomeric anthocyanin content (TMA). Both moisture content and water activity of the encapsulated PSPE were</w:t>
      </w:r>
      <w:r>
        <w:rPr>
          <w:rFonts w:ascii="Times New Roman" w:hAnsi="Times New Roman"/>
          <w:sz w:val="18"/>
          <w:szCs w:val="18"/>
          <w:lang w:val="en-GB"/>
        </w:rPr>
        <w:t xml:space="preserve"> </w:t>
      </w:r>
      <w:r w:rsidRPr="00853AA1">
        <w:rPr>
          <w:rFonts w:ascii="Times New Roman" w:hAnsi="Times New Roman"/>
          <w:sz w:val="18"/>
          <w:szCs w:val="18"/>
          <w:lang w:val="en-GB"/>
        </w:rPr>
        <w:t>significantly decreased (</w:t>
      </w:r>
      <w:r w:rsidRPr="005750DC">
        <w:rPr>
          <w:rFonts w:ascii="Times New Roman" w:hAnsi="Times New Roman"/>
          <w:sz w:val="18"/>
          <w:szCs w:val="18"/>
          <w:lang w:val="en-GB"/>
        </w:rPr>
        <w:t>p &lt;0.05</w:t>
      </w:r>
      <w:r w:rsidRPr="00853AA1">
        <w:rPr>
          <w:rFonts w:ascii="Times New Roman" w:hAnsi="Times New Roman"/>
          <w:sz w:val="18"/>
          <w:szCs w:val="18"/>
          <w:lang w:val="en-GB"/>
        </w:rPr>
        <w:t>) as the MD concentration increased at 20% and 30%. With respect of anthocyanin content, increasing of MD concentration at 20% and 30% showed</w:t>
      </w:r>
      <w:r>
        <w:rPr>
          <w:rFonts w:ascii="Times New Roman" w:hAnsi="Times New Roman"/>
          <w:sz w:val="18"/>
          <w:szCs w:val="18"/>
          <w:lang w:val="en-GB"/>
        </w:rPr>
        <w:t xml:space="preserve"> </w:t>
      </w:r>
      <w:r w:rsidRPr="00853AA1">
        <w:rPr>
          <w:rFonts w:ascii="Times New Roman" w:hAnsi="Times New Roman"/>
          <w:sz w:val="18"/>
          <w:szCs w:val="18"/>
          <w:lang w:val="en-GB"/>
        </w:rPr>
        <w:t>a statistically significant reduction</w:t>
      </w:r>
      <w:r>
        <w:rPr>
          <w:rFonts w:ascii="Times New Roman" w:hAnsi="Times New Roman"/>
          <w:sz w:val="18"/>
          <w:szCs w:val="18"/>
          <w:lang w:val="en-GB"/>
        </w:rPr>
        <w:t xml:space="preserve"> </w:t>
      </w:r>
      <w:r w:rsidRPr="00853AA1">
        <w:rPr>
          <w:rFonts w:ascii="Times New Roman" w:hAnsi="Times New Roman"/>
          <w:sz w:val="18"/>
          <w:szCs w:val="18"/>
          <w:lang w:val="en-GB"/>
        </w:rPr>
        <w:t>(</w:t>
      </w:r>
      <w:r>
        <w:rPr>
          <w:rFonts w:ascii="Times New Roman" w:hAnsi="Times New Roman"/>
          <w:sz w:val="18"/>
          <w:szCs w:val="18"/>
          <w:lang w:val="en-GB"/>
        </w:rPr>
        <w:t>p</w:t>
      </w:r>
      <w:r w:rsidRPr="00853AA1">
        <w:rPr>
          <w:rFonts w:ascii="Times New Roman" w:hAnsi="Times New Roman"/>
          <w:sz w:val="18"/>
          <w:szCs w:val="18"/>
          <w:lang w:val="en-GB"/>
        </w:rPr>
        <w:t xml:space="preserve"> &lt; 0.05). PSPA with 20% concentration gave the highest TMA at both microwave drying power of 330 W and 550 W, with 385.93±10.81 mg/L and 419.28±10.89 mg/L respectively. However, moisture content, water activity, colour, and TMA</w:t>
      </w:r>
      <w:r>
        <w:rPr>
          <w:rFonts w:ascii="Times New Roman" w:hAnsi="Times New Roman"/>
          <w:sz w:val="18"/>
          <w:szCs w:val="18"/>
          <w:lang w:val="en-GB"/>
        </w:rPr>
        <w:t xml:space="preserve"> </w:t>
      </w:r>
      <w:r w:rsidRPr="00853AA1">
        <w:rPr>
          <w:rFonts w:ascii="Times New Roman" w:hAnsi="Times New Roman"/>
          <w:sz w:val="18"/>
          <w:szCs w:val="18"/>
          <w:lang w:val="en-GB"/>
        </w:rPr>
        <w:t>were</w:t>
      </w:r>
      <w:r>
        <w:rPr>
          <w:rFonts w:ascii="Times New Roman" w:hAnsi="Times New Roman"/>
          <w:sz w:val="18"/>
          <w:szCs w:val="18"/>
          <w:lang w:val="en-GB"/>
        </w:rPr>
        <w:t xml:space="preserve"> </w:t>
      </w:r>
      <w:r w:rsidRPr="00853AA1">
        <w:rPr>
          <w:rFonts w:ascii="Times New Roman" w:hAnsi="Times New Roman"/>
          <w:sz w:val="18"/>
          <w:szCs w:val="18"/>
          <w:lang w:val="en-GB"/>
        </w:rPr>
        <w:t>not significantly different with the changing of microwave drying power.</w:t>
      </w:r>
    </w:p>
    <w:p w:rsidR="002C51C0" w:rsidRPr="00853AA1" w:rsidRDefault="002C51C0" w:rsidP="002C51C0">
      <w:pPr>
        <w:spacing w:after="0" w:line="240" w:lineRule="auto"/>
        <w:jc w:val="both"/>
        <w:outlineLvl w:val="0"/>
        <w:rPr>
          <w:rFonts w:ascii="Times New Roman" w:hAnsi="Times New Roman"/>
          <w:sz w:val="18"/>
          <w:szCs w:val="18"/>
        </w:rPr>
      </w:pPr>
    </w:p>
    <w:p w:rsidR="002C51C0" w:rsidRPr="00853AA1" w:rsidRDefault="002C51C0" w:rsidP="002C51C0">
      <w:pPr>
        <w:spacing w:after="0" w:line="240" w:lineRule="auto"/>
        <w:jc w:val="both"/>
        <w:outlineLvl w:val="0"/>
        <w:rPr>
          <w:rFonts w:ascii="Times New Roman" w:hAnsi="Times New Roman"/>
          <w:sz w:val="18"/>
          <w:szCs w:val="18"/>
          <w:lang w:val="en-GB"/>
        </w:rPr>
      </w:pPr>
      <w:r w:rsidRPr="00853AA1">
        <w:rPr>
          <w:rFonts w:ascii="Times New Roman" w:hAnsi="Times New Roman"/>
          <w:b/>
          <w:sz w:val="18"/>
          <w:szCs w:val="18"/>
        </w:rPr>
        <w:t>Keyword</w:t>
      </w:r>
      <w:r>
        <w:rPr>
          <w:rFonts w:ascii="Times New Roman" w:hAnsi="Times New Roman"/>
          <w:b/>
          <w:sz w:val="18"/>
          <w:szCs w:val="18"/>
        </w:rPr>
        <w:t>s:</w:t>
      </w:r>
      <w:r w:rsidRPr="00853AA1">
        <w:rPr>
          <w:rFonts w:ascii="Times New Roman" w:hAnsi="Times New Roman"/>
          <w:sz w:val="18"/>
          <w:szCs w:val="18"/>
        </w:rPr>
        <w:t xml:space="preserve"> </w:t>
      </w:r>
      <w:r>
        <w:rPr>
          <w:rFonts w:ascii="Times New Roman" w:hAnsi="Times New Roman"/>
          <w:sz w:val="18"/>
          <w:szCs w:val="18"/>
        </w:rPr>
        <w:t xml:space="preserve"> </w:t>
      </w:r>
      <w:r>
        <w:rPr>
          <w:rFonts w:ascii="Times New Roman" w:hAnsi="Times New Roman"/>
          <w:sz w:val="18"/>
          <w:szCs w:val="18"/>
          <w:lang w:val="en-GB"/>
        </w:rPr>
        <w:t>p</w:t>
      </w:r>
      <w:r w:rsidRPr="00853AA1">
        <w:rPr>
          <w:rFonts w:ascii="Times New Roman" w:hAnsi="Times New Roman"/>
          <w:sz w:val="18"/>
          <w:szCs w:val="18"/>
          <w:lang w:val="en-GB"/>
        </w:rPr>
        <w:t xml:space="preserve">urple </w:t>
      </w:r>
      <w:r>
        <w:rPr>
          <w:rFonts w:ascii="Times New Roman" w:hAnsi="Times New Roman"/>
          <w:sz w:val="18"/>
          <w:szCs w:val="18"/>
          <w:lang w:val="en-GB"/>
        </w:rPr>
        <w:t>s</w:t>
      </w:r>
      <w:r w:rsidRPr="00853AA1">
        <w:rPr>
          <w:rFonts w:ascii="Times New Roman" w:hAnsi="Times New Roman"/>
          <w:sz w:val="18"/>
          <w:szCs w:val="18"/>
          <w:lang w:val="en-GB"/>
        </w:rPr>
        <w:t>weet potato, anthocyanin,</w:t>
      </w:r>
      <w:r>
        <w:rPr>
          <w:rFonts w:ascii="Times New Roman" w:hAnsi="Times New Roman"/>
          <w:sz w:val="18"/>
          <w:szCs w:val="18"/>
          <w:lang w:val="en-GB"/>
        </w:rPr>
        <w:t xml:space="preserve"> </w:t>
      </w:r>
      <w:r w:rsidRPr="00853AA1">
        <w:rPr>
          <w:rFonts w:ascii="Times New Roman" w:hAnsi="Times New Roman"/>
          <w:sz w:val="18"/>
          <w:szCs w:val="18"/>
          <w:lang w:val="en-GB"/>
        </w:rPr>
        <w:t>microwave-assisted encapsulation, natural colorants,</w:t>
      </w:r>
      <w:r>
        <w:rPr>
          <w:rFonts w:ascii="Times New Roman" w:hAnsi="Times New Roman"/>
          <w:sz w:val="18"/>
          <w:szCs w:val="18"/>
          <w:lang w:val="en-GB"/>
        </w:rPr>
        <w:t xml:space="preserve"> </w:t>
      </w:r>
      <w:r w:rsidRPr="00853AA1">
        <w:rPr>
          <w:rFonts w:ascii="Times New Roman" w:hAnsi="Times New Roman"/>
          <w:sz w:val="18"/>
          <w:szCs w:val="18"/>
          <w:lang w:val="en-GB"/>
        </w:rPr>
        <w:t>maltodextrin</w:t>
      </w:r>
    </w:p>
    <w:p w:rsidR="002C51C0" w:rsidRPr="00853AA1" w:rsidRDefault="002C51C0" w:rsidP="002C51C0">
      <w:pPr>
        <w:spacing w:after="0" w:line="240" w:lineRule="auto"/>
        <w:jc w:val="center"/>
        <w:outlineLvl w:val="0"/>
        <w:rPr>
          <w:rFonts w:ascii="Times New Roman" w:hAnsi="Times New Roman"/>
          <w:b/>
          <w:sz w:val="18"/>
          <w:szCs w:val="18"/>
        </w:rPr>
      </w:pPr>
    </w:p>
    <w:p w:rsidR="002C51C0" w:rsidRPr="00853AA1" w:rsidRDefault="002C51C0" w:rsidP="002C51C0">
      <w:pPr>
        <w:spacing w:after="0" w:line="240" w:lineRule="auto"/>
        <w:jc w:val="center"/>
        <w:outlineLvl w:val="0"/>
        <w:rPr>
          <w:rFonts w:ascii="Times New Roman" w:hAnsi="Times New Roman"/>
          <w:b/>
          <w:sz w:val="18"/>
          <w:szCs w:val="18"/>
        </w:rPr>
      </w:pPr>
      <w:r w:rsidRPr="00853AA1">
        <w:rPr>
          <w:rFonts w:ascii="Times New Roman" w:hAnsi="Times New Roman"/>
          <w:b/>
          <w:sz w:val="18"/>
          <w:szCs w:val="18"/>
        </w:rPr>
        <w:t>Abstrak</w:t>
      </w:r>
    </w:p>
    <w:p w:rsidR="002C51C0" w:rsidRPr="00853AA1" w:rsidRDefault="002C51C0" w:rsidP="002C51C0">
      <w:pPr>
        <w:spacing w:after="0" w:line="240" w:lineRule="auto"/>
        <w:jc w:val="both"/>
        <w:outlineLvl w:val="0"/>
        <w:rPr>
          <w:rFonts w:ascii="Times New Roman" w:hAnsi="Times New Roman"/>
          <w:sz w:val="18"/>
          <w:szCs w:val="18"/>
        </w:rPr>
      </w:pPr>
      <w:r w:rsidRPr="00853AA1">
        <w:rPr>
          <w:rFonts w:ascii="Times New Roman" w:hAnsi="Times New Roman"/>
          <w:sz w:val="18"/>
          <w:szCs w:val="18"/>
          <w:lang w:val="ms-MY"/>
        </w:rPr>
        <w:t>Ubi keledek ungu (PSP) kaya dengan antosianin dan berpotensi untuk digunakan sebagai pewarna makanan semula jadi. Dalam kajian ini, kajian tentang kesan kepekatan maltodekstrin (MD, DE 4,0-7,0) sebagai bahan pengkapsulan dan pelbagai kuasa gelombang mikro pengeringan terhadap sifat fizikokimia ekstrak keledek ungu yang dikapsul telah dijalankan. Kesan kuasa gelombang mikro pengeringan (550 W dan 330W) dan kepekatan maltodekstrin (MD) (20%, 25%, dan 30%) dianalisis untuk kandungan kelembapan, aktiviti air, warna, dan jumlah kandungan antosianin monomerik (TMA). Nilai kandungan kelembapan dan aktiviti air daripada ektsrak keledek ungu yang dikapsulkan ketara berkurangan (</w:t>
      </w:r>
      <w:r>
        <w:rPr>
          <w:rFonts w:ascii="Times New Roman" w:hAnsi="Times New Roman"/>
          <w:sz w:val="18"/>
          <w:szCs w:val="18"/>
          <w:lang w:val="ms-MY"/>
        </w:rPr>
        <w:t>p</w:t>
      </w:r>
      <w:r w:rsidRPr="00853AA1">
        <w:rPr>
          <w:rFonts w:ascii="Times New Roman" w:hAnsi="Times New Roman"/>
          <w:sz w:val="18"/>
          <w:szCs w:val="18"/>
          <w:lang w:val="ms-MY"/>
        </w:rPr>
        <w:t xml:space="preserve"> &lt;0.05) dengan peningkatan kepekatan MD pada 20% dan 30%. Peningkatan kepekatan MD pada 20% dan 30% menunjukkan pengurangan TMA secara signifikan (</w:t>
      </w:r>
      <w:r>
        <w:rPr>
          <w:rFonts w:ascii="Times New Roman" w:hAnsi="Times New Roman"/>
          <w:sz w:val="18"/>
          <w:szCs w:val="18"/>
          <w:lang w:val="ms-MY"/>
        </w:rPr>
        <w:t>p</w:t>
      </w:r>
      <w:r w:rsidRPr="00853AA1">
        <w:rPr>
          <w:rFonts w:ascii="Times New Roman" w:hAnsi="Times New Roman"/>
          <w:sz w:val="18"/>
          <w:szCs w:val="18"/>
          <w:lang w:val="ms-MY"/>
        </w:rPr>
        <w:t xml:space="preserve"> &lt;0.05). PSPA dengan 20%</w:t>
      </w:r>
      <w:r>
        <w:rPr>
          <w:rFonts w:ascii="Times New Roman" w:hAnsi="Times New Roman"/>
          <w:sz w:val="18"/>
          <w:szCs w:val="18"/>
          <w:lang w:val="ms-MY"/>
        </w:rPr>
        <w:t xml:space="preserve"> </w:t>
      </w:r>
      <w:r w:rsidRPr="00853AA1">
        <w:rPr>
          <w:rFonts w:ascii="Times New Roman" w:hAnsi="Times New Roman"/>
          <w:sz w:val="18"/>
          <w:szCs w:val="18"/>
          <w:lang w:val="ms-MY"/>
        </w:rPr>
        <w:t>kepekatan MD menunjukkan kandungan tertinggi TMA pada kedua-dua kuasa pengeringan ketuhar mikro 330 W dan 550 W, dengan masing-masing 38593 ± 10.81 mg</w:t>
      </w:r>
      <w:r>
        <w:rPr>
          <w:rFonts w:ascii="Times New Roman" w:hAnsi="Times New Roman"/>
          <w:sz w:val="18"/>
          <w:szCs w:val="18"/>
          <w:lang w:val="ms-MY"/>
        </w:rPr>
        <w:t>/</w:t>
      </w:r>
      <w:r w:rsidRPr="00853AA1">
        <w:rPr>
          <w:rFonts w:ascii="Times New Roman" w:hAnsi="Times New Roman"/>
          <w:sz w:val="18"/>
          <w:szCs w:val="18"/>
          <w:lang w:val="ms-MY"/>
        </w:rPr>
        <w:t>L dan 41928 ± 10.89 mg/L. Walau bagaimanapun, kandungan kelembapan, aktiviti air, warna, dan kandungan TMA tidak berbeza signifikan dengan perubahan kuasa pengeringan ketuhar gelombang</w:t>
      </w:r>
      <w:r>
        <w:rPr>
          <w:rFonts w:ascii="Times New Roman" w:hAnsi="Times New Roman"/>
          <w:sz w:val="18"/>
          <w:szCs w:val="18"/>
          <w:lang w:val="ms-MY"/>
        </w:rPr>
        <w:t xml:space="preserve"> mikro</w:t>
      </w:r>
      <w:r w:rsidRPr="00853AA1">
        <w:rPr>
          <w:rFonts w:ascii="Times New Roman" w:hAnsi="Times New Roman"/>
          <w:sz w:val="18"/>
          <w:szCs w:val="18"/>
          <w:lang w:val="ms-MY"/>
        </w:rPr>
        <w:t>.</w:t>
      </w:r>
    </w:p>
    <w:p w:rsidR="002C51C0" w:rsidRPr="00853AA1" w:rsidRDefault="002C51C0" w:rsidP="002C51C0">
      <w:pPr>
        <w:spacing w:after="0" w:line="240" w:lineRule="auto"/>
        <w:jc w:val="both"/>
        <w:outlineLvl w:val="0"/>
        <w:rPr>
          <w:rFonts w:ascii="Times New Roman" w:hAnsi="Times New Roman"/>
          <w:sz w:val="18"/>
          <w:szCs w:val="18"/>
        </w:rPr>
      </w:pPr>
    </w:p>
    <w:p w:rsidR="002C51C0" w:rsidRPr="00E31DEE" w:rsidRDefault="002C51C0" w:rsidP="002C51C0">
      <w:pPr>
        <w:spacing w:after="0" w:line="240" w:lineRule="auto"/>
        <w:jc w:val="both"/>
        <w:outlineLvl w:val="0"/>
        <w:rPr>
          <w:rFonts w:ascii="Times New Roman" w:hAnsi="Times New Roman"/>
          <w:b/>
        </w:rPr>
      </w:pPr>
      <w:r w:rsidRPr="00853AA1">
        <w:rPr>
          <w:rFonts w:ascii="Times New Roman" w:hAnsi="Times New Roman"/>
          <w:b/>
          <w:sz w:val="18"/>
          <w:szCs w:val="18"/>
        </w:rPr>
        <w:t xml:space="preserve">Kata kunci: </w:t>
      </w:r>
      <w:r>
        <w:rPr>
          <w:rFonts w:ascii="Times New Roman" w:hAnsi="Times New Roman"/>
          <w:b/>
          <w:sz w:val="18"/>
          <w:szCs w:val="18"/>
        </w:rPr>
        <w:t xml:space="preserve"> </w:t>
      </w:r>
      <w:r w:rsidRPr="005750DC">
        <w:rPr>
          <w:rFonts w:ascii="Times New Roman" w:hAnsi="Times New Roman"/>
          <w:sz w:val="18"/>
          <w:szCs w:val="18"/>
          <w:lang w:val="ms-MY"/>
        </w:rPr>
        <w:t>keledek ungu, antosianin, pengkapsulan dengan bantuan gelombang mikro, pewarna semulajadi, maltodekstrin</w:t>
      </w:r>
    </w:p>
    <w:p w:rsidR="006768E9" w:rsidRDefault="006768E9" w:rsidP="002C51C0">
      <w:pPr>
        <w:spacing w:after="0" w:line="240" w:lineRule="auto"/>
        <w:jc w:val="center"/>
        <w:rPr>
          <w:rFonts w:ascii="Times New Roman" w:hAnsi="Times New Roman"/>
          <w:noProof/>
          <w:sz w:val="20"/>
          <w:szCs w:val="20"/>
          <w:lang w:bidi="ar-SA"/>
        </w:rPr>
      </w:pPr>
    </w:p>
    <w:p w:rsidR="002C51C0" w:rsidRDefault="002C51C0" w:rsidP="002C51C0">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CE778C" w:rsidRPr="00CE778C" w:rsidRDefault="00CE778C" w:rsidP="00CE778C">
      <w:pPr>
        <w:spacing w:after="0" w:line="240" w:lineRule="auto"/>
        <w:jc w:val="both"/>
        <w:outlineLvl w:val="0"/>
        <w:rPr>
          <w:rFonts w:ascii="Times New Roman" w:hAnsi="Times New Roman"/>
          <w:sz w:val="20"/>
          <w:szCs w:val="20"/>
          <w:lang w:val="en-GB"/>
        </w:rPr>
      </w:pPr>
      <w:r w:rsidRPr="00CE778C">
        <w:rPr>
          <w:rFonts w:ascii="Times New Roman" w:hAnsi="Times New Roman"/>
          <w:sz w:val="20"/>
          <w:szCs w:val="20"/>
          <w:lang w:val="en-GB"/>
        </w:rPr>
        <w:t>Natural food colorants are derived into agricultural, biological, or mineral sources. They have a simple extraction process and long history of safe usage. Some of synthetic colours have a natural equivalent, although their substitute may vary with the application. Many researches claimed that synthetic colours and additives might affect human health. Eliminating or substituting synthetic colours as colorants, food and beverage industry can choose a wide array of natural alternatives. Independently, natural colours do not have the same colour intensity as synthetic, and some are less economical on a dosage basis. However, this performance gap has been reduced due to the research and development (R&amp;D) initiatives. Furthermore, there are advantages in using natural colour. The side benefits such as natural antioxidant and sweetener can be carried out together during processing.</w:t>
      </w:r>
    </w:p>
    <w:p w:rsidR="00CE778C" w:rsidRPr="00CE778C" w:rsidRDefault="00CE778C" w:rsidP="00CE778C">
      <w:pPr>
        <w:spacing w:after="0" w:line="240" w:lineRule="auto"/>
        <w:jc w:val="both"/>
        <w:outlineLvl w:val="0"/>
        <w:rPr>
          <w:rFonts w:ascii="Times New Roman" w:hAnsi="Times New Roman"/>
          <w:sz w:val="20"/>
          <w:szCs w:val="20"/>
          <w:lang w:val="en-GB"/>
        </w:rPr>
      </w:pPr>
    </w:p>
    <w:p w:rsidR="00CE778C" w:rsidRPr="00CE778C" w:rsidRDefault="00CE778C" w:rsidP="00CE778C">
      <w:pPr>
        <w:spacing w:after="0" w:line="240" w:lineRule="auto"/>
        <w:jc w:val="both"/>
        <w:outlineLvl w:val="0"/>
        <w:rPr>
          <w:rFonts w:ascii="Times New Roman" w:hAnsi="Times New Roman"/>
          <w:sz w:val="20"/>
          <w:szCs w:val="20"/>
          <w:lang w:val="en-GB"/>
        </w:rPr>
      </w:pPr>
      <w:r w:rsidRPr="00CE778C">
        <w:rPr>
          <w:rFonts w:ascii="Times New Roman" w:hAnsi="Times New Roman"/>
          <w:sz w:val="20"/>
          <w:szCs w:val="20"/>
          <w:lang w:val="en-GB"/>
        </w:rPr>
        <w:t xml:space="preserve">Purple Sweet Potato (PSP) was among the potential anthocyanin natural sources. PSP also known to have intense colour due to the high content of anthocyanin </w:t>
      </w:r>
      <w:r w:rsidRPr="00CE778C">
        <w:rPr>
          <w:rFonts w:ascii="Times New Roman" w:hAnsi="Times New Roman"/>
          <w:noProof/>
          <w:sz w:val="20"/>
          <w:szCs w:val="20"/>
          <w:lang w:val="en-GB"/>
        </w:rPr>
        <w:t>[1]</w:t>
      </w:r>
      <w:r w:rsidRPr="00CE778C">
        <w:rPr>
          <w:rFonts w:ascii="Times New Roman" w:hAnsi="Times New Roman"/>
          <w:sz w:val="20"/>
          <w:szCs w:val="20"/>
          <w:lang w:val="en-GB"/>
        </w:rPr>
        <w:t xml:space="preserve">. Research has been conducted on </w:t>
      </w:r>
      <w:r w:rsidRPr="00CE778C">
        <w:rPr>
          <w:rFonts w:ascii="Times New Roman" w:hAnsi="Times New Roman"/>
          <w:i/>
          <w:sz w:val="20"/>
          <w:szCs w:val="20"/>
          <w:lang w:val="en-GB"/>
        </w:rPr>
        <w:t>Ipomoea batatas</w:t>
      </w:r>
      <w:r w:rsidRPr="00CE778C">
        <w:rPr>
          <w:rFonts w:ascii="Times New Roman" w:hAnsi="Times New Roman"/>
          <w:sz w:val="20"/>
          <w:szCs w:val="20"/>
          <w:lang w:val="en-GB"/>
        </w:rPr>
        <w:t xml:space="preserve"> also known as purple sweet potato (PSP) on its monomeric anthocyanin stability towards pH changes (pH 2.0, 2.5, 3.0, 3.5, 4.0 and 4.5) compared with </w:t>
      </w:r>
      <w:r w:rsidRPr="00CE778C">
        <w:rPr>
          <w:rFonts w:ascii="Times New Roman" w:hAnsi="Times New Roman"/>
          <w:i/>
          <w:sz w:val="20"/>
          <w:szCs w:val="20"/>
          <w:lang w:val="en-GB"/>
        </w:rPr>
        <w:t>H. sabdariffa</w:t>
      </w:r>
      <w:r w:rsidRPr="00CE778C">
        <w:rPr>
          <w:rFonts w:ascii="Times New Roman" w:hAnsi="Times New Roman"/>
          <w:sz w:val="20"/>
          <w:szCs w:val="20"/>
          <w:lang w:val="en-GB"/>
        </w:rPr>
        <w:t xml:space="preserve"> (roselle), and </w:t>
      </w:r>
      <w:r w:rsidRPr="00CE778C">
        <w:rPr>
          <w:rFonts w:ascii="Times New Roman" w:hAnsi="Times New Roman"/>
          <w:i/>
          <w:sz w:val="20"/>
          <w:szCs w:val="20"/>
          <w:lang w:val="en-GB"/>
        </w:rPr>
        <w:t xml:space="preserve">M. malabathricum </w:t>
      </w:r>
      <w:r w:rsidRPr="00CE778C">
        <w:rPr>
          <w:rFonts w:ascii="Times New Roman" w:hAnsi="Times New Roman"/>
          <w:noProof/>
          <w:sz w:val="20"/>
          <w:szCs w:val="20"/>
          <w:lang w:val="en-GB"/>
        </w:rPr>
        <w:t>[2]</w:t>
      </w:r>
      <w:r w:rsidRPr="00CE778C">
        <w:rPr>
          <w:rFonts w:ascii="Times New Roman" w:hAnsi="Times New Roman"/>
          <w:sz w:val="20"/>
          <w:szCs w:val="20"/>
          <w:lang w:val="en-GB"/>
        </w:rPr>
        <w:t xml:space="preserve">. Results showed that PSP was not affected at all while roselle and </w:t>
      </w:r>
      <w:r w:rsidRPr="00CE778C">
        <w:rPr>
          <w:rFonts w:ascii="Times New Roman" w:hAnsi="Times New Roman"/>
          <w:i/>
          <w:sz w:val="20"/>
          <w:szCs w:val="20"/>
          <w:lang w:val="en-GB"/>
        </w:rPr>
        <w:t>M. malabathricum</w:t>
      </w:r>
      <w:r w:rsidRPr="00CE778C">
        <w:rPr>
          <w:rFonts w:ascii="Times New Roman" w:hAnsi="Times New Roman"/>
          <w:sz w:val="20"/>
          <w:szCs w:val="20"/>
          <w:lang w:val="en-GB"/>
        </w:rPr>
        <w:t xml:space="preserve"> were slightly affected by pH and quite stable up to pH 4.5 due to its flexibility colour changing towards the pH value. They reported that; it could be used as a diagnostic device for detection of food spoilage. The stability of PSP anthocyanin also depends on temperature and solvent matrix </w:t>
      </w:r>
      <w:r w:rsidRPr="00CE778C">
        <w:rPr>
          <w:rFonts w:ascii="Times New Roman" w:hAnsi="Times New Roman"/>
          <w:noProof/>
          <w:sz w:val="20"/>
          <w:szCs w:val="20"/>
          <w:lang w:val="en-GB"/>
        </w:rPr>
        <w:t>[3]</w:t>
      </w:r>
      <w:r w:rsidRPr="00CE778C">
        <w:rPr>
          <w:rFonts w:ascii="Times New Roman" w:hAnsi="Times New Roman"/>
          <w:sz w:val="20"/>
          <w:szCs w:val="20"/>
          <w:lang w:val="en-GB"/>
        </w:rPr>
        <w:t xml:space="preserve">. Purple sweet potatoes are not the only food colourant. </w:t>
      </w:r>
      <w:r w:rsidRPr="00CE778C">
        <w:rPr>
          <w:rFonts w:ascii="Times New Roman" w:hAnsi="Times New Roman"/>
          <w:noProof/>
          <w:sz w:val="20"/>
          <w:szCs w:val="20"/>
          <w:lang w:val="en-GB"/>
        </w:rPr>
        <w:t>Choi et al. [4]</w:t>
      </w:r>
      <w:r w:rsidRPr="00CE778C">
        <w:rPr>
          <w:rFonts w:ascii="Times New Roman" w:hAnsi="Times New Roman"/>
          <w:sz w:val="20"/>
          <w:szCs w:val="20"/>
          <w:lang w:val="en-GB"/>
        </w:rPr>
        <w:t xml:space="preserve"> had studied the development of a colometric pH indicator film packaging using colorant extracted from purple sweet potato.</w:t>
      </w:r>
    </w:p>
    <w:p w:rsidR="00CE778C" w:rsidRPr="00CE778C" w:rsidRDefault="00CE778C" w:rsidP="00CE778C">
      <w:pPr>
        <w:spacing w:after="0" w:line="240" w:lineRule="auto"/>
        <w:jc w:val="both"/>
        <w:outlineLvl w:val="0"/>
        <w:rPr>
          <w:rFonts w:ascii="Times New Roman" w:hAnsi="Times New Roman"/>
          <w:sz w:val="20"/>
          <w:szCs w:val="20"/>
          <w:lang w:val="en-GB"/>
        </w:rPr>
      </w:pPr>
    </w:p>
    <w:p w:rsidR="00CE778C" w:rsidRPr="00CE778C" w:rsidRDefault="00CE778C" w:rsidP="00CE778C">
      <w:pPr>
        <w:spacing w:after="0" w:line="240" w:lineRule="auto"/>
        <w:jc w:val="both"/>
        <w:outlineLvl w:val="0"/>
        <w:rPr>
          <w:rFonts w:ascii="Times New Roman" w:hAnsi="Times New Roman"/>
          <w:sz w:val="20"/>
          <w:szCs w:val="20"/>
          <w:lang w:val="en-GB"/>
        </w:rPr>
      </w:pPr>
      <w:r w:rsidRPr="00CE778C">
        <w:rPr>
          <w:rFonts w:ascii="Times New Roman" w:hAnsi="Times New Roman"/>
          <w:sz w:val="20"/>
          <w:szCs w:val="20"/>
          <w:lang w:val="en-GB"/>
        </w:rPr>
        <w:t xml:space="preserve">Microwave is known as a common source of food heating. It also becomes an alternative drying method since it offers a shorter drying time and could improve the quality of a product </w:t>
      </w:r>
      <w:r w:rsidRPr="00CE778C">
        <w:rPr>
          <w:rFonts w:ascii="Times New Roman" w:hAnsi="Times New Roman"/>
          <w:noProof/>
          <w:sz w:val="20"/>
          <w:szCs w:val="20"/>
          <w:lang w:val="en-GB"/>
        </w:rPr>
        <w:t>[5]</w:t>
      </w:r>
      <w:r w:rsidRPr="00CE778C">
        <w:rPr>
          <w:rFonts w:ascii="Times New Roman" w:hAnsi="Times New Roman"/>
          <w:sz w:val="20"/>
          <w:szCs w:val="20"/>
          <w:lang w:val="en-GB"/>
        </w:rPr>
        <w:t xml:space="preserve">. </w:t>
      </w:r>
      <w:r w:rsidRPr="00CE778C">
        <w:rPr>
          <w:rFonts w:ascii="Times New Roman" w:hAnsi="Times New Roman"/>
          <w:noProof/>
          <w:sz w:val="20"/>
          <w:szCs w:val="20"/>
          <w:lang w:val="en-GB"/>
        </w:rPr>
        <w:t>Mohd Nawi</w:t>
      </w:r>
      <w:r w:rsidRPr="00CE778C">
        <w:rPr>
          <w:rFonts w:ascii="Times New Roman" w:hAnsi="Times New Roman"/>
          <w:sz w:val="20"/>
          <w:szCs w:val="20"/>
          <w:lang w:val="en-GB"/>
        </w:rPr>
        <w:t xml:space="preserve"> et al. [6] agreed that microwave-assisted encapsulation can be categorised as an economical method for drying of natural colorant. Microwave-assisted encapsulation efficiency and product quality could be affected by several factors. Many studies proved that microwave drying capability is significantly affected by power variable </w:t>
      </w:r>
      <w:r w:rsidRPr="00CE778C">
        <w:rPr>
          <w:rFonts w:ascii="Times New Roman" w:hAnsi="Times New Roman"/>
          <w:noProof/>
          <w:sz w:val="20"/>
          <w:szCs w:val="20"/>
          <w:lang w:val="en-GB"/>
        </w:rPr>
        <w:t>[7]</w:t>
      </w:r>
      <w:r w:rsidRPr="00CE778C">
        <w:rPr>
          <w:rFonts w:ascii="Times New Roman" w:hAnsi="Times New Roman"/>
          <w:sz w:val="20"/>
          <w:szCs w:val="20"/>
          <w:lang w:val="en-GB"/>
        </w:rPr>
        <w:t xml:space="preserve">. Moreover, </w:t>
      </w:r>
      <w:r w:rsidRPr="00CE778C">
        <w:rPr>
          <w:rFonts w:ascii="Times New Roman" w:hAnsi="Times New Roman"/>
          <w:noProof/>
          <w:sz w:val="20"/>
          <w:szCs w:val="20"/>
          <w:lang w:val="en-GB"/>
        </w:rPr>
        <w:t>Zaidel et al. [5]</w:t>
      </w:r>
      <w:r w:rsidRPr="00CE778C">
        <w:rPr>
          <w:rFonts w:ascii="Times New Roman" w:hAnsi="Times New Roman"/>
          <w:sz w:val="20"/>
          <w:szCs w:val="20"/>
          <w:lang w:val="en-GB"/>
        </w:rPr>
        <w:t xml:space="preserve"> showed that an optimum drying time is important to control the encapsulation process and prevent from degradation of anthocyanin content.</w:t>
      </w:r>
    </w:p>
    <w:p w:rsidR="00CE778C" w:rsidRPr="00CE778C" w:rsidRDefault="00CE778C" w:rsidP="00CE778C">
      <w:pPr>
        <w:spacing w:after="0" w:line="240" w:lineRule="auto"/>
        <w:jc w:val="both"/>
        <w:outlineLvl w:val="0"/>
        <w:rPr>
          <w:rFonts w:ascii="Times New Roman" w:hAnsi="Times New Roman"/>
          <w:sz w:val="20"/>
          <w:szCs w:val="20"/>
          <w:lang w:val="en-GB"/>
        </w:rPr>
      </w:pPr>
    </w:p>
    <w:p w:rsidR="00CE778C" w:rsidRPr="00CE778C" w:rsidRDefault="00CE778C" w:rsidP="00CE778C">
      <w:pPr>
        <w:spacing w:after="0" w:line="240" w:lineRule="auto"/>
        <w:jc w:val="both"/>
        <w:outlineLvl w:val="0"/>
        <w:rPr>
          <w:rFonts w:ascii="Times New Roman" w:hAnsi="Times New Roman"/>
          <w:sz w:val="20"/>
          <w:szCs w:val="20"/>
          <w:lang w:val="en-GB"/>
        </w:rPr>
      </w:pPr>
      <w:r w:rsidRPr="00CE778C">
        <w:rPr>
          <w:rFonts w:ascii="Times New Roman" w:hAnsi="Times New Roman"/>
          <w:sz w:val="20"/>
          <w:szCs w:val="20"/>
          <w:lang w:val="en-GB"/>
        </w:rPr>
        <w:t xml:space="preserve">Encapsulation functions to coat an active compound or acts as a wall material which gives lots of advantages. It could be functioning as an effective barrier towards environmental parameters including oxygen, light, and free radicals. In food industry, encapsulation using spray drying method is the most commonly used approach. </w:t>
      </w:r>
      <w:r w:rsidRPr="00CE778C">
        <w:rPr>
          <w:rFonts w:ascii="Times New Roman" w:hAnsi="Times New Roman"/>
          <w:noProof/>
          <w:sz w:val="20"/>
          <w:szCs w:val="20"/>
          <w:lang w:val="en-GB"/>
        </w:rPr>
        <w:t>Ahmed et al. [1]</w:t>
      </w:r>
      <w:r w:rsidRPr="00CE778C">
        <w:rPr>
          <w:rFonts w:ascii="Times New Roman" w:hAnsi="Times New Roman"/>
          <w:sz w:val="20"/>
          <w:szCs w:val="20"/>
          <w:lang w:val="en-GB"/>
        </w:rPr>
        <w:t xml:space="preserve"> reported that encapsulated purple sweet potato flour resulted in a higher total phenolic content, antioxidant capacity, and water solubility index compared to non-encapsulated purple sweet potatoes flour. Research has been done on encapsulation effect using different types of wall materials such as maltodextrin, gum arabic, and gelatin. The advantages of encapsulation application include allowing easier handling, split the compound of the material which might react with one another, and providing a concentration for a uniform dispersion of an active agent.</w:t>
      </w:r>
    </w:p>
    <w:p w:rsidR="00CE778C" w:rsidRPr="00CE778C" w:rsidRDefault="00CE778C" w:rsidP="00CE778C">
      <w:pPr>
        <w:spacing w:after="0" w:line="240" w:lineRule="auto"/>
        <w:jc w:val="both"/>
        <w:outlineLvl w:val="0"/>
        <w:rPr>
          <w:rFonts w:ascii="Times New Roman" w:hAnsi="Times New Roman"/>
          <w:sz w:val="20"/>
          <w:szCs w:val="20"/>
          <w:lang w:val="en-GB"/>
        </w:rPr>
      </w:pPr>
    </w:p>
    <w:p w:rsidR="00CE778C" w:rsidRPr="00CE778C" w:rsidRDefault="00CE778C" w:rsidP="00CE778C">
      <w:pPr>
        <w:spacing w:after="0" w:line="240" w:lineRule="auto"/>
        <w:jc w:val="both"/>
        <w:outlineLvl w:val="0"/>
        <w:rPr>
          <w:rFonts w:ascii="Times New Roman" w:hAnsi="Times New Roman"/>
          <w:sz w:val="20"/>
          <w:szCs w:val="20"/>
          <w:lang w:val="en-GB"/>
        </w:rPr>
      </w:pPr>
      <w:r w:rsidRPr="00CE778C">
        <w:rPr>
          <w:rFonts w:ascii="Times New Roman" w:hAnsi="Times New Roman"/>
          <w:sz w:val="20"/>
          <w:szCs w:val="20"/>
          <w:lang w:val="en-GB"/>
        </w:rPr>
        <w:t xml:space="preserve">In general, there are 3 types of wall material that have been used; it is classified as polysaccharides (maltodextrin, starch, and gum), lipids (stearic acid), and proteins (gelatin, casein, soy and wheat) </w:t>
      </w:r>
      <w:r w:rsidRPr="00CE778C">
        <w:rPr>
          <w:rFonts w:ascii="Times New Roman" w:hAnsi="Times New Roman"/>
          <w:noProof/>
          <w:sz w:val="20"/>
          <w:szCs w:val="20"/>
          <w:lang w:val="en-GB"/>
        </w:rPr>
        <w:t>[9]</w:t>
      </w:r>
      <w:r w:rsidRPr="00CE778C">
        <w:rPr>
          <w:rFonts w:ascii="Times New Roman" w:hAnsi="Times New Roman"/>
          <w:sz w:val="20"/>
          <w:szCs w:val="20"/>
          <w:lang w:val="en-GB"/>
        </w:rPr>
        <w:t xml:space="preserve">. Some studies used maltodextrin with different dextrose equivalents as an encapsulation agent. Researchers have reported that maltodextrin with low dextrose equivalent (DE) has excellent nutrient binding properties </w:t>
      </w:r>
      <w:r w:rsidRPr="00CE778C">
        <w:rPr>
          <w:rFonts w:ascii="Times New Roman" w:hAnsi="Times New Roman"/>
          <w:noProof/>
          <w:sz w:val="20"/>
          <w:szCs w:val="20"/>
          <w:lang w:val="en-GB"/>
        </w:rPr>
        <w:t>[10]</w:t>
      </w:r>
      <w:r w:rsidRPr="00CE778C">
        <w:rPr>
          <w:rFonts w:ascii="Times New Roman" w:hAnsi="Times New Roman"/>
          <w:sz w:val="20"/>
          <w:szCs w:val="20"/>
          <w:lang w:val="en-GB"/>
        </w:rPr>
        <w:t xml:space="preserve">. Furthermore, presence of maltodextrin as an encapsulating agent could alter the surface stickiness of low molecular weight sugars, which consequently might improve the quality of a product. Maltodextrin as encapsulation agent able to protect the ingredient from oxidation except a water-soluble material </w:t>
      </w:r>
      <w:r w:rsidRPr="00CE778C">
        <w:rPr>
          <w:rFonts w:ascii="Times New Roman" w:hAnsi="Times New Roman"/>
          <w:noProof/>
          <w:sz w:val="20"/>
          <w:szCs w:val="20"/>
          <w:lang w:val="en-GB"/>
        </w:rPr>
        <w:t>[2]</w:t>
      </w:r>
      <w:r w:rsidRPr="00CE778C">
        <w:rPr>
          <w:rFonts w:ascii="Times New Roman" w:hAnsi="Times New Roman"/>
          <w:sz w:val="20"/>
          <w:szCs w:val="20"/>
          <w:lang w:val="en-GB"/>
        </w:rPr>
        <w:t>.</w:t>
      </w:r>
    </w:p>
    <w:p w:rsidR="00CE778C" w:rsidRPr="00CE778C" w:rsidRDefault="00CE778C" w:rsidP="00CE778C">
      <w:pPr>
        <w:spacing w:after="0" w:line="240" w:lineRule="auto"/>
        <w:jc w:val="both"/>
        <w:outlineLvl w:val="0"/>
        <w:rPr>
          <w:rFonts w:ascii="Times New Roman" w:hAnsi="Times New Roman"/>
          <w:sz w:val="20"/>
          <w:szCs w:val="20"/>
          <w:lang w:val="en-GB"/>
        </w:rPr>
      </w:pPr>
    </w:p>
    <w:p w:rsidR="00CE778C" w:rsidRPr="00CE778C" w:rsidRDefault="00CE778C" w:rsidP="00CE778C">
      <w:pPr>
        <w:spacing w:after="0" w:line="240" w:lineRule="auto"/>
        <w:jc w:val="both"/>
        <w:outlineLvl w:val="0"/>
        <w:rPr>
          <w:rFonts w:ascii="Times New Roman" w:hAnsi="Times New Roman"/>
          <w:sz w:val="20"/>
          <w:szCs w:val="20"/>
        </w:rPr>
      </w:pPr>
      <w:r w:rsidRPr="00CE778C">
        <w:rPr>
          <w:rFonts w:ascii="Times New Roman" w:hAnsi="Times New Roman"/>
          <w:sz w:val="20"/>
          <w:szCs w:val="20"/>
          <w:lang w:val="en-GB"/>
        </w:rPr>
        <w:t>The objective of this study is to determine the effect of maltodextrin (MD, DE 4.0 - 7.0) concentration as a wall material and various microwave drying powers towards physicochemical properties of encapsulated purple sweet potato anthocyanin extract (PSPE). The effects of microwave drying power (550 W and 330W) and maltodextrin (MD) concentration (20%, 25%, and 30%) were analysed for moisture content, water activity, colour, and total monomeric anthocyanin content (TMA).</w:t>
      </w:r>
    </w:p>
    <w:p w:rsidR="00CE778C" w:rsidRDefault="00CE778C" w:rsidP="00CE778C">
      <w:pPr>
        <w:spacing w:after="0" w:line="240" w:lineRule="auto"/>
        <w:jc w:val="center"/>
        <w:outlineLvl w:val="0"/>
        <w:rPr>
          <w:rFonts w:ascii="Times New Roman" w:hAnsi="Times New Roman"/>
          <w:sz w:val="20"/>
          <w:szCs w:val="20"/>
        </w:rPr>
      </w:pPr>
    </w:p>
    <w:p w:rsidR="00CE778C" w:rsidRDefault="00CE778C" w:rsidP="00CE778C">
      <w:pPr>
        <w:spacing w:after="0" w:line="240" w:lineRule="auto"/>
        <w:jc w:val="center"/>
        <w:outlineLvl w:val="0"/>
        <w:rPr>
          <w:rFonts w:ascii="Times New Roman" w:hAnsi="Times New Roman"/>
          <w:sz w:val="20"/>
          <w:szCs w:val="20"/>
        </w:rPr>
      </w:pPr>
    </w:p>
    <w:p w:rsidR="00CE778C" w:rsidRDefault="00CE778C" w:rsidP="00CE778C">
      <w:pPr>
        <w:spacing w:after="0" w:line="240" w:lineRule="auto"/>
        <w:jc w:val="center"/>
        <w:outlineLvl w:val="0"/>
        <w:rPr>
          <w:rFonts w:ascii="Times New Roman" w:hAnsi="Times New Roman"/>
          <w:sz w:val="20"/>
          <w:szCs w:val="20"/>
        </w:rPr>
      </w:pPr>
    </w:p>
    <w:p w:rsidR="00EC6554" w:rsidRPr="00CE778C" w:rsidRDefault="00EC6554" w:rsidP="00CE778C">
      <w:pPr>
        <w:spacing w:after="0" w:line="240" w:lineRule="auto"/>
        <w:jc w:val="center"/>
        <w:outlineLvl w:val="0"/>
        <w:rPr>
          <w:rFonts w:ascii="Times New Roman" w:hAnsi="Times New Roman"/>
          <w:sz w:val="20"/>
          <w:szCs w:val="20"/>
        </w:rPr>
      </w:pPr>
    </w:p>
    <w:p w:rsidR="00CE778C" w:rsidRDefault="00CE778C" w:rsidP="00CE778C">
      <w:pPr>
        <w:spacing w:after="0" w:line="240" w:lineRule="auto"/>
        <w:jc w:val="center"/>
        <w:outlineLvl w:val="0"/>
        <w:rPr>
          <w:rFonts w:ascii="Times New Roman" w:hAnsi="Times New Roman"/>
          <w:b/>
          <w:sz w:val="20"/>
          <w:szCs w:val="20"/>
        </w:rPr>
      </w:pPr>
      <w:r w:rsidRPr="00CE778C">
        <w:rPr>
          <w:rFonts w:ascii="Times New Roman" w:hAnsi="Times New Roman"/>
          <w:b/>
          <w:sz w:val="20"/>
          <w:szCs w:val="20"/>
        </w:rPr>
        <w:t>Materials and Methods</w:t>
      </w:r>
    </w:p>
    <w:p w:rsidR="00CE778C" w:rsidRPr="00CE778C" w:rsidRDefault="00CE778C" w:rsidP="00CE778C">
      <w:pPr>
        <w:pStyle w:val="ListParagraph"/>
        <w:spacing w:after="0" w:line="240" w:lineRule="auto"/>
        <w:ind w:left="0"/>
        <w:contextualSpacing w:val="0"/>
        <w:jc w:val="both"/>
        <w:outlineLvl w:val="0"/>
        <w:rPr>
          <w:rFonts w:ascii="Times New Roman" w:hAnsi="Times New Roman"/>
          <w:b/>
          <w:sz w:val="20"/>
          <w:szCs w:val="20"/>
        </w:rPr>
      </w:pPr>
      <w:r w:rsidRPr="00CE778C">
        <w:rPr>
          <w:rFonts w:ascii="Times New Roman" w:hAnsi="Times New Roman"/>
          <w:b/>
          <w:sz w:val="20"/>
          <w:szCs w:val="20"/>
        </w:rPr>
        <w:t>Materials</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r w:rsidRPr="00CE778C">
        <w:rPr>
          <w:rFonts w:ascii="Times New Roman" w:hAnsi="Times New Roman"/>
          <w:sz w:val="20"/>
          <w:szCs w:val="20"/>
        </w:rPr>
        <w:t xml:space="preserve">Purple sweet potatoes (PSP) were obtained from fresh market located in Skudai, Johor. PSP were then peeled, washed, and sliced before the pre-treatment and extraction process. The PSP </w:t>
      </w:r>
      <w:r w:rsidRPr="00CE778C">
        <w:rPr>
          <w:rFonts w:ascii="Times New Roman" w:hAnsi="Times New Roman"/>
          <w:sz w:val="20"/>
          <w:szCs w:val="20"/>
          <w:lang w:val="en-GB"/>
        </w:rPr>
        <w:t xml:space="preserve">extract was then filtered and centrifuged (MPW 352, Poland) at 5000 rpm for 10 minutes to remove the fine suspended particles. PSP extract were then go through evaporation process using rotary evaporator (IKA RV 10, German) to achieve total solid 7°Brix. </w:t>
      </w:r>
      <w:r w:rsidRPr="00CE778C">
        <w:rPr>
          <w:rFonts w:ascii="Times New Roman" w:hAnsi="Times New Roman"/>
          <w:sz w:val="20"/>
          <w:szCs w:val="20"/>
        </w:rPr>
        <w:t xml:space="preserve">The physicochemical properties of PSP anthocyanin extract subjected to encapsulation process were analysed. Maltodextrin (MD) with dextrose equivalent (DE) of 4.0 -7.0 was purchased from Sigma, Aldrich (German) used as wall materials. </w:t>
      </w:r>
    </w:p>
    <w:p w:rsidR="00CE778C" w:rsidRPr="00CE778C" w:rsidRDefault="00CE778C" w:rsidP="00CE778C">
      <w:pPr>
        <w:spacing w:after="0" w:line="240" w:lineRule="auto"/>
        <w:jc w:val="both"/>
        <w:outlineLvl w:val="0"/>
        <w:rPr>
          <w:rFonts w:ascii="Times New Roman" w:hAnsi="Times New Roman"/>
          <w:b/>
          <w:sz w:val="20"/>
          <w:szCs w:val="20"/>
        </w:rPr>
      </w:pPr>
    </w:p>
    <w:p w:rsidR="00CE778C" w:rsidRPr="00CE778C" w:rsidRDefault="00CE778C" w:rsidP="00CE778C">
      <w:pPr>
        <w:pStyle w:val="ListParagraph"/>
        <w:spacing w:after="0" w:line="240" w:lineRule="auto"/>
        <w:ind w:left="0"/>
        <w:contextualSpacing w:val="0"/>
        <w:jc w:val="both"/>
        <w:outlineLvl w:val="0"/>
        <w:rPr>
          <w:rFonts w:ascii="Times New Roman" w:hAnsi="Times New Roman"/>
          <w:b/>
          <w:sz w:val="20"/>
          <w:szCs w:val="20"/>
        </w:rPr>
      </w:pPr>
      <w:r w:rsidRPr="00CE778C">
        <w:rPr>
          <w:rFonts w:ascii="Times New Roman" w:hAnsi="Times New Roman"/>
          <w:b/>
          <w:sz w:val="20"/>
          <w:szCs w:val="20"/>
        </w:rPr>
        <w:t>Encapsulation of purple sweet potato extract (PSPE)</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r w:rsidRPr="00CE778C">
        <w:rPr>
          <w:rFonts w:ascii="Times New Roman" w:hAnsi="Times New Roman"/>
          <w:sz w:val="20"/>
          <w:szCs w:val="20"/>
        </w:rPr>
        <w:t>Encapsulation of PSPA extract were prepared as follows:50% solution of maltodextrin (MD) were prepared with 70 °C distilled water under constant stirring at 120 rpm for 1 hour and kept overnight at 4 ± 2 °C. 50% solution of wall material was then mixed with PSPA extract (7°Brix). The mixtures were then homogenized at 30 °C and subjected to microwave-assisted drying. Different proportions of wall/core materials were tested (20%, 25% and 30%). A total of 25g of each sample were weighed and exposed to the microwave radiation in the following operational condition: Microwave power 550 W, and 330W, Drying time 300s. Samples were then ground, packed in the brown glass bottles, and stored over silica gel in desiccators at room temperature for further experiments.</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p>
    <w:p w:rsidR="00CE778C" w:rsidRPr="00CE778C" w:rsidRDefault="00CE778C" w:rsidP="00CE778C">
      <w:pPr>
        <w:spacing w:after="0" w:line="240" w:lineRule="auto"/>
        <w:jc w:val="both"/>
        <w:outlineLvl w:val="0"/>
        <w:rPr>
          <w:rFonts w:ascii="Times New Roman" w:hAnsi="Times New Roman"/>
          <w:b/>
          <w:sz w:val="20"/>
          <w:szCs w:val="20"/>
        </w:rPr>
      </w:pPr>
      <w:r w:rsidRPr="00CE778C">
        <w:rPr>
          <w:rFonts w:ascii="Times New Roman" w:hAnsi="Times New Roman"/>
          <w:b/>
          <w:sz w:val="20"/>
          <w:szCs w:val="20"/>
        </w:rPr>
        <w:t>Moisture content and water activity</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lang w:val="en-GB"/>
        </w:rPr>
      </w:pPr>
      <w:r w:rsidRPr="00CE778C">
        <w:rPr>
          <w:rFonts w:ascii="Times New Roman" w:hAnsi="Times New Roman"/>
          <w:sz w:val="20"/>
          <w:szCs w:val="20"/>
        </w:rPr>
        <w:t xml:space="preserve">Moisture content was carried out by weighing3 g of samples and dried in an oven at 105 °C until it reached a constant weight.  Water activity values were measured using </w:t>
      </w:r>
      <w:r w:rsidRPr="00CE778C">
        <w:rPr>
          <w:rFonts w:ascii="Times New Roman" w:hAnsi="Times New Roman"/>
          <w:sz w:val="20"/>
          <w:szCs w:val="20"/>
          <w:lang w:val="en-GB"/>
        </w:rPr>
        <w:t>water activity meter (4TE, USA). Temperature was maintained at 25 °C during the test. Triplicate samples were analyzed and the mean was recorded.</w:t>
      </w:r>
    </w:p>
    <w:p w:rsidR="00CE778C" w:rsidRPr="00CE778C" w:rsidRDefault="00CE778C" w:rsidP="00CE778C">
      <w:pPr>
        <w:pStyle w:val="ListParagraph"/>
        <w:spacing w:after="0" w:line="240" w:lineRule="auto"/>
        <w:ind w:left="0" w:firstLine="360"/>
        <w:contextualSpacing w:val="0"/>
        <w:jc w:val="both"/>
        <w:outlineLvl w:val="0"/>
        <w:rPr>
          <w:rFonts w:ascii="Times New Roman" w:hAnsi="Times New Roman"/>
          <w:b/>
          <w:sz w:val="20"/>
          <w:szCs w:val="20"/>
        </w:rPr>
      </w:pPr>
    </w:p>
    <w:p w:rsidR="00CE778C" w:rsidRPr="00CE778C" w:rsidRDefault="00CE778C" w:rsidP="00CE778C">
      <w:pPr>
        <w:spacing w:after="0" w:line="240" w:lineRule="auto"/>
        <w:jc w:val="both"/>
        <w:outlineLvl w:val="0"/>
        <w:rPr>
          <w:rFonts w:ascii="Times New Roman" w:hAnsi="Times New Roman"/>
          <w:b/>
          <w:sz w:val="20"/>
          <w:szCs w:val="20"/>
        </w:rPr>
      </w:pPr>
      <w:r w:rsidRPr="00CE778C">
        <w:rPr>
          <w:rFonts w:ascii="Times New Roman" w:hAnsi="Times New Roman"/>
          <w:b/>
          <w:sz w:val="20"/>
          <w:szCs w:val="20"/>
        </w:rPr>
        <w:t>Total monomeric anthocyanin</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r w:rsidRPr="00CE778C">
        <w:rPr>
          <w:rFonts w:ascii="Times New Roman" w:hAnsi="Times New Roman"/>
          <w:sz w:val="20"/>
          <w:szCs w:val="20"/>
        </w:rPr>
        <w:t xml:space="preserve">The total monomeric anthocyanin (TMA) was measured using the pH-differential method by </w:t>
      </w:r>
      <w:r w:rsidRPr="00CE778C">
        <w:rPr>
          <w:rFonts w:ascii="Times New Roman" w:hAnsi="Times New Roman"/>
          <w:noProof/>
          <w:sz w:val="20"/>
          <w:szCs w:val="20"/>
        </w:rPr>
        <w:t>Giusti and Wrolstad [11]</w:t>
      </w:r>
      <w:r w:rsidRPr="00CE778C">
        <w:rPr>
          <w:rFonts w:ascii="Times New Roman" w:hAnsi="Times New Roman"/>
          <w:sz w:val="20"/>
          <w:szCs w:val="20"/>
        </w:rPr>
        <w:t xml:space="preserve">, using two buffer systems; 0.025M potassium chloride buffer, pH 1.0 and 0.4 M sodium acetate buffer, pH 4.5 </w:t>
      </w:r>
      <w:r w:rsidRPr="00CE778C">
        <w:rPr>
          <w:rFonts w:ascii="Times New Roman" w:hAnsi="Times New Roman"/>
          <w:noProof/>
          <w:sz w:val="20"/>
          <w:szCs w:val="20"/>
        </w:rPr>
        <w:t>[11]</w:t>
      </w:r>
      <w:r w:rsidRPr="00CE778C">
        <w:rPr>
          <w:rFonts w:ascii="Times New Roman" w:hAnsi="Times New Roman"/>
          <w:sz w:val="20"/>
          <w:szCs w:val="20"/>
        </w:rPr>
        <w:t>. Prepare two dilutions of PSPA using the two buffer systems (pH 1.0 &amp; pH 4.5). Let the dilutions equilibrate for 15 minutes before measurement. Prolong standing times which may cause increase measured readings was avoided. Absorbance were measured for each dilution at 510 nm and 700 nm. Wavelength of 700 nm is to correct for haze. Absorbance (A) of dilutions was calculated using the following equation 1:</w:t>
      </w:r>
    </w:p>
    <w:p w:rsidR="00CE778C" w:rsidRPr="00CE778C" w:rsidRDefault="00CE778C" w:rsidP="00CE778C">
      <w:pPr>
        <w:pStyle w:val="ListParagraph"/>
        <w:spacing w:after="0" w:line="240" w:lineRule="auto"/>
        <w:ind w:left="0" w:firstLine="360"/>
        <w:contextualSpacing w:val="0"/>
        <w:jc w:val="both"/>
        <w:outlineLvl w:val="0"/>
        <w:rPr>
          <w:rFonts w:ascii="Times New Roman" w:hAnsi="Times New Roman"/>
          <w:sz w:val="20"/>
          <w:szCs w:val="20"/>
        </w:rPr>
      </w:pPr>
    </w:p>
    <w:p w:rsidR="00CE778C" w:rsidRPr="00CE778C" w:rsidRDefault="00CE778C" w:rsidP="00CE778C">
      <w:pPr>
        <w:pStyle w:val="ListParagraph"/>
        <w:spacing w:after="0" w:line="240" w:lineRule="auto"/>
        <w:ind w:left="0" w:firstLine="720"/>
        <w:contextualSpacing w:val="0"/>
        <w:jc w:val="both"/>
        <w:outlineLvl w:val="0"/>
        <w:rPr>
          <w:rFonts w:ascii="Times New Roman" w:hAnsi="Times New Roman"/>
          <w:sz w:val="20"/>
          <w:szCs w:val="20"/>
        </w:rPr>
      </w:pPr>
      <m:oMath>
        <m:r>
          <m:rPr>
            <m:sty m:val="p"/>
          </m:rPr>
          <w:rPr>
            <w:rFonts w:ascii="Cambria Math" w:hAnsi="Cambria Math"/>
            <w:sz w:val="20"/>
            <w:szCs w:val="20"/>
          </w:rPr>
          <m:t>A=</m:t>
        </m:r>
        <m:sSub>
          <m:sSubPr>
            <m:ctrlPr>
              <w:rPr>
                <w:rFonts w:ascii="Cambria Math" w:hAnsi="Cambria Math"/>
                <w:sz w:val="20"/>
                <w:szCs w:val="20"/>
              </w:rPr>
            </m:ctrlPr>
          </m:sSubPr>
          <m:e>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510</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700</m:t>
                </m:r>
              </m:sub>
            </m:sSub>
            <m:r>
              <m:rPr>
                <m:sty m:val="p"/>
              </m:rPr>
              <w:rPr>
                <w:rFonts w:ascii="Cambria Math" w:hAnsi="Cambria Math"/>
                <w:sz w:val="20"/>
                <w:szCs w:val="20"/>
              </w:rPr>
              <m:t xml:space="preserve"> )</m:t>
            </m:r>
          </m:e>
          <m:sub>
            <m:r>
              <m:rPr>
                <m:sty m:val="p"/>
              </m:rPr>
              <w:rPr>
                <w:rFonts w:ascii="Cambria Math" w:hAnsi="Cambria Math"/>
                <w:sz w:val="20"/>
                <w:szCs w:val="20"/>
              </w:rPr>
              <m:t>pH 1.0</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510</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A</m:t>
                </m:r>
              </m:e>
              <m:sub>
                <m:r>
                  <m:rPr>
                    <m:sty m:val="p"/>
                  </m:rPr>
                  <w:rPr>
                    <w:rFonts w:ascii="Cambria Math" w:hAnsi="Cambria Math"/>
                    <w:sz w:val="20"/>
                    <w:szCs w:val="20"/>
                  </w:rPr>
                  <m:t>700</m:t>
                </m:r>
              </m:sub>
            </m:sSub>
            <m:r>
              <m:rPr>
                <m:sty m:val="p"/>
              </m:rPr>
              <w:rPr>
                <w:rFonts w:ascii="Cambria Math" w:hAnsi="Cambria Math"/>
                <w:sz w:val="20"/>
                <w:szCs w:val="20"/>
              </w:rPr>
              <m:t xml:space="preserve"> )</m:t>
            </m:r>
          </m:e>
          <m:sub>
            <m:r>
              <m:rPr>
                <m:sty m:val="p"/>
              </m:rPr>
              <w:rPr>
                <w:rFonts w:ascii="Cambria Math" w:hAnsi="Cambria Math"/>
                <w:sz w:val="20"/>
                <w:szCs w:val="20"/>
              </w:rPr>
              <m:t>pH 4.5</m:t>
            </m:r>
          </m:sub>
        </m:sSub>
      </m:oMath>
      <w:r w:rsidRPr="00CE778C">
        <w:rPr>
          <w:rFonts w:ascii="Times New Roman" w:hAnsi="Times New Roman"/>
          <w:sz w:val="20"/>
          <w:szCs w:val="20"/>
        </w:rPr>
        <w:tab/>
      </w:r>
      <w:r w:rsidRPr="00CE778C">
        <w:rPr>
          <w:rFonts w:ascii="Times New Roman" w:hAnsi="Times New Roman"/>
          <w:sz w:val="20"/>
          <w:szCs w:val="20"/>
        </w:rPr>
        <w:tab/>
      </w:r>
      <w:r w:rsidRPr="00CE778C">
        <w:rPr>
          <w:rFonts w:ascii="Times New Roman" w:hAnsi="Times New Roman"/>
          <w:sz w:val="20"/>
          <w:szCs w:val="20"/>
        </w:rPr>
        <w:tab/>
      </w:r>
      <w:r w:rsidRPr="00CE778C">
        <w:rPr>
          <w:rFonts w:ascii="Times New Roman" w:hAnsi="Times New Roman"/>
          <w:sz w:val="20"/>
          <w:szCs w:val="20"/>
        </w:rPr>
        <w:tab/>
      </w:r>
      <w:r w:rsidRPr="00CE778C">
        <w:rPr>
          <w:rFonts w:ascii="Times New Roman" w:hAnsi="Times New Roman"/>
          <w:sz w:val="20"/>
          <w:szCs w:val="20"/>
        </w:rPr>
        <w:tab/>
      </w:r>
      <w:r w:rsidRPr="00CE778C">
        <w:rPr>
          <w:rFonts w:ascii="Times New Roman" w:hAnsi="Times New Roman"/>
          <w:sz w:val="20"/>
          <w:szCs w:val="20"/>
        </w:rPr>
        <w:tab/>
        <w:t xml:space="preserve">   </w:t>
      </w:r>
      <w:r w:rsidR="00EC6554">
        <w:rPr>
          <w:rFonts w:ascii="Times New Roman" w:hAnsi="Times New Roman"/>
          <w:sz w:val="20"/>
          <w:szCs w:val="20"/>
        </w:rPr>
        <w:t xml:space="preserve">      </w:t>
      </w:r>
      <w:r w:rsidRPr="00CE778C">
        <w:rPr>
          <w:rFonts w:ascii="Times New Roman" w:hAnsi="Times New Roman"/>
          <w:sz w:val="20"/>
          <w:szCs w:val="20"/>
        </w:rPr>
        <w:t>(1)</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r w:rsidRPr="00CE778C">
        <w:rPr>
          <w:rFonts w:ascii="Times New Roman" w:hAnsi="Times New Roman"/>
          <w:sz w:val="20"/>
          <w:szCs w:val="20"/>
        </w:rPr>
        <w:t>TMA content of PSP powder was calculated as cyanidin-3-glycoside using equation 2 as follows:</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p>
    <w:p w:rsidR="00CE778C" w:rsidRPr="00CE778C" w:rsidRDefault="00CE778C" w:rsidP="00CE778C">
      <w:pPr>
        <w:pStyle w:val="ListParagraph"/>
        <w:spacing w:after="0" w:line="240" w:lineRule="auto"/>
        <w:ind w:left="0" w:firstLine="720"/>
        <w:contextualSpacing w:val="0"/>
        <w:jc w:val="both"/>
        <w:outlineLvl w:val="0"/>
        <w:rPr>
          <w:rFonts w:ascii="Times New Roman" w:hAnsi="Times New Roman"/>
          <w:sz w:val="20"/>
          <w:szCs w:val="20"/>
        </w:rPr>
      </w:pPr>
      <w:r w:rsidRPr="00CE778C">
        <w:rPr>
          <w:rFonts w:ascii="Times New Roman" w:hAnsi="Times New Roman"/>
          <w:sz w:val="20"/>
          <w:szCs w:val="20"/>
        </w:rPr>
        <w:t>Total Monomeric Anthocyanin Content (mg/L)</w:t>
      </w:r>
      <m:oMath>
        <m:r>
          <m:rPr>
            <m:sty m:val="p"/>
          </m:rPr>
          <w:rPr>
            <w:rFonts w:ascii="Cambria Math" w:hAnsi="Cambria Math"/>
            <w:sz w:val="20"/>
            <w:szCs w:val="20"/>
          </w:rPr>
          <m:t>=(A × MW × DF × 1000)/(ε×1)</m:t>
        </m:r>
      </m:oMath>
      <w:r w:rsidRPr="00CE778C">
        <w:rPr>
          <w:rFonts w:ascii="Times New Roman" w:hAnsi="Times New Roman"/>
          <w:sz w:val="20"/>
          <w:szCs w:val="20"/>
        </w:rPr>
        <w:tab/>
      </w:r>
      <w:r w:rsidRPr="00CE778C">
        <w:rPr>
          <w:rFonts w:ascii="Times New Roman" w:hAnsi="Times New Roman"/>
          <w:sz w:val="20"/>
          <w:szCs w:val="20"/>
        </w:rPr>
        <w:tab/>
        <w:t xml:space="preserve">   </w:t>
      </w:r>
      <w:r w:rsidR="00EC6554">
        <w:rPr>
          <w:rFonts w:ascii="Times New Roman" w:hAnsi="Times New Roman"/>
          <w:sz w:val="20"/>
          <w:szCs w:val="20"/>
        </w:rPr>
        <w:t xml:space="preserve">      </w:t>
      </w:r>
      <w:r w:rsidRPr="00CE778C">
        <w:rPr>
          <w:rFonts w:ascii="Times New Roman" w:hAnsi="Times New Roman"/>
          <w:sz w:val="20"/>
          <w:szCs w:val="20"/>
        </w:rPr>
        <w:t>(2)</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rPr>
      </w:pPr>
      <w:r w:rsidRPr="00CE778C">
        <w:rPr>
          <w:rFonts w:ascii="Times New Roman" w:hAnsi="Times New Roman"/>
          <w:sz w:val="20"/>
          <w:szCs w:val="20"/>
        </w:rPr>
        <w:t xml:space="preserve">where MW is the molecular weight, DF is the dilution factor, and </w:t>
      </w:r>
      <m:oMath>
        <m:r>
          <m:rPr>
            <m:sty m:val="p"/>
          </m:rPr>
          <w:rPr>
            <w:rFonts w:ascii="Cambria Math" w:hAnsi="Cambria Math"/>
            <w:sz w:val="20"/>
            <w:szCs w:val="20"/>
          </w:rPr>
          <m:t>ε</m:t>
        </m:r>
      </m:oMath>
      <w:r w:rsidRPr="00CE778C">
        <w:rPr>
          <w:rFonts w:ascii="Times New Roman" w:hAnsi="Times New Roman"/>
          <w:sz w:val="20"/>
          <w:szCs w:val="20"/>
        </w:rPr>
        <w:t xml:space="preserve"> is the molar absorptivity. </w:t>
      </w:r>
    </w:p>
    <w:p w:rsidR="00CE778C" w:rsidRPr="00CE778C" w:rsidRDefault="00CE778C" w:rsidP="00CE778C">
      <w:pPr>
        <w:spacing w:after="0" w:line="240" w:lineRule="auto"/>
        <w:jc w:val="both"/>
        <w:outlineLvl w:val="0"/>
        <w:rPr>
          <w:rFonts w:ascii="Times New Roman" w:hAnsi="Times New Roman"/>
          <w:sz w:val="20"/>
          <w:szCs w:val="20"/>
        </w:rPr>
      </w:pPr>
    </w:p>
    <w:p w:rsidR="00CE778C" w:rsidRPr="00CE778C" w:rsidRDefault="00CE778C" w:rsidP="00CE778C">
      <w:pPr>
        <w:spacing w:after="0" w:line="240" w:lineRule="auto"/>
        <w:jc w:val="both"/>
        <w:outlineLvl w:val="0"/>
        <w:rPr>
          <w:rFonts w:ascii="Times New Roman" w:hAnsi="Times New Roman"/>
          <w:b/>
          <w:sz w:val="20"/>
          <w:szCs w:val="20"/>
        </w:rPr>
      </w:pPr>
      <w:r w:rsidRPr="00CE778C">
        <w:rPr>
          <w:rFonts w:ascii="Times New Roman" w:hAnsi="Times New Roman"/>
          <w:b/>
          <w:sz w:val="20"/>
          <w:szCs w:val="20"/>
        </w:rPr>
        <w:t>Colour</w:t>
      </w:r>
    </w:p>
    <w:p w:rsidR="00CE778C" w:rsidRPr="00CE778C" w:rsidRDefault="00CE778C" w:rsidP="00CE778C">
      <w:pPr>
        <w:pStyle w:val="ListParagraph"/>
        <w:spacing w:after="0" w:line="240" w:lineRule="auto"/>
        <w:ind w:left="0"/>
        <w:contextualSpacing w:val="0"/>
        <w:jc w:val="both"/>
        <w:outlineLvl w:val="0"/>
        <w:rPr>
          <w:rFonts w:ascii="Times New Roman" w:hAnsi="Times New Roman"/>
          <w:sz w:val="20"/>
          <w:szCs w:val="20"/>
          <w:lang w:val="en-GB"/>
        </w:rPr>
      </w:pPr>
      <w:r w:rsidRPr="00CE778C">
        <w:rPr>
          <w:rFonts w:ascii="Times New Roman" w:hAnsi="Times New Roman"/>
          <w:sz w:val="20"/>
          <w:szCs w:val="20"/>
        </w:rPr>
        <w:t xml:space="preserve">For the colour analysis, measurement of CIE L*(lightness), a*(red to green), b*(yellow to blue) values were done using Konica </w:t>
      </w:r>
      <w:r w:rsidRPr="00CE778C">
        <w:rPr>
          <w:rFonts w:ascii="Times New Roman" w:hAnsi="Times New Roman"/>
          <w:sz w:val="20"/>
          <w:szCs w:val="20"/>
          <w:lang w:val="en-GB"/>
        </w:rPr>
        <w:t>Minolta CR-400 Colorimeter</w:t>
      </w:r>
      <w:r w:rsidRPr="00CE778C">
        <w:rPr>
          <w:rFonts w:ascii="Times New Roman" w:hAnsi="Times New Roman"/>
          <w:sz w:val="20"/>
          <w:szCs w:val="20"/>
        </w:rPr>
        <w:t xml:space="preserve">. The samples were placed in glass plates and directly measured. </w:t>
      </w:r>
      <w:r w:rsidRPr="00CE778C">
        <w:rPr>
          <w:rFonts w:ascii="Times New Roman" w:hAnsi="Times New Roman"/>
          <w:sz w:val="20"/>
          <w:szCs w:val="20"/>
          <w:lang w:val="en-GB"/>
        </w:rPr>
        <w:t>Triplicate samples were analyzed and the mean was recorded.</w:t>
      </w:r>
    </w:p>
    <w:p w:rsidR="00CE778C" w:rsidRPr="00CE778C" w:rsidRDefault="00CE778C" w:rsidP="00CE778C">
      <w:pPr>
        <w:spacing w:after="0" w:line="240" w:lineRule="auto"/>
        <w:jc w:val="both"/>
        <w:outlineLvl w:val="0"/>
        <w:rPr>
          <w:rFonts w:ascii="Times New Roman" w:hAnsi="Times New Roman"/>
          <w:sz w:val="20"/>
          <w:szCs w:val="20"/>
        </w:rPr>
      </w:pPr>
    </w:p>
    <w:p w:rsidR="00CE778C" w:rsidRPr="00CE778C" w:rsidRDefault="00CE778C" w:rsidP="00CE778C">
      <w:pPr>
        <w:spacing w:after="0" w:line="240" w:lineRule="auto"/>
        <w:jc w:val="both"/>
        <w:outlineLvl w:val="0"/>
        <w:rPr>
          <w:rFonts w:ascii="Times New Roman" w:hAnsi="Times New Roman"/>
          <w:b/>
          <w:sz w:val="20"/>
          <w:szCs w:val="20"/>
        </w:rPr>
      </w:pPr>
      <w:r w:rsidRPr="00CE778C">
        <w:rPr>
          <w:rFonts w:ascii="Times New Roman" w:hAnsi="Times New Roman"/>
          <w:b/>
          <w:sz w:val="20"/>
          <w:szCs w:val="20"/>
        </w:rPr>
        <w:t xml:space="preserve">Statistical analysis </w:t>
      </w:r>
    </w:p>
    <w:p w:rsidR="00CE778C" w:rsidRPr="00CE778C" w:rsidRDefault="00CE778C" w:rsidP="00CE778C">
      <w:pPr>
        <w:spacing w:after="0" w:line="240" w:lineRule="auto"/>
        <w:jc w:val="both"/>
        <w:outlineLvl w:val="0"/>
        <w:rPr>
          <w:rFonts w:ascii="Times New Roman" w:hAnsi="Times New Roman"/>
          <w:b/>
          <w:sz w:val="20"/>
          <w:szCs w:val="20"/>
        </w:rPr>
      </w:pPr>
      <w:r w:rsidRPr="00CE778C">
        <w:rPr>
          <w:rFonts w:ascii="Times New Roman" w:hAnsi="Times New Roman"/>
          <w:sz w:val="20"/>
          <w:szCs w:val="20"/>
        </w:rPr>
        <w:t xml:space="preserve">In this research, multiple comparison methods (Tukey) along with One-way ANOVA were used to determine the statistical significance of the data </w:t>
      </w:r>
      <w:r w:rsidRPr="00CE778C">
        <w:rPr>
          <w:rFonts w:ascii="Times New Roman" w:hAnsi="Times New Roman"/>
          <w:sz w:val="20"/>
          <w:szCs w:val="20"/>
          <w:lang w:val="en-GB"/>
        </w:rPr>
        <w:t>(p &lt; 0.05).</w:t>
      </w:r>
    </w:p>
    <w:p w:rsidR="006768E9" w:rsidRDefault="006768E9" w:rsidP="00CE778C">
      <w:pPr>
        <w:spacing w:after="0" w:line="240" w:lineRule="auto"/>
        <w:jc w:val="center"/>
        <w:rPr>
          <w:rFonts w:ascii="Times New Roman" w:hAnsi="Times New Roman"/>
          <w:noProof/>
          <w:sz w:val="20"/>
          <w:szCs w:val="20"/>
          <w:lang w:bidi="ar-SA"/>
        </w:rPr>
      </w:pPr>
    </w:p>
    <w:p w:rsidR="00EC6554" w:rsidRDefault="00EC6554" w:rsidP="00CE778C">
      <w:pPr>
        <w:spacing w:after="0" w:line="240" w:lineRule="auto"/>
        <w:jc w:val="center"/>
        <w:rPr>
          <w:rFonts w:ascii="Times New Roman" w:hAnsi="Times New Roman"/>
          <w:noProof/>
          <w:sz w:val="20"/>
          <w:szCs w:val="20"/>
          <w:lang w:bidi="ar-SA"/>
        </w:rPr>
      </w:pPr>
    </w:p>
    <w:p w:rsidR="00EC6554" w:rsidRDefault="00EC6554" w:rsidP="00CE778C">
      <w:pPr>
        <w:spacing w:after="0" w:line="240" w:lineRule="auto"/>
        <w:jc w:val="center"/>
        <w:rPr>
          <w:rFonts w:ascii="Times New Roman" w:hAnsi="Times New Roman"/>
          <w:noProof/>
          <w:sz w:val="20"/>
          <w:szCs w:val="20"/>
          <w:lang w:bidi="ar-SA"/>
        </w:rPr>
      </w:pPr>
    </w:p>
    <w:p w:rsidR="00EC6554" w:rsidRPr="00F447A7" w:rsidRDefault="00EC6554" w:rsidP="00CE778C">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Results and Discussion</w:t>
      </w:r>
    </w:p>
    <w:p w:rsidR="00EC6554" w:rsidRPr="00EC6554" w:rsidRDefault="00EC6554" w:rsidP="00EC6554">
      <w:pPr>
        <w:spacing w:after="0" w:line="240" w:lineRule="auto"/>
        <w:jc w:val="both"/>
        <w:outlineLvl w:val="0"/>
        <w:rPr>
          <w:rFonts w:ascii="Times New Roman" w:hAnsi="Times New Roman"/>
          <w:b/>
          <w:sz w:val="20"/>
          <w:szCs w:val="20"/>
        </w:rPr>
      </w:pPr>
      <w:r w:rsidRPr="00EC6554">
        <w:rPr>
          <w:rFonts w:ascii="Times New Roman" w:hAnsi="Times New Roman"/>
          <w:b/>
          <w:sz w:val="20"/>
          <w:szCs w:val="20"/>
        </w:rPr>
        <w:t>Physicochemical properties of PSPA extract prior drying</w:t>
      </w:r>
    </w:p>
    <w:p w:rsidR="00EC6554" w:rsidRPr="00EC6554" w:rsidRDefault="00EC6554" w:rsidP="0050419B">
      <w:pPr>
        <w:pStyle w:val="ListParagraph"/>
        <w:spacing w:after="0" w:line="240" w:lineRule="auto"/>
        <w:ind w:left="0"/>
        <w:contextualSpacing w:val="0"/>
        <w:jc w:val="both"/>
        <w:outlineLvl w:val="0"/>
        <w:rPr>
          <w:rFonts w:ascii="Times New Roman" w:hAnsi="Times New Roman"/>
          <w:sz w:val="20"/>
          <w:szCs w:val="20"/>
        </w:rPr>
      </w:pPr>
      <w:r w:rsidRPr="00EC6554">
        <w:rPr>
          <w:rFonts w:ascii="Times New Roman" w:hAnsi="Times New Roman"/>
          <w:sz w:val="20"/>
          <w:szCs w:val="20"/>
        </w:rPr>
        <w:t xml:space="preserve">Table 1 shows the physicochemical properties of purple sweet potato extract (PSPE) subjected to encapsulation process. Total soluble solid of PSPE was fixed at 7.0°Brix before mixing it with maltodextrin 50% solution. The variety of total solid contents of feed prior to drying might affect the drying efficiency. </w:t>
      </w:r>
    </w:p>
    <w:p w:rsidR="00EC6554" w:rsidRPr="00EC6554" w:rsidRDefault="00EC6554" w:rsidP="00EC6554">
      <w:pPr>
        <w:pStyle w:val="ListParagraph"/>
        <w:spacing w:after="120" w:line="240" w:lineRule="auto"/>
        <w:ind w:left="0"/>
        <w:contextualSpacing w:val="0"/>
        <w:outlineLvl w:val="0"/>
        <w:rPr>
          <w:rFonts w:ascii="Times New Roman" w:hAnsi="Times New Roman"/>
          <w:sz w:val="20"/>
          <w:szCs w:val="20"/>
        </w:rPr>
      </w:pPr>
    </w:p>
    <w:p w:rsidR="00EC6554" w:rsidRPr="00EC6554" w:rsidRDefault="00EC6554" w:rsidP="00EC6554">
      <w:pPr>
        <w:pStyle w:val="ListParagraph"/>
        <w:spacing w:after="120" w:line="240" w:lineRule="auto"/>
        <w:ind w:left="0" w:firstLine="360"/>
        <w:contextualSpacing w:val="0"/>
        <w:jc w:val="center"/>
        <w:outlineLvl w:val="0"/>
        <w:rPr>
          <w:rFonts w:ascii="Times New Roman" w:hAnsi="Times New Roman"/>
          <w:sz w:val="20"/>
          <w:szCs w:val="20"/>
        </w:rPr>
      </w:pPr>
      <w:r w:rsidRPr="00EC6554">
        <w:rPr>
          <w:rFonts w:ascii="Times New Roman" w:hAnsi="Times New Roman"/>
          <w:sz w:val="20"/>
          <w:szCs w:val="20"/>
        </w:rPr>
        <w:t xml:space="preserve">Table 1. </w:t>
      </w:r>
      <w:r>
        <w:rPr>
          <w:rFonts w:ascii="Times New Roman" w:hAnsi="Times New Roman"/>
          <w:sz w:val="20"/>
          <w:szCs w:val="20"/>
        </w:rPr>
        <w:t xml:space="preserve">  </w:t>
      </w:r>
      <w:r w:rsidRPr="00EC6554">
        <w:rPr>
          <w:rFonts w:ascii="Times New Roman" w:hAnsi="Times New Roman"/>
          <w:sz w:val="20"/>
          <w:szCs w:val="20"/>
        </w:rPr>
        <w:t>Physicochemical properties of PSPE subjected to encapsulation process</w:t>
      </w:r>
    </w:p>
    <w:tbl>
      <w:tblPr>
        <w:tblStyle w:val="LightShading11"/>
        <w:tblW w:w="0" w:type="auto"/>
        <w:jc w:val="center"/>
        <w:tblLook w:val="04A0" w:firstRow="1" w:lastRow="0" w:firstColumn="1" w:lastColumn="0" w:noHBand="0" w:noVBand="1"/>
      </w:tblPr>
      <w:tblGrid>
        <w:gridCol w:w="3488"/>
        <w:gridCol w:w="1126"/>
      </w:tblGrid>
      <w:tr w:rsidR="00EC6554" w:rsidRPr="00EC6554" w:rsidTr="00EC6554">
        <w:trPr>
          <w:cnfStyle w:val="100000000000" w:firstRow="1" w:lastRow="0" w:firstColumn="0" w:lastColumn="0" w:oddVBand="0" w:evenVBand="0" w:oddHBand="0" w:evenHBand="0" w:firstRowFirstColumn="0" w:firstRowLastColumn="0" w:lastRowFirstColumn="0" w:lastRowLastColumn="0"/>
          <w:trHeight w:val="18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EC6554" w:rsidRPr="00EC6554" w:rsidRDefault="00EC6554" w:rsidP="00EC6554">
            <w:pPr>
              <w:pStyle w:val="ListParagraph"/>
              <w:tabs>
                <w:tab w:val="left" w:pos="0"/>
              </w:tabs>
              <w:spacing w:before="60" w:after="60" w:line="240" w:lineRule="auto"/>
              <w:ind w:left="0"/>
              <w:contextualSpacing w:val="0"/>
              <w:rPr>
                <w:rStyle w:val="Strong"/>
                <w:rFonts w:ascii="Times New Roman" w:hAnsi="Times New Roman" w:cs="Times New Roman"/>
                <w:b/>
                <w:bCs/>
                <w:color w:val="auto"/>
                <w:sz w:val="20"/>
                <w:szCs w:val="20"/>
              </w:rPr>
            </w:pPr>
            <w:r w:rsidRPr="00EC6554">
              <w:rPr>
                <w:rStyle w:val="Strong"/>
                <w:rFonts w:ascii="Times New Roman" w:hAnsi="Times New Roman" w:cs="Times New Roman"/>
                <w:b/>
                <w:color w:val="auto"/>
                <w:sz w:val="20"/>
                <w:szCs w:val="20"/>
              </w:rPr>
              <w:t>Parameter</w:t>
            </w:r>
          </w:p>
        </w:tc>
        <w:tc>
          <w:tcPr>
            <w:tcW w:w="0" w:type="auto"/>
            <w:tcBorders>
              <w:top w:val="single" w:sz="4" w:space="0" w:color="auto"/>
              <w:bottom w:val="single" w:sz="4" w:space="0" w:color="auto"/>
            </w:tcBorders>
            <w:shd w:val="clear" w:color="auto" w:fill="auto"/>
          </w:tcPr>
          <w:p w:rsidR="00EC6554" w:rsidRPr="00EC6554" w:rsidRDefault="00EC6554" w:rsidP="00EC6554">
            <w:pPr>
              <w:pStyle w:val="ListParagraph"/>
              <w:tabs>
                <w:tab w:val="left" w:pos="0"/>
              </w:tabs>
              <w:spacing w:before="60" w:after="60" w:line="240" w:lineRule="auto"/>
              <w:ind w:left="0"/>
              <w:contextualSpacing w:val="0"/>
              <w:jc w:val="center"/>
              <w:cnfStyle w:val="100000000000" w:firstRow="1" w:lastRow="0" w:firstColumn="0" w:lastColumn="0" w:oddVBand="0" w:evenVBand="0" w:oddHBand="0" w:evenHBand="0" w:firstRowFirstColumn="0" w:firstRowLastColumn="0" w:lastRowFirstColumn="0" w:lastRowLastColumn="0"/>
              <w:rPr>
                <w:rStyle w:val="Strong"/>
                <w:rFonts w:ascii="Times New Roman" w:hAnsi="Times New Roman" w:cs="Times New Roman"/>
                <w:b/>
                <w:color w:val="auto"/>
                <w:sz w:val="20"/>
                <w:szCs w:val="20"/>
              </w:rPr>
            </w:pPr>
            <w:r w:rsidRPr="00EC6554">
              <w:rPr>
                <w:rStyle w:val="Strong"/>
                <w:rFonts w:ascii="Times New Roman" w:hAnsi="Times New Roman" w:cs="Times New Roman"/>
                <w:b/>
                <w:color w:val="auto"/>
                <w:sz w:val="20"/>
                <w:szCs w:val="20"/>
              </w:rPr>
              <w:t>Value</w:t>
            </w:r>
          </w:p>
        </w:tc>
      </w:tr>
      <w:tr w:rsidR="00EC6554" w:rsidRPr="00EC6554" w:rsidTr="00EC65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Total Soluble solid (Brix)</w:t>
            </w:r>
          </w:p>
        </w:tc>
        <w:tc>
          <w:tcPr>
            <w:tcW w:w="0" w:type="auto"/>
            <w:tcBorders>
              <w:top w:val="single" w:sz="4" w:space="0" w:color="auto"/>
            </w:tcBorders>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7.0</w:t>
            </w:r>
          </w:p>
        </w:tc>
      </w:tr>
      <w:tr w:rsidR="00EC6554" w:rsidRPr="00EC6554" w:rsidTr="005930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pH</w:t>
            </w:r>
          </w:p>
        </w:tc>
        <w:tc>
          <w:tcPr>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6.43 ± 0.01</w:t>
            </w:r>
          </w:p>
        </w:tc>
      </w:tr>
      <w:tr w:rsidR="00EC6554" w:rsidRPr="00EC6554" w:rsidTr="005930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Monomeric Anthocyanin content (mg/L)</w:t>
            </w:r>
          </w:p>
        </w:tc>
        <w:tc>
          <w:tcPr>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121.07</w:t>
            </w:r>
          </w:p>
        </w:tc>
      </w:tr>
      <w:tr w:rsidR="00EC6554" w:rsidRPr="00EC6554" w:rsidTr="005930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color w:val="auto"/>
                <w:sz w:val="20"/>
                <w:szCs w:val="20"/>
              </w:rPr>
            </w:pPr>
            <w:r w:rsidRPr="00EC6554">
              <w:rPr>
                <w:rStyle w:val="Strong"/>
                <w:rFonts w:ascii="Times New Roman" w:hAnsi="Times New Roman" w:cs="Times New Roman"/>
                <w:color w:val="auto"/>
                <w:sz w:val="20"/>
                <w:szCs w:val="20"/>
              </w:rPr>
              <w:t>Color Parameter</w:t>
            </w:r>
          </w:p>
        </w:tc>
        <w:tc>
          <w:tcPr>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 w:val="20"/>
                <w:szCs w:val="20"/>
              </w:rPr>
            </w:pPr>
          </w:p>
        </w:tc>
      </w:tr>
      <w:tr w:rsidR="00EC6554" w:rsidRPr="00EC6554" w:rsidTr="005930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L*</w:t>
            </w:r>
          </w:p>
        </w:tc>
        <w:tc>
          <w:tcPr>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20.5 ± 0.4</w:t>
            </w:r>
          </w:p>
        </w:tc>
      </w:tr>
      <w:tr w:rsidR="00EC6554" w:rsidRPr="00EC6554" w:rsidTr="0059309A">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a*</w:t>
            </w:r>
          </w:p>
        </w:tc>
        <w:tc>
          <w:tcPr>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26.5 ± 1.2</w:t>
            </w:r>
          </w:p>
        </w:tc>
      </w:tr>
      <w:tr w:rsidR="00EC6554" w:rsidRPr="00EC6554" w:rsidTr="0059309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b*</w:t>
            </w:r>
          </w:p>
        </w:tc>
        <w:tc>
          <w:tcPr>
            <w:tcW w:w="0" w:type="auto"/>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-3.6 ± 0.1</w:t>
            </w:r>
          </w:p>
        </w:tc>
      </w:tr>
      <w:tr w:rsidR="00EC6554" w:rsidRPr="00EC6554" w:rsidTr="00EC6554">
        <w:trPr>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C*</w:t>
            </w:r>
          </w:p>
        </w:tc>
        <w:tc>
          <w:tcPr>
            <w:tcW w:w="0" w:type="auto"/>
            <w:tcBorders>
              <w:bottom w:val="nil"/>
            </w:tcBorders>
            <w:shd w:val="clear" w:color="auto" w:fill="auto"/>
            <w:vAlign w:val="center"/>
          </w:tcPr>
          <w:p w:rsidR="00EC6554" w:rsidRPr="00EC6554" w:rsidRDefault="00EC6554" w:rsidP="00EC6554">
            <w:pPr>
              <w:pStyle w:val="ListParagraph"/>
              <w:tabs>
                <w:tab w:val="left" w:pos="0"/>
              </w:tabs>
              <w:spacing w:before="60" w:after="0" w:line="240" w:lineRule="auto"/>
              <w:ind w:left="0"/>
              <w:contextualSpacing w:val="0"/>
              <w:jc w:val="center"/>
              <w:cnfStyle w:val="000000000000" w:firstRow="0" w:lastRow="0" w:firstColumn="0" w:lastColumn="0" w:oddVBand="0" w:evenVBand="0" w:oddHBand="0"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26.3 ± 0.1</w:t>
            </w:r>
          </w:p>
        </w:tc>
      </w:tr>
      <w:tr w:rsidR="00EC6554" w:rsidRPr="00EC6554" w:rsidTr="00EC655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vAlign w:val="center"/>
          </w:tcPr>
          <w:p w:rsidR="00EC6554" w:rsidRPr="00EC6554" w:rsidRDefault="00EC6554" w:rsidP="00EC6554">
            <w:pPr>
              <w:pStyle w:val="ListParagraph"/>
              <w:tabs>
                <w:tab w:val="left" w:pos="0"/>
              </w:tabs>
              <w:spacing w:before="60" w:after="60" w:line="240" w:lineRule="auto"/>
              <w:ind w:left="0"/>
              <w:contextualSpacing w:val="0"/>
              <w:rPr>
                <w:rStyle w:val="Strong"/>
                <w:rFonts w:ascii="Times New Roman" w:hAnsi="Times New Roman" w:cs="Times New Roman"/>
                <w:bCs/>
                <w:color w:val="auto"/>
                <w:sz w:val="20"/>
                <w:szCs w:val="20"/>
              </w:rPr>
            </w:pPr>
            <w:r w:rsidRPr="00EC6554">
              <w:rPr>
                <w:rStyle w:val="Strong"/>
                <w:rFonts w:ascii="Times New Roman" w:hAnsi="Times New Roman" w:cs="Times New Roman"/>
                <w:color w:val="auto"/>
                <w:sz w:val="20"/>
                <w:szCs w:val="20"/>
              </w:rPr>
              <w:t>H</w:t>
            </w:r>
          </w:p>
        </w:tc>
        <w:tc>
          <w:tcPr>
            <w:tcW w:w="0" w:type="auto"/>
            <w:tcBorders>
              <w:top w:val="nil"/>
              <w:bottom w:val="single" w:sz="4" w:space="0" w:color="auto"/>
            </w:tcBorders>
            <w:shd w:val="clear" w:color="auto" w:fill="auto"/>
            <w:vAlign w:val="center"/>
          </w:tcPr>
          <w:p w:rsidR="00EC6554" w:rsidRPr="00EC6554" w:rsidRDefault="00EC6554" w:rsidP="00EC6554">
            <w:pPr>
              <w:pStyle w:val="ListParagraph"/>
              <w:tabs>
                <w:tab w:val="left" w:pos="0"/>
              </w:tabs>
              <w:spacing w:before="60" w:after="60" w:line="240" w:lineRule="auto"/>
              <w:ind w:left="0"/>
              <w:contextualSpacing w:val="0"/>
              <w:jc w:val="center"/>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color w:val="auto"/>
                <w:sz w:val="20"/>
                <w:szCs w:val="20"/>
              </w:rPr>
            </w:pPr>
            <w:r w:rsidRPr="00EC6554">
              <w:rPr>
                <w:rStyle w:val="Strong"/>
                <w:rFonts w:ascii="Times New Roman" w:hAnsi="Times New Roman" w:cs="Times New Roman"/>
                <w:b w:val="0"/>
                <w:color w:val="auto"/>
                <w:sz w:val="20"/>
                <w:szCs w:val="20"/>
              </w:rPr>
              <w:t>352.0 ± 0.2</w:t>
            </w:r>
          </w:p>
        </w:tc>
      </w:tr>
    </w:tbl>
    <w:p w:rsidR="00EC6554" w:rsidRPr="00EC6554" w:rsidRDefault="00EC6554" w:rsidP="00807E3E">
      <w:pPr>
        <w:pStyle w:val="ListParagraph"/>
        <w:spacing w:before="60" w:after="0" w:line="240" w:lineRule="auto"/>
        <w:ind w:left="2340" w:right="2311" w:firstLine="7"/>
        <w:contextualSpacing w:val="0"/>
        <w:outlineLvl w:val="0"/>
        <w:rPr>
          <w:rFonts w:ascii="Times New Roman" w:hAnsi="Times New Roman"/>
          <w:sz w:val="18"/>
          <w:szCs w:val="18"/>
        </w:rPr>
      </w:pPr>
      <w:r w:rsidRPr="00EC6554">
        <w:rPr>
          <w:rFonts w:ascii="Times New Roman" w:hAnsi="Times New Roman"/>
          <w:sz w:val="18"/>
          <w:szCs w:val="18"/>
        </w:rPr>
        <w:t>All data are the mean of triplicate measurements ± standard deviation values</w:t>
      </w:r>
    </w:p>
    <w:p w:rsidR="00EC6554" w:rsidRPr="00EC6554" w:rsidRDefault="00EC6554" w:rsidP="00EC6554">
      <w:pPr>
        <w:spacing w:after="120" w:line="240" w:lineRule="auto"/>
        <w:outlineLvl w:val="0"/>
        <w:rPr>
          <w:rFonts w:ascii="Times New Roman" w:hAnsi="Times New Roman"/>
          <w:sz w:val="20"/>
          <w:szCs w:val="20"/>
        </w:rPr>
      </w:pPr>
    </w:p>
    <w:p w:rsidR="00EC6554" w:rsidRPr="00EC6554" w:rsidRDefault="00EC6554" w:rsidP="0050419B">
      <w:pPr>
        <w:spacing w:after="0" w:line="240" w:lineRule="auto"/>
        <w:jc w:val="both"/>
        <w:outlineLvl w:val="0"/>
        <w:rPr>
          <w:rFonts w:ascii="Times New Roman" w:hAnsi="Times New Roman"/>
          <w:b/>
          <w:sz w:val="20"/>
          <w:szCs w:val="20"/>
        </w:rPr>
      </w:pPr>
      <w:r w:rsidRPr="00EC6554">
        <w:rPr>
          <w:rFonts w:ascii="Times New Roman" w:hAnsi="Times New Roman"/>
          <w:b/>
          <w:sz w:val="20"/>
          <w:szCs w:val="20"/>
        </w:rPr>
        <w:t>Moisture content and water activity</w:t>
      </w:r>
    </w:p>
    <w:p w:rsidR="00EC6554" w:rsidRPr="00EC6554" w:rsidRDefault="00EC6554" w:rsidP="0050419B">
      <w:pPr>
        <w:spacing w:after="0" w:line="240" w:lineRule="auto"/>
        <w:jc w:val="both"/>
        <w:outlineLvl w:val="0"/>
        <w:rPr>
          <w:rFonts w:ascii="Times New Roman" w:hAnsi="Times New Roman"/>
          <w:sz w:val="20"/>
          <w:szCs w:val="20"/>
          <w:lang w:val="en-GB"/>
        </w:rPr>
      </w:pPr>
      <w:r w:rsidRPr="00EC6554">
        <w:rPr>
          <w:rFonts w:ascii="Times New Roman" w:hAnsi="Times New Roman"/>
          <w:sz w:val="20"/>
          <w:szCs w:val="20"/>
          <w:lang w:val="en-GB"/>
        </w:rPr>
        <w:t>Moisture content is important in determining the amount of total water present in a product and can be used as a process monitoring. Lower moisture content limits the ability of water to act as plasticizer, and to prevent or reduce the capability of caking and agglomeration issue. The total solid content of feed prior to drying will affect the final moisture content of product. The addition of MD to the extract prior to drying process consequently increased the total solid content and reduced the amount of water for evaporation.</w:t>
      </w:r>
    </w:p>
    <w:p w:rsidR="00EC6554" w:rsidRPr="00EC6554" w:rsidRDefault="00EC6554" w:rsidP="0050419B">
      <w:pPr>
        <w:spacing w:after="0" w:line="240" w:lineRule="auto"/>
        <w:jc w:val="both"/>
        <w:outlineLvl w:val="0"/>
        <w:rPr>
          <w:rFonts w:ascii="Times New Roman" w:hAnsi="Times New Roman"/>
          <w:sz w:val="20"/>
          <w:szCs w:val="20"/>
          <w:lang w:val="en-GB"/>
        </w:rPr>
      </w:pPr>
    </w:p>
    <w:p w:rsidR="00EC6554" w:rsidRPr="00EC6554" w:rsidRDefault="00EC6554" w:rsidP="0050419B">
      <w:pPr>
        <w:spacing w:after="0" w:line="240" w:lineRule="auto"/>
        <w:jc w:val="both"/>
        <w:outlineLvl w:val="0"/>
        <w:rPr>
          <w:rFonts w:ascii="Times New Roman" w:hAnsi="Times New Roman"/>
          <w:sz w:val="20"/>
          <w:szCs w:val="20"/>
          <w:lang w:val="en-GB"/>
        </w:rPr>
      </w:pPr>
      <w:r w:rsidRPr="00EC6554">
        <w:rPr>
          <w:rFonts w:ascii="Times New Roman" w:hAnsi="Times New Roman"/>
          <w:sz w:val="20"/>
          <w:szCs w:val="20"/>
          <w:lang w:val="en-GB"/>
        </w:rPr>
        <w:t xml:space="preserve">In this study, PSPA were encapsulated with maltodextrin (DE: 4.0 - 7.0).MD concentration of 20%, 25% and 30% were used and exposed to the microwave drying power of 330W and 550W. The results showed that the moisture content of encapsulated PSPE decreased when the maltodextrin added was increased. Encapsulated PSPE moisture contents are ranged from 3.76 ± 0.02 to 4.25 ± 0.04%. Significant decreased (p &lt; 0.05) of moisture content results were showed at 20% and 30% of maltodextrin added at both 550 W and 330 W microwave power level. Researcher proves that additional MD percentage resulted in an increased of total solid which causing reduction of total moisture for evaporation </w:t>
      </w:r>
      <w:r w:rsidRPr="00EC6554">
        <w:rPr>
          <w:rFonts w:ascii="Times New Roman" w:hAnsi="Times New Roman"/>
          <w:noProof/>
          <w:sz w:val="20"/>
          <w:szCs w:val="20"/>
          <w:lang w:val="en-GB"/>
        </w:rPr>
        <w:t>[10, 12]</w:t>
      </w:r>
      <w:r w:rsidRPr="00EC6554">
        <w:rPr>
          <w:rFonts w:ascii="Times New Roman" w:hAnsi="Times New Roman"/>
          <w:sz w:val="20"/>
          <w:szCs w:val="20"/>
          <w:lang w:val="en-GB"/>
        </w:rPr>
        <w:t xml:space="preserve">. </w:t>
      </w:r>
    </w:p>
    <w:p w:rsidR="00EC6554" w:rsidRPr="00EC6554" w:rsidRDefault="00EC6554" w:rsidP="0050419B">
      <w:pPr>
        <w:spacing w:after="0" w:line="240" w:lineRule="auto"/>
        <w:jc w:val="both"/>
        <w:outlineLvl w:val="0"/>
        <w:rPr>
          <w:rFonts w:ascii="Times New Roman" w:hAnsi="Times New Roman"/>
          <w:sz w:val="20"/>
          <w:szCs w:val="20"/>
          <w:lang w:val="en-GB"/>
        </w:rPr>
      </w:pPr>
    </w:p>
    <w:p w:rsidR="00EC6554" w:rsidRPr="00EC6554" w:rsidRDefault="00EC6554" w:rsidP="0050419B">
      <w:pPr>
        <w:spacing w:after="0" w:line="240" w:lineRule="auto"/>
        <w:jc w:val="both"/>
        <w:outlineLvl w:val="0"/>
        <w:rPr>
          <w:rFonts w:ascii="Times New Roman" w:hAnsi="Times New Roman"/>
          <w:sz w:val="20"/>
          <w:szCs w:val="20"/>
          <w:lang w:val="en-GB"/>
        </w:rPr>
      </w:pPr>
      <w:r w:rsidRPr="00EC6554">
        <w:rPr>
          <w:rFonts w:ascii="Times New Roman" w:hAnsi="Times New Roman"/>
          <w:sz w:val="20"/>
          <w:szCs w:val="20"/>
          <w:lang w:val="en-GB"/>
        </w:rPr>
        <w:t xml:space="preserve">Shelf life of a powder product is greatly affected by its water activity value. Water activity value ranges from 0.20 - 0.40 for any dried foods is considered as microbiological stable </w:t>
      </w:r>
      <w:r w:rsidRPr="00EC6554">
        <w:rPr>
          <w:rFonts w:ascii="Times New Roman" w:hAnsi="Times New Roman"/>
          <w:noProof/>
          <w:sz w:val="20"/>
          <w:szCs w:val="20"/>
          <w:lang w:val="en-GB"/>
        </w:rPr>
        <w:t>[12]</w:t>
      </w:r>
      <w:r w:rsidRPr="00EC6554">
        <w:rPr>
          <w:rFonts w:ascii="Times New Roman" w:hAnsi="Times New Roman"/>
          <w:sz w:val="20"/>
          <w:szCs w:val="20"/>
          <w:lang w:val="en-GB"/>
        </w:rPr>
        <w:t xml:space="preserve"> which might prolong the shelf life of product. Results from Table 2 show that encapsulated PSPE are in the ranges of 0.2588 ± 0.0049 to 0.3912 ± 0.0132. Increasing of maltodextrin significantly (p &lt;0.05) decreased the water activity value.</w:t>
      </w:r>
    </w:p>
    <w:p w:rsidR="00EC6554" w:rsidRDefault="00EC6554"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Default="0001242B" w:rsidP="0001242B">
      <w:pPr>
        <w:spacing w:after="0" w:line="240" w:lineRule="auto"/>
        <w:outlineLvl w:val="0"/>
        <w:rPr>
          <w:rFonts w:ascii="Times New Roman" w:hAnsi="Times New Roman"/>
          <w:sz w:val="20"/>
          <w:szCs w:val="20"/>
          <w:lang w:val="en-GB"/>
        </w:rPr>
      </w:pPr>
    </w:p>
    <w:p w:rsidR="0001242B" w:rsidRPr="00EC6554" w:rsidRDefault="0001242B" w:rsidP="0001242B">
      <w:pPr>
        <w:spacing w:after="0" w:line="240" w:lineRule="auto"/>
        <w:outlineLvl w:val="0"/>
        <w:rPr>
          <w:rFonts w:ascii="Times New Roman" w:hAnsi="Times New Roman"/>
          <w:sz w:val="20"/>
          <w:szCs w:val="20"/>
          <w:lang w:val="en-GB"/>
        </w:rPr>
      </w:pPr>
    </w:p>
    <w:p w:rsidR="0001242B" w:rsidRDefault="00EC6554" w:rsidP="0001242B">
      <w:pPr>
        <w:spacing w:after="0" w:line="240" w:lineRule="auto"/>
        <w:jc w:val="center"/>
        <w:outlineLvl w:val="0"/>
        <w:rPr>
          <w:rFonts w:ascii="Times New Roman" w:hAnsi="Times New Roman"/>
          <w:sz w:val="20"/>
          <w:szCs w:val="20"/>
          <w:lang w:val="en-GB"/>
        </w:rPr>
      </w:pPr>
      <w:r w:rsidRPr="00EC6554">
        <w:rPr>
          <w:rFonts w:ascii="Times New Roman" w:hAnsi="Times New Roman"/>
          <w:sz w:val="20"/>
          <w:szCs w:val="20"/>
          <w:lang w:val="en-GB"/>
        </w:rPr>
        <w:lastRenderedPageBreak/>
        <w:t xml:space="preserve">Table 2.  </w:t>
      </w:r>
      <w:r w:rsidR="0001242B">
        <w:rPr>
          <w:rFonts w:ascii="Times New Roman" w:hAnsi="Times New Roman"/>
          <w:sz w:val="20"/>
          <w:szCs w:val="20"/>
          <w:lang w:val="en-GB"/>
        </w:rPr>
        <w:t xml:space="preserve"> </w:t>
      </w:r>
      <w:r w:rsidRPr="00EC6554">
        <w:rPr>
          <w:rFonts w:ascii="Times New Roman" w:hAnsi="Times New Roman"/>
          <w:sz w:val="20"/>
          <w:szCs w:val="20"/>
          <w:lang w:val="en-GB"/>
        </w:rPr>
        <w:t>Effect of maltodextrin (MD) concentration and microwave power level on total monomeric</w:t>
      </w:r>
    </w:p>
    <w:p w:rsidR="00EC6554" w:rsidRPr="00EC6554" w:rsidRDefault="00EC6554" w:rsidP="0001242B">
      <w:pPr>
        <w:spacing w:after="120" w:line="240" w:lineRule="auto"/>
        <w:jc w:val="center"/>
        <w:outlineLvl w:val="0"/>
        <w:rPr>
          <w:rFonts w:ascii="Times New Roman" w:hAnsi="Times New Roman"/>
          <w:sz w:val="20"/>
          <w:szCs w:val="20"/>
          <w:lang w:val="en-GB"/>
        </w:rPr>
      </w:pPr>
      <w:r w:rsidRPr="00EC6554">
        <w:rPr>
          <w:rFonts w:ascii="Times New Roman" w:hAnsi="Times New Roman"/>
          <w:sz w:val="20"/>
          <w:szCs w:val="20"/>
          <w:lang w:val="en-GB"/>
        </w:rPr>
        <w:t xml:space="preserve"> anthocyanin content (TMA), of encapsulated PSPE</w:t>
      </w:r>
    </w:p>
    <w:tbl>
      <w:tblPr>
        <w:tblStyle w:val="TableGrid"/>
        <w:tblW w:w="7302" w:type="dxa"/>
        <w:jc w:val="center"/>
        <w:tblInd w:w="-49" w:type="dxa"/>
        <w:tblLook w:val="04A0" w:firstRow="1" w:lastRow="0" w:firstColumn="1" w:lastColumn="0" w:noHBand="0" w:noVBand="1"/>
      </w:tblPr>
      <w:tblGrid>
        <w:gridCol w:w="1440"/>
        <w:gridCol w:w="1536"/>
        <w:gridCol w:w="1228"/>
        <w:gridCol w:w="1591"/>
        <w:gridCol w:w="1507"/>
      </w:tblGrid>
      <w:tr w:rsidR="00EC6554" w:rsidRPr="00EC6554" w:rsidTr="0001242B">
        <w:trPr>
          <w:trHeight w:val="340"/>
          <w:jc w:val="center"/>
        </w:trPr>
        <w:tc>
          <w:tcPr>
            <w:tcW w:w="1440" w:type="dxa"/>
            <w:tcBorders>
              <w:top w:val="single" w:sz="4" w:space="0" w:color="auto"/>
              <w:left w:val="nil"/>
              <w:bottom w:val="single" w:sz="4" w:space="0" w:color="auto"/>
              <w:right w:val="nil"/>
            </w:tcBorders>
            <w:vAlign w:val="center"/>
            <w:hideMark/>
          </w:tcPr>
          <w:p w:rsidR="00EC6554" w:rsidRPr="00EC6554" w:rsidRDefault="00EC6554" w:rsidP="0001242B">
            <w:pPr>
              <w:spacing w:after="0" w:line="240" w:lineRule="auto"/>
              <w:outlineLvl w:val="0"/>
              <w:rPr>
                <w:b/>
                <w:sz w:val="20"/>
                <w:szCs w:val="20"/>
                <w:lang w:val="en-GB"/>
              </w:rPr>
            </w:pPr>
            <w:r w:rsidRPr="00EC6554">
              <w:rPr>
                <w:b/>
                <w:sz w:val="20"/>
                <w:szCs w:val="20"/>
                <w:lang w:val="en-GB"/>
              </w:rPr>
              <w:t>Microwave Power</w:t>
            </w:r>
          </w:p>
          <w:p w:rsidR="00EC6554" w:rsidRPr="00EC6554" w:rsidRDefault="00EC6554" w:rsidP="0001242B">
            <w:pPr>
              <w:spacing w:after="60" w:line="240" w:lineRule="auto"/>
              <w:outlineLvl w:val="0"/>
              <w:rPr>
                <w:b/>
                <w:sz w:val="20"/>
                <w:szCs w:val="20"/>
                <w:lang w:val="en-GB"/>
              </w:rPr>
            </w:pPr>
            <w:r w:rsidRPr="00EC6554">
              <w:rPr>
                <w:b/>
                <w:sz w:val="20"/>
                <w:szCs w:val="20"/>
                <w:lang w:val="en-GB"/>
              </w:rPr>
              <w:t>(W)</w:t>
            </w:r>
          </w:p>
        </w:tc>
        <w:tc>
          <w:tcPr>
            <w:tcW w:w="1536" w:type="dxa"/>
            <w:tcBorders>
              <w:top w:val="single" w:sz="4" w:space="0" w:color="auto"/>
              <w:left w:val="nil"/>
              <w:bottom w:val="single" w:sz="4" w:space="0" w:color="auto"/>
              <w:right w:val="nil"/>
            </w:tcBorders>
            <w:vAlign w:val="center"/>
            <w:hideMark/>
          </w:tcPr>
          <w:p w:rsidR="00EC6554" w:rsidRPr="00EC6554" w:rsidRDefault="00EC6554" w:rsidP="0001242B">
            <w:pPr>
              <w:spacing w:before="60" w:after="0" w:line="240" w:lineRule="auto"/>
              <w:jc w:val="center"/>
              <w:outlineLvl w:val="0"/>
              <w:rPr>
                <w:b/>
                <w:sz w:val="20"/>
                <w:szCs w:val="20"/>
                <w:lang w:val="en-GB"/>
              </w:rPr>
            </w:pPr>
            <w:r w:rsidRPr="00EC6554">
              <w:rPr>
                <w:b/>
                <w:sz w:val="20"/>
                <w:szCs w:val="20"/>
                <w:lang w:val="en-GB"/>
              </w:rPr>
              <w:t>Maltodextrin Concentration</w:t>
            </w:r>
          </w:p>
          <w:p w:rsidR="00EC6554" w:rsidRPr="00EC6554" w:rsidRDefault="00EC6554" w:rsidP="0001242B">
            <w:pPr>
              <w:spacing w:after="60" w:line="240" w:lineRule="auto"/>
              <w:jc w:val="center"/>
              <w:outlineLvl w:val="0"/>
              <w:rPr>
                <w:b/>
                <w:sz w:val="20"/>
                <w:szCs w:val="20"/>
                <w:lang w:val="en-GB"/>
              </w:rPr>
            </w:pPr>
            <w:r w:rsidRPr="00EC6554">
              <w:rPr>
                <w:b/>
                <w:sz w:val="20"/>
                <w:szCs w:val="20"/>
                <w:lang w:val="en-GB"/>
              </w:rPr>
              <w:t>(%)</w:t>
            </w:r>
          </w:p>
        </w:tc>
        <w:tc>
          <w:tcPr>
            <w:tcW w:w="1228" w:type="dxa"/>
            <w:tcBorders>
              <w:top w:val="single" w:sz="4" w:space="0" w:color="auto"/>
              <w:left w:val="nil"/>
              <w:bottom w:val="single" w:sz="4" w:space="0" w:color="auto"/>
              <w:right w:val="nil"/>
            </w:tcBorders>
            <w:vAlign w:val="center"/>
            <w:hideMark/>
          </w:tcPr>
          <w:p w:rsidR="00EC6554" w:rsidRPr="00EC6554" w:rsidRDefault="00EC6554" w:rsidP="0001242B">
            <w:pPr>
              <w:spacing w:before="60" w:after="0" w:line="240" w:lineRule="auto"/>
              <w:jc w:val="center"/>
              <w:outlineLvl w:val="0"/>
              <w:rPr>
                <w:b/>
                <w:sz w:val="20"/>
                <w:szCs w:val="20"/>
                <w:lang w:val="en-GB"/>
              </w:rPr>
            </w:pPr>
            <w:r w:rsidRPr="00EC6554">
              <w:rPr>
                <w:b/>
                <w:sz w:val="20"/>
                <w:szCs w:val="20"/>
                <w:lang w:val="en-GB"/>
              </w:rPr>
              <w:t>Moisture Content</w:t>
            </w:r>
          </w:p>
          <w:p w:rsidR="00EC6554" w:rsidRPr="00EC6554" w:rsidRDefault="00EC6554" w:rsidP="0001242B">
            <w:pPr>
              <w:spacing w:after="60" w:line="240" w:lineRule="auto"/>
              <w:jc w:val="center"/>
              <w:outlineLvl w:val="0"/>
              <w:rPr>
                <w:b/>
                <w:sz w:val="20"/>
                <w:szCs w:val="20"/>
                <w:lang w:val="en-GB"/>
              </w:rPr>
            </w:pPr>
            <w:r w:rsidRPr="00EC6554">
              <w:rPr>
                <w:b/>
                <w:sz w:val="20"/>
                <w:szCs w:val="20"/>
                <w:lang w:val="en-GB"/>
              </w:rPr>
              <w:t>(%)</w:t>
            </w:r>
          </w:p>
        </w:tc>
        <w:tc>
          <w:tcPr>
            <w:tcW w:w="1591" w:type="dxa"/>
            <w:tcBorders>
              <w:top w:val="single" w:sz="4" w:space="0" w:color="auto"/>
              <w:left w:val="nil"/>
              <w:bottom w:val="single" w:sz="4" w:space="0" w:color="auto"/>
              <w:right w:val="nil"/>
            </w:tcBorders>
            <w:vAlign w:val="center"/>
          </w:tcPr>
          <w:p w:rsidR="00EC6554" w:rsidRPr="00EC6554" w:rsidRDefault="00EC6554" w:rsidP="0001242B">
            <w:pPr>
              <w:spacing w:after="0" w:line="240" w:lineRule="auto"/>
              <w:jc w:val="center"/>
              <w:outlineLvl w:val="0"/>
              <w:rPr>
                <w:b/>
                <w:sz w:val="20"/>
                <w:szCs w:val="20"/>
                <w:lang w:val="en-GB"/>
              </w:rPr>
            </w:pPr>
            <w:r w:rsidRPr="00EC6554">
              <w:rPr>
                <w:b/>
                <w:sz w:val="20"/>
                <w:szCs w:val="20"/>
                <w:lang w:val="en-GB"/>
              </w:rPr>
              <w:t xml:space="preserve">Water </w:t>
            </w:r>
          </w:p>
          <w:p w:rsidR="00EC6554" w:rsidRPr="00EC6554" w:rsidRDefault="00EC6554" w:rsidP="0059309A">
            <w:pPr>
              <w:spacing w:after="0" w:line="240" w:lineRule="auto"/>
              <w:jc w:val="center"/>
              <w:outlineLvl w:val="0"/>
              <w:rPr>
                <w:b/>
                <w:sz w:val="20"/>
                <w:szCs w:val="20"/>
                <w:lang w:val="en-GB"/>
              </w:rPr>
            </w:pPr>
            <w:r w:rsidRPr="00EC6554">
              <w:rPr>
                <w:b/>
                <w:sz w:val="20"/>
                <w:szCs w:val="20"/>
                <w:lang w:val="en-GB"/>
              </w:rPr>
              <w:t>Activity</w:t>
            </w:r>
          </w:p>
        </w:tc>
        <w:tc>
          <w:tcPr>
            <w:tcW w:w="1507" w:type="dxa"/>
            <w:tcBorders>
              <w:top w:val="single" w:sz="4" w:space="0" w:color="auto"/>
              <w:left w:val="nil"/>
              <w:bottom w:val="single" w:sz="4" w:space="0" w:color="auto"/>
              <w:right w:val="nil"/>
            </w:tcBorders>
            <w:vAlign w:val="center"/>
          </w:tcPr>
          <w:p w:rsidR="00EC6554" w:rsidRPr="00EC6554" w:rsidRDefault="00EC6554" w:rsidP="0001242B">
            <w:pPr>
              <w:spacing w:after="0" w:line="240" w:lineRule="auto"/>
              <w:jc w:val="center"/>
              <w:outlineLvl w:val="0"/>
              <w:rPr>
                <w:b/>
                <w:sz w:val="20"/>
                <w:szCs w:val="20"/>
                <w:lang w:val="en-GB"/>
              </w:rPr>
            </w:pPr>
            <w:r w:rsidRPr="00EC6554">
              <w:rPr>
                <w:b/>
                <w:sz w:val="20"/>
                <w:szCs w:val="20"/>
                <w:lang w:val="en-GB"/>
              </w:rPr>
              <w:t>TMA</w:t>
            </w:r>
          </w:p>
          <w:p w:rsidR="00EC6554" w:rsidRPr="00EC6554" w:rsidRDefault="00EC6554" w:rsidP="0059309A">
            <w:pPr>
              <w:spacing w:after="0" w:line="240" w:lineRule="auto"/>
              <w:jc w:val="center"/>
              <w:outlineLvl w:val="0"/>
              <w:rPr>
                <w:b/>
                <w:sz w:val="20"/>
                <w:szCs w:val="20"/>
                <w:lang w:val="en-GB"/>
              </w:rPr>
            </w:pPr>
            <w:r w:rsidRPr="00EC6554">
              <w:rPr>
                <w:b/>
                <w:sz w:val="20"/>
                <w:szCs w:val="20"/>
                <w:lang w:val="en-GB"/>
              </w:rPr>
              <w:t>(mg/L)</w:t>
            </w:r>
          </w:p>
        </w:tc>
      </w:tr>
      <w:tr w:rsidR="00EC6554" w:rsidRPr="00EC6554" w:rsidTr="0001242B">
        <w:trPr>
          <w:trHeight w:val="63"/>
          <w:jc w:val="center"/>
        </w:trPr>
        <w:tc>
          <w:tcPr>
            <w:tcW w:w="1440" w:type="dxa"/>
            <w:vMerge w:val="restart"/>
            <w:tcBorders>
              <w:top w:val="single" w:sz="4" w:space="0" w:color="auto"/>
              <w:left w:val="nil"/>
              <w:bottom w:val="nil"/>
              <w:right w:val="nil"/>
            </w:tcBorders>
            <w:noWrap/>
            <w:vAlign w:val="center"/>
            <w:hideMark/>
          </w:tcPr>
          <w:p w:rsidR="00EC6554" w:rsidRPr="00EC6554" w:rsidRDefault="00EC6554" w:rsidP="0001242B">
            <w:pPr>
              <w:spacing w:before="60" w:after="0" w:line="240" w:lineRule="auto"/>
              <w:outlineLvl w:val="0"/>
              <w:rPr>
                <w:sz w:val="20"/>
                <w:szCs w:val="20"/>
                <w:lang w:val="en-GB"/>
              </w:rPr>
            </w:pPr>
            <w:r w:rsidRPr="00EC6554">
              <w:rPr>
                <w:sz w:val="20"/>
                <w:szCs w:val="20"/>
                <w:lang w:val="en-GB"/>
              </w:rPr>
              <w:t>550</w:t>
            </w:r>
          </w:p>
        </w:tc>
        <w:tc>
          <w:tcPr>
            <w:tcW w:w="1536" w:type="dxa"/>
            <w:tcBorders>
              <w:top w:val="single" w:sz="4" w:space="0" w:color="auto"/>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20</w:t>
            </w:r>
          </w:p>
        </w:tc>
        <w:tc>
          <w:tcPr>
            <w:tcW w:w="0" w:type="auto"/>
            <w:tcBorders>
              <w:top w:val="single" w:sz="4" w:space="0" w:color="auto"/>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3.98 ± 0.01</w:t>
            </w:r>
            <w:r w:rsidRPr="00EC6554">
              <w:rPr>
                <w:sz w:val="20"/>
                <w:szCs w:val="20"/>
                <w:vertAlign w:val="superscript"/>
                <w:lang w:val="en-GB"/>
              </w:rPr>
              <w:t>a</w:t>
            </w:r>
          </w:p>
        </w:tc>
        <w:tc>
          <w:tcPr>
            <w:tcW w:w="0" w:type="auto"/>
            <w:tcBorders>
              <w:top w:val="single" w:sz="4" w:space="0" w:color="auto"/>
              <w:left w:val="nil"/>
              <w:bottom w:val="nil"/>
              <w:right w:val="nil"/>
            </w:tcBorders>
            <w:vAlign w:val="center"/>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0.3428 ± 0.0177</w:t>
            </w:r>
            <w:r w:rsidRPr="00EC6554">
              <w:rPr>
                <w:sz w:val="20"/>
                <w:szCs w:val="20"/>
                <w:vertAlign w:val="superscript"/>
                <w:lang w:val="en-GB"/>
              </w:rPr>
              <w:t>a</w:t>
            </w:r>
          </w:p>
        </w:tc>
        <w:tc>
          <w:tcPr>
            <w:tcW w:w="0" w:type="auto"/>
            <w:tcBorders>
              <w:top w:val="single" w:sz="4" w:space="0" w:color="auto"/>
              <w:left w:val="nil"/>
              <w:bottom w:val="nil"/>
              <w:right w:val="nil"/>
            </w:tcBorders>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385.93 ± 10.81</w:t>
            </w:r>
            <w:r w:rsidRPr="00EC6554">
              <w:rPr>
                <w:sz w:val="20"/>
                <w:szCs w:val="20"/>
                <w:vertAlign w:val="superscript"/>
                <w:lang w:val="en-GB"/>
              </w:rPr>
              <w:t>a</w:t>
            </w:r>
          </w:p>
        </w:tc>
      </w:tr>
      <w:tr w:rsidR="00EC6554" w:rsidRPr="00EC6554" w:rsidTr="0001242B">
        <w:trPr>
          <w:trHeight w:val="169"/>
          <w:jc w:val="center"/>
        </w:trPr>
        <w:tc>
          <w:tcPr>
            <w:tcW w:w="1440" w:type="dxa"/>
            <w:vMerge/>
            <w:tcBorders>
              <w:top w:val="nil"/>
              <w:left w:val="nil"/>
              <w:bottom w:val="nil"/>
              <w:right w:val="nil"/>
            </w:tcBorders>
            <w:vAlign w:val="center"/>
            <w:hideMark/>
          </w:tcPr>
          <w:p w:rsidR="00EC6554" w:rsidRPr="00EC6554" w:rsidRDefault="00EC6554" w:rsidP="0001242B">
            <w:pPr>
              <w:spacing w:after="0" w:line="240" w:lineRule="auto"/>
              <w:outlineLvl w:val="0"/>
              <w:rPr>
                <w:sz w:val="20"/>
                <w:szCs w:val="20"/>
                <w:lang w:val="en-GB"/>
              </w:rPr>
            </w:pPr>
          </w:p>
        </w:tc>
        <w:tc>
          <w:tcPr>
            <w:tcW w:w="1536" w:type="dxa"/>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25</w:t>
            </w:r>
          </w:p>
        </w:tc>
        <w:tc>
          <w:tcPr>
            <w:tcW w:w="0" w:type="auto"/>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3.83 ± 0.01</w:t>
            </w:r>
            <w:r w:rsidRPr="00EC6554">
              <w:rPr>
                <w:sz w:val="20"/>
                <w:szCs w:val="20"/>
                <w:vertAlign w:val="superscript"/>
                <w:lang w:val="en-GB"/>
              </w:rPr>
              <w:t>b</w:t>
            </w:r>
          </w:p>
        </w:tc>
        <w:tc>
          <w:tcPr>
            <w:tcW w:w="0" w:type="auto"/>
            <w:tcBorders>
              <w:top w:val="nil"/>
              <w:left w:val="nil"/>
              <w:bottom w:val="nil"/>
              <w:right w:val="nil"/>
            </w:tcBorders>
            <w:vAlign w:val="center"/>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0.2924 ± 0.0079</w:t>
            </w:r>
            <w:r w:rsidRPr="00EC6554">
              <w:rPr>
                <w:sz w:val="20"/>
                <w:szCs w:val="20"/>
                <w:vertAlign w:val="superscript"/>
                <w:lang w:val="en-GB"/>
              </w:rPr>
              <w:t>b</w:t>
            </w:r>
          </w:p>
        </w:tc>
        <w:tc>
          <w:tcPr>
            <w:tcW w:w="0" w:type="auto"/>
            <w:tcBorders>
              <w:top w:val="nil"/>
              <w:left w:val="nil"/>
              <w:bottom w:val="nil"/>
              <w:right w:val="nil"/>
            </w:tcBorders>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285.73 ± 5.24</w:t>
            </w:r>
            <w:r w:rsidRPr="00EC6554">
              <w:rPr>
                <w:sz w:val="20"/>
                <w:szCs w:val="20"/>
                <w:vertAlign w:val="superscript"/>
                <w:lang w:val="en-GB"/>
              </w:rPr>
              <w:t>b</w:t>
            </w:r>
          </w:p>
        </w:tc>
      </w:tr>
      <w:tr w:rsidR="00EC6554" w:rsidRPr="00EC6554" w:rsidTr="0001242B">
        <w:trPr>
          <w:trHeight w:val="87"/>
          <w:jc w:val="center"/>
        </w:trPr>
        <w:tc>
          <w:tcPr>
            <w:tcW w:w="1440" w:type="dxa"/>
            <w:vMerge/>
            <w:tcBorders>
              <w:top w:val="nil"/>
              <w:left w:val="nil"/>
              <w:bottom w:val="nil"/>
              <w:right w:val="nil"/>
            </w:tcBorders>
            <w:vAlign w:val="center"/>
            <w:hideMark/>
          </w:tcPr>
          <w:p w:rsidR="00EC6554" w:rsidRPr="00EC6554" w:rsidRDefault="00EC6554" w:rsidP="0001242B">
            <w:pPr>
              <w:spacing w:after="0" w:line="240" w:lineRule="auto"/>
              <w:outlineLvl w:val="0"/>
              <w:rPr>
                <w:sz w:val="20"/>
                <w:szCs w:val="20"/>
                <w:lang w:val="en-GB"/>
              </w:rPr>
            </w:pPr>
          </w:p>
        </w:tc>
        <w:tc>
          <w:tcPr>
            <w:tcW w:w="1536" w:type="dxa"/>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30</w:t>
            </w:r>
          </w:p>
        </w:tc>
        <w:tc>
          <w:tcPr>
            <w:tcW w:w="0" w:type="auto"/>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3.76 ± 0.02</w:t>
            </w:r>
            <w:r w:rsidRPr="00EC6554">
              <w:rPr>
                <w:sz w:val="20"/>
                <w:szCs w:val="20"/>
                <w:vertAlign w:val="superscript"/>
                <w:lang w:val="en-GB"/>
              </w:rPr>
              <w:t>b</w:t>
            </w:r>
          </w:p>
        </w:tc>
        <w:tc>
          <w:tcPr>
            <w:tcW w:w="0" w:type="auto"/>
            <w:tcBorders>
              <w:top w:val="nil"/>
              <w:left w:val="nil"/>
              <w:bottom w:val="nil"/>
              <w:right w:val="nil"/>
            </w:tcBorders>
            <w:vAlign w:val="center"/>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0.2636 ± 0.0079</w:t>
            </w:r>
            <w:r w:rsidRPr="00EC6554">
              <w:rPr>
                <w:sz w:val="20"/>
                <w:szCs w:val="20"/>
                <w:vertAlign w:val="superscript"/>
                <w:lang w:val="en-GB"/>
              </w:rPr>
              <w:t>c</w:t>
            </w:r>
          </w:p>
        </w:tc>
        <w:tc>
          <w:tcPr>
            <w:tcW w:w="0" w:type="auto"/>
            <w:tcBorders>
              <w:top w:val="nil"/>
              <w:left w:val="nil"/>
              <w:bottom w:val="nil"/>
              <w:right w:val="nil"/>
            </w:tcBorders>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263.53 ± 7.66</w:t>
            </w:r>
            <w:r w:rsidRPr="00EC6554">
              <w:rPr>
                <w:sz w:val="20"/>
                <w:szCs w:val="20"/>
                <w:vertAlign w:val="superscript"/>
                <w:lang w:val="en-GB"/>
              </w:rPr>
              <w:t>b</w:t>
            </w:r>
          </w:p>
        </w:tc>
      </w:tr>
      <w:tr w:rsidR="00EC6554" w:rsidRPr="00EC6554" w:rsidTr="0001242B">
        <w:trPr>
          <w:trHeight w:val="53"/>
          <w:jc w:val="center"/>
        </w:trPr>
        <w:tc>
          <w:tcPr>
            <w:tcW w:w="1440" w:type="dxa"/>
            <w:vMerge w:val="restart"/>
            <w:tcBorders>
              <w:top w:val="nil"/>
              <w:left w:val="nil"/>
              <w:bottom w:val="nil"/>
              <w:right w:val="nil"/>
            </w:tcBorders>
            <w:noWrap/>
            <w:vAlign w:val="center"/>
            <w:hideMark/>
          </w:tcPr>
          <w:p w:rsidR="00EC6554" w:rsidRPr="00EC6554" w:rsidRDefault="00EC6554" w:rsidP="0001242B">
            <w:pPr>
              <w:spacing w:before="60" w:after="0" w:line="240" w:lineRule="auto"/>
              <w:outlineLvl w:val="0"/>
              <w:rPr>
                <w:sz w:val="20"/>
                <w:szCs w:val="20"/>
                <w:lang w:val="en-GB"/>
              </w:rPr>
            </w:pPr>
            <w:r w:rsidRPr="00EC6554">
              <w:rPr>
                <w:sz w:val="20"/>
                <w:szCs w:val="20"/>
                <w:lang w:val="en-GB"/>
              </w:rPr>
              <w:t>330</w:t>
            </w:r>
          </w:p>
        </w:tc>
        <w:tc>
          <w:tcPr>
            <w:tcW w:w="1536" w:type="dxa"/>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20</w:t>
            </w:r>
          </w:p>
        </w:tc>
        <w:tc>
          <w:tcPr>
            <w:tcW w:w="0" w:type="auto"/>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4.25 ± 0.04</w:t>
            </w:r>
            <w:r w:rsidRPr="00EC6554">
              <w:rPr>
                <w:sz w:val="20"/>
                <w:szCs w:val="20"/>
                <w:vertAlign w:val="superscript"/>
                <w:lang w:val="en-GB"/>
              </w:rPr>
              <w:t>c</w:t>
            </w:r>
          </w:p>
        </w:tc>
        <w:tc>
          <w:tcPr>
            <w:tcW w:w="0" w:type="auto"/>
            <w:tcBorders>
              <w:top w:val="nil"/>
              <w:left w:val="nil"/>
              <w:bottom w:val="nil"/>
              <w:right w:val="nil"/>
            </w:tcBorders>
            <w:vAlign w:val="center"/>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0.3912 ± 0.0132</w:t>
            </w:r>
            <w:r w:rsidRPr="00EC6554">
              <w:rPr>
                <w:sz w:val="20"/>
                <w:szCs w:val="20"/>
                <w:vertAlign w:val="superscript"/>
                <w:lang w:val="en-GB"/>
              </w:rPr>
              <w:t>a</w:t>
            </w:r>
          </w:p>
        </w:tc>
        <w:tc>
          <w:tcPr>
            <w:tcW w:w="0" w:type="auto"/>
            <w:tcBorders>
              <w:top w:val="nil"/>
              <w:left w:val="nil"/>
              <w:bottom w:val="nil"/>
              <w:right w:val="nil"/>
            </w:tcBorders>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419.28 ± 10.89</w:t>
            </w:r>
            <w:r w:rsidRPr="00EC6554">
              <w:rPr>
                <w:sz w:val="20"/>
                <w:szCs w:val="20"/>
                <w:vertAlign w:val="superscript"/>
                <w:lang w:val="en-GB"/>
              </w:rPr>
              <w:t>a</w:t>
            </w:r>
          </w:p>
        </w:tc>
      </w:tr>
      <w:tr w:rsidR="00EC6554" w:rsidRPr="00EC6554" w:rsidTr="0001242B">
        <w:trPr>
          <w:trHeight w:val="53"/>
          <w:jc w:val="center"/>
        </w:trPr>
        <w:tc>
          <w:tcPr>
            <w:tcW w:w="1440" w:type="dxa"/>
            <w:vMerge/>
            <w:tcBorders>
              <w:top w:val="nil"/>
              <w:left w:val="nil"/>
              <w:bottom w:val="nil"/>
              <w:right w:val="nil"/>
            </w:tcBorders>
            <w:vAlign w:val="center"/>
            <w:hideMark/>
          </w:tcPr>
          <w:p w:rsidR="00EC6554" w:rsidRPr="00EC6554" w:rsidRDefault="00EC6554" w:rsidP="0001242B">
            <w:pPr>
              <w:spacing w:after="0" w:line="240" w:lineRule="auto"/>
              <w:outlineLvl w:val="0"/>
              <w:rPr>
                <w:sz w:val="20"/>
                <w:szCs w:val="20"/>
                <w:lang w:val="en-GB"/>
              </w:rPr>
            </w:pPr>
          </w:p>
        </w:tc>
        <w:tc>
          <w:tcPr>
            <w:tcW w:w="1536" w:type="dxa"/>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25</w:t>
            </w:r>
          </w:p>
        </w:tc>
        <w:tc>
          <w:tcPr>
            <w:tcW w:w="0" w:type="auto"/>
            <w:tcBorders>
              <w:top w:val="nil"/>
              <w:left w:val="nil"/>
              <w:bottom w:val="nil"/>
              <w:right w:val="nil"/>
            </w:tcBorders>
            <w:noWrap/>
            <w:vAlign w:val="center"/>
            <w:hideMark/>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4.14 ± 0.04</w:t>
            </w:r>
            <w:r w:rsidRPr="00EC6554">
              <w:rPr>
                <w:sz w:val="20"/>
                <w:szCs w:val="20"/>
                <w:vertAlign w:val="superscript"/>
                <w:lang w:val="en-GB"/>
              </w:rPr>
              <w:t>d</w:t>
            </w:r>
          </w:p>
        </w:tc>
        <w:tc>
          <w:tcPr>
            <w:tcW w:w="0" w:type="auto"/>
            <w:tcBorders>
              <w:top w:val="nil"/>
              <w:left w:val="nil"/>
              <w:bottom w:val="nil"/>
              <w:right w:val="nil"/>
            </w:tcBorders>
            <w:vAlign w:val="center"/>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0.3042 ± 0.0126</w:t>
            </w:r>
            <w:r w:rsidRPr="00EC6554">
              <w:rPr>
                <w:sz w:val="20"/>
                <w:szCs w:val="20"/>
                <w:vertAlign w:val="superscript"/>
                <w:lang w:val="en-GB"/>
              </w:rPr>
              <w:t>b</w:t>
            </w:r>
          </w:p>
        </w:tc>
        <w:tc>
          <w:tcPr>
            <w:tcW w:w="0" w:type="auto"/>
            <w:tcBorders>
              <w:top w:val="nil"/>
              <w:left w:val="nil"/>
              <w:bottom w:val="nil"/>
              <w:right w:val="nil"/>
            </w:tcBorders>
            <w:vAlign w:val="center"/>
          </w:tcPr>
          <w:p w:rsidR="00EC6554" w:rsidRPr="00EC6554" w:rsidRDefault="00EC6554" w:rsidP="0001242B">
            <w:pPr>
              <w:spacing w:before="60" w:after="0" w:line="240" w:lineRule="auto"/>
              <w:jc w:val="center"/>
              <w:outlineLvl w:val="0"/>
              <w:rPr>
                <w:sz w:val="20"/>
                <w:szCs w:val="20"/>
                <w:lang w:val="en-GB"/>
              </w:rPr>
            </w:pPr>
            <w:r w:rsidRPr="00EC6554">
              <w:rPr>
                <w:sz w:val="20"/>
                <w:szCs w:val="20"/>
                <w:lang w:val="en-GB"/>
              </w:rPr>
              <w:t>337.11 ± 8.47</w:t>
            </w:r>
            <w:r w:rsidRPr="00EC6554">
              <w:rPr>
                <w:sz w:val="20"/>
                <w:szCs w:val="20"/>
                <w:vertAlign w:val="superscript"/>
                <w:lang w:val="en-GB"/>
              </w:rPr>
              <w:t>c</w:t>
            </w:r>
          </w:p>
        </w:tc>
      </w:tr>
      <w:tr w:rsidR="00EC6554" w:rsidRPr="00EC6554" w:rsidTr="0001242B">
        <w:trPr>
          <w:trHeight w:val="300"/>
          <w:jc w:val="center"/>
        </w:trPr>
        <w:tc>
          <w:tcPr>
            <w:tcW w:w="1440" w:type="dxa"/>
            <w:vMerge/>
            <w:tcBorders>
              <w:top w:val="nil"/>
              <w:left w:val="nil"/>
              <w:bottom w:val="single" w:sz="4" w:space="0" w:color="auto"/>
              <w:right w:val="nil"/>
            </w:tcBorders>
            <w:vAlign w:val="center"/>
            <w:hideMark/>
          </w:tcPr>
          <w:p w:rsidR="00EC6554" w:rsidRPr="00EC6554" w:rsidRDefault="00EC6554" w:rsidP="0001242B">
            <w:pPr>
              <w:spacing w:after="60" w:line="240" w:lineRule="auto"/>
              <w:outlineLvl w:val="0"/>
              <w:rPr>
                <w:sz w:val="20"/>
                <w:szCs w:val="20"/>
                <w:lang w:val="en-GB"/>
              </w:rPr>
            </w:pPr>
          </w:p>
        </w:tc>
        <w:tc>
          <w:tcPr>
            <w:tcW w:w="1536" w:type="dxa"/>
            <w:tcBorders>
              <w:top w:val="nil"/>
              <w:left w:val="nil"/>
              <w:bottom w:val="single" w:sz="4" w:space="0" w:color="auto"/>
              <w:right w:val="nil"/>
            </w:tcBorders>
            <w:noWrap/>
            <w:vAlign w:val="center"/>
            <w:hideMark/>
          </w:tcPr>
          <w:p w:rsidR="00EC6554" w:rsidRPr="00EC6554" w:rsidRDefault="00EC6554" w:rsidP="0001242B">
            <w:pPr>
              <w:spacing w:before="60" w:after="60" w:line="240" w:lineRule="auto"/>
              <w:jc w:val="center"/>
              <w:outlineLvl w:val="0"/>
              <w:rPr>
                <w:sz w:val="20"/>
                <w:szCs w:val="20"/>
                <w:lang w:val="en-GB"/>
              </w:rPr>
            </w:pPr>
            <w:r w:rsidRPr="00EC6554">
              <w:rPr>
                <w:sz w:val="20"/>
                <w:szCs w:val="20"/>
                <w:lang w:val="en-GB"/>
              </w:rPr>
              <w:t>30</w:t>
            </w:r>
          </w:p>
        </w:tc>
        <w:tc>
          <w:tcPr>
            <w:tcW w:w="0" w:type="auto"/>
            <w:tcBorders>
              <w:top w:val="nil"/>
              <w:left w:val="nil"/>
              <w:bottom w:val="single" w:sz="4" w:space="0" w:color="auto"/>
              <w:right w:val="nil"/>
            </w:tcBorders>
            <w:noWrap/>
            <w:vAlign w:val="center"/>
            <w:hideMark/>
          </w:tcPr>
          <w:p w:rsidR="00EC6554" w:rsidRPr="00EC6554" w:rsidRDefault="00EC6554" w:rsidP="0001242B">
            <w:pPr>
              <w:spacing w:before="60" w:after="60" w:line="240" w:lineRule="auto"/>
              <w:jc w:val="center"/>
              <w:outlineLvl w:val="0"/>
              <w:rPr>
                <w:sz w:val="20"/>
                <w:szCs w:val="20"/>
                <w:lang w:val="en-GB"/>
              </w:rPr>
            </w:pPr>
            <w:r w:rsidRPr="00EC6554">
              <w:rPr>
                <w:sz w:val="20"/>
                <w:szCs w:val="20"/>
                <w:lang w:val="en-GB"/>
              </w:rPr>
              <w:t>3.95 ± 0.01</w:t>
            </w:r>
            <w:r w:rsidRPr="00EC6554">
              <w:rPr>
                <w:sz w:val="20"/>
                <w:szCs w:val="20"/>
                <w:vertAlign w:val="superscript"/>
                <w:lang w:val="en-GB"/>
              </w:rPr>
              <w:t>d</w:t>
            </w:r>
          </w:p>
        </w:tc>
        <w:tc>
          <w:tcPr>
            <w:tcW w:w="0" w:type="auto"/>
            <w:tcBorders>
              <w:top w:val="nil"/>
              <w:left w:val="nil"/>
              <w:bottom w:val="single" w:sz="4" w:space="0" w:color="auto"/>
              <w:right w:val="nil"/>
            </w:tcBorders>
            <w:vAlign w:val="center"/>
          </w:tcPr>
          <w:p w:rsidR="00EC6554" w:rsidRPr="00EC6554" w:rsidRDefault="00EC6554" w:rsidP="0001242B">
            <w:pPr>
              <w:spacing w:before="60" w:after="60" w:line="240" w:lineRule="auto"/>
              <w:jc w:val="center"/>
              <w:outlineLvl w:val="0"/>
              <w:rPr>
                <w:sz w:val="20"/>
                <w:szCs w:val="20"/>
                <w:lang w:val="en-GB"/>
              </w:rPr>
            </w:pPr>
            <w:r w:rsidRPr="00EC6554">
              <w:rPr>
                <w:sz w:val="20"/>
                <w:szCs w:val="20"/>
                <w:lang w:val="en-GB"/>
              </w:rPr>
              <w:t>0.2588 ± 0.0049</w:t>
            </w:r>
            <w:r w:rsidRPr="00EC6554">
              <w:rPr>
                <w:sz w:val="20"/>
                <w:szCs w:val="20"/>
                <w:vertAlign w:val="superscript"/>
                <w:lang w:val="en-GB"/>
              </w:rPr>
              <w:t>c</w:t>
            </w:r>
          </w:p>
        </w:tc>
        <w:tc>
          <w:tcPr>
            <w:tcW w:w="0" w:type="auto"/>
            <w:tcBorders>
              <w:top w:val="nil"/>
              <w:left w:val="nil"/>
              <w:bottom w:val="single" w:sz="4" w:space="0" w:color="auto"/>
              <w:right w:val="nil"/>
            </w:tcBorders>
          </w:tcPr>
          <w:p w:rsidR="00EC6554" w:rsidRPr="00EC6554" w:rsidRDefault="00EC6554" w:rsidP="0001242B">
            <w:pPr>
              <w:spacing w:before="60" w:after="60" w:line="240" w:lineRule="auto"/>
              <w:jc w:val="center"/>
              <w:outlineLvl w:val="0"/>
              <w:rPr>
                <w:sz w:val="20"/>
                <w:szCs w:val="20"/>
                <w:lang w:val="en-GB"/>
              </w:rPr>
            </w:pPr>
            <w:r w:rsidRPr="00EC6554">
              <w:rPr>
                <w:sz w:val="20"/>
                <w:szCs w:val="20"/>
                <w:lang w:val="en-GB"/>
              </w:rPr>
              <w:t>314.86 ± 6.41</w:t>
            </w:r>
            <w:r w:rsidRPr="00EC6554">
              <w:rPr>
                <w:sz w:val="20"/>
                <w:szCs w:val="20"/>
                <w:vertAlign w:val="superscript"/>
                <w:lang w:val="en-GB"/>
              </w:rPr>
              <w:t>c</w:t>
            </w:r>
          </w:p>
        </w:tc>
      </w:tr>
    </w:tbl>
    <w:p w:rsidR="00EC6554" w:rsidRDefault="00EC6554" w:rsidP="00807E3E">
      <w:pPr>
        <w:spacing w:before="60" w:after="0" w:line="240" w:lineRule="auto"/>
        <w:ind w:left="990" w:right="961"/>
        <w:outlineLvl w:val="0"/>
        <w:rPr>
          <w:rFonts w:ascii="Times New Roman" w:hAnsi="Times New Roman"/>
          <w:sz w:val="18"/>
          <w:szCs w:val="18"/>
        </w:rPr>
      </w:pPr>
      <w:r w:rsidRPr="0001242B">
        <w:rPr>
          <w:rFonts w:ascii="Times New Roman" w:hAnsi="Times New Roman"/>
          <w:sz w:val="18"/>
          <w:szCs w:val="18"/>
        </w:rPr>
        <w:t>All data are the mean of triplicate measurements ± standard deviation values. a, b, c, means with different letter(s) in the same column differed significantly (p &lt;0.05)</w:t>
      </w:r>
      <w:r w:rsidR="0001242B">
        <w:rPr>
          <w:rFonts w:ascii="Times New Roman" w:hAnsi="Times New Roman"/>
          <w:sz w:val="18"/>
          <w:szCs w:val="18"/>
        </w:rPr>
        <w:t>.</w:t>
      </w:r>
    </w:p>
    <w:p w:rsidR="0001242B" w:rsidRPr="0001242B" w:rsidRDefault="0001242B" w:rsidP="0001242B">
      <w:pPr>
        <w:spacing w:after="120" w:line="240" w:lineRule="auto"/>
        <w:outlineLvl w:val="0"/>
        <w:rPr>
          <w:rFonts w:ascii="Times New Roman" w:hAnsi="Times New Roman"/>
          <w:sz w:val="20"/>
          <w:szCs w:val="20"/>
        </w:rPr>
      </w:pPr>
    </w:p>
    <w:p w:rsidR="0001242B" w:rsidRPr="0001242B" w:rsidRDefault="0001242B" w:rsidP="0001242B">
      <w:pPr>
        <w:pStyle w:val="ListParagraph"/>
        <w:spacing w:after="0" w:line="240" w:lineRule="auto"/>
        <w:ind w:left="0"/>
        <w:contextualSpacing w:val="0"/>
        <w:jc w:val="both"/>
        <w:outlineLvl w:val="0"/>
        <w:rPr>
          <w:rFonts w:ascii="Times New Roman" w:hAnsi="Times New Roman"/>
          <w:b/>
          <w:sz w:val="20"/>
          <w:szCs w:val="20"/>
        </w:rPr>
      </w:pPr>
      <w:r w:rsidRPr="0001242B">
        <w:rPr>
          <w:rFonts w:ascii="Times New Roman" w:hAnsi="Times New Roman"/>
          <w:b/>
          <w:sz w:val="20"/>
          <w:szCs w:val="20"/>
        </w:rPr>
        <w:t xml:space="preserve">Total monomeric anthocyanin content </w:t>
      </w:r>
    </w:p>
    <w:p w:rsidR="0001242B" w:rsidRPr="0001242B" w:rsidRDefault="0001242B" w:rsidP="0001242B">
      <w:pPr>
        <w:pStyle w:val="ListParagraph"/>
        <w:spacing w:after="0" w:line="240" w:lineRule="auto"/>
        <w:ind w:left="0"/>
        <w:contextualSpacing w:val="0"/>
        <w:jc w:val="both"/>
        <w:outlineLvl w:val="0"/>
        <w:rPr>
          <w:rFonts w:ascii="Times New Roman" w:hAnsi="Times New Roman"/>
          <w:sz w:val="20"/>
          <w:szCs w:val="20"/>
          <w:lang w:val="en-GB"/>
        </w:rPr>
      </w:pPr>
      <w:r w:rsidRPr="0001242B">
        <w:rPr>
          <w:rFonts w:ascii="Times New Roman" w:hAnsi="Times New Roman"/>
          <w:sz w:val="20"/>
          <w:szCs w:val="20"/>
          <w:lang w:val="en-GB"/>
        </w:rPr>
        <w:t xml:space="preserve">Total </w:t>
      </w:r>
      <w:r w:rsidR="004A03E3">
        <w:rPr>
          <w:rFonts w:ascii="Times New Roman" w:hAnsi="Times New Roman"/>
          <w:sz w:val="20"/>
          <w:szCs w:val="20"/>
          <w:lang w:val="en-GB"/>
        </w:rPr>
        <w:t xml:space="preserve"> </w:t>
      </w:r>
      <w:r w:rsidRPr="0001242B">
        <w:rPr>
          <w:rFonts w:ascii="Times New Roman" w:hAnsi="Times New Roman"/>
          <w:sz w:val="20"/>
          <w:szCs w:val="20"/>
          <w:lang w:val="en-GB"/>
        </w:rPr>
        <w:t xml:space="preserve">monomeric </w:t>
      </w:r>
      <w:r w:rsidR="004A03E3">
        <w:rPr>
          <w:rFonts w:ascii="Times New Roman" w:hAnsi="Times New Roman"/>
          <w:sz w:val="20"/>
          <w:szCs w:val="20"/>
          <w:lang w:val="en-GB"/>
        </w:rPr>
        <w:t xml:space="preserve"> </w:t>
      </w:r>
      <w:r w:rsidRPr="0001242B">
        <w:rPr>
          <w:rFonts w:ascii="Times New Roman" w:hAnsi="Times New Roman"/>
          <w:sz w:val="20"/>
          <w:szCs w:val="20"/>
          <w:lang w:val="en-GB"/>
        </w:rPr>
        <w:t xml:space="preserve">anthocyanin (TMA) </w:t>
      </w:r>
      <w:r w:rsidR="004A03E3">
        <w:rPr>
          <w:rFonts w:ascii="Times New Roman" w:hAnsi="Times New Roman"/>
          <w:sz w:val="20"/>
          <w:szCs w:val="20"/>
          <w:lang w:val="en-GB"/>
        </w:rPr>
        <w:t xml:space="preserve"> </w:t>
      </w:r>
      <w:r w:rsidRPr="0001242B">
        <w:rPr>
          <w:rFonts w:ascii="Times New Roman" w:hAnsi="Times New Roman"/>
          <w:sz w:val="20"/>
          <w:szCs w:val="20"/>
          <w:lang w:val="en-GB"/>
        </w:rPr>
        <w:t xml:space="preserve">of </w:t>
      </w:r>
      <w:r w:rsidR="004A03E3">
        <w:rPr>
          <w:rFonts w:ascii="Times New Roman" w:hAnsi="Times New Roman"/>
          <w:sz w:val="20"/>
          <w:szCs w:val="20"/>
          <w:lang w:val="en-GB"/>
        </w:rPr>
        <w:t xml:space="preserve"> </w:t>
      </w:r>
      <w:r w:rsidRPr="0001242B">
        <w:rPr>
          <w:rFonts w:ascii="Times New Roman" w:hAnsi="Times New Roman"/>
          <w:sz w:val="20"/>
          <w:szCs w:val="20"/>
          <w:lang w:val="en-GB"/>
        </w:rPr>
        <w:t xml:space="preserve">encapsulated </w:t>
      </w:r>
      <w:r w:rsidR="004A03E3">
        <w:rPr>
          <w:rFonts w:ascii="Times New Roman" w:hAnsi="Times New Roman"/>
          <w:sz w:val="20"/>
          <w:szCs w:val="20"/>
          <w:lang w:val="en-GB"/>
        </w:rPr>
        <w:t xml:space="preserve"> </w:t>
      </w:r>
      <w:r w:rsidRPr="0001242B">
        <w:rPr>
          <w:rFonts w:ascii="Times New Roman" w:hAnsi="Times New Roman"/>
          <w:sz w:val="20"/>
          <w:szCs w:val="20"/>
          <w:lang w:val="en-GB"/>
        </w:rPr>
        <w:t xml:space="preserve">PSPE has been measured and the results are shown in Table 2. TMA of PSPE range between 263.53 ± 7.66 to 419.28 ± 10.89 mg/L. PSPA with 20% concentration give the highest TMA at both microwave drying power 330 W and 550 W, with 385.93±10.81 mg/L and 419.28 ±10.89 mg/L, respectively. The addition of MD at 20%, 25% and 30% and different microwave power (550 W and 330W) was not significantly affect the TMA content of microwave-assisted encapsulated PSPE. However, a significant (p &lt;0.05) anthocyanin reduce can be seen between 20% and 30% of maltodextrin addition. A larger range of maltodextrin concentration and different drying time can be studied to see the significant changes of TMA. An optimum drying parameter and formulation of the encapsulation process could be achieved. In this study, time factor could be included because short drying time may cause insufficient drying and longer drying time may degrade the anthocyanin content in the capsule </w:t>
      </w:r>
      <w:r w:rsidRPr="0001242B">
        <w:rPr>
          <w:rFonts w:ascii="Times New Roman" w:hAnsi="Times New Roman"/>
          <w:noProof/>
          <w:sz w:val="20"/>
          <w:szCs w:val="20"/>
          <w:lang w:val="en-GB"/>
        </w:rPr>
        <w:t>[5]</w:t>
      </w:r>
      <w:r w:rsidRPr="0001242B">
        <w:rPr>
          <w:rFonts w:ascii="Times New Roman" w:hAnsi="Times New Roman"/>
          <w:sz w:val="20"/>
          <w:szCs w:val="20"/>
          <w:lang w:val="en-GB"/>
        </w:rPr>
        <w:t>.</w:t>
      </w:r>
    </w:p>
    <w:p w:rsidR="0001242B" w:rsidRPr="0001242B" w:rsidRDefault="0001242B" w:rsidP="0001242B">
      <w:pPr>
        <w:spacing w:after="0" w:line="240" w:lineRule="auto"/>
        <w:ind w:firstLine="360"/>
        <w:jc w:val="both"/>
        <w:outlineLvl w:val="0"/>
        <w:rPr>
          <w:rFonts w:ascii="Times New Roman" w:hAnsi="Times New Roman"/>
          <w:sz w:val="20"/>
          <w:szCs w:val="20"/>
          <w:lang w:val="en-GB"/>
        </w:rPr>
      </w:pPr>
    </w:p>
    <w:p w:rsidR="0001242B" w:rsidRPr="0001242B" w:rsidRDefault="0001242B" w:rsidP="0001242B">
      <w:pPr>
        <w:pStyle w:val="ListParagraph"/>
        <w:spacing w:after="0" w:line="240" w:lineRule="auto"/>
        <w:ind w:left="0"/>
        <w:contextualSpacing w:val="0"/>
        <w:jc w:val="both"/>
        <w:outlineLvl w:val="0"/>
        <w:rPr>
          <w:rFonts w:ascii="Times New Roman" w:hAnsi="Times New Roman"/>
          <w:b/>
          <w:sz w:val="20"/>
          <w:szCs w:val="20"/>
        </w:rPr>
      </w:pPr>
      <w:r w:rsidRPr="0001242B">
        <w:rPr>
          <w:rFonts w:ascii="Times New Roman" w:hAnsi="Times New Roman"/>
          <w:b/>
          <w:sz w:val="20"/>
          <w:szCs w:val="20"/>
        </w:rPr>
        <w:t>Colour</w:t>
      </w:r>
    </w:p>
    <w:p w:rsidR="0001242B" w:rsidRPr="0001242B" w:rsidRDefault="0001242B" w:rsidP="0001242B">
      <w:pPr>
        <w:spacing w:after="0" w:line="240" w:lineRule="auto"/>
        <w:jc w:val="both"/>
        <w:outlineLvl w:val="0"/>
        <w:rPr>
          <w:rFonts w:ascii="Times New Roman" w:hAnsi="Times New Roman"/>
          <w:sz w:val="20"/>
          <w:szCs w:val="20"/>
          <w:lang w:val="en-GB"/>
        </w:rPr>
      </w:pPr>
      <w:r w:rsidRPr="0001242B">
        <w:rPr>
          <w:rFonts w:ascii="Times New Roman" w:hAnsi="Times New Roman"/>
          <w:sz w:val="20"/>
          <w:szCs w:val="20"/>
          <w:lang w:val="en-GB"/>
        </w:rPr>
        <w:t xml:space="preserve">The colour (L*, a*, and b* values) values of the microwave-assisted encapsulated PSPA were measured with a Minolta CR-400 Colorimeter, Japan and the results were expressed in accordance with the CIE Lab. The L* value, is a measure of lightness which ranges between 0 and 100. Addition of wall material might cause the increases of L* values </w:t>
      </w:r>
      <w:r w:rsidRPr="0001242B">
        <w:rPr>
          <w:rFonts w:ascii="Times New Roman" w:hAnsi="Times New Roman"/>
          <w:noProof/>
          <w:sz w:val="20"/>
          <w:szCs w:val="20"/>
          <w:lang w:val="en-GB"/>
        </w:rPr>
        <w:t>[9]</w:t>
      </w:r>
      <w:r w:rsidRPr="0001242B">
        <w:rPr>
          <w:rFonts w:ascii="Times New Roman" w:hAnsi="Times New Roman"/>
          <w:sz w:val="20"/>
          <w:szCs w:val="20"/>
          <w:lang w:val="en-GB"/>
        </w:rPr>
        <w:t xml:space="preserve">. </w:t>
      </w: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r w:rsidRPr="0001242B">
        <w:rPr>
          <w:rFonts w:ascii="Times New Roman" w:hAnsi="Times New Roman"/>
          <w:sz w:val="20"/>
          <w:szCs w:val="20"/>
          <w:lang w:val="en-GB"/>
        </w:rPr>
        <w:t xml:space="preserve">Table 3 shows a significance difference in L* values between control and encapsulated PSPA extract. L* value of encapsulated PSPE was increased due to the presence of maltodextrin, since the maltodextrin initially has white colour (L* = 98.18 </w:t>
      </w:r>
      <w:r w:rsidRPr="0001242B">
        <w:rPr>
          <w:rFonts w:ascii="Times New Roman" w:hAnsi="Times New Roman"/>
          <w:sz w:val="20"/>
          <w:szCs w:val="20"/>
        </w:rPr>
        <w:t xml:space="preserve">± 0.15). </w:t>
      </w:r>
      <w:r w:rsidRPr="0001242B">
        <w:rPr>
          <w:rFonts w:ascii="Times New Roman" w:hAnsi="Times New Roman"/>
          <w:sz w:val="20"/>
          <w:szCs w:val="20"/>
          <w:lang w:val="en-GB"/>
        </w:rPr>
        <w:t>Furthermore, a significant difference of L* values was found with the increasing of maltodextrin content. This is supported by Ahmed et al. [1] where the increasing of maltodextrin concentration causing the L* value of spray dried purple sweet potato flour increased.</w:t>
      </w: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r w:rsidRPr="0001242B">
        <w:rPr>
          <w:rFonts w:ascii="Times New Roman" w:hAnsi="Times New Roman"/>
          <w:sz w:val="20"/>
          <w:szCs w:val="20"/>
          <w:lang w:val="en-GB"/>
        </w:rPr>
        <w:t xml:space="preserve">The redness (+a*) of encapsulated PSPE were significantly reduced with the increased of maltodextrin concentration while the blueness (-b*) is not significantly affected. Microwave power was not significantly affect the value for both redness (+a*) and blueness (-b*). </w:t>
      </w: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Default="0001242B" w:rsidP="0001242B">
      <w:pPr>
        <w:spacing w:after="0" w:line="240" w:lineRule="auto"/>
        <w:jc w:val="both"/>
        <w:outlineLvl w:val="0"/>
        <w:rPr>
          <w:rFonts w:ascii="Times New Roman" w:hAnsi="Times New Roman"/>
          <w:sz w:val="20"/>
          <w:szCs w:val="20"/>
          <w:lang w:val="en-GB"/>
        </w:rPr>
      </w:pPr>
    </w:p>
    <w:p w:rsidR="00DD7DEC" w:rsidRPr="0001242B" w:rsidRDefault="00DD7DEC"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p>
    <w:p w:rsidR="0001242B" w:rsidRPr="0001242B" w:rsidRDefault="0001242B" w:rsidP="0001242B">
      <w:pPr>
        <w:spacing w:after="0" w:line="240" w:lineRule="auto"/>
        <w:jc w:val="both"/>
        <w:outlineLvl w:val="0"/>
        <w:rPr>
          <w:rFonts w:ascii="Times New Roman" w:hAnsi="Times New Roman"/>
          <w:sz w:val="20"/>
          <w:szCs w:val="20"/>
          <w:lang w:val="en-GB"/>
        </w:rPr>
      </w:pPr>
    </w:p>
    <w:p w:rsidR="00807E3E" w:rsidRDefault="0001242B" w:rsidP="00807E3E">
      <w:pPr>
        <w:spacing w:after="0" w:line="240" w:lineRule="auto"/>
        <w:ind w:left="851" w:hanging="851"/>
        <w:jc w:val="center"/>
        <w:outlineLvl w:val="0"/>
        <w:rPr>
          <w:rFonts w:ascii="Times New Roman" w:hAnsi="Times New Roman"/>
          <w:sz w:val="20"/>
          <w:szCs w:val="20"/>
          <w:lang w:val="en-GB"/>
        </w:rPr>
      </w:pPr>
      <w:r w:rsidRPr="0001242B">
        <w:rPr>
          <w:rFonts w:ascii="Times New Roman" w:hAnsi="Times New Roman"/>
          <w:sz w:val="20"/>
          <w:szCs w:val="20"/>
          <w:lang w:val="en-GB"/>
        </w:rPr>
        <w:lastRenderedPageBreak/>
        <w:t xml:space="preserve">Table 3.  Colometric results of encapsulated PSPE at different maltodextrin concentrations </w:t>
      </w:r>
    </w:p>
    <w:p w:rsidR="0001242B" w:rsidRPr="0001242B" w:rsidRDefault="0001242B" w:rsidP="00807E3E">
      <w:pPr>
        <w:spacing w:after="120" w:line="240" w:lineRule="auto"/>
        <w:ind w:left="850" w:hanging="850"/>
        <w:jc w:val="center"/>
        <w:outlineLvl w:val="0"/>
        <w:rPr>
          <w:rFonts w:ascii="Times New Roman" w:hAnsi="Times New Roman"/>
          <w:sz w:val="20"/>
          <w:szCs w:val="20"/>
          <w:lang w:val="en-GB"/>
        </w:rPr>
      </w:pPr>
      <w:r w:rsidRPr="0001242B">
        <w:rPr>
          <w:rFonts w:ascii="Times New Roman" w:hAnsi="Times New Roman"/>
          <w:sz w:val="20"/>
          <w:szCs w:val="20"/>
          <w:lang w:val="en-GB"/>
        </w:rPr>
        <w:t>and microwave power levels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1087"/>
        <w:gridCol w:w="1518"/>
        <w:gridCol w:w="1711"/>
        <w:gridCol w:w="1729"/>
      </w:tblGrid>
      <w:tr w:rsidR="00807E3E" w:rsidRPr="0001242B" w:rsidTr="00785D52">
        <w:trPr>
          <w:trHeight w:val="278"/>
          <w:jc w:val="center"/>
        </w:trPr>
        <w:tc>
          <w:tcPr>
            <w:tcW w:w="1986" w:type="dxa"/>
            <w:tcBorders>
              <w:top w:val="single" w:sz="4" w:space="0" w:color="auto"/>
              <w:bottom w:val="single" w:sz="4" w:space="0" w:color="auto"/>
            </w:tcBorders>
            <w:hideMark/>
          </w:tcPr>
          <w:p w:rsidR="0001242B" w:rsidRPr="0001242B" w:rsidRDefault="0001242B" w:rsidP="00807E3E">
            <w:pPr>
              <w:spacing w:before="60" w:after="0" w:line="240" w:lineRule="auto"/>
              <w:jc w:val="both"/>
              <w:outlineLvl w:val="0"/>
              <w:rPr>
                <w:b/>
                <w:sz w:val="20"/>
                <w:szCs w:val="20"/>
              </w:rPr>
            </w:pPr>
            <w:r w:rsidRPr="0001242B">
              <w:rPr>
                <w:b/>
                <w:sz w:val="20"/>
                <w:szCs w:val="20"/>
              </w:rPr>
              <w:t xml:space="preserve">Microwave Power </w:t>
            </w:r>
          </w:p>
          <w:p w:rsidR="0001242B" w:rsidRPr="0001242B" w:rsidRDefault="0001242B" w:rsidP="000B32F2">
            <w:pPr>
              <w:spacing w:after="0" w:line="240" w:lineRule="auto"/>
              <w:jc w:val="both"/>
              <w:outlineLvl w:val="0"/>
              <w:rPr>
                <w:b/>
                <w:sz w:val="20"/>
                <w:szCs w:val="20"/>
              </w:rPr>
            </w:pPr>
            <w:r w:rsidRPr="0001242B">
              <w:rPr>
                <w:b/>
                <w:sz w:val="20"/>
                <w:szCs w:val="20"/>
              </w:rPr>
              <w:t>(W)</w:t>
            </w:r>
          </w:p>
        </w:tc>
        <w:tc>
          <w:tcPr>
            <w:tcW w:w="1087" w:type="dxa"/>
            <w:tcBorders>
              <w:top w:val="single" w:sz="4" w:space="0" w:color="auto"/>
              <w:bottom w:val="single" w:sz="4" w:space="0" w:color="auto"/>
            </w:tcBorders>
            <w:hideMark/>
          </w:tcPr>
          <w:p w:rsidR="0001242B" w:rsidRPr="0001242B" w:rsidRDefault="0001242B" w:rsidP="00807E3E">
            <w:pPr>
              <w:spacing w:before="60" w:after="0" w:line="240" w:lineRule="auto"/>
              <w:jc w:val="center"/>
              <w:outlineLvl w:val="0"/>
              <w:rPr>
                <w:b/>
                <w:sz w:val="20"/>
                <w:szCs w:val="20"/>
              </w:rPr>
            </w:pPr>
            <w:r w:rsidRPr="0001242B">
              <w:rPr>
                <w:b/>
                <w:sz w:val="20"/>
                <w:szCs w:val="20"/>
              </w:rPr>
              <w:t>MD</w:t>
            </w:r>
          </w:p>
          <w:p w:rsidR="0001242B" w:rsidRPr="0001242B" w:rsidRDefault="0001242B" w:rsidP="00807E3E">
            <w:pPr>
              <w:spacing w:after="60" w:line="240" w:lineRule="auto"/>
              <w:jc w:val="center"/>
              <w:outlineLvl w:val="0"/>
              <w:rPr>
                <w:b/>
                <w:sz w:val="20"/>
                <w:szCs w:val="20"/>
              </w:rPr>
            </w:pPr>
            <w:r w:rsidRPr="0001242B">
              <w:rPr>
                <w:b/>
                <w:sz w:val="20"/>
                <w:szCs w:val="20"/>
              </w:rPr>
              <w:t>(%)</w:t>
            </w:r>
          </w:p>
        </w:tc>
        <w:tc>
          <w:tcPr>
            <w:tcW w:w="1518" w:type="dxa"/>
            <w:tcBorders>
              <w:top w:val="single" w:sz="4" w:space="0" w:color="auto"/>
              <w:bottom w:val="single" w:sz="4" w:space="0" w:color="auto"/>
            </w:tcBorders>
            <w:hideMark/>
          </w:tcPr>
          <w:p w:rsidR="0001242B" w:rsidRPr="0001242B" w:rsidRDefault="0001242B" w:rsidP="00807E3E">
            <w:pPr>
              <w:spacing w:before="60" w:after="0" w:line="240" w:lineRule="auto"/>
              <w:jc w:val="center"/>
              <w:outlineLvl w:val="0"/>
              <w:rPr>
                <w:b/>
                <w:sz w:val="20"/>
                <w:szCs w:val="20"/>
              </w:rPr>
            </w:pPr>
            <w:r w:rsidRPr="0001242B">
              <w:rPr>
                <w:b/>
                <w:sz w:val="20"/>
                <w:szCs w:val="20"/>
              </w:rPr>
              <w:t>L*</w:t>
            </w:r>
          </w:p>
        </w:tc>
        <w:tc>
          <w:tcPr>
            <w:tcW w:w="1711" w:type="dxa"/>
            <w:tcBorders>
              <w:top w:val="single" w:sz="4" w:space="0" w:color="auto"/>
              <w:bottom w:val="single" w:sz="4" w:space="0" w:color="auto"/>
            </w:tcBorders>
            <w:hideMark/>
          </w:tcPr>
          <w:p w:rsidR="0001242B" w:rsidRPr="0001242B" w:rsidRDefault="0001242B" w:rsidP="00807E3E">
            <w:pPr>
              <w:spacing w:before="60" w:after="0" w:line="240" w:lineRule="auto"/>
              <w:jc w:val="center"/>
              <w:outlineLvl w:val="0"/>
              <w:rPr>
                <w:b/>
                <w:sz w:val="20"/>
                <w:szCs w:val="20"/>
              </w:rPr>
            </w:pPr>
            <w:r w:rsidRPr="0001242B">
              <w:rPr>
                <w:b/>
                <w:sz w:val="20"/>
                <w:szCs w:val="20"/>
              </w:rPr>
              <w:t>a*</w:t>
            </w:r>
          </w:p>
        </w:tc>
        <w:tc>
          <w:tcPr>
            <w:tcW w:w="1729" w:type="dxa"/>
            <w:tcBorders>
              <w:top w:val="single" w:sz="4" w:space="0" w:color="auto"/>
              <w:bottom w:val="single" w:sz="4" w:space="0" w:color="auto"/>
            </w:tcBorders>
            <w:hideMark/>
          </w:tcPr>
          <w:p w:rsidR="0001242B" w:rsidRPr="0001242B" w:rsidRDefault="0001242B" w:rsidP="00807E3E">
            <w:pPr>
              <w:spacing w:before="60" w:after="0" w:line="240" w:lineRule="auto"/>
              <w:jc w:val="center"/>
              <w:outlineLvl w:val="0"/>
              <w:rPr>
                <w:b/>
                <w:sz w:val="20"/>
                <w:szCs w:val="20"/>
              </w:rPr>
            </w:pPr>
            <w:r w:rsidRPr="0001242B">
              <w:rPr>
                <w:b/>
                <w:sz w:val="20"/>
                <w:szCs w:val="20"/>
              </w:rPr>
              <w:t>b*</w:t>
            </w:r>
          </w:p>
        </w:tc>
      </w:tr>
      <w:tr w:rsidR="00785D52" w:rsidRPr="0001242B" w:rsidTr="00785D52">
        <w:trPr>
          <w:trHeight w:val="65"/>
          <w:jc w:val="center"/>
        </w:trPr>
        <w:tc>
          <w:tcPr>
            <w:tcW w:w="1986" w:type="dxa"/>
            <w:tcBorders>
              <w:top w:val="nil"/>
            </w:tcBorders>
          </w:tcPr>
          <w:p w:rsidR="00785D52" w:rsidRPr="0001242B" w:rsidRDefault="00785D52" w:rsidP="00785D52">
            <w:pPr>
              <w:spacing w:before="60" w:after="0" w:line="240" w:lineRule="auto"/>
              <w:jc w:val="both"/>
              <w:outlineLvl w:val="0"/>
              <w:rPr>
                <w:sz w:val="20"/>
                <w:szCs w:val="20"/>
              </w:rPr>
            </w:pPr>
            <w:r w:rsidRPr="0001242B">
              <w:rPr>
                <w:sz w:val="20"/>
                <w:szCs w:val="20"/>
              </w:rPr>
              <w:t xml:space="preserve">Non-encapsulated </w:t>
            </w:r>
          </w:p>
          <w:p w:rsidR="00785D52" w:rsidRPr="0001242B" w:rsidRDefault="00785D52" w:rsidP="00785D52">
            <w:pPr>
              <w:spacing w:after="0" w:line="240" w:lineRule="auto"/>
              <w:jc w:val="both"/>
              <w:outlineLvl w:val="0"/>
              <w:rPr>
                <w:sz w:val="20"/>
                <w:szCs w:val="20"/>
              </w:rPr>
            </w:pPr>
            <w:r w:rsidRPr="0001242B">
              <w:rPr>
                <w:sz w:val="20"/>
                <w:szCs w:val="20"/>
              </w:rPr>
              <w:t>(control)</w:t>
            </w:r>
          </w:p>
        </w:tc>
        <w:tc>
          <w:tcPr>
            <w:tcW w:w="1087" w:type="dxa"/>
            <w:tcBorders>
              <w:top w:val="nil"/>
            </w:tcBorders>
          </w:tcPr>
          <w:p w:rsidR="00785D52" w:rsidRPr="0001242B" w:rsidRDefault="00785D52" w:rsidP="00785D52">
            <w:pPr>
              <w:spacing w:before="60" w:after="0" w:line="240" w:lineRule="auto"/>
              <w:jc w:val="center"/>
              <w:outlineLvl w:val="0"/>
              <w:rPr>
                <w:sz w:val="20"/>
                <w:szCs w:val="20"/>
              </w:rPr>
            </w:pPr>
          </w:p>
        </w:tc>
        <w:tc>
          <w:tcPr>
            <w:tcW w:w="1518" w:type="dxa"/>
            <w:tcBorders>
              <w:top w:val="nil"/>
            </w:tcBorders>
          </w:tcPr>
          <w:p w:rsidR="00785D52" w:rsidRPr="0001242B" w:rsidRDefault="00785D52" w:rsidP="00785D52">
            <w:pPr>
              <w:spacing w:before="60" w:after="0" w:line="240" w:lineRule="auto"/>
              <w:jc w:val="center"/>
              <w:outlineLvl w:val="0"/>
              <w:rPr>
                <w:sz w:val="20"/>
                <w:szCs w:val="20"/>
              </w:rPr>
            </w:pPr>
            <w:r>
              <w:rPr>
                <w:sz w:val="20"/>
                <w:szCs w:val="20"/>
              </w:rPr>
              <w:t xml:space="preserve">20.1 </w:t>
            </w:r>
            <w:r w:rsidRPr="0001242B">
              <w:rPr>
                <w:sz w:val="20"/>
                <w:szCs w:val="20"/>
              </w:rPr>
              <w:t>±</w:t>
            </w:r>
            <w:r>
              <w:rPr>
                <w:sz w:val="20"/>
                <w:szCs w:val="20"/>
              </w:rPr>
              <w:t xml:space="preserve"> 0.35</w:t>
            </w:r>
          </w:p>
        </w:tc>
        <w:tc>
          <w:tcPr>
            <w:tcW w:w="1711" w:type="dxa"/>
            <w:tcBorders>
              <w:top w:val="nil"/>
            </w:tcBorders>
          </w:tcPr>
          <w:p w:rsidR="00785D52" w:rsidRPr="0001242B" w:rsidRDefault="00785D52" w:rsidP="00785D52">
            <w:pPr>
              <w:spacing w:before="60" w:after="0" w:line="240" w:lineRule="auto"/>
              <w:jc w:val="center"/>
              <w:outlineLvl w:val="0"/>
              <w:rPr>
                <w:sz w:val="20"/>
                <w:szCs w:val="20"/>
              </w:rPr>
            </w:pPr>
            <w:r w:rsidRPr="0001242B">
              <w:rPr>
                <w:sz w:val="20"/>
                <w:szCs w:val="20"/>
              </w:rPr>
              <w:t>26.5 ± 1.2</w:t>
            </w:r>
          </w:p>
        </w:tc>
        <w:tc>
          <w:tcPr>
            <w:tcW w:w="1729" w:type="dxa"/>
            <w:tcBorders>
              <w:top w:val="nil"/>
            </w:tcBorders>
          </w:tcPr>
          <w:p w:rsidR="00785D52" w:rsidRPr="0001242B" w:rsidRDefault="00785D52" w:rsidP="00785D52">
            <w:pPr>
              <w:spacing w:before="60" w:after="0" w:line="240" w:lineRule="auto"/>
              <w:jc w:val="center"/>
              <w:outlineLvl w:val="0"/>
              <w:rPr>
                <w:sz w:val="20"/>
                <w:szCs w:val="20"/>
              </w:rPr>
            </w:pPr>
            <w:r w:rsidRPr="0001242B">
              <w:rPr>
                <w:sz w:val="20"/>
                <w:szCs w:val="20"/>
              </w:rPr>
              <w:t>-3.55 ± 0.05</w:t>
            </w:r>
          </w:p>
        </w:tc>
      </w:tr>
      <w:tr w:rsidR="00807E3E" w:rsidRPr="0001242B" w:rsidTr="00785D52">
        <w:trPr>
          <w:trHeight w:val="65"/>
          <w:jc w:val="center"/>
        </w:trPr>
        <w:tc>
          <w:tcPr>
            <w:tcW w:w="1986" w:type="dxa"/>
            <w:vMerge w:val="restart"/>
            <w:tcBorders>
              <w:top w:val="nil"/>
            </w:tcBorders>
            <w:hideMark/>
          </w:tcPr>
          <w:p w:rsidR="0001242B" w:rsidRPr="0001242B" w:rsidRDefault="0001242B" w:rsidP="00785D52">
            <w:pPr>
              <w:spacing w:before="120" w:after="0" w:line="240" w:lineRule="auto"/>
              <w:jc w:val="both"/>
              <w:outlineLvl w:val="0"/>
              <w:rPr>
                <w:sz w:val="20"/>
                <w:szCs w:val="20"/>
              </w:rPr>
            </w:pPr>
            <w:r w:rsidRPr="0001242B">
              <w:rPr>
                <w:sz w:val="20"/>
                <w:szCs w:val="20"/>
              </w:rPr>
              <w:t>550</w:t>
            </w:r>
          </w:p>
        </w:tc>
        <w:tc>
          <w:tcPr>
            <w:tcW w:w="1087" w:type="dxa"/>
            <w:tcBorders>
              <w:top w:val="nil"/>
            </w:tcBorders>
            <w:hideMark/>
          </w:tcPr>
          <w:p w:rsidR="0001242B" w:rsidRPr="0001242B" w:rsidRDefault="0001242B" w:rsidP="00785D52">
            <w:pPr>
              <w:spacing w:before="120" w:after="0" w:line="240" w:lineRule="auto"/>
              <w:jc w:val="center"/>
              <w:outlineLvl w:val="0"/>
              <w:rPr>
                <w:sz w:val="20"/>
                <w:szCs w:val="20"/>
              </w:rPr>
            </w:pPr>
            <w:r w:rsidRPr="0001242B">
              <w:rPr>
                <w:sz w:val="20"/>
                <w:szCs w:val="20"/>
              </w:rPr>
              <w:t>20</w:t>
            </w:r>
          </w:p>
        </w:tc>
        <w:tc>
          <w:tcPr>
            <w:tcW w:w="1518" w:type="dxa"/>
            <w:tcBorders>
              <w:top w:val="nil"/>
            </w:tcBorders>
            <w:hideMark/>
          </w:tcPr>
          <w:p w:rsidR="0001242B" w:rsidRPr="0001242B" w:rsidRDefault="0001242B" w:rsidP="00785D52">
            <w:pPr>
              <w:spacing w:before="120" w:after="0" w:line="240" w:lineRule="auto"/>
              <w:jc w:val="center"/>
              <w:outlineLvl w:val="0"/>
              <w:rPr>
                <w:sz w:val="20"/>
                <w:szCs w:val="20"/>
              </w:rPr>
            </w:pPr>
            <w:r w:rsidRPr="0001242B">
              <w:rPr>
                <w:sz w:val="20"/>
                <w:szCs w:val="20"/>
              </w:rPr>
              <w:t>49.83 ± 0.21</w:t>
            </w:r>
            <w:r w:rsidRPr="0001242B">
              <w:rPr>
                <w:sz w:val="20"/>
                <w:szCs w:val="20"/>
                <w:vertAlign w:val="superscript"/>
              </w:rPr>
              <w:t>a</w:t>
            </w:r>
          </w:p>
        </w:tc>
        <w:tc>
          <w:tcPr>
            <w:tcW w:w="1711" w:type="dxa"/>
            <w:tcBorders>
              <w:top w:val="nil"/>
            </w:tcBorders>
            <w:hideMark/>
          </w:tcPr>
          <w:p w:rsidR="0001242B" w:rsidRPr="0001242B" w:rsidRDefault="0001242B" w:rsidP="00785D52">
            <w:pPr>
              <w:spacing w:before="120" w:after="0" w:line="240" w:lineRule="auto"/>
              <w:jc w:val="center"/>
              <w:outlineLvl w:val="0"/>
              <w:rPr>
                <w:sz w:val="20"/>
                <w:szCs w:val="20"/>
              </w:rPr>
            </w:pPr>
            <w:r w:rsidRPr="0001242B">
              <w:rPr>
                <w:sz w:val="20"/>
                <w:szCs w:val="20"/>
              </w:rPr>
              <w:t>35.30 ± 0.17</w:t>
            </w:r>
            <w:r w:rsidRPr="0001242B">
              <w:rPr>
                <w:sz w:val="20"/>
                <w:szCs w:val="20"/>
                <w:vertAlign w:val="superscript"/>
              </w:rPr>
              <w:t>a</w:t>
            </w:r>
          </w:p>
        </w:tc>
        <w:tc>
          <w:tcPr>
            <w:tcW w:w="1729" w:type="dxa"/>
            <w:tcBorders>
              <w:top w:val="nil"/>
            </w:tcBorders>
            <w:hideMark/>
          </w:tcPr>
          <w:p w:rsidR="0001242B" w:rsidRPr="0001242B" w:rsidRDefault="0001242B" w:rsidP="00785D52">
            <w:pPr>
              <w:spacing w:before="120" w:after="0" w:line="240" w:lineRule="auto"/>
              <w:jc w:val="center"/>
              <w:outlineLvl w:val="0"/>
              <w:rPr>
                <w:sz w:val="20"/>
                <w:szCs w:val="20"/>
              </w:rPr>
            </w:pPr>
            <w:r w:rsidRPr="0001242B">
              <w:rPr>
                <w:sz w:val="20"/>
                <w:szCs w:val="20"/>
              </w:rPr>
              <w:t>-10.6 ± 0.20</w:t>
            </w:r>
            <w:r w:rsidRPr="0001242B">
              <w:rPr>
                <w:sz w:val="20"/>
                <w:szCs w:val="20"/>
                <w:vertAlign w:val="superscript"/>
              </w:rPr>
              <w:t>a</w:t>
            </w:r>
          </w:p>
        </w:tc>
      </w:tr>
      <w:tr w:rsidR="00807E3E" w:rsidRPr="0001242B" w:rsidTr="00785D52">
        <w:trPr>
          <w:trHeight w:val="125"/>
          <w:jc w:val="center"/>
        </w:trPr>
        <w:tc>
          <w:tcPr>
            <w:tcW w:w="1986" w:type="dxa"/>
            <w:vMerge/>
            <w:hideMark/>
          </w:tcPr>
          <w:p w:rsidR="0001242B" w:rsidRPr="0001242B" w:rsidRDefault="0001242B" w:rsidP="000B32F2">
            <w:pPr>
              <w:spacing w:after="0" w:line="240" w:lineRule="auto"/>
              <w:jc w:val="both"/>
              <w:outlineLvl w:val="0"/>
              <w:rPr>
                <w:sz w:val="20"/>
                <w:szCs w:val="20"/>
              </w:rPr>
            </w:pPr>
          </w:p>
        </w:tc>
        <w:tc>
          <w:tcPr>
            <w:tcW w:w="1087" w:type="dxa"/>
            <w:hideMark/>
          </w:tcPr>
          <w:p w:rsidR="0001242B" w:rsidRPr="0001242B" w:rsidRDefault="0001242B" w:rsidP="00785D52">
            <w:pPr>
              <w:spacing w:before="60" w:after="0" w:line="240" w:lineRule="auto"/>
              <w:jc w:val="center"/>
              <w:outlineLvl w:val="0"/>
              <w:rPr>
                <w:sz w:val="20"/>
                <w:szCs w:val="20"/>
              </w:rPr>
            </w:pPr>
            <w:r w:rsidRPr="0001242B">
              <w:rPr>
                <w:sz w:val="20"/>
                <w:szCs w:val="20"/>
              </w:rPr>
              <w:t>25</w:t>
            </w:r>
          </w:p>
        </w:tc>
        <w:tc>
          <w:tcPr>
            <w:tcW w:w="1518" w:type="dxa"/>
            <w:hideMark/>
          </w:tcPr>
          <w:p w:rsidR="0001242B" w:rsidRPr="0001242B" w:rsidRDefault="0001242B" w:rsidP="00785D52">
            <w:pPr>
              <w:spacing w:before="60" w:after="0" w:line="240" w:lineRule="auto"/>
              <w:jc w:val="center"/>
              <w:outlineLvl w:val="0"/>
              <w:rPr>
                <w:sz w:val="20"/>
                <w:szCs w:val="20"/>
              </w:rPr>
            </w:pPr>
            <w:r w:rsidRPr="0001242B">
              <w:rPr>
                <w:sz w:val="20"/>
                <w:szCs w:val="20"/>
              </w:rPr>
              <w:t>52.7 ± .0.63</w:t>
            </w:r>
            <w:r w:rsidRPr="0001242B">
              <w:rPr>
                <w:sz w:val="20"/>
                <w:szCs w:val="20"/>
                <w:vertAlign w:val="superscript"/>
              </w:rPr>
              <w:t>b</w:t>
            </w:r>
          </w:p>
        </w:tc>
        <w:tc>
          <w:tcPr>
            <w:tcW w:w="1711" w:type="dxa"/>
            <w:hideMark/>
          </w:tcPr>
          <w:p w:rsidR="0001242B" w:rsidRPr="0001242B" w:rsidRDefault="0001242B" w:rsidP="00785D52">
            <w:pPr>
              <w:spacing w:before="60" w:after="0" w:line="240" w:lineRule="auto"/>
              <w:jc w:val="center"/>
              <w:outlineLvl w:val="0"/>
              <w:rPr>
                <w:sz w:val="20"/>
                <w:szCs w:val="20"/>
              </w:rPr>
            </w:pPr>
            <w:r w:rsidRPr="0001242B">
              <w:rPr>
                <w:sz w:val="20"/>
                <w:szCs w:val="20"/>
              </w:rPr>
              <w:t>33.47 ± 0.70</w:t>
            </w:r>
            <w:r w:rsidRPr="0001242B">
              <w:rPr>
                <w:sz w:val="20"/>
                <w:szCs w:val="20"/>
                <w:vertAlign w:val="superscript"/>
              </w:rPr>
              <w:t>b</w:t>
            </w:r>
          </w:p>
        </w:tc>
        <w:tc>
          <w:tcPr>
            <w:tcW w:w="1729" w:type="dxa"/>
            <w:hideMark/>
          </w:tcPr>
          <w:p w:rsidR="0001242B" w:rsidRPr="0001242B" w:rsidRDefault="0001242B" w:rsidP="00785D52">
            <w:pPr>
              <w:spacing w:before="60" w:after="0" w:line="240" w:lineRule="auto"/>
              <w:jc w:val="center"/>
              <w:outlineLvl w:val="0"/>
              <w:rPr>
                <w:sz w:val="20"/>
                <w:szCs w:val="20"/>
              </w:rPr>
            </w:pPr>
            <w:r w:rsidRPr="0001242B">
              <w:rPr>
                <w:sz w:val="20"/>
                <w:szCs w:val="20"/>
              </w:rPr>
              <w:t>-10.3 ± 0.21</w:t>
            </w:r>
            <w:r w:rsidRPr="0001242B">
              <w:rPr>
                <w:sz w:val="20"/>
                <w:szCs w:val="20"/>
                <w:vertAlign w:val="superscript"/>
              </w:rPr>
              <w:t>b</w:t>
            </w:r>
          </w:p>
        </w:tc>
      </w:tr>
      <w:tr w:rsidR="00807E3E" w:rsidRPr="0001242B" w:rsidTr="00785D52">
        <w:trPr>
          <w:trHeight w:val="53"/>
          <w:jc w:val="center"/>
        </w:trPr>
        <w:tc>
          <w:tcPr>
            <w:tcW w:w="1986" w:type="dxa"/>
            <w:vMerge/>
            <w:hideMark/>
          </w:tcPr>
          <w:p w:rsidR="0001242B" w:rsidRPr="0001242B" w:rsidRDefault="0001242B" w:rsidP="000B32F2">
            <w:pPr>
              <w:spacing w:after="0" w:line="240" w:lineRule="auto"/>
              <w:jc w:val="both"/>
              <w:outlineLvl w:val="0"/>
              <w:rPr>
                <w:sz w:val="20"/>
                <w:szCs w:val="20"/>
              </w:rPr>
            </w:pPr>
          </w:p>
        </w:tc>
        <w:tc>
          <w:tcPr>
            <w:tcW w:w="1087" w:type="dxa"/>
            <w:hideMark/>
          </w:tcPr>
          <w:p w:rsidR="0001242B" w:rsidRPr="0001242B" w:rsidRDefault="0001242B" w:rsidP="00785D52">
            <w:pPr>
              <w:spacing w:before="60" w:after="60" w:line="240" w:lineRule="auto"/>
              <w:jc w:val="center"/>
              <w:outlineLvl w:val="0"/>
              <w:rPr>
                <w:sz w:val="20"/>
                <w:szCs w:val="20"/>
              </w:rPr>
            </w:pPr>
            <w:r w:rsidRPr="0001242B">
              <w:rPr>
                <w:sz w:val="20"/>
                <w:szCs w:val="20"/>
              </w:rPr>
              <w:t>30</w:t>
            </w:r>
          </w:p>
        </w:tc>
        <w:tc>
          <w:tcPr>
            <w:tcW w:w="1518" w:type="dxa"/>
            <w:hideMark/>
          </w:tcPr>
          <w:p w:rsidR="0001242B" w:rsidRPr="0001242B" w:rsidRDefault="0001242B" w:rsidP="00785D52">
            <w:pPr>
              <w:spacing w:before="60" w:after="60" w:line="240" w:lineRule="auto"/>
              <w:jc w:val="center"/>
              <w:outlineLvl w:val="0"/>
              <w:rPr>
                <w:sz w:val="20"/>
                <w:szCs w:val="20"/>
              </w:rPr>
            </w:pPr>
            <w:r w:rsidRPr="0001242B">
              <w:rPr>
                <w:sz w:val="20"/>
                <w:szCs w:val="20"/>
              </w:rPr>
              <w:t>54.63 ± 0.67</w:t>
            </w:r>
            <w:r w:rsidRPr="0001242B">
              <w:rPr>
                <w:sz w:val="20"/>
                <w:szCs w:val="20"/>
                <w:vertAlign w:val="superscript"/>
              </w:rPr>
              <w:t>c</w:t>
            </w:r>
          </w:p>
        </w:tc>
        <w:tc>
          <w:tcPr>
            <w:tcW w:w="1711" w:type="dxa"/>
            <w:hideMark/>
          </w:tcPr>
          <w:p w:rsidR="0001242B" w:rsidRPr="0001242B" w:rsidRDefault="0001242B" w:rsidP="00785D52">
            <w:pPr>
              <w:spacing w:before="60" w:after="60" w:line="240" w:lineRule="auto"/>
              <w:jc w:val="center"/>
              <w:outlineLvl w:val="0"/>
              <w:rPr>
                <w:sz w:val="20"/>
                <w:szCs w:val="20"/>
              </w:rPr>
            </w:pPr>
            <w:r w:rsidRPr="0001242B">
              <w:rPr>
                <w:sz w:val="20"/>
                <w:szCs w:val="20"/>
              </w:rPr>
              <w:t>32.37 ± 0.75</w:t>
            </w:r>
            <w:r w:rsidRPr="0001242B">
              <w:rPr>
                <w:sz w:val="20"/>
                <w:szCs w:val="20"/>
                <w:vertAlign w:val="superscript"/>
              </w:rPr>
              <w:t>c</w:t>
            </w:r>
          </w:p>
        </w:tc>
        <w:tc>
          <w:tcPr>
            <w:tcW w:w="1729" w:type="dxa"/>
            <w:hideMark/>
          </w:tcPr>
          <w:p w:rsidR="0001242B" w:rsidRPr="0001242B" w:rsidRDefault="0001242B" w:rsidP="00785D52">
            <w:pPr>
              <w:spacing w:before="60" w:after="60" w:line="240" w:lineRule="auto"/>
              <w:jc w:val="center"/>
              <w:outlineLvl w:val="0"/>
              <w:rPr>
                <w:sz w:val="20"/>
                <w:szCs w:val="20"/>
              </w:rPr>
            </w:pPr>
            <w:r w:rsidRPr="0001242B">
              <w:rPr>
                <w:sz w:val="20"/>
                <w:szCs w:val="20"/>
              </w:rPr>
              <w:t>-10.7 ± 0.26</w:t>
            </w:r>
            <w:r w:rsidRPr="0001242B">
              <w:rPr>
                <w:sz w:val="20"/>
                <w:szCs w:val="20"/>
                <w:vertAlign w:val="superscript"/>
              </w:rPr>
              <w:t>a</w:t>
            </w:r>
          </w:p>
        </w:tc>
      </w:tr>
      <w:tr w:rsidR="00807E3E" w:rsidRPr="0001242B" w:rsidTr="00785D52">
        <w:trPr>
          <w:trHeight w:val="53"/>
          <w:jc w:val="center"/>
        </w:trPr>
        <w:tc>
          <w:tcPr>
            <w:tcW w:w="1986" w:type="dxa"/>
            <w:vMerge w:val="restart"/>
            <w:hideMark/>
          </w:tcPr>
          <w:p w:rsidR="0001242B" w:rsidRPr="0001242B" w:rsidRDefault="0001242B" w:rsidP="00785D52">
            <w:pPr>
              <w:spacing w:before="60" w:after="0" w:line="240" w:lineRule="auto"/>
              <w:jc w:val="both"/>
              <w:outlineLvl w:val="0"/>
              <w:rPr>
                <w:sz w:val="20"/>
                <w:szCs w:val="20"/>
              </w:rPr>
            </w:pPr>
            <w:r w:rsidRPr="0001242B">
              <w:rPr>
                <w:sz w:val="20"/>
                <w:szCs w:val="20"/>
              </w:rPr>
              <w:t>330</w:t>
            </w:r>
          </w:p>
        </w:tc>
        <w:tc>
          <w:tcPr>
            <w:tcW w:w="1087" w:type="dxa"/>
            <w:hideMark/>
          </w:tcPr>
          <w:p w:rsidR="0001242B" w:rsidRPr="0001242B" w:rsidRDefault="0001242B" w:rsidP="00785D52">
            <w:pPr>
              <w:spacing w:before="60" w:after="0" w:line="240" w:lineRule="auto"/>
              <w:jc w:val="center"/>
              <w:outlineLvl w:val="0"/>
              <w:rPr>
                <w:sz w:val="20"/>
                <w:szCs w:val="20"/>
              </w:rPr>
            </w:pPr>
            <w:r w:rsidRPr="0001242B">
              <w:rPr>
                <w:sz w:val="20"/>
                <w:szCs w:val="20"/>
              </w:rPr>
              <w:t>20</w:t>
            </w:r>
          </w:p>
        </w:tc>
        <w:tc>
          <w:tcPr>
            <w:tcW w:w="1518" w:type="dxa"/>
            <w:noWrap/>
            <w:hideMark/>
          </w:tcPr>
          <w:p w:rsidR="0001242B" w:rsidRPr="0001242B" w:rsidRDefault="0001242B" w:rsidP="00785D52">
            <w:pPr>
              <w:spacing w:before="60" w:after="0" w:line="240" w:lineRule="auto"/>
              <w:jc w:val="center"/>
              <w:outlineLvl w:val="0"/>
              <w:rPr>
                <w:sz w:val="20"/>
                <w:szCs w:val="20"/>
              </w:rPr>
            </w:pPr>
            <w:r w:rsidRPr="0001242B">
              <w:rPr>
                <w:sz w:val="20"/>
                <w:szCs w:val="20"/>
              </w:rPr>
              <w:t>50.7 ± 0.37</w:t>
            </w:r>
            <w:r w:rsidRPr="0001242B">
              <w:rPr>
                <w:sz w:val="20"/>
                <w:szCs w:val="20"/>
                <w:vertAlign w:val="superscript"/>
              </w:rPr>
              <w:t>d</w:t>
            </w:r>
          </w:p>
        </w:tc>
        <w:tc>
          <w:tcPr>
            <w:tcW w:w="1711" w:type="dxa"/>
            <w:noWrap/>
            <w:hideMark/>
          </w:tcPr>
          <w:p w:rsidR="0001242B" w:rsidRPr="0001242B" w:rsidRDefault="0001242B" w:rsidP="00785D52">
            <w:pPr>
              <w:spacing w:before="60" w:after="0" w:line="240" w:lineRule="auto"/>
              <w:jc w:val="center"/>
              <w:outlineLvl w:val="0"/>
              <w:rPr>
                <w:sz w:val="20"/>
                <w:szCs w:val="20"/>
              </w:rPr>
            </w:pPr>
            <w:r w:rsidRPr="0001242B">
              <w:rPr>
                <w:sz w:val="20"/>
                <w:szCs w:val="20"/>
              </w:rPr>
              <w:t>34.00 ± 0.56</w:t>
            </w:r>
            <w:r w:rsidRPr="0001242B">
              <w:rPr>
                <w:sz w:val="20"/>
                <w:szCs w:val="20"/>
                <w:vertAlign w:val="superscript"/>
              </w:rPr>
              <w:t>d</w:t>
            </w:r>
          </w:p>
        </w:tc>
        <w:tc>
          <w:tcPr>
            <w:tcW w:w="1729" w:type="dxa"/>
            <w:noWrap/>
            <w:hideMark/>
          </w:tcPr>
          <w:p w:rsidR="0001242B" w:rsidRPr="0001242B" w:rsidRDefault="0001242B" w:rsidP="00785D52">
            <w:pPr>
              <w:spacing w:before="60" w:after="0" w:line="240" w:lineRule="auto"/>
              <w:jc w:val="center"/>
              <w:outlineLvl w:val="0"/>
              <w:rPr>
                <w:sz w:val="20"/>
                <w:szCs w:val="20"/>
              </w:rPr>
            </w:pPr>
            <w:r w:rsidRPr="0001242B">
              <w:rPr>
                <w:sz w:val="20"/>
                <w:szCs w:val="20"/>
              </w:rPr>
              <w:t>-10.3 ± 0.17</w:t>
            </w:r>
            <w:r w:rsidRPr="0001242B">
              <w:rPr>
                <w:sz w:val="20"/>
                <w:szCs w:val="20"/>
                <w:vertAlign w:val="superscript"/>
              </w:rPr>
              <w:t>c</w:t>
            </w:r>
          </w:p>
        </w:tc>
      </w:tr>
      <w:tr w:rsidR="00807E3E" w:rsidRPr="0001242B" w:rsidTr="00785D52">
        <w:trPr>
          <w:trHeight w:val="53"/>
          <w:jc w:val="center"/>
        </w:trPr>
        <w:tc>
          <w:tcPr>
            <w:tcW w:w="1986" w:type="dxa"/>
            <w:vMerge/>
            <w:hideMark/>
          </w:tcPr>
          <w:p w:rsidR="0001242B" w:rsidRPr="0001242B" w:rsidRDefault="0001242B" w:rsidP="000B32F2">
            <w:pPr>
              <w:spacing w:after="0" w:line="240" w:lineRule="auto"/>
              <w:jc w:val="both"/>
              <w:outlineLvl w:val="0"/>
              <w:rPr>
                <w:sz w:val="20"/>
                <w:szCs w:val="20"/>
              </w:rPr>
            </w:pPr>
          </w:p>
        </w:tc>
        <w:tc>
          <w:tcPr>
            <w:tcW w:w="1087" w:type="dxa"/>
            <w:hideMark/>
          </w:tcPr>
          <w:p w:rsidR="0001242B" w:rsidRPr="0001242B" w:rsidRDefault="0001242B" w:rsidP="00785D52">
            <w:pPr>
              <w:spacing w:before="60" w:after="0" w:line="240" w:lineRule="auto"/>
              <w:jc w:val="center"/>
              <w:outlineLvl w:val="0"/>
              <w:rPr>
                <w:sz w:val="20"/>
                <w:szCs w:val="20"/>
              </w:rPr>
            </w:pPr>
            <w:r w:rsidRPr="0001242B">
              <w:rPr>
                <w:sz w:val="20"/>
                <w:szCs w:val="20"/>
              </w:rPr>
              <w:t>25</w:t>
            </w:r>
          </w:p>
        </w:tc>
        <w:tc>
          <w:tcPr>
            <w:tcW w:w="1518" w:type="dxa"/>
            <w:noWrap/>
            <w:hideMark/>
          </w:tcPr>
          <w:p w:rsidR="0001242B" w:rsidRPr="0001242B" w:rsidRDefault="0001242B" w:rsidP="00785D52">
            <w:pPr>
              <w:spacing w:before="60" w:after="0" w:line="240" w:lineRule="auto"/>
              <w:jc w:val="center"/>
              <w:outlineLvl w:val="0"/>
              <w:rPr>
                <w:sz w:val="20"/>
                <w:szCs w:val="20"/>
              </w:rPr>
            </w:pPr>
            <w:r w:rsidRPr="0001242B">
              <w:rPr>
                <w:sz w:val="20"/>
                <w:szCs w:val="20"/>
              </w:rPr>
              <w:t>55.43 ± 0.61</w:t>
            </w:r>
            <w:r w:rsidRPr="0001242B">
              <w:rPr>
                <w:sz w:val="20"/>
                <w:szCs w:val="20"/>
                <w:vertAlign w:val="superscript"/>
              </w:rPr>
              <w:t>b</w:t>
            </w:r>
          </w:p>
        </w:tc>
        <w:tc>
          <w:tcPr>
            <w:tcW w:w="1711" w:type="dxa"/>
            <w:noWrap/>
            <w:hideMark/>
          </w:tcPr>
          <w:p w:rsidR="0001242B" w:rsidRPr="0001242B" w:rsidRDefault="0001242B" w:rsidP="00785D52">
            <w:pPr>
              <w:spacing w:before="60" w:after="0" w:line="240" w:lineRule="auto"/>
              <w:jc w:val="center"/>
              <w:outlineLvl w:val="0"/>
              <w:rPr>
                <w:sz w:val="20"/>
                <w:szCs w:val="20"/>
              </w:rPr>
            </w:pPr>
            <w:r w:rsidRPr="0001242B">
              <w:rPr>
                <w:sz w:val="20"/>
                <w:szCs w:val="20"/>
              </w:rPr>
              <w:t>33.17 ± 0.71</w:t>
            </w:r>
            <w:r w:rsidRPr="0001242B">
              <w:rPr>
                <w:sz w:val="20"/>
                <w:szCs w:val="20"/>
                <w:vertAlign w:val="superscript"/>
              </w:rPr>
              <w:t>b</w:t>
            </w:r>
          </w:p>
        </w:tc>
        <w:tc>
          <w:tcPr>
            <w:tcW w:w="1729" w:type="dxa"/>
            <w:noWrap/>
            <w:hideMark/>
          </w:tcPr>
          <w:p w:rsidR="0001242B" w:rsidRPr="0001242B" w:rsidRDefault="0001242B" w:rsidP="00785D52">
            <w:pPr>
              <w:spacing w:before="60" w:after="0" w:line="240" w:lineRule="auto"/>
              <w:jc w:val="center"/>
              <w:outlineLvl w:val="0"/>
              <w:rPr>
                <w:sz w:val="20"/>
                <w:szCs w:val="20"/>
              </w:rPr>
            </w:pPr>
            <w:r w:rsidRPr="0001242B">
              <w:rPr>
                <w:sz w:val="20"/>
                <w:szCs w:val="20"/>
              </w:rPr>
              <w:t>-10.6 ± 0.10</w:t>
            </w:r>
            <w:r w:rsidRPr="0001242B">
              <w:rPr>
                <w:sz w:val="20"/>
                <w:szCs w:val="20"/>
                <w:vertAlign w:val="superscript"/>
              </w:rPr>
              <w:t>b</w:t>
            </w:r>
          </w:p>
        </w:tc>
      </w:tr>
      <w:tr w:rsidR="00807E3E" w:rsidRPr="0001242B" w:rsidTr="00785D52">
        <w:trPr>
          <w:trHeight w:val="53"/>
          <w:jc w:val="center"/>
        </w:trPr>
        <w:tc>
          <w:tcPr>
            <w:tcW w:w="1986" w:type="dxa"/>
            <w:vMerge/>
            <w:hideMark/>
          </w:tcPr>
          <w:p w:rsidR="0001242B" w:rsidRPr="0001242B" w:rsidRDefault="0001242B" w:rsidP="000B32F2">
            <w:pPr>
              <w:spacing w:after="0" w:line="240" w:lineRule="auto"/>
              <w:jc w:val="both"/>
              <w:outlineLvl w:val="0"/>
              <w:rPr>
                <w:sz w:val="20"/>
                <w:szCs w:val="20"/>
              </w:rPr>
            </w:pPr>
          </w:p>
        </w:tc>
        <w:tc>
          <w:tcPr>
            <w:tcW w:w="1087" w:type="dxa"/>
            <w:hideMark/>
          </w:tcPr>
          <w:p w:rsidR="0001242B" w:rsidRPr="0001242B" w:rsidRDefault="0001242B" w:rsidP="00785D52">
            <w:pPr>
              <w:spacing w:before="60" w:after="60" w:line="240" w:lineRule="auto"/>
              <w:jc w:val="center"/>
              <w:outlineLvl w:val="0"/>
              <w:rPr>
                <w:sz w:val="20"/>
                <w:szCs w:val="20"/>
              </w:rPr>
            </w:pPr>
            <w:r w:rsidRPr="0001242B">
              <w:rPr>
                <w:sz w:val="20"/>
                <w:szCs w:val="20"/>
              </w:rPr>
              <w:t>30</w:t>
            </w:r>
          </w:p>
        </w:tc>
        <w:tc>
          <w:tcPr>
            <w:tcW w:w="1518" w:type="dxa"/>
            <w:noWrap/>
            <w:hideMark/>
          </w:tcPr>
          <w:p w:rsidR="0001242B" w:rsidRPr="0001242B" w:rsidRDefault="0001242B" w:rsidP="00785D52">
            <w:pPr>
              <w:spacing w:before="60" w:after="60" w:line="240" w:lineRule="auto"/>
              <w:jc w:val="center"/>
              <w:outlineLvl w:val="0"/>
              <w:rPr>
                <w:sz w:val="20"/>
                <w:szCs w:val="20"/>
              </w:rPr>
            </w:pPr>
            <w:r w:rsidRPr="0001242B">
              <w:rPr>
                <w:sz w:val="20"/>
                <w:szCs w:val="20"/>
              </w:rPr>
              <w:t>55.73 ± 0.84</w:t>
            </w:r>
            <w:r w:rsidRPr="0001242B">
              <w:rPr>
                <w:sz w:val="20"/>
                <w:szCs w:val="20"/>
                <w:vertAlign w:val="superscript"/>
              </w:rPr>
              <w:t>c</w:t>
            </w:r>
          </w:p>
        </w:tc>
        <w:tc>
          <w:tcPr>
            <w:tcW w:w="1711" w:type="dxa"/>
            <w:noWrap/>
            <w:hideMark/>
          </w:tcPr>
          <w:p w:rsidR="0001242B" w:rsidRPr="0001242B" w:rsidRDefault="0001242B" w:rsidP="00785D52">
            <w:pPr>
              <w:spacing w:before="60" w:after="60" w:line="240" w:lineRule="auto"/>
              <w:jc w:val="center"/>
              <w:outlineLvl w:val="0"/>
              <w:rPr>
                <w:sz w:val="20"/>
                <w:szCs w:val="20"/>
              </w:rPr>
            </w:pPr>
            <w:r w:rsidRPr="0001242B">
              <w:rPr>
                <w:sz w:val="20"/>
                <w:szCs w:val="20"/>
              </w:rPr>
              <w:t>31.23 ± 0.47</w:t>
            </w:r>
            <w:r w:rsidRPr="0001242B">
              <w:rPr>
                <w:sz w:val="20"/>
                <w:szCs w:val="20"/>
                <w:vertAlign w:val="superscript"/>
              </w:rPr>
              <w:t>e</w:t>
            </w:r>
          </w:p>
        </w:tc>
        <w:tc>
          <w:tcPr>
            <w:tcW w:w="1729" w:type="dxa"/>
            <w:noWrap/>
            <w:hideMark/>
          </w:tcPr>
          <w:p w:rsidR="0001242B" w:rsidRPr="0001242B" w:rsidRDefault="0001242B" w:rsidP="00785D52">
            <w:pPr>
              <w:spacing w:before="60" w:after="60" w:line="240" w:lineRule="auto"/>
              <w:jc w:val="center"/>
              <w:outlineLvl w:val="0"/>
              <w:rPr>
                <w:sz w:val="20"/>
                <w:szCs w:val="20"/>
              </w:rPr>
            </w:pPr>
            <w:r w:rsidRPr="0001242B">
              <w:rPr>
                <w:sz w:val="20"/>
                <w:szCs w:val="20"/>
              </w:rPr>
              <w:t>-10.8 ± 0.00</w:t>
            </w:r>
            <w:r w:rsidRPr="0001242B">
              <w:rPr>
                <w:sz w:val="20"/>
                <w:szCs w:val="20"/>
                <w:vertAlign w:val="superscript"/>
              </w:rPr>
              <w:t>a</w:t>
            </w:r>
          </w:p>
        </w:tc>
      </w:tr>
    </w:tbl>
    <w:p w:rsidR="0001242B" w:rsidRPr="00785D52" w:rsidRDefault="0001242B" w:rsidP="00785D52">
      <w:pPr>
        <w:spacing w:before="60" w:after="0" w:line="240" w:lineRule="auto"/>
        <w:ind w:left="634" w:right="605"/>
        <w:jc w:val="both"/>
        <w:outlineLvl w:val="0"/>
        <w:rPr>
          <w:rFonts w:ascii="Times New Roman" w:hAnsi="Times New Roman"/>
          <w:sz w:val="18"/>
          <w:szCs w:val="18"/>
        </w:rPr>
      </w:pPr>
      <w:r w:rsidRPr="00785D52">
        <w:rPr>
          <w:rFonts w:ascii="Times New Roman" w:hAnsi="Times New Roman"/>
          <w:sz w:val="18"/>
          <w:szCs w:val="18"/>
        </w:rPr>
        <w:t>All data are the mean of triplicate measurements ± standard deviation values. a, b, c, means with different letter(s) in the same column differed significantly (p &lt;0.05)</w:t>
      </w:r>
    </w:p>
    <w:p w:rsidR="006768E9" w:rsidRDefault="006768E9" w:rsidP="0001242B">
      <w:pPr>
        <w:spacing w:after="0" w:line="240" w:lineRule="auto"/>
        <w:jc w:val="both"/>
        <w:rPr>
          <w:rFonts w:ascii="Times New Roman" w:hAnsi="Times New Roman"/>
          <w:noProof/>
          <w:sz w:val="20"/>
          <w:szCs w:val="20"/>
          <w:lang w:bidi="ar-SA"/>
        </w:rPr>
      </w:pPr>
    </w:p>
    <w:p w:rsidR="0001242B" w:rsidRPr="00F447A7" w:rsidRDefault="0001242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DD7DEC" w:rsidRPr="00785D52" w:rsidRDefault="00DD7DEC" w:rsidP="00DD7DEC">
      <w:pPr>
        <w:spacing w:after="0" w:line="240" w:lineRule="auto"/>
        <w:jc w:val="both"/>
        <w:outlineLvl w:val="0"/>
        <w:rPr>
          <w:rFonts w:ascii="Times New Roman" w:hAnsi="Times New Roman"/>
          <w:sz w:val="20"/>
          <w:szCs w:val="20"/>
          <w:lang w:val="en-GB"/>
        </w:rPr>
      </w:pPr>
      <w:r w:rsidRPr="00785D52">
        <w:rPr>
          <w:rFonts w:ascii="Times New Roman" w:hAnsi="Times New Roman"/>
          <w:sz w:val="20"/>
          <w:szCs w:val="20"/>
          <w:lang w:val="en-GB"/>
        </w:rPr>
        <w:t>Maltodextrin (MD, DE= 4.0 - 7.0) is effective as drying aid for encapsulation of PSPE. The addition of various MD concentrations on physicochemical properties of encapsulated PSPE was investigated in this study. The results showed that MD concentrations at 20% and 30% significantly (p &lt;0.05) reduced moisture content, water activity, and TMA content of encapsulated PSPE. Furthermore, a significant difference of L* values was found with the increasing content of maltodextrin. However, microwave power levels of 550 W and 330W was not significantly affecting the TMA, moisture content, water activity, and colour value of microwave-assisted PSPA. This could be enhanced by widening the range of study parameters and including drying time factor so that an optimum parameter of encapsulation process could be determined.</w:t>
      </w:r>
    </w:p>
    <w:p w:rsidR="00DD7DEC" w:rsidRPr="00785D52" w:rsidRDefault="00DD7DEC" w:rsidP="00DD7DEC">
      <w:pPr>
        <w:spacing w:after="0" w:line="240" w:lineRule="auto"/>
        <w:jc w:val="center"/>
        <w:outlineLvl w:val="0"/>
        <w:rPr>
          <w:rFonts w:ascii="Times New Roman" w:hAnsi="Times New Roman"/>
          <w:sz w:val="20"/>
          <w:szCs w:val="20"/>
        </w:rPr>
      </w:pPr>
    </w:p>
    <w:p w:rsidR="00DD7DEC" w:rsidRPr="00785D52" w:rsidRDefault="00DD7DEC" w:rsidP="00DD7DEC">
      <w:pPr>
        <w:spacing w:after="0" w:line="240" w:lineRule="auto"/>
        <w:jc w:val="center"/>
        <w:outlineLvl w:val="0"/>
        <w:rPr>
          <w:rFonts w:ascii="Times New Roman" w:hAnsi="Times New Roman"/>
          <w:b/>
          <w:sz w:val="20"/>
          <w:szCs w:val="20"/>
        </w:rPr>
      </w:pPr>
      <w:r w:rsidRPr="00785D52">
        <w:rPr>
          <w:rFonts w:ascii="Times New Roman" w:hAnsi="Times New Roman"/>
          <w:b/>
          <w:sz w:val="20"/>
          <w:szCs w:val="20"/>
        </w:rPr>
        <w:t>Acknowledgement</w:t>
      </w:r>
    </w:p>
    <w:p w:rsidR="00DD7DEC" w:rsidRPr="00785D52" w:rsidRDefault="00DD7DEC" w:rsidP="00DD7DEC">
      <w:pPr>
        <w:spacing w:after="0" w:line="240" w:lineRule="auto"/>
        <w:jc w:val="both"/>
        <w:outlineLvl w:val="0"/>
        <w:rPr>
          <w:rFonts w:ascii="Times New Roman" w:hAnsi="Times New Roman"/>
          <w:sz w:val="20"/>
          <w:szCs w:val="20"/>
          <w:lang w:val="en-GB"/>
        </w:rPr>
      </w:pPr>
      <w:r w:rsidRPr="00785D52">
        <w:rPr>
          <w:rFonts w:ascii="Times New Roman" w:hAnsi="Times New Roman"/>
          <w:sz w:val="20"/>
          <w:szCs w:val="20"/>
          <w:lang w:val="en-GB"/>
        </w:rPr>
        <w:t>The authors would like to thank Universiti Teknologi Malaysia (UTM), Ministry of Higher Education (MOHE),</w:t>
      </w:r>
    </w:p>
    <w:p w:rsidR="00DD7DEC" w:rsidRPr="00785D52" w:rsidRDefault="00DD7DEC" w:rsidP="00DD7DEC">
      <w:pPr>
        <w:spacing w:after="0" w:line="240" w:lineRule="auto"/>
        <w:jc w:val="both"/>
        <w:outlineLvl w:val="0"/>
        <w:rPr>
          <w:rFonts w:ascii="Times New Roman" w:hAnsi="Times New Roman"/>
          <w:sz w:val="20"/>
          <w:szCs w:val="20"/>
          <w:lang w:val="en-GB"/>
        </w:rPr>
      </w:pPr>
      <w:r w:rsidRPr="00785D52">
        <w:rPr>
          <w:rFonts w:ascii="Times New Roman" w:hAnsi="Times New Roman"/>
          <w:sz w:val="20"/>
          <w:szCs w:val="20"/>
          <w:lang w:val="en-GB"/>
        </w:rPr>
        <w:t>and Research Management Centre (RMC), UTM for their financial support of this work through the project</w:t>
      </w:r>
    </w:p>
    <w:p w:rsidR="006768E9" w:rsidRPr="00DD7DEC" w:rsidRDefault="00DD7DEC" w:rsidP="00DD7DEC">
      <w:pPr>
        <w:spacing w:after="0" w:line="240" w:lineRule="auto"/>
        <w:jc w:val="both"/>
        <w:outlineLvl w:val="0"/>
        <w:rPr>
          <w:rFonts w:ascii="Times New Roman" w:hAnsi="Times New Roman"/>
          <w:sz w:val="20"/>
          <w:szCs w:val="20"/>
          <w:lang w:val="en-GB"/>
        </w:rPr>
      </w:pPr>
      <w:r w:rsidRPr="00785D52">
        <w:rPr>
          <w:rFonts w:ascii="Times New Roman" w:hAnsi="Times New Roman"/>
          <w:sz w:val="20"/>
          <w:szCs w:val="20"/>
          <w:lang w:val="en-GB"/>
        </w:rPr>
        <w:t>number Q.J130000.3009.00M65.</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Ahmed, M., Akter, M. S. and Eun, J. B. (2010). Impact of α-amylase and maltodextrin on physicochemical, functional and antioxidant capacity of spray-dried purple sweet potato flour. </w:t>
      </w:r>
      <w:r w:rsidRPr="00DD7DEC">
        <w:rPr>
          <w:rFonts w:ascii="Times New Roman" w:hAnsi="Times New Roman"/>
          <w:i/>
          <w:iCs/>
          <w:noProof/>
          <w:sz w:val="20"/>
          <w:szCs w:val="20"/>
        </w:rPr>
        <w:t xml:space="preserve">Journal of the Science of Food and Agriculture, </w:t>
      </w:r>
      <w:r w:rsidRPr="00DD7DEC">
        <w:rPr>
          <w:rFonts w:ascii="Times New Roman" w:hAnsi="Times New Roman"/>
          <w:noProof/>
          <w:sz w:val="20"/>
          <w:szCs w:val="20"/>
        </w:rPr>
        <w:t>90(3): 494-502.</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Aishah, B., Nursabrina, M., Noriham, A., Norizzah, A. R. and Mohamad Shahrimi, H. (2013). Anthocyanins from </w:t>
      </w:r>
      <w:r w:rsidRPr="00DD7DEC">
        <w:rPr>
          <w:rFonts w:ascii="Times New Roman" w:hAnsi="Times New Roman"/>
          <w:i/>
          <w:noProof/>
          <w:sz w:val="20"/>
          <w:szCs w:val="20"/>
        </w:rPr>
        <w:t>Hibiscus sabdariffa</w:t>
      </w:r>
      <w:r w:rsidRPr="00DD7DEC">
        <w:rPr>
          <w:rFonts w:ascii="Times New Roman" w:hAnsi="Times New Roman"/>
          <w:noProof/>
          <w:sz w:val="20"/>
          <w:szCs w:val="20"/>
        </w:rPr>
        <w:t xml:space="preserve">, </w:t>
      </w:r>
      <w:r w:rsidRPr="00DD7DEC">
        <w:rPr>
          <w:rFonts w:ascii="Times New Roman" w:hAnsi="Times New Roman"/>
          <w:i/>
          <w:noProof/>
          <w:sz w:val="20"/>
          <w:szCs w:val="20"/>
        </w:rPr>
        <w:t>Melastoma malabathricum</w:t>
      </w:r>
      <w:r w:rsidRPr="00DD7DEC">
        <w:rPr>
          <w:rFonts w:ascii="Times New Roman" w:hAnsi="Times New Roman"/>
          <w:noProof/>
          <w:sz w:val="20"/>
          <w:szCs w:val="20"/>
        </w:rPr>
        <w:t xml:space="preserve"> and </w:t>
      </w:r>
      <w:r w:rsidRPr="00DD7DEC">
        <w:rPr>
          <w:rFonts w:ascii="Times New Roman" w:hAnsi="Times New Roman"/>
          <w:i/>
          <w:noProof/>
          <w:sz w:val="20"/>
          <w:szCs w:val="20"/>
        </w:rPr>
        <w:t>Ipomoea batatas</w:t>
      </w:r>
      <w:r w:rsidRPr="00DD7DEC">
        <w:rPr>
          <w:rFonts w:ascii="Times New Roman" w:hAnsi="Times New Roman"/>
          <w:noProof/>
          <w:sz w:val="20"/>
          <w:szCs w:val="20"/>
        </w:rPr>
        <w:t xml:space="preserve"> and its color properties. </w:t>
      </w:r>
      <w:r w:rsidRPr="00DD7DEC">
        <w:rPr>
          <w:rFonts w:ascii="Times New Roman" w:hAnsi="Times New Roman"/>
          <w:i/>
          <w:noProof/>
          <w:sz w:val="20"/>
          <w:szCs w:val="20"/>
        </w:rPr>
        <w:t xml:space="preserve">International Food Research Journal, </w:t>
      </w:r>
      <w:r w:rsidRPr="00DD7DEC">
        <w:rPr>
          <w:rFonts w:ascii="Times New Roman" w:hAnsi="Times New Roman"/>
          <w:noProof/>
          <w:sz w:val="20"/>
          <w:szCs w:val="20"/>
        </w:rPr>
        <w:t>20(2): 827-834.</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Li, J., Li, X. D., Zhang, Y., Zheng, Z. D., Qu, Z. Y., Liu, M., Zhu, S. H., Liu, S., Wang, M. and Qu, L. (2013). Identification and thermal stability of purple-fleshed sweet potato anthocyanins in aqueous solutions with various pH values and fruit juices. </w:t>
      </w:r>
      <w:r w:rsidRPr="00DD7DEC">
        <w:rPr>
          <w:rFonts w:ascii="Times New Roman" w:hAnsi="Times New Roman"/>
          <w:i/>
          <w:iCs/>
          <w:noProof/>
          <w:sz w:val="20"/>
          <w:szCs w:val="20"/>
        </w:rPr>
        <w:t xml:space="preserve">Food Chemistry, </w:t>
      </w:r>
      <w:r w:rsidRPr="00DD7DEC">
        <w:rPr>
          <w:rFonts w:ascii="Times New Roman" w:hAnsi="Times New Roman"/>
          <w:noProof/>
          <w:sz w:val="20"/>
          <w:szCs w:val="20"/>
        </w:rPr>
        <w:t>136(3): 1429-1434.</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Choi, I., Lee, J. Y., Lacroix, M. and Han, J. (2017). Intelligent pH indicator film composed of agar/potato starch and anthocyanin extracts from purple sweet potato. </w:t>
      </w:r>
      <w:r w:rsidRPr="00DD7DEC">
        <w:rPr>
          <w:rFonts w:ascii="Times New Roman" w:hAnsi="Times New Roman"/>
          <w:i/>
          <w:iCs/>
          <w:noProof/>
          <w:sz w:val="20"/>
          <w:szCs w:val="20"/>
        </w:rPr>
        <w:t xml:space="preserve">Food Chemistry, </w:t>
      </w:r>
      <w:r w:rsidRPr="00DD7DEC">
        <w:rPr>
          <w:rFonts w:ascii="Times New Roman" w:hAnsi="Times New Roman"/>
          <w:noProof/>
          <w:sz w:val="20"/>
          <w:szCs w:val="20"/>
        </w:rPr>
        <w:t>218 (Supplement C): 122-128.</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Zaidel, D. N. A., Aqilah, N. and Mohd, Y. M. (2015). Efficiency and thermal stability of encapsulated anthocyanins from red dragon fruit (</w:t>
      </w:r>
      <w:r w:rsidRPr="00DD7DEC">
        <w:rPr>
          <w:rFonts w:ascii="Times New Roman" w:hAnsi="Times New Roman"/>
          <w:i/>
          <w:noProof/>
          <w:sz w:val="20"/>
          <w:szCs w:val="20"/>
        </w:rPr>
        <w:t>Hylocereus polyrhizus</w:t>
      </w:r>
      <w:r w:rsidRPr="00DD7DEC">
        <w:rPr>
          <w:rFonts w:ascii="Times New Roman" w:hAnsi="Times New Roman"/>
          <w:noProof/>
          <w:sz w:val="20"/>
          <w:szCs w:val="20"/>
        </w:rPr>
        <w:t xml:space="preserve"> (Weber) Britton &amp; Rose ) using microwave-assisted technique. </w:t>
      </w:r>
      <w:r w:rsidRPr="00DD7DEC">
        <w:rPr>
          <w:rFonts w:ascii="Times New Roman" w:hAnsi="Times New Roman"/>
          <w:i/>
          <w:noProof/>
          <w:sz w:val="20"/>
          <w:szCs w:val="20"/>
        </w:rPr>
        <w:t>Chemical Engineering Transactions,</w:t>
      </w:r>
      <w:r w:rsidRPr="00DD7DEC">
        <w:rPr>
          <w:rFonts w:ascii="Times New Roman" w:hAnsi="Times New Roman"/>
          <w:noProof/>
          <w:sz w:val="20"/>
          <w:szCs w:val="20"/>
        </w:rPr>
        <w:t xml:space="preserve"> 43: 127-132.</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Mohd Nawi, N., Muhamad, I. I. and Mohd Marsin, A. (2015). The physicochemical properties of microwave-assisted encapsulated anthocyanins from </w:t>
      </w:r>
      <w:r w:rsidRPr="00DD7DEC">
        <w:rPr>
          <w:rFonts w:ascii="Times New Roman" w:hAnsi="Times New Roman"/>
          <w:i/>
          <w:noProof/>
          <w:sz w:val="20"/>
          <w:szCs w:val="20"/>
        </w:rPr>
        <w:t>Ipomoea Batatas</w:t>
      </w:r>
      <w:r w:rsidRPr="00DD7DEC">
        <w:rPr>
          <w:rFonts w:ascii="Times New Roman" w:hAnsi="Times New Roman"/>
          <w:noProof/>
          <w:sz w:val="20"/>
          <w:szCs w:val="20"/>
        </w:rPr>
        <w:t xml:space="preserve"> as affected by different wall materials. </w:t>
      </w:r>
      <w:r w:rsidRPr="00DD7DEC">
        <w:rPr>
          <w:rFonts w:ascii="Times New Roman" w:hAnsi="Times New Roman"/>
          <w:i/>
          <w:iCs/>
          <w:noProof/>
          <w:sz w:val="20"/>
          <w:szCs w:val="20"/>
        </w:rPr>
        <w:t xml:space="preserve">Food Science and Nutrition, </w:t>
      </w:r>
      <w:r w:rsidRPr="00DD7DEC">
        <w:rPr>
          <w:rFonts w:ascii="Times New Roman" w:hAnsi="Times New Roman"/>
          <w:noProof/>
          <w:sz w:val="20"/>
          <w:szCs w:val="20"/>
        </w:rPr>
        <w:t>3(2): 91-99.</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lastRenderedPageBreak/>
        <w:t xml:space="preserve">Haghi, A. K. and Amanifard, N. (2008). Analysis of heat and mass transfer during microwave drying of food products. </w:t>
      </w:r>
      <w:r w:rsidRPr="00DD7DEC">
        <w:rPr>
          <w:rFonts w:ascii="Times New Roman" w:hAnsi="Times New Roman"/>
          <w:i/>
          <w:iCs/>
          <w:noProof/>
          <w:sz w:val="20"/>
          <w:szCs w:val="20"/>
        </w:rPr>
        <w:t xml:space="preserve">Brazilian Journal of Chemical Engineering, </w:t>
      </w:r>
      <w:r w:rsidRPr="00DD7DEC">
        <w:rPr>
          <w:rFonts w:ascii="Times New Roman" w:hAnsi="Times New Roman"/>
          <w:noProof/>
          <w:sz w:val="20"/>
          <w:szCs w:val="20"/>
        </w:rPr>
        <w:t>25: 491-501.</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Ahmed, M., Akter, M. S., Lee, J. C. and Eun, J. B. (2010). Encapsulation by spray drying of bioactive components, physicochemical and morphological properties from purple sweet potato. </w:t>
      </w:r>
      <w:r w:rsidRPr="00DD7DEC">
        <w:rPr>
          <w:rFonts w:ascii="Times New Roman" w:hAnsi="Times New Roman"/>
          <w:i/>
          <w:iCs/>
          <w:noProof/>
          <w:sz w:val="20"/>
          <w:szCs w:val="20"/>
        </w:rPr>
        <w:t xml:space="preserve">LWT - Food Science and Technology, </w:t>
      </w:r>
      <w:r w:rsidRPr="00DD7DEC">
        <w:rPr>
          <w:rFonts w:ascii="Times New Roman" w:hAnsi="Times New Roman"/>
          <w:noProof/>
          <w:sz w:val="20"/>
          <w:szCs w:val="20"/>
        </w:rPr>
        <w:t>43(9): 1307-1312.</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Peng, Z., Li, J., Guan, Y. and Zhao, G. (2013). Effect of carriers on physicochemical properties, antioxidant activities and biological components of spray-dried purple sweet potato flours. </w:t>
      </w:r>
      <w:r w:rsidRPr="00DD7DEC">
        <w:rPr>
          <w:rFonts w:ascii="Times New Roman" w:hAnsi="Times New Roman"/>
          <w:i/>
          <w:iCs/>
          <w:noProof/>
          <w:sz w:val="20"/>
          <w:szCs w:val="20"/>
        </w:rPr>
        <w:t xml:space="preserve">LWT - Food Science and Technology, </w:t>
      </w:r>
      <w:r w:rsidRPr="00DD7DEC">
        <w:rPr>
          <w:rFonts w:ascii="Times New Roman" w:hAnsi="Times New Roman"/>
          <w:noProof/>
          <w:sz w:val="20"/>
          <w:szCs w:val="20"/>
        </w:rPr>
        <w:t>51(1): 348-355.</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Quek, S. Y., Chok, N. K. and Swedlund, P. (2007). The physicochemical properties of spray-dried watermelon powders. </w:t>
      </w:r>
      <w:r w:rsidRPr="00DD7DEC">
        <w:rPr>
          <w:rFonts w:ascii="Times New Roman" w:hAnsi="Times New Roman"/>
          <w:i/>
          <w:iCs/>
          <w:noProof/>
          <w:sz w:val="20"/>
          <w:szCs w:val="20"/>
        </w:rPr>
        <w:t xml:space="preserve">Chemical Engineering and Processing: Process Intensification, </w:t>
      </w:r>
      <w:r w:rsidRPr="00DD7DEC">
        <w:rPr>
          <w:rFonts w:ascii="Times New Roman" w:hAnsi="Times New Roman"/>
          <w:noProof/>
          <w:sz w:val="20"/>
          <w:szCs w:val="20"/>
        </w:rPr>
        <w:t>46(5): 386-392.</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Giusti, M. M. and Wrolstad, R. E. (2001). Characterization and measurement of anthocyanins by UV-visible spectroscopy. </w:t>
      </w:r>
      <w:r w:rsidRPr="00DD7DEC">
        <w:rPr>
          <w:rFonts w:ascii="Times New Roman" w:hAnsi="Times New Roman"/>
          <w:i/>
          <w:iCs/>
          <w:noProof/>
          <w:sz w:val="20"/>
          <w:szCs w:val="20"/>
        </w:rPr>
        <w:t>Current Protocols in Food Analytical Chemistry,</w:t>
      </w:r>
      <w:r w:rsidRPr="00DD7DEC">
        <w:rPr>
          <w:rFonts w:ascii="Times New Roman" w:hAnsi="Times New Roman"/>
          <w:noProof/>
          <w:sz w:val="20"/>
          <w:szCs w:val="20"/>
        </w:rPr>
        <w:t xml:space="preserve"> John Wiley &amp; Sons, Inc, Hoboken, USA.</w:t>
      </w:r>
    </w:p>
    <w:p w:rsidR="00DD7DEC" w:rsidRPr="00DD7DEC" w:rsidRDefault="00DD7DEC" w:rsidP="00DD7DEC">
      <w:pPr>
        <w:pStyle w:val="ListParagraph"/>
        <w:widowControl w:val="0"/>
        <w:numPr>
          <w:ilvl w:val="0"/>
          <w:numId w:val="4"/>
        </w:numPr>
        <w:autoSpaceDE w:val="0"/>
        <w:autoSpaceDN w:val="0"/>
        <w:adjustRightInd w:val="0"/>
        <w:spacing w:after="0" w:line="240" w:lineRule="auto"/>
        <w:ind w:left="360"/>
        <w:contextualSpacing w:val="0"/>
        <w:jc w:val="both"/>
        <w:rPr>
          <w:rFonts w:ascii="Times New Roman" w:hAnsi="Times New Roman"/>
          <w:noProof/>
          <w:sz w:val="20"/>
          <w:szCs w:val="20"/>
        </w:rPr>
      </w:pPr>
      <w:r w:rsidRPr="00DD7DEC">
        <w:rPr>
          <w:rFonts w:ascii="Times New Roman" w:hAnsi="Times New Roman"/>
          <w:noProof/>
          <w:sz w:val="20"/>
          <w:szCs w:val="20"/>
        </w:rPr>
        <w:t xml:space="preserve">Caliskan, G. and Dirim, S. N. (2016). The effect of different drying processes and the amounts of maltodextrin addition on the powder properties of sumac extract powders. </w:t>
      </w:r>
      <w:r w:rsidRPr="00DD7DEC">
        <w:rPr>
          <w:rFonts w:ascii="Times New Roman" w:hAnsi="Times New Roman"/>
          <w:i/>
          <w:iCs/>
          <w:noProof/>
          <w:sz w:val="20"/>
          <w:szCs w:val="20"/>
        </w:rPr>
        <w:t xml:space="preserve">Powder Technology, </w:t>
      </w:r>
      <w:r w:rsidRPr="00DD7DEC">
        <w:rPr>
          <w:rFonts w:ascii="Times New Roman" w:hAnsi="Times New Roman"/>
          <w:noProof/>
          <w:sz w:val="20"/>
          <w:szCs w:val="20"/>
        </w:rPr>
        <w:t>287 (Supplement C): 308-314.</w:t>
      </w:r>
    </w:p>
    <w:p w:rsidR="00DD7DEC" w:rsidRPr="00DD7DEC" w:rsidRDefault="00DD7DEC" w:rsidP="00DD7DEC">
      <w:pPr>
        <w:adjustRightInd w:val="0"/>
        <w:spacing w:after="0" w:line="240" w:lineRule="auto"/>
        <w:ind w:left="360" w:hanging="360"/>
        <w:jc w:val="both"/>
        <w:rPr>
          <w:rFonts w:ascii="Times New Roman" w:hAnsi="Times New Roman"/>
          <w:noProof/>
          <w:sz w:val="20"/>
          <w:szCs w:val="20"/>
        </w:rPr>
      </w:pPr>
    </w:p>
    <w:p w:rsidR="00E31A5C" w:rsidRDefault="00E31A5C" w:rsidP="00DD7DEC">
      <w:pPr>
        <w:spacing w:after="0" w:line="240" w:lineRule="auto"/>
        <w:ind w:left="360"/>
        <w:jc w:val="both"/>
        <w:rPr>
          <w:rFonts w:ascii="Times New Roman" w:hAnsi="Times New Roman"/>
          <w:noProof/>
          <w:sz w:val="20"/>
          <w:szCs w:val="20"/>
          <w:lang w:bidi="ar-SA"/>
        </w:rPr>
      </w:pPr>
    </w:p>
    <w:sectPr w:rsidR="00E31A5C" w:rsidSect="008E493D">
      <w:headerReference w:type="even" r:id="rId11"/>
      <w:headerReference w:type="default" r:id="rId12"/>
      <w:footerReference w:type="even" r:id="rId13"/>
      <w:footerReference w:type="default" r:id="rId14"/>
      <w:pgSz w:w="12240" w:h="15840" w:code="1"/>
      <w:pgMar w:top="1800" w:right="1469" w:bottom="1699" w:left="1440" w:header="706" w:footer="706" w:gutter="0"/>
      <w:pgNumType w:start="6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21DB8">
          <w:rPr>
            <w:rFonts w:ascii="Times New Roman" w:hAnsi="Times New Roman"/>
            <w:noProof/>
          </w:rPr>
          <w:t>618</w:t>
        </w:r>
        <w:r w:rsidRPr="00C0756D">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C0756D" w:rsidRPr="00C0756D" w:rsidRDefault="00C0756D">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521DB8">
          <w:rPr>
            <w:rFonts w:ascii="Times New Roman" w:hAnsi="Times New Roman"/>
            <w:noProof/>
          </w:rPr>
          <w:t>617</w:t>
        </w:r>
        <w:r w:rsidRPr="00C0756D">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312C0E">
      <w:rPr>
        <w:rFonts w:ascii="Times New Roman" w:hAnsi="Times New Roman"/>
        <w:i/>
        <w:lang w:val="en-US"/>
      </w:rPr>
      <w:t>22</w:t>
    </w:r>
    <w:r w:rsidR="00CF05FF">
      <w:rPr>
        <w:rFonts w:ascii="Times New Roman" w:hAnsi="Times New Roman"/>
        <w:i/>
      </w:rPr>
      <w:t xml:space="preserve"> </w:t>
    </w:r>
    <w:r w:rsidR="00D30A02">
      <w:rPr>
        <w:rFonts w:ascii="Times New Roman" w:hAnsi="Times New Roman"/>
        <w:i/>
        <w:lang w:val="en-US"/>
      </w:rPr>
      <w:t>No 4</w:t>
    </w:r>
    <w:r w:rsidR="00B25B65">
      <w:rPr>
        <w:rFonts w:ascii="Times New Roman" w:hAnsi="Times New Roman"/>
        <w:i/>
      </w:rPr>
      <w:t xml:space="preserve"> (201</w:t>
    </w:r>
    <w:r w:rsidR="00312C0E">
      <w:rPr>
        <w:rFonts w:ascii="Times New Roman" w:hAnsi="Times New Roman"/>
        <w:i/>
        <w:lang w:val="en-US"/>
      </w:rPr>
      <w:t>8</w:t>
    </w:r>
    <w:r w:rsidRPr="00D75B35">
      <w:rPr>
        <w:rFonts w:ascii="Times New Roman" w:hAnsi="Times New Roman"/>
        <w:i/>
      </w:rPr>
      <w:t xml:space="preserve">): </w:t>
    </w:r>
    <w:r w:rsidR="008E493D">
      <w:rPr>
        <w:rFonts w:ascii="Times New Roman" w:hAnsi="Times New Roman"/>
        <w:i/>
        <w:lang w:val="en-US"/>
      </w:rPr>
      <w:t>612</w:t>
    </w:r>
    <w:r w:rsidR="004B43FF">
      <w:rPr>
        <w:rFonts w:ascii="Times New Roman" w:hAnsi="Times New Roman"/>
        <w:i/>
        <w:lang w:val="en-US"/>
      </w:rPr>
      <w:t xml:space="preserve"> </w:t>
    </w:r>
    <w:r w:rsidR="00583C85">
      <w:rPr>
        <w:rFonts w:ascii="Times New Roman" w:hAnsi="Times New Roman"/>
        <w:i/>
        <w:lang w:val="en-US"/>
      </w:rPr>
      <w:t>-</w:t>
    </w:r>
    <w:r w:rsidR="008E493D">
      <w:rPr>
        <w:rFonts w:ascii="Times New Roman" w:hAnsi="Times New Roman"/>
        <w:i/>
        <w:lang w:val="en-US"/>
      </w:rPr>
      <w:t xml:space="preserve"> 618</w:t>
    </w:r>
  </w:p>
  <w:p w:rsidR="006A3A0F" w:rsidRPr="004B43FF" w:rsidRDefault="006A3A0F" w:rsidP="006A3A0F">
    <w:pPr>
      <w:pStyle w:val="Header"/>
      <w:jc w:val="right"/>
      <w:rPr>
        <w:rFonts w:ascii="Times New Roman" w:hAnsi="Times New Roman"/>
        <w:i/>
        <w:lang w:val="en-US"/>
      </w:rPr>
    </w:pPr>
    <w:r>
      <w:rPr>
        <w:rFonts w:ascii="Times New Roman" w:hAnsi="Times New Roman"/>
        <w:i/>
        <w:lang w:val="en-US"/>
      </w:rPr>
      <w:t>DOI: http</w:t>
    </w:r>
    <w:r w:rsidR="00EF4195">
      <w:rPr>
        <w:rFonts w:ascii="Times New Roman" w:hAnsi="Times New Roman"/>
        <w:i/>
        <w:lang w:val="en-US"/>
      </w:rPr>
      <w:t>s://</w:t>
    </w:r>
    <w:r w:rsidR="00312C0E">
      <w:rPr>
        <w:rFonts w:ascii="Times New Roman" w:hAnsi="Times New Roman"/>
        <w:i/>
        <w:lang w:val="en-US"/>
      </w:rPr>
      <w:t>doi.org/10.17576/mjas-2018-22</w:t>
    </w:r>
    <w:r w:rsidR="000C5261">
      <w:rPr>
        <w:rFonts w:ascii="Times New Roman" w:hAnsi="Times New Roman"/>
        <w:i/>
        <w:lang w:val="en-US"/>
      </w:rPr>
      <w:t>0</w:t>
    </w:r>
    <w:r w:rsidR="00D30A02">
      <w:rPr>
        <w:rFonts w:ascii="Times New Roman" w:hAnsi="Times New Roman"/>
        <w:i/>
        <w:lang w:val="en-US"/>
      </w:rPr>
      <w:t>4</w:t>
    </w:r>
    <w:r w:rsidR="008E493D">
      <w:rPr>
        <w:rFonts w:ascii="Times New Roman" w:hAnsi="Times New Roman"/>
        <w:i/>
        <w:lang w:val="en-US"/>
      </w:rPr>
      <w:t>-06</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778C" w:rsidRPr="00CE778C" w:rsidRDefault="00CE778C" w:rsidP="00CE778C">
    <w:pPr>
      <w:spacing w:after="0" w:line="240" w:lineRule="auto"/>
      <w:ind w:left="1170" w:hanging="1170"/>
      <w:outlineLvl w:val="0"/>
      <w:rPr>
        <w:rFonts w:ascii="Times New Roman" w:hAnsi="Times New Roman"/>
        <w:bCs/>
        <w:sz w:val="20"/>
        <w:szCs w:val="20"/>
        <w:lang w:val="en-GB"/>
      </w:rPr>
    </w:pPr>
    <w:r>
      <w:rPr>
        <w:rFonts w:ascii="Times New Roman" w:hAnsi="Times New Roman"/>
        <w:sz w:val="20"/>
        <w:szCs w:val="20"/>
      </w:rPr>
      <w:t>Alyani et al</w:t>
    </w:r>
    <w:r w:rsidR="008E6968" w:rsidRPr="00CE778C">
      <w:rPr>
        <w:rFonts w:ascii="Times New Roman" w:hAnsi="Times New Roman"/>
        <w:sz w:val="20"/>
        <w:szCs w:val="20"/>
      </w:rPr>
      <w:t xml:space="preserve">:  </w:t>
    </w:r>
    <w:r w:rsidRPr="00CE778C">
      <w:rPr>
        <w:rFonts w:ascii="Times New Roman" w:hAnsi="Times New Roman"/>
        <w:sz w:val="20"/>
        <w:szCs w:val="20"/>
      </w:rPr>
      <w:t xml:space="preserve"> </w:t>
    </w:r>
    <w:r>
      <w:rPr>
        <w:rFonts w:ascii="Times New Roman" w:hAnsi="Times New Roman"/>
        <w:sz w:val="20"/>
        <w:szCs w:val="20"/>
      </w:rPr>
      <w:tab/>
    </w:r>
    <w:r w:rsidRPr="00CE778C">
      <w:rPr>
        <w:rFonts w:ascii="Times New Roman" w:hAnsi="Times New Roman"/>
        <w:bCs/>
        <w:sz w:val="20"/>
        <w:szCs w:val="20"/>
        <w:lang w:val="en-GB"/>
      </w:rPr>
      <w:t>PHYSICOCHEMICAL PROPERTIES OF ENCAPSULATED PURPLE SWEET POTATO EXTRACT; EFFECT OF MALTODEXTRIN CONCENTRATION, AND MICROWAVE DRYING POWER</w:t>
    </w:r>
  </w:p>
  <w:p w:rsidR="00D75B35" w:rsidRPr="00CE778C" w:rsidRDefault="00D75B35" w:rsidP="00CE778C">
    <w:pPr>
      <w:pStyle w:val="Header"/>
      <w:ind w:left="1170" w:hanging="1170"/>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B2856"/>
    <w:multiLevelType w:val="hybridMultilevel"/>
    <w:tmpl w:val="415E0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1E413DC"/>
    <w:multiLevelType w:val="hybridMultilevel"/>
    <w:tmpl w:val="398889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A080D0A"/>
    <w:multiLevelType w:val="hybridMultilevel"/>
    <w:tmpl w:val="52E0D500"/>
    <w:lvl w:ilvl="0" w:tplc="150A8296">
      <w:start w:val="1"/>
      <w:numFmt w:val="lowerLetter"/>
      <w:lvlText w:val="%1)"/>
      <w:lvlJc w:val="left"/>
      <w:pPr>
        <w:ind w:left="1069" w:hanging="360"/>
      </w:pPr>
      <w:rPr>
        <w:rFonts w:hint="default"/>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242B"/>
    <w:rsid w:val="00016385"/>
    <w:rsid w:val="00070690"/>
    <w:rsid w:val="00084936"/>
    <w:rsid w:val="000C49FF"/>
    <w:rsid w:val="000C5261"/>
    <w:rsid w:val="000E5AF1"/>
    <w:rsid w:val="000F77DA"/>
    <w:rsid w:val="001068E8"/>
    <w:rsid w:val="00117BCD"/>
    <w:rsid w:val="00127342"/>
    <w:rsid w:val="00187C99"/>
    <w:rsid w:val="001D035A"/>
    <w:rsid w:val="001D3855"/>
    <w:rsid w:val="001D6F2C"/>
    <w:rsid w:val="00221D39"/>
    <w:rsid w:val="002B188F"/>
    <w:rsid w:val="002B3BD8"/>
    <w:rsid w:val="002C51C0"/>
    <w:rsid w:val="002F3F91"/>
    <w:rsid w:val="00304767"/>
    <w:rsid w:val="00304B34"/>
    <w:rsid w:val="00312C0E"/>
    <w:rsid w:val="00361BAF"/>
    <w:rsid w:val="00367D1F"/>
    <w:rsid w:val="00373A9B"/>
    <w:rsid w:val="00383F26"/>
    <w:rsid w:val="003D585B"/>
    <w:rsid w:val="003E1892"/>
    <w:rsid w:val="003E7DA6"/>
    <w:rsid w:val="003F12FF"/>
    <w:rsid w:val="00404C52"/>
    <w:rsid w:val="004760D4"/>
    <w:rsid w:val="00494C46"/>
    <w:rsid w:val="004A03E3"/>
    <w:rsid w:val="004B43FF"/>
    <w:rsid w:val="00502641"/>
    <w:rsid w:val="0050419B"/>
    <w:rsid w:val="00521DB8"/>
    <w:rsid w:val="00534441"/>
    <w:rsid w:val="00545363"/>
    <w:rsid w:val="00583C85"/>
    <w:rsid w:val="00584156"/>
    <w:rsid w:val="005C6768"/>
    <w:rsid w:val="00634C25"/>
    <w:rsid w:val="006416AB"/>
    <w:rsid w:val="006768E9"/>
    <w:rsid w:val="00687982"/>
    <w:rsid w:val="00695D0E"/>
    <w:rsid w:val="006A3A0F"/>
    <w:rsid w:val="006A4051"/>
    <w:rsid w:val="006B3EC8"/>
    <w:rsid w:val="006D175F"/>
    <w:rsid w:val="006D695E"/>
    <w:rsid w:val="00725A6A"/>
    <w:rsid w:val="00730CB3"/>
    <w:rsid w:val="00785D52"/>
    <w:rsid w:val="007943F3"/>
    <w:rsid w:val="007A738C"/>
    <w:rsid w:val="007B1349"/>
    <w:rsid w:val="007E25BD"/>
    <w:rsid w:val="007F4ECC"/>
    <w:rsid w:val="00801E18"/>
    <w:rsid w:val="00802C35"/>
    <w:rsid w:val="00807E3E"/>
    <w:rsid w:val="0082181A"/>
    <w:rsid w:val="008B470E"/>
    <w:rsid w:val="008C14D6"/>
    <w:rsid w:val="008E1211"/>
    <w:rsid w:val="008E493D"/>
    <w:rsid w:val="008E5BBF"/>
    <w:rsid w:val="008E6968"/>
    <w:rsid w:val="00A14DB9"/>
    <w:rsid w:val="00A4762A"/>
    <w:rsid w:val="00A74A7E"/>
    <w:rsid w:val="00A87399"/>
    <w:rsid w:val="00AD1B8A"/>
    <w:rsid w:val="00AD76AF"/>
    <w:rsid w:val="00AE713F"/>
    <w:rsid w:val="00AF3AC1"/>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E778C"/>
    <w:rsid w:val="00CF05FF"/>
    <w:rsid w:val="00D30A02"/>
    <w:rsid w:val="00D340BB"/>
    <w:rsid w:val="00D505D5"/>
    <w:rsid w:val="00D63C28"/>
    <w:rsid w:val="00D75B35"/>
    <w:rsid w:val="00D76E09"/>
    <w:rsid w:val="00D9736F"/>
    <w:rsid w:val="00D9792A"/>
    <w:rsid w:val="00DD377F"/>
    <w:rsid w:val="00DD7DEC"/>
    <w:rsid w:val="00E25547"/>
    <w:rsid w:val="00E2773B"/>
    <w:rsid w:val="00E31A5C"/>
    <w:rsid w:val="00E3287E"/>
    <w:rsid w:val="00E66197"/>
    <w:rsid w:val="00EB5BA5"/>
    <w:rsid w:val="00EC24E2"/>
    <w:rsid w:val="00EC6554"/>
    <w:rsid w:val="00EF4195"/>
    <w:rsid w:val="00F202C3"/>
    <w:rsid w:val="00F23D94"/>
    <w:rsid w:val="00F31093"/>
    <w:rsid w:val="00F412AF"/>
    <w:rsid w:val="00F43667"/>
    <w:rsid w:val="00F447A7"/>
    <w:rsid w:val="00F467A2"/>
    <w:rsid w:val="00F631EB"/>
    <w:rsid w:val="00FB4C59"/>
    <w:rsid w:val="00FB4F34"/>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BCAuthorAddress">
    <w:name w:val="BC_Author_Address"/>
    <w:basedOn w:val="Normal"/>
    <w:next w:val="Normal"/>
    <w:rsid w:val="003E1892"/>
    <w:pPr>
      <w:spacing w:before="80" w:after="0" w:line="200" w:lineRule="exact"/>
      <w:ind w:left="706" w:right="706"/>
      <w:jc w:val="center"/>
    </w:pPr>
    <w:rPr>
      <w:rFonts w:ascii="Times" w:hAnsi="Times"/>
      <w:i/>
      <w:sz w:val="18"/>
      <w:szCs w:val="20"/>
      <w:lang w:bidi="ar-SA"/>
    </w:rPr>
  </w:style>
  <w:style w:type="table" w:customStyle="1" w:styleId="LightShading11">
    <w:name w:val="Light Shading11"/>
    <w:basedOn w:val="TableNormal"/>
    <w:uiPriority w:val="60"/>
    <w:rsid w:val="003E1892"/>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E1892"/>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TTPSectionHeading">
    <w:name w:val="TTP Section Heading"/>
    <w:basedOn w:val="Normal"/>
    <w:next w:val="TTPParagraph1st"/>
    <w:uiPriority w:val="99"/>
    <w:rsid w:val="00127342"/>
    <w:pPr>
      <w:autoSpaceDE w:val="0"/>
      <w:autoSpaceDN w:val="0"/>
      <w:spacing w:before="360" w:after="120" w:line="240" w:lineRule="auto"/>
      <w:jc w:val="both"/>
    </w:pPr>
    <w:rPr>
      <w:rFonts w:ascii="Times New Roman" w:hAnsi="Times New Roman"/>
      <w:b/>
      <w:bCs/>
      <w:sz w:val="24"/>
      <w:szCs w:val="24"/>
      <w:lang w:bidi="ar-SA"/>
    </w:rPr>
  </w:style>
  <w:style w:type="paragraph" w:customStyle="1" w:styleId="TTPParagraph1st">
    <w:name w:val="TTP Paragraph (1st)"/>
    <w:basedOn w:val="Normal"/>
    <w:next w:val="TTPParagraphothers"/>
    <w:uiPriority w:val="99"/>
    <w:rsid w:val="00127342"/>
    <w:pPr>
      <w:autoSpaceDE w:val="0"/>
      <w:autoSpaceDN w:val="0"/>
      <w:spacing w:after="0" w:line="240" w:lineRule="auto"/>
      <w:jc w:val="both"/>
    </w:pPr>
    <w:rPr>
      <w:rFonts w:ascii="Times New Roman" w:hAnsi="Times New Roman"/>
      <w:sz w:val="24"/>
      <w:szCs w:val="24"/>
      <w:lang w:bidi="ar-SA"/>
    </w:rPr>
  </w:style>
  <w:style w:type="paragraph" w:customStyle="1" w:styleId="TTPParagraphothers">
    <w:name w:val="TTP Paragraph (others)"/>
    <w:basedOn w:val="TTPParagraph1st"/>
    <w:uiPriority w:val="99"/>
    <w:rsid w:val="00127342"/>
    <w:pPr>
      <w:ind w:firstLine="283"/>
    </w:pPr>
  </w:style>
  <w:style w:type="character" w:styleId="Hyperlink">
    <w:name w:val="Hyperlink"/>
    <w:uiPriority w:val="99"/>
    <w:rsid w:val="00127342"/>
    <w:rPr>
      <w:rFonts w:cs="Times New Roman"/>
      <w:color w:val="0000FF"/>
      <w:u w:val="single"/>
    </w:rPr>
  </w:style>
  <w:style w:type="paragraph" w:customStyle="1" w:styleId="Paragraph">
    <w:name w:val="Paragraph"/>
    <w:basedOn w:val="Normal"/>
    <w:rsid w:val="00127342"/>
    <w:pPr>
      <w:spacing w:after="0" w:line="240" w:lineRule="auto"/>
      <w:ind w:firstLine="284"/>
      <w:jc w:val="both"/>
    </w:pPr>
    <w:rPr>
      <w:rFonts w:ascii="Times New Roman" w:hAnsi="Times New Roman"/>
      <w:sz w:val="20"/>
      <w:szCs w:val="20"/>
      <w:lang w:bidi="ar-SA"/>
    </w:rPr>
  </w:style>
  <w:style w:type="paragraph" w:customStyle="1" w:styleId="BCAuthorAddress">
    <w:name w:val="BC_Author_Address"/>
    <w:basedOn w:val="Normal"/>
    <w:next w:val="Normal"/>
    <w:rsid w:val="003E1892"/>
    <w:pPr>
      <w:spacing w:before="80" w:after="0" w:line="200" w:lineRule="exact"/>
      <w:ind w:left="706" w:right="706"/>
      <w:jc w:val="center"/>
    </w:pPr>
    <w:rPr>
      <w:rFonts w:ascii="Times" w:hAnsi="Times"/>
      <w:i/>
      <w:sz w:val="18"/>
      <w:szCs w:val="20"/>
      <w:lang w:bidi="ar-SA"/>
    </w:rPr>
  </w:style>
  <w:style w:type="table" w:customStyle="1" w:styleId="LightShading11">
    <w:name w:val="Light Shading11"/>
    <w:basedOn w:val="TableNormal"/>
    <w:uiPriority w:val="60"/>
    <w:rsid w:val="003E1892"/>
    <w:rPr>
      <w:rFonts w:asciiTheme="minorHAnsi" w:eastAsiaTheme="minorHAnsi" w:hAnsiTheme="minorHAnsi" w:cstheme="minorBidi"/>
      <w:color w:val="000000" w:themeColor="text1" w:themeShade="BF"/>
      <w:sz w:val="22"/>
      <w:szCs w:val="22"/>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3E1892"/>
    <w:rPr>
      <w:rFonts w:ascii="Times New Roman" w:eastAsia="Times New Roman" w:hAnsi="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A75D-4317-456D-8D15-ECB936F7D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7</Pages>
  <Words>3266</Words>
  <Characters>18162</Characters>
  <Application>Microsoft Office Word</Application>
  <DocSecurity>0</DocSecurity>
  <Lines>403</Lines>
  <Paragraphs>204</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13</cp:revision>
  <cp:lastPrinted>2018-08-13T00:49:00Z</cp:lastPrinted>
  <dcterms:created xsi:type="dcterms:W3CDTF">2018-07-23T10:31:00Z</dcterms:created>
  <dcterms:modified xsi:type="dcterms:W3CDTF">2018-08-13T00:49:00Z</dcterms:modified>
</cp:coreProperties>
</file>