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B1" w:rsidRDefault="00DD3172" w:rsidP="007C23B1">
      <w:pPr>
        <w:pStyle w:val="NoSpacing"/>
        <w:contextualSpacing/>
        <w:jc w:val="center"/>
        <w:outlineLvl w:val="0"/>
        <w:rPr>
          <w:bCs/>
          <w:sz w:val="28"/>
          <w:szCs w:val="28"/>
          <w:lang w:val="ms-MY"/>
        </w:rPr>
      </w:pPr>
      <w:r w:rsidRPr="007C23B1">
        <w:rPr>
          <w:bCs/>
          <w:sz w:val="28"/>
          <w:szCs w:val="28"/>
          <w:lang w:val="ms-MY"/>
        </w:rPr>
        <w:t xml:space="preserve">KAJIAN KELIKATAN PELARUT EUTEKTIK DALAM </w:t>
      </w:r>
      <w:r w:rsidR="007A289F" w:rsidRPr="007C23B1">
        <w:rPr>
          <w:bCs/>
          <w:sz w:val="28"/>
          <w:szCs w:val="28"/>
          <w:lang w:val="ms-MY"/>
        </w:rPr>
        <w:t xml:space="preserve">RELINA TERHADAP PENGEKSTRAKAN α-TOKOFEROL DARIPADA </w:t>
      </w:r>
    </w:p>
    <w:p w:rsidR="00831484" w:rsidRPr="007C23B1" w:rsidRDefault="007A289F" w:rsidP="007C23B1">
      <w:pPr>
        <w:pStyle w:val="NoSpacing"/>
        <w:contextualSpacing/>
        <w:jc w:val="center"/>
        <w:outlineLvl w:val="0"/>
        <w:rPr>
          <w:bCs/>
          <w:sz w:val="28"/>
          <w:szCs w:val="28"/>
          <w:lang w:val="ms-MY"/>
        </w:rPr>
      </w:pPr>
      <w:r w:rsidRPr="007C23B1">
        <w:rPr>
          <w:bCs/>
          <w:sz w:val="28"/>
          <w:szCs w:val="28"/>
          <w:lang w:val="ms-MY"/>
        </w:rPr>
        <w:t>MINYAK SAWIT MENTAH</w:t>
      </w:r>
    </w:p>
    <w:p w:rsidR="00831484" w:rsidRPr="005154AA" w:rsidRDefault="00831484" w:rsidP="00F13E0B">
      <w:pPr>
        <w:pStyle w:val="NoSpacing"/>
        <w:contextualSpacing/>
        <w:jc w:val="center"/>
        <w:rPr>
          <w:b/>
          <w:bCs/>
          <w:sz w:val="24"/>
          <w:szCs w:val="24"/>
          <w:lang w:val="ms-MY"/>
        </w:rPr>
      </w:pPr>
    </w:p>
    <w:p w:rsidR="007C23B1" w:rsidRDefault="00831484" w:rsidP="00831484">
      <w:pPr>
        <w:pStyle w:val="NoSpacing"/>
        <w:jc w:val="center"/>
        <w:outlineLvl w:val="0"/>
        <w:rPr>
          <w:bCs/>
          <w:sz w:val="24"/>
          <w:szCs w:val="24"/>
          <w:lang w:val="ms-MY"/>
        </w:rPr>
      </w:pPr>
      <w:r w:rsidRPr="005154AA">
        <w:rPr>
          <w:bCs/>
          <w:sz w:val="24"/>
          <w:szCs w:val="24"/>
          <w:lang w:val="ms-MY"/>
        </w:rPr>
        <w:t>(</w:t>
      </w:r>
      <w:r w:rsidR="003E70CA" w:rsidRPr="005154AA">
        <w:rPr>
          <w:bCs/>
          <w:sz w:val="24"/>
          <w:szCs w:val="24"/>
          <w:lang w:val="ms-MY"/>
        </w:rPr>
        <w:t>S</w:t>
      </w:r>
      <w:r w:rsidR="0062103D" w:rsidRPr="005154AA">
        <w:rPr>
          <w:bCs/>
          <w:sz w:val="24"/>
          <w:szCs w:val="24"/>
          <w:lang w:val="ms-MY"/>
        </w:rPr>
        <w:t>tudy</w:t>
      </w:r>
      <w:r w:rsidR="003E70CA" w:rsidRPr="005154AA">
        <w:rPr>
          <w:bCs/>
          <w:sz w:val="24"/>
          <w:szCs w:val="24"/>
          <w:lang w:val="ms-MY"/>
        </w:rPr>
        <w:t xml:space="preserve"> </w:t>
      </w:r>
      <w:r w:rsidR="0062103D" w:rsidRPr="005154AA">
        <w:rPr>
          <w:bCs/>
          <w:sz w:val="24"/>
          <w:szCs w:val="24"/>
          <w:lang w:val="ms-MY"/>
        </w:rPr>
        <w:t>on</w:t>
      </w:r>
      <w:r w:rsidR="003E70CA" w:rsidRPr="005154AA">
        <w:rPr>
          <w:bCs/>
          <w:sz w:val="24"/>
          <w:szCs w:val="24"/>
          <w:lang w:val="ms-MY"/>
        </w:rPr>
        <w:t xml:space="preserve"> V</w:t>
      </w:r>
      <w:r w:rsidR="0062103D" w:rsidRPr="005154AA">
        <w:rPr>
          <w:bCs/>
          <w:sz w:val="24"/>
          <w:szCs w:val="24"/>
          <w:lang w:val="ms-MY"/>
        </w:rPr>
        <w:t>iscosity</w:t>
      </w:r>
      <w:r w:rsidR="003E70CA" w:rsidRPr="005154AA">
        <w:rPr>
          <w:bCs/>
          <w:sz w:val="24"/>
          <w:szCs w:val="24"/>
          <w:lang w:val="ms-MY"/>
        </w:rPr>
        <w:t xml:space="preserve"> </w:t>
      </w:r>
      <w:r w:rsidR="0062103D" w:rsidRPr="005154AA">
        <w:rPr>
          <w:bCs/>
          <w:sz w:val="24"/>
          <w:szCs w:val="24"/>
          <w:lang w:val="ms-MY"/>
        </w:rPr>
        <w:t xml:space="preserve">of </w:t>
      </w:r>
      <w:r w:rsidR="003E70CA" w:rsidRPr="005154AA">
        <w:rPr>
          <w:bCs/>
          <w:sz w:val="24"/>
          <w:szCs w:val="24"/>
          <w:lang w:val="ms-MY"/>
        </w:rPr>
        <w:t>R</w:t>
      </w:r>
      <w:r w:rsidR="0062103D" w:rsidRPr="005154AA">
        <w:rPr>
          <w:bCs/>
          <w:sz w:val="24"/>
          <w:szCs w:val="24"/>
          <w:lang w:val="ms-MY"/>
        </w:rPr>
        <w:t>eline</w:t>
      </w:r>
      <w:r w:rsidR="003E70CA" w:rsidRPr="005154AA">
        <w:rPr>
          <w:bCs/>
          <w:sz w:val="24"/>
          <w:szCs w:val="24"/>
          <w:lang w:val="ms-MY"/>
        </w:rPr>
        <w:t xml:space="preserve"> D</w:t>
      </w:r>
      <w:r w:rsidR="0062103D" w:rsidRPr="005154AA">
        <w:rPr>
          <w:bCs/>
          <w:sz w:val="24"/>
          <w:szCs w:val="24"/>
          <w:lang w:val="ms-MY"/>
        </w:rPr>
        <w:t>eep</w:t>
      </w:r>
      <w:r w:rsidR="003E70CA" w:rsidRPr="005154AA">
        <w:rPr>
          <w:bCs/>
          <w:sz w:val="24"/>
          <w:szCs w:val="24"/>
          <w:lang w:val="ms-MY"/>
        </w:rPr>
        <w:t xml:space="preserve"> E</w:t>
      </w:r>
      <w:r w:rsidR="0062103D" w:rsidRPr="005154AA">
        <w:rPr>
          <w:bCs/>
          <w:sz w:val="24"/>
          <w:szCs w:val="24"/>
          <w:lang w:val="ms-MY"/>
        </w:rPr>
        <w:t>utectic</w:t>
      </w:r>
      <w:r w:rsidR="003E70CA" w:rsidRPr="005154AA">
        <w:rPr>
          <w:bCs/>
          <w:sz w:val="24"/>
          <w:szCs w:val="24"/>
          <w:lang w:val="ms-MY"/>
        </w:rPr>
        <w:t xml:space="preserve"> S</w:t>
      </w:r>
      <w:r w:rsidR="0062103D" w:rsidRPr="005154AA">
        <w:rPr>
          <w:bCs/>
          <w:sz w:val="24"/>
          <w:szCs w:val="24"/>
          <w:lang w:val="ms-MY"/>
        </w:rPr>
        <w:t>olvent</w:t>
      </w:r>
      <w:r w:rsidR="003E70CA" w:rsidRPr="005154AA">
        <w:rPr>
          <w:bCs/>
          <w:sz w:val="24"/>
          <w:szCs w:val="24"/>
          <w:lang w:val="ms-MY"/>
        </w:rPr>
        <w:t xml:space="preserve"> </w:t>
      </w:r>
      <w:r w:rsidR="0062103D" w:rsidRPr="005154AA">
        <w:rPr>
          <w:bCs/>
          <w:sz w:val="24"/>
          <w:szCs w:val="24"/>
          <w:lang w:val="ms-MY"/>
        </w:rPr>
        <w:t xml:space="preserve">on </w:t>
      </w:r>
      <w:r w:rsidR="003E70CA" w:rsidRPr="005154AA">
        <w:rPr>
          <w:bCs/>
          <w:sz w:val="24"/>
          <w:szCs w:val="24"/>
          <w:lang w:val="ms-MY"/>
        </w:rPr>
        <w:t>T</w:t>
      </w:r>
      <w:r w:rsidR="0062103D" w:rsidRPr="005154AA">
        <w:rPr>
          <w:bCs/>
          <w:sz w:val="24"/>
          <w:szCs w:val="24"/>
          <w:lang w:val="ms-MY"/>
        </w:rPr>
        <w:t>he α-</w:t>
      </w:r>
      <w:bookmarkStart w:id="0" w:name="_GoBack"/>
      <w:bookmarkEnd w:id="0"/>
      <w:r w:rsidR="003E70CA" w:rsidRPr="005154AA">
        <w:rPr>
          <w:bCs/>
          <w:sz w:val="24"/>
          <w:szCs w:val="24"/>
          <w:lang w:val="ms-MY"/>
        </w:rPr>
        <w:t>T</w:t>
      </w:r>
      <w:r w:rsidR="0062103D" w:rsidRPr="005154AA">
        <w:rPr>
          <w:bCs/>
          <w:sz w:val="24"/>
          <w:szCs w:val="24"/>
          <w:lang w:val="ms-MY"/>
        </w:rPr>
        <w:t>ocopherol</w:t>
      </w:r>
      <w:r w:rsidR="003E70CA" w:rsidRPr="005154AA">
        <w:rPr>
          <w:bCs/>
          <w:sz w:val="24"/>
          <w:szCs w:val="24"/>
          <w:lang w:val="ms-MY"/>
        </w:rPr>
        <w:t xml:space="preserve"> </w:t>
      </w:r>
    </w:p>
    <w:p w:rsidR="00052DC0" w:rsidRPr="005154AA" w:rsidRDefault="003E70CA" w:rsidP="007C23B1">
      <w:pPr>
        <w:pStyle w:val="NoSpacing"/>
        <w:jc w:val="center"/>
        <w:outlineLvl w:val="0"/>
        <w:rPr>
          <w:bCs/>
          <w:sz w:val="24"/>
          <w:szCs w:val="24"/>
          <w:lang w:val="ms-MY"/>
        </w:rPr>
      </w:pPr>
      <w:r w:rsidRPr="005154AA">
        <w:rPr>
          <w:bCs/>
          <w:sz w:val="24"/>
          <w:szCs w:val="24"/>
          <w:lang w:val="ms-MY"/>
        </w:rPr>
        <w:t>E</w:t>
      </w:r>
      <w:r w:rsidR="0062103D" w:rsidRPr="005154AA">
        <w:rPr>
          <w:bCs/>
          <w:sz w:val="24"/>
          <w:szCs w:val="24"/>
          <w:lang w:val="ms-MY"/>
        </w:rPr>
        <w:t xml:space="preserve">xtraction </w:t>
      </w:r>
      <w:r w:rsidRPr="005154AA">
        <w:rPr>
          <w:bCs/>
          <w:sz w:val="24"/>
          <w:szCs w:val="24"/>
          <w:lang w:val="ms-MY"/>
        </w:rPr>
        <w:t>F</w:t>
      </w:r>
      <w:r w:rsidR="0062103D" w:rsidRPr="005154AA">
        <w:rPr>
          <w:bCs/>
          <w:sz w:val="24"/>
          <w:szCs w:val="24"/>
          <w:lang w:val="ms-MY"/>
        </w:rPr>
        <w:t xml:space="preserve">rom </w:t>
      </w:r>
      <w:r w:rsidRPr="005154AA">
        <w:rPr>
          <w:bCs/>
          <w:sz w:val="24"/>
          <w:szCs w:val="24"/>
          <w:lang w:val="ms-MY"/>
        </w:rPr>
        <w:t>C</w:t>
      </w:r>
      <w:r w:rsidR="0062103D" w:rsidRPr="005154AA">
        <w:rPr>
          <w:bCs/>
          <w:sz w:val="24"/>
          <w:szCs w:val="24"/>
          <w:lang w:val="ms-MY"/>
        </w:rPr>
        <w:t>rude</w:t>
      </w:r>
      <w:r w:rsidRPr="005154AA">
        <w:rPr>
          <w:bCs/>
          <w:sz w:val="24"/>
          <w:szCs w:val="24"/>
          <w:lang w:val="ms-MY"/>
        </w:rPr>
        <w:t xml:space="preserve"> P</w:t>
      </w:r>
      <w:r w:rsidR="0062103D" w:rsidRPr="005154AA">
        <w:rPr>
          <w:bCs/>
          <w:sz w:val="24"/>
          <w:szCs w:val="24"/>
          <w:lang w:val="ms-MY"/>
        </w:rPr>
        <w:t>alm</w:t>
      </w:r>
      <w:r w:rsidRPr="005154AA">
        <w:rPr>
          <w:bCs/>
          <w:sz w:val="24"/>
          <w:szCs w:val="24"/>
          <w:lang w:val="ms-MY"/>
        </w:rPr>
        <w:t xml:space="preserve"> O</w:t>
      </w:r>
      <w:r w:rsidR="0062103D" w:rsidRPr="005154AA">
        <w:rPr>
          <w:bCs/>
          <w:sz w:val="24"/>
          <w:szCs w:val="24"/>
          <w:lang w:val="ms-MY"/>
        </w:rPr>
        <w:t>il</w:t>
      </w:r>
      <w:r w:rsidR="00831484" w:rsidRPr="005154AA">
        <w:rPr>
          <w:bCs/>
          <w:sz w:val="24"/>
          <w:szCs w:val="24"/>
          <w:lang w:val="ms-MY"/>
        </w:rPr>
        <w:t>)</w:t>
      </w:r>
    </w:p>
    <w:p w:rsidR="00713183" w:rsidRPr="005154AA" w:rsidRDefault="00713183" w:rsidP="009A5068">
      <w:pPr>
        <w:pStyle w:val="NoSpacing"/>
        <w:spacing w:line="200" w:lineRule="exact"/>
        <w:contextualSpacing/>
        <w:jc w:val="center"/>
        <w:rPr>
          <w:b/>
          <w:bCs/>
          <w:sz w:val="20"/>
          <w:szCs w:val="20"/>
          <w:lang w:val="ms-MY"/>
        </w:rPr>
      </w:pPr>
    </w:p>
    <w:p w:rsidR="007C23B1" w:rsidRDefault="00052DC0" w:rsidP="003E70CA">
      <w:pPr>
        <w:pStyle w:val="NoSpacing"/>
        <w:contextualSpacing/>
        <w:jc w:val="center"/>
        <w:outlineLvl w:val="0"/>
        <w:rPr>
          <w:bCs/>
          <w:sz w:val="20"/>
          <w:szCs w:val="20"/>
          <w:lang w:val="ms-MY"/>
        </w:rPr>
      </w:pPr>
      <w:r w:rsidRPr="005154AA">
        <w:rPr>
          <w:bCs/>
          <w:sz w:val="20"/>
          <w:szCs w:val="20"/>
          <w:lang w:val="ms-MY"/>
        </w:rPr>
        <w:t>N</w:t>
      </w:r>
      <w:r w:rsidR="00831484" w:rsidRPr="005154AA">
        <w:rPr>
          <w:bCs/>
          <w:sz w:val="20"/>
          <w:szCs w:val="20"/>
          <w:lang w:val="ms-MY"/>
        </w:rPr>
        <w:t>oor</w:t>
      </w:r>
      <w:r w:rsidRPr="005154AA">
        <w:rPr>
          <w:bCs/>
          <w:sz w:val="20"/>
          <w:szCs w:val="20"/>
          <w:lang w:val="ms-MY"/>
        </w:rPr>
        <w:t xml:space="preserve"> H</w:t>
      </w:r>
      <w:r w:rsidR="00831484" w:rsidRPr="005154AA">
        <w:rPr>
          <w:bCs/>
          <w:sz w:val="20"/>
          <w:szCs w:val="20"/>
          <w:lang w:val="ms-MY"/>
        </w:rPr>
        <w:t xml:space="preserve">asyimah </w:t>
      </w:r>
      <w:r w:rsidRPr="005154AA">
        <w:rPr>
          <w:bCs/>
          <w:sz w:val="20"/>
          <w:szCs w:val="20"/>
          <w:lang w:val="ms-MY"/>
        </w:rPr>
        <w:t>H</w:t>
      </w:r>
      <w:r w:rsidR="00831484" w:rsidRPr="005154AA">
        <w:rPr>
          <w:bCs/>
          <w:sz w:val="20"/>
          <w:szCs w:val="20"/>
          <w:lang w:val="ms-MY"/>
        </w:rPr>
        <w:t>ussain</w:t>
      </w:r>
      <w:r w:rsidRPr="005154AA">
        <w:rPr>
          <w:bCs/>
          <w:sz w:val="20"/>
          <w:szCs w:val="20"/>
          <w:lang w:val="ms-MY"/>
        </w:rPr>
        <w:t xml:space="preserve">, </w:t>
      </w:r>
      <w:r w:rsidR="00831484" w:rsidRPr="005154AA">
        <w:rPr>
          <w:bCs/>
          <w:sz w:val="20"/>
          <w:szCs w:val="20"/>
          <w:lang w:val="ms-MY"/>
        </w:rPr>
        <w:t>Zetty Shafiqa Othman</w:t>
      </w:r>
      <w:r w:rsidRPr="005154AA">
        <w:rPr>
          <w:bCs/>
          <w:sz w:val="20"/>
          <w:szCs w:val="20"/>
          <w:lang w:val="ms-MY"/>
        </w:rPr>
        <w:t xml:space="preserve">, </w:t>
      </w:r>
      <w:r w:rsidR="0024450C" w:rsidRPr="005154AA">
        <w:rPr>
          <w:bCs/>
          <w:sz w:val="20"/>
          <w:szCs w:val="20"/>
          <w:lang w:val="ms-MY"/>
        </w:rPr>
        <w:t>E</w:t>
      </w:r>
      <w:r w:rsidR="00831484" w:rsidRPr="005154AA">
        <w:rPr>
          <w:bCs/>
          <w:sz w:val="20"/>
          <w:szCs w:val="20"/>
          <w:lang w:val="ms-MY"/>
        </w:rPr>
        <w:t>dison</w:t>
      </w:r>
      <w:r w:rsidR="0024450C" w:rsidRPr="005154AA">
        <w:rPr>
          <w:bCs/>
          <w:sz w:val="20"/>
          <w:szCs w:val="20"/>
          <w:lang w:val="ms-MY"/>
        </w:rPr>
        <w:t xml:space="preserve"> E</w:t>
      </w:r>
      <w:r w:rsidR="00831484" w:rsidRPr="005154AA">
        <w:rPr>
          <w:bCs/>
          <w:sz w:val="20"/>
          <w:szCs w:val="20"/>
          <w:lang w:val="ms-MY"/>
        </w:rPr>
        <w:t>ukun</w:t>
      </w:r>
      <w:r w:rsidR="0024450C" w:rsidRPr="005154AA">
        <w:rPr>
          <w:bCs/>
          <w:sz w:val="20"/>
          <w:szCs w:val="20"/>
          <w:lang w:val="ms-MY"/>
        </w:rPr>
        <w:t xml:space="preserve"> S</w:t>
      </w:r>
      <w:r w:rsidR="00831484" w:rsidRPr="005154AA">
        <w:rPr>
          <w:bCs/>
          <w:sz w:val="20"/>
          <w:szCs w:val="20"/>
          <w:lang w:val="ms-MY"/>
        </w:rPr>
        <w:t>age</w:t>
      </w:r>
      <w:r w:rsidR="0024450C" w:rsidRPr="005154AA">
        <w:rPr>
          <w:bCs/>
          <w:sz w:val="20"/>
          <w:szCs w:val="20"/>
          <w:lang w:val="ms-MY"/>
        </w:rPr>
        <w:t xml:space="preserve">, </w:t>
      </w:r>
      <w:r w:rsidRPr="005154AA">
        <w:rPr>
          <w:bCs/>
          <w:sz w:val="20"/>
          <w:szCs w:val="20"/>
          <w:lang w:val="ms-MY"/>
        </w:rPr>
        <w:t>R</w:t>
      </w:r>
      <w:r w:rsidR="00831484" w:rsidRPr="005154AA">
        <w:rPr>
          <w:bCs/>
          <w:sz w:val="20"/>
          <w:szCs w:val="20"/>
          <w:lang w:val="ms-MY"/>
        </w:rPr>
        <w:t>ozida</w:t>
      </w:r>
      <w:r w:rsidRPr="005154AA">
        <w:rPr>
          <w:bCs/>
          <w:sz w:val="20"/>
          <w:szCs w:val="20"/>
          <w:lang w:val="ms-MY"/>
        </w:rPr>
        <w:t xml:space="preserve"> M</w:t>
      </w:r>
      <w:r w:rsidR="00831484" w:rsidRPr="005154AA">
        <w:rPr>
          <w:bCs/>
          <w:sz w:val="20"/>
          <w:szCs w:val="20"/>
          <w:lang w:val="ms-MY"/>
        </w:rPr>
        <w:t>ohd</w:t>
      </w:r>
      <w:r w:rsidRPr="005154AA">
        <w:rPr>
          <w:bCs/>
          <w:sz w:val="20"/>
          <w:szCs w:val="20"/>
          <w:lang w:val="ms-MY"/>
        </w:rPr>
        <w:t xml:space="preserve"> K</w:t>
      </w:r>
      <w:r w:rsidR="00831484" w:rsidRPr="005154AA">
        <w:rPr>
          <w:bCs/>
          <w:sz w:val="20"/>
          <w:szCs w:val="20"/>
          <w:lang w:val="ms-MY"/>
        </w:rPr>
        <w:t>halid</w:t>
      </w:r>
      <w:r w:rsidRPr="005154AA">
        <w:rPr>
          <w:bCs/>
          <w:sz w:val="20"/>
          <w:szCs w:val="20"/>
          <w:lang w:val="ms-MY"/>
        </w:rPr>
        <w:t xml:space="preserve">, </w:t>
      </w:r>
    </w:p>
    <w:p w:rsidR="00831484" w:rsidRPr="005154AA" w:rsidRDefault="00052DC0" w:rsidP="003E70CA">
      <w:pPr>
        <w:pStyle w:val="NoSpacing"/>
        <w:contextualSpacing/>
        <w:jc w:val="center"/>
        <w:outlineLvl w:val="0"/>
        <w:rPr>
          <w:bCs/>
          <w:sz w:val="20"/>
          <w:szCs w:val="20"/>
          <w:vertAlign w:val="superscript"/>
          <w:lang w:val="ms-MY"/>
        </w:rPr>
      </w:pPr>
      <w:r w:rsidRPr="005154AA">
        <w:rPr>
          <w:bCs/>
          <w:sz w:val="20"/>
          <w:szCs w:val="20"/>
          <w:lang w:val="ms-MY"/>
        </w:rPr>
        <w:t>N</w:t>
      </w:r>
      <w:r w:rsidR="00831484" w:rsidRPr="005154AA">
        <w:rPr>
          <w:bCs/>
          <w:sz w:val="20"/>
          <w:szCs w:val="20"/>
          <w:lang w:val="ms-MY"/>
        </w:rPr>
        <w:t>ur</w:t>
      </w:r>
      <w:r w:rsidRPr="005154AA">
        <w:rPr>
          <w:bCs/>
          <w:sz w:val="20"/>
          <w:szCs w:val="20"/>
          <w:lang w:val="ms-MY"/>
        </w:rPr>
        <w:t xml:space="preserve"> H</w:t>
      </w:r>
      <w:r w:rsidR="00831484" w:rsidRPr="005154AA">
        <w:rPr>
          <w:bCs/>
          <w:sz w:val="20"/>
          <w:szCs w:val="20"/>
          <w:lang w:val="ms-MY"/>
        </w:rPr>
        <w:t>asyareeda</w:t>
      </w:r>
      <w:r w:rsidRPr="005154AA">
        <w:rPr>
          <w:bCs/>
          <w:sz w:val="20"/>
          <w:szCs w:val="20"/>
          <w:lang w:val="ms-MY"/>
        </w:rPr>
        <w:t xml:space="preserve"> H</w:t>
      </w:r>
      <w:r w:rsidR="00831484" w:rsidRPr="005154AA">
        <w:rPr>
          <w:bCs/>
          <w:sz w:val="20"/>
          <w:szCs w:val="20"/>
          <w:lang w:val="ms-MY"/>
        </w:rPr>
        <w:t>assan</w:t>
      </w:r>
    </w:p>
    <w:p w:rsidR="00A94664" w:rsidRPr="005154AA" w:rsidRDefault="00A94664" w:rsidP="005D6CDE">
      <w:pPr>
        <w:pStyle w:val="NoSpacing"/>
        <w:spacing w:line="180" w:lineRule="exact"/>
        <w:contextualSpacing/>
        <w:outlineLvl w:val="0"/>
        <w:rPr>
          <w:bCs/>
          <w:sz w:val="18"/>
          <w:szCs w:val="18"/>
          <w:vertAlign w:val="superscript"/>
          <w:lang w:val="ms-MY"/>
        </w:rPr>
      </w:pPr>
    </w:p>
    <w:p w:rsidR="00831484" w:rsidRPr="005154AA" w:rsidRDefault="00502C96" w:rsidP="00A94664">
      <w:pPr>
        <w:jc w:val="center"/>
        <w:outlineLvl w:val="0"/>
        <w:rPr>
          <w:sz w:val="24"/>
          <w:szCs w:val="24"/>
          <w:lang w:eastAsia="en-MY"/>
        </w:rPr>
      </w:pPr>
      <w:r w:rsidRPr="005154AA">
        <w:rPr>
          <w:i/>
          <w:sz w:val="18"/>
          <w:szCs w:val="18"/>
          <w:lang w:eastAsia="en-MY"/>
        </w:rPr>
        <w:t>Pusat Pengajian Sains Kimia dan Teknologi Makanan</w:t>
      </w:r>
      <w:r w:rsidR="00831484" w:rsidRPr="005154AA">
        <w:rPr>
          <w:i/>
          <w:sz w:val="18"/>
          <w:szCs w:val="18"/>
          <w:lang w:eastAsia="en-MY"/>
        </w:rPr>
        <w:t xml:space="preserve">, </w:t>
      </w:r>
      <w:r w:rsidRPr="005154AA">
        <w:rPr>
          <w:i/>
          <w:sz w:val="18"/>
          <w:szCs w:val="18"/>
          <w:lang w:eastAsia="en-MY"/>
        </w:rPr>
        <w:t>Fakulti Sains dan Teknologi</w:t>
      </w:r>
    </w:p>
    <w:p w:rsidR="00831484" w:rsidRPr="005154AA" w:rsidRDefault="00831484" w:rsidP="00A94664">
      <w:pPr>
        <w:jc w:val="center"/>
        <w:outlineLvl w:val="0"/>
        <w:rPr>
          <w:i/>
          <w:sz w:val="18"/>
          <w:szCs w:val="18"/>
          <w:lang w:eastAsia="en-MY"/>
        </w:rPr>
      </w:pPr>
      <w:r w:rsidRPr="005154AA">
        <w:rPr>
          <w:i/>
          <w:sz w:val="18"/>
          <w:szCs w:val="18"/>
          <w:lang w:eastAsia="en-MY"/>
        </w:rPr>
        <w:t>Universiti Kebangsaan Malaysia, 43600 UKM Bangi, Selangor, Malaysia</w:t>
      </w:r>
    </w:p>
    <w:p w:rsidR="00A94664" w:rsidRPr="005154AA" w:rsidRDefault="00A94664" w:rsidP="005D6CDE">
      <w:pPr>
        <w:spacing w:line="180" w:lineRule="exact"/>
        <w:outlineLvl w:val="0"/>
        <w:rPr>
          <w:i/>
          <w:sz w:val="18"/>
          <w:szCs w:val="18"/>
          <w:lang w:eastAsia="en-MY"/>
        </w:rPr>
      </w:pPr>
    </w:p>
    <w:p w:rsidR="00F13E0B" w:rsidRPr="005154AA" w:rsidRDefault="00F13E0B" w:rsidP="00A94664">
      <w:pPr>
        <w:jc w:val="center"/>
        <w:outlineLvl w:val="0"/>
        <w:rPr>
          <w:i/>
          <w:sz w:val="18"/>
          <w:szCs w:val="18"/>
          <w:lang w:eastAsia="en-MY"/>
        </w:rPr>
      </w:pPr>
      <w:r w:rsidRPr="005154AA">
        <w:rPr>
          <w:bCs/>
          <w:i/>
          <w:sz w:val="18"/>
          <w:szCs w:val="18"/>
          <w:lang w:val="ms-MY"/>
        </w:rPr>
        <w:t>*</w:t>
      </w:r>
      <w:r w:rsidR="007C23B1">
        <w:rPr>
          <w:bCs/>
          <w:i/>
          <w:sz w:val="18"/>
          <w:szCs w:val="18"/>
          <w:lang w:val="ms-MY"/>
        </w:rPr>
        <w:t>Pengarang utama</w:t>
      </w:r>
      <w:r w:rsidRPr="005154AA">
        <w:rPr>
          <w:bCs/>
          <w:i/>
          <w:sz w:val="18"/>
          <w:szCs w:val="18"/>
          <w:lang w:val="ms-MY"/>
        </w:rPr>
        <w:t>: syareeda@ukm.edu.my</w:t>
      </w:r>
    </w:p>
    <w:p w:rsidR="00F13E0B" w:rsidRPr="005154AA" w:rsidRDefault="00F13E0B" w:rsidP="00CE671E">
      <w:pPr>
        <w:rPr>
          <w:b/>
          <w:sz w:val="24"/>
          <w:szCs w:val="24"/>
        </w:rPr>
      </w:pPr>
    </w:p>
    <w:p w:rsidR="00002263" w:rsidRPr="005154AA" w:rsidRDefault="00002263" w:rsidP="00002263">
      <w:pPr>
        <w:pStyle w:val="NoSpacing"/>
        <w:contextualSpacing/>
        <w:rPr>
          <w:b/>
          <w:bCs/>
          <w:sz w:val="18"/>
          <w:szCs w:val="18"/>
        </w:rPr>
      </w:pPr>
      <w:r>
        <w:rPr>
          <w:b/>
          <w:sz w:val="20"/>
        </w:rPr>
        <w:t xml:space="preserve">                                                                                   </w:t>
      </w:r>
      <w:r w:rsidRPr="00002263">
        <w:rPr>
          <w:b/>
          <w:sz w:val="20"/>
        </w:rPr>
        <w:t>Abstrak</w:t>
      </w:r>
      <w:r w:rsidRPr="005154AA">
        <w:rPr>
          <w:sz w:val="18"/>
          <w:szCs w:val="18"/>
          <w:lang w:eastAsia="zh-CN"/>
        </w:rPr>
        <w:br/>
        <w:t xml:space="preserve">DES Relina diklasifikasikan sebagai pelarut hijau dan serasi untuk digunakan bagi pengekstrakan α-tokoferol (α-T) daripada minyak sawit mentah (CPO) kerana kemampuannya untuk membentuk ikatan hidrogen yang kuat dengan molekul α-T. Kepekatan dan hasil α-T dikuantifikasi menggunakan kromatografi cecair prestasi tinggi fasa berbalik (RP-HPLC). Dua parameter dikaji melalui penggunaan lima siri nisbah CPO: DES relina (1: 1, 1: 2, 1: 3, 1: 4 dan 1: 5) pada 2 dan 3 jam masa pengekstrakan untuk mengenalpasti keadaan optimum bagi pengekstrakan α-T. Kepekatan α-T untuk semua sampel yang diekstrak dibandingkan dengan kawalan (tanpa DES relina) memberikan nisbah 1: 2 (CPO: DES relina) dengan kelikatan pelarut 5.7 ± 0:58 cP pada 3 jam masa pengekstrakan sebagai keadaan pengekstrakan terbaik bagi mendapatkan kepekatan α-T tertinggi iaitu 825.321 ± 74.27 mg / L dengan keberhasilan 0.1554 ± 0.0156 (%). Perkara ini menunjukkan bahawa keadaan tersebut merupakan keadaan yang paling kondusif bagi penyerapan molekul </w:t>
      </w:r>
      <w:r w:rsidRPr="005154AA">
        <w:rPr>
          <w:i/>
          <w:sz w:val="18"/>
          <w:szCs w:val="18"/>
          <w:lang w:eastAsia="zh-CN"/>
        </w:rPr>
        <w:t>α</w:t>
      </w:r>
      <w:r w:rsidRPr="005154AA">
        <w:rPr>
          <w:sz w:val="18"/>
          <w:szCs w:val="18"/>
          <w:lang w:eastAsia="zh-CN"/>
        </w:rPr>
        <w:t>-T ke dalam ruang kosong dalam struktur pelarut di mana molekul</w:t>
      </w:r>
      <w:r w:rsidRPr="005154AA">
        <w:rPr>
          <w:i/>
          <w:sz w:val="18"/>
          <w:szCs w:val="18"/>
          <w:lang w:eastAsia="zh-CN"/>
        </w:rPr>
        <w:t xml:space="preserve"> α</w:t>
      </w:r>
      <w:r w:rsidRPr="005154AA">
        <w:rPr>
          <w:sz w:val="18"/>
          <w:szCs w:val="18"/>
          <w:lang w:eastAsia="zh-CN"/>
        </w:rPr>
        <w:t xml:space="preserve">-T dan DES relina berinteraksi melalui ikatan hidrogen. Ikatan hidrogen yang kuat terbentuk antara kumpulan –OH </w:t>
      </w:r>
      <w:r w:rsidRPr="005154AA">
        <w:rPr>
          <w:i/>
          <w:sz w:val="18"/>
          <w:szCs w:val="18"/>
          <w:lang w:eastAsia="zh-CN"/>
        </w:rPr>
        <w:t>α</w:t>
      </w:r>
      <w:r w:rsidRPr="005154AA">
        <w:rPr>
          <w:sz w:val="18"/>
          <w:szCs w:val="18"/>
          <w:lang w:eastAsia="zh-CN"/>
        </w:rPr>
        <w:t>-T dengan kumpulan amina –NH</w:t>
      </w:r>
      <w:r w:rsidRPr="005154AA">
        <w:rPr>
          <w:sz w:val="18"/>
          <w:szCs w:val="18"/>
          <w:vertAlign w:val="subscript"/>
          <w:lang w:eastAsia="zh-CN"/>
        </w:rPr>
        <w:t>2</w:t>
      </w:r>
      <w:r w:rsidRPr="005154AA">
        <w:rPr>
          <w:sz w:val="18"/>
          <w:szCs w:val="18"/>
          <w:lang w:eastAsia="zh-CN"/>
        </w:rPr>
        <w:t xml:space="preserve"> DES relina merupakan faktor peningkatan keupayaan DES relina untuk mengekstrak sebatian </w:t>
      </w:r>
      <w:r w:rsidRPr="005154AA">
        <w:rPr>
          <w:i/>
          <w:sz w:val="18"/>
          <w:szCs w:val="18"/>
          <w:lang w:eastAsia="zh-CN"/>
        </w:rPr>
        <w:t>α</w:t>
      </w:r>
      <w:r w:rsidRPr="005154AA">
        <w:rPr>
          <w:sz w:val="18"/>
          <w:szCs w:val="18"/>
          <w:lang w:eastAsia="zh-CN"/>
        </w:rPr>
        <w:t>-T yang tinggi daripada CPO.</w:t>
      </w:r>
    </w:p>
    <w:p w:rsidR="00002263" w:rsidRPr="005154AA" w:rsidRDefault="00002263" w:rsidP="00002263">
      <w:pPr>
        <w:spacing w:line="200" w:lineRule="exact"/>
        <w:jc w:val="both"/>
        <w:rPr>
          <w:lang w:eastAsia="zh-CN"/>
        </w:rPr>
      </w:pPr>
    </w:p>
    <w:p w:rsidR="00002263" w:rsidRPr="005154AA" w:rsidRDefault="00002263" w:rsidP="00002263">
      <w:pPr>
        <w:jc w:val="both"/>
        <w:rPr>
          <w:sz w:val="18"/>
          <w:szCs w:val="18"/>
        </w:rPr>
        <w:sectPr w:rsidR="00002263" w:rsidRPr="005154AA" w:rsidSect="007C23B1">
          <w:footerReference w:type="default" r:id="rId8"/>
          <w:type w:val="continuous"/>
          <w:pgSz w:w="11907" w:h="16840" w:code="9"/>
          <w:pgMar w:top="1440" w:right="1440" w:bottom="1440" w:left="1440" w:header="0" w:footer="720" w:gutter="0"/>
          <w:cols w:space="227"/>
          <w:noEndnote/>
          <w:docGrid w:linePitch="272"/>
        </w:sectPr>
      </w:pPr>
      <w:r w:rsidRPr="005154AA">
        <w:rPr>
          <w:b/>
          <w:sz w:val="18"/>
          <w:szCs w:val="18"/>
        </w:rPr>
        <w:t>Kata kunci</w:t>
      </w:r>
      <w:r w:rsidRPr="005154AA">
        <w:rPr>
          <w:sz w:val="18"/>
          <w:szCs w:val="18"/>
        </w:rPr>
        <w:t>: penderma ikatan hidrogen, pelarut eutektik dalam relina, tokoferol, kelikatan</w:t>
      </w:r>
    </w:p>
    <w:p w:rsidR="00002263" w:rsidRDefault="00002263" w:rsidP="0062103D">
      <w:pPr>
        <w:jc w:val="center"/>
        <w:rPr>
          <w:b/>
          <w:sz w:val="18"/>
          <w:szCs w:val="18"/>
        </w:rPr>
      </w:pPr>
    </w:p>
    <w:p w:rsidR="00052DC0" w:rsidRPr="005154AA" w:rsidRDefault="00320310" w:rsidP="0062103D">
      <w:pPr>
        <w:jc w:val="center"/>
        <w:rPr>
          <w:b/>
          <w:sz w:val="18"/>
          <w:szCs w:val="18"/>
        </w:rPr>
      </w:pPr>
      <w:r w:rsidRPr="005154AA">
        <w:rPr>
          <w:b/>
          <w:sz w:val="18"/>
          <w:szCs w:val="18"/>
        </w:rPr>
        <w:t>Abstract</w:t>
      </w:r>
    </w:p>
    <w:p w:rsidR="00052DC0" w:rsidRPr="005154AA" w:rsidRDefault="00052DC0" w:rsidP="00F13E0B">
      <w:pPr>
        <w:pStyle w:val="NoSpacing"/>
        <w:rPr>
          <w:sz w:val="18"/>
          <w:szCs w:val="18"/>
          <w:lang w:eastAsia="zh-CN"/>
        </w:rPr>
      </w:pPr>
      <w:r w:rsidRPr="005154AA">
        <w:rPr>
          <w:sz w:val="18"/>
          <w:szCs w:val="18"/>
          <w:lang w:eastAsia="zh-CN"/>
        </w:rPr>
        <w:t xml:space="preserve">Reline DES was classified as a green solvent and </w:t>
      </w:r>
      <w:r w:rsidR="009F1A15" w:rsidRPr="005154AA">
        <w:rPr>
          <w:sz w:val="18"/>
          <w:szCs w:val="18"/>
          <w:lang w:eastAsia="zh-CN"/>
        </w:rPr>
        <w:t>compatible to</w:t>
      </w:r>
      <w:r w:rsidRPr="005154AA">
        <w:rPr>
          <w:sz w:val="18"/>
          <w:szCs w:val="18"/>
          <w:lang w:eastAsia="zh-CN"/>
        </w:rPr>
        <w:t xml:space="preserve"> be use</w:t>
      </w:r>
      <w:r w:rsidR="00486D6F" w:rsidRPr="005154AA">
        <w:rPr>
          <w:sz w:val="18"/>
          <w:szCs w:val="18"/>
          <w:lang w:eastAsia="zh-CN"/>
        </w:rPr>
        <w:t>d</w:t>
      </w:r>
      <w:r w:rsidR="009F1A15" w:rsidRPr="005154AA">
        <w:rPr>
          <w:sz w:val="18"/>
          <w:szCs w:val="18"/>
          <w:lang w:eastAsia="zh-CN"/>
        </w:rPr>
        <w:t xml:space="preserve"> for</w:t>
      </w:r>
      <w:r w:rsidRPr="005154AA">
        <w:rPr>
          <w:sz w:val="18"/>
          <w:szCs w:val="18"/>
          <w:lang w:eastAsia="zh-CN"/>
        </w:rPr>
        <w:t xml:space="preserve"> </w:t>
      </w:r>
      <w:r w:rsidR="009F1A15" w:rsidRPr="005154AA">
        <w:rPr>
          <w:i/>
          <w:sz w:val="18"/>
          <w:szCs w:val="18"/>
          <w:lang w:eastAsia="zh-CN"/>
        </w:rPr>
        <w:t>α</w:t>
      </w:r>
      <w:r w:rsidR="009F1A15" w:rsidRPr="005154AA">
        <w:rPr>
          <w:sz w:val="18"/>
          <w:szCs w:val="18"/>
          <w:lang w:eastAsia="zh-CN"/>
        </w:rPr>
        <w:t>-tocopherol (</w:t>
      </w:r>
      <w:r w:rsidR="009F1A15" w:rsidRPr="005154AA">
        <w:rPr>
          <w:i/>
          <w:sz w:val="18"/>
          <w:szCs w:val="18"/>
          <w:lang w:eastAsia="zh-CN"/>
        </w:rPr>
        <w:t>α</w:t>
      </w:r>
      <w:r w:rsidR="009F1A15" w:rsidRPr="005154AA">
        <w:rPr>
          <w:sz w:val="18"/>
          <w:szCs w:val="18"/>
          <w:lang w:eastAsia="zh-CN"/>
        </w:rPr>
        <w:t>-T)</w:t>
      </w:r>
      <w:r w:rsidRPr="005154AA">
        <w:rPr>
          <w:sz w:val="18"/>
          <w:szCs w:val="18"/>
          <w:lang w:eastAsia="zh-CN"/>
        </w:rPr>
        <w:t xml:space="preserve"> extraction from crude palm oil (CPO) due to its ability to form strong hydrogen bond with </w:t>
      </w:r>
      <w:r w:rsidRPr="005154AA">
        <w:rPr>
          <w:i/>
          <w:sz w:val="18"/>
          <w:szCs w:val="18"/>
          <w:lang w:eastAsia="zh-CN"/>
        </w:rPr>
        <w:t>α</w:t>
      </w:r>
      <w:r w:rsidRPr="005154AA">
        <w:rPr>
          <w:sz w:val="18"/>
          <w:szCs w:val="18"/>
          <w:lang w:eastAsia="zh-CN"/>
        </w:rPr>
        <w:t xml:space="preserve">-T molecule. </w:t>
      </w:r>
      <w:r w:rsidR="008F1986" w:rsidRPr="005154AA">
        <w:rPr>
          <w:sz w:val="18"/>
          <w:szCs w:val="18"/>
          <w:lang w:eastAsia="zh-CN"/>
        </w:rPr>
        <w:t xml:space="preserve">The </w:t>
      </w:r>
      <w:r w:rsidR="005D6CDE" w:rsidRPr="005154AA">
        <w:rPr>
          <w:i/>
          <w:sz w:val="18"/>
          <w:szCs w:val="18"/>
          <w:lang w:eastAsia="zh-CN"/>
        </w:rPr>
        <w:t>α</w:t>
      </w:r>
      <w:r w:rsidR="005D6CDE" w:rsidRPr="005154AA">
        <w:rPr>
          <w:sz w:val="18"/>
          <w:szCs w:val="18"/>
          <w:lang w:eastAsia="zh-CN"/>
        </w:rPr>
        <w:t xml:space="preserve">-T concentration </w:t>
      </w:r>
      <w:r w:rsidR="008F1986" w:rsidRPr="005154AA">
        <w:rPr>
          <w:sz w:val="18"/>
          <w:szCs w:val="18"/>
          <w:lang w:eastAsia="zh-CN"/>
        </w:rPr>
        <w:t xml:space="preserve">and yield </w:t>
      </w:r>
      <w:r w:rsidR="00DD3172" w:rsidRPr="005154AA">
        <w:rPr>
          <w:sz w:val="18"/>
          <w:szCs w:val="18"/>
          <w:lang w:eastAsia="zh-CN"/>
        </w:rPr>
        <w:t xml:space="preserve">was quantified </w:t>
      </w:r>
      <w:r w:rsidR="005765D2" w:rsidRPr="005154AA">
        <w:rPr>
          <w:sz w:val="18"/>
          <w:szCs w:val="18"/>
          <w:lang w:eastAsia="zh-CN"/>
        </w:rPr>
        <w:t>using reverse</w:t>
      </w:r>
      <w:r w:rsidR="00DD3172" w:rsidRPr="005154AA">
        <w:rPr>
          <w:sz w:val="18"/>
          <w:szCs w:val="18"/>
          <w:lang w:eastAsia="zh-CN"/>
        </w:rPr>
        <w:t xml:space="preserve"> phase high performance liquid chromatography (RP</w:t>
      </w:r>
      <w:r w:rsidRPr="005154AA">
        <w:rPr>
          <w:sz w:val="18"/>
          <w:szCs w:val="18"/>
          <w:lang w:eastAsia="zh-CN"/>
        </w:rPr>
        <w:t>-HPLC</w:t>
      </w:r>
      <w:r w:rsidR="00DD3172" w:rsidRPr="005154AA">
        <w:rPr>
          <w:sz w:val="18"/>
          <w:szCs w:val="18"/>
          <w:lang w:eastAsia="zh-CN"/>
        </w:rPr>
        <w:t>)</w:t>
      </w:r>
      <w:r w:rsidR="005D6CDE" w:rsidRPr="005154AA">
        <w:rPr>
          <w:sz w:val="18"/>
          <w:szCs w:val="18"/>
          <w:lang w:eastAsia="zh-CN"/>
        </w:rPr>
        <w:t xml:space="preserve">. </w:t>
      </w:r>
      <w:r w:rsidR="008F1986" w:rsidRPr="005154AA">
        <w:rPr>
          <w:sz w:val="18"/>
          <w:szCs w:val="18"/>
          <w:lang w:eastAsia="zh-CN"/>
        </w:rPr>
        <w:t>T</w:t>
      </w:r>
      <w:r w:rsidR="005D6CDE" w:rsidRPr="005154AA">
        <w:rPr>
          <w:sz w:val="18"/>
          <w:szCs w:val="18"/>
          <w:lang w:eastAsia="zh-CN"/>
        </w:rPr>
        <w:t xml:space="preserve">wo </w:t>
      </w:r>
      <w:r w:rsidRPr="005154AA">
        <w:rPr>
          <w:sz w:val="18"/>
          <w:szCs w:val="18"/>
          <w:lang w:eastAsia="zh-CN"/>
        </w:rPr>
        <w:t>parameters were studied through utilization of five CPO: Reline DES ratio series (1:1, 1:2, 1:3, 1:4 and 1:5) at 2 and 3 hours extraction time</w:t>
      </w:r>
      <w:r w:rsidR="008F1986" w:rsidRPr="005154AA">
        <w:rPr>
          <w:sz w:val="18"/>
          <w:szCs w:val="18"/>
          <w:lang w:eastAsia="zh-CN"/>
        </w:rPr>
        <w:t xml:space="preserve"> in determining optimize </w:t>
      </w:r>
      <w:r w:rsidR="008F1986" w:rsidRPr="005154AA">
        <w:rPr>
          <w:i/>
          <w:sz w:val="18"/>
          <w:szCs w:val="18"/>
          <w:lang w:eastAsia="zh-CN"/>
        </w:rPr>
        <w:t>α</w:t>
      </w:r>
      <w:r w:rsidR="008F1986" w:rsidRPr="005154AA">
        <w:rPr>
          <w:sz w:val="18"/>
          <w:szCs w:val="18"/>
          <w:lang w:eastAsia="zh-CN"/>
        </w:rPr>
        <w:t xml:space="preserve">-T extraction </w:t>
      </w:r>
      <w:r w:rsidR="00FF4C26" w:rsidRPr="005154AA">
        <w:rPr>
          <w:sz w:val="18"/>
          <w:szCs w:val="18"/>
          <w:lang w:eastAsia="zh-CN"/>
        </w:rPr>
        <w:t>condition</w:t>
      </w:r>
      <w:r w:rsidR="008F1986" w:rsidRPr="005154AA">
        <w:rPr>
          <w:sz w:val="18"/>
          <w:szCs w:val="18"/>
          <w:lang w:eastAsia="zh-CN"/>
        </w:rPr>
        <w:t>.</w:t>
      </w:r>
      <w:r w:rsidRPr="005154AA">
        <w:rPr>
          <w:sz w:val="18"/>
          <w:szCs w:val="18"/>
          <w:lang w:eastAsia="zh-CN"/>
        </w:rPr>
        <w:t xml:space="preserve"> Concentration of </w:t>
      </w:r>
      <w:r w:rsidRPr="005154AA">
        <w:rPr>
          <w:i/>
          <w:sz w:val="18"/>
          <w:szCs w:val="18"/>
          <w:lang w:eastAsia="zh-CN"/>
        </w:rPr>
        <w:t>α</w:t>
      </w:r>
      <w:r w:rsidRPr="005154AA">
        <w:rPr>
          <w:sz w:val="18"/>
          <w:szCs w:val="18"/>
          <w:lang w:eastAsia="zh-CN"/>
        </w:rPr>
        <w:t>-T for all extracted samples was compared to the co</w:t>
      </w:r>
      <w:r w:rsidR="00DD5452" w:rsidRPr="005154AA">
        <w:rPr>
          <w:sz w:val="18"/>
          <w:szCs w:val="18"/>
          <w:lang w:eastAsia="zh-CN"/>
        </w:rPr>
        <w:t xml:space="preserve">ntrol (without reline DES) </w:t>
      </w:r>
      <w:r w:rsidR="008F1986" w:rsidRPr="005154AA">
        <w:rPr>
          <w:sz w:val="18"/>
          <w:szCs w:val="18"/>
          <w:lang w:eastAsia="zh-CN"/>
        </w:rPr>
        <w:t xml:space="preserve">resulted </w:t>
      </w:r>
      <w:r w:rsidR="00486D6F" w:rsidRPr="005154AA">
        <w:rPr>
          <w:sz w:val="18"/>
          <w:szCs w:val="18"/>
          <w:lang w:eastAsia="zh-CN"/>
        </w:rPr>
        <w:t xml:space="preserve">towards </w:t>
      </w:r>
      <w:r w:rsidRPr="005154AA">
        <w:rPr>
          <w:sz w:val="18"/>
          <w:szCs w:val="18"/>
          <w:lang w:eastAsia="zh-CN"/>
        </w:rPr>
        <w:t xml:space="preserve">CPO: Reline DES ratio of 1:2 with solvent viscosity of 5.7 ± 0.58 cP at 3 hours extraction time </w:t>
      </w:r>
      <w:r w:rsidR="00486D6F" w:rsidRPr="005154AA">
        <w:rPr>
          <w:sz w:val="18"/>
          <w:szCs w:val="18"/>
          <w:lang w:eastAsia="zh-CN"/>
        </w:rPr>
        <w:t>as</w:t>
      </w:r>
      <w:r w:rsidRPr="005154AA">
        <w:rPr>
          <w:sz w:val="18"/>
          <w:szCs w:val="18"/>
          <w:lang w:eastAsia="zh-CN"/>
        </w:rPr>
        <w:t xml:space="preserve"> the best condition to obtain the highest </w:t>
      </w:r>
      <w:r w:rsidRPr="005154AA">
        <w:rPr>
          <w:i/>
          <w:sz w:val="18"/>
          <w:szCs w:val="18"/>
          <w:lang w:eastAsia="zh-CN"/>
        </w:rPr>
        <w:t>α</w:t>
      </w:r>
      <w:r w:rsidRPr="005154AA">
        <w:rPr>
          <w:sz w:val="18"/>
          <w:szCs w:val="18"/>
          <w:lang w:eastAsia="zh-CN"/>
        </w:rPr>
        <w:t>-T concentration of 825.321 ± 74.27 mg/L with the</w:t>
      </w:r>
      <w:r w:rsidR="00DD3172" w:rsidRPr="005154AA">
        <w:rPr>
          <w:sz w:val="18"/>
          <w:szCs w:val="18"/>
          <w:lang w:eastAsia="zh-CN"/>
        </w:rPr>
        <w:t xml:space="preserve"> yield of 0.1554 ± 0.0156 (</w:t>
      </w:r>
      <w:r w:rsidRPr="005154AA">
        <w:rPr>
          <w:sz w:val="18"/>
          <w:szCs w:val="18"/>
          <w:lang w:eastAsia="zh-CN"/>
        </w:rPr>
        <w:t xml:space="preserve">%). It can be concluded that </w:t>
      </w:r>
      <w:r w:rsidR="00FF4C26" w:rsidRPr="005154AA">
        <w:rPr>
          <w:sz w:val="18"/>
          <w:szCs w:val="18"/>
          <w:lang w:eastAsia="zh-CN"/>
        </w:rPr>
        <w:t>this condition</w:t>
      </w:r>
      <w:r w:rsidRPr="005154AA">
        <w:rPr>
          <w:sz w:val="18"/>
          <w:szCs w:val="18"/>
          <w:lang w:eastAsia="zh-CN"/>
        </w:rPr>
        <w:t xml:space="preserve"> is the most condu</w:t>
      </w:r>
      <w:r w:rsidR="00585021" w:rsidRPr="005154AA">
        <w:rPr>
          <w:sz w:val="18"/>
          <w:szCs w:val="18"/>
          <w:lang w:eastAsia="zh-CN"/>
        </w:rPr>
        <w:t>c</w:t>
      </w:r>
      <w:r w:rsidRPr="005154AA">
        <w:rPr>
          <w:sz w:val="18"/>
          <w:szCs w:val="18"/>
          <w:lang w:eastAsia="zh-CN"/>
        </w:rPr>
        <w:t xml:space="preserve">ive for </w:t>
      </w:r>
      <w:r w:rsidRPr="005154AA">
        <w:rPr>
          <w:i/>
          <w:sz w:val="18"/>
          <w:szCs w:val="18"/>
          <w:lang w:eastAsia="zh-CN"/>
        </w:rPr>
        <w:t>α</w:t>
      </w:r>
      <w:r w:rsidRPr="005154AA">
        <w:rPr>
          <w:sz w:val="18"/>
          <w:szCs w:val="18"/>
          <w:lang w:eastAsia="zh-CN"/>
        </w:rPr>
        <w:t xml:space="preserve">-T molecules diffusion into free space of solvent structure in which molecules of </w:t>
      </w:r>
      <w:r w:rsidRPr="005154AA">
        <w:rPr>
          <w:i/>
          <w:sz w:val="18"/>
          <w:szCs w:val="18"/>
          <w:lang w:eastAsia="zh-CN"/>
        </w:rPr>
        <w:t>α-</w:t>
      </w:r>
      <w:r w:rsidRPr="005154AA">
        <w:rPr>
          <w:sz w:val="18"/>
          <w:szCs w:val="18"/>
          <w:lang w:eastAsia="zh-CN"/>
        </w:rPr>
        <w:t xml:space="preserve">T and reline DES interact through hydrogen bond. The strong hydrogen bond formed between –OH group of </w:t>
      </w:r>
      <w:r w:rsidRPr="005154AA">
        <w:rPr>
          <w:i/>
          <w:sz w:val="18"/>
          <w:szCs w:val="18"/>
          <w:lang w:eastAsia="zh-CN"/>
        </w:rPr>
        <w:t>α</w:t>
      </w:r>
      <w:r w:rsidRPr="005154AA">
        <w:rPr>
          <w:sz w:val="18"/>
          <w:szCs w:val="18"/>
          <w:lang w:eastAsia="zh-CN"/>
        </w:rPr>
        <w:t>-T and -NH</w:t>
      </w:r>
      <w:r w:rsidRPr="005154AA">
        <w:rPr>
          <w:sz w:val="18"/>
          <w:szCs w:val="18"/>
          <w:vertAlign w:val="subscript"/>
          <w:lang w:eastAsia="zh-CN"/>
        </w:rPr>
        <w:t>2</w:t>
      </w:r>
      <w:r w:rsidRPr="005154AA">
        <w:rPr>
          <w:sz w:val="18"/>
          <w:szCs w:val="18"/>
          <w:lang w:eastAsia="zh-CN"/>
        </w:rPr>
        <w:t xml:space="preserve"> group of reline DES is the factor enhancing the capability of reline DES to extract higher </w:t>
      </w:r>
      <w:r w:rsidRPr="005154AA">
        <w:rPr>
          <w:i/>
          <w:sz w:val="18"/>
          <w:szCs w:val="18"/>
          <w:lang w:eastAsia="zh-CN"/>
        </w:rPr>
        <w:t>α</w:t>
      </w:r>
      <w:r w:rsidRPr="005154AA">
        <w:rPr>
          <w:sz w:val="18"/>
          <w:szCs w:val="18"/>
          <w:lang w:eastAsia="zh-CN"/>
        </w:rPr>
        <w:t xml:space="preserve">-T compound from </w:t>
      </w:r>
      <w:r w:rsidR="00AE1D40" w:rsidRPr="005154AA">
        <w:rPr>
          <w:sz w:val="18"/>
          <w:szCs w:val="18"/>
          <w:lang w:eastAsia="zh-CN"/>
        </w:rPr>
        <w:t>CPO.</w:t>
      </w:r>
      <w:r w:rsidRPr="005154AA">
        <w:rPr>
          <w:sz w:val="18"/>
          <w:szCs w:val="18"/>
          <w:lang w:eastAsia="zh-CN"/>
        </w:rPr>
        <w:t xml:space="preserve">  </w:t>
      </w:r>
    </w:p>
    <w:p w:rsidR="001D35A9" w:rsidRPr="005154AA" w:rsidRDefault="001D35A9" w:rsidP="0062103D">
      <w:pPr>
        <w:pStyle w:val="NoSpacing"/>
        <w:spacing w:line="200" w:lineRule="exact"/>
        <w:rPr>
          <w:sz w:val="20"/>
          <w:szCs w:val="20"/>
          <w:lang w:eastAsia="zh-CN"/>
        </w:rPr>
      </w:pPr>
    </w:p>
    <w:p w:rsidR="00052DC0" w:rsidRPr="005154AA" w:rsidRDefault="00052DC0" w:rsidP="00320310">
      <w:pPr>
        <w:rPr>
          <w:sz w:val="18"/>
          <w:szCs w:val="18"/>
        </w:rPr>
      </w:pPr>
      <w:r w:rsidRPr="005154AA">
        <w:rPr>
          <w:b/>
          <w:sz w:val="18"/>
          <w:szCs w:val="18"/>
        </w:rPr>
        <w:t>Keywords</w:t>
      </w:r>
      <w:r w:rsidRPr="005154AA">
        <w:rPr>
          <w:sz w:val="18"/>
          <w:szCs w:val="18"/>
        </w:rPr>
        <w:t xml:space="preserve">: hydrogen bond donor, </w:t>
      </w:r>
      <w:r w:rsidR="00F13E0B" w:rsidRPr="005154AA">
        <w:rPr>
          <w:sz w:val="18"/>
          <w:szCs w:val="18"/>
        </w:rPr>
        <w:t xml:space="preserve">reline deep eutectic solvent, tocopherol, </w:t>
      </w:r>
      <w:r w:rsidRPr="005154AA">
        <w:rPr>
          <w:sz w:val="18"/>
          <w:szCs w:val="18"/>
        </w:rPr>
        <w:t>viscosity</w:t>
      </w:r>
    </w:p>
    <w:p w:rsidR="00002263" w:rsidRDefault="00002263" w:rsidP="0062103D">
      <w:pPr>
        <w:jc w:val="center"/>
        <w:rPr>
          <w:b/>
        </w:rPr>
      </w:pPr>
    </w:p>
    <w:p w:rsidR="00713183" w:rsidRPr="005154AA" w:rsidRDefault="00713183" w:rsidP="0062103D">
      <w:pPr>
        <w:jc w:val="center"/>
        <w:rPr>
          <w:b/>
        </w:rPr>
      </w:pPr>
      <w:r w:rsidRPr="005154AA">
        <w:rPr>
          <w:b/>
        </w:rPr>
        <w:t>P</w:t>
      </w:r>
      <w:r w:rsidR="00007DFE" w:rsidRPr="005154AA">
        <w:rPr>
          <w:b/>
        </w:rPr>
        <w:t>engenalan</w:t>
      </w:r>
    </w:p>
    <w:p w:rsidR="006F0412" w:rsidRPr="005154AA" w:rsidRDefault="00D7647E" w:rsidP="00D7647E">
      <w:pPr>
        <w:jc w:val="both"/>
        <w:rPr>
          <w:rFonts w:eastAsiaTheme="minorEastAsia"/>
        </w:rPr>
      </w:pPr>
      <w:r w:rsidRPr="005154AA">
        <w:rPr>
          <w:bCs/>
        </w:rPr>
        <w:t xml:space="preserve">Sebatian </w:t>
      </w:r>
      <w:r w:rsidRPr="005154AA">
        <w:rPr>
          <w:bCs/>
          <w:i/>
        </w:rPr>
        <w:t>α</w:t>
      </w:r>
      <w:r w:rsidRPr="005154AA">
        <w:rPr>
          <w:bCs/>
        </w:rPr>
        <w:t>-tokoferol (R</w:t>
      </w:r>
      <w:r w:rsidR="000110F3" w:rsidRPr="005154AA">
        <w:rPr>
          <w:bCs/>
        </w:rPr>
        <w:t>ajah</w:t>
      </w:r>
      <w:r w:rsidR="005765D2" w:rsidRPr="005154AA">
        <w:rPr>
          <w:bCs/>
        </w:rPr>
        <w:t xml:space="preserve"> 1(a</w:t>
      </w:r>
      <w:r w:rsidRPr="005154AA">
        <w:rPr>
          <w:bCs/>
        </w:rPr>
        <w:t>)) merupakan salah satu terbitan vitamin E yang berupaya bertindak sebagai agen anti pengoksidaan dalam merawat penyakit kanser. Selain itu, sebatian vitamin E juga dikatakan</w:t>
      </w:r>
      <w:r w:rsidR="00153AD0" w:rsidRPr="005154AA">
        <w:rPr>
          <w:bCs/>
        </w:rPr>
        <w:t xml:space="preserve"> sebagai terapi yang berpotensi </w:t>
      </w:r>
      <w:r w:rsidRPr="005154AA">
        <w:rPr>
          <w:bCs/>
        </w:rPr>
        <w:t xml:space="preserve">merawat penyakit neurodegenaratif seperti Alzheimer dan </w:t>
      </w:r>
      <w:r w:rsidR="008520EB" w:rsidRPr="005154AA">
        <w:rPr>
          <w:bCs/>
        </w:rPr>
        <w:t>S</w:t>
      </w:r>
      <w:r w:rsidRPr="005154AA">
        <w:rPr>
          <w:bCs/>
        </w:rPr>
        <w:t xml:space="preserve">indrom </w:t>
      </w:r>
      <w:r w:rsidR="008520EB" w:rsidRPr="005154AA">
        <w:rPr>
          <w:bCs/>
        </w:rPr>
        <w:t>down</w:t>
      </w:r>
      <w:r w:rsidRPr="005154AA">
        <w:rPr>
          <w:bCs/>
        </w:rPr>
        <w:t xml:space="preserve"> </w:t>
      </w:r>
      <w:r w:rsidR="008520EB" w:rsidRPr="005154AA">
        <w:rPr>
          <w:bCs/>
        </w:rPr>
        <w:t>[1]</w:t>
      </w:r>
      <w:r w:rsidRPr="005154AA">
        <w:rPr>
          <w:bCs/>
        </w:rPr>
        <w:t xml:space="preserve">. </w:t>
      </w:r>
      <w:r w:rsidR="008928AC" w:rsidRPr="005154AA">
        <w:rPr>
          <w:bCs/>
        </w:rPr>
        <w:t xml:space="preserve">Sebatian alfa tokoferol </w:t>
      </w:r>
      <w:r w:rsidR="008E3355" w:rsidRPr="005154AA">
        <w:rPr>
          <w:bCs/>
        </w:rPr>
        <w:t xml:space="preserve">sering </w:t>
      </w:r>
      <w:r w:rsidR="008928AC" w:rsidRPr="005154AA">
        <w:rPr>
          <w:bCs/>
        </w:rPr>
        <w:t>digunakan da</w:t>
      </w:r>
      <w:r w:rsidR="008520EB" w:rsidRPr="005154AA">
        <w:rPr>
          <w:bCs/>
        </w:rPr>
        <w:t>lam bidang penyelidikan dan bidang perubatan.</w:t>
      </w:r>
      <w:r w:rsidR="008520EB" w:rsidRPr="005154AA">
        <w:t xml:space="preserve"> K</w:t>
      </w:r>
      <w:r w:rsidR="008928AC" w:rsidRPr="005154AA">
        <w:t xml:space="preserve">epentingan sebatian ini dalam pelbagai bidang menjadikan sebatian </w:t>
      </w:r>
      <w:r w:rsidR="008E3355" w:rsidRPr="005154AA">
        <w:t xml:space="preserve">tokoferol </w:t>
      </w:r>
      <w:r w:rsidR="008928AC" w:rsidRPr="005154AA">
        <w:t xml:space="preserve">mendapat permintaan yang tinggi </w:t>
      </w:r>
      <w:r w:rsidR="008520EB" w:rsidRPr="005154AA">
        <w:t>[2]</w:t>
      </w:r>
      <w:r w:rsidR="008928AC" w:rsidRPr="005154AA">
        <w:t xml:space="preserve">. </w:t>
      </w:r>
      <w:r w:rsidRPr="005154AA">
        <w:rPr>
          <w:bCs/>
        </w:rPr>
        <w:t xml:space="preserve">Sebatian </w:t>
      </w:r>
      <w:r w:rsidR="008E3355" w:rsidRPr="005154AA">
        <w:rPr>
          <w:bCs/>
        </w:rPr>
        <w:t>tokoferol</w:t>
      </w:r>
      <w:r w:rsidRPr="005154AA">
        <w:rPr>
          <w:bCs/>
        </w:rPr>
        <w:t xml:space="preserve"> boleh diperoleh daripada sumber asli seperti minyak sawit mentah (CPO)</w:t>
      </w:r>
      <w:r w:rsidR="00153AD0" w:rsidRPr="005154AA">
        <w:rPr>
          <w:bCs/>
        </w:rPr>
        <w:t xml:space="preserve"> dan minyak ini mengandungi </w:t>
      </w:r>
      <w:r w:rsidR="008928AC" w:rsidRPr="005154AA">
        <w:t xml:space="preserve">lima jenis isomer </w:t>
      </w:r>
      <w:r w:rsidR="008E3355" w:rsidRPr="005154AA">
        <w:t>vitamin E</w:t>
      </w:r>
      <w:r w:rsidR="008928AC" w:rsidRPr="005154AA">
        <w:t xml:space="preserve"> iaitu </w:t>
      </w:r>
      <m:oMath>
        <m:r>
          <w:rPr>
            <w:rFonts w:ascii="Cambria Math" w:hAnsi="Cambria Math"/>
          </w:rPr>
          <m:t>α</m:t>
        </m:r>
      </m:oMath>
      <w:r w:rsidR="008928AC" w:rsidRPr="005154AA">
        <w:t>-tokoferol (</w:t>
      </w:r>
      <w:r w:rsidR="008928AC" w:rsidRPr="005154AA">
        <w:rPr>
          <w:i/>
        </w:rPr>
        <w:t>α</w:t>
      </w:r>
      <w:r w:rsidR="008928AC" w:rsidRPr="005154AA">
        <w:t>-T</w:t>
      </w:r>
      <w:r w:rsidR="008928AC" w:rsidRPr="005154AA">
        <w:rPr>
          <w:rFonts w:eastAsiaTheme="minorEastAsia"/>
        </w:rPr>
        <w:t xml:space="preserve">), </w:t>
      </w:r>
      <m:oMath>
        <m:r>
          <w:rPr>
            <w:rFonts w:ascii="Cambria Math" w:eastAsiaTheme="minorEastAsia" w:hAnsi="Cambria Math"/>
          </w:rPr>
          <m:t>α</m:t>
        </m:r>
      </m:oMath>
      <w:r w:rsidR="008928AC" w:rsidRPr="005154AA">
        <w:rPr>
          <w:rFonts w:eastAsiaTheme="minorEastAsia"/>
          <w:i/>
        </w:rPr>
        <w:t>-</w:t>
      </w:r>
      <w:r w:rsidR="008928AC" w:rsidRPr="005154AA">
        <w:rPr>
          <w:rFonts w:eastAsiaTheme="minorEastAsia"/>
        </w:rPr>
        <w:t>tokotrienol (</w:t>
      </w:r>
      <m:oMath>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3</m:t>
            </m:r>
          </m:sub>
        </m:sSub>
        <m:r>
          <w:rPr>
            <w:rFonts w:ascii="Cambria Math" w:eastAsiaTheme="minorEastAsia" w:hAnsi="Cambria Math"/>
          </w:rPr>
          <m:t>)</m:t>
        </m:r>
      </m:oMath>
      <w:r w:rsidR="008928AC" w:rsidRPr="005154AA">
        <w:rPr>
          <w:rFonts w:eastAsiaTheme="minorEastAsia"/>
        </w:rPr>
        <w:t xml:space="preserve">, </w:t>
      </w:r>
      <m:oMath>
        <m:r>
          <w:rPr>
            <w:rFonts w:ascii="Cambria Math" w:eastAsiaTheme="minorEastAsia" w:hAnsi="Cambria Math"/>
          </w:rPr>
          <m:t>γ</m:t>
        </m:r>
      </m:oMath>
      <w:r w:rsidR="008928AC" w:rsidRPr="005154AA">
        <w:rPr>
          <w:rFonts w:eastAsiaTheme="minorEastAsia"/>
        </w:rPr>
        <w:t>-tokoferol (</w:t>
      </w:r>
      <m:oMath>
        <m:r>
          <w:rPr>
            <w:rFonts w:ascii="Cambria Math" w:eastAsiaTheme="minorEastAsia" w:hAnsi="Cambria Math"/>
          </w:rPr>
          <m:t>γ</m:t>
        </m:r>
      </m:oMath>
      <w:r w:rsidR="008928AC" w:rsidRPr="005154AA">
        <w:rPr>
          <w:rFonts w:eastAsiaTheme="minorEastAsia"/>
        </w:rPr>
        <w:t xml:space="preserve">-T), </w:t>
      </w:r>
      <w:r w:rsidR="008928AC" w:rsidRPr="005154AA">
        <w:rPr>
          <w:rFonts w:eastAsiaTheme="minorEastAsia"/>
          <w:i/>
        </w:rPr>
        <w:t>γ</w:t>
      </w:r>
      <w:r w:rsidR="008928AC" w:rsidRPr="005154AA">
        <w:rPr>
          <w:rFonts w:eastAsiaTheme="minorEastAsia"/>
        </w:rPr>
        <w:t>-tokotrienol (</w:t>
      </w:r>
      <m:oMath>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3</m:t>
            </m:r>
          </m:sub>
        </m:sSub>
        <m:r>
          <w:rPr>
            <w:rFonts w:ascii="Cambria Math" w:eastAsiaTheme="minorEastAsia" w:hAnsi="Cambria Math"/>
          </w:rPr>
          <m:t>)</m:t>
        </m:r>
      </m:oMath>
      <w:r w:rsidR="008928AC" w:rsidRPr="005154AA">
        <w:rPr>
          <w:rFonts w:eastAsiaTheme="minorEastAsia"/>
        </w:rPr>
        <w:t xml:space="preserve"> dan </w:t>
      </w:r>
      <w:r w:rsidR="008928AC" w:rsidRPr="005154AA">
        <w:rPr>
          <w:rFonts w:eastAsiaTheme="minorEastAsia"/>
          <w:i/>
        </w:rPr>
        <w:t>δ</w:t>
      </w:r>
      <w:r w:rsidR="008928AC" w:rsidRPr="005154AA">
        <w:rPr>
          <w:rFonts w:eastAsiaTheme="minorEastAsia"/>
        </w:rPr>
        <w:t>-tokotrienol (</w:t>
      </w:r>
      <w:r w:rsidR="008928AC" w:rsidRPr="005154AA">
        <w:rPr>
          <w:rFonts w:eastAsiaTheme="minorEastAsia"/>
          <w:i/>
        </w:rPr>
        <w:t>δ</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3</m:t>
            </m:r>
          </m:sub>
        </m:sSub>
        <m:r>
          <w:rPr>
            <w:rFonts w:ascii="Cambria Math" w:eastAsiaTheme="minorEastAsia" w:hAnsi="Cambria Math"/>
          </w:rPr>
          <m:t>)</m:t>
        </m:r>
      </m:oMath>
      <w:r w:rsidR="008928AC" w:rsidRPr="005154AA">
        <w:rPr>
          <w:rFonts w:eastAsiaTheme="minorEastAsia"/>
        </w:rPr>
        <w:t xml:space="preserve"> </w:t>
      </w:r>
      <w:r w:rsidR="008520EB" w:rsidRPr="005154AA">
        <w:rPr>
          <w:rFonts w:eastAsiaTheme="minorEastAsia"/>
        </w:rPr>
        <w:t>[3-6].</w:t>
      </w:r>
    </w:p>
    <w:p w:rsidR="0062103D" w:rsidRPr="005154AA" w:rsidRDefault="0062103D" w:rsidP="0062103D">
      <w:pPr>
        <w:jc w:val="both"/>
        <w:rPr>
          <w:bCs/>
        </w:rPr>
      </w:pPr>
    </w:p>
    <w:p w:rsidR="007F5F2C" w:rsidRPr="005154AA" w:rsidRDefault="002502A7" w:rsidP="0062103D">
      <w:pPr>
        <w:jc w:val="both"/>
      </w:pPr>
      <w:r w:rsidRPr="005154AA">
        <w:rPr>
          <w:bCs/>
        </w:rPr>
        <w:t xml:space="preserve">Pada tahun 2011, </w:t>
      </w:r>
      <w:r w:rsidR="006F0412" w:rsidRPr="005154AA">
        <w:rPr>
          <w:bCs/>
        </w:rPr>
        <w:t xml:space="preserve"> Goossens </w:t>
      </w:r>
      <w:r w:rsidR="008520EB" w:rsidRPr="005154AA">
        <w:rPr>
          <w:bCs/>
        </w:rPr>
        <w:t>dan</w:t>
      </w:r>
      <w:r w:rsidR="006F0412" w:rsidRPr="005154AA">
        <w:rPr>
          <w:bCs/>
        </w:rPr>
        <w:t xml:space="preserve"> Marion</w:t>
      </w:r>
      <w:r w:rsidR="008520EB" w:rsidRPr="005154AA">
        <w:rPr>
          <w:bCs/>
        </w:rPr>
        <w:t xml:space="preserve"> [7]</w:t>
      </w:r>
      <w:r w:rsidR="006F0412" w:rsidRPr="005154AA">
        <w:rPr>
          <w:bCs/>
        </w:rPr>
        <w:t xml:space="preserve"> </w:t>
      </w:r>
      <w:r w:rsidRPr="005154AA">
        <w:rPr>
          <w:bCs/>
        </w:rPr>
        <w:t xml:space="preserve"> telah menjalankan kajian </w:t>
      </w:r>
      <w:r w:rsidR="006F0412" w:rsidRPr="005154AA">
        <w:rPr>
          <w:bCs/>
        </w:rPr>
        <w:t xml:space="preserve">mengenai pengekstrakan sebatian </w:t>
      </w:r>
      <w:r w:rsidR="0036103C" w:rsidRPr="005154AA">
        <w:rPr>
          <w:bCs/>
          <w:i/>
        </w:rPr>
        <w:t>α-</w:t>
      </w:r>
      <w:r w:rsidR="006F0412" w:rsidRPr="005154AA">
        <w:rPr>
          <w:bCs/>
        </w:rPr>
        <w:t xml:space="preserve"> dan </w:t>
      </w:r>
      <w:r w:rsidR="0036103C" w:rsidRPr="005154AA">
        <w:rPr>
          <w:bCs/>
          <w:i/>
        </w:rPr>
        <w:t>δ-</w:t>
      </w:r>
      <w:r w:rsidR="006F0412" w:rsidRPr="005154AA">
        <w:rPr>
          <w:bCs/>
        </w:rPr>
        <w:t xml:space="preserve"> </w:t>
      </w:r>
      <w:r w:rsidR="00370ED6" w:rsidRPr="005154AA">
        <w:rPr>
          <w:bCs/>
        </w:rPr>
        <w:t>T</w:t>
      </w:r>
      <w:r w:rsidR="006F0412" w:rsidRPr="005154AA">
        <w:rPr>
          <w:bCs/>
        </w:rPr>
        <w:t xml:space="preserve"> daripada minyak </w:t>
      </w:r>
      <w:r w:rsidR="006F0412" w:rsidRPr="005154AA">
        <w:rPr>
          <w:bCs/>
          <w:i/>
        </w:rPr>
        <w:t>Canola</w:t>
      </w:r>
      <w:r w:rsidRPr="005154AA">
        <w:rPr>
          <w:bCs/>
        </w:rPr>
        <w:t xml:space="preserve"> dan minyak kacang soya melalui </w:t>
      </w:r>
      <w:r w:rsidR="006F0412" w:rsidRPr="005154AA">
        <w:rPr>
          <w:bCs/>
        </w:rPr>
        <w:t xml:space="preserve">kaedah emparan dan pusaran pada kelajuan 3000 rpm selama lima minit. </w:t>
      </w:r>
      <w:r w:rsidR="008520EB" w:rsidRPr="005154AA">
        <w:t xml:space="preserve">Walaubagaimanapun, </w:t>
      </w:r>
      <w:r w:rsidR="00351D4B" w:rsidRPr="005154AA">
        <w:t xml:space="preserve">menurut Goossens </w:t>
      </w:r>
      <w:r w:rsidR="008520EB" w:rsidRPr="005154AA">
        <w:t>dan</w:t>
      </w:r>
      <w:r w:rsidR="00351D4B" w:rsidRPr="005154AA">
        <w:t xml:space="preserve"> Marion </w:t>
      </w:r>
      <w:r w:rsidR="008520EB" w:rsidRPr="005154AA">
        <w:t>[7],</w:t>
      </w:r>
      <w:r w:rsidR="00351D4B" w:rsidRPr="005154AA">
        <w:t xml:space="preserve"> kaedah pengekstrakan yang digunakan adalah tidak </w:t>
      </w:r>
      <w:r w:rsidR="008520EB" w:rsidRPr="005154AA">
        <w:t>sempurna kerana</w:t>
      </w:r>
      <w:r w:rsidR="00351D4B" w:rsidRPr="005154AA">
        <w:t xml:space="preserve"> menyebabkan degradasi sebatian tokoferol. </w:t>
      </w:r>
      <w:r w:rsidR="008520EB" w:rsidRPr="005154AA">
        <w:t>P</w:t>
      </w:r>
      <w:r w:rsidR="006F0412" w:rsidRPr="005154AA">
        <w:t>enyimpanan sebatian yang tidak mengikut keadaan yang sesuai</w:t>
      </w:r>
      <w:r w:rsidR="008520EB" w:rsidRPr="005154AA">
        <w:t xml:space="preserve"> juga</w:t>
      </w:r>
      <w:r w:rsidR="006F0412" w:rsidRPr="005154AA">
        <w:t xml:space="preserve"> (-20 °C) </w:t>
      </w:r>
      <w:r w:rsidR="008520EB" w:rsidRPr="005154AA">
        <w:t>merupakan faktor</w:t>
      </w:r>
      <w:r w:rsidR="006F0412" w:rsidRPr="005154AA">
        <w:t xml:space="preserve"> sebatian ini </w:t>
      </w:r>
      <w:r w:rsidR="00AF0C80" w:rsidRPr="005154AA">
        <w:t xml:space="preserve">teroksida dan </w:t>
      </w:r>
      <w:r w:rsidR="008520EB" w:rsidRPr="005154AA">
        <w:t>ter</w:t>
      </w:r>
      <w:r w:rsidR="006F0412" w:rsidRPr="005154AA">
        <w:t xml:space="preserve">degradasi. </w:t>
      </w:r>
      <w:r w:rsidR="00A82431" w:rsidRPr="005154AA">
        <w:t>Oleh yang demikian,</w:t>
      </w:r>
      <w:r w:rsidR="006F0412" w:rsidRPr="005154AA">
        <w:t xml:space="preserve"> kajian yang melibatkan sebatian seperti tokoferol memerlukan pengendalian </w:t>
      </w:r>
      <w:r w:rsidR="006F0412" w:rsidRPr="005154AA">
        <w:lastRenderedPageBreak/>
        <w:t xml:space="preserve">yang teliti bagi mengurangkan degradasi sebatian ini memandangkan sifatnya yang sensitif terhadap, haba, cahaya dan udara </w:t>
      </w:r>
      <w:r w:rsidR="00A82431" w:rsidRPr="005154AA">
        <w:t>[8].</w:t>
      </w:r>
    </w:p>
    <w:p w:rsidR="0062103D" w:rsidRPr="005154AA" w:rsidRDefault="0062103D" w:rsidP="0062103D">
      <w:pPr>
        <w:jc w:val="both"/>
      </w:pPr>
    </w:p>
    <w:p w:rsidR="002502A7" w:rsidRDefault="007F5F2C" w:rsidP="0062103D">
      <w:pPr>
        <w:jc w:val="both"/>
        <w:rPr>
          <w:bCs/>
        </w:rPr>
      </w:pPr>
      <w:r w:rsidRPr="005154AA">
        <w:t>S</w:t>
      </w:r>
      <w:r w:rsidR="002502A7" w:rsidRPr="005154AA">
        <w:t xml:space="preserve">ebatian vitamin E juga </w:t>
      </w:r>
      <w:r w:rsidRPr="005154AA">
        <w:t xml:space="preserve">boleh </w:t>
      </w:r>
      <w:r w:rsidR="002502A7" w:rsidRPr="005154AA">
        <w:t xml:space="preserve">diperoleh melalui kaedah pengekstrakan </w:t>
      </w:r>
      <w:r w:rsidR="0036103C" w:rsidRPr="005154AA">
        <w:t xml:space="preserve">dengan menggunakan pelarut organik </w:t>
      </w:r>
      <w:r w:rsidR="002502A7" w:rsidRPr="005154AA">
        <w:t xml:space="preserve">sebagai medium pengekstrakan. </w:t>
      </w:r>
      <w:r w:rsidR="0036103C" w:rsidRPr="005154AA">
        <w:t xml:space="preserve">Kajian </w:t>
      </w:r>
      <w:r w:rsidR="00A82431" w:rsidRPr="005154AA">
        <w:t>sebelum ini</w:t>
      </w:r>
      <w:r w:rsidR="0036103C" w:rsidRPr="005154AA">
        <w:t xml:space="preserve"> oleh Sanagi et al. </w:t>
      </w:r>
      <w:r w:rsidR="00A82431" w:rsidRPr="005154AA">
        <w:t>[9]</w:t>
      </w:r>
      <w:r w:rsidR="0036103C" w:rsidRPr="005154AA">
        <w:t xml:space="preserve"> menggunakan pelarut organik heksana dalam kaedah pengekstrakan cecair bertekanan (PLE) me</w:t>
      </w:r>
      <w:r w:rsidR="00750CD4" w:rsidRPr="005154AA">
        <w:t>mberikan</w:t>
      </w:r>
      <w:r w:rsidR="0036103C" w:rsidRPr="005154AA">
        <w:t xml:space="preserve"> </w:t>
      </w:r>
      <w:r w:rsidR="00A82431" w:rsidRPr="005154AA">
        <w:t xml:space="preserve">pengekstrakan </w:t>
      </w:r>
      <w:r w:rsidR="0036103C" w:rsidRPr="005154AA">
        <w:t xml:space="preserve">kandungan vitamin E yang </w:t>
      </w:r>
      <w:r w:rsidR="00A82431" w:rsidRPr="005154AA">
        <w:t>tinggi. Walau</w:t>
      </w:r>
      <w:r w:rsidR="0036103C" w:rsidRPr="005154AA">
        <w:t xml:space="preserve">bagaimanapun, penggunaan pelarut organik heksana pada suhu dan tekanan yang tinggi adalah berbahaya kerana pelarut ini mudah terbakar </w:t>
      </w:r>
      <w:r w:rsidR="00750CD4" w:rsidRPr="005154AA">
        <w:t>[10]</w:t>
      </w:r>
      <w:r w:rsidRPr="005154AA">
        <w:t>.</w:t>
      </w:r>
      <w:r w:rsidRPr="005154AA">
        <w:rPr>
          <w:bCs/>
        </w:rPr>
        <w:t xml:space="preserve"> Seca</w:t>
      </w:r>
      <w:r w:rsidR="00750CD4" w:rsidRPr="005154AA">
        <w:rPr>
          <w:bCs/>
        </w:rPr>
        <w:t>ra konvensional pelarut organik</w:t>
      </w:r>
      <w:r w:rsidRPr="005154AA">
        <w:rPr>
          <w:bCs/>
        </w:rPr>
        <w:t xml:space="preserve"> sering digunakan bagi pengekstrakan sebatian </w:t>
      </w:r>
      <w:r w:rsidRPr="005154AA">
        <w:rPr>
          <w:bCs/>
          <w:i/>
        </w:rPr>
        <w:t>α</w:t>
      </w:r>
      <w:r w:rsidR="00370ED6" w:rsidRPr="005154AA">
        <w:rPr>
          <w:bCs/>
        </w:rPr>
        <w:t xml:space="preserve">-T </w:t>
      </w:r>
      <w:r w:rsidRPr="005154AA">
        <w:rPr>
          <w:bCs/>
        </w:rPr>
        <w:t xml:space="preserve">daripada sumber semula jadi. </w:t>
      </w:r>
      <w:r w:rsidR="00750CD4" w:rsidRPr="005154AA">
        <w:rPr>
          <w:bCs/>
        </w:rPr>
        <w:t>Namun</w:t>
      </w:r>
      <w:r w:rsidRPr="005154AA">
        <w:rPr>
          <w:bCs/>
        </w:rPr>
        <w:t>, penggunaan pelarut orga</w:t>
      </w:r>
      <w:r w:rsidR="00750CD4" w:rsidRPr="005154AA">
        <w:rPr>
          <w:bCs/>
        </w:rPr>
        <w:t>nik menghasilkan kepekatan dan keberhasilan pengekstrakan</w:t>
      </w:r>
      <w:r w:rsidRPr="005154AA">
        <w:rPr>
          <w:bCs/>
        </w:rPr>
        <w:t xml:space="preserve"> yang rendah </w:t>
      </w:r>
      <w:r w:rsidR="00750CD4" w:rsidRPr="005154AA">
        <w:rPr>
          <w:bCs/>
        </w:rPr>
        <w:t>selain</w:t>
      </w:r>
      <w:r w:rsidRPr="005154AA">
        <w:rPr>
          <w:bCs/>
        </w:rPr>
        <w:t xml:space="preserve"> sifatnya yang toksik dan mudah meruap adalah berbahaya kepada </w:t>
      </w:r>
      <w:r w:rsidR="00AE55B9" w:rsidRPr="005154AA">
        <w:rPr>
          <w:bCs/>
        </w:rPr>
        <w:t>pengguna.</w:t>
      </w:r>
    </w:p>
    <w:p w:rsidR="00002263" w:rsidRDefault="00002263" w:rsidP="0062103D">
      <w:pPr>
        <w:jc w:val="both"/>
        <w:rPr>
          <w:bCs/>
        </w:rPr>
      </w:pPr>
    </w:p>
    <w:p w:rsidR="00002263" w:rsidRPr="005154AA" w:rsidRDefault="00002263" w:rsidP="00002263">
      <w:pPr>
        <w:ind w:left="900" w:hanging="900"/>
        <w:jc w:val="center"/>
      </w:pPr>
      <w:r w:rsidRPr="005154AA">
        <w:rPr>
          <w:noProof/>
          <w:lang w:val="en-US"/>
        </w:rPr>
        <mc:AlternateContent>
          <mc:Choice Requires="wps">
            <w:drawing>
              <wp:anchor distT="0" distB="0" distL="114300" distR="114300" simplePos="0" relativeHeight="251663360" behindDoc="0" locked="0" layoutInCell="1" allowOverlap="1" wp14:anchorId="6FE6B413" wp14:editId="00972B5A">
                <wp:simplePos x="0" y="0"/>
                <wp:positionH relativeFrom="column">
                  <wp:posOffset>2728595</wp:posOffset>
                </wp:positionH>
                <wp:positionV relativeFrom="paragraph">
                  <wp:posOffset>1830070</wp:posOffset>
                </wp:positionV>
                <wp:extent cx="396240" cy="237490"/>
                <wp:effectExtent l="0" t="0" r="3810" b="63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263" w:rsidRDefault="00002263" w:rsidP="0000226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E6B413" id="_x0000_t202" coordsize="21600,21600" o:spt="202" path="m,l,21600r21600,l21600,xe">
                <v:stroke joinstyle="miter"/>
                <v:path gradientshapeok="t" o:connecttype="rect"/>
              </v:shapetype>
              <v:shape id="Text Box 20" o:spid="_x0000_s1026" type="#_x0000_t202" style="position:absolute;left:0;text-align:left;margin-left:214.85pt;margin-top:144.1pt;width:31.2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" stroked="f">
                <v:textbox>
                  <w:txbxContent>
                    <w:p w:rsidR="00002263" w:rsidRDefault="00002263" w:rsidP="00002263">
                      <w:r>
                        <w:t>(b)</w:t>
                      </w:r>
                    </w:p>
                  </w:txbxContent>
                </v:textbox>
              </v:shape>
            </w:pict>
          </mc:Fallback>
        </mc:AlternateContent>
      </w:r>
      <w:r w:rsidRPr="005154AA">
        <w:rPr>
          <w:noProof/>
          <w:lang w:val="en-US"/>
        </w:rPr>
        <mc:AlternateContent>
          <mc:Choice Requires="wps">
            <w:drawing>
              <wp:anchor distT="0" distB="0" distL="114300" distR="114300" simplePos="0" relativeHeight="251662336" behindDoc="0" locked="0" layoutInCell="1" allowOverlap="1" wp14:anchorId="4266C548" wp14:editId="7BAB2DBA">
                <wp:simplePos x="0" y="0"/>
                <wp:positionH relativeFrom="column">
                  <wp:posOffset>2713990</wp:posOffset>
                </wp:positionH>
                <wp:positionV relativeFrom="paragraph">
                  <wp:posOffset>793115</wp:posOffset>
                </wp:positionV>
                <wp:extent cx="353060" cy="288290"/>
                <wp:effectExtent l="4445" t="1270" r="4445"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263" w:rsidRDefault="00002263" w:rsidP="0000226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6C548" id="Text Box 19" o:spid="_x0000_s1027" type="#_x0000_t202" style="position:absolute;left:0;text-align:left;margin-left:213.7pt;margin-top:62.45pt;width:27.8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" stroked="f">
                <v:textbox>
                  <w:txbxContent>
                    <w:p w:rsidR="00002263" w:rsidRDefault="00002263" w:rsidP="00002263">
                      <w:r>
                        <w:t>(a)</w:t>
                      </w:r>
                    </w:p>
                  </w:txbxContent>
                </v:textbox>
              </v:shape>
            </w:pict>
          </mc:Fallback>
        </mc:AlternateContent>
      </w:r>
      <w:r w:rsidRPr="005154AA">
        <w:object w:dxaOrig="4796" w:dyaOrig="3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05pt;height:159pt" o:ole="" o:allowoverlap="f" filled="t" fillcolor="white [3212]">
            <v:imagedata r:id="rId9" o:title=""/>
          </v:shape>
          <o:OLEObject Type="Embed" ProgID="ChemDraw.Document.6.0" ShapeID="_x0000_i1025" DrawAspect="Content" ObjectID="_1588331384" r:id="rId10"/>
        </w:object>
      </w:r>
    </w:p>
    <w:p w:rsidR="00002263" w:rsidRPr="005154AA" w:rsidRDefault="00002263" w:rsidP="00002263"/>
    <w:p w:rsidR="00002263" w:rsidRPr="005154AA" w:rsidRDefault="00002263" w:rsidP="00002263">
      <w:pPr>
        <w:ind w:left="900" w:hanging="900"/>
        <w:jc w:val="center"/>
      </w:pPr>
      <w:r w:rsidRPr="005154AA">
        <w:t>Rajah 1</w:t>
      </w:r>
      <w:r>
        <w:t xml:space="preserve">. </w:t>
      </w:r>
      <w:r w:rsidRPr="005154AA">
        <w:t xml:space="preserve">(a) Struktur kimia </w:t>
      </w:r>
      <w:r w:rsidRPr="005154AA">
        <w:rPr>
          <w:i/>
        </w:rPr>
        <w:t>α</w:t>
      </w:r>
      <w:r w:rsidRPr="005154AA">
        <w:t>-tokoferol (B) DES relina</w:t>
      </w:r>
    </w:p>
    <w:p w:rsidR="0062103D" w:rsidRPr="005154AA" w:rsidRDefault="0062103D" w:rsidP="0062103D">
      <w:pPr>
        <w:jc w:val="both"/>
        <w:rPr>
          <w:bCs/>
        </w:rPr>
      </w:pPr>
    </w:p>
    <w:p w:rsidR="00E7356F" w:rsidRPr="005154AA" w:rsidRDefault="00D7647E" w:rsidP="0062103D">
      <w:pPr>
        <w:jc w:val="both"/>
        <w:rPr>
          <w:bCs/>
        </w:rPr>
      </w:pPr>
      <w:r w:rsidRPr="005154AA">
        <w:rPr>
          <w:bCs/>
        </w:rPr>
        <w:t>Oleh yang demikian, pelarut hijau seperti pelarut eutektik dalam (DES) semakin giat dikaji oleh penyelidik masa kini dalam pelbagai bidang penyelidikan. Hal ini kerana ia merupakan pelarut yang mesra alam, murah dan tidak bertoksik</w:t>
      </w:r>
      <w:r w:rsidR="007F5F2C" w:rsidRPr="005154AA">
        <w:rPr>
          <w:bCs/>
        </w:rPr>
        <w:t xml:space="preserve"> </w:t>
      </w:r>
      <w:r w:rsidR="00750CD4" w:rsidRPr="005154AA">
        <w:rPr>
          <w:bCs/>
        </w:rPr>
        <w:t>[11]</w:t>
      </w:r>
      <w:r w:rsidRPr="005154AA">
        <w:rPr>
          <w:bCs/>
        </w:rPr>
        <w:t xml:space="preserve">. Di samping itu, ciri-ciri pensolvatan yang luar biasa oleh pelarut hijau </w:t>
      </w:r>
      <w:r w:rsidR="006B6C65" w:rsidRPr="005154AA">
        <w:rPr>
          <w:bCs/>
        </w:rPr>
        <w:t>DES</w:t>
      </w:r>
      <w:r w:rsidRPr="005154AA">
        <w:rPr>
          <w:bCs/>
        </w:rPr>
        <w:t xml:space="preserve"> </w:t>
      </w:r>
      <w:r w:rsidR="00750CD4" w:rsidRPr="005154AA">
        <w:rPr>
          <w:bCs/>
        </w:rPr>
        <w:t>[12]</w:t>
      </w:r>
      <w:r w:rsidRPr="005154AA">
        <w:rPr>
          <w:bCs/>
        </w:rPr>
        <w:t xml:space="preserve"> menjadikan pelarut ini sesuai digunakan sebagai pelarut hijau alter</w:t>
      </w:r>
      <w:r w:rsidR="00351D4B" w:rsidRPr="005154AA">
        <w:rPr>
          <w:bCs/>
        </w:rPr>
        <w:t>n</w:t>
      </w:r>
      <w:r w:rsidRPr="005154AA">
        <w:rPr>
          <w:bCs/>
        </w:rPr>
        <w:t xml:space="preserve">atif dalam pengekstrakan sebatian </w:t>
      </w:r>
      <w:r w:rsidRPr="005154AA">
        <w:rPr>
          <w:bCs/>
          <w:i/>
        </w:rPr>
        <w:t>α</w:t>
      </w:r>
      <w:r w:rsidR="00370ED6" w:rsidRPr="005154AA">
        <w:rPr>
          <w:bCs/>
        </w:rPr>
        <w:t>-T</w:t>
      </w:r>
      <w:r w:rsidRPr="005154AA">
        <w:rPr>
          <w:bCs/>
        </w:rPr>
        <w:t xml:space="preserve">. </w:t>
      </w:r>
      <w:r w:rsidR="006B6C65" w:rsidRPr="005154AA">
        <w:rPr>
          <w:bCs/>
        </w:rPr>
        <w:t>DES</w:t>
      </w:r>
      <w:r w:rsidR="00B54BC6" w:rsidRPr="005154AA">
        <w:rPr>
          <w:bCs/>
        </w:rPr>
        <w:t xml:space="preserve"> </w:t>
      </w:r>
      <w:r w:rsidR="00750CD4" w:rsidRPr="005154AA">
        <w:rPr>
          <w:bCs/>
        </w:rPr>
        <w:t>merupakan campuran</w:t>
      </w:r>
      <w:r w:rsidR="00B54BC6" w:rsidRPr="005154AA">
        <w:rPr>
          <w:bCs/>
        </w:rPr>
        <w:t xml:space="preserve"> </w:t>
      </w:r>
      <w:r w:rsidR="003C6E6E" w:rsidRPr="005154AA">
        <w:rPr>
          <w:bCs/>
        </w:rPr>
        <w:t xml:space="preserve">dua atau tiga komponen yang murah dan selamat di mana kesemua komponen ini berupaya untuk bercampur antara satu sama lain melalui pembentukan ikatan hidrogen </w:t>
      </w:r>
      <w:r w:rsidR="00C009DC" w:rsidRPr="005154AA">
        <w:rPr>
          <w:bCs/>
        </w:rPr>
        <w:t xml:space="preserve">sehingga </w:t>
      </w:r>
      <w:r w:rsidR="003C6E6E" w:rsidRPr="005154AA">
        <w:rPr>
          <w:bCs/>
        </w:rPr>
        <w:t xml:space="preserve">menghasilkan campuran eutektik </w:t>
      </w:r>
      <w:r w:rsidR="00750CD4" w:rsidRPr="005154AA">
        <w:rPr>
          <w:bCs/>
        </w:rPr>
        <w:t>[13]</w:t>
      </w:r>
      <w:r w:rsidR="003C6E6E" w:rsidRPr="005154AA">
        <w:rPr>
          <w:bCs/>
        </w:rPr>
        <w:t xml:space="preserve">. Secara umumnya, DES terdiri daripada kombinasi garam </w:t>
      </w:r>
      <w:r w:rsidR="00C009DC" w:rsidRPr="005154AA">
        <w:rPr>
          <w:bCs/>
        </w:rPr>
        <w:t xml:space="preserve">pepejal </w:t>
      </w:r>
      <w:r w:rsidR="003C6E6E" w:rsidRPr="005154AA">
        <w:rPr>
          <w:bCs/>
        </w:rPr>
        <w:t>dan kump</w:t>
      </w:r>
      <w:r w:rsidR="00E7356F" w:rsidRPr="005154AA">
        <w:rPr>
          <w:bCs/>
        </w:rPr>
        <w:t xml:space="preserve">ulan penderma ikatan hidrogen pada perkadaran yang berbeza. </w:t>
      </w:r>
    </w:p>
    <w:p w:rsidR="00E7356F" w:rsidRPr="005154AA" w:rsidRDefault="00E7356F" w:rsidP="00E7356F">
      <w:pPr>
        <w:ind w:firstLine="720"/>
        <w:jc w:val="both"/>
        <w:rPr>
          <w:bCs/>
        </w:rPr>
      </w:pPr>
    </w:p>
    <w:p w:rsidR="009834F4" w:rsidRPr="005154AA" w:rsidRDefault="00E7356F" w:rsidP="0062103D">
      <w:pPr>
        <w:jc w:val="both"/>
      </w:pPr>
      <w:r w:rsidRPr="005154AA">
        <w:t xml:space="preserve">DES mempunyai ciri-ciri yang sama seperti cecair ionik bahkan ia mempunyai beberapa kelebihan lain </w:t>
      </w:r>
      <w:r w:rsidR="00750CD4" w:rsidRPr="005154AA">
        <w:t xml:space="preserve">[14] </w:t>
      </w:r>
      <w:r w:rsidRPr="005154AA">
        <w:t>seperti proses penyediaan yang mudah dalam keadaan tulen, tidak reaktif terhadap</w:t>
      </w:r>
      <w:r w:rsidR="00750CD4" w:rsidRPr="005154AA">
        <w:t xml:space="preserve"> air dan sebahagiannya bersifat</w:t>
      </w:r>
      <w:r w:rsidRPr="005154AA">
        <w:t xml:space="preserve"> biodegradasi. Selain itu, DES merupakan pelarut hijau yang larut dalam air, tidak mudah terbakar dan tidak mudah meruap. Ciri-ciri ini menjadikan DES berpotensi sebagai pelarut yang efektif untuk</w:t>
      </w:r>
      <w:r w:rsidR="00750CD4" w:rsidRPr="005154AA">
        <w:t xml:space="preserve"> proses pelarutan sempurna dan </w:t>
      </w:r>
      <w:r w:rsidRPr="005154AA">
        <w:t xml:space="preserve">pelarut pengekstrakan sebatian berkutub dan tidak berkutub. </w:t>
      </w:r>
      <w:r w:rsidR="009834F4" w:rsidRPr="005154AA">
        <w:rPr>
          <w:bCs/>
        </w:rPr>
        <w:t>Nu’man et al.</w:t>
      </w:r>
      <w:r w:rsidR="003C6E6E" w:rsidRPr="005154AA">
        <w:rPr>
          <w:bCs/>
        </w:rPr>
        <w:t xml:space="preserve"> </w:t>
      </w:r>
      <w:r w:rsidR="00750CD4" w:rsidRPr="005154AA">
        <w:rPr>
          <w:bCs/>
        </w:rPr>
        <w:t xml:space="preserve">[15] </w:t>
      </w:r>
      <w:r w:rsidR="003C6E6E" w:rsidRPr="005154AA">
        <w:rPr>
          <w:bCs/>
        </w:rPr>
        <w:t xml:space="preserve">telah mengkaji penggunaan </w:t>
      </w:r>
      <w:r w:rsidR="009834F4" w:rsidRPr="005154AA">
        <w:rPr>
          <w:bCs/>
        </w:rPr>
        <w:t xml:space="preserve">DES terbitan </w:t>
      </w:r>
      <w:r w:rsidR="00C009DC" w:rsidRPr="005154AA">
        <w:rPr>
          <w:bCs/>
        </w:rPr>
        <w:t xml:space="preserve">tiga </w:t>
      </w:r>
      <w:r w:rsidR="009834F4" w:rsidRPr="005154AA">
        <w:rPr>
          <w:bCs/>
        </w:rPr>
        <w:t xml:space="preserve">jenis asid karboksilik sebagai pelarut pengekstrakan sebatian vitamin E melalui kaedah pengekstrakan cecair-cecair (LLE). Penggunaan DES menunjukkan kecekapan pengekstrakan yang lebih baik berbanding pelarut </w:t>
      </w:r>
      <w:r w:rsidR="00750CD4" w:rsidRPr="005154AA">
        <w:rPr>
          <w:bCs/>
        </w:rPr>
        <w:t xml:space="preserve">organik konvensional. Tambahan </w:t>
      </w:r>
      <w:r w:rsidRPr="005154AA">
        <w:rPr>
          <w:bCs/>
        </w:rPr>
        <w:t xml:space="preserve">pelarut </w:t>
      </w:r>
      <w:r w:rsidR="009834F4" w:rsidRPr="005154AA">
        <w:rPr>
          <w:bCs/>
        </w:rPr>
        <w:t xml:space="preserve">ini juga boleh di kitar dan diguna semula dalam </w:t>
      </w:r>
      <w:r w:rsidR="00750CD4" w:rsidRPr="005154AA">
        <w:rPr>
          <w:bCs/>
        </w:rPr>
        <w:t>proses</w:t>
      </w:r>
      <w:r w:rsidRPr="005154AA">
        <w:rPr>
          <w:bCs/>
        </w:rPr>
        <w:t xml:space="preserve"> </w:t>
      </w:r>
      <w:r w:rsidR="009834F4" w:rsidRPr="005154AA">
        <w:rPr>
          <w:bCs/>
        </w:rPr>
        <w:t xml:space="preserve">pengekstrakan. </w:t>
      </w:r>
    </w:p>
    <w:p w:rsidR="009834F4" w:rsidRPr="005154AA" w:rsidRDefault="009834F4" w:rsidP="00D7647E">
      <w:pPr>
        <w:ind w:firstLine="720"/>
        <w:jc w:val="both"/>
        <w:rPr>
          <w:bCs/>
        </w:rPr>
      </w:pPr>
    </w:p>
    <w:p w:rsidR="00C7629B" w:rsidRPr="005154AA" w:rsidRDefault="00D7647E" w:rsidP="0062103D">
      <w:pPr>
        <w:jc w:val="both"/>
        <w:rPr>
          <w:lang w:eastAsia="zh-CN"/>
        </w:rPr>
      </w:pPr>
      <w:r w:rsidRPr="005154AA">
        <w:rPr>
          <w:bCs/>
        </w:rPr>
        <w:t xml:space="preserve">Dalam kajian ini, </w:t>
      </w:r>
      <w:r w:rsidR="000864BE" w:rsidRPr="005154AA">
        <w:rPr>
          <w:bCs/>
        </w:rPr>
        <w:t>DES relina</w:t>
      </w:r>
      <w:r w:rsidRPr="005154AA">
        <w:rPr>
          <w:bCs/>
        </w:rPr>
        <w:t xml:space="preserve"> digunakan sebagai pelarut pengekstrakan sebatian </w:t>
      </w:r>
      <w:r w:rsidRPr="005154AA">
        <w:rPr>
          <w:bCs/>
          <w:i/>
        </w:rPr>
        <w:t>α</w:t>
      </w:r>
      <w:r w:rsidRPr="005154AA">
        <w:rPr>
          <w:bCs/>
        </w:rPr>
        <w:t>-</w:t>
      </w:r>
      <w:r w:rsidR="00370ED6" w:rsidRPr="005154AA">
        <w:rPr>
          <w:bCs/>
        </w:rPr>
        <w:t>T</w:t>
      </w:r>
      <w:r w:rsidR="00750CD4" w:rsidRPr="005154AA">
        <w:rPr>
          <w:bCs/>
        </w:rPr>
        <w:t xml:space="preserve">. Rajah </w:t>
      </w:r>
      <w:r w:rsidR="00DC3145" w:rsidRPr="005154AA">
        <w:rPr>
          <w:bCs/>
        </w:rPr>
        <w:t>1 (</w:t>
      </w:r>
      <w:r w:rsidR="00AE55B9" w:rsidRPr="005154AA">
        <w:rPr>
          <w:bCs/>
        </w:rPr>
        <w:t>a</w:t>
      </w:r>
      <w:r w:rsidR="00750CD4" w:rsidRPr="005154AA">
        <w:rPr>
          <w:bCs/>
        </w:rPr>
        <w:t>) dan 1(</w:t>
      </w:r>
      <w:r w:rsidR="00AE55B9" w:rsidRPr="005154AA">
        <w:rPr>
          <w:bCs/>
        </w:rPr>
        <w:t>b</w:t>
      </w:r>
      <w:r w:rsidR="00750CD4" w:rsidRPr="005154AA">
        <w:rPr>
          <w:bCs/>
        </w:rPr>
        <w:t xml:space="preserve">) menunjukkan </w:t>
      </w:r>
      <w:r w:rsidR="00DC3145" w:rsidRPr="005154AA">
        <w:rPr>
          <w:bCs/>
        </w:rPr>
        <w:t xml:space="preserve">struktur </w:t>
      </w:r>
      <w:r w:rsidR="00DC3145" w:rsidRPr="005154AA">
        <w:rPr>
          <w:bCs/>
          <w:i/>
        </w:rPr>
        <w:t>α</w:t>
      </w:r>
      <w:r w:rsidR="00DC3145" w:rsidRPr="005154AA">
        <w:rPr>
          <w:bCs/>
        </w:rPr>
        <w:t xml:space="preserve">-T dan DES relina. DES relina </w:t>
      </w:r>
      <w:r w:rsidRPr="005154AA">
        <w:rPr>
          <w:bCs/>
        </w:rPr>
        <w:t xml:space="preserve">merupakan </w:t>
      </w:r>
      <w:r w:rsidR="000110F3" w:rsidRPr="005154AA">
        <w:rPr>
          <w:lang w:eastAsia="zh-CN"/>
        </w:rPr>
        <w:t>pelarut homogen yang terdiri daripada campuran garam ammonium kuarterner (kolin klorida, ChCl) dan penderma ikatan hidrogen (urea)</w:t>
      </w:r>
      <w:r w:rsidR="00E7356F" w:rsidRPr="005154AA">
        <w:rPr>
          <w:lang w:eastAsia="zh-CN"/>
        </w:rPr>
        <w:t xml:space="preserve"> yang dihasilkan pada nisbah 1:2 dengan pengacauan dan pemanasan pada suhu 85 ºC</w:t>
      </w:r>
      <w:r w:rsidR="000110F3" w:rsidRPr="005154AA">
        <w:rPr>
          <w:lang w:eastAsia="zh-CN"/>
        </w:rPr>
        <w:t>.</w:t>
      </w:r>
    </w:p>
    <w:p w:rsidR="00D7647E" w:rsidRPr="005154AA" w:rsidRDefault="00D7647E" w:rsidP="00002263">
      <w:pPr>
        <w:rPr>
          <w:sz w:val="24"/>
          <w:szCs w:val="24"/>
        </w:rPr>
      </w:pPr>
    </w:p>
    <w:p w:rsidR="00D7647E" w:rsidRPr="00002263" w:rsidRDefault="00D7647E" w:rsidP="00D7647E">
      <w:pPr>
        <w:jc w:val="both"/>
        <w:rPr>
          <w:bCs/>
        </w:rPr>
      </w:pPr>
      <w:r w:rsidRPr="005154AA">
        <w:rPr>
          <w:bCs/>
        </w:rPr>
        <w:t xml:space="preserve">Walaubagaimanapun, kelikatan DES relina yang tinggi merupakan halangan untuk sebatian </w:t>
      </w:r>
      <w:r w:rsidRPr="005154AA">
        <w:rPr>
          <w:bCs/>
          <w:i/>
        </w:rPr>
        <w:t>α</w:t>
      </w:r>
      <w:r w:rsidRPr="005154AA">
        <w:rPr>
          <w:bCs/>
        </w:rPr>
        <w:t xml:space="preserve">-T berinteraksi dengan molekul pelarut ini. Oleh itu, kajian ini dijalankan bagi menentukan </w:t>
      </w:r>
      <w:r w:rsidR="000E02CD" w:rsidRPr="005154AA">
        <w:rPr>
          <w:bCs/>
        </w:rPr>
        <w:t>keadaan</w:t>
      </w:r>
      <w:r w:rsidR="00AE55B9" w:rsidRPr="005154AA">
        <w:rPr>
          <w:bCs/>
        </w:rPr>
        <w:t xml:space="preserve"> </w:t>
      </w:r>
      <w:r w:rsidRPr="005154AA">
        <w:rPr>
          <w:bCs/>
        </w:rPr>
        <w:t>pengekstrakan</w:t>
      </w:r>
      <w:r w:rsidR="00DC3145" w:rsidRPr="005154AA">
        <w:rPr>
          <w:bCs/>
        </w:rPr>
        <w:t xml:space="preserve"> terbaik</w:t>
      </w:r>
      <w:r w:rsidRPr="005154AA">
        <w:rPr>
          <w:bCs/>
        </w:rPr>
        <w:t xml:space="preserve"> </w:t>
      </w:r>
      <w:r w:rsidR="00E7356F" w:rsidRPr="005154AA">
        <w:rPr>
          <w:bCs/>
        </w:rPr>
        <w:t>bagi</w:t>
      </w:r>
      <w:r w:rsidRPr="005154AA">
        <w:rPr>
          <w:bCs/>
        </w:rPr>
        <w:t xml:space="preserve"> mengekstrak sebatian </w:t>
      </w:r>
      <w:r w:rsidRPr="005154AA">
        <w:rPr>
          <w:bCs/>
          <w:i/>
        </w:rPr>
        <w:t>α</w:t>
      </w:r>
      <w:r w:rsidRPr="005154AA">
        <w:rPr>
          <w:bCs/>
        </w:rPr>
        <w:t xml:space="preserve">-T </w:t>
      </w:r>
      <w:r w:rsidR="00E7356F" w:rsidRPr="005154AA">
        <w:rPr>
          <w:bCs/>
        </w:rPr>
        <w:t xml:space="preserve">secara optimum </w:t>
      </w:r>
      <w:r w:rsidRPr="005154AA">
        <w:rPr>
          <w:bCs/>
        </w:rPr>
        <w:t xml:space="preserve">dengan mengkaji kesan kelikatan DES relina </w:t>
      </w:r>
      <w:r w:rsidR="00E7356F" w:rsidRPr="005154AA">
        <w:rPr>
          <w:bCs/>
        </w:rPr>
        <w:t>pada</w:t>
      </w:r>
      <w:r w:rsidR="0077607F" w:rsidRPr="005154AA">
        <w:rPr>
          <w:bCs/>
        </w:rPr>
        <w:t xml:space="preserve"> lima nisbah DES relina </w:t>
      </w:r>
      <w:r w:rsidRPr="005154AA">
        <w:rPr>
          <w:bCs/>
        </w:rPr>
        <w:t xml:space="preserve">yang berbeza dengan masa pengekstrakan (2 dan 3 jam) terhadap kepekatan ekstrak sebatian </w:t>
      </w:r>
      <w:r w:rsidRPr="005154AA">
        <w:rPr>
          <w:bCs/>
          <w:i/>
        </w:rPr>
        <w:t>α</w:t>
      </w:r>
      <w:r w:rsidRPr="005154AA">
        <w:rPr>
          <w:bCs/>
        </w:rPr>
        <w:t>-T.</w:t>
      </w:r>
      <w:r w:rsidR="0077607F" w:rsidRPr="005154AA">
        <w:rPr>
          <w:bCs/>
        </w:rPr>
        <w:t xml:space="preserve"> </w:t>
      </w:r>
    </w:p>
    <w:p w:rsidR="00F13E0B" w:rsidRPr="005154AA" w:rsidRDefault="00F13E0B" w:rsidP="00D7647E">
      <w:pPr>
        <w:jc w:val="both"/>
        <w:rPr>
          <w:b/>
          <w:bCs/>
          <w:sz w:val="24"/>
          <w:szCs w:val="24"/>
        </w:rPr>
      </w:pPr>
    </w:p>
    <w:p w:rsidR="00D7647E" w:rsidRPr="005154AA" w:rsidRDefault="00007DFE" w:rsidP="0062103D">
      <w:pPr>
        <w:jc w:val="center"/>
        <w:rPr>
          <w:b/>
          <w:bCs/>
        </w:rPr>
      </w:pPr>
      <w:r w:rsidRPr="005154AA">
        <w:rPr>
          <w:b/>
          <w:bCs/>
        </w:rPr>
        <w:t>Bahan dan Kaedah</w:t>
      </w:r>
    </w:p>
    <w:p w:rsidR="00FA4062" w:rsidRPr="005154AA" w:rsidRDefault="00FA4062" w:rsidP="00D7647E">
      <w:pPr>
        <w:jc w:val="both"/>
        <w:rPr>
          <w:b/>
          <w:bCs/>
        </w:rPr>
      </w:pPr>
      <w:r w:rsidRPr="005154AA">
        <w:rPr>
          <w:b/>
          <w:bCs/>
        </w:rPr>
        <w:t>Bahan kimia</w:t>
      </w:r>
    </w:p>
    <w:p w:rsidR="00D7647E" w:rsidRPr="005154AA" w:rsidRDefault="00D7647E" w:rsidP="00D7647E">
      <w:pPr>
        <w:jc w:val="both"/>
        <w:rPr>
          <w:bCs/>
        </w:rPr>
      </w:pPr>
      <w:r w:rsidRPr="005154AA">
        <w:rPr>
          <w:bCs/>
        </w:rPr>
        <w:lastRenderedPageBreak/>
        <w:t>Minyak sawit mentah diperoleh daripa</w:t>
      </w:r>
      <w:r w:rsidR="0077607F" w:rsidRPr="005154AA">
        <w:rPr>
          <w:bCs/>
        </w:rPr>
        <w:t xml:space="preserve">da Sime Darby Berhad Malaysia manakala </w:t>
      </w:r>
      <w:r w:rsidRPr="005154AA">
        <w:rPr>
          <w:bCs/>
        </w:rPr>
        <w:t xml:space="preserve">bahan kimia yang digunakan dalam kajian ini merupakan kolin klorida, asetonitril gred HPLC dan gred analisis, heksana, metanol, urea dan </w:t>
      </w:r>
      <w:r w:rsidR="00F13E0B" w:rsidRPr="005154AA">
        <w:rPr>
          <w:bCs/>
        </w:rPr>
        <w:t xml:space="preserve">piawai </w:t>
      </w:r>
      <w:r w:rsidRPr="005154AA">
        <w:rPr>
          <w:bCs/>
          <w:i/>
        </w:rPr>
        <w:t>α</w:t>
      </w:r>
      <w:r w:rsidR="00590724" w:rsidRPr="005154AA">
        <w:rPr>
          <w:bCs/>
        </w:rPr>
        <w:t>-T</w:t>
      </w:r>
      <w:r w:rsidRPr="005154AA">
        <w:rPr>
          <w:bCs/>
        </w:rPr>
        <w:t xml:space="preserve"> (95.5%).</w:t>
      </w:r>
      <w:r w:rsidR="00F13E0B" w:rsidRPr="005154AA">
        <w:rPr>
          <w:bCs/>
        </w:rPr>
        <w:t xml:space="preserve"> Kesemua bahan kimia diperoleh daripada R&amp;M kecuali piawai </w:t>
      </w:r>
      <w:r w:rsidR="00F13E0B" w:rsidRPr="005154AA">
        <w:rPr>
          <w:bCs/>
          <w:i/>
        </w:rPr>
        <w:t>α</w:t>
      </w:r>
      <w:r w:rsidR="00590724" w:rsidRPr="005154AA">
        <w:rPr>
          <w:bCs/>
        </w:rPr>
        <w:t>-T</w:t>
      </w:r>
      <w:r w:rsidR="005605BF" w:rsidRPr="005154AA">
        <w:rPr>
          <w:bCs/>
        </w:rPr>
        <w:t xml:space="preserve">yang </w:t>
      </w:r>
      <w:r w:rsidR="00F13E0B" w:rsidRPr="005154AA">
        <w:rPr>
          <w:bCs/>
        </w:rPr>
        <w:t>diperoleh daripada Sigma Aldrich.</w:t>
      </w:r>
    </w:p>
    <w:p w:rsidR="00FA4062" w:rsidRPr="005154AA" w:rsidRDefault="00FA4062" w:rsidP="00C7629B">
      <w:pPr>
        <w:jc w:val="both"/>
        <w:rPr>
          <w:b/>
          <w:bCs/>
        </w:rPr>
      </w:pPr>
    </w:p>
    <w:p w:rsidR="00942DCE" w:rsidRPr="005154AA" w:rsidRDefault="00C7629B" w:rsidP="00C7629B">
      <w:pPr>
        <w:jc w:val="both"/>
        <w:rPr>
          <w:b/>
          <w:bCs/>
        </w:rPr>
      </w:pPr>
      <w:r w:rsidRPr="005154AA">
        <w:rPr>
          <w:b/>
          <w:bCs/>
        </w:rPr>
        <w:t>Penyediaan DES relina</w:t>
      </w:r>
    </w:p>
    <w:p w:rsidR="00C7629B" w:rsidRPr="005154AA" w:rsidRDefault="00C7629B" w:rsidP="00C7629B">
      <w:pPr>
        <w:jc w:val="both"/>
      </w:pPr>
      <w:r w:rsidRPr="005154AA">
        <w:t>DES relina disediakan dengan mencampurkan kolin klorida (ChCl) dan urea pada nisbah molar 1:2. Campuran ini dipanaskan pada suhu 85 °C sambi</w:t>
      </w:r>
      <w:r w:rsidR="00D47720" w:rsidRPr="005154AA">
        <w:t xml:space="preserve">l dikacau menggunakan pengacau </w:t>
      </w:r>
      <w:r w:rsidRPr="005154AA">
        <w:t xml:space="preserve">magnet sehingga larutan menjadi homogen dan tidak berwarna terbentuk </w:t>
      </w:r>
      <w:r w:rsidR="00DC3145" w:rsidRPr="005154AA">
        <w:t>[16]</w:t>
      </w:r>
      <w:r w:rsidRPr="005154AA">
        <w:t>.</w:t>
      </w:r>
    </w:p>
    <w:p w:rsidR="00C7629B" w:rsidRPr="005154AA" w:rsidRDefault="00C7629B" w:rsidP="00C7629B">
      <w:pPr>
        <w:jc w:val="both"/>
        <w:rPr>
          <w:b/>
        </w:rPr>
      </w:pPr>
    </w:p>
    <w:p w:rsidR="005605BF" w:rsidRPr="005154AA" w:rsidRDefault="00C7629B" w:rsidP="0062103D">
      <w:pPr>
        <w:jc w:val="both"/>
        <w:rPr>
          <w:b/>
        </w:rPr>
      </w:pPr>
      <w:r w:rsidRPr="005154AA">
        <w:rPr>
          <w:b/>
        </w:rPr>
        <w:t xml:space="preserve">Pengekstrakan </w:t>
      </w:r>
      <w:r w:rsidR="00590724" w:rsidRPr="005154AA">
        <w:rPr>
          <w:b/>
        </w:rPr>
        <w:t>α-</w:t>
      </w:r>
      <w:r w:rsidR="00EA3B61" w:rsidRPr="005154AA">
        <w:rPr>
          <w:b/>
        </w:rPr>
        <w:t xml:space="preserve">Tokoferol </w:t>
      </w:r>
    </w:p>
    <w:p w:rsidR="00DC3145" w:rsidRPr="005154AA" w:rsidRDefault="00C7629B" w:rsidP="0062103D">
      <w:pPr>
        <w:ind w:right="-1"/>
        <w:jc w:val="both"/>
      </w:pPr>
      <w:r w:rsidRPr="005154AA">
        <w:t>Bagi nisbah 1:1 CPO kepada DES relina, 10 g CPO dilarutkan dalam 100 mL heksana manakala 10 g DES dilarutkan dalam 100 mL metanol. Kedua-dua bahan i</w:t>
      </w:r>
      <w:r w:rsidR="000E02CD" w:rsidRPr="005154AA">
        <w:t>ni dicampurkan dalam kelalang ko</w:t>
      </w:r>
      <w:r w:rsidRPr="005154AA">
        <w:t>n</w:t>
      </w:r>
      <w:r w:rsidR="00D7647E" w:rsidRPr="005154AA">
        <w:t xml:space="preserve"> 250 mL</w:t>
      </w:r>
      <w:r w:rsidRPr="005154AA">
        <w:t xml:space="preserve"> yang dibalut dengan kerajang aluminium dan dikacau selama 2 jam. Campuran ini seterusnya dipindahkan ke dalam corong pemisah dan dibiarkan seketika untuk membentuk dua lapisan. Lapisan DES kemudian dicampurkan dengan campuran heksana-air (1:4) sebelum fasa tokol-heksana dipisahkan daripada pelarut DES. Isi padu fasa tokol-heksana diukur dan dipindahkan ke dalam vial yang dibalut dengan kerajang aluminium d</w:t>
      </w:r>
      <w:r w:rsidR="005605BF" w:rsidRPr="005154AA">
        <w:t xml:space="preserve">an produk disimpan pada suhu -4 </w:t>
      </w:r>
      <w:r w:rsidRPr="005154AA">
        <w:t xml:space="preserve">°C sebelum dianalisis menggunakan </w:t>
      </w:r>
      <w:r w:rsidR="001C5740" w:rsidRPr="005154AA">
        <w:t>kromatografi cecair prestasi tinggi fasa berbalik (</w:t>
      </w:r>
      <w:r w:rsidRPr="005154AA">
        <w:t>RP-HPLC</w:t>
      </w:r>
      <w:r w:rsidR="001C5740" w:rsidRPr="005154AA">
        <w:t>)</w:t>
      </w:r>
      <w:r w:rsidRPr="005154AA">
        <w:t xml:space="preserve">. Pengekstrakan diulang dengan menggunakan nisbah CPO kepada DES yang berbeza iaitu 1:2, 1:3, 1:4 dan 1:5. Kelima-lima nisbah ini dikaji pada masa pengekstrakan 2 dan 3 jam. Setiap pengekstrakan yang dilakukan mestilah dalam keadaan terhindar daripada cahaya. </w:t>
      </w:r>
      <w:r w:rsidR="00D7647E" w:rsidRPr="005154AA">
        <w:t xml:space="preserve">Langkah ini penting bagi mengelakkan degradasi sebatian </w:t>
      </w:r>
      <w:r w:rsidR="00D7647E" w:rsidRPr="005154AA">
        <w:rPr>
          <w:i/>
        </w:rPr>
        <w:t>α</w:t>
      </w:r>
      <w:r w:rsidR="00D7647E" w:rsidRPr="005154AA">
        <w:t>-T</w:t>
      </w:r>
      <w:r w:rsidR="005605BF" w:rsidRPr="005154AA">
        <w:t xml:space="preserve"> kerana sifatnya yang sensitif terhadap cahaya dan udara</w:t>
      </w:r>
      <w:r w:rsidR="00D7647E" w:rsidRPr="005154AA">
        <w:t xml:space="preserve">. </w:t>
      </w:r>
      <w:r w:rsidRPr="005154AA">
        <w:t>Eksperimen bagi kawalan pengekstrakan diulang tanpa penggunaan DES relina.</w:t>
      </w:r>
    </w:p>
    <w:p w:rsidR="0062103D" w:rsidRPr="005154AA" w:rsidRDefault="0062103D" w:rsidP="0062103D">
      <w:pPr>
        <w:ind w:right="-1"/>
        <w:jc w:val="both"/>
      </w:pPr>
    </w:p>
    <w:p w:rsidR="00C7629B" w:rsidRPr="005154AA" w:rsidRDefault="00C7629B" w:rsidP="00C7629B">
      <w:pPr>
        <w:jc w:val="both"/>
        <w:rPr>
          <w:b/>
        </w:rPr>
      </w:pPr>
      <w:r w:rsidRPr="005154AA">
        <w:rPr>
          <w:b/>
        </w:rPr>
        <w:t xml:space="preserve">Analisis struktur DES relina </w:t>
      </w:r>
    </w:p>
    <w:p w:rsidR="00C7629B" w:rsidRPr="005154AA" w:rsidRDefault="00D7647E" w:rsidP="00C7629B">
      <w:pPr>
        <w:jc w:val="both"/>
      </w:pPr>
      <w:r w:rsidRPr="005154AA">
        <w:t>Elusidasi dan a</w:t>
      </w:r>
      <w:r w:rsidR="00C7629B" w:rsidRPr="005154AA">
        <w:t>nalisis DES relina dilakukan dengan menggunakan kaedah spektroskopi resonans magnetik nukleus (NMR) dan spektroskopi inframerah transformasi F</w:t>
      </w:r>
      <w:r w:rsidR="00D73494" w:rsidRPr="005154AA">
        <w:t xml:space="preserve">ourier (FTIR). Sampel urea dan </w:t>
      </w:r>
      <w:r w:rsidR="00C7629B" w:rsidRPr="005154AA">
        <w:t>DES relina dilarutkan dengan pelarut dimetilsulfoksida (DMSO) yang terdeuterat- d</w:t>
      </w:r>
      <w:r w:rsidR="00C7629B" w:rsidRPr="005154AA">
        <w:rPr>
          <w:vertAlign w:val="subscript"/>
        </w:rPr>
        <w:t>6</w:t>
      </w:r>
      <w:r w:rsidR="00C7629B" w:rsidRPr="005154AA">
        <w:t xml:space="preserve"> bagi analisis </w:t>
      </w:r>
      <w:r w:rsidR="00DC3145" w:rsidRPr="005154AA">
        <w:t xml:space="preserve">NMR satu dimensi (1D), </w:t>
      </w:r>
      <w:r w:rsidR="00C7629B" w:rsidRPr="005154AA">
        <w:t>(</w:t>
      </w:r>
      <w:r w:rsidR="00C7629B" w:rsidRPr="005154AA">
        <w:rPr>
          <w:vertAlign w:val="superscript"/>
        </w:rPr>
        <w:t>1</w:t>
      </w:r>
      <w:r w:rsidR="00C7629B" w:rsidRPr="005154AA">
        <w:t xml:space="preserve">H dan </w:t>
      </w:r>
      <w:r w:rsidR="00C7629B" w:rsidRPr="005154AA">
        <w:rPr>
          <w:vertAlign w:val="superscript"/>
        </w:rPr>
        <w:t>13</w:t>
      </w:r>
      <w:r w:rsidR="00C7629B" w:rsidRPr="005154AA">
        <w:t>C). Selain itu, struktur DES relina juga ditentukan melalui mod dua dimensi (2D) iaitu NOESY</w:t>
      </w:r>
      <w:r w:rsidR="00DC3145" w:rsidRPr="005154AA">
        <w:t xml:space="preserve"> dan</w:t>
      </w:r>
      <w:r w:rsidR="00C7629B" w:rsidRPr="005154AA">
        <w:t xml:space="preserve"> HMQC. Analisis melalui spektroskopi FTIR adalah melalui mod ATR. Spektrum DES relina daripada kedua-dua kaedah</w:t>
      </w:r>
      <w:r w:rsidR="00590724" w:rsidRPr="005154AA">
        <w:t xml:space="preserve"> spektroskopi</w:t>
      </w:r>
      <w:r w:rsidR="00C7629B" w:rsidRPr="005154AA">
        <w:t xml:space="preserve"> dibandingkan dengan spektrum penderma ikatan hidrogen urea.</w:t>
      </w:r>
    </w:p>
    <w:p w:rsidR="0062103D" w:rsidRPr="005154AA" w:rsidRDefault="0062103D" w:rsidP="00C7629B">
      <w:pPr>
        <w:jc w:val="both"/>
        <w:rPr>
          <w:b/>
          <w:i/>
        </w:rPr>
      </w:pPr>
    </w:p>
    <w:p w:rsidR="00C7629B" w:rsidRPr="005154AA" w:rsidRDefault="00C7629B" w:rsidP="00C7629B">
      <w:pPr>
        <w:jc w:val="both"/>
        <w:rPr>
          <w:b/>
        </w:rPr>
      </w:pPr>
      <w:r w:rsidRPr="005154AA">
        <w:rPr>
          <w:b/>
        </w:rPr>
        <w:t>Analisis kelikatan DES relina</w:t>
      </w:r>
    </w:p>
    <w:p w:rsidR="00C7629B" w:rsidRPr="005154AA" w:rsidRDefault="00C7629B" w:rsidP="00C7629B">
      <w:pPr>
        <w:jc w:val="both"/>
      </w:pPr>
      <w:r w:rsidRPr="005154AA">
        <w:t xml:space="preserve">DES relina 10 g, 20 g, 30 g, 40 g dan 50 g </w:t>
      </w:r>
      <w:r w:rsidR="00037AEC" w:rsidRPr="005154AA">
        <w:t xml:space="preserve">mengikut nisbah 1,2,3,4 dan 5 masing-masing </w:t>
      </w:r>
      <w:r w:rsidRPr="005154AA">
        <w:t>disediakan di dalam bikar</w:t>
      </w:r>
      <w:r w:rsidR="001B2AB0" w:rsidRPr="005154AA">
        <w:t xml:space="preserve">. </w:t>
      </w:r>
      <w:r w:rsidRPr="005154AA">
        <w:t>Kelima-lima sampel pelarut ini masing-masing dilarutkan ke dalam 100 mL metanol. Kemudian, kelikatan kelima-lima sampel larutan ini dikaji menggunakan viskometer (spindel bernombor 3 selama 1 minit dengan kelajuan 100 rpm). Kelikatan setiap sampel dicatat dalam unit cP dan setiap kelikatan sampel diukur sebanyak 3 kali.</w:t>
      </w:r>
    </w:p>
    <w:p w:rsidR="00C7629B" w:rsidRPr="005154AA" w:rsidRDefault="00C7629B" w:rsidP="00C7629B">
      <w:pPr>
        <w:jc w:val="both"/>
        <w:rPr>
          <w:b/>
        </w:rPr>
      </w:pPr>
    </w:p>
    <w:p w:rsidR="00C7629B" w:rsidRPr="005154AA" w:rsidRDefault="00C7629B" w:rsidP="00C7629B">
      <w:pPr>
        <w:jc w:val="both"/>
        <w:rPr>
          <w:b/>
        </w:rPr>
      </w:pPr>
      <w:r w:rsidRPr="005154AA">
        <w:rPr>
          <w:b/>
        </w:rPr>
        <w:t>Analisi</w:t>
      </w:r>
      <w:r w:rsidR="00002263">
        <w:rPr>
          <w:b/>
        </w:rPr>
        <w:t>s k</w:t>
      </w:r>
      <w:r w:rsidR="001B2AB0" w:rsidRPr="005154AA">
        <w:rPr>
          <w:b/>
        </w:rPr>
        <w:t>andungan α-T</w:t>
      </w:r>
    </w:p>
    <w:p w:rsidR="00C7629B" w:rsidRPr="005154AA" w:rsidRDefault="00C7629B" w:rsidP="00C7629B">
      <w:pPr>
        <w:jc w:val="both"/>
      </w:pPr>
      <w:r w:rsidRPr="005154AA">
        <w:t>Sistem HPLC Agilent yang terdiri daripada autosam</w:t>
      </w:r>
      <w:r w:rsidR="001A57AB" w:rsidRPr="005154AA">
        <w:t xml:space="preserve">pel </w:t>
      </w:r>
      <w:r w:rsidRPr="005154AA">
        <w:t xml:space="preserve">dan </w:t>
      </w:r>
      <w:r w:rsidR="00AE5079" w:rsidRPr="005154AA">
        <w:t>pisahan</w:t>
      </w:r>
      <w:r w:rsidRPr="005154AA">
        <w:t xml:space="preserve"> C</w:t>
      </w:r>
      <w:r w:rsidRPr="005154AA">
        <w:rPr>
          <w:vertAlign w:val="subscript"/>
        </w:rPr>
        <w:t>18</w:t>
      </w:r>
      <w:r w:rsidRPr="005154AA">
        <w:t xml:space="preserve"> Waters</w:t>
      </w:r>
      <w:r w:rsidR="001A57AB" w:rsidRPr="005154AA">
        <w:t xml:space="preserve"> berdiameter 4.6μm</w:t>
      </w:r>
      <w:r w:rsidRPr="005154AA">
        <w:t xml:space="preserve"> </w:t>
      </w:r>
      <w:r w:rsidR="001A57AB" w:rsidRPr="005154AA">
        <w:t xml:space="preserve">dengan </w:t>
      </w:r>
      <w:r w:rsidRPr="005154AA">
        <w:t xml:space="preserve">panjang 250 mm. Pengesan UV digunakan pada panjang gelombang 292 nm bagi mengesan pemisahan sampel. Asetonitril: air digunakan dalam sistem ini sebagai fasa bergerak </w:t>
      </w:r>
      <w:r w:rsidR="00590724" w:rsidRPr="005154AA">
        <w:t>pada</w:t>
      </w:r>
      <w:r w:rsidRPr="005154AA">
        <w:t xml:space="preserve"> nisbah 95:5 dengan kadar alir 1.0 mLmin</w:t>
      </w:r>
      <w:r w:rsidRPr="005154AA">
        <w:rPr>
          <w:vertAlign w:val="superscript"/>
        </w:rPr>
        <w:t>-1</w:t>
      </w:r>
      <w:r w:rsidRPr="005154AA">
        <w:t xml:space="preserve"> pada suhu bilik (30 °C). Graf kalibrasi sebatian </w:t>
      </w:r>
      <w:r w:rsidRPr="005154AA">
        <w:rPr>
          <w:i/>
        </w:rPr>
        <w:t>α</w:t>
      </w:r>
      <w:r w:rsidRPr="005154AA">
        <w:t xml:space="preserve">-T diplotkan menggunakan lima siri larutan piawai α-T (2.5, 10, 30, 40 dan 80 ppm). Kepekatan sebatian </w:t>
      </w:r>
      <w:r w:rsidRPr="005154AA">
        <w:rPr>
          <w:i/>
        </w:rPr>
        <w:t>α</w:t>
      </w:r>
      <w:r w:rsidRPr="005154AA">
        <w:t xml:space="preserve">-T dihitung melalui persamaan </w:t>
      </w:r>
      <w:r w:rsidR="004C183B" w:rsidRPr="005154AA">
        <w:t xml:space="preserve">(1) dan (2) </w:t>
      </w:r>
      <w:r w:rsidRPr="005154AA">
        <w:t>yang dilapo</w:t>
      </w:r>
      <w:r w:rsidR="00017142" w:rsidRPr="005154AA">
        <w:t xml:space="preserve">rkan oleh Nu’man et al. </w:t>
      </w:r>
      <w:r w:rsidR="00DC3145" w:rsidRPr="005154AA">
        <w:t>[15]</w:t>
      </w:r>
      <w:r w:rsidR="00017142" w:rsidRPr="005154AA">
        <w:t xml:space="preserve"> manakala bagi peratus hasil ekstrak (%) dihitung melalui persamaan (3).</w:t>
      </w:r>
    </w:p>
    <w:p w:rsidR="00C7629B" w:rsidRPr="005154AA" w:rsidRDefault="00C7629B" w:rsidP="00D47720">
      <w:pPr>
        <w:jc w:val="center"/>
        <w:rPr>
          <w:b/>
          <w:sz w:val="24"/>
          <w:szCs w:val="24"/>
        </w:rPr>
      </w:pPr>
    </w:p>
    <w:p w:rsidR="00C7629B" w:rsidRPr="005154AA" w:rsidRDefault="00C7629B" w:rsidP="00002263">
      <w:pPr>
        <w:ind w:firstLine="720"/>
      </w:pPr>
      <w:r w:rsidRPr="005154AA">
        <w:t>C</w:t>
      </w:r>
      <w:r w:rsidRPr="005154AA">
        <w:rPr>
          <w:vertAlign w:val="subscript"/>
        </w:rPr>
        <w:t xml:space="preserve">i </w:t>
      </w:r>
      <w:r w:rsidRPr="005154AA">
        <w:t>= 1/G x A</w:t>
      </w:r>
      <w:r w:rsidRPr="005154AA">
        <w:rPr>
          <w:vertAlign w:val="subscript"/>
        </w:rPr>
        <w:t xml:space="preserve">i </w:t>
      </w:r>
      <w:r w:rsidRPr="005154AA">
        <w:t>x D</w:t>
      </w:r>
      <w:r w:rsidRPr="005154AA">
        <w:rPr>
          <w:vertAlign w:val="subscript"/>
        </w:rPr>
        <w:t>i</w:t>
      </w:r>
      <w:r w:rsidR="004C183B" w:rsidRPr="005154AA">
        <w:t xml:space="preserve">                                             </w:t>
      </w:r>
      <w:r w:rsidR="00D47720" w:rsidRPr="005154AA">
        <w:t xml:space="preserve"> </w:t>
      </w:r>
      <w:r w:rsidR="00F41644" w:rsidRPr="005154AA">
        <w:t xml:space="preserve">                                        </w:t>
      </w:r>
      <w:r w:rsidR="00002263">
        <w:t xml:space="preserve">         </w:t>
      </w:r>
      <w:r w:rsidR="00002263">
        <w:tab/>
      </w:r>
      <w:r w:rsidR="00002263">
        <w:tab/>
      </w:r>
      <w:r w:rsidR="00002263">
        <w:tab/>
        <w:t xml:space="preserve">   </w:t>
      </w:r>
      <w:r w:rsidR="004C183B" w:rsidRPr="005154AA">
        <w:t>(1)</w:t>
      </w:r>
    </w:p>
    <w:p w:rsidR="003F4D65" w:rsidRPr="005154AA" w:rsidRDefault="003F4D65" w:rsidP="00C7629B">
      <w:pPr>
        <w:jc w:val="both"/>
      </w:pPr>
    </w:p>
    <w:p w:rsidR="00002263" w:rsidRDefault="00585021" w:rsidP="00002263">
      <w:pPr>
        <w:jc w:val="both"/>
      </w:pPr>
      <w:r w:rsidRPr="005154AA">
        <w:t>d</w:t>
      </w:r>
      <w:r w:rsidR="00C7629B" w:rsidRPr="005154AA">
        <w:t>i mana, C</w:t>
      </w:r>
      <w:r w:rsidR="00C7629B" w:rsidRPr="005154AA">
        <w:rPr>
          <w:vertAlign w:val="subscript"/>
        </w:rPr>
        <w:t xml:space="preserve">i </w:t>
      </w:r>
      <w:r w:rsidR="00C7629B" w:rsidRPr="005154AA">
        <w:t>= kepekatan tokoferol (mg/L)</w:t>
      </w:r>
      <w:r w:rsidR="001F4FC5" w:rsidRPr="005154AA">
        <w:t>,</w:t>
      </w:r>
      <w:r w:rsidR="004C183B" w:rsidRPr="005154AA">
        <w:t xml:space="preserve"> </w:t>
      </w:r>
      <w:r w:rsidR="00C7629B" w:rsidRPr="005154AA">
        <w:t>G  = faktor gerak balas daripada regrasi plot linear</w:t>
      </w:r>
      <w:r w:rsidR="001F4FC5" w:rsidRPr="005154AA">
        <w:t>,</w:t>
      </w:r>
      <w:r w:rsidR="004C183B" w:rsidRPr="005154AA">
        <w:t xml:space="preserve"> </w:t>
      </w:r>
      <w:r w:rsidR="00C7629B" w:rsidRPr="005154AA">
        <w:t>A</w:t>
      </w:r>
      <w:r w:rsidR="00C7629B" w:rsidRPr="005154AA">
        <w:rPr>
          <w:vertAlign w:val="subscript"/>
        </w:rPr>
        <w:t>i</w:t>
      </w:r>
      <w:r w:rsidR="00C7629B" w:rsidRPr="005154AA">
        <w:t xml:space="preserve">  = keluasan sampel</w:t>
      </w:r>
      <w:r w:rsidR="001F4FC5" w:rsidRPr="005154AA">
        <w:t xml:space="preserve">, </w:t>
      </w:r>
      <w:r w:rsidR="00C7629B" w:rsidRPr="005154AA">
        <w:t>D</w:t>
      </w:r>
      <w:r w:rsidR="00C7629B" w:rsidRPr="005154AA">
        <w:rPr>
          <w:vertAlign w:val="subscript"/>
        </w:rPr>
        <w:t xml:space="preserve">i </w:t>
      </w:r>
      <w:r w:rsidR="00C7629B" w:rsidRPr="005154AA">
        <w:t>= faktor  pencairan, ditakrifkan sebagai berat  sampel per isi padu pencairan</w:t>
      </w:r>
      <w:r w:rsidR="00002263">
        <w:t>.</w:t>
      </w:r>
    </w:p>
    <w:p w:rsidR="00002263" w:rsidRDefault="00002263" w:rsidP="00002263">
      <w:pPr>
        <w:jc w:val="both"/>
      </w:pPr>
    </w:p>
    <w:p w:rsidR="00C7629B" w:rsidRPr="005154AA" w:rsidRDefault="00C7629B" w:rsidP="00002263">
      <w:pPr>
        <w:ind w:firstLine="720"/>
        <w:jc w:val="both"/>
      </w:pPr>
      <w:r w:rsidRPr="005154AA">
        <w:t>D</w:t>
      </w:r>
      <w:r w:rsidRPr="005154AA">
        <w:rPr>
          <w:vertAlign w:val="subscript"/>
        </w:rPr>
        <w:t xml:space="preserve">i </w:t>
      </w:r>
      <w:r w:rsidRPr="005154AA">
        <w:t>= v</w:t>
      </w:r>
      <w:r w:rsidRPr="005154AA">
        <w:rPr>
          <w:vertAlign w:val="subscript"/>
        </w:rPr>
        <w:t>i</w:t>
      </w:r>
      <w:r w:rsidRPr="005154AA">
        <w:t>/v</w:t>
      </w:r>
      <w:r w:rsidRPr="005154AA">
        <w:rPr>
          <w:vertAlign w:val="subscript"/>
        </w:rPr>
        <w:t>f</w:t>
      </w:r>
      <w:r w:rsidRPr="005154AA">
        <w:t xml:space="preserve">, </w:t>
      </w:r>
      <w:r w:rsidR="004C183B" w:rsidRPr="005154AA">
        <w:t xml:space="preserve">                                                                 </w:t>
      </w:r>
      <w:r w:rsidR="00F41644" w:rsidRPr="005154AA">
        <w:tab/>
      </w:r>
      <w:r w:rsidR="00F41644" w:rsidRPr="005154AA">
        <w:tab/>
      </w:r>
      <w:r w:rsidR="00F41644" w:rsidRPr="005154AA">
        <w:tab/>
      </w:r>
      <w:r w:rsidR="00002263">
        <w:tab/>
      </w:r>
      <w:r w:rsidR="00002263">
        <w:tab/>
      </w:r>
      <w:r w:rsidR="00002263">
        <w:tab/>
        <w:t xml:space="preserve">   </w:t>
      </w:r>
      <w:r w:rsidR="00F41644" w:rsidRPr="005154AA">
        <w:t>(2)</w:t>
      </w:r>
    </w:p>
    <w:p w:rsidR="00F41644" w:rsidRPr="005154AA" w:rsidRDefault="00F41644" w:rsidP="00C7629B">
      <w:pPr>
        <w:jc w:val="both"/>
      </w:pPr>
    </w:p>
    <w:p w:rsidR="00C7629B" w:rsidRPr="005154AA" w:rsidRDefault="00585021" w:rsidP="00CD2FC0">
      <w:pPr>
        <w:jc w:val="both"/>
      </w:pPr>
      <w:r w:rsidRPr="005154AA">
        <w:t>d</w:t>
      </w:r>
      <w:r w:rsidR="007D5772" w:rsidRPr="005154AA">
        <w:t>i</w:t>
      </w:r>
      <w:r w:rsidR="001F4FC5" w:rsidRPr="005154AA">
        <w:t xml:space="preserve"> mana, </w:t>
      </w:r>
      <w:r w:rsidR="00C7629B" w:rsidRPr="005154AA">
        <w:t>v</w:t>
      </w:r>
      <w:r w:rsidR="00C7629B" w:rsidRPr="005154AA">
        <w:rPr>
          <w:vertAlign w:val="subscript"/>
        </w:rPr>
        <w:t xml:space="preserve">i </w:t>
      </w:r>
      <w:r w:rsidR="00C7629B" w:rsidRPr="005154AA">
        <w:t>= isi padu sampel (mL)</w:t>
      </w:r>
      <w:r w:rsidR="001F4FC5" w:rsidRPr="005154AA">
        <w:t xml:space="preserve">, </w:t>
      </w:r>
      <w:r w:rsidR="00C7629B" w:rsidRPr="005154AA">
        <w:t>v</w:t>
      </w:r>
      <w:r w:rsidR="00C7629B" w:rsidRPr="005154AA">
        <w:rPr>
          <w:vertAlign w:val="subscript"/>
        </w:rPr>
        <w:t xml:space="preserve">f </w:t>
      </w:r>
      <w:r w:rsidR="00C7629B" w:rsidRPr="005154AA">
        <w:t>= isipadu sampel esktrak (mL)</w:t>
      </w:r>
    </w:p>
    <w:p w:rsidR="00017142" w:rsidRPr="005154AA" w:rsidRDefault="00017142" w:rsidP="00CD2FC0">
      <w:pPr>
        <w:jc w:val="both"/>
      </w:pPr>
    </w:p>
    <w:p w:rsidR="00017142" w:rsidRPr="005154AA" w:rsidRDefault="00017142" w:rsidP="00CD2FC0">
      <w:pPr>
        <w:jc w:val="both"/>
      </w:pPr>
    </w:p>
    <w:p w:rsidR="00017142" w:rsidRPr="005154AA" w:rsidRDefault="001F4FC5" w:rsidP="00002263">
      <w:pPr>
        <w:ind w:firstLine="720"/>
      </w:pPr>
      <w:r w:rsidRPr="005154AA">
        <w:t>Peratus hasil ekstrak</w:t>
      </w:r>
      <w:r w:rsidR="000E02CD" w:rsidRPr="005154AA">
        <w:t xml:space="preserve"> (%)</w:t>
      </w:r>
      <w:r w:rsidRPr="005154AA">
        <w:rPr>
          <w:sz w:val="24"/>
          <w:szCs w:val="24"/>
        </w:rPr>
        <w:t xml:space="preserve"> </w:t>
      </w:r>
      <w:r w:rsidR="000E02CD" w:rsidRPr="005154AA">
        <w:rPr>
          <w:sz w:val="24"/>
          <w:szCs w:val="24"/>
        </w:rPr>
        <w:t xml:space="preserve">= </w:t>
      </w:r>
      <m:oMath>
        <m:f>
          <m:fPr>
            <m:ctrlPr>
              <w:rPr>
                <w:rFonts w:ascii="Cambria Math" w:eastAsiaTheme="minorEastAsia" w:hAnsi="Cambria Math"/>
                <w:i/>
                <w:sz w:val="24"/>
                <w:szCs w:val="24"/>
              </w:rPr>
            </m:ctrlPr>
          </m:fPr>
          <m:num>
            <m:r>
              <m:rPr>
                <m:sty m:val="p"/>
              </m:rPr>
              <w:rPr>
                <w:rFonts w:ascii="Cambria Math" w:eastAsiaTheme="minorEastAsia" w:hAnsi="Cambria Math"/>
                <w:sz w:val="24"/>
                <w:szCs w:val="24"/>
              </w:rPr>
              <m:t xml:space="preserve">[Kepekatan tokoferol </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C</m:t>
                </m:r>
              </m:e>
              <m:sub>
                <m:r>
                  <m:rPr>
                    <m:sty m:val="p"/>
                  </m:rPr>
                  <w:rPr>
                    <w:rFonts w:ascii="Cambria Math" w:eastAsiaTheme="minorEastAsia" w:hAnsi="Cambria Math"/>
                    <w:sz w:val="24"/>
                    <w:szCs w:val="24"/>
                  </w:rPr>
                  <m:t>i</m:t>
                </m:r>
              </m:sub>
            </m:sSub>
            <m:r>
              <m:rPr>
                <m:sty m:val="p"/>
              </m:rPr>
              <w:rPr>
                <w:rFonts w:ascii="Cambria Math" w:eastAsiaTheme="minorEastAsia" w:hAnsi="Cambria Math"/>
                <w:sz w:val="24"/>
                <w:szCs w:val="24"/>
              </w:rPr>
              <m:t xml:space="preserve"> </m:t>
            </m:r>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 Isi padu akhir ekstrak (L)] </m:t>
            </m:r>
          </m:num>
          <m:den>
            <m:r>
              <m:rPr>
                <m:sty m:val="p"/>
              </m:rPr>
              <w:rPr>
                <w:rFonts w:ascii="Cambria Math" w:eastAsiaTheme="minorEastAsia" w:hAnsi="Cambria Math"/>
                <w:sz w:val="24"/>
                <w:szCs w:val="24"/>
              </w:rPr>
              <m:t>10000 mg</m:t>
            </m:r>
          </m:den>
        </m:f>
        <m:r>
          <m:rPr>
            <m:sty m:val="p"/>
          </m:rPr>
          <w:rPr>
            <w:rFonts w:ascii="Cambria Math" w:eastAsiaTheme="minorEastAsia" w:hAnsi="Cambria Math"/>
            <w:sz w:val="24"/>
            <w:szCs w:val="24"/>
          </w:rPr>
          <m:t xml:space="preserve">× </m:t>
        </m:r>
      </m:oMath>
      <w:r w:rsidR="00017142" w:rsidRPr="005154AA">
        <w:rPr>
          <w:rFonts w:eastAsiaTheme="minorEastAsia"/>
        </w:rPr>
        <w:t xml:space="preserve">100 %          </w:t>
      </w:r>
      <w:r w:rsidR="00002263">
        <w:rPr>
          <w:rFonts w:eastAsiaTheme="minorEastAsia"/>
        </w:rPr>
        <w:t xml:space="preserve">   </w:t>
      </w:r>
      <w:r w:rsidRPr="005154AA">
        <w:rPr>
          <w:rFonts w:eastAsiaTheme="minorEastAsia"/>
        </w:rPr>
        <w:t>(3)</w:t>
      </w:r>
      <w:r w:rsidR="00017142" w:rsidRPr="005154AA">
        <w:rPr>
          <w:rFonts w:eastAsiaTheme="minorEastAsia"/>
        </w:rPr>
        <w:t xml:space="preserve">               </w:t>
      </w:r>
      <w:r w:rsidRPr="005154AA">
        <w:rPr>
          <w:rFonts w:eastAsiaTheme="minorEastAsia"/>
        </w:rPr>
        <w:t xml:space="preserve">                           </w:t>
      </w:r>
    </w:p>
    <w:p w:rsidR="00942DCE" w:rsidRPr="005154AA" w:rsidRDefault="00942DCE" w:rsidP="001F4FC5">
      <w:pPr>
        <w:tabs>
          <w:tab w:val="left" w:pos="4035"/>
        </w:tabs>
        <w:jc w:val="center"/>
      </w:pPr>
    </w:p>
    <w:p w:rsidR="003F4D65" w:rsidRPr="005154AA" w:rsidRDefault="003F4D65" w:rsidP="001F4FC5">
      <w:pPr>
        <w:jc w:val="center"/>
        <w:rPr>
          <w:b/>
          <w:sz w:val="24"/>
          <w:szCs w:val="24"/>
        </w:rPr>
      </w:pPr>
    </w:p>
    <w:p w:rsidR="000110F3" w:rsidRPr="005154AA" w:rsidRDefault="000110F3" w:rsidP="000110F3">
      <w:pPr>
        <w:rPr>
          <w:b/>
          <w:sz w:val="24"/>
          <w:szCs w:val="24"/>
        </w:rPr>
      </w:pPr>
    </w:p>
    <w:p w:rsidR="008520DC" w:rsidRPr="005154AA" w:rsidRDefault="00007DFE" w:rsidP="00002263">
      <w:pPr>
        <w:jc w:val="center"/>
        <w:rPr>
          <w:b/>
        </w:rPr>
      </w:pPr>
      <w:r w:rsidRPr="005154AA">
        <w:rPr>
          <w:b/>
        </w:rPr>
        <w:t>Hasil dan Perbincangan</w:t>
      </w:r>
    </w:p>
    <w:p w:rsidR="00167215" w:rsidRPr="005154AA" w:rsidRDefault="00002263" w:rsidP="00C7629B">
      <w:pPr>
        <w:jc w:val="both"/>
        <w:rPr>
          <w:b/>
        </w:rPr>
      </w:pPr>
      <w:r>
        <w:rPr>
          <w:b/>
        </w:rPr>
        <w:t>Ikatan h</w:t>
      </w:r>
      <w:r w:rsidR="00167215" w:rsidRPr="005154AA">
        <w:rPr>
          <w:b/>
        </w:rPr>
        <w:t>idrogen dalam Struktur DES relina</w:t>
      </w:r>
    </w:p>
    <w:p w:rsidR="00E55C30" w:rsidRPr="005154AA" w:rsidRDefault="00C2120A" w:rsidP="00E55C30">
      <w:pPr>
        <w:jc w:val="both"/>
      </w:pPr>
      <w:r w:rsidRPr="005154AA">
        <w:t xml:space="preserve">DES relina yang disediakan dalam kajian ini menunjukkan bahawa terdapat interaksi antara kolin klorida (ChCl) dan urea melalui ikatan hidrogen. </w:t>
      </w:r>
      <w:r w:rsidR="00E55C30" w:rsidRPr="005154AA">
        <w:t>Daripada spektrum perbandingan FTIR</w:t>
      </w:r>
      <w:r w:rsidRPr="005154AA">
        <w:t xml:space="preserve"> (Rajah 2)</w:t>
      </w:r>
      <w:r w:rsidR="00E55C30" w:rsidRPr="005154AA">
        <w:t>, tiga jalur serapan –NH dalam spektrum urea lebih tajam berbanding dua jalur serapan –NH dalam sampel DES relina. Menurut Pavia et al. [1</w:t>
      </w:r>
      <w:r w:rsidRPr="005154AA">
        <w:t>7</w:t>
      </w:r>
      <w:r w:rsidR="00E55C30" w:rsidRPr="005154AA">
        <w:t>], amina primer –NH dalam keadaan pepejal menghasilkan jalur getaran yang kuat disebabkan oleh perubahan fasa pepejal urea kepada fasa cecair DES relina. Spektrum FTIR DES relina menunjukkan jalur serapan yang lebih lebar kerana jalur serapan –OH dalam struktur ion kolin, Ch</w:t>
      </w:r>
      <w:r w:rsidR="00E55C30" w:rsidRPr="005154AA">
        <w:rPr>
          <w:vertAlign w:val="superscript"/>
        </w:rPr>
        <w:t>+</w:t>
      </w:r>
      <w:r w:rsidR="00E55C30" w:rsidRPr="005154AA">
        <w:t xml:space="preserve"> bertindih dengan puncak serapan –NH</w:t>
      </w:r>
      <w:r w:rsidR="00E55C30" w:rsidRPr="005154AA">
        <w:rPr>
          <w:vertAlign w:val="subscript"/>
        </w:rPr>
        <w:t>2</w:t>
      </w:r>
      <w:r w:rsidR="00E55C30" w:rsidRPr="005154AA">
        <w:t>. Pertindihan ini disebabkan oleh kumpulan -OH dan –NH berada pada julat nombor gelombang yang sama iaitu sekitar 2500 cm</w:t>
      </w:r>
      <w:r w:rsidR="00E55C30" w:rsidRPr="005154AA">
        <w:rPr>
          <w:vertAlign w:val="superscript"/>
        </w:rPr>
        <w:t>-1</w:t>
      </w:r>
      <w:r w:rsidR="00E55C30" w:rsidRPr="005154AA">
        <w:t xml:space="preserve"> hingga 4000 cm</w:t>
      </w:r>
      <w:r w:rsidR="00E55C30" w:rsidRPr="005154AA">
        <w:rPr>
          <w:vertAlign w:val="superscript"/>
        </w:rPr>
        <w:t>-1</w:t>
      </w:r>
      <w:r w:rsidR="00E55C30" w:rsidRPr="005154AA">
        <w:t xml:space="preserve"> [1</w:t>
      </w:r>
      <w:r w:rsidRPr="005154AA">
        <w:t>7</w:t>
      </w:r>
      <w:r w:rsidR="00E55C30" w:rsidRPr="005154AA">
        <w:t>]. Selain itu, kewujudan ikatan hidrogen antara ion klorida Cl</w:t>
      </w:r>
      <w:r w:rsidR="00E55C30" w:rsidRPr="005154AA">
        <w:rPr>
          <w:vertAlign w:val="superscript"/>
        </w:rPr>
        <w:t>-</w:t>
      </w:r>
      <w:r w:rsidR="00E55C30" w:rsidRPr="005154AA">
        <w:t xml:space="preserve"> dan –NH</w:t>
      </w:r>
      <w:r w:rsidR="00E55C30" w:rsidRPr="005154AA">
        <w:rPr>
          <w:vertAlign w:val="subscript"/>
        </w:rPr>
        <w:t>2</w:t>
      </w:r>
      <w:r w:rsidR="00E55C30" w:rsidRPr="005154AA">
        <w:t xml:space="preserve"> dalam struktur DES relina seperti Rajah </w:t>
      </w:r>
      <w:r w:rsidRPr="005154AA">
        <w:t>3</w:t>
      </w:r>
      <w:r w:rsidR="00E55C30" w:rsidRPr="005154AA">
        <w:t xml:space="preserve"> menyebabkan jalur serapan teranjak kepada julat nombor gelombang yang lebih kecil [1</w:t>
      </w:r>
      <w:r w:rsidRPr="005154AA">
        <w:t>8</w:t>
      </w:r>
      <w:r w:rsidR="00E55C30" w:rsidRPr="005154AA">
        <w:t xml:space="preserve">]. </w:t>
      </w:r>
      <w:r w:rsidRPr="005154AA">
        <w:t xml:space="preserve">Kewujudan ikatan ini disokong </w:t>
      </w:r>
      <w:r w:rsidR="000A45FD" w:rsidRPr="005154AA">
        <w:t xml:space="preserve">kajian </w:t>
      </w:r>
      <w:r w:rsidR="000E02CD" w:rsidRPr="005154AA">
        <w:t xml:space="preserve">oleh </w:t>
      </w:r>
      <w:r w:rsidRPr="005154AA">
        <w:t>Zaira [19] yang menyatakan bahawa pembinaan ikatan hidrogen antara dua komponen ini adalah melalui proton amina sekunder dengan anion Cl</w:t>
      </w:r>
      <w:r w:rsidRPr="005154AA">
        <w:rPr>
          <w:vertAlign w:val="superscript"/>
        </w:rPr>
        <w:t>-</w:t>
      </w:r>
      <w:r w:rsidRPr="005154AA">
        <w:t xml:space="preserve">. </w:t>
      </w:r>
      <w:r w:rsidR="00E55C30" w:rsidRPr="005154AA">
        <w:t>Kesemua jalur serapan yang ditunjukkan oleh spektrum FTIR urea wujud dalam spektrum FTIR DES relina. Namun, bentuk dan intensiti jalur serapan yang ditunjukkan bagi kedua-dua spektrum adalah berbeza. Perbezaan ini menunjukkan berlakunya interaksi melalui percampuran kolin klorida dan urea bagi penghasilan DES relina.</w:t>
      </w:r>
      <w:r w:rsidRPr="005154AA">
        <w:t xml:space="preserve"> </w:t>
      </w:r>
    </w:p>
    <w:p w:rsidR="00E55C30" w:rsidRPr="005154AA" w:rsidRDefault="00E55C30" w:rsidP="00002263">
      <w:pPr>
        <w:contextualSpacing/>
        <w:jc w:val="both"/>
      </w:pPr>
      <w:r w:rsidRPr="005154AA">
        <w:tab/>
      </w:r>
    </w:p>
    <w:p w:rsidR="00E55C30" w:rsidRPr="005154AA" w:rsidRDefault="00E55C30" w:rsidP="00E55C30">
      <w:pPr>
        <w:ind w:firstLine="720"/>
        <w:contextualSpacing/>
        <w:jc w:val="center"/>
        <w:rPr>
          <w:sz w:val="24"/>
          <w:szCs w:val="24"/>
        </w:rPr>
      </w:pPr>
      <w:r w:rsidRPr="005154AA">
        <w:rPr>
          <w:noProof/>
          <w:sz w:val="24"/>
          <w:szCs w:val="24"/>
          <w:lang w:val="en-US"/>
        </w:rPr>
        <w:drawing>
          <wp:inline distT="0" distB="0" distL="0" distR="0" wp14:anchorId="474B8E3D" wp14:editId="389C9101">
            <wp:extent cx="4324350" cy="2446783"/>
            <wp:effectExtent l="19050" t="19050" r="19050" b="10795"/>
            <wp:docPr id="4" name="Picture 0" descr="vb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bnm.png"/>
                    <pic:cNvPicPr>
                      <a:picLocks noChangeAspect="1" noChangeArrowheads="1"/>
                    </pic:cNvPicPr>
                  </pic:nvPicPr>
                  <pic:blipFill>
                    <a:blip r:embed="rId11"/>
                    <a:srcRect/>
                    <a:stretch>
                      <a:fillRect/>
                    </a:stretch>
                  </pic:blipFill>
                  <pic:spPr bwMode="auto">
                    <a:xfrm>
                      <a:off x="0" y="0"/>
                      <a:ext cx="4343500" cy="2457619"/>
                    </a:xfrm>
                    <a:prstGeom prst="rect">
                      <a:avLst/>
                    </a:prstGeom>
                    <a:noFill/>
                    <a:ln w="9525" cmpd="sng">
                      <a:solidFill>
                        <a:srgbClr val="000000"/>
                      </a:solidFill>
                      <a:miter lim="800000"/>
                      <a:headEnd/>
                      <a:tailEnd/>
                    </a:ln>
                    <a:effectLst/>
                  </pic:spPr>
                </pic:pic>
              </a:graphicData>
            </a:graphic>
          </wp:inline>
        </w:drawing>
      </w:r>
    </w:p>
    <w:p w:rsidR="00E55C30" w:rsidRPr="005154AA" w:rsidRDefault="00E55C30" w:rsidP="00E55C30">
      <w:pPr>
        <w:ind w:firstLine="720"/>
        <w:contextualSpacing/>
        <w:jc w:val="center"/>
        <w:rPr>
          <w:sz w:val="24"/>
          <w:szCs w:val="24"/>
        </w:rPr>
      </w:pPr>
    </w:p>
    <w:p w:rsidR="00E55C30" w:rsidRPr="005154AA" w:rsidRDefault="00E55C30" w:rsidP="00E55C30">
      <w:pPr>
        <w:ind w:firstLine="720"/>
        <w:contextualSpacing/>
        <w:jc w:val="center"/>
        <w:rPr>
          <w:szCs w:val="18"/>
        </w:rPr>
      </w:pPr>
      <w:r w:rsidRPr="005154AA">
        <w:rPr>
          <w:szCs w:val="18"/>
        </w:rPr>
        <w:t xml:space="preserve">Rajah </w:t>
      </w:r>
      <w:r w:rsidR="00C2120A" w:rsidRPr="005154AA">
        <w:rPr>
          <w:szCs w:val="18"/>
        </w:rPr>
        <w:t>2</w:t>
      </w:r>
      <w:r w:rsidR="00002263">
        <w:rPr>
          <w:szCs w:val="18"/>
        </w:rPr>
        <w:t xml:space="preserve">. </w:t>
      </w:r>
      <w:r w:rsidRPr="005154AA">
        <w:rPr>
          <w:szCs w:val="18"/>
        </w:rPr>
        <w:t>Perbandingan spektrum FTIR-ATR antara urea dan DES relina</w:t>
      </w:r>
    </w:p>
    <w:p w:rsidR="00C2120A" w:rsidRPr="005154AA" w:rsidRDefault="00C2120A" w:rsidP="00C2120A">
      <w:pPr>
        <w:jc w:val="both"/>
        <w:rPr>
          <w:sz w:val="24"/>
          <w:szCs w:val="24"/>
        </w:rPr>
      </w:pPr>
    </w:p>
    <w:p w:rsidR="00C2120A" w:rsidRPr="005154AA" w:rsidRDefault="00C2120A" w:rsidP="00C2120A">
      <w:pPr>
        <w:jc w:val="center"/>
        <w:rPr>
          <w:sz w:val="24"/>
          <w:szCs w:val="24"/>
        </w:rPr>
      </w:pPr>
      <w:r w:rsidRPr="005154AA">
        <w:object w:dxaOrig="3463" w:dyaOrig="2714">
          <v:shape id="_x0000_i1026" type="#_x0000_t75" style="width:140.25pt;height:109.5pt" o:ole="" filled="t" fillcolor="white [3212]">
            <v:imagedata r:id="rId12" o:title=""/>
          </v:shape>
          <o:OLEObject Type="Embed" ProgID="ChemDraw.Document.6.0" ShapeID="_x0000_i1026" DrawAspect="Content" ObjectID="_1588331385" r:id="rId13"/>
        </w:object>
      </w:r>
    </w:p>
    <w:p w:rsidR="00C2120A" w:rsidRPr="005154AA" w:rsidRDefault="00C2120A" w:rsidP="00C2120A">
      <w:pPr>
        <w:ind w:left="1080" w:hanging="1080"/>
        <w:jc w:val="center"/>
        <w:rPr>
          <w:sz w:val="24"/>
          <w:szCs w:val="24"/>
        </w:rPr>
      </w:pPr>
    </w:p>
    <w:p w:rsidR="00E55C30" w:rsidRPr="005154AA" w:rsidRDefault="005E24F7" w:rsidP="00C2120A">
      <w:pPr>
        <w:jc w:val="center"/>
      </w:pPr>
      <w:r w:rsidRPr="005154AA">
        <w:t>Rajah 3</w:t>
      </w:r>
      <w:r w:rsidR="00002263">
        <w:t xml:space="preserve">. </w:t>
      </w:r>
      <w:r w:rsidR="00C2120A" w:rsidRPr="005154AA">
        <w:t>Ikatan hidrogen yang terbentuk dalam struktur DES relina</w:t>
      </w:r>
    </w:p>
    <w:p w:rsidR="0062103D" w:rsidRPr="005154AA" w:rsidRDefault="0062103D" w:rsidP="0062103D">
      <w:pPr>
        <w:jc w:val="both"/>
      </w:pPr>
    </w:p>
    <w:p w:rsidR="00D14D81" w:rsidRDefault="00D7647E" w:rsidP="0062103D">
      <w:pPr>
        <w:jc w:val="both"/>
      </w:pPr>
      <w:r w:rsidRPr="005154AA">
        <w:t xml:space="preserve">Struktur </w:t>
      </w:r>
      <w:r w:rsidR="00101F18" w:rsidRPr="005154AA">
        <w:t>DES relina juga disokong</w:t>
      </w:r>
      <w:r w:rsidRPr="005154AA">
        <w:t xml:space="preserve"> </w:t>
      </w:r>
      <w:r w:rsidR="00101F18" w:rsidRPr="005154AA">
        <w:t>melalui</w:t>
      </w:r>
      <w:r w:rsidRPr="005154AA">
        <w:t xml:space="preserve"> spektrum </w:t>
      </w:r>
      <w:r w:rsidRPr="005154AA">
        <w:rPr>
          <w:vertAlign w:val="superscript"/>
        </w:rPr>
        <w:t>1</w:t>
      </w:r>
      <w:r w:rsidRPr="005154AA">
        <w:t>H</w:t>
      </w:r>
      <w:r w:rsidR="001E0756" w:rsidRPr="005154AA">
        <w:t>-</w:t>
      </w:r>
      <w:r w:rsidRPr="005154AA">
        <w:t>NMR (R</w:t>
      </w:r>
      <w:r w:rsidR="000110F3" w:rsidRPr="005154AA">
        <w:t>ajah</w:t>
      </w:r>
      <w:r w:rsidRPr="005154AA">
        <w:t xml:space="preserve"> </w:t>
      </w:r>
      <w:r w:rsidR="00101F18" w:rsidRPr="005154AA">
        <w:t>4</w:t>
      </w:r>
      <w:r w:rsidR="00D55356" w:rsidRPr="005154AA">
        <w:t>(</w:t>
      </w:r>
      <w:r w:rsidR="000E02CD" w:rsidRPr="005154AA">
        <w:t>b</w:t>
      </w:r>
      <w:r w:rsidR="00D55356" w:rsidRPr="005154AA">
        <w:t>)</w:t>
      </w:r>
      <w:r w:rsidRPr="005154AA">
        <w:t>) di</w:t>
      </w:r>
      <w:r w:rsidR="005E6E46" w:rsidRPr="005154AA">
        <w:t xml:space="preserve"> </w:t>
      </w:r>
      <w:r w:rsidRPr="005154AA">
        <w:t xml:space="preserve">mana terdapat lapan proton sekitar anjakan kimia 3.15 ppm sehingga 5.81 ppm yang mewakili proton urea dan kolin klorida. Anjakan kimia pada 5.81 ppm </w:t>
      </w:r>
      <w:r w:rsidR="00D55356" w:rsidRPr="005154AA">
        <w:t>(Rajah 4 (</w:t>
      </w:r>
      <w:r w:rsidR="000E02CD" w:rsidRPr="005154AA">
        <w:t>a</w:t>
      </w:r>
      <w:r w:rsidR="00D55356" w:rsidRPr="005154AA">
        <w:t xml:space="preserve">)) </w:t>
      </w:r>
      <w:r w:rsidRPr="005154AA">
        <w:t>mewakili proton amina bagi dua molekul urea dan s</w:t>
      </w:r>
      <w:r w:rsidR="003E6BDE" w:rsidRPr="005154AA">
        <w:t>elebihnya mewakili proton kolin</w:t>
      </w:r>
      <w:r w:rsidRPr="005154AA">
        <w:t xml:space="preserve"> klorida. </w:t>
      </w:r>
      <w:r w:rsidR="007C16A1" w:rsidRPr="005154AA">
        <w:t xml:space="preserve">Selain itu, DES relina yang dihasilkan dalam kajian ini juga menunjukkan spektrum DES relina yang sama seperti kajian yang dilakukan oleh </w:t>
      </w:r>
      <w:r w:rsidR="007D5772" w:rsidRPr="005154AA">
        <w:t xml:space="preserve">Lobo dan Rennet </w:t>
      </w:r>
      <w:r w:rsidR="00101F18" w:rsidRPr="005154AA">
        <w:t>[20].</w:t>
      </w:r>
      <w:r w:rsidR="007C16A1" w:rsidRPr="005154AA">
        <w:t xml:space="preserve"> </w:t>
      </w:r>
      <w:r w:rsidR="00D55356" w:rsidRPr="005154AA">
        <w:t>Tambahan</w:t>
      </w:r>
      <w:r w:rsidR="00203644" w:rsidRPr="005154AA">
        <w:t xml:space="preserve">, </w:t>
      </w:r>
      <w:r w:rsidR="002256EA" w:rsidRPr="005154AA">
        <w:t xml:space="preserve">kelebaran </w:t>
      </w:r>
      <w:r w:rsidR="00203644" w:rsidRPr="005154AA">
        <w:t xml:space="preserve">bentuk puncak spektrum </w:t>
      </w:r>
      <w:r w:rsidR="00203644" w:rsidRPr="005154AA">
        <w:rPr>
          <w:vertAlign w:val="superscript"/>
        </w:rPr>
        <w:t>1</w:t>
      </w:r>
      <w:r w:rsidR="00203644" w:rsidRPr="005154AA">
        <w:t>H</w:t>
      </w:r>
      <w:r w:rsidR="007D5772" w:rsidRPr="005154AA">
        <w:t>-</w:t>
      </w:r>
      <w:r w:rsidR="00203644" w:rsidRPr="005154AA">
        <w:t>NMR</w:t>
      </w:r>
      <w:r w:rsidR="002256EA" w:rsidRPr="005154AA">
        <w:t xml:space="preserve"> bagi sampel DES relina ini sama seperti kajian yang dilakukan oleh D’Agostino et al. </w:t>
      </w:r>
      <w:r w:rsidR="00101F18" w:rsidRPr="005154AA">
        <w:t>[21]</w:t>
      </w:r>
      <w:r w:rsidR="002256EA" w:rsidRPr="005154AA">
        <w:t xml:space="preserve"> dan kelebaran puncak </w:t>
      </w:r>
      <w:r w:rsidR="005E6E46" w:rsidRPr="005154AA">
        <w:t>proton</w:t>
      </w:r>
      <w:r w:rsidR="002256EA" w:rsidRPr="005154AA">
        <w:t xml:space="preserve"> ini </w:t>
      </w:r>
      <w:r w:rsidR="00D55356" w:rsidRPr="005154AA">
        <w:t xml:space="preserve">adalah </w:t>
      </w:r>
      <w:r w:rsidR="002256EA" w:rsidRPr="005154AA">
        <w:t xml:space="preserve">disebabkan oleh kelikatan DES relina yang tinggi </w:t>
      </w:r>
      <w:r w:rsidR="00D55356" w:rsidRPr="005154AA">
        <w:t>[21]</w:t>
      </w:r>
      <w:r w:rsidR="002256EA" w:rsidRPr="005154AA">
        <w:t>.</w:t>
      </w:r>
      <w:r w:rsidR="00D55356" w:rsidRPr="005154AA">
        <w:t xml:space="preserve"> Rajah 5 </w:t>
      </w:r>
      <w:r w:rsidR="00D55356" w:rsidRPr="005154AA">
        <w:lastRenderedPageBreak/>
        <w:t>menunju</w:t>
      </w:r>
      <w:r w:rsidR="005E24F7" w:rsidRPr="005154AA">
        <w:t>k</w:t>
      </w:r>
      <w:r w:rsidR="00D55356" w:rsidRPr="005154AA">
        <w:t xml:space="preserve">kan </w:t>
      </w:r>
      <w:r w:rsidR="00D55356" w:rsidRPr="005154AA">
        <w:rPr>
          <w:vertAlign w:val="superscript"/>
        </w:rPr>
        <w:t>13</w:t>
      </w:r>
      <w:r w:rsidR="00D55356" w:rsidRPr="005154AA">
        <w:t xml:space="preserve">C-NMR DES relina dan didapati empat </w:t>
      </w:r>
      <w:r w:rsidR="006A51E5" w:rsidRPr="005154AA">
        <w:t>k</w:t>
      </w:r>
      <w:r w:rsidR="00B929E5" w:rsidRPr="005154AA">
        <w:t>arbon sekitar anjakan 53</w:t>
      </w:r>
      <w:r w:rsidR="00D55356" w:rsidRPr="005154AA">
        <w:t xml:space="preserve"> ppm sehingga 16</w:t>
      </w:r>
      <w:r w:rsidR="00B929E5" w:rsidRPr="005154AA">
        <w:t>1</w:t>
      </w:r>
      <w:r w:rsidR="00D55356" w:rsidRPr="005154AA">
        <w:t xml:space="preserve"> ppm</w:t>
      </w:r>
      <w:r w:rsidR="007D5772" w:rsidRPr="005154AA">
        <w:t>,</w:t>
      </w:r>
      <w:r w:rsidR="00D55356" w:rsidRPr="005154AA">
        <w:t xml:space="preserve"> </w:t>
      </w:r>
      <w:r w:rsidR="007D5772" w:rsidRPr="005154AA">
        <w:t>d</w:t>
      </w:r>
      <w:r w:rsidR="00D55356" w:rsidRPr="005154AA">
        <w:t>imana anjakan kimia pada 16</w:t>
      </w:r>
      <w:r w:rsidR="00B929E5" w:rsidRPr="005154AA">
        <w:t>1</w:t>
      </w:r>
      <w:r w:rsidR="00D55356" w:rsidRPr="005154AA">
        <w:t xml:space="preserve"> ppm mewakili </w:t>
      </w:r>
      <w:r w:rsidR="006A51E5" w:rsidRPr="005154AA">
        <w:t>k</w:t>
      </w:r>
      <w:r w:rsidR="00D55356" w:rsidRPr="005154AA">
        <w:t>arbon pada urea dan anjakan kimia selebihnya</w:t>
      </w:r>
      <w:r w:rsidR="00B929E5" w:rsidRPr="005154AA">
        <w:t xml:space="preserve"> (53.58 ppm, 55.52 ppm, 67.31 ppm)</w:t>
      </w:r>
      <w:r w:rsidR="00D55356" w:rsidRPr="005154AA">
        <w:t xml:space="preserve"> mewakili karbon dalam kolin klorida</w:t>
      </w:r>
      <w:r w:rsidR="006A51E5" w:rsidRPr="005154AA">
        <w:t xml:space="preserve">. </w:t>
      </w:r>
    </w:p>
    <w:p w:rsidR="00C7629B" w:rsidRPr="005154AA" w:rsidRDefault="006A51E5" w:rsidP="0062103D">
      <w:pPr>
        <w:jc w:val="both"/>
      </w:pPr>
      <w:r w:rsidRPr="005154AA">
        <w:t>Daripada perbandingan spektrum FTIR-ATR,</w:t>
      </w:r>
      <w:r w:rsidRPr="005154AA">
        <w:rPr>
          <w:vertAlign w:val="superscript"/>
        </w:rPr>
        <w:t xml:space="preserve"> 1</w:t>
      </w:r>
      <w:r w:rsidRPr="005154AA">
        <w:t xml:space="preserve">H-NMR dan </w:t>
      </w:r>
      <w:r w:rsidRPr="005154AA">
        <w:rPr>
          <w:vertAlign w:val="superscript"/>
        </w:rPr>
        <w:t>13</w:t>
      </w:r>
      <w:r w:rsidRPr="005154AA">
        <w:t xml:space="preserve">C-NMR urea dan DES relina, didapati bahawa tiada kemusnahan bagi struktur urea.  </w:t>
      </w:r>
      <w:r w:rsidR="00C7629B" w:rsidRPr="005154AA">
        <w:t xml:space="preserve">Analisis 2D HMQC juga menunjukkan interaksi langsung antara proton dan karbon yang terdapat pada struktur </w:t>
      </w:r>
      <w:r w:rsidR="00577E1C" w:rsidRPr="005154AA">
        <w:t>DES relina (R</w:t>
      </w:r>
      <w:r w:rsidR="000110F3" w:rsidRPr="005154AA">
        <w:t>ajah</w:t>
      </w:r>
      <w:r w:rsidR="00577E1C" w:rsidRPr="005154AA">
        <w:t xml:space="preserve"> </w:t>
      </w:r>
      <w:r w:rsidRPr="005154AA">
        <w:t>6</w:t>
      </w:r>
      <w:r w:rsidR="00577E1C" w:rsidRPr="005154AA">
        <w:t>).</w:t>
      </w:r>
      <w:r w:rsidR="00874B12" w:rsidRPr="005154AA">
        <w:t xml:space="preserve"> Berdasarkan spektrum NMR 2D, interaksi atom karbon dan hidrogen pada struktur ion kolin, Ch</w:t>
      </w:r>
      <w:r w:rsidR="00874B12" w:rsidRPr="005154AA">
        <w:rPr>
          <w:vertAlign w:val="superscript"/>
        </w:rPr>
        <w:t>+</w:t>
      </w:r>
      <w:r w:rsidR="00874B12" w:rsidRPr="005154AA">
        <w:t xml:space="preserve"> menunjukkan molekul ini tidak musnah semasa proses penghasilan DES relina </w:t>
      </w:r>
      <w:r w:rsidRPr="005154AA">
        <w:t xml:space="preserve">[22]. </w:t>
      </w:r>
      <w:r w:rsidR="0098359F" w:rsidRPr="005154AA">
        <w:t xml:space="preserve">Selain itu, </w:t>
      </w:r>
      <w:r w:rsidR="00F725A7" w:rsidRPr="005154AA">
        <w:t xml:space="preserve">spektrum yang ditunjukkan menepati struktur DES relina </w:t>
      </w:r>
      <w:r w:rsidR="004C2190" w:rsidRPr="005154AA">
        <w:t>di mana hanya terdap</w:t>
      </w:r>
      <w:r w:rsidR="00F725A7" w:rsidRPr="005154AA">
        <w:t xml:space="preserve">at interaksi langsung antara atom karbon dan hidrogen </w:t>
      </w:r>
      <w:r w:rsidR="004C2190" w:rsidRPr="005154AA">
        <w:t>bagi ion Ch</w:t>
      </w:r>
      <w:r w:rsidR="004C2190" w:rsidRPr="005154AA">
        <w:rPr>
          <w:vertAlign w:val="superscript"/>
        </w:rPr>
        <w:t>+</w:t>
      </w:r>
      <w:r w:rsidR="004C2190" w:rsidRPr="005154AA">
        <w:t xml:space="preserve"> manakala bagi molekul penderma ikatan hidrogen urea tiada interaksi yang ditunjukkan kerana atom karbon tidak </w:t>
      </w:r>
      <w:r w:rsidRPr="005154AA">
        <w:t>t</w:t>
      </w:r>
      <w:r w:rsidR="004C2190" w:rsidRPr="005154AA">
        <w:t xml:space="preserve">erikat kepada hidrogen secara langsung (C1 dan H1). </w:t>
      </w:r>
    </w:p>
    <w:p w:rsidR="00E014D4" w:rsidRPr="005154AA" w:rsidRDefault="00E014D4" w:rsidP="004D5201">
      <w:pPr>
        <w:ind w:firstLine="720"/>
        <w:contextualSpacing/>
        <w:jc w:val="center"/>
        <w:rPr>
          <w:sz w:val="18"/>
          <w:szCs w:val="18"/>
        </w:rPr>
      </w:pPr>
    </w:p>
    <w:p w:rsidR="00C7629B" w:rsidRPr="005154AA" w:rsidRDefault="00593440" w:rsidP="00002263">
      <w:pPr>
        <w:contextualSpacing/>
        <w:jc w:val="center"/>
        <w:rPr>
          <w:sz w:val="24"/>
          <w:szCs w:val="24"/>
        </w:rPr>
      </w:pPr>
      <w:r w:rsidRPr="005154AA">
        <w:rPr>
          <w:noProof/>
          <w:sz w:val="24"/>
          <w:szCs w:val="24"/>
          <w:lang w:val="en-US"/>
        </w:rPr>
        <w:drawing>
          <wp:inline distT="0" distB="0" distL="0" distR="0">
            <wp:extent cx="3603887" cy="2910205"/>
            <wp:effectExtent l="19050" t="19050" r="15875"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6292" cy="2928297"/>
                    </a:xfrm>
                    <a:prstGeom prst="rect">
                      <a:avLst/>
                    </a:prstGeom>
                    <a:noFill/>
                    <a:ln>
                      <a:solidFill>
                        <a:schemeClr val="tx1"/>
                      </a:solidFill>
                    </a:ln>
                  </pic:spPr>
                </pic:pic>
              </a:graphicData>
            </a:graphic>
          </wp:inline>
        </w:drawing>
      </w:r>
    </w:p>
    <w:p w:rsidR="00020B66" w:rsidRPr="005154AA" w:rsidRDefault="00020B66" w:rsidP="004D5201">
      <w:pPr>
        <w:ind w:firstLine="720"/>
        <w:contextualSpacing/>
        <w:jc w:val="center"/>
        <w:rPr>
          <w:sz w:val="24"/>
          <w:szCs w:val="24"/>
        </w:rPr>
      </w:pPr>
    </w:p>
    <w:p w:rsidR="00C7629B" w:rsidRPr="005154AA" w:rsidRDefault="00C7629B" w:rsidP="00002263">
      <w:pPr>
        <w:contextualSpacing/>
        <w:jc w:val="center"/>
        <w:rPr>
          <w:szCs w:val="18"/>
        </w:rPr>
      </w:pPr>
      <w:r w:rsidRPr="005154AA">
        <w:rPr>
          <w:szCs w:val="18"/>
        </w:rPr>
        <w:t>R</w:t>
      </w:r>
      <w:r w:rsidR="000110F3" w:rsidRPr="005154AA">
        <w:rPr>
          <w:szCs w:val="18"/>
        </w:rPr>
        <w:t>ajah</w:t>
      </w:r>
      <w:r w:rsidRPr="005154AA">
        <w:rPr>
          <w:szCs w:val="18"/>
        </w:rPr>
        <w:t xml:space="preserve"> </w:t>
      </w:r>
      <w:r w:rsidR="005E24F7" w:rsidRPr="005154AA">
        <w:rPr>
          <w:szCs w:val="18"/>
        </w:rPr>
        <w:t>4</w:t>
      </w:r>
      <w:r w:rsidR="00002263">
        <w:rPr>
          <w:szCs w:val="18"/>
        </w:rPr>
        <w:t xml:space="preserve">. </w:t>
      </w:r>
      <w:r w:rsidR="005822C3" w:rsidRPr="005154AA">
        <w:rPr>
          <w:szCs w:val="18"/>
        </w:rPr>
        <w:t>S</w:t>
      </w:r>
      <w:r w:rsidRPr="005154AA">
        <w:rPr>
          <w:szCs w:val="18"/>
        </w:rPr>
        <w:t xml:space="preserve">pektrum </w:t>
      </w:r>
      <w:r w:rsidRPr="005154AA">
        <w:rPr>
          <w:szCs w:val="18"/>
          <w:vertAlign w:val="superscript"/>
        </w:rPr>
        <w:t>1</w:t>
      </w:r>
      <w:r w:rsidRPr="005154AA">
        <w:rPr>
          <w:szCs w:val="18"/>
        </w:rPr>
        <w:t>H</w:t>
      </w:r>
      <w:r w:rsidR="00D55356" w:rsidRPr="005154AA">
        <w:rPr>
          <w:szCs w:val="18"/>
        </w:rPr>
        <w:t>-</w:t>
      </w:r>
      <w:r w:rsidRPr="005154AA">
        <w:rPr>
          <w:szCs w:val="18"/>
        </w:rPr>
        <w:t xml:space="preserve">NMR </w:t>
      </w:r>
      <w:r w:rsidR="00593440" w:rsidRPr="005154AA">
        <w:rPr>
          <w:szCs w:val="18"/>
        </w:rPr>
        <w:t>(a</w:t>
      </w:r>
      <w:r w:rsidR="00F9589A" w:rsidRPr="005154AA">
        <w:rPr>
          <w:szCs w:val="18"/>
        </w:rPr>
        <w:t>) urea dan (</w:t>
      </w:r>
      <w:r w:rsidR="00593440" w:rsidRPr="005154AA">
        <w:rPr>
          <w:szCs w:val="18"/>
        </w:rPr>
        <w:t>b</w:t>
      </w:r>
      <w:r w:rsidR="00F9589A" w:rsidRPr="005154AA">
        <w:rPr>
          <w:szCs w:val="18"/>
        </w:rPr>
        <w:t>) DES reli</w:t>
      </w:r>
      <w:r w:rsidRPr="005154AA">
        <w:rPr>
          <w:szCs w:val="18"/>
        </w:rPr>
        <w:t>na</w:t>
      </w:r>
    </w:p>
    <w:p w:rsidR="00F9098A" w:rsidRPr="005154AA" w:rsidRDefault="00F9098A" w:rsidP="006A51E5">
      <w:pPr>
        <w:contextualSpacing/>
        <w:rPr>
          <w:sz w:val="24"/>
          <w:szCs w:val="24"/>
        </w:rPr>
      </w:pPr>
    </w:p>
    <w:p w:rsidR="00C7629B" w:rsidRPr="005154AA" w:rsidRDefault="005822C3" w:rsidP="0027115E">
      <w:pPr>
        <w:contextualSpacing/>
        <w:jc w:val="center"/>
        <w:rPr>
          <w:sz w:val="24"/>
          <w:szCs w:val="24"/>
        </w:rPr>
      </w:pPr>
      <w:r w:rsidRPr="005154AA">
        <w:rPr>
          <w:noProof/>
          <w:sz w:val="24"/>
          <w:szCs w:val="24"/>
          <w:lang w:val="en-US"/>
        </w:rPr>
        <w:drawing>
          <wp:inline distT="0" distB="0" distL="0" distR="0">
            <wp:extent cx="3511550" cy="3277419"/>
            <wp:effectExtent l="19050" t="19050" r="12700"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2859" cy="3306641"/>
                    </a:xfrm>
                    <a:prstGeom prst="rect">
                      <a:avLst/>
                    </a:prstGeom>
                    <a:noFill/>
                    <a:ln>
                      <a:solidFill>
                        <a:schemeClr val="tx1"/>
                      </a:solidFill>
                    </a:ln>
                  </pic:spPr>
                </pic:pic>
              </a:graphicData>
            </a:graphic>
          </wp:inline>
        </w:drawing>
      </w:r>
    </w:p>
    <w:p w:rsidR="00020B66" w:rsidRPr="005154AA" w:rsidRDefault="00020B66" w:rsidP="004D5201">
      <w:pPr>
        <w:ind w:firstLine="720"/>
        <w:contextualSpacing/>
        <w:jc w:val="center"/>
        <w:rPr>
          <w:sz w:val="24"/>
          <w:szCs w:val="24"/>
        </w:rPr>
      </w:pPr>
    </w:p>
    <w:p w:rsidR="00C7629B" w:rsidRPr="005154AA" w:rsidRDefault="00C7629B" w:rsidP="00002263">
      <w:pPr>
        <w:contextualSpacing/>
        <w:jc w:val="center"/>
        <w:rPr>
          <w:szCs w:val="18"/>
        </w:rPr>
      </w:pPr>
      <w:r w:rsidRPr="005154AA">
        <w:rPr>
          <w:szCs w:val="18"/>
        </w:rPr>
        <w:t>R</w:t>
      </w:r>
      <w:r w:rsidR="000110F3" w:rsidRPr="005154AA">
        <w:rPr>
          <w:szCs w:val="18"/>
        </w:rPr>
        <w:t>ajah</w:t>
      </w:r>
      <w:r w:rsidR="00417D42" w:rsidRPr="005154AA">
        <w:rPr>
          <w:szCs w:val="18"/>
        </w:rPr>
        <w:t xml:space="preserve"> </w:t>
      </w:r>
      <w:r w:rsidR="001E0756" w:rsidRPr="005154AA">
        <w:rPr>
          <w:szCs w:val="18"/>
        </w:rPr>
        <w:t>5</w:t>
      </w:r>
      <w:r w:rsidR="00002263">
        <w:rPr>
          <w:szCs w:val="18"/>
        </w:rPr>
        <w:t xml:space="preserve">. </w:t>
      </w:r>
      <w:r w:rsidR="005822C3" w:rsidRPr="005154AA">
        <w:rPr>
          <w:szCs w:val="18"/>
        </w:rPr>
        <w:t>S</w:t>
      </w:r>
      <w:r w:rsidRPr="005154AA">
        <w:rPr>
          <w:szCs w:val="18"/>
        </w:rPr>
        <w:t xml:space="preserve">pektrum </w:t>
      </w:r>
      <w:r w:rsidRPr="005154AA">
        <w:rPr>
          <w:szCs w:val="18"/>
          <w:vertAlign w:val="superscript"/>
        </w:rPr>
        <w:t>13</w:t>
      </w:r>
      <w:r w:rsidRPr="005154AA">
        <w:rPr>
          <w:szCs w:val="18"/>
        </w:rPr>
        <w:t>C</w:t>
      </w:r>
      <w:r w:rsidR="00D55356" w:rsidRPr="005154AA">
        <w:rPr>
          <w:szCs w:val="18"/>
        </w:rPr>
        <w:t>-</w:t>
      </w:r>
      <w:r w:rsidRPr="005154AA">
        <w:rPr>
          <w:szCs w:val="18"/>
        </w:rPr>
        <w:t>NMR DES relina</w:t>
      </w:r>
    </w:p>
    <w:p w:rsidR="00EE7A46" w:rsidRPr="005154AA" w:rsidRDefault="00EE7A46" w:rsidP="00D47720">
      <w:pPr>
        <w:ind w:firstLine="720"/>
        <w:contextualSpacing/>
        <w:jc w:val="center"/>
        <w:rPr>
          <w:szCs w:val="18"/>
        </w:rPr>
      </w:pPr>
    </w:p>
    <w:p w:rsidR="004E2789" w:rsidRPr="005154AA" w:rsidRDefault="00896A82" w:rsidP="00002263">
      <w:pPr>
        <w:contextualSpacing/>
        <w:jc w:val="center"/>
        <w:rPr>
          <w:noProof/>
          <w:sz w:val="24"/>
          <w:szCs w:val="24"/>
          <w:lang w:val="en-US"/>
        </w:rPr>
      </w:pPr>
      <w:r w:rsidRPr="005154AA">
        <w:rPr>
          <w:noProof/>
          <w:sz w:val="24"/>
          <w:szCs w:val="24"/>
          <w:lang w:val="en-US"/>
        </w:rPr>
        <w:drawing>
          <wp:inline distT="0" distB="0" distL="0" distR="0">
            <wp:extent cx="3224391" cy="2781300"/>
            <wp:effectExtent l="19050" t="19050" r="14605" b="19050"/>
            <wp:docPr id="7" name="Picture 7" descr="SAINS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INS MALAYSIA"/>
                    <pic:cNvPicPr>
                      <a:picLocks noChangeAspect="1" noChangeArrowheads="1"/>
                    </pic:cNvPicPr>
                  </pic:nvPicPr>
                  <pic:blipFill>
                    <a:blip r:embed="rId16"/>
                    <a:srcRect/>
                    <a:stretch>
                      <a:fillRect/>
                    </a:stretch>
                  </pic:blipFill>
                  <pic:spPr bwMode="auto">
                    <a:xfrm>
                      <a:off x="0" y="0"/>
                      <a:ext cx="3245147" cy="2799204"/>
                    </a:xfrm>
                    <a:prstGeom prst="rect">
                      <a:avLst/>
                    </a:prstGeom>
                    <a:noFill/>
                    <a:ln w="9525">
                      <a:solidFill>
                        <a:schemeClr val="tx1"/>
                      </a:solidFill>
                      <a:miter lim="800000"/>
                      <a:headEnd/>
                      <a:tailEnd/>
                    </a:ln>
                  </pic:spPr>
                </pic:pic>
              </a:graphicData>
            </a:graphic>
          </wp:inline>
        </w:drawing>
      </w:r>
    </w:p>
    <w:p w:rsidR="002C48B4" w:rsidRPr="005154AA" w:rsidRDefault="002C48B4" w:rsidP="004D5201">
      <w:pPr>
        <w:ind w:firstLine="720"/>
        <w:contextualSpacing/>
        <w:jc w:val="center"/>
        <w:rPr>
          <w:noProof/>
          <w:sz w:val="24"/>
          <w:szCs w:val="24"/>
          <w:lang w:val="en-US"/>
        </w:rPr>
      </w:pPr>
    </w:p>
    <w:p w:rsidR="002C48B4" w:rsidRPr="005154AA" w:rsidRDefault="002C48B4" w:rsidP="00002263">
      <w:pPr>
        <w:contextualSpacing/>
        <w:jc w:val="center"/>
        <w:rPr>
          <w:szCs w:val="18"/>
        </w:rPr>
      </w:pPr>
      <w:r w:rsidRPr="005154AA">
        <w:rPr>
          <w:noProof/>
          <w:szCs w:val="18"/>
          <w:lang w:val="en-US"/>
        </w:rPr>
        <w:t>R</w:t>
      </w:r>
      <w:r w:rsidR="000110F3" w:rsidRPr="005154AA">
        <w:rPr>
          <w:noProof/>
          <w:szCs w:val="18"/>
          <w:lang w:val="en-US"/>
        </w:rPr>
        <w:t>ajah</w:t>
      </w:r>
      <w:r w:rsidR="00417D42" w:rsidRPr="005154AA">
        <w:rPr>
          <w:noProof/>
          <w:szCs w:val="18"/>
          <w:lang w:val="en-US"/>
        </w:rPr>
        <w:t xml:space="preserve"> </w:t>
      </w:r>
      <w:r w:rsidR="001E0756" w:rsidRPr="005154AA">
        <w:rPr>
          <w:noProof/>
          <w:szCs w:val="18"/>
          <w:lang w:val="en-US"/>
        </w:rPr>
        <w:t>6.</w:t>
      </w:r>
      <w:r w:rsidR="00417D42" w:rsidRPr="005154AA">
        <w:rPr>
          <w:noProof/>
          <w:szCs w:val="18"/>
          <w:lang w:val="en-US"/>
        </w:rPr>
        <w:t xml:space="preserve"> </w:t>
      </w:r>
      <w:r w:rsidRPr="005154AA">
        <w:rPr>
          <w:noProof/>
          <w:szCs w:val="18"/>
          <w:lang w:val="en-US"/>
        </w:rPr>
        <w:t>Spektrum HMQC bagi DES relina</w:t>
      </w:r>
    </w:p>
    <w:p w:rsidR="00167215" w:rsidRPr="005154AA" w:rsidRDefault="00167215" w:rsidP="00167215">
      <w:pPr>
        <w:contextualSpacing/>
        <w:jc w:val="both"/>
        <w:rPr>
          <w:sz w:val="24"/>
          <w:szCs w:val="24"/>
        </w:rPr>
        <w:sectPr w:rsidR="00167215" w:rsidRPr="005154AA" w:rsidSect="007C23B1">
          <w:footerReference w:type="default" r:id="rId17"/>
          <w:type w:val="continuous"/>
          <w:pgSz w:w="11907" w:h="16840" w:code="9"/>
          <w:pgMar w:top="1440" w:right="1440" w:bottom="1440" w:left="1440" w:header="720" w:footer="720" w:gutter="0"/>
          <w:cols w:space="227"/>
          <w:noEndnote/>
          <w:docGrid w:linePitch="272"/>
        </w:sectPr>
      </w:pPr>
    </w:p>
    <w:p w:rsidR="00002263" w:rsidRDefault="00002263" w:rsidP="005F19A9">
      <w:pPr>
        <w:contextualSpacing/>
        <w:jc w:val="both"/>
        <w:rPr>
          <w:b/>
        </w:rPr>
      </w:pPr>
    </w:p>
    <w:p w:rsidR="00D64D49" w:rsidRPr="005154AA" w:rsidRDefault="00002263" w:rsidP="005F19A9">
      <w:pPr>
        <w:contextualSpacing/>
        <w:jc w:val="both"/>
        <w:rPr>
          <w:b/>
        </w:rPr>
      </w:pPr>
      <w:r>
        <w:rPr>
          <w:b/>
        </w:rPr>
        <w:t>Kesan k</w:t>
      </w:r>
      <w:r w:rsidR="00CE742F" w:rsidRPr="005154AA">
        <w:rPr>
          <w:b/>
        </w:rPr>
        <w:t>elikatan</w:t>
      </w:r>
      <w:r>
        <w:rPr>
          <w:b/>
        </w:rPr>
        <w:t xml:space="preserve"> DES r</w:t>
      </w:r>
      <w:r w:rsidR="00D64D49" w:rsidRPr="005154AA">
        <w:rPr>
          <w:b/>
        </w:rPr>
        <w:t>elina</w:t>
      </w:r>
      <w:r>
        <w:rPr>
          <w:b/>
        </w:rPr>
        <w:t xml:space="preserve"> ke atas p</w:t>
      </w:r>
      <w:r w:rsidR="00F24C5C" w:rsidRPr="005154AA">
        <w:rPr>
          <w:b/>
        </w:rPr>
        <w:t>engekstrakan</w:t>
      </w:r>
      <w:r w:rsidR="00D64D49" w:rsidRPr="005154AA">
        <w:rPr>
          <w:b/>
        </w:rPr>
        <w:t xml:space="preserve"> </w:t>
      </w:r>
      <w:r w:rsidR="00003C95" w:rsidRPr="005154AA">
        <w:rPr>
          <w:b/>
        </w:rPr>
        <w:t>α-</w:t>
      </w:r>
      <w:r w:rsidR="00D64D49" w:rsidRPr="005154AA">
        <w:rPr>
          <w:b/>
        </w:rPr>
        <w:t>Tokoferol</w:t>
      </w:r>
    </w:p>
    <w:p w:rsidR="00D64D49" w:rsidRPr="005154AA" w:rsidRDefault="001775D1" w:rsidP="005F19A9">
      <w:pPr>
        <w:contextualSpacing/>
        <w:jc w:val="both"/>
      </w:pPr>
      <w:r w:rsidRPr="005154AA">
        <w:t>Pengekstrakan cecair-cecair</w:t>
      </w:r>
      <w:r w:rsidR="00CE742F" w:rsidRPr="005154AA">
        <w:t xml:space="preserve"> (LLE)</w:t>
      </w:r>
      <w:r w:rsidRPr="005154AA">
        <w:t xml:space="preserve"> memerlukan pembentukan dua fasa bagi membolehkan pemisahan berlaku. DES relina merupakan sebatian hidrofilik kerana</w:t>
      </w:r>
      <w:r w:rsidR="008F700D" w:rsidRPr="005154AA">
        <w:t xml:space="preserve"> ciri</w:t>
      </w:r>
      <w:r w:rsidRPr="005154AA">
        <w:t xml:space="preserve"> </w:t>
      </w:r>
      <w:r w:rsidR="00B25F86" w:rsidRPr="005154AA">
        <w:t>pen</w:t>
      </w:r>
      <w:r w:rsidR="008D4F16" w:rsidRPr="005154AA">
        <w:t>solvatan</w:t>
      </w:r>
      <w:r w:rsidR="008F700D" w:rsidRPr="005154AA">
        <w:t xml:space="preserve"> yang baik dengan pelarut air. </w:t>
      </w:r>
      <w:r w:rsidR="00112053" w:rsidRPr="005154AA">
        <w:t xml:space="preserve">Salah satu ciri pelarut yang digunakan dalam pengekstrakan bagi penghasilan produk yang optimum adalah kelikatan </w:t>
      </w:r>
      <w:r w:rsidR="006A51E5" w:rsidRPr="005154AA">
        <w:t>[23].</w:t>
      </w:r>
      <w:r w:rsidR="00112053" w:rsidRPr="005154AA">
        <w:t xml:space="preserve"> </w:t>
      </w:r>
      <w:r w:rsidR="00AF7BA8" w:rsidRPr="005154AA">
        <w:t xml:space="preserve">Oleh sebab kelikatan DES lebih tinggi berbanding pelarut konvensional organik </w:t>
      </w:r>
      <w:r w:rsidR="006A51E5" w:rsidRPr="005154AA">
        <w:t>[24]</w:t>
      </w:r>
      <w:r w:rsidR="00AF7BA8" w:rsidRPr="005154AA">
        <w:t>, p</w:t>
      </w:r>
      <w:r w:rsidR="00C7629B" w:rsidRPr="005154AA">
        <w:t>roses pelarutan DES relina ke dalam pelarut metanol dilakukan sebelum pengekstrakan</w:t>
      </w:r>
      <w:r w:rsidR="00AF7BA8" w:rsidRPr="005154AA">
        <w:t>. Proses pelarutan ini</w:t>
      </w:r>
      <w:r w:rsidR="00C7629B" w:rsidRPr="005154AA">
        <w:t xml:space="preserve"> bertujuan bagi mengurangkan kelikatan pelarut dan memperbaiki pekali taburan dalam kedua-dua komponen </w:t>
      </w:r>
      <w:r w:rsidR="006A51E5" w:rsidRPr="005154AA">
        <w:t>[25]</w:t>
      </w:r>
      <w:r w:rsidR="00C7629B" w:rsidRPr="005154AA">
        <w:t xml:space="preserve">. </w:t>
      </w:r>
      <w:r w:rsidR="004C2190" w:rsidRPr="005154AA">
        <w:t>Proses</w:t>
      </w:r>
      <w:r w:rsidR="00C7629B" w:rsidRPr="005154AA">
        <w:t xml:space="preserve"> ini penting bagi membolehkan molekul </w:t>
      </w:r>
      <w:r w:rsidR="00C7629B" w:rsidRPr="005154AA">
        <w:rPr>
          <w:i/>
        </w:rPr>
        <w:t>α</w:t>
      </w:r>
      <w:r w:rsidR="00C7629B" w:rsidRPr="005154AA">
        <w:t xml:space="preserve">-T tersebar ke dalam pelarut DES relina ini. </w:t>
      </w:r>
    </w:p>
    <w:p w:rsidR="00CE742F" w:rsidRPr="005154AA" w:rsidRDefault="00CE742F" w:rsidP="005F19A9">
      <w:pPr>
        <w:contextualSpacing/>
        <w:jc w:val="both"/>
      </w:pPr>
    </w:p>
    <w:p w:rsidR="007F5F23" w:rsidRPr="005154AA" w:rsidRDefault="00AF7BA8" w:rsidP="005F19A9">
      <w:pPr>
        <w:contextualSpacing/>
        <w:jc w:val="both"/>
      </w:pPr>
      <w:r w:rsidRPr="005154AA">
        <w:t xml:space="preserve">Menurut Duran et al. </w:t>
      </w:r>
      <w:r w:rsidR="006A51E5" w:rsidRPr="005154AA">
        <w:t>[24]</w:t>
      </w:r>
      <w:r w:rsidRPr="005154AA">
        <w:t xml:space="preserve">, kelikatan suatu DES terhasil daripada rangkaian ikatan hidrogen, </w:t>
      </w:r>
      <w:r w:rsidR="004A0BF0" w:rsidRPr="005154AA">
        <w:t>V</w:t>
      </w:r>
      <w:r w:rsidRPr="005154AA">
        <w:t xml:space="preserve">an der </w:t>
      </w:r>
      <w:r w:rsidR="004A0BF0" w:rsidRPr="005154AA">
        <w:t>W</w:t>
      </w:r>
      <w:r w:rsidRPr="005154AA">
        <w:t xml:space="preserve">aals dan juga interaksi elektrostatik. </w:t>
      </w:r>
      <w:r w:rsidR="00D57978" w:rsidRPr="005154AA">
        <w:t xml:space="preserve">Kelikatan DES </w:t>
      </w:r>
      <w:r w:rsidR="004A0BF0" w:rsidRPr="005154AA">
        <w:t xml:space="preserve">adalah </w:t>
      </w:r>
      <w:r w:rsidR="00D57978" w:rsidRPr="005154AA">
        <w:t>disebabkan oleh kehadiran rangkaian ikat</w:t>
      </w:r>
      <w:r w:rsidR="007F5F23" w:rsidRPr="005154AA">
        <w:t>an hidrogen yang tinggi</w:t>
      </w:r>
      <w:r w:rsidR="00D57978" w:rsidRPr="005154AA">
        <w:t xml:space="preserve"> antara komponen DES sehingga mengurangkan pergerakan spesies ion bebas dalam struktur pelarut DES sendiri </w:t>
      </w:r>
      <w:r w:rsidR="004A0BF0" w:rsidRPr="005154AA">
        <w:t>[13,</w:t>
      </w:r>
      <w:r w:rsidR="004C183B" w:rsidRPr="005154AA">
        <w:t xml:space="preserve"> </w:t>
      </w:r>
      <w:r w:rsidR="004A0BF0" w:rsidRPr="005154AA">
        <w:t>26]</w:t>
      </w:r>
      <w:r w:rsidR="00D57978" w:rsidRPr="005154AA">
        <w:t xml:space="preserve">. Menurut Zhang </w:t>
      </w:r>
      <w:r w:rsidR="009828BE" w:rsidRPr="005154AA">
        <w:t xml:space="preserve">et al. </w:t>
      </w:r>
      <w:r w:rsidR="004A0BF0" w:rsidRPr="005154AA">
        <w:t>[13]</w:t>
      </w:r>
      <w:r w:rsidR="00D57978" w:rsidRPr="005154AA">
        <w:t xml:space="preserve">, saiz ion yang besar dan isi padu bebas yang kecil juga salah </w:t>
      </w:r>
      <w:r w:rsidR="004A0BF0" w:rsidRPr="005154AA">
        <w:t xml:space="preserve">merupakan </w:t>
      </w:r>
      <w:r w:rsidR="00D57978" w:rsidRPr="005154AA">
        <w:t xml:space="preserve">satu faktor peningkatan kelikatan pelarut DES. </w:t>
      </w:r>
      <w:r w:rsidR="007F5F23" w:rsidRPr="005154AA">
        <w:t xml:space="preserve">Oleh itu, penyelidik menggunakan teori kelompangan </w:t>
      </w:r>
      <w:r w:rsidR="004A0BF0" w:rsidRPr="005154AA">
        <w:t>bagi</w:t>
      </w:r>
      <w:r w:rsidR="007F5F23" w:rsidRPr="005154AA">
        <w:t xml:space="preserve"> mengurangkan kelikatan DES melalui penggunaan komponen DES yang mempunyai saiz spesi</w:t>
      </w:r>
      <w:r w:rsidR="004A0BF0" w:rsidRPr="005154AA">
        <w:t>e</w:t>
      </w:r>
      <w:r w:rsidR="007F5F23" w:rsidRPr="005154AA">
        <w:t xml:space="preserve">s ion bebas yang lebih kecil bagi meningkat isi padu bebas yang diperlukan untuk spesies ion bebas ini bergerak dalam struktur DES sendiri </w:t>
      </w:r>
      <w:r w:rsidR="004A0BF0" w:rsidRPr="005154AA">
        <w:t>[27]</w:t>
      </w:r>
      <w:r w:rsidR="007F5F23" w:rsidRPr="005154AA">
        <w:t xml:space="preserve">. </w:t>
      </w:r>
    </w:p>
    <w:p w:rsidR="007F5F23" w:rsidRPr="005154AA" w:rsidRDefault="007F5F23" w:rsidP="005F19A9">
      <w:pPr>
        <w:contextualSpacing/>
        <w:jc w:val="both"/>
      </w:pPr>
    </w:p>
    <w:p w:rsidR="003E66D5" w:rsidRDefault="00037AEC" w:rsidP="0062103D">
      <w:pPr>
        <w:contextualSpacing/>
        <w:jc w:val="both"/>
      </w:pPr>
      <w:r w:rsidRPr="005154AA">
        <w:t xml:space="preserve">Ujian kelikatan bagi setiap nisbah DES relina yang digunakan dalam pengekstrakan dilakukan bagi mengetahui kesan kelikatan DES relina ke atas kepekatan dan peratus hasil ekstrak </w:t>
      </w:r>
      <w:r w:rsidR="00003C95" w:rsidRPr="005154AA">
        <w:rPr>
          <w:i/>
        </w:rPr>
        <w:t>α</w:t>
      </w:r>
      <w:r w:rsidR="00003C95" w:rsidRPr="005154AA">
        <w:t>-T</w:t>
      </w:r>
      <w:r w:rsidRPr="005154AA">
        <w:t xml:space="preserve">.  </w:t>
      </w:r>
      <w:r w:rsidR="00D57978" w:rsidRPr="005154AA">
        <w:t>Kelikatan DES relina yang dihasilkan pada nisbah 1:2 (kolin klorida:</w:t>
      </w:r>
      <w:r w:rsidR="007D5772" w:rsidRPr="005154AA">
        <w:t xml:space="preserve"> </w:t>
      </w:r>
      <w:r w:rsidR="00D57978" w:rsidRPr="005154AA">
        <w:t xml:space="preserve">urea) adalah 169 cP </w:t>
      </w:r>
      <w:r w:rsidR="004A0BF0" w:rsidRPr="005154AA">
        <w:t>[27].</w:t>
      </w:r>
      <w:r w:rsidR="00002263">
        <w:t xml:space="preserve"> </w:t>
      </w:r>
      <w:r w:rsidR="00D57978" w:rsidRPr="005154AA">
        <w:t xml:space="preserve">Berdasarkan </w:t>
      </w:r>
      <w:r w:rsidR="009B67B6" w:rsidRPr="005154AA">
        <w:t>Jadual 1</w:t>
      </w:r>
      <w:r w:rsidR="00D57978" w:rsidRPr="005154AA">
        <w:t>, kelikatan bagi semua nisbah DES yang dikaji</w:t>
      </w:r>
      <w:r w:rsidR="009B67B6" w:rsidRPr="005154AA">
        <w:t xml:space="preserve"> menunjukkan </w:t>
      </w:r>
      <w:r w:rsidR="00D57978" w:rsidRPr="005154AA">
        <w:t xml:space="preserve">bacaan jauh lebih rendah iaitu &lt;&lt;&lt;169 cP. Penurunan bacaan kelikatan DES relina ini disebabkan oleh pelarutan pelarut ini ke dalam 100 mL metanol. Proses pelarutan DES relina telah meningkatkan isi padu bebas dan meningkatkan pergerakan spesies ion bebas dalam struktur pelarut ini. </w:t>
      </w:r>
    </w:p>
    <w:p w:rsidR="00D64D49" w:rsidRPr="005154AA" w:rsidRDefault="00D64D49" w:rsidP="00D14D81">
      <w:pPr>
        <w:contextualSpacing/>
        <w:jc w:val="both"/>
        <w:rPr>
          <w:sz w:val="24"/>
          <w:szCs w:val="24"/>
        </w:rPr>
      </w:pPr>
    </w:p>
    <w:p w:rsidR="003E66D5" w:rsidRPr="005154AA" w:rsidRDefault="003E66D5" w:rsidP="003E66D5">
      <w:pPr>
        <w:spacing w:line="360" w:lineRule="auto"/>
        <w:jc w:val="center"/>
      </w:pPr>
      <w:r w:rsidRPr="005154AA">
        <w:t>Jadual 1.</w:t>
      </w:r>
      <w:r w:rsidRPr="005154AA">
        <w:tab/>
      </w:r>
      <w:r w:rsidR="00134288">
        <w:t xml:space="preserve"> </w:t>
      </w:r>
      <w:r w:rsidRPr="005154AA">
        <w:t xml:space="preserve">Kelikatan bagi lima nisbah DES relina yang digunakan dalam pengekstrakan </w:t>
      </w:r>
      <w:r w:rsidR="00B666BD" w:rsidRPr="005154AA">
        <w:t>α-</w:t>
      </w:r>
      <w:r w:rsidRPr="005154AA">
        <w:t xml:space="preserve"> </w:t>
      </w:r>
      <w:r w:rsidR="00B666BD" w:rsidRPr="005154AA">
        <w:t>T</w:t>
      </w:r>
    </w:p>
    <w:tbl>
      <w:tblPr>
        <w:tblStyle w:val="LightShading1"/>
        <w:tblW w:w="8124" w:type="dxa"/>
        <w:jc w:val="center"/>
        <w:shd w:val="clear" w:color="auto" w:fill="FFFFFF" w:themeFill="background1"/>
        <w:tblLook w:val="04A0" w:firstRow="1" w:lastRow="0" w:firstColumn="1" w:lastColumn="0" w:noHBand="0" w:noVBand="1"/>
      </w:tblPr>
      <w:tblGrid>
        <w:gridCol w:w="1620"/>
        <w:gridCol w:w="1340"/>
        <w:gridCol w:w="1340"/>
        <w:gridCol w:w="1460"/>
        <w:gridCol w:w="2364"/>
      </w:tblGrid>
      <w:tr w:rsidR="003E66D5" w:rsidRPr="005154AA" w:rsidTr="00134288">
        <w:trPr>
          <w:cnfStyle w:val="100000000000" w:firstRow="1" w:lastRow="0" w:firstColumn="0" w:lastColumn="0" w:oddVBand="0" w:evenVBand="0" w:oddHBand="0"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shd w:val="clear" w:color="auto" w:fill="FFFFFF" w:themeFill="background1"/>
            <w:vAlign w:val="center"/>
            <w:hideMark/>
          </w:tcPr>
          <w:p w:rsidR="003E66D5" w:rsidRPr="005154AA" w:rsidRDefault="00002263" w:rsidP="00D14D81">
            <w:pPr>
              <w:jc w:val="center"/>
              <w:rPr>
                <w:rFonts w:ascii="Times New Roman" w:eastAsia="Times New Roman" w:hAnsi="Times New Roman"/>
                <w:sz w:val="20"/>
                <w:szCs w:val="20"/>
                <w:lang w:val="en-US"/>
              </w:rPr>
            </w:pPr>
            <w:r>
              <w:rPr>
                <w:rFonts w:ascii="Times New Roman" w:eastAsia="Times New Roman" w:hAnsi="Times New Roman"/>
                <w:sz w:val="20"/>
                <w:szCs w:val="20"/>
                <w:lang w:val="en-US"/>
              </w:rPr>
              <w:t>Nisbah DES R</w:t>
            </w:r>
            <w:r w:rsidR="003E66D5" w:rsidRPr="005154AA">
              <w:rPr>
                <w:rFonts w:ascii="Times New Roman" w:eastAsia="Times New Roman" w:hAnsi="Times New Roman"/>
                <w:sz w:val="20"/>
                <w:szCs w:val="20"/>
                <w:lang w:val="en-US"/>
              </w:rPr>
              <w:t>elina (g)</w:t>
            </w:r>
          </w:p>
        </w:tc>
        <w:tc>
          <w:tcPr>
            <w:tcW w:w="4140" w:type="dxa"/>
            <w:gridSpan w:val="3"/>
            <w:tcBorders>
              <w:top w:val="single" w:sz="4" w:space="0" w:color="auto"/>
              <w:bottom w:val="single" w:sz="4" w:space="0" w:color="auto"/>
            </w:tcBorders>
            <w:shd w:val="clear" w:color="auto" w:fill="FFFFFF" w:themeFill="background1"/>
            <w:vAlign w:val="center"/>
            <w:hideMark/>
          </w:tcPr>
          <w:p w:rsidR="003E66D5" w:rsidRPr="005154AA" w:rsidRDefault="00002263" w:rsidP="000022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Pr>
                <w:rFonts w:ascii="Times New Roman" w:eastAsia="Times New Roman" w:hAnsi="Times New Roman"/>
                <w:sz w:val="20"/>
                <w:szCs w:val="20"/>
                <w:lang w:val="en-US"/>
              </w:rPr>
              <w:t>Bacaan Kelikatan V</w:t>
            </w:r>
            <w:r w:rsidR="003E66D5" w:rsidRPr="005154AA">
              <w:rPr>
                <w:rFonts w:ascii="Times New Roman" w:eastAsia="Times New Roman" w:hAnsi="Times New Roman"/>
                <w:sz w:val="20"/>
                <w:szCs w:val="20"/>
                <w:lang w:val="en-US"/>
              </w:rPr>
              <w:t>iskometer (cP)</w:t>
            </w:r>
          </w:p>
        </w:tc>
        <w:tc>
          <w:tcPr>
            <w:tcW w:w="2364" w:type="dxa"/>
            <w:vMerge w:val="restart"/>
            <w:tcBorders>
              <w:top w:val="single" w:sz="4" w:space="0" w:color="auto"/>
            </w:tcBorders>
            <w:shd w:val="clear" w:color="auto" w:fill="FFFFFF" w:themeFill="background1"/>
            <w:noWrap/>
            <w:vAlign w:val="center"/>
            <w:hideMark/>
          </w:tcPr>
          <w:p w:rsidR="003E66D5" w:rsidRPr="005154AA" w:rsidRDefault="003E66D5" w:rsidP="00D14D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 xml:space="preserve">Kelikatan DES </w:t>
            </w:r>
            <w:r w:rsidR="00D14D81">
              <w:rPr>
                <w:rFonts w:ascii="Times New Roman" w:eastAsia="Times New Roman" w:hAnsi="Times New Roman"/>
                <w:sz w:val="20"/>
                <w:szCs w:val="20"/>
                <w:lang w:val="en-US"/>
              </w:rPr>
              <w:t>R</w:t>
            </w:r>
            <w:r w:rsidRPr="005154AA">
              <w:rPr>
                <w:rFonts w:ascii="Times New Roman" w:eastAsia="Times New Roman" w:hAnsi="Times New Roman"/>
                <w:sz w:val="20"/>
                <w:szCs w:val="20"/>
                <w:lang w:val="en-US"/>
              </w:rPr>
              <w:t xml:space="preserve">elina dalam 100 mL </w:t>
            </w:r>
            <w:r w:rsidR="00D14D81">
              <w:rPr>
                <w:rFonts w:ascii="Times New Roman" w:eastAsia="Times New Roman" w:hAnsi="Times New Roman"/>
                <w:sz w:val="20"/>
                <w:szCs w:val="20"/>
                <w:lang w:val="en-US"/>
              </w:rPr>
              <w:t>P</w:t>
            </w:r>
            <w:r w:rsidRPr="005154AA">
              <w:rPr>
                <w:rFonts w:ascii="Times New Roman" w:eastAsia="Times New Roman" w:hAnsi="Times New Roman"/>
                <w:sz w:val="20"/>
                <w:szCs w:val="20"/>
                <w:lang w:val="en-US"/>
              </w:rPr>
              <w:t xml:space="preserve">elarut </w:t>
            </w:r>
            <w:r w:rsidR="00D14D81">
              <w:rPr>
                <w:rFonts w:ascii="Times New Roman" w:eastAsia="Times New Roman" w:hAnsi="Times New Roman"/>
                <w:sz w:val="20"/>
                <w:szCs w:val="20"/>
                <w:lang w:val="en-US"/>
              </w:rPr>
              <w:t>M</w:t>
            </w:r>
            <w:r w:rsidRPr="005154AA">
              <w:rPr>
                <w:rFonts w:ascii="Times New Roman" w:eastAsia="Times New Roman" w:hAnsi="Times New Roman"/>
                <w:sz w:val="20"/>
                <w:szCs w:val="20"/>
                <w:lang w:val="en-US"/>
              </w:rPr>
              <w:t>etanol (cP)</w:t>
            </w:r>
          </w:p>
        </w:tc>
      </w:tr>
      <w:tr w:rsidR="003E66D5" w:rsidRPr="005154AA" w:rsidTr="001342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20" w:type="dxa"/>
            <w:vMerge/>
            <w:tcBorders>
              <w:top w:val="single" w:sz="8" w:space="0" w:color="000000" w:themeColor="text1"/>
              <w:bottom w:val="single" w:sz="4" w:space="0" w:color="auto"/>
            </w:tcBorders>
            <w:shd w:val="clear" w:color="auto" w:fill="FFFFFF" w:themeFill="background1"/>
            <w:vAlign w:val="center"/>
            <w:hideMark/>
          </w:tcPr>
          <w:p w:rsidR="003E66D5" w:rsidRPr="005154AA" w:rsidRDefault="003E66D5" w:rsidP="00F41644">
            <w:pPr>
              <w:jc w:val="both"/>
              <w:rPr>
                <w:rFonts w:ascii="Times New Roman" w:eastAsia="Times New Roman" w:hAnsi="Times New Roman"/>
                <w:sz w:val="20"/>
                <w:szCs w:val="20"/>
                <w:lang w:val="en-US"/>
              </w:rPr>
            </w:pPr>
          </w:p>
        </w:tc>
        <w:tc>
          <w:tcPr>
            <w:tcW w:w="1340" w:type="dxa"/>
            <w:tcBorders>
              <w:top w:val="single" w:sz="4" w:space="0" w:color="auto"/>
              <w:bottom w:val="single" w:sz="4" w:space="0" w:color="auto"/>
            </w:tcBorders>
            <w:shd w:val="clear" w:color="auto" w:fill="FFFFFF" w:themeFill="background1"/>
            <w:noWrap/>
            <w:vAlign w:val="center"/>
            <w:hideMark/>
          </w:tcPr>
          <w:p w:rsidR="003E66D5" w:rsidRPr="00002263" w:rsidRDefault="009405C6" w:rsidP="009405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US"/>
              </w:rPr>
            </w:pPr>
            <w:r w:rsidRPr="00002263">
              <w:rPr>
                <w:rFonts w:ascii="Times New Roman" w:eastAsia="Times New Roman" w:hAnsi="Times New Roman"/>
                <w:b/>
                <w:sz w:val="20"/>
                <w:szCs w:val="20"/>
                <w:lang w:val="en-US"/>
              </w:rPr>
              <w:t xml:space="preserve">Replikat </w:t>
            </w:r>
            <w:r w:rsidR="003E66D5" w:rsidRPr="00002263">
              <w:rPr>
                <w:rFonts w:ascii="Times New Roman" w:eastAsia="Times New Roman" w:hAnsi="Times New Roman"/>
                <w:b/>
                <w:sz w:val="20"/>
                <w:szCs w:val="20"/>
                <w:lang w:val="en-US"/>
              </w:rPr>
              <w:t>1</w:t>
            </w:r>
          </w:p>
        </w:tc>
        <w:tc>
          <w:tcPr>
            <w:tcW w:w="1340" w:type="dxa"/>
            <w:tcBorders>
              <w:top w:val="single" w:sz="4" w:space="0" w:color="auto"/>
              <w:bottom w:val="single" w:sz="4" w:space="0" w:color="auto"/>
            </w:tcBorders>
            <w:shd w:val="clear" w:color="auto" w:fill="FFFFFF" w:themeFill="background1"/>
            <w:noWrap/>
            <w:vAlign w:val="center"/>
            <w:hideMark/>
          </w:tcPr>
          <w:p w:rsidR="003E66D5" w:rsidRPr="00002263" w:rsidRDefault="009405C6" w:rsidP="009405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US"/>
              </w:rPr>
            </w:pPr>
            <w:r w:rsidRPr="00002263">
              <w:rPr>
                <w:rFonts w:ascii="Times New Roman" w:eastAsia="Times New Roman" w:hAnsi="Times New Roman"/>
                <w:b/>
                <w:sz w:val="20"/>
                <w:szCs w:val="20"/>
                <w:lang w:val="en-US"/>
              </w:rPr>
              <w:t>Replikat</w:t>
            </w:r>
            <w:r w:rsidR="006B3EB7" w:rsidRPr="00002263">
              <w:rPr>
                <w:rFonts w:ascii="Times New Roman" w:eastAsia="Times New Roman" w:hAnsi="Times New Roman"/>
                <w:b/>
                <w:sz w:val="20"/>
                <w:szCs w:val="20"/>
                <w:lang w:val="en-US"/>
              </w:rPr>
              <w:t xml:space="preserve"> </w:t>
            </w:r>
            <w:r w:rsidR="003E66D5" w:rsidRPr="00002263">
              <w:rPr>
                <w:rFonts w:ascii="Times New Roman" w:eastAsia="Times New Roman" w:hAnsi="Times New Roman"/>
                <w:b/>
                <w:sz w:val="20"/>
                <w:szCs w:val="20"/>
                <w:lang w:val="en-US"/>
              </w:rPr>
              <w:t>2</w:t>
            </w:r>
          </w:p>
        </w:tc>
        <w:tc>
          <w:tcPr>
            <w:tcW w:w="1460" w:type="dxa"/>
            <w:tcBorders>
              <w:top w:val="single" w:sz="4" w:space="0" w:color="auto"/>
              <w:bottom w:val="single" w:sz="4" w:space="0" w:color="auto"/>
            </w:tcBorders>
            <w:shd w:val="clear" w:color="auto" w:fill="FFFFFF" w:themeFill="background1"/>
            <w:noWrap/>
            <w:vAlign w:val="center"/>
            <w:hideMark/>
          </w:tcPr>
          <w:p w:rsidR="003E66D5" w:rsidRPr="00002263" w:rsidRDefault="009405C6" w:rsidP="009405C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US"/>
              </w:rPr>
            </w:pPr>
            <w:r w:rsidRPr="00002263">
              <w:rPr>
                <w:rFonts w:ascii="Times New Roman" w:eastAsia="Times New Roman" w:hAnsi="Times New Roman"/>
                <w:b/>
                <w:sz w:val="20"/>
                <w:szCs w:val="20"/>
                <w:lang w:val="en-US"/>
              </w:rPr>
              <w:t>Replikat</w:t>
            </w:r>
            <w:r w:rsidR="003E66D5" w:rsidRPr="00002263">
              <w:rPr>
                <w:rFonts w:ascii="Times New Roman" w:eastAsia="Times New Roman" w:hAnsi="Times New Roman"/>
                <w:b/>
                <w:sz w:val="20"/>
                <w:szCs w:val="20"/>
                <w:lang w:val="en-US"/>
              </w:rPr>
              <w:t xml:space="preserve"> 3</w:t>
            </w:r>
          </w:p>
        </w:tc>
        <w:tc>
          <w:tcPr>
            <w:tcW w:w="2364" w:type="dxa"/>
            <w:vMerge/>
            <w:tcBorders>
              <w:top w:val="nil"/>
              <w:bottom w:val="single" w:sz="4" w:space="0" w:color="auto"/>
            </w:tcBorders>
            <w:shd w:val="clear" w:color="auto" w:fill="FFFFFF" w:themeFill="background1"/>
            <w:vAlign w:val="center"/>
            <w:hideMark/>
          </w:tcPr>
          <w:p w:rsidR="003E66D5" w:rsidRPr="005154AA" w:rsidRDefault="003E66D5" w:rsidP="00F4164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3E66D5" w:rsidRPr="005154AA" w:rsidTr="00D14D81">
        <w:trPr>
          <w:trHeight w:val="40"/>
          <w:jc w:val="center"/>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shd w:val="clear" w:color="auto" w:fill="FFFFFF" w:themeFill="background1"/>
            <w:noWrap/>
            <w:vAlign w:val="center"/>
            <w:hideMark/>
          </w:tcPr>
          <w:p w:rsidR="003E66D5" w:rsidRPr="005154AA" w:rsidRDefault="003E66D5" w:rsidP="00002263">
            <w:pPr>
              <w:jc w:val="center"/>
              <w:rPr>
                <w:rFonts w:ascii="Times New Roman" w:eastAsia="Times New Roman" w:hAnsi="Times New Roman"/>
                <w:b w:val="0"/>
                <w:sz w:val="20"/>
                <w:szCs w:val="20"/>
                <w:lang w:val="en-US"/>
              </w:rPr>
            </w:pPr>
            <w:r w:rsidRPr="005154AA">
              <w:rPr>
                <w:rFonts w:ascii="Times New Roman" w:eastAsia="Times New Roman" w:hAnsi="Times New Roman"/>
                <w:b w:val="0"/>
                <w:sz w:val="20"/>
                <w:szCs w:val="20"/>
                <w:lang w:val="en-US"/>
              </w:rPr>
              <w:t>1</w:t>
            </w:r>
          </w:p>
        </w:tc>
        <w:tc>
          <w:tcPr>
            <w:tcW w:w="1340" w:type="dxa"/>
            <w:tcBorders>
              <w:top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5.0</w:t>
            </w:r>
          </w:p>
        </w:tc>
        <w:tc>
          <w:tcPr>
            <w:tcW w:w="1340" w:type="dxa"/>
            <w:tcBorders>
              <w:top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5.0</w:t>
            </w:r>
          </w:p>
        </w:tc>
        <w:tc>
          <w:tcPr>
            <w:tcW w:w="1460" w:type="dxa"/>
            <w:tcBorders>
              <w:top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5.0</w:t>
            </w:r>
          </w:p>
        </w:tc>
        <w:tc>
          <w:tcPr>
            <w:tcW w:w="2364" w:type="dxa"/>
            <w:tcBorders>
              <w:top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5.0 ±</w:t>
            </w:r>
            <w:r w:rsidR="009828BE" w:rsidRPr="005154AA">
              <w:rPr>
                <w:rFonts w:ascii="Times New Roman" w:eastAsia="Times New Roman" w:hAnsi="Times New Roman"/>
                <w:sz w:val="20"/>
                <w:szCs w:val="20"/>
                <w:lang w:val="en-US"/>
              </w:rPr>
              <w:t xml:space="preserve"> </w:t>
            </w:r>
            <w:r w:rsidRPr="005154AA">
              <w:rPr>
                <w:rFonts w:ascii="Times New Roman" w:eastAsia="Times New Roman" w:hAnsi="Times New Roman"/>
                <w:sz w:val="20"/>
                <w:szCs w:val="20"/>
                <w:lang w:val="en-US"/>
              </w:rPr>
              <w:t>0.00</w:t>
            </w:r>
          </w:p>
        </w:tc>
      </w:tr>
      <w:tr w:rsidR="003E66D5" w:rsidRPr="005154AA" w:rsidTr="00D14D8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noWrap/>
            <w:vAlign w:val="center"/>
            <w:hideMark/>
          </w:tcPr>
          <w:p w:rsidR="003E66D5" w:rsidRPr="005154AA" w:rsidRDefault="003E66D5" w:rsidP="00002263">
            <w:pPr>
              <w:jc w:val="center"/>
              <w:rPr>
                <w:rFonts w:ascii="Times New Roman" w:eastAsia="Times New Roman" w:hAnsi="Times New Roman"/>
                <w:b w:val="0"/>
                <w:sz w:val="20"/>
                <w:szCs w:val="20"/>
                <w:lang w:val="en-US"/>
              </w:rPr>
            </w:pPr>
            <w:r w:rsidRPr="005154AA">
              <w:rPr>
                <w:rFonts w:ascii="Times New Roman" w:eastAsia="Times New Roman" w:hAnsi="Times New Roman"/>
                <w:b w:val="0"/>
                <w:sz w:val="20"/>
                <w:szCs w:val="20"/>
                <w:lang w:val="en-US"/>
              </w:rPr>
              <w:t>2</w:t>
            </w:r>
          </w:p>
        </w:tc>
        <w:tc>
          <w:tcPr>
            <w:tcW w:w="1340"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5.0</w:t>
            </w:r>
          </w:p>
        </w:tc>
        <w:tc>
          <w:tcPr>
            <w:tcW w:w="1340"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6.0</w:t>
            </w:r>
          </w:p>
        </w:tc>
        <w:tc>
          <w:tcPr>
            <w:tcW w:w="1460"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6.0</w:t>
            </w:r>
          </w:p>
        </w:tc>
        <w:tc>
          <w:tcPr>
            <w:tcW w:w="2364"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5.7 ± 0.58</w:t>
            </w:r>
          </w:p>
        </w:tc>
      </w:tr>
      <w:tr w:rsidR="003E66D5" w:rsidRPr="005154AA" w:rsidTr="00D14D81">
        <w:trPr>
          <w:trHeight w:val="60"/>
          <w:jc w:val="center"/>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noWrap/>
            <w:vAlign w:val="center"/>
            <w:hideMark/>
          </w:tcPr>
          <w:p w:rsidR="003E66D5" w:rsidRPr="005154AA" w:rsidRDefault="003E66D5" w:rsidP="00002263">
            <w:pPr>
              <w:jc w:val="center"/>
              <w:rPr>
                <w:rFonts w:ascii="Times New Roman" w:eastAsia="Times New Roman" w:hAnsi="Times New Roman"/>
                <w:b w:val="0"/>
                <w:sz w:val="20"/>
                <w:szCs w:val="20"/>
                <w:lang w:val="en-US"/>
              </w:rPr>
            </w:pPr>
            <w:r w:rsidRPr="005154AA">
              <w:rPr>
                <w:rFonts w:ascii="Times New Roman" w:eastAsia="Times New Roman" w:hAnsi="Times New Roman"/>
                <w:b w:val="0"/>
                <w:sz w:val="20"/>
                <w:szCs w:val="20"/>
                <w:lang w:val="en-US"/>
              </w:rPr>
              <w:t>3</w:t>
            </w:r>
          </w:p>
        </w:tc>
        <w:tc>
          <w:tcPr>
            <w:tcW w:w="1340" w:type="dxa"/>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8.0</w:t>
            </w:r>
          </w:p>
        </w:tc>
        <w:tc>
          <w:tcPr>
            <w:tcW w:w="1340" w:type="dxa"/>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8.0</w:t>
            </w:r>
          </w:p>
        </w:tc>
        <w:tc>
          <w:tcPr>
            <w:tcW w:w="1460" w:type="dxa"/>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9.0</w:t>
            </w:r>
          </w:p>
        </w:tc>
        <w:tc>
          <w:tcPr>
            <w:tcW w:w="2364" w:type="dxa"/>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8.3 ± 0.58</w:t>
            </w:r>
          </w:p>
        </w:tc>
      </w:tr>
      <w:tr w:rsidR="003E66D5" w:rsidRPr="005154AA" w:rsidTr="00ED0B9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noWrap/>
            <w:vAlign w:val="center"/>
            <w:hideMark/>
          </w:tcPr>
          <w:p w:rsidR="003E66D5" w:rsidRPr="005154AA" w:rsidRDefault="003E66D5" w:rsidP="00002263">
            <w:pPr>
              <w:jc w:val="center"/>
              <w:rPr>
                <w:rFonts w:ascii="Times New Roman" w:eastAsia="Times New Roman" w:hAnsi="Times New Roman"/>
                <w:b w:val="0"/>
                <w:sz w:val="20"/>
                <w:szCs w:val="20"/>
                <w:lang w:val="en-US"/>
              </w:rPr>
            </w:pPr>
            <w:r w:rsidRPr="005154AA">
              <w:rPr>
                <w:rFonts w:ascii="Times New Roman" w:eastAsia="Times New Roman" w:hAnsi="Times New Roman"/>
                <w:b w:val="0"/>
                <w:sz w:val="20"/>
                <w:szCs w:val="20"/>
                <w:lang w:val="en-US"/>
              </w:rPr>
              <w:t>4</w:t>
            </w:r>
          </w:p>
        </w:tc>
        <w:tc>
          <w:tcPr>
            <w:tcW w:w="1340"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10.0</w:t>
            </w:r>
          </w:p>
        </w:tc>
        <w:tc>
          <w:tcPr>
            <w:tcW w:w="1340"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10.0</w:t>
            </w:r>
          </w:p>
        </w:tc>
        <w:tc>
          <w:tcPr>
            <w:tcW w:w="1460"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10.0</w:t>
            </w:r>
          </w:p>
        </w:tc>
        <w:tc>
          <w:tcPr>
            <w:tcW w:w="2364" w:type="dxa"/>
            <w:shd w:val="clear" w:color="auto" w:fill="FFFFFF" w:themeFill="background1"/>
            <w:noWrap/>
            <w:vAlign w:val="center"/>
            <w:hideMark/>
          </w:tcPr>
          <w:p w:rsidR="003E66D5" w:rsidRPr="005154AA" w:rsidRDefault="003E66D5" w:rsidP="000022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10.0 ± 0.00</w:t>
            </w:r>
          </w:p>
        </w:tc>
      </w:tr>
      <w:tr w:rsidR="003E66D5" w:rsidRPr="005154AA" w:rsidTr="00D14D81">
        <w:trPr>
          <w:trHeight w:val="300"/>
          <w:jc w:val="center"/>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shd w:val="clear" w:color="auto" w:fill="FFFFFF" w:themeFill="background1"/>
            <w:noWrap/>
            <w:vAlign w:val="center"/>
            <w:hideMark/>
          </w:tcPr>
          <w:p w:rsidR="003E66D5" w:rsidRPr="005154AA" w:rsidRDefault="003E66D5" w:rsidP="00002263">
            <w:pPr>
              <w:jc w:val="center"/>
              <w:rPr>
                <w:rFonts w:ascii="Times New Roman" w:eastAsia="Times New Roman" w:hAnsi="Times New Roman"/>
                <w:b w:val="0"/>
                <w:sz w:val="20"/>
                <w:szCs w:val="20"/>
                <w:lang w:val="en-US"/>
              </w:rPr>
            </w:pPr>
            <w:r w:rsidRPr="005154AA">
              <w:rPr>
                <w:rFonts w:ascii="Times New Roman" w:eastAsia="Times New Roman" w:hAnsi="Times New Roman"/>
                <w:b w:val="0"/>
                <w:sz w:val="20"/>
                <w:szCs w:val="20"/>
                <w:lang w:val="en-US"/>
              </w:rPr>
              <w:t>5</w:t>
            </w:r>
          </w:p>
        </w:tc>
        <w:tc>
          <w:tcPr>
            <w:tcW w:w="1340" w:type="dxa"/>
            <w:tcBorders>
              <w:bottom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10.0</w:t>
            </w:r>
          </w:p>
        </w:tc>
        <w:tc>
          <w:tcPr>
            <w:tcW w:w="1340" w:type="dxa"/>
            <w:tcBorders>
              <w:bottom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11.0</w:t>
            </w:r>
          </w:p>
        </w:tc>
        <w:tc>
          <w:tcPr>
            <w:tcW w:w="1460" w:type="dxa"/>
            <w:tcBorders>
              <w:bottom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11.0</w:t>
            </w:r>
          </w:p>
        </w:tc>
        <w:tc>
          <w:tcPr>
            <w:tcW w:w="2364" w:type="dxa"/>
            <w:tcBorders>
              <w:bottom w:val="single" w:sz="4" w:space="0" w:color="auto"/>
            </w:tcBorders>
            <w:shd w:val="clear" w:color="auto" w:fill="FFFFFF" w:themeFill="background1"/>
            <w:noWrap/>
            <w:vAlign w:val="center"/>
            <w:hideMark/>
          </w:tcPr>
          <w:p w:rsidR="003E66D5" w:rsidRPr="005154AA" w:rsidRDefault="003E66D5" w:rsidP="000022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5154AA">
              <w:rPr>
                <w:rFonts w:ascii="Times New Roman" w:eastAsia="Times New Roman" w:hAnsi="Times New Roman"/>
                <w:sz w:val="20"/>
                <w:szCs w:val="20"/>
                <w:lang w:val="en-US"/>
              </w:rPr>
              <w:t>10.7 ± 0.58</w:t>
            </w:r>
          </w:p>
        </w:tc>
      </w:tr>
    </w:tbl>
    <w:p w:rsidR="009B67B6" w:rsidRPr="005154AA" w:rsidRDefault="009B67B6" w:rsidP="004C183B">
      <w:pPr>
        <w:contextualSpacing/>
        <w:jc w:val="both"/>
        <w:rPr>
          <w:sz w:val="24"/>
          <w:szCs w:val="24"/>
        </w:rPr>
      </w:pPr>
    </w:p>
    <w:p w:rsidR="004C183B" w:rsidRPr="005154AA" w:rsidRDefault="00134288" w:rsidP="0062103D">
      <w:pPr>
        <w:contextualSpacing/>
        <w:jc w:val="both"/>
      </w:pPr>
      <w:r>
        <w:t xml:space="preserve">Merujuk </w:t>
      </w:r>
      <w:r w:rsidR="004C183B" w:rsidRPr="005154AA">
        <w:t>Jadual 1</w:t>
      </w:r>
      <w:r w:rsidR="009448E8" w:rsidRPr="005154AA">
        <w:t>, kelikatan pelarut semakin meningkat apabila nis</w:t>
      </w:r>
      <w:r w:rsidR="006B3EB7" w:rsidRPr="005154AA">
        <w:t>bah DES relina ditingkatkan</w:t>
      </w:r>
      <w:r w:rsidR="009448E8" w:rsidRPr="005154AA">
        <w:t xml:space="preserve">. </w:t>
      </w:r>
      <w:r w:rsidR="004C2190" w:rsidRPr="005154AA">
        <w:t xml:space="preserve">Hasil kajian kelikatan menunjukkan </w:t>
      </w:r>
      <w:r w:rsidR="009448E8" w:rsidRPr="005154AA">
        <w:t xml:space="preserve">peningkatan dalam kuantiti DES relina yang dilarutkan ke dalam </w:t>
      </w:r>
      <w:r w:rsidR="007842C4" w:rsidRPr="005154AA">
        <w:t xml:space="preserve">100 mL </w:t>
      </w:r>
      <w:r w:rsidR="009448E8" w:rsidRPr="005154AA">
        <w:t xml:space="preserve">pelarut metanol menyebabkan semakin banyak molekul DES relina di dalam struktur pelarut metanol. Kelikatan pelarut berkait rapat dengan isi padu teori kelompangan, penyebaran atau pergerakan ion dan perubahan intermolekul </w:t>
      </w:r>
      <w:r w:rsidR="00B666BD" w:rsidRPr="005154AA">
        <w:t>[</w:t>
      </w:r>
      <w:r>
        <w:t xml:space="preserve">21, </w:t>
      </w:r>
      <w:r w:rsidR="00B666BD" w:rsidRPr="005154AA">
        <w:t>27]</w:t>
      </w:r>
      <w:r w:rsidR="009448E8" w:rsidRPr="005154AA">
        <w:t xml:space="preserve">. </w:t>
      </w:r>
      <w:r w:rsidR="007842C4" w:rsidRPr="005154AA">
        <w:t>Selain it</w:t>
      </w:r>
      <w:r w:rsidR="004C2190" w:rsidRPr="005154AA">
        <w:t>u, s</w:t>
      </w:r>
      <w:r w:rsidR="007842C4" w:rsidRPr="005154AA">
        <w:t>etiap nisbah DES relina dengan kelikatan yang berbeza menunjukkan kepekatan</w:t>
      </w:r>
      <w:r w:rsidR="00B666BD" w:rsidRPr="005154AA">
        <w:t xml:space="preserve"> (mg/ml)</w:t>
      </w:r>
      <w:r w:rsidR="007842C4" w:rsidRPr="005154AA">
        <w:t xml:space="preserve"> </w:t>
      </w:r>
      <w:r w:rsidR="007842C4" w:rsidRPr="005154AA">
        <w:rPr>
          <w:i/>
        </w:rPr>
        <w:t>α</w:t>
      </w:r>
      <w:r w:rsidR="007842C4" w:rsidRPr="005154AA">
        <w:t>-T dan peratus hasil ekstrak (%)</w:t>
      </w:r>
      <w:r w:rsidR="00B666BD" w:rsidRPr="005154AA">
        <w:t xml:space="preserve"> </w:t>
      </w:r>
      <w:r w:rsidR="00B666BD" w:rsidRPr="005154AA">
        <w:rPr>
          <w:i/>
        </w:rPr>
        <w:t>α</w:t>
      </w:r>
      <w:r w:rsidR="00B666BD" w:rsidRPr="005154AA">
        <w:t>-T</w:t>
      </w:r>
      <w:r w:rsidR="007842C4" w:rsidRPr="005154AA">
        <w:t xml:space="preserve"> yang berbeza-beza.</w:t>
      </w:r>
      <w:r w:rsidR="009448E8" w:rsidRPr="005154AA">
        <w:t xml:space="preserve"> </w:t>
      </w:r>
    </w:p>
    <w:p w:rsidR="00E04C19" w:rsidRPr="005154AA" w:rsidRDefault="00E04C19" w:rsidP="009C1986">
      <w:pPr>
        <w:contextualSpacing/>
        <w:jc w:val="both"/>
      </w:pPr>
    </w:p>
    <w:p w:rsidR="004305D7" w:rsidRPr="005154AA" w:rsidRDefault="009448E8" w:rsidP="0062103D">
      <w:pPr>
        <w:contextualSpacing/>
        <w:jc w:val="both"/>
      </w:pPr>
      <w:r w:rsidRPr="005154AA">
        <w:t>Merujuk R</w:t>
      </w:r>
      <w:r w:rsidR="000110F3" w:rsidRPr="005154AA">
        <w:t>ajah</w:t>
      </w:r>
      <w:r w:rsidR="009C1986" w:rsidRPr="005154AA">
        <w:t xml:space="preserve"> </w:t>
      </w:r>
      <w:r w:rsidR="007D5772" w:rsidRPr="005154AA">
        <w:t>7</w:t>
      </w:r>
      <w:r w:rsidRPr="005154AA">
        <w:t xml:space="preserve"> dan R</w:t>
      </w:r>
      <w:r w:rsidR="000110F3" w:rsidRPr="005154AA">
        <w:t>ajah</w:t>
      </w:r>
      <w:r w:rsidR="009C1986" w:rsidRPr="005154AA">
        <w:t xml:space="preserve"> </w:t>
      </w:r>
      <w:r w:rsidR="007D5772" w:rsidRPr="005154AA">
        <w:t>8</w:t>
      </w:r>
      <w:r w:rsidRPr="005154AA">
        <w:t xml:space="preserve">, nisbah 2 DES relina dengan kelikatan 5.7 ± 0.58 cP merupakan nisbah yang menunjukkan kandungan </w:t>
      </w:r>
      <w:r w:rsidRPr="005154AA">
        <w:rPr>
          <w:i/>
        </w:rPr>
        <w:t>α</w:t>
      </w:r>
      <w:r w:rsidR="007C5F98" w:rsidRPr="005154AA">
        <w:t>-T (</w:t>
      </w:r>
      <w:r w:rsidRPr="005154AA">
        <w:t xml:space="preserve">825.321 ± 74.27 mg/L) dan peratus hasil ekstrak (0.1554 ± 0.0156%) yang optimum pada masa pengekstrakan 3 jam. Bagi masa pengekstrakan 2 jam, nisbah 3 DES relina dengan kepekatan 8.3 ± 0.58 cP menunjukkan kepekatan </w:t>
      </w:r>
      <w:r w:rsidRPr="005154AA">
        <w:rPr>
          <w:i/>
        </w:rPr>
        <w:t>α</w:t>
      </w:r>
      <w:r w:rsidRPr="005154AA">
        <w:t xml:space="preserve">-T yang paling tinggi. </w:t>
      </w:r>
      <w:r w:rsidR="00977F9D" w:rsidRPr="005154AA">
        <w:t xml:space="preserve">Ini menunjukkan, pemerolehan sebatian </w:t>
      </w:r>
      <w:r w:rsidR="00977F9D" w:rsidRPr="005154AA">
        <w:rPr>
          <w:i/>
        </w:rPr>
        <w:t>α</w:t>
      </w:r>
      <w:r w:rsidR="00977F9D" w:rsidRPr="005154AA">
        <w:t xml:space="preserve">-T optimum bagi kedua-dua masa pengekstrakan adalah pada nisbah DES relina yang berbeza. </w:t>
      </w:r>
      <w:r w:rsidR="007C5F98" w:rsidRPr="005154AA">
        <w:t xml:space="preserve">Perbezaan yang ditunjukkan </w:t>
      </w:r>
      <w:r w:rsidR="00E04C19" w:rsidRPr="005154AA">
        <w:t>mungkin disebabkan oleh</w:t>
      </w:r>
      <w:r w:rsidR="00DD1F2F" w:rsidRPr="005154AA">
        <w:t xml:space="preserve"> faktor</w:t>
      </w:r>
      <w:r w:rsidR="00977F9D" w:rsidRPr="005154AA">
        <w:t xml:space="preserve"> penyebaran </w:t>
      </w:r>
      <w:r w:rsidR="00E04C19" w:rsidRPr="005154AA">
        <w:t xml:space="preserve">molekul </w:t>
      </w:r>
      <w:r w:rsidR="00DD1F2F" w:rsidRPr="005154AA">
        <w:rPr>
          <w:i/>
        </w:rPr>
        <w:t>α</w:t>
      </w:r>
      <w:r w:rsidR="00977F9D" w:rsidRPr="005154AA">
        <w:t xml:space="preserve">-T ke dalam struktur pelarut dan </w:t>
      </w:r>
      <w:r w:rsidR="00E04C19" w:rsidRPr="005154AA">
        <w:t>tempoh</w:t>
      </w:r>
      <w:r w:rsidR="00977F9D" w:rsidRPr="005154AA">
        <w:t xml:space="preserve"> bagi menghasilkan interaksi yang opt</w:t>
      </w:r>
      <w:r w:rsidR="00E04C19" w:rsidRPr="005154AA">
        <w:t xml:space="preserve">imum dengan molekul pelarut </w:t>
      </w:r>
      <w:r w:rsidR="00977F9D" w:rsidRPr="005154AA">
        <w:t xml:space="preserve">DES relina. </w:t>
      </w:r>
    </w:p>
    <w:p w:rsidR="00DD1F2F" w:rsidRPr="005154AA" w:rsidRDefault="00DD1F2F" w:rsidP="00DD1F2F">
      <w:pPr>
        <w:jc w:val="both"/>
        <w:rPr>
          <w:rFonts w:ascii="Arial" w:hAnsi="Arial" w:cs="Arial"/>
          <w:noProof/>
          <w:lang w:val="en-US"/>
        </w:rPr>
        <w:sectPr w:rsidR="00DD1F2F" w:rsidRPr="005154AA" w:rsidSect="007C23B1">
          <w:type w:val="continuous"/>
          <w:pgSz w:w="11907" w:h="16840" w:code="9"/>
          <w:pgMar w:top="1440" w:right="1440" w:bottom="1440" w:left="1440" w:header="720" w:footer="720" w:gutter="0"/>
          <w:cols w:space="227"/>
          <w:noEndnote/>
          <w:docGrid w:linePitch="272"/>
        </w:sectPr>
      </w:pPr>
    </w:p>
    <w:p w:rsidR="005B01CE" w:rsidRPr="005154AA" w:rsidRDefault="005B01CE" w:rsidP="00DD1F2F">
      <w:pPr>
        <w:tabs>
          <w:tab w:val="left" w:pos="2790"/>
        </w:tabs>
        <w:rPr>
          <w:sz w:val="24"/>
          <w:szCs w:val="24"/>
        </w:rPr>
        <w:sectPr w:rsidR="005B01CE" w:rsidRPr="005154AA" w:rsidSect="007C23B1">
          <w:type w:val="continuous"/>
          <w:pgSz w:w="11907" w:h="16840" w:code="9"/>
          <w:pgMar w:top="1440" w:right="1440" w:bottom="1440" w:left="1440" w:header="720" w:footer="720" w:gutter="0"/>
          <w:cols w:space="227"/>
          <w:noEndnote/>
          <w:docGrid w:linePitch="272"/>
        </w:sectPr>
      </w:pPr>
    </w:p>
    <w:p w:rsidR="00C7629B" w:rsidRPr="005154AA" w:rsidRDefault="00FC6B2B" w:rsidP="00D64D49">
      <w:pPr>
        <w:contextualSpacing/>
        <w:jc w:val="center"/>
        <w:rPr>
          <w:sz w:val="24"/>
          <w:szCs w:val="24"/>
        </w:rPr>
      </w:pPr>
      <w:r>
        <w:rPr>
          <w:noProof/>
          <w:lang w:val="en-US"/>
        </w:rPr>
        <w:lastRenderedPageBreak/>
        <w:drawing>
          <wp:inline distT="0" distB="0" distL="0" distR="0" wp14:anchorId="26BA0236" wp14:editId="03A6FA6F">
            <wp:extent cx="4368800" cy="2992120"/>
            <wp:effectExtent l="0" t="0" r="1270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D5201" w:rsidRPr="005154AA" w:rsidRDefault="004D5201" w:rsidP="00C7629B">
      <w:pPr>
        <w:ind w:firstLine="720"/>
        <w:jc w:val="both"/>
        <w:rPr>
          <w:sz w:val="24"/>
          <w:szCs w:val="24"/>
        </w:rPr>
      </w:pPr>
    </w:p>
    <w:p w:rsidR="00F9668C" w:rsidRPr="005154AA" w:rsidRDefault="00F9668C" w:rsidP="00417D42">
      <w:pPr>
        <w:ind w:left="1800" w:hanging="1080"/>
        <w:jc w:val="both"/>
      </w:pPr>
      <w:r w:rsidRPr="005154AA">
        <w:t>R</w:t>
      </w:r>
      <w:r w:rsidR="000110F3" w:rsidRPr="005154AA">
        <w:t>ajah</w:t>
      </w:r>
      <w:r w:rsidR="009C1986" w:rsidRPr="005154AA">
        <w:t xml:space="preserve"> </w:t>
      </w:r>
      <w:r w:rsidR="004F2124" w:rsidRPr="005154AA">
        <w:t>7</w:t>
      </w:r>
      <w:r w:rsidR="00417D42" w:rsidRPr="005154AA">
        <w:t xml:space="preserve">. </w:t>
      </w:r>
      <w:r w:rsidR="00CE0A9B" w:rsidRPr="005154AA">
        <w:t>K</w:t>
      </w:r>
      <w:r w:rsidRPr="005154AA">
        <w:t xml:space="preserve">epekatan </w:t>
      </w:r>
      <w:r w:rsidRPr="005154AA">
        <w:rPr>
          <w:i/>
        </w:rPr>
        <w:t>α</w:t>
      </w:r>
      <w:r w:rsidRPr="005154AA">
        <w:t>-T yang diekstrak menggunakan nisbah DES relina dan kelikatan yang berbeza</w:t>
      </w:r>
    </w:p>
    <w:p w:rsidR="00DD1F2F" w:rsidRPr="005154AA" w:rsidRDefault="00DD1F2F" w:rsidP="00134288">
      <w:pPr>
        <w:jc w:val="both"/>
      </w:pPr>
    </w:p>
    <w:p w:rsidR="00B36EA3" w:rsidRPr="005154AA" w:rsidRDefault="00933C0F" w:rsidP="00134288">
      <w:pPr>
        <w:jc w:val="center"/>
        <w:rPr>
          <w:noProof/>
          <w:sz w:val="24"/>
          <w:szCs w:val="24"/>
          <w:lang w:val="en-US"/>
        </w:rPr>
      </w:pPr>
      <w:r>
        <w:rPr>
          <w:noProof/>
          <w:lang w:val="en-US"/>
        </w:rPr>
        <w:lastRenderedPageBreak/>
        <w:drawing>
          <wp:inline distT="0" distB="0" distL="0" distR="0" wp14:anchorId="61884DF4" wp14:editId="0779B3FE">
            <wp:extent cx="4366800" cy="2991600"/>
            <wp:effectExtent l="0" t="0" r="1524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36EA3" w:rsidRPr="005154AA" w:rsidRDefault="00B36EA3" w:rsidP="00B36EA3">
      <w:pPr>
        <w:ind w:firstLine="720"/>
        <w:jc w:val="center"/>
        <w:rPr>
          <w:noProof/>
          <w:lang w:val="en-US"/>
        </w:rPr>
      </w:pPr>
    </w:p>
    <w:p w:rsidR="00B36EA3" w:rsidRDefault="00B36EA3" w:rsidP="00134288">
      <w:pPr>
        <w:rPr>
          <w:noProof/>
          <w:lang w:val="en-US"/>
        </w:rPr>
      </w:pPr>
      <w:r w:rsidRPr="005154AA">
        <w:rPr>
          <w:noProof/>
          <w:lang w:val="en-US"/>
        </w:rPr>
        <w:t>R</w:t>
      </w:r>
      <w:r w:rsidR="000110F3" w:rsidRPr="005154AA">
        <w:rPr>
          <w:noProof/>
          <w:lang w:val="en-US"/>
        </w:rPr>
        <w:t>ajah</w:t>
      </w:r>
      <w:r w:rsidR="009C1986" w:rsidRPr="005154AA">
        <w:rPr>
          <w:noProof/>
          <w:lang w:val="en-US"/>
        </w:rPr>
        <w:t xml:space="preserve"> </w:t>
      </w:r>
      <w:r w:rsidR="004F2124" w:rsidRPr="005154AA">
        <w:rPr>
          <w:noProof/>
          <w:lang w:val="en-US"/>
        </w:rPr>
        <w:t>8</w:t>
      </w:r>
      <w:r w:rsidR="00417D42" w:rsidRPr="005154AA">
        <w:rPr>
          <w:noProof/>
          <w:lang w:val="en-US"/>
        </w:rPr>
        <w:t xml:space="preserve">.  </w:t>
      </w:r>
      <w:r w:rsidRPr="005154AA">
        <w:rPr>
          <w:noProof/>
          <w:lang w:val="en-US"/>
        </w:rPr>
        <w:t xml:space="preserve">Peratus hasil ekstrak sebatian </w:t>
      </w:r>
      <w:r w:rsidRPr="005154AA">
        <w:rPr>
          <w:i/>
          <w:noProof/>
          <w:lang w:val="en-US"/>
        </w:rPr>
        <w:t>α-</w:t>
      </w:r>
      <w:r w:rsidRPr="005154AA">
        <w:rPr>
          <w:noProof/>
          <w:lang w:val="en-US"/>
        </w:rPr>
        <w:t>T (%) menggunakan nisbah DES relina dan kelikatan yang berbeza</w:t>
      </w:r>
    </w:p>
    <w:p w:rsidR="00850906" w:rsidRDefault="00850906" w:rsidP="00134288">
      <w:pPr>
        <w:rPr>
          <w:noProof/>
          <w:lang w:val="en-US"/>
        </w:rPr>
      </w:pPr>
    </w:p>
    <w:p w:rsidR="00850906" w:rsidRPr="005154AA" w:rsidRDefault="00850906" w:rsidP="00850906">
      <w:pPr>
        <w:contextualSpacing/>
        <w:jc w:val="both"/>
      </w:pPr>
      <w:r w:rsidRPr="005154AA">
        <w:t>Selain itu, Rajah 7 dan Rajah 8 juga menunjukkan pola graf yang sama sekitar nisbah 3 DES relina</w:t>
      </w:r>
      <w:r>
        <w:t xml:space="preserve"> </w:t>
      </w:r>
      <w:r w:rsidRPr="005154AA">
        <w:t xml:space="preserve">hingga 5 di mana berlakunya pengurangan kepekatan </w:t>
      </w:r>
      <w:r w:rsidRPr="005154AA">
        <w:rPr>
          <w:i/>
        </w:rPr>
        <w:t>α</w:t>
      </w:r>
      <w:r w:rsidRPr="005154AA">
        <w:t xml:space="preserve">-T dan hasil ekstrak pada nisbah 3 DES relina kepada 4 dan seterusnya berlaku peningkatan semula pada nisbah 5 DES relina bagi kedua-dua masa pengekstrakan. Di samping itu juga terdapat perbezaan yang ketara pada nisbah 3 hingga 5 DES relina apabila membandingkan kedua-dua masa pengekstrakan. Perbezaan ini dapat dilihat melalui pengurangan kepekatan sebatian </w:t>
      </w:r>
      <w:r w:rsidRPr="005154AA">
        <w:rPr>
          <w:i/>
        </w:rPr>
        <w:t>α-</w:t>
      </w:r>
      <w:r w:rsidRPr="005154AA">
        <w:t xml:space="preserve">T yang diekstrak dari 2 jam kepada 3 jam masa pengekstrakan. </w:t>
      </w:r>
    </w:p>
    <w:p w:rsidR="00850906" w:rsidRPr="005154AA" w:rsidRDefault="00850906" w:rsidP="00850906">
      <w:pPr>
        <w:ind w:firstLine="720"/>
        <w:contextualSpacing/>
        <w:jc w:val="both"/>
      </w:pPr>
    </w:p>
    <w:p w:rsidR="00850906" w:rsidRPr="005154AA" w:rsidRDefault="00850906" w:rsidP="00850906">
      <w:pPr>
        <w:contextualSpacing/>
        <w:jc w:val="both"/>
      </w:pPr>
      <w:r w:rsidRPr="005154AA">
        <w:t xml:space="preserve">Pengurangan sebatian </w:t>
      </w:r>
      <w:r w:rsidRPr="005154AA">
        <w:rPr>
          <w:i/>
        </w:rPr>
        <w:t>α</w:t>
      </w:r>
      <w:r w:rsidRPr="005154AA">
        <w:t xml:space="preserve">-T yang berlaku ini jelas menunjukkan bahawa sebatian ini lebih cenderung untuk terperangkap dalam fasa minyak. Ini adalah disebabkan oleh struktur sebatian </w:t>
      </w:r>
      <w:r w:rsidRPr="005154AA">
        <w:rPr>
          <w:i/>
        </w:rPr>
        <w:t>α</w:t>
      </w:r>
      <w:r w:rsidRPr="005154AA">
        <w:t xml:space="preserve">-T dengan rantai yang panjang dan tahap kekutuban yang lemah [28]. Pengurangan kepekatan </w:t>
      </w:r>
      <w:r w:rsidRPr="005154AA">
        <w:rPr>
          <w:i/>
        </w:rPr>
        <w:t>α</w:t>
      </w:r>
      <w:r w:rsidRPr="005154AA">
        <w:t xml:space="preserve">-T yang ditunjukkan juga disebabkan oleh isi padu bebas dalam struktur pelarut yang terhad bagi membolehkan lebih banyak molekul </w:t>
      </w:r>
      <w:r w:rsidRPr="005154AA">
        <w:rPr>
          <w:i/>
        </w:rPr>
        <w:t>α-</w:t>
      </w:r>
      <w:r w:rsidRPr="005154AA">
        <w:t xml:space="preserve">T tersebar dan berinteraksi dengan pelarut DES relina. Isi padu bebas dalam struktur pelarut DES relina adalah penting kerana saiz molekul </w:t>
      </w:r>
      <w:r w:rsidRPr="005154AA">
        <w:rPr>
          <w:i/>
        </w:rPr>
        <w:t>α</w:t>
      </w:r>
      <w:r w:rsidRPr="005154AA">
        <w:t xml:space="preserve">-T yang besar memerlukan ruang yang sesuai untuk molekul ini dan molekul pelarut berinteraksi. Selain itu, pada nisbah 3 DES relina kepada 5 menunjukkan masa pengekstrakan 2 jam lebih sesuai berbanding 3 jam. Walaubagaimanapun, masa pengekstrakan 3 jam dengan nisbah 2 DES relina menghasilkan kepekatan sebatian </w:t>
      </w:r>
      <w:r w:rsidRPr="005154AA">
        <w:rPr>
          <w:i/>
        </w:rPr>
        <w:t>α</w:t>
      </w:r>
      <w:r w:rsidRPr="005154AA">
        <w:t xml:space="preserve">-T yang paling maksimum. </w:t>
      </w:r>
    </w:p>
    <w:p w:rsidR="00850906" w:rsidRPr="005154AA" w:rsidRDefault="00850906" w:rsidP="00850906">
      <w:pPr>
        <w:contextualSpacing/>
        <w:jc w:val="both"/>
      </w:pPr>
    </w:p>
    <w:p w:rsidR="00850906" w:rsidRPr="005154AA" w:rsidRDefault="00850906" w:rsidP="00850906">
      <w:pPr>
        <w:contextualSpacing/>
        <w:jc w:val="both"/>
      </w:pPr>
      <w:r w:rsidRPr="005154AA">
        <w:t xml:space="preserve">Masa pengekstrakan 3 jam menunjukkan masa ideal bagi menghasilkan interaksi maksimum antara sebatian </w:t>
      </w:r>
      <w:r w:rsidRPr="005154AA">
        <w:rPr>
          <w:i/>
        </w:rPr>
        <w:t>α</w:t>
      </w:r>
      <w:r w:rsidRPr="005154AA">
        <w:t xml:space="preserve">-T dan molekul pelarut pada nisbah 2 DES relina. Keadaan DES relina pada nisbah 2 membolehkan lebih banyak molekul </w:t>
      </w:r>
      <w:r w:rsidRPr="005154AA">
        <w:rPr>
          <w:i/>
        </w:rPr>
        <w:t>α</w:t>
      </w:r>
      <w:r w:rsidRPr="005154AA">
        <w:t>-T tersebar ke dalam ruang-ruang kosong pelarut dan berinteraksi antara satu sama lain melalui ikatan hidrogen yang ditunjukkan seperti dalam Rajah 9. Ikatan hidrogen yang terhasil ini merupakan analog daripada kajian yang telah dilakukan oleh Xiaolei et al. [25]. Kajian oleh Dai et al. [29] juga menunjukkan bahawa anion Cl</w:t>
      </w:r>
      <w:r w:rsidRPr="005154AA">
        <w:rPr>
          <w:vertAlign w:val="superscript"/>
        </w:rPr>
        <w:t xml:space="preserve">- </w:t>
      </w:r>
      <w:r w:rsidRPr="005154AA">
        <w:t xml:space="preserve">pada struktur DES relina berpotensi untuk berinteraksi dengan sebatian </w:t>
      </w:r>
      <w:r w:rsidRPr="005154AA">
        <w:rPr>
          <w:i/>
        </w:rPr>
        <w:t>α</w:t>
      </w:r>
      <w:r w:rsidRPr="005154AA">
        <w:t>-T [29] melalui ikatan hidrogen. Walaubagaimanapun, pembentukan ikatan hidrogen yang kuat lebih cenderung berlaku pada kumpulan hidroksil,</w:t>
      </w:r>
      <w:r>
        <w:t xml:space="preserve"> </w:t>
      </w:r>
      <w:r w:rsidRPr="005154AA">
        <w:t xml:space="preserve">-OH bagi molekul </w:t>
      </w:r>
      <w:r w:rsidRPr="005154AA">
        <w:rPr>
          <w:i/>
        </w:rPr>
        <w:t>α</w:t>
      </w:r>
      <w:r w:rsidRPr="005154AA">
        <w:t xml:space="preserve">-T kerana kumpulan ini memberikan keasidan ikatan hidrogen yang tinggi [25] untuk berinteraksi dengan pelarut DES relina (kebesan ikatan hidrogen). Pembentukan ikatan hidrogen yang kuat antara molekul </w:t>
      </w:r>
      <w:r w:rsidRPr="005154AA">
        <w:rPr>
          <w:i/>
        </w:rPr>
        <w:t>α</w:t>
      </w:r>
      <w:r w:rsidRPr="005154AA">
        <w:t xml:space="preserve">-T dan DES relina ini membolehkan pemisahan sebatian </w:t>
      </w:r>
      <w:r w:rsidRPr="005154AA">
        <w:rPr>
          <w:i/>
        </w:rPr>
        <w:t>α</w:t>
      </w:r>
      <w:r w:rsidRPr="005154AA">
        <w:t xml:space="preserve">-T daripada fasa minyak. </w:t>
      </w:r>
    </w:p>
    <w:p w:rsidR="00850906" w:rsidRPr="005154AA" w:rsidRDefault="00850906" w:rsidP="00850906">
      <w:pPr>
        <w:contextualSpacing/>
        <w:jc w:val="both"/>
        <w:rPr>
          <w:sz w:val="24"/>
          <w:szCs w:val="24"/>
        </w:rPr>
      </w:pPr>
      <w:r w:rsidRPr="005154AA">
        <w:rPr>
          <w:sz w:val="24"/>
          <w:szCs w:val="24"/>
        </w:rPr>
        <w:tab/>
      </w:r>
    </w:p>
    <w:p w:rsidR="00850906" w:rsidRPr="005154AA" w:rsidRDefault="00850906" w:rsidP="00850906">
      <w:pPr>
        <w:contextualSpacing/>
        <w:jc w:val="both"/>
      </w:pPr>
      <w:r w:rsidRPr="005154AA">
        <w:t xml:space="preserve">Melalui kajian ini, jelas menunjukkan bahawa kelikatan bagi setiap nisbah DES relina dan masa pengekstrakan mempengaruhi kandungan </w:t>
      </w:r>
      <w:r w:rsidRPr="005154AA">
        <w:rPr>
          <w:i/>
        </w:rPr>
        <w:t>α</w:t>
      </w:r>
      <w:r w:rsidRPr="005154AA">
        <w:t xml:space="preserve">-T yang diekstrak. Walaubagaimanapun, nisbah DES relina yang tinggi menunjukkan kepekatan </w:t>
      </w:r>
      <w:r w:rsidRPr="005154AA">
        <w:rPr>
          <w:i/>
        </w:rPr>
        <w:t>α</w:t>
      </w:r>
      <w:r w:rsidRPr="005154AA">
        <w:t xml:space="preserve">-T yang rendah. Ini disebabkan oleh pergerakan dan penyebaran molekul </w:t>
      </w:r>
      <w:r w:rsidRPr="005154AA">
        <w:rPr>
          <w:i/>
        </w:rPr>
        <w:t>α</w:t>
      </w:r>
      <w:r w:rsidRPr="005154AA">
        <w:t xml:space="preserve">-T ke dalam struktur pelarut adalah terbatas. Jadi, interaksi antara kedua-dua molekul ini semakin sukar. </w:t>
      </w:r>
    </w:p>
    <w:p w:rsidR="00850906" w:rsidRPr="005154AA" w:rsidRDefault="00850906" w:rsidP="00850906">
      <w:pPr>
        <w:ind w:firstLine="720"/>
        <w:contextualSpacing/>
        <w:jc w:val="both"/>
      </w:pPr>
    </w:p>
    <w:p w:rsidR="00850906" w:rsidRPr="005154AA" w:rsidRDefault="00850906" w:rsidP="00134288">
      <w:pPr>
        <w:rPr>
          <w:noProof/>
          <w:lang w:val="en-US"/>
        </w:rPr>
      </w:pPr>
    </w:p>
    <w:p w:rsidR="004F2124" w:rsidRPr="005154AA" w:rsidRDefault="004F2124" w:rsidP="00134288">
      <w:pPr>
        <w:contextualSpacing/>
        <w:jc w:val="both"/>
      </w:pPr>
    </w:p>
    <w:p w:rsidR="004F2124" w:rsidRPr="005154AA" w:rsidRDefault="00134288" w:rsidP="004F2124">
      <w:pPr>
        <w:jc w:val="center"/>
        <w:rPr>
          <w:sz w:val="24"/>
          <w:szCs w:val="24"/>
        </w:rPr>
      </w:pPr>
      <w:r w:rsidRPr="005154AA">
        <w:object w:dxaOrig="6086" w:dyaOrig="2745">
          <v:shape id="_x0000_i1027" type="#_x0000_t75" style="width:272.95pt;height:123.95pt" o:ole="" filled="t" fillcolor="white [3212]">
            <v:imagedata r:id="rId20" o:title=""/>
          </v:shape>
          <o:OLEObject Type="Embed" ProgID="ChemDraw.Document.6.0" ShapeID="_x0000_i1027" DrawAspect="Content" ObjectID="_1588331386" r:id="rId21"/>
        </w:object>
      </w:r>
    </w:p>
    <w:p w:rsidR="004F2124" w:rsidRPr="005154AA" w:rsidRDefault="004F2124" w:rsidP="004F2124">
      <w:pPr>
        <w:ind w:left="1170" w:hanging="1170"/>
        <w:jc w:val="both"/>
        <w:rPr>
          <w:sz w:val="24"/>
          <w:szCs w:val="24"/>
        </w:rPr>
        <w:sectPr w:rsidR="004F2124" w:rsidRPr="005154AA" w:rsidSect="007C23B1">
          <w:type w:val="continuous"/>
          <w:pgSz w:w="11907" w:h="16840" w:code="9"/>
          <w:pgMar w:top="1440" w:right="1440" w:bottom="1440" w:left="1440" w:header="720" w:footer="720" w:gutter="0"/>
          <w:cols w:space="227"/>
          <w:noEndnote/>
          <w:docGrid w:linePitch="272"/>
        </w:sectPr>
      </w:pPr>
    </w:p>
    <w:p w:rsidR="004F2124" w:rsidRPr="005154AA" w:rsidRDefault="004F2124" w:rsidP="004F2124">
      <w:pPr>
        <w:ind w:left="1170" w:hanging="1170"/>
        <w:jc w:val="both"/>
        <w:rPr>
          <w:sz w:val="24"/>
          <w:szCs w:val="24"/>
        </w:rPr>
      </w:pPr>
      <w:r w:rsidRPr="005154AA">
        <w:rPr>
          <w:sz w:val="24"/>
          <w:szCs w:val="24"/>
        </w:rPr>
        <w:lastRenderedPageBreak/>
        <w:t xml:space="preserve">   </w:t>
      </w:r>
    </w:p>
    <w:p w:rsidR="004F2124" w:rsidRPr="005154AA" w:rsidRDefault="004F2124" w:rsidP="00FD6FD6">
      <w:pPr>
        <w:ind w:left="810" w:hanging="810"/>
        <w:jc w:val="both"/>
      </w:pPr>
      <w:r w:rsidRPr="005154AA">
        <w:t xml:space="preserve">Rajah 9. </w:t>
      </w:r>
      <w:r w:rsidR="00FD6FD6">
        <w:t xml:space="preserve"> </w:t>
      </w:r>
      <w:r w:rsidR="00FD6FD6">
        <w:tab/>
      </w:r>
      <w:r w:rsidRPr="005154AA">
        <w:t xml:space="preserve">Analog ikatan hidrogen yang terhasil antara sebatian </w:t>
      </w:r>
      <w:r w:rsidRPr="005154AA">
        <w:rPr>
          <w:i/>
        </w:rPr>
        <w:t>α-</w:t>
      </w:r>
      <w:r w:rsidRPr="005154AA">
        <w:t xml:space="preserve"> T dan DES relina yang dirujuk daripada kajian Xiaolei et al [25]</w:t>
      </w:r>
    </w:p>
    <w:p w:rsidR="004F2124" w:rsidRPr="005154AA" w:rsidRDefault="004F2124" w:rsidP="00417D42">
      <w:pPr>
        <w:ind w:left="1620" w:hanging="900"/>
        <w:sectPr w:rsidR="004F2124" w:rsidRPr="005154AA" w:rsidSect="007C23B1">
          <w:type w:val="continuous"/>
          <w:pgSz w:w="11907" w:h="16840" w:code="9"/>
          <w:pgMar w:top="1440" w:right="1440" w:bottom="1440" w:left="1440" w:header="720" w:footer="720" w:gutter="0"/>
          <w:cols w:space="227"/>
          <w:noEndnote/>
          <w:docGrid w:linePitch="272"/>
        </w:sectPr>
      </w:pPr>
    </w:p>
    <w:p w:rsidR="00D2070B" w:rsidRPr="005154AA" w:rsidRDefault="00D2070B" w:rsidP="00FD6FD6">
      <w:pPr>
        <w:spacing w:after="120"/>
        <w:jc w:val="both"/>
        <w:rPr>
          <w:noProof/>
          <w:sz w:val="24"/>
          <w:szCs w:val="24"/>
          <w:lang w:val="en-US"/>
        </w:rPr>
        <w:sectPr w:rsidR="00D2070B" w:rsidRPr="005154AA" w:rsidSect="007C23B1">
          <w:type w:val="continuous"/>
          <w:pgSz w:w="11907" w:h="16840" w:code="9"/>
          <w:pgMar w:top="1440" w:right="1440" w:bottom="1440" w:left="1440" w:header="720" w:footer="720" w:gutter="0"/>
          <w:cols w:space="227"/>
          <w:noEndnote/>
          <w:docGrid w:linePitch="272"/>
        </w:sectPr>
      </w:pPr>
    </w:p>
    <w:p w:rsidR="00FD6FD6" w:rsidRPr="005154AA" w:rsidRDefault="00FD6FD6" w:rsidP="00FD6FD6">
      <w:pPr>
        <w:jc w:val="both"/>
      </w:pPr>
      <w:r w:rsidRPr="005154AA">
        <w:lastRenderedPageBreak/>
        <w:t xml:space="preserve">Kepekatan sebatian </w:t>
      </w:r>
      <w:r w:rsidRPr="005154AA">
        <w:rPr>
          <w:i/>
        </w:rPr>
        <w:t>α</w:t>
      </w:r>
      <w:r w:rsidRPr="005154AA">
        <w:t xml:space="preserve">-T yang diekstrak bagi kesemua sampel dihitung dengan menggunakan kaedah yang telah dilaporkan oleh Nu’man et al. [15] dengan merujuk graf kalibrasi bagi lima siri kepekatan piawai </w:t>
      </w:r>
      <w:r w:rsidRPr="005154AA">
        <w:rPr>
          <w:i/>
        </w:rPr>
        <w:t>α</w:t>
      </w:r>
      <w:r w:rsidRPr="005154AA">
        <w:t xml:space="preserve">-T yang telah disuntik ke dalam HPLC seperti Rajah 10. Kesemua sampel piawai menunjukkan masa penahanan sekitar 32.503 ± 2.00 min. Berdasarkan kromatogram yang ditunjukkan </w:t>
      </w:r>
      <w:r>
        <w:t xml:space="preserve">dalam </w:t>
      </w:r>
      <w:r w:rsidRPr="005154AA">
        <w:t xml:space="preserve">Rajah 11, masa penahanan sebatian </w:t>
      </w:r>
      <w:r w:rsidRPr="005154AA">
        <w:rPr>
          <w:i/>
        </w:rPr>
        <w:t>α</w:t>
      </w:r>
      <w:r w:rsidRPr="005154AA">
        <w:t xml:space="preserve">-T menunjukkan bahawa sebatian </w:t>
      </w:r>
      <w:r w:rsidRPr="005154AA">
        <w:rPr>
          <w:i/>
        </w:rPr>
        <w:t>α</w:t>
      </w:r>
      <w:r w:rsidRPr="005154AA">
        <w:t>-T merupakan sebatian yang mempunyai tahap ke</w:t>
      </w:r>
      <w:r>
        <w:t>kutuban</w:t>
      </w:r>
      <w:r w:rsidRPr="005154AA">
        <w:t xml:space="preserve"> yang rendah kerana tempoh penahanan sebatian </w:t>
      </w:r>
      <w:r w:rsidRPr="005154AA">
        <w:rPr>
          <w:i/>
        </w:rPr>
        <w:t>α</w:t>
      </w:r>
      <w:r w:rsidRPr="005154AA">
        <w:t>-T adalah lama. Masa penahanan sebatian terelusi daripada kolum adalah bergantung pada sifat ke</w:t>
      </w:r>
      <w:r>
        <w:t>kutuban</w:t>
      </w:r>
      <w:r w:rsidRPr="005154AA">
        <w:t>nya. Sebatian yang mempunyai ke</w:t>
      </w:r>
      <w:r>
        <w:t>kutuban</w:t>
      </w:r>
      <w:r w:rsidRPr="005154AA">
        <w:t xml:space="preserve"> yang tinggi akan mudah dielusi dan masa penahanannya pada fasa pegun adalah lebih singkat.</w:t>
      </w:r>
    </w:p>
    <w:p w:rsidR="004D5201" w:rsidRPr="005154AA" w:rsidRDefault="004D5201" w:rsidP="00FD6FD6">
      <w:pPr>
        <w:spacing w:after="120"/>
        <w:jc w:val="both"/>
        <w:rPr>
          <w:rFonts w:ascii="Arial" w:hAnsi="Arial" w:cs="Arial"/>
          <w:noProof/>
          <w:lang w:val="en-US"/>
        </w:rPr>
      </w:pPr>
    </w:p>
    <w:p w:rsidR="00FD6FD6" w:rsidRPr="00FD6FD6" w:rsidRDefault="009C1986" w:rsidP="00FD6FD6">
      <w:pPr>
        <w:spacing w:after="120"/>
        <w:jc w:val="center"/>
        <w:rPr>
          <w:sz w:val="24"/>
          <w:szCs w:val="24"/>
        </w:rPr>
      </w:pPr>
      <w:r w:rsidRPr="00FF29D2">
        <w:rPr>
          <w:noProof/>
          <w:sz w:val="18"/>
          <w:szCs w:val="24"/>
          <w:lang w:val="en-US"/>
        </w:rPr>
        <w:drawing>
          <wp:inline distT="0" distB="0" distL="0" distR="0" wp14:anchorId="4AD91212" wp14:editId="04970C6B">
            <wp:extent cx="4170680" cy="2743200"/>
            <wp:effectExtent l="0" t="0" r="20320" b="1905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C1986" w:rsidRPr="005154AA" w:rsidRDefault="009C1986" w:rsidP="00FF29D2">
      <w:pPr>
        <w:pStyle w:val="ListParagraph"/>
        <w:spacing w:before="0" w:line="240" w:lineRule="auto"/>
        <w:ind w:left="993" w:hanging="993"/>
        <w:contextualSpacing/>
        <w:rPr>
          <w:sz w:val="20"/>
          <w:szCs w:val="20"/>
        </w:rPr>
      </w:pPr>
      <w:r w:rsidRPr="005154AA">
        <w:rPr>
          <w:sz w:val="20"/>
          <w:szCs w:val="20"/>
        </w:rPr>
        <w:t xml:space="preserve">Rajah </w:t>
      </w:r>
      <w:r w:rsidR="001E0756" w:rsidRPr="005154AA">
        <w:rPr>
          <w:sz w:val="20"/>
          <w:szCs w:val="20"/>
        </w:rPr>
        <w:t>10</w:t>
      </w:r>
      <w:r w:rsidRPr="005154AA">
        <w:rPr>
          <w:sz w:val="20"/>
          <w:szCs w:val="20"/>
        </w:rPr>
        <w:t>.</w:t>
      </w:r>
      <w:r w:rsidR="00FF29D2">
        <w:rPr>
          <w:sz w:val="20"/>
          <w:szCs w:val="20"/>
        </w:rPr>
        <w:t xml:space="preserve"> </w:t>
      </w:r>
      <w:r w:rsidR="00FD6FD6">
        <w:rPr>
          <w:sz w:val="20"/>
          <w:szCs w:val="20"/>
        </w:rPr>
        <w:tab/>
      </w:r>
      <w:r w:rsidRPr="005154AA">
        <w:rPr>
          <w:sz w:val="20"/>
          <w:szCs w:val="20"/>
        </w:rPr>
        <w:t xml:space="preserve">Graf kalibrasi piawai </w:t>
      </w:r>
      <w:r w:rsidRPr="005154AA">
        <w:rPr>
          <w:i/>
          <w:sz w:val="20"/>
          <w:szCs w:val="20"/>
        </w:rPr>
        <w:t>α</w:t>
      </w:r>
      <w:r w:rsidRPr="005154AA">
        <w:rPr>
          <w:sz w:val="20"/>
          <w:szCs w:val="20"/>
        </w:rPr>
        <w:t>-T dengan pekali penentuan, R</w:t>
      </w:r>
      <w:r w:rsidRPr="005154AA">
        <w:rPr>
          <w:sz w:val="20"/>
          <w:szCs w:val="20"/>
          <w:vertAlign w:val="superscript"/>
        </w:rPr>
        <w:t>2</w:t>
      </w:r>
      <w:r w:rsidRPr="005154AA">
        <w:rPr>
          <w:sz w:val="20"/>
          <w:szCs w:val="20"/>
        </w:rPr>
        <w:t xml:space="preserve"> = 0.960 dan faktor gerak </w:t>
      </w:r>
      <w:r w:rsidR="00FF29D2" w:rsidRPr="005154AA">
        <w:rPr>
          <w:sz w:val="20"/>
          <w:szCs w:val="20"/>
        </w:rPr>
        <w:t xml:space="preserve">balas, </w:t>
      </w:r>
      <w:r w:rsidR="00FF29D2">
        <w:rPr>
          <w:sz w:val="20"/>
          <w:szCs w:val="20"/>
        </w:rPr>
        <w:t xml:space="preserve"> </w:t>
      </w:r>
      <w:r w:rsidRPr="005154AA">
        <w:rPr>
          <w:sz w:val="20"/>
          <w:szCs w:val="20"/>
        </w:rPr>
        <w:t>G = 14.02 mV.s mg</w:t>
      </w:r>
      <w:r w:rsidRPr="005154AA">
        <w:rPr>
          <w:sz w:val="20"/>
          <w:szCs w:val="20"/>
          <w:vertAlign w:val="superscript"/>
        </w:rPr>
        <w:t>-1</w:t>
      </w:r>
      <w:r w:rsidRPr="005154AA">
        <w:rPr>
          <w:sz w:val="20"/>
          <w:szCs w:val="20"/>
        </w:rPr>
        <w:t>L</w:t>
      </w:r>
    </w:p>
    <w:p w:rsidR="00F937CC" w:rsidRPr="005154AA" w:rsidRDefault="00F937CC" w:rsidP="00C7629B">
      <w:pPr>
        <w:jc w:val="both"/>
        <w:rPr>
          <w:rFonts w:ascii="Arial" w:hAnsi="Arial" w:cs="Arial"/>
          <w:noProof/>
          <w:sz w:val="24"/>
          <w:szCs w:val="24"/>
          <w:lang w:val="en-US"/>
        </w:rPr>
      </w:pPr>
    </w:p>
    <w:p w:rsidR="007D736F" w:rsidRPr="005154AA" w:rsidRDefault="00DD43CB" w:rsidP="00FD6FD6">
      <w:pPr>
        <w:spacing w:after="120"/>
        <w:jc w:val="center"/>
        <w:rPr>
          <w:sz w:val="24"/>
          <w:szCs w:val="24"/>
        </w:rPr>
      </w:pPr>
      <w:r w:rsidRPr="005154AA">
        <w:rPr>
          <w:noProof/>
          <w:sz w:val="24"/>
          <w:szCs w:val="24"/>
          <w:lang w:val="en-US"/>
        </w:rPr>
        <w:lastRenderedPageBreak/>
        <mc:AlternateContent>
          <mc:Choice Requires="wps">
            <w:drawing>
              <wp:anchor distT="0" distB="0" distL="114300" distR="114300" simplePos="0" relativeHeight="251657728" behindDoc="0" locked="0" layoutInCell="1" allowOverlap="1" wp14:anchorId="748B8901" wp14:editId="2813EC64">
                <wp:simplePos x="0" y="0"/>
                <wp:positionH relativeFrom="column">
                  <wp:posOffset>3921760</wp:posOffset>
                </wp:positionH>
                <wp:positionV relativeFrom="paragraph">
                  <wp:posOffset>710565</wp:posOffset>
                </wp:positionV>
                <wp:extent cx="425450" cy="247015"/>
                <wp:effectExtent l="13970" t="5715" r="8255"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47015"/>
                        </a:xfrm>
                        <a:prstGeom prst="rect">
                          <a:avLst/>
                        </a:prstGeom>
                        <a:solidFill>
                          <a:srgbClr val="FFFFFF"/>
                        </a:solidFill>
                        <a:ln w="9525">
                          <a:solidFill>
                            <a:srgbClr val="FFFFFF"/>
                          </a:solidFill>
                          <a:miter lim="800000"/>
                          <a:headEnd/>
                          <a:tailEnd/>
                        </a:ln>
                      </wps:spPr>
                      <wps:txbx>
                        <w:txbxContent>
                          <w:p w:rsidR="00DD1F2F" w:rsidRPr="00502C96" w:rsidRDefault="00DD1F2F" w:rsidP="00C7629B">
                            <w:pPr>
                              <w:rPr>
                                <w:b/>
                                <w:color w:val="C0504D"/>
                              </w:rPr>
                            </w:pPr>
                            <w:r w:rsidRPr="00502C96">
                              <w:rPr>
                                <w:b/>
                                <w:i/>
                                <w:color w:val="C0504D"/>
                              </w:rPr>
                              <w:t>α</w:t>
                            </w:r>
                            <w:r w:rsidRPr="00502C96">
                              <w:rPr>
                                <w:b/>
                                <w:color w:val="C0504D"/>
                              </w:rPr>
                              <w:t>-T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8" type="#_x0000_t202" style="position:absolute;left:0;text-align:left;margin-left:308.8pt;margin-top:55.95pt;width:3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" strokecolor="white">
                <v:textbox style="mso-fit-shape-to-text:t">
                  <w:txbxContent>
                    <w:p w:rsidR="00DD1F2F" w:rsidRPr="00502C96" w:rsidRDefault="00DD1F2F" w:rsidP="00C7629B">
                      <w:pPr>
                        <w:rPr>
                          <w:b/>
                          <w:color w:val="C0504D"/>
                        </w:rPr>
                      </w:pPr>
                      <w:r w:rsidRPr="00502C96">
                        <w:rPr>
                          <w:b/>
                          <w:i/>
                          <w:color w:val="C0504D"/>
                        </w:rPr>
                        <w:t>α</w:t>
                      </w:r>
                      <w:r w:rsidRPr="00502C96">
                        <w:rPr>
                          <w:b/>
                          <w:color w:val="C0504D"/>
                        </w:rPr>
                        <w:t>-T</w:t>
                      </w:r>
                    </w:p>
                  </w:txbxContent>
                </v:textbox>
              </v:shape>
            </w:pict>
          </mc:Fallback>
        </mc:AlternateContent>
      </w:r>
      <w:r w:rsidR="00896A82" w:rsidRPr="005154AA">
        <w:rPr>
          <w:rFonts w:ascii="Arial" w:hAnsi="Arial" w:cs="Arial"/>
          <w:noProof/>
          <w:sz w:val="24"/>
          <w:szCs w:val="24"/>
          <w:lang w:val="en-US"/>
        </w:rPr>
        <w:drawing>
          <wp:inline distT="0" distB="0" distL="0" distR="0" wp14:anchorId="1F6089ED" wp14:editId="55981B85">
            <wp:extent cx="4254500" cy="2296795"/>
            <wp:effectExtent l="0" t="0" r="0" b="825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254500" cy="2296795"/>
                    </a:xfrm>
                    <a:prstGeom prst="rect">
                      <a:avLst/>
                    </a:prstGeom>
                    <a:noFill/>
                    <a:ln w="9525">
                      <a:noFill/>
                      <a:miter lim="800000"/>
                      <a:headEnd/>
                      <a:tailEnd/>
                    </a:ln>
                  </pic:spPr>
                </pic:pic>
              </a:graphicData>
            </a:graphic>
          </wp:inline>
        </w:drawing>
      </w:r>
    </w:p>
    <w:p w:rsidR="004D5201" w:rsidRPr="005154AA" w:rsidRDefault="002B084D" w:rsidP="00FF29D2">
      <w:pPr>
        <w:jc w:val="center"/>
        <w:rPr>
          <w:sz w:val="24"/>
          <w:szCs w:val="24"/>
        </w:rPr>
        <w:sectPr w:rsidR="004D5201" w:rsidRPr="005154AA" w:rsidSect="007C23B1">
          <w:type w:val="continuous"/>
          <w:pgSz w:w="11907" w:h="16840" w:code="9"/>
          <w:pgMar w:top="1440" w:right="1440" w:bottom="1440" w:left="1440" w:header="720" w:footer="720" w:gutter="0"/>
          <w:cols w:space="227"/>
          <w:noEndnote/>
          <w:docGrid w:linePitch="272"/>
        </w:sectPr>
      </w:pPr>
      <w:r w:rsidRPr="005154AA">
        <w:rPr>
          <w:szCs w:val="24"/>
        </w:rPr>
        <w:t>R</w:t>
      </w:r>
      <w:r w:rsidR="000110F3" w:rsidRPr="005154AA">
        <w:rPr>
          <w:szCs w:val="24"/>
        </w:rPr>
        <w:t>ajah</w:t>
      </w:r>
      <w:r w:rsidR="005F3C84" w:rsidRPr="005154AA">
        <w:rPr>
          <w:szCs w:val="24"/>
        </w:rPr>
        <w:t xml:space="preserve"> </w:t>
      </w:r>
      <w:r w:rsidR="001E0756" w:rsidRPr="005154AA">
        <w:rPr>
          <w:szCs w:val="24"/>
        </w:rPr>
        <w:t>11</w:t>
      </w:r>
      <w:r w:rsidR="00417D42" w:rsidRPr="005154AA">
        <w:rPr>
          <w:szCs w:val="24"/>
        </w:rPr>
        <w:t xml:space="preserve">. </w:t>
      </w:r>
      <w:r w:rsidR="009C1986" w:rsidRPr="005154AA">
        <w:rPr>
          <w:szCs w:val="24"/>
        </w:rPr>
        <w:t xml:space="preserve"> </w:t>
      </w:r>
      <w:r w:rsidR="00C7629B" w:rsidRPr="005154AA">
        <w:rPr>
          <w:szCs w:val="24"/>
        </w:rPr>
        <w:t>Kromatogram bagi sampel ekstrak menunjukkan se</w:t>
      </w:r>
      <w:r w:rsidR="00AE5079" w:rsidRPr="005154AA">
        <w:rPr>
          <w:szCs w:val="24"/>
        </w:rPr>
        <w:t xml:space="preserve">batian α-T terelusi pada </w:t>
      </w:r>
      <w:r w:rsidR="008A52B2" w:rsidRPr="005154AA">
        <w:rPr>
          <w:szCs w:val="24"/>
        </w:rPr>
        <w:t>32.503</w:t>
      </w:r>
      <w:r w:rsidR="00AE5079" w:rsidRPr="005154AA">
        <w:rPr>
          <w:szCs w:val="24"/>
        </w:rPr>
        <w:t xml:space="preserve"> </w:t>
      </w:r>
      <w:r w:rsidR="00C7629B" w:rsidRPr="005154AA">
        <w:rPr>
          <w:szCs w:val="24"/>
        </w:rPr>
        <w:t>min</w:t>
      </w:r>
      <w:r w:rsidR="0053078D" w:rsidRPr="005154AA">
        <w:rPr>
          <w:szCs w:val="24"/>
        </w:rPr>
        <w:t>it</w:t>
      </w:r>
    </w:p>
    <w:p w:rsidR="00502C96" w:rsidRDefault="00502C96" w:rsidP="00FD6FD6">
      <w:pPr>
        <w:pStyle w:val="ListParagraph"/>
        <w:spacing w:before="0" w:line="240" w:lineRule="auto"/>
        <w:contextualSpacing/>
        <w:jc w:val="center"/>
        <w:rPr>
          <w:b/>
          <w:szCs w:val="24"/>
        </w:rPr>
      </w:pPr>
    </w:p>
    <w:p w:rsidR="00FD6FD6" w:rsidRPr="005154AA" w:rsidRDefault="00FD6FD6" w:rsidP="00FD6FD6">
      <w:pPr>
        <w:pStyle w:val="ListParagraph"/>
        <w:spacing w:before="0" w:line="240" w:lineRule="auto"/>
        <w:contextualSpacing/>
        <w:jc w:val="center"/>
        <w:rPr>
          <w:b/>
          <w:szCs w:val="24"/>
        </w:rPr>
      </w:pPr>
    </w:p>
    <w:p w:rsidR="0027115E" w:rsidRPr="005154AA" w:rsidRDefault="004D5201" w:rsidP="00FF29D2">
      <w:pPr>
        <w:pStyle w:val="ListParagraph"/>
        <w:spacing w:before="0" w:line="240" w:lineRule="auto"/>
        <w:contextualSpacing/>
        <w:jc w:val="center"/>
        <w:rPr>
          <w:b/>
          <w:sz w:val="20"/>
          <w:szCs w:val="20"/>
        </w:rPr>
      </w:pPr>
      <w:r w:rsidRPr="005154AA">
        <w:rPr>
          <w:b/>
          <w:sz w:val="20"/>
          <w:szCs w:val="20"/>
        </w:rPr>
        <w:t>K</w:t>
      </w:r>
      <w:r w:rsidR="00007DFE" w:rsidRPr="005154AA">
        <w:rPr>
          <w:b/>
          <w:sz w:val="20"/>
          <w:szCs w:val="20"/>
        </w:rPr>
        <w:t>esimpulan</w:t>
      </w:r>
    </w:p>
    <w:p w:rsidR="00EE7A46" w:rsidRPr="005154AA" w:rsidRDefault="00EE7A46" w:rsidP="00FF29D2">
      <w:pPr>
        <w:jc w:val="both"/>
      </w:pPr>
      <w:r w:rsidRPr="005154AA">
        <w:t>DES berpotensi sebagai pelarut pengekstrakan hijau alternatif kerana keupayaannya</w:t>
      </w:r>
      <w:r w:rsidR="009D0FFA" w:rsidRPr="005154AA">
        <w:t xml:space="preserve"> untuk</w:t>
      </w:r>
      <w:r w:rsidRPr="005154AA">
        <w:t xml:space="preserve"> berinteraksi dengan sebatian dan membentuk sistem dwifasa. Melalui kajian ini, kecekapan DES relina (ChCl-urea) sebagai pelarut pengekstrakan sebatian </w:t>
      </w:r>
      <w:r w:rsidRPr="005154AA">
        <w:rPr>
          <w:i/>
        </w:rPr>
        <w:t>α-</w:t>
      </w:r>
      <w:r w:rsidRPr="005154AA">
        <w:t>T dikaji dengan menggunakan lima siri nisbah CPO:</w:t>
      </w:r>
      <w:r w:rsidR="00756156" w:rsidRPr="005154AA">
        <w:t xml:space="preserve"> </w:t>
      </w:r>
      <w:r w:rsidRPr="005154AA">
        <w:t xml:space="preserve">DES relina pada masa pengekstrakan 2 dan 3 jam. Melalui hasil kajian ini, kelikatan DES relina sangat memberi kesan ke atas kecekapan pengekstrakan dan kandungan </w:t>
      </w:r>
      <w:r w:rsidRPr="005154AA">
        <w:rPr>
          <w:i/>
        </w:rPr>
        <w:t>α-</w:t>
      </w:r>
      <w:r w:rsidRPr="005154AA">
        <w:t xml:space="preserve">T yang diekstrak. Kecekapan pengekstrakan yang ditunjukkan oleh pelarut ini menjadikan DES relina sesuai sebagai pelarut alternatif dalam pengekstrakan sebatian </w:t>
      </w:r>
      <w:r w:rsidRPr="005154AA">
        <w:rPr>
          <w:i/>
        </w:rPr>
        <w:t>α-</w:t>
      </w:r>
      <w:r w:rsidRPr="005154AA">
        <w:t xml:space="preserve">T. Penggunaan pelarut ini selama 3 jam pengekstrakan pada nisbah CPO:DES relina (1:2) </w:t>
      </w:r>
      <w:r w:rsidR="00476516" w:rsidRPr="005154AA">
        <w:t>dengan</w:t>
      </w:r>
      <w:r w:rsidRPr="005154AA">
        <w:t xml:space="preserve"> kelikatan DES relina dalam 100 mL metanol 5.7 ± 0.58 cP memberikan hasil kandungan </w:t>
      </w:r>
      <w:r w:rsidRPr="005154AA">
        <w:rPr>
          <w:i/>
        </w:rPr>
        <w:t>α</w:t>
      </w:r>
      <w:r w:rsidRPr="005154AA">
        <w:t>-T yang optimum iaitu sebanyak 825.321 ± 74.27 mg/L dengan peratus hasil ekstrak 0.1554 ± 0.0156</w:t>
      </w:r>
      <w:r w:rsidR="00883E28">
        <w:t>%</w:t>
      </w:r>
      <w:r w:rsidRPr="005154AA">
        <w:t xml:space="preserve"> (w/w).  Keupayaan sebatian ini membentuk ikatan hidrogen dengan kumpulan –OH dan –NH</w:t>
      </w:r>
      <w:r w:rsidRPr="005154AA">
        <w:rPr>
          <w:vertAlign w:val="subscript"/>
        </w:rPr>
        <w:t>2</w:t>
      </w:r>
      <w:r w:rsidRPr="005154AA">
        <w:t xml:space="preserve"> pada molekul DES relina membolehkan pemisahan </w:t>
      </w:r>
      <w:r w:rsidRPr="005154AA">
        <w:rPr>
          <w:i/>
        </w:rPr>
        <w:t>α-</w:t>
      </w:r>
      <w:r w:rsidRPr="005154AA">
        <w:t xml:space="preserve">T daripada fasa tidak berkutub CPO ke fasa berkutub DES berlaku. </w:t>
      </w:r>
    </w:p>
    <w:p w:rsidR="004D5201" w:rsidRPr="005154AA" w:rsidRDefault="004D5201" w:rsidP="00883E28">
      <w:pPr>
        <w:jc w:val="both"/>
      </w:pPr>
    </w:p>
    <w:p w:rsidR="004D5201" w:rsidRPr="005154AA" w:rsidRDefault="004D5201" w:rsidP="0062103D">
      <w:pPr>
        <w:jc w:val="center"/>
        <w:rPr>
          <w:b/>
        </w:rPr>
      </w:pPr>
      <w:r w:rsidRPr="005154AA">
        <w:rPr>
          <w:b/>
        </w:rPr>
        <w:t>P</w:t>
      </w:r>
      <w:r w:rsidR="00007DFE" w:rsidRPr="005154AA">
        <w:rPr>
          <w:b/>
        </w:rPr>
        <w:t>enghargaan</w:t>
      </w:r>
    </w:p>
    <w:p w:rsidR="0074705C" w:rsidRDefault="004D5201" w:rsidP="004D5201">
      <w:pPr>
        <w:jc w:val="both"/>
      </w:pPr>
      <w:r w:rsidRPr="005154AA">
        <w:t xml:space="preserve">Ribuan terima kasih ditujukan kepada Universiti Kebangsaan Malaysia dan Kementerian Pendidikan </w:t>
      </w:r>
      <w:r w:rsidR="005B01CE" w:rsidRPr="005154AA">
        <w:t xml:space="preserve">Tinggi, Malaysia atas kemudahan </w:t>
      </w:r>
      <w:r w:rsidRPr="005154AA">
        <w:t>dan geran penyelidikan (</w:t>
      </w:r>
      <w:r w:rsidR="005B01CE" w:rsidRPr="005154AA">
        <w:t>FRGS/1/2014/ST01/UKM/02/1</w:t>
      </w:r>
      <w:r w:rsidR="00933C0F">
        <w:t>, GUP-2017-014)</w:t>
      </w:r>
      <w:r w:rsidRPr="005154AA">
        <w:t xml:space="preserve"> yang disalurkan. </w:t>
      </w:r>
      <w:r w:rsidR="00CE37EB" w:rsidRPr="005154AA">
        <w:t>Selain itu, ribuan terima kasih diucapkan kepada Pusat Pengajian Sains Kimia dan Teknologi Makanan Fakulti Sains dan Teknologi, UKM dalam menyediakan kemudahan dan alat instrumen bagi memudahkan penyelidikan ini dijalankan.</w:t>
      </w:r>
    </w:p>
    <w:p w:rsidR="00883E28" w:rsidRPr="00883E28" w:rsidRDefault="00883E28" w:rsidP="004D5201">
      <w:pPr>
        <w:jc w:val="both"/>
      </w:pPr>
    </w:p>
    <w:p w:rsidR="00755597" w:rsidRDefault="00007DFE" w:rsidP="00007DFE">
      <w:pPr>
        <w:jc w:val="center"/>
        <w:rPr>
          <w:b/>
        </w:rPr>
      </w:pPr>
      <w:r w:rsidRPr="005154AA">
        <w:rPr>
          <w:b/>
        </w:rPr>
        <w:t>Rujukan</w:t>
      </w:r>
    </w:p>
    <w:p w:rsidR="00883E28" w:rsidRPr="005154AA" w:rsidRDefault="00883E28" w:rsidP="00007DFE">
      <w:pPr>
        <w:jc w:val="center"/>
        <w:rPr>
          <w:b/>
        </w:rPr>
      </w:pPr>
    </w:p>
    <w:p w:rsidR="00883E28" w:rsidRPr="00FD6FD6" w:rsidRDefault="00755597" w:rsidP="00FD6FD6">
      <w:pPr>
        <w:pStyle w:val="ListParagraph"/>
        <w:numPr>
          <w:ilvl w:val="0"/>
          <w:numId w:val="3"/>
        </w:numPr>
        <w:spacing w:before="0" w:line="240" w:lineRule="auto"/>
        <w:ind w:left="360"/>
        <w:rPr>
          <w:sz w:val="20"/>
          <w:szCs w:val="20"/>
          <w:shd w:val="clear" w:color="auto" w:fill="FFFFFF"/>
        </w:rPr>
      </w:pPr>
      <w:r w:rsidRPr="00FD6FD6">
        <w:rPr>
          <w:sz w:val="20"/>
          <w:szCs w:val="20"/>
          <w:shd w:val="clear" w:color="auto" w:fill="FFFFFF"/>
        </w:rPr>
        <w:t xml:space="preserve">Mazlan, M., Wan Ngah, W. Z., Mat Top, G. </w:t>
      </w:r>
      <w:r w:rsidR="0040256B" w:rsidRPr="00FD6FD6">
        <w:rPr>
          <w:sz w:val="20"/>
          <w:szCs w:val="20"/>
          <w:shd w:val="clear" w:color="auto" w:fill="FFFFFF"/>
        </w:rPr>
        <w:t>and</w:t>
      </w:r>
      <w:r w:rsidRPr="00FD6FD6">
        <w:rPr>
          <w:sz w:val="20"/>
          <w:szCs w:val="20"/>
          <w:shd w:val="clear" w:color="auto" w:fill="FFFFFF"/>
        </w:rPr>
        <w:t xml:space="preserve"> Then, S. M. </w:t>
      </w:r>
      <w:r w:rsidR="0040256B" w:rsidRPr="00FD6FD6">
        <w:rPr>
          <w:sz w:val="20"/>
          <w:szCs w:val="20"/>
          <w:shd w:val="clear" w:color="auto" w:fill="FFFFFF"/>
        </w:rPr>
        <w:t>(</w:t>
      </w:r>
      <w:r w:rsidRPr="00FD6FD6">
        <w:rPr>
          <w:sz w:val="20"/>
          <w:szCs w:val="20"/>
          <w:shd w:val="clear" w:color="auto" w:fill="FFFFFF"/>
        </w:rPr>
        <w:t>2010</w:t>
      </w:r>
      <w:r w:rsidR="0040256B" w:rsidRPr="00FD6FD6">
        <w:rPr>
          <w:sz w:val="20"/>
          <w:szCs w:val="20"/>
          <w:shd w:val="clear" w:color="auto" w:fill="FFFFFF"/>
        </w:rPr>
        <w:t>)</w:t>
      </w:r>
      <w:r w:rsidRPr="00FD6FD6">
        <w:rPr>
          <w:sz w:val="20"/>
          <w:szCs w:val="20"/>
          <w:shd w:val="clear" w:color="auto" w:fill="FFFFFF"/>
        </w:rPr>
        <w:t xml:space="preserve">. Comparison of the </w:t>
      </w:r>
      <w:r w:rsidR="00883E28" w:rsidRPr="00FD6FD6">
        <w:rPr>
          <w:sz w:val="20"/>
          <w:szCs w:val="20"/>
          <w:shd w:val="clear" w:color="auto" w:fill="FFFFFF"/>
        </w:rPr>
        <w:t>e</w:t>
      </w:r>
      <w:r w:rsidRPr="00FD6FD6">
        <w:rPr>
          <w:sz w:val="20"/>
          <w:szCs w:val="20"/>
          <w:shd w:val="clear" w:color="auto" w:fill="FFFFFF"/>
        </w:rPr>
        <w:t xml:space="preserve">ffects of </w:t>
      </w:r>
      <w:r w:rsidRPr="00FD6FD6">
        <w:rPr>
          <w:i/>
          <w:sz w:val="20"/>
          <w:szCs w:val="20"/>
          <w:shd w:val="clear" w:color="auto" w:fill="FFFFFF"/>
        </w:rPr>
        <w:t>Α</w:t>
      </w:r>
      <w:r w:rsidRPr="00FD6FD6">
        <w:rPr>
          <w:sz w:val="20"/>
          <w:szCs w:val="20"/>
          <w:shd w:val="clear" w:color="auto" w:fill="FFFFFF"/>
        </w:rPr>
        <w:t xml:space="preserve">- </w:t>
      </w:r>
      <w:r w:rsidR="00883E28" w:rsidRPr="00FD6FD6">
        <w:rPr>
          <w:sz w:val="20"/>
          <w:szCs w:val="20"/>
          <w:shd w:val="clear" w:color="auto" w:fill="FFFFFF"/>
        </w:rPr>
        <w:t>t</w:t>
      </w:r>
      <w:r w:rsidRPr="00FD6FD6">
        <w:rPr>
          <w:sz w:val="20"/>
          <w:szCs w:val="20"/>
          <w:shd w:val="clear" w:color="auto" w:fill="FFFFFF"/>
        </w:rPr>
        <w:t xml:space="preserve">ocopherol and </w:t>
      </w:r>
      <w:r w:rsidRPr="00FD6FD6">
        <w:rPr>
          <w:i/>
          <w:sz w:val="20"/>
          <w:szCs w:val="20"/>
          <w:shd w:val="clear" w:color="auto" w:fill="FFFFFF"/>
        </w:rPr>
        <w:t>Γ</w:t>
      </w:r>
      <w:r w:rsidRPr="00FD6FD6">
        <w:rPr>
          <w:sz w:val="20"/>
          <w:szCs w:val="20"/>
          <w:shd w:val="clear" w:color="auto" w:fill="FFFFFF"/>
        </w:rPr>
        <w:t>-</w:t>
      </w:r>
      <w:r w:rsidR="00883E28" w:rsidRPr="00FD6FD6">
        <w:rPr>
          <w:sz w:val="20"/>
          <w:szCs w:val="20"/>
          <w:shd w:val="clear" w:color="auto" w:fill="FFFFFF"/>
        </w:rPr>
        <w:t>t</w:t>
      </w:r>
      <w:r w:rsidRPr="00FD6FD6">
        <w:rPr>
          <w:sz w:val="20"/>
          <w:szCs w:val="20"/>
          <w:shd w:val="clear" w:color="auto" w:fill="FFFFFF"/>
        </w:rPr>
        <w:t xml:space="preserve">ocotrienol </w:t>
      </w:r>
      <w:r w:rsidR="00883E28" w:rsidRPr="00FD6FD6">
        <w:rPr>
          <w:sz w:val="20"/>
          <w:szCs w:val="20"/>
          <w:shd w:val="clear" w:color="auto" w:fill="FFFFFF"/>
        </w:rPr>
        <w:t>against oxidative stress in two different neuronal cultures</w:t>
      </w:r>
      <w:r w:rsidRPr="00FD6FD6">
        <w:rPr>
          <w:sz w:val="20"/>
          <w:szCs w:val="20"/>
          <w:shd w:val="clear" w:color="auto" w:fill="FFFFFF"/>
        </w:rPr>
        <w:t>.</w:t>
      </w:r>
      <w:r w:rsidRPr="00FD6FD6">
        <w:rPr>
          <w:rStyle w:val="apple-converted-space"/>
          <w:sz w:val="20"/>
          <w:szCs w:val="20"/>
          <w:shd w:val="clear" w:color="auto" w:fill="FFFFFF"/>
        </w:rPr>
        <w:t> </w:t>
      </w:r>
      <w:r w:rsidRPr="00FD6FD6">
        <w:rPr>
          <w:i/>
          <w:iCs/>
          <w:sz w:val="20"/>
          <w:szCs w:val="20"/>
          <w:shd w:val="clear" w:color="auto" w:fill="FFFFFF"/>
        </w:rPr>
        <w:t>Sains Malaysiana</w:t>
      </w:r>
      <w:r w:rsidR="004F2124" w:rsidRPr="00FD6FD6">
        <w:rPr>
          <w:i/>
          <w:iCs/>
          <w:sz w:val="20"/>
          <w:szCs w:val="20"/>
          <w:shd w:val="clear" w:color="auto" w:fill="FFFFFF"/>
        </w:rPr>
        <w:t>,</w:t>
      </w:r>
      <w:r w:rsidRPr="00FD6FD6">
        <w:rPr>
          <w:sz w:val="20"/>
          <w:szCs w:val="20"/>
          <w:shd w:val="clear" w:color="auto" w:fill="FFFFFF"/>
        </w:rPr>
        <w:t xml:space="preserve"> </w:t>
      </w:r>
      <w:r w:rsidRPr="00FD6FD6">
        <w:rPr>
          <w:iCs/>
          <w:sz w:val="20"/>
          <w:szCs w:val="20"/>
          <w:shd w:val="clear" w:color="auto" w:fill="FFFFFF"/>
        </w:rPr>
        <w:t>39</w:t>
      </w:r>
      <w:r w:rsidRPr="00FD6FD6">
        <w:rPr>
          <w:sz w:val="20"/>
          <w:szCs w:val="20"/>
          <w:shd w:val="clear" w:color="auto" w:fill="FFFFFF"/>
        </w:rPr>
        <w:t>:145-56.</w:t>
      </w:r>
    </w:p>
    <w:p w:rsidR="00883E28" w:rsidRPr="00FD6FD6" w:rsidRDefault="00066A5E"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Top, N. M. H. G. M., Ngan, C. Y. M. M. A., Ma, N. M. H. Y. M. </w:t>
      </w:r>
      <w:r w:rsidR="00B6633B" w:rsidRPr="00FD6FD6">
        <w:rPr>
          <w:sz w:val="20"/>
          <w:szCs w:val="20"/>
        </w:rPr>
        <w:t>and</w:t>
      </w:r>
      <w:r w:rsidRPr="00FD6FD6">
        <w:rPr>
          <w:sz w:val="20"/>
          <w:szCs w:val="20"/>
        </w:rPr>
        <w:t xml:space="preserve"> Wahid, A. N. M. B.</w:t>
      </w:r>
      <w:r w:rsidR="0040256B" w:rsidRPr="00FD6FD6">
        <w:rPr>
          <w:sz w:val="20"/>
          <w:szCs w:val="20"/>
        </w:rPr>
        <w:t xml:space="preserve"> </w:t>
      </w:r>
      <w:r w:rsidR="00B6633B" w:rsidRPr="00FD6FD6">
        <w:rPr>
          <w:sz w:val="20"/>
          <w:szCs w:val="20"/>
        </w:rPr>
        <w:t>(</w:t>
      </w:r>
      <w:r w:rsidR="0040256B" w:rsidRPr="00FD6FD6">
        <w:rPr>
          <w:sz w:val="20"/>
          <w:szCs w:val="20"/>
        </w:rPr>
        <w:t>2006</w:t>
      </w:r>
      <w:r w:rsidR="00B6633B" w:rsidRPr="00FD6FD6">
        <w:rPr>
          <w:sz w:val="20"/>
          <w:szCs w:val="20"/>
        </w:rPr>
        <w:t>)</w:t>
      </w:r>
      <w:r w:rsidR="0040256B" w:rsidRPr="00FD6FD6">
        <w:rPr>
          <w:sz w:val="20"/>
          <w:szCs w:val="20"/>
        </w:rPr>
        <w:t xml:space="preserve">. </w:t>
      </w:r>
      <w:r w:rsidR="00755597" w:rsidRPr="00FD6FD6">
        <w:rPr>
          <w:sz w:val="20"/>
          <w:szCs w:val="20"/>
        </w:rPr>
        <w:t xml:space="preserve">Palm </w:t>
      </w:r>
      <w:r w:rsidR="00883E28" w:rsidRPr="00FD6FD6">
        <w:rPr>
          <w:sz w:val="20"/>
          <w:szCs w:val="20"/>
        </w:rPr>
        <w:t xml:space="preserve">tocols (tocopherols and tocotrienols) as a standard reference materials </w:t>
      </w:r>
      <w:r w:rsidR="00755597" w:rsidRPr="00FD6FD6">
        <w:rPr>
          <w:sz w:val="20"/>
          <w:szCs w:val="20"/>
        </w:rPr>
        <w:t>(MRM 3)</w:t>
      </w:r>
      <w:r w:rsidR="00755597" w:rsidRPr="00FD6FD6">
        <w:rPr>
          <w:i/>
          <w:sz w:val="20"/>
          <w:szCs w:val="20"/>
        </w:rPr>
        <w:t>.</w:t>
      </w:r>
      <w:r w:rsidR="00755597" w:rsidRPr="00FD6FD6">
        <w:rPr>
          <w:sz w:val="20"/>
          <w:szCs w:val="20"/>
        </w:rPr>
        <w:t xml:space="preserve">  Bangi: </w:t>
      </w:r>
      <w:r w:rsidR="00755597" w:rsidRPr="00FD6FD6">
        <w:rPr>
          <w:iCs/>
          <w:sz w:val="20"/>
          <w:szCs w:val="20"/>
        </w:rPr>
        <w:t>Malaysian Palm Oil Board, Ministry of Plantation Industries and Commodities, Malaysia.</w:t>
      </w:r>
      <w:r w:rsidR="00755597" w:rsidRPr="00FD6FD6">
        <w:rPr>
          <w:sz w:val="20"/>
          <w:szCs w:val="20"/>
        </w:rPr>
        <w:t xml:space="preserve"> </w:t>
      </w:r>
    </w:p>
    <w:p w:rsidR="00883E28"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sz w:val="20"/>
          <w:szCs w:val="20"/>
          <w:lang w:val="en-US"/>
        </w:rPr>
        <w:t xml:space="preserve">Goh, S. H., Choo, Y. M. </w:t>
      </w:r>
      <w:r w:rsidR="0040256B" w:rsidRPr="00FD6FD6">
        <w:rPr>
          <w:sz w:val="20"/>
          <w:szCs w:val="20"/>
          <w:lang w:val="en-US"/>
        </w:rPr>
        <w:t>and</w:t>
      </w:r>
      <w:r w:rsidRPr="00FD6FD6">
        <w:rPr>
          <w:sz w:val="20"/>
          <w:szCs w:val="20"/>
          <w:lang w:val="en-US"/>
        </w:rPr>
        <w:t xml:space="preserve"> Ong, S. H.</w:t>
      </w:r>
      <w:r w:rsidR="00883E28" w:rsidRPr="00FD6FD6">
        <w:rPr>
          <w:sz w:val="20"/>
          <w:szCs w:val="20"/>
          <w:lang w:val="en-US"/>
        </w:rPr>
        <w:t xml:space="preserve"> </w:t>
      </w:r>
      <w:r w:rsidR="0040256B" w:rsidRPr="00FD6FD6">
        <w:rPr>
          <w:sz w:val="20"/>
          <w:szCs w:val="20"/>
          <w:lang w:val="en-US"/>
        </w:rPr>
        <w:t>(</w:t>
      </w:r>
      <w:r w:rsidRPr="00FD6FD6">
        <w:rPr>
          <w:sz w:val="20"/>
          <w:szCs w:val="20"/>
          <w:lang w:val="en-US"/>
        </w:rPr>
        <w:t>1985</w:t>
      </w:r>
      <w:r w:rsidR="0040256B" w:rsidRPr="00FD6FD6">
        <w:rPr>
          <w:sz w:val="20"/>
          <w:szCs w:val="20"/>
          <w:lang w:val="en-US"/>
        </w:rPr>
        <w:t xml:space="preserve">). </w:t>
      </w:r>
      <w:r w:rsidRPr="00FD6FD6">
        <w:rPr>
          <w:sz w:val="20"/>
          <w:szCs w:val="20"/>
          <w:lang w:val="en-US"/>
        </w:rPr>
        <w:t xml:space="preserve">Minor </w:t>
      </w:r>
      <w:r w:rsidR="00883E28" w:rsidRPr="00FD6FD6">
        <w:rPr>
          <w:sz w:val="20"/>
          <w:szCs w:val="20"/>
          <w:lang w:val="en-US"/>
        </w:rPr>
        <w:t xml:space="preserve">constituents of palm oil.  </w:t>
      </w:r>
      <w:r w:rsidRPr="00FD6FD6">
        <w:rPr>
          <w:i/>
          <w:iCs/>
          <w:sz w:val="20"/>
          <w:szCs w:val="20"/>
          <w:lang w:val="en-US"/>
        </w:rPr>
        <w:t>Journal of the American Oil Chemists’ Society</w:t>
      </w:r>
      <w:r w:rsidR="00184948" w:rsidRPr="00FD6FD6">
        <w:rPr>
          <w:i/>
          <w:iCs/>
          <w:sz w:val="20"/>
          <w:szCs w:val="20"/>
          <w:lang w:val="en-US"/>
        </w:rPr>
        <w:t>,</w:t>
      </w:r>
      <w:r w:rsidRPr="00FD6FD6">
        <w:rPr>
          <w:sz w:val="20"/>
          <w:szCs w:val="20"/>
          <w:lang w:val="en-US"/>
        </w:rPr>
        <w:t xml:space="preserve"> 62(2): 237-240.</w:t>
      </w:r>
    </w:p>
    <w:p w:rsidR="00883E28"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sz w:val="20"/>
          <w:szCs w:val="20"/>
        </w:rPr>
        <w:t>Ng</w:t>
      </w:r>
      <w:r w:rsidR="0040256B" w:rsidRPr="00FD6FD6">
        <w:rPr>
          <w:sz w:val="20"/>
          <w:szCs w:val="20"/>
        </w:rPr>
        <w:t>, M. H, Choo, Y. M., Ma, A. N</w:t>
      </w:r>
      <w:r w:rsidRPr="00FD6FD6">
        <w:rPr>
          <w:sz w:val="20"/>
          <w:szCs w:val="20"/>
        </w:rPr>
        <w:t>., Chuah, C.</w:t>
      </w:r>
      <w:r w:rsidR="0040256B" w:rsidRPr="00FD6FD6">
        <w:rPr>
          <w:sz w:val="20"/>
          <w:szCs w:val="20"/>
        </w:rPr>
        <w:t xml:space="preserve"> H.</w:t>
      </w:r>
      <w:r w:rsidRPr="00FD6FD6">
        <w:rPr>
          <w:sz w:val="20"/>
          <w:szCs w:val="20"/>
        </w:rPr>
        <w:t xml:space="preserve"> </w:t>
      </w:r>
      <w:r w:rsidR="0040256B" w:rsidRPr="00FD6FD6">
        <w:rPr>
          <w:sz w:val="20"/>
          <w:szCs w:val="20"/>
        </w:rPr>
        <w:t>and</w:t>
      </w:r>
      <w:r w:rsidRPr="00FD6FD6">
        <w:rPr>
          <w:sz w:val="20"/>
          <w:szCs w:val="20"/>
        </w:rPr>
        <w:t xml:space="preserve"> Hashim, M.</w:t>
      </w:r>
      <w:r w:rsidR="0040256B" w:rsidRPr="00FD6FD6">
        <w:rPr>
          <w:sz w:val="20"/>
          <w:szCs w:val="20"/>
        </w:rPr>
        <w:t xml:space="preserve"> A.</w:t>
      </w:r>
      <w:r w:rsidRPr="00FD6FD6">
        <w:rPr>
          <w:sz w:val="20"/>
          <w:szCs w:val="20"/>
        </w:rPr>
        <w:t xml:space="preserve">  </w:t>
      </w:r>
      <w:r w:rsidR="0040256B" w:rsidRPr="00FD6FD6">
        <w:rPr>
          <w:sz w:val="20"/>
          <w:szCs w:val="20"/>
        </w:rPr>
        <w:t>(</w:t>
      </w:r>
      <w:r w:rsidRPr="00FD6FD6">
        <w:rPr>
          <w:sz w:val="20"/>
          <w:szCs w:val="20"/>
        </w:rPr>
        <w:t>2004</w:t>
      </w:r>
      <w:r w:rsidR="0040256B" w:rsidRPr="00FD6FD6">
        <w:rPr>
          <w:sz w:val="20"/>
          <w:szCs w:val="20"/>
        </w:rPr>
        <w:t xml:space="preserve">). </w:t>
      </w:r>
      <w:r w:rsidRPr="00FD6FD6">
        <w:rPr>
          <w:sz w:val="20"/>
          <w:szCs w:val="20"/>
        </w:rPr>
        <w:t xml:space="preserve">Separation of </w:t>
      </w:r>
      <w:r w:rsidR="00883E28" w:rsidRPr="00FD6FD6">
        <w:rPr>
          <w:sz w:val="20"/>
          <w:szCs w:val="20"/>
        </w:rPr>
        <w:t>v</w:t>
      </w:r>
      <w:r w:rsidRPr="00FD6FD6">
        <w:rPr>
          <w:sz w:val="20"/>
          <w:szCs w:val="20"/>
        </w:rPr>
        <w:t xml:space="preserve">itamin E </w:t>
      </w:r>
      <w:r w:rsidR="00883E28" w:rsidRPr="00FD6FD6">
        <w:rPr>
          <w:sz w:val="20"/>
          <w:szCs w:val="20"/>
        </w:rPr>
        <w:t>(tocopherol, tocotrienol, and tocomonoenol) in palm oil</w:t>
      </w:r>
      <w:r w:rsidRPr="00FD6FD6">
        <w:rPr>
          <w:sz w:val="20"/>
          <w:szCs w:val="20"/>
        </w:rPr>
        <w:t xml:space="preserve">.  </w:t>
      </w:r>
      <w:r w:rsidRPr="00FD6FD6">
        <w:rPr>
          <w:i/>
          <w:iCs/>
          <w:sz w:val="20"/>
          <w:szCs w:val="20"/>
        </w:rPr>
        <w:t>Lipids</w:t>
      </w:r>
      <w:r w:rsidR="00184948" w:rsidRPr="00FD6FD6">
        <w:rPr>
          <w:i/>
          <w:iCs/>
          <w:sz w:val="20"/>
          <w:szCs w:val="20"/>
        </w:rPr>
        <w:t>,</w:t>
      </w:r>
      <w:r w:rsidR="004F2124" w:rsidRPr="00FD6FD6">
        <w:rPr>
          <w:sz w:val="20"/>
          <w:szCs w:val="20"/>
        </w:rPr>
        <w:t xml:space="preserve"> </w:t>
      </w:r>
      <w:r w:rsidRPr="00FD6FD6">
        <w:rPr>
          <w:sz w:val="20"/>
          <w:szCs w:val="20"/>
        </w:rPr>
        <w:t>39(10): 1031-1035.</w:t>
      </w:r>
    </w:p>
    <w:p w:rsidR="00883E28"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sz w:val="20"/>
          <w:szCs w:val="20"/>
        </w:rPr>
        <w:t>Ng, M. H., C</w:t>
      </w:r>
      <w:r w:rsidR="0040256B" w:rsidRPr="00FD6FD6">
        <w:rPr>
          <w:sz w:val="20"/>
          <w:szCs w:val="20"/>
        </w:rPr>
        <w:t>hoo</w:t>
      </w:r>
      <w:r w:rsidRPr="00FD6FD6">
        <w:rPr>
          <w:sz w:val="20"/>
          <w:szCs w:val="20"/>
        </w:rPr>
        <w:t xml:space="preserve"> Y. M., Ma A</w:t>
      </w:r>
      <w:r w:rsidR="0040256B" w:rsidRPr="00FD6FD6">
        <w:rPr>
          <w:sz w:val="20"/>
          <w:szCs w:val="20"/>
        </w:rPr>
        <w:t>.</w:t>
      </w:r>
      <w:r w:rsidRPr="00FD6FD6">
        <w:rPr>
          <w:sz w:val="20"/>
          <w:szCs w:val="20"/>
        </w:rPr>
        <w:t xml:space="preserve"> N</w:t>
      </w:r>
      <w:r w:rsidR="0040256B" w:rsidRPr="00FD6FD6">
        <w:rPr>
          <w:sz w:val="20"/>
          <w:szCs w:val="20"/>
        </w:rPr>
        <w:t>.</w:t>
      </w:r>
      <w:r w:rsidRPr="00FD6FD6">
        <w:rPr>
          <w:sz w:val="20"/>
          <w:szCs w:val="20"/>
        </w:rPr>
        <w:t>, Chuah C</w:t>
      </w:r>
      <w:r w:rsidR="0040256B" w:rsidRPr="00FD6FD6">
        <w:rPr>
          <w:sz w:val="20"/>
          <w:szCs w:val="20"/>
        </w:rPr>
        <w:t>.</w:t>
      </w:r>
      <w:r w:rsidRPr="00FD6FD6">
        <w:rPr>
          <w:sz w:val="20"/>
          <w:szCs w:val="20"/>
        </w:rPr>
        <w:t xml:space="preserve"> H</w:t>
      </w:r>
      <w:r w:rsidR="0040256B" w:rsidRPr="00FD6FD6">
        <w:rPr>
          <w:sz w:val="20"/>
          <w:szCs w:val="20"/>
        </w:rPr>
        <w:t>.</w:t>
      </w:r>
      <w:r w:rsidR="00883E28" w:rsidRPr="00FD6FD6">
        <w:rPr>
          <w:sz w:val="20"/>
          <w:szCs w:val="20"/>
        </w:rPr>
        <w:t xml:space="preserve"> and </w:t>
      </w:r>
      <w:r w:rsidR="0040256B" w:rsidRPr="00FD6FD6">
        <w:rPr>
          <w:sz w:val="20"/>
          <w:szCs w:val="20"/>
        </w:rPr>
        <w:t>Hashim, M. A.</w:t>
      </w:r>
      <w:r w:rsidRPr="00FD6FD6">
        <w:rPr>
          <w:sz w:val="20"/>
          <w:szCs w:val="20"/>
        </w:rPr>
        <w:t xml:space="preserve"> </w:t>
      </w:r>
      <w:r w:rsidR="0040256B" w:rsidRPr="00FD6FD6">
        <w:rPr>
          <w:sz w:val="20"/>
          <w:szCs w:val="20"/>
        </w:rPr>
        <w:t>(</w:t>
      </w:r>
      <w:r w:rsidRPr="00FD6FD6">
        <w:rPr>
          <w:sz w:val="20"/>
          <w:szCs w:val="20"/>
        </w:rPr>
        <w:t>2004</w:t>
      </w:r>
      <w:r w:rsidR="0040256B" w:rsidRPr="00FD6FD6">
        <w:rPr>
          <w:sz w:val="20"/>
          <w:szCs w:val="20"/>
        </w:rPr>
        <w:t xml:space="preserve">). </w:t>
      </w:r>
      <w:r w:rsidRPr="00FD6FD6">
        <w:rPr>
          <w:sz w:val="20"/>
          <w:szCs w:val="20"/>
        </w:rPr>
        <w:t xml:space="preserve">Isolation </w:t>
      </w:r>
      <w:r w:rsidR="00883E28" w:rsidRPr="00FD6FD6">
        <w:rPr>
          <w:sz w:val="20"/>
          <w:szCs w:val="20"/>
        </w:rPr>
        <w:t>of palm tocols using supercritical fluid chromatography</w:t>
      </w:r>
      <w:r w:rsidRPr="00FD6FD6">
        <w:rPr>
          <w:sz w:val="20"/>
          <w:szCs w:val="20"/>
        </w:rPr>
        <w:t xml:space="preserve">.  </w:t>
      </w:r>
      <w:r w:rsidR="004F2124" w:rsidRPr="00FD6FD6">
        <w:rPr>
          <w:i/>
          <w:iCs/>
          <w:sz w:val="20"/>
          <w:szCs w:val="20"/>
        </w:rPr>
        <w:t>Journal o</w:t>
      </w:r>
      <w:r w:rsidRPr="00FD6FD6">
        <w:rPr>
          <w:i/>
          <w:iCs/>
          <w:sz w:val="20"/>
          <w:szCs w:val="20"/>
        </w:rPr>
        <w:t>f Chromatographic Science</w:t>
      </w:r>
      <w:r w:rsidR="00184948" w:rsidRPr="00FD6FD6">
        <w:rPr>
          <w:i/>
          <w:iCs/>
          <w:sz w:val="20"/>
          <w:szCs w:val="20"/>
        </w:rPr>
        <w:t>,</w:t>
      </w:r>
      <w:r w:rsidRPr="00FD6FD6">
        <w:rPr>
          <w:sz w:val="20"/>
          <w:szCs w:val="20"/>
        </w:rPr>
        <w:t xml:space="preserve"> 42(10):1031-1035.</w:t>
      </w:r>
    </w:p>
    <w:p w:rsidR="00883E28"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sz w:val="20"/>
          <w:szCs w:val="20"/>
          <w:shd w:val="clear" w:color="auto" w:fill="FFFFFF"/>
        </w:rPr>
        <w:t xml:space="preserve">Choo, Y. M., Ng, M. H., Ma, A. N., Chuah, C. H. </w:t>
      </w:r>
      <w:r w:rsidR="0040256B" w:rsidRPr="00FD6FD6">
        <w:rPr>
          <w:sz w:val="20"/>
          <w:szCs w:val="20"/>
          <w:shd w:val="clear" w:color="auto" w:fill="FFFFFF"/>
        </w:rPr>
        <w:t>and</w:t>
      </w:r>
      <w:r w:rsidRPr="00FD6FD6">
        <w:rPr>
          <w:sz w:val="20"/>
          <w:szCs w:val="20"/>
          <w:shd w:val="clear" w:color="auto" w:fill="FFFFFF"/>
        </w:rPr>
        <w:t xml:space="preserve"> Hashim, M. A. </w:t>
      </w:r>
      <w:r w:rsidR="0040256B" w:rsidRPr="00FD6FD6">
        <w:rPr>
          <w:sz w:val="20"/>
          <w:szCs w:val="20"/>
          <w:shd w:val="clear" w:color="auto" w:fill="FFFFFF"/>
        </w:rPr>
        <w:t>(</w:t>
      </w:r>
      <w:r w:rsidRPr="00FD6FD6">
        <w:rPr>
          <w:sz w:val="20"/>
          <w:szCs w:val="20"/>
          <w:shd w:val="clear" w:color="auto" w:fill="FFFFFF"/>
        </w:rPr>
        <w:t>2005</w:t>
      </w:r>
      <w:r w:rsidR="0040256B" w:rsidRPr="00FD6FD6">
        <w:rPr>
          <w:sz w:val="20"/>
          <w:szCs w:val="20"/>
          <w:shd w:val="clear" w:color="auto" w:fill="FFFFFF"/>
        </w:rPr>
        <w:t>)</w:t>
      </w:r>
      <w:r w:rsidRPr="00FD6FD6">
        <w:rPr>
          <w:sz w:val="20"/>
          <w:szCs w:val="20"/>
          <w:shd w:val="clear" w:color="auto" w:fill="FFFFFF"/>
        </w:rPr>
        <w:t xml:space="preserve">. Application </w:t>
      </w:r>
      <w:r w:rsidR="00883E28" w:rsidRPr="00FD6FD6">
        <w:rPr>
          <w:sz w:val="20"/>
          <w:szCs w:val="20"/>
          <w:shd w:val="clear" w:color="auto" w:fill="FFFFFF"/>
        </w:rPr>
        <w:t>of supercritical fluid chromatography in the quantitative analysis of minor components (carotenes, vitamin e, sterols, and squalene) from palm oil.</w:t>
      </w:r>
      <w:r w:rsidR="00883E28" w:rsidRPr="00FD6FD6">
        <w:rPr>
          <w:rStyle w:val="apple-converted-space"/>
          <w:sz w:val="20"/>
          <w:szCs w:val="20"/>
          <w:shd w:val="clear" w:color="auto" w:fill="FFFFFF"/>
        </w:rPr>
        <w:t> </w:t>
      </w:r>
      <w:r w:rsidRPr="00FD6FD6">
        <w:rPr>
          <w:i/>
          <w:iCs/>
          <w:sz w:val="20"/>
          <w:szCs w:val="20"/>
          <w:shd w:val="clear" w:color="auto" w:fill="FFFFFF"/>
        </w:rPr>
        <w:t>Lipids</w:t>
      </w:r>
      <w:r w:rsidR="0040256B" w:rsidRPr="00FD6FD6">
        <w:rPr>
          <w:i/>
          <w:iCs/>
          <w:sz w:val="20"/>
          <w:szCs w:val="20"/>
          <w:shd w:val="clear" w:color="auto" w:fill="FFFFFF"/>
        </w:rPr>
        <w:t>,</w:t>
      </w:r>
      <w:r w:rsidRPr="00FD6FD6">
        <w:rPr>
          <w:sz w:val="20"/>
          <w:szCs w:val="20"/>
          <w:shd w:val="clear" w:color="auto" w:fill="FFFFFF"/>
        </w:rPr>
        <w:t xml:space="preserve"> </w:t>
      </w:r>
      <w:r w:rsidRPr="00FD6FD6">
        <w:rPr>
          <w:iCs/>
          <w:sz w:val="20"/>
          <w:szCs w:val="20"/>
          <w:shd w:val="clear" w:color="auto" w:fill="FFFFFF"/>
        </w:rPr>
        <w:t>40</w:t>
      </w:r>
      <w:r w:rsidRPr="00FD6FD6">
        <w:rPr>
          <w:sz w:val="20"/>
          <w:szCs w:val="20"/>
          <w:shd w:val="clear" w:color="auto" w:fill="FFFFFF"/>
        </w:rPr>
        <w:t>(4):</w:t>
      </w:r>
      <w:r w:rsidR="00497784" w:rsidRPr="00FD6FD6">
        <w:rPr>
          <w:sz w:val="20"/>
          <w:szCs w:val="20"/>
          <w:shd w:val="clear" w:color="auto" w:fill="FFFFFF"/>
        </w:rPr>
        <w:t xml:space="preserve"> </w:t>
      </w:r>
      <w:r w:rsidRPr="00FD6FD6">
        <w:rPr>
          <w:sz w:val="20"/>
          <w:szCs w:val="20"/>
          <w:shd w:val="clear" w:color="auto" w:fill="FFFFFF"/>
        </w:rPr>
        <w:t>429-432.</w:t>
      </w:r>
    </w:p>
    <w:p w:rsidR="00883E28"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sz w:val="20"/>
          <w:szCs w:val="20"/>
          <w:lang w:val="en-US"/>
        </w:rPr>
        <w:t xml:space="preserve">Goossens, B. </w:t>
      </w:r>
      <w:r w:rsidR="0040256B" w:rsidRPr="00FD6FD6">
        <w:rPr>
          <w:sz w:val="20"/>
          <w:szCs w:val="20"/>
          <w:lang w:val="en-US"/>
        </w:rPr>
        <w:t>and</w:t>
      </w:r>
      <w:r w:rsidRPr="00FD6FD6">
        <w:rPr>
          <w:sz w:val="20"/>
          <w:szCs w:val="20"/>
          <w:lang w:val="en-US"/>
        </w:rPr>
        <w:t xml:space="preserve"> Marion, J. </w:t>
      </w:r>
      <w:r w:rsidR="0040256B" w:rsidRPr="00FD6FD6">
        <w:rPr>
          <w:sz w:val="20"/>
          <w:szCs w:val="20"/>
          <w:lang w:val="en-US"/>
        </w:rPr>
        <w:t>(</w:t>
      </w:r>
      <w:r w:rsidRPr="00FD6FD6">
        <w:rPr>
          <w:sz w:val="20"/>
          <w:szCs w:val="20"/>
          <w:lang w:val="en-US"/>
        </w:rPr>
        <w:t>2011</w:t>
      </w:r>
      <w:r w:rsidR="0040256B" w:rsidRPr="00FD6FD6">
        <w:rPr>
          <w:sz w:val="20"/>
          <w:szCs w:val="20"/>
          <w:lang w:val="en-US"/>
        </w:rPr>
        <w:t>)</w:t>
      </w:r>
      <w:r w:rsidRPr="00FD6FD6">
        <w:rPr>
          <w:sz w:val="20"/>
          <w:szCs w:val="20"/>
          <w:lang w:val="en-US"/>
        </w:rPr>
        <w:t xml:space="preserve">. Quantifying </w:t>
      </w:r>
      <w:r w:rsidR="00883E28" w:rsidRPr="00FD6FD6">
        <w:rPr>
          <w:sz w:val="20"/>
          <w:szCs w:val="20"/>
          <w:lang w:val="en-US"/>
        </w:rPr>
        <w:t>v</w:t>
      </w:r>
      <w:r w:rsidRPr="00FD6FD6">
        <w:rPr>
          <w:sz w:val="20"/>
          <w:szCs w:val="20"/>
          <w:lang w:val="en-US"/>
        </w:rPr>
        <w:t xml:space="preserve">itamin E in </w:t>
      </w:r>
      <w:r w:rsidR="00883E28" w:rsidRPr="00FD6FD6">
        <w:rPr>
          <w:sz w:val="20"/>
          <w:szCs w:val="20"/>
          <w:lang w:val="en-US"/>
        </w:rPr>
        <w:t xml:space="preserve">vegetable oils with reversed-phase high performance liquid chromatography. </w:t>
      </w:r>
      <w:r w:rsidRPr="00FD6FD6">
        <w:rPr>
          <w:i/>
          <w:sz w:val="20"/>
          <w:szCs w:val="20"/>
          <w:lang w:val="en-US"/>
        </w:rPr>
        <w:t>Journal of Analytical Chemistry</w:t>
      </w:r>
      <w:r w:rsidR="0040256B" w:rsidRPr="00FD6FD6">
        <w:rPr>
          <w:i/>
          <w:sz w:val="20"/>
          <w:szCs w:val="20"/>
          <w:lang w:val="en-US"/>
        </w:rPr>
        <w:t>,</w:t>
      </w:r>
      <w:r w:rsidRPr="00FD6FD6">
        <w:rPr>
          <w:sz w:val="20"/>
          <w:szCs w:val="20"/>
          <w:lang w:val="en-US"/>
        </w:rPr>
        <w:t xml:space="preserve"> 2:</w:t>
      </w:r>
      <w:r w:rsidR="00883E28" w:rsidRPr="00FD6FD6">
        <w:rPr>
          <w:sz w:val="20"/>
          <w:szCs w:val="20"/>
          <w:lang w:val="en-US"/>
        </w:rPr>
        <w:t xml:space="preserve"> </w:t>
      </w:r>
      <w:r w:rsidRPr="00FD6FD6">
        <w:rPr>
          <w:sz w:val="20"/>
          <w:szCs w:val="20"/>
          <w:lang w:val="en-US"/>
        </w:rPr>
        <w:t>44-50.</w:t>
      </w:r>
    </w:p>
    <w:p w:rsidR="00883E28"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color w:val="222222"/>
          <w:sz w:val="20"/>
          <w:szCs w:val="20"/>
          <w:shd w:val="clear" w:color="auto" w:fill="FFFFFF"/>
        </w:rPr>
        <w:lastRenderedPageBreak/>
        <w:t xml:space="preserve">Ruperez, F. J., Martın, D., Herrera, E. </w:t>
      </w:r>
      <w:r w:rsidR="0040256B" w:rsidRPr="00FD6FD6">
        <w:rPr>
          <w:color w:val="222222"/>
          <w:sz w:val="20"/>
          <w:szCs w:val="20"/>
          <w:shd w:val="clear" w:color="auto" w:fill="FFFFFF"/>
        </w:rPr>
        <w:t>and</w:t>
      </w:r>
      <w:r w:rsidRPr="00FD6FD6">
        <w:rPr>
          <w:color w:val="222222"/>
          <w:sz w:val="20"/>
          <w:szCs w:val="20"/>
          <w:shd w:val="clear" w:color="auto" w:fill="FFFFFF"/>
        </w:rPr>
        <w:t xml:space="preserve"> Barbas, C. </w:t>
      </w:r>
      <w:r w:rsidR="0040256B" w:rsidRPr="00FD6FD6">
        <w:rPr>
          <w:color w:val="222222"/>
          <w:sz w:val="20"/>
          <w:szCs w:val="20"/>
          <w:shd w:val="clear" w:color="auto" w:fill="FFFFFF"/>
        </w:rPr>
        <w:t>(</w:t>
      </w:r>
      <w:r w:rsidRPr="00FD6FD6">
        <w:rPr>
          <w:color w:val="222222"/>
          <w:sz w:val="20"/>
          <w:szCs w:val="20"/>
          <w:shd w:val="clear" w:color="auto" w:fill="FFFFFF"/>
        </w:rPr>
        <w:t>2001</w:t>
      </w:r>
      <w:r w:rsidR="0040256B" w:rsidRPr="00FD6FD6">
        <w:rPr>
          <w:color w:val="222222"/>
          <w:sz w:val="20"/>
          <w:szCs w:val="20"/>
          <w:shd w:val="clear" w:color="auto" w:fill="FFFFFF"/>
        </w:rPr>
        <w:t>)</w:t>
      </w:r>
      <w:r w:rsidRPr="00FD6FD6">
        <w:rPr>
          <w:color w:val="222222"/>
          <w:sz w:val="20"/>
          <w:szCs w:val="20"/>
          <w:shd w:val="clear" w:color="auto" w:fill="FFFFFF"/>
        </w:rPr>
        <w:t>. Chromatographic Analysis of Αlpha-Tocopherol and Related Compounds in Various Matrices.</w:t>
      </w:r>
      <w:r w:rsidRPr="00FD6FD6">
        <w:rPr>
          <w:rStyle w:val="apple-converted-space"/>
          <w:color w:val="222222"/>
          <w:sz w:val="20"/>
          <w:szCs w:val="20"/>
          <w:shd w:val="clear" w:color="auto" w:fill="FFFFFF"/>
        </w:rPr>
        <w:t> </w:t>
      </w:r>
      <w:r w:rsidRPr="00FD6FD6">
        <w:rPr>
          <w:i/>
          <w:iCs/>
          <w:color w:val="222222"/>
          <w:sz w:val="20"/>
          <w:szCs w:val="20"/>
          <w:shd w:val="clear" w:color="auto" w:fill="FFFFFF"/>
        </w:rPr>
        <w:t>Journal of chromatography A</w:t>
      </w:r>
      <w:r w:rsidR="0040256B" w:rsidRPr="00FD6FD6">
        <w:rPr>
          <w:i/>
          <w:iCs/>
          <w:color w:val="222222"/>
          <w:sz w:val="20"/>
          <w:szCs w:val="20"/>
          <w:shd w:val="clear" w:color="auto" w:fill="FFFFFF"/>
        </w:rPr>
        <w:t>,</w:t>
      </w:r>
      <w:r w:rsidRPr="00FD6FD6">
        <w:rPr>
          <w:color w:val="222222"/>
          <w:sz w:val="20"/>
          <w:szCs w:val="20"/>
          <w:shd w:val="clear" w:color="auto" w:fill="FFFFFF"/>
        </w:rPr>
        <w:t xml:space="preserve"> </w:t>
      </w:r>
      <w:r w:rsidRPr="00FD6FD6">
        <w:rPr>
          <w:i/>
          <w:iCs/>
          <w:color w:val="222222"/>
          <w:sz w:val="20"/>
          <w:szCs w:val="20"/>
          <w:shd w:val="clear" w:color="auto" w:fill="FFFFFF"/>
        </w:rPr>
        <w:t>935</w:t>
      </w:r>
      <w:r w:rsidRPr="00FD6FD6">
        <w:rPr>
          <w:color w:val="222222"/>
          <w:sz w:val="20"/>
          <w:szCs w:val="20"/>
          <w:shd w:val="clear" w:color="auto" w:fill="FFFFFF"/>
        </w:rPr>
        <w:t>(1): 45-69.</w:t>
      </w:r>
    </w:p>
    <w:p w:rsidR="005C6983" w:rsidRPr="00FD6FD6" w:rsidRDefault="00B6633B" w:rsidP="00FD6FD6">
      <w:pPr>
        <w:pStyle w:val="ListParagraph"/>
        <w:numPr>
          <w:ilvl w:val="0"/>
          <w:numId w:val="3"/>
        </w:numPr>
        <w:spacing w:before="0" w:line="240" w:lineRule="auto"/>
        <w:ind w:left="360"/>
        <w:rPr>
          <w:sz w:val="20"/>
          <w:szCs w:val="20"/>
          <w:shd w:val="clear" w:color="auto" w:fill="FFFFFF"/>
        </w:rPr>
      </w:pPr>
      <w:r w:rsidRPr="00FD6FD6">
        <w:rPr>
          <w:sz w:val="20"/>
          <w:szCs w:val="20"/>
        </w:rPr>
        <w:t>Sanagi, M. M., See, H. H., Ibrahim, W. A. W., and Naim, A. A.</w:t>
      </w:r>
      <w:r w:rsidR="00C84B9E" w:rsidRPr="00FD6FD6">
        <w:rPr>
          <w:sz w:val="20"/>
          <w:szCs w:val="20"/>
        </w:rPr>
        <w:t xml:space="preserve"> </w:t>
      </w:r>
      <w:r w:rsidR="0040256B" w:rsidRPr="00FD6FD6">
        <w:rPr>
          <w:sz w:val="20"/>
          <w:szCs w:val="20"/>
        </w:rPr>
        <w:t>(</w:t>
      </w:r>
      <w:r w:rsidR="00C84B9E" w:rsidRPr="00FD6FD6">
        <w:rPr>
          <w:sz w:val="20"/>
          <w:szCs w:val="20"/>
        </w:rPr>
        <w:t>2005</w:t>
      </w:r>
      <w:r w:rsidR="0040256B" w:rsidRPr="00FD6FD6">
        <w:rPr>
          <w:sz w:val="20"/>
          <w:szCs w:val="20"/>
        </w:rPr>
        <w:t xml:space="preserve">). </w:t>
      </w:r>
      <w:r w:rsidR="00C84B9E" w:rsidRPr="00FD6FD6">
        <w:rPr>
          <w:sz w:val="20"/>
          <w:szCs w:val="20"/>
        </w:rPr>
        <w:t xml:space="preserve">Determination </w:t>
      </w:r>
      <w:r w:rsidR="00883E28" w:rsidRPr="00FD6FD6">
        <w:rPr>
          <w:sz w:val="20"/>
          <w:szCs w:val="20"/>
        </w:rPr>
        <w:t xml:space="preserve">of carotene, tocopherols and tocotrienols in residue oil from palm pressed fiber using pressurized liquid extraction-normal phase liquid chromatography.  </w:t>
      </w:r>
      <w:r w:rsidR="00C84B9E" w:rsidRPr="00FD6FD6">
        <w:rPr>
          <w:i/>
          <w:iCs/>
          <w:sz w:val="20"/>
          <w:szCs w:val="20"/>
        </w:rPr>
        <w:t>Analytica Chimica Acta</w:t>
      </w:r>
      <w:r w:rsidR="0040256B" w:rsidRPr="00FD6FD6">
        <w:rPr>
          <w:i/>
          <w:iCs/>
          <w:sz w:val="20"/>
          <w:szCs w:val="20"/>
        </w:rPr>
        <w:t>,</w:t>
      </w:r>
      <w:r w:rsidRPr="00FD6FD6">
        <w:rPr>
          <w:sz w:val="20"/>
          <w:szCs w:val="20"/>
        </w:rPr>
        <w:t xml:space="preserve"> </w:t>
      </w:r>
      <w:r w:rsidR="00C84B9E" w:rsidRPr="00FD6FD6">
        <w:rPr>
          <w:sz w:val="20"/>
          <w:szCs w:val="20"/>
        </w:rPr>
        <w:t>538(1–2): 71-76.</w:t>
      </w:r>
    </w:p>
    <w:p w:rsidR="00C84D57" w:rsidRPr="00FD6FD6" w:rsidRDefault="00C84B9E"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Johnson, L. A. </w:t>
      </w:r>
      <w:r w:rsidR="0040256B" w:rsidRPr="00FD6FD6">
        <w:rPr>
          <w:sz w:val="20"/>
          <w:szCs w:val="20"/>
        </w:rPr>
        <w:t>and</w:t>
      </w:r>
      <w:r w:rsidRPr="00FD6FD6">
        <w:rPr>
          <w:sz w:val="20"/>
          <w:szCs w:val="20"/>
        </w:rPr>
        <w:t xml:space="preserve"> Lusas, E. W. </w:t>
      </w:r>
      <w:r w:rsidR="0040256B" w:rsidRPr="00FD6FD6">
        <w:rPr>
          <w:sz w:val="20"/>
          <w:szCs w:val="20"/>
        </w:rPr>
        <w:t>(</w:t>
      </w:r>
      <w:r w:rsidRPr="00FD6FD6">
        <w:rPr>
          <w:sz w:val="20"/>
          <w:szCs w:val="20"/>
        </w:rPr>
        <w:t>1983</w:t>
      </w:r>
      <w:r w:rsidR="0040256B" w:rsidRPr="00FD6FD6">
        <w:rPr>
          <w:sz w:val="20"/>
          <w:szCs w:val="20"/>
        </w:rPr>
        <w:t>)</w:t>
      </w:r>
      <w:r w:rsidRPr="00FD6FD6">
        <w:rPr>
          <w:sz w:val="20"/>
          <w:szCs w:val="20"/>
        </w:rPr>
        <w:t xml:space="preserve">. Comparison </w:t>
      </w:r>
      <w:r w:rsidR="005C6983" w:rsidRPr="00FD6FD6">
        <w:rPr>
          <w:sz w:val="20"/>
          <w:szCs w:val="20"/>
        </w:rPr>
        <w:t xml:space="preserve">of alternative solvents for oils extraction.  </w:t>
      </w:r>
      <w:r w:rsidRPr="00FD6FD6">
        <w:rPr>
          <w:i/>
          <w:iCs/>
          <w:sz w:val="20"/>
          <w:szCs w:val="20"/>
        </w:rPr>
        <w:t>Journal of the American Oil Chemists’ Society</w:t>
      </w:r>
      <w:r w:rsidR="0040256B" w:rsidRPr="00FD6FD6">
        <w:rPr>
          <w:sz w:val="20"/>
          <w:szCs w:val="20"/>
        </w:rPr>
        <w:t>,</w:t>
      </w:r>
      <w:r w:rsidRPr="00FD6FD6">
        <w:rPr>
          <w:sz w:val="20"/>
          <w:szCs w:val="20"/>
        </w:rPr>
        <w:t xml:space="preserve"> 60(2): 229-242.</w:t>
      </w:r>
    </w:p>
    <w:p w:rsidR="00C84D57" w:rsidRPr="00FD6FD6" w:rsidRDefault="0038630B" w:rsidP="00FD6FD6">
      <w:pPr>
        <w:pStyle w:val="ListParagraph"/>
        <w:numPr>
          <w:ilvl w:val="0"/>
          <w:numId w:val="3"/>
        </w:numPr>
        <w:spacing w:before="0" w:line="240" w:lineRule="auto"/>
        <w:ind w:left="360"/>
        <w:rPr>
          <w:sz w:val="20"/>
          <w:szCs w:val="20"/>
          <w:shd w:val="clear" w:color="auto" w:fill="FFFFFF"/>
        </w:rPr>
      </w:pPr>
      <w:r w:rsidRPr="00FD6FD6">
        <w:rPr>
          <w:color w:val="222222"/>
          <w:sz w:val="20"/>
          <w:szCs w:val="20"/>
          <w:shd w:val="clear" w:color="auto" w:fill="FFFFFF"/>
        </w:rPr>
        <w:t xml:space="preserve">Nam, M. W., Zhao, J., Lee, M. S., Jeong, J. H. </w:t>
      </w:r>
      <w:r w:rsidR="0040256B" w:rsidRPr="00FD6FD6">
        <w:rPr>
          <w:color w:val="222222"/>
          <w:sz w:val="20"/>
          <w:szCs w:val="20"/>
          <w:shd w:val="clear" w:color="auto" w:fill="FFFFFF"/>
        </w:rPr>
        <w:t xml:space="preserve">and </w:t>
      </w:r>
      <w:r w:rsidRPr="00FD6FD6">
        <w:rPr>
          <w:color w:val="222222"/>
          <w:sz w:val="20"/>
          <w:szCs w:val="20"/>
          <w:shd w:val="clear" w:color="auto" w:fill="FFFFFF"/>
        </w:rPr>
        <w:t xml:space="preserve">Lee, J. </w:t>
      </w:r>
      <w:r w:rsidR="0040256B" w:rsidRPr="00FD6FD6">
        <w:rPr>
          <w:color w:val="222222"/>
          <w:sz w:val="20"/>
          <w:szCs w:val="20"/>
          <w:shd w:val="clear" w:color="auto" w:fill="FFFFFF"/>
        </w:rPr>
        <w:t>(</w:t>
      </w:r>
      <w:r w:rsidRPr="00FD6FD6">
        <w:rPr>
          <w:color w:val="222222"/>
          <w:sz w:val="20"/>
          <w:szCs w:val="20"/>
          <w:shd w:val="clear" w:color="auto" w:fill="FFFFFF"/>
        </w:rPr>
        <w:t>2015</w:t>
      </w:r>
      <w:r w:rsidR="0040256B" w:rsidRPr="00FD6FD6">
        <w:rPr>
          <w:color w:val="222222"/>
          <w:sz w:val="20"/>
          <w:szCs w:val="20"/>
          <w:shd w:val="clear" w:color="auto" w:fill="FFFFFF"/>
        </w:rPr>
        <w:t>)</w:t>
      </w:r>
      <w:r w:rsidRPr="00FD6FD6">
        <w:rPr>
          <w:color w:val="222222"/>
          <w:sz w:val="20"/>
          <w:szCs w:val="20"/>
          <w:shd w:val="clear" w:color="auto" w:fill="FFFFFF"/>
        </w:rPr>
        <w:t xml:space="preserve">. Enhanced </w:t>
      </w:r>
      <w:r w:rsidR="00C84D57" w:rsidRPr="00FD6FD6">
        <w:rPr>
          <w:color w:val="222222"/>
          <w:sz w:val="20"/>
          <w:szCs w:val="20"/>
          <w:shd w:val="clear" w:color="auto" w:fill="FFFFFF"/>
        </w:rPr>
        <w:t>extraction of bioactive natural products using tailor-made deep eutectic solvents: application to flavonoid e</w:t>
      </w:r>
      <w:r w:rsidRPr="00FD6FD6">
        <w:rPr>
          <w:color w:val="222222"/>
          <w:sz w:val="20"/>
          <w:szCs w:val="20"/>
          <w:shd w:val="clear" w:color="auto" w:fill="FFFFFF"/>
        </w:rPr>
        <w:t xml:space="preserve">xtraction </w:t>
      </w:r>
      <w:r w:rsidR="00C84D57" w:rsidRPr="00FD6FD6">
        <w:rPr>
          <w:color w:val="222222"/>
          <w:sz w:val="20"/>
          <w:szCs w:val="20"/>
          <w:shd w:val="clear" w:color="auto" w:fill="FFFFFF"/>
        </w:rPr>
        <w:t>f</w:t>
      </w:r>
      <w:r w:rsidRPr="00FD6FD6">
        <w:rPr>
          <w:color w:val="222222"/>
          <w:sz w:val="20"/>
          <w:szCs w:val="20"/>
          <w:shd w:val="clear" w:color="auto" w:fill="FFFFFF"/>
        </w:rPr>
        <w:t xml:space="preserve">rom </w:t>
      </w:r>
      <w:r w:rsidR="00C84D57" w:rsidRPr="00FD6FD6">
        <w:rPr>
          <w:color w:val="222222"/>
          <w:sz w:val="20"/>
          <w:szCs w:val="20"/>
          <w:shd w:val="clear" w:color="auto" w:fill="FFFFFF"/>
        </w:rPr>
        <w:t xml:space="preserve">       </w:t>
      </w:r>
      <w:r w:rsidRPr="00FD6FD6">
        <w:rPr>
          <w:i/>
          <w:color w:val="222222"/>
          <w:sz w:val="20"/>
          <w:szCs w:val="20"/>
          <w:shd w:val="clear" w:color="auto" w:fill="FFFFFF"/>
        </w:rPr>
        <w:t>Flos</w:t>
      </w:r>
      <w:r w:rsidRPr="00FD6FD6">
        <w:rPr>
          <w:color w:val="222222"/>
          <w:sz w:val="20"/>
          <w:szCs w:val="20"/>
          <w:shd w:val="clear" w:color="auto" w:fill="FFFFFF"/>
        </w:rPr>
        <w:t xml:space="preserve"> </w:t>
      </w:r>
      <w:r w:rsidRPr="00FD6FD6">
        <w:rPr>
          <w:i/>
          <w:color w:val="222222"/>
          <w:sz w:val="20"/>
          <w:szCs w:val="20"/>
          <w:shd w:val="clear" w:color="auto" w:fill="FFFFFF"/>
        </w:rPr>
        <w:t>Sophorae</w:t>
      </w:r>
      <w:r w:rsidRPr="00FD6FD6">
        <w:rPr>
          <w:color w:val="222222"/>
          <w:sz w:val="20"/>
          <w:szCs w:val="20"/>
          <w:shd w:val="clear" w:color="auto" w:fill="FFFFFF"/>
        </w:rPr>
        <w:t>.</w:t>
      </w:r>
      <w:r w:rsidRPr="00FD6FD6">
        <w:rPr>
          <w:rStyle w:val="apple-converted-space"/>
          <w:color w:val="222222"/>
          <w:sz w:val="20"/>
          <w:szCs w:val="20"/>
          <w:shd w:val="clear" w:color="auto" w:fill="FFFFFF"/>
        </w:rPr>
        <w:t> </w:t>
      </w:r>
      <w:r w:rsidRPr="00FD6FD6">
        <w:rPr>
          <w:i/>
          <w:iCs/>
          <w:color w:val="222222"/>
          <w:sz w:val="20"/>
          <w:szCs w:val="20"/>
          <w:shd w:val="clear" w:color="auto" w:fill="FFFFFF"/>
        </w:rPr>
        <w:t>Green Chemistry</w:t>
      </w:r>
      <w:r w:rsidR="00204408" w:rsidRPr="00FD6FD6">
        <w:rPr>
          <w:color w:val="222222"/>
          <w:sz w:val="20"/>
          <w:szCs w:val="20"/>
          <w:shd w:val="clear" w:color="auto" w:fill="FFFFFF"/>
        </w:rPr>
        <w:t xml:space="preserve">, </w:t>
      </w:r>
      <w:r w:rsidRPr="00FD6FD6">
        <w:rPr>
          <w:i/>
          <w:iCs/>
          <w:color w:val="222222"/>
          <w:sz w:val="20"/>
          <w:szCs w:val="20"/>
          <w:shd w:val="clear" w:color="auto" w:fill="FFFFFF"/>
        </w:rPr>
        <w:t>17</w:t>
      </w:r>
      <w:r w:rsidRPr="00FD6FD6">
        <w:rPr>
          <w:color w:val="222222"/>
          <w:sz w:val="20"/>
          <w:szCs w:val="20"/>
          <w:shd w:val="clear" w:color="auto" w:fill="FFFFFF"/>
        </w:rPr>
        <w:t>(3):1718-1727.</w:t>
      </w:r>
    </w:p>
    <w:p w:rsidR="00C84D57" w:rsidRPr="00FD6FD6" w:rsidRDefault="0038630B"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Hayyan, M., Mjalli, F. S., Hashim, M. A. </w:t>
      </w:r>
      <w:r w:rsidR="00204408" w:rsidRPr="00FD6FD6">
        <w:rPr>
          <w:sz w:val="20"/>
          <w:szCs w:val="20"/>
        </w:rPr>
        <w:t xml:space="preserve">and </w:t>
      </w:r>
      <w:r w:rsidRPr="00FD6FD6">
        <w:rPr>
          <w:sz w:val="20"/>
          <w:szCs w:val="20"/>
        </w:rPr>
        <w:t xml:space="preserve">AlNashef, I. M. </w:t>
      </w:r>
      <w:r w:rsidR="00204408" w:rsidRPr="00FD6FD6">
        <w:rPr>
          <w:sz w:val="20"/>
          <w:szCs w:val="20"/>
        </w:rPr>
        <w:t>(</w:t>
      </w:r>
      <w:r w:rsidRPr="00FD6FD6">
        <w:rPr>
          <w:sz w:val="20"/>
          <w:szCs w:val="20"/>
        </w:rPr>
        <w:t>2010</w:t>
      </w:r>
      <w:r w:rsidR="00204408" w:rsidRPr="00FD6FD6">
        <w:rPr>
          <w:sz w:val="20"/>
          <w:szCs w:val="20"/>
        </w:rPr>
        <w:t>)</w:t>
      </w:r>
      <w:r w:rsidRPr="00FD6FD6">
        <w:rPr>
          <w:sz w:val="20"/>
          <w:szCs w:val="20"/>
        </w:rPr>
        <w:t xml:space="preserve">. A </w:t>
      </w:r>
      <w:r w:rsidR="00C84D57" w:rsidRPr="00FD6FD6">
        <w:rPr>
          <w:sz w:val="20"/>
          <w:szCs w:val="20"/>
        </w:rPr>
        <w:t>novel technique for separating glycerine from palm oil-based biodiesel using ionic liquids.</w:t>
      </w:r>
      <w:r w:rsidR="00204408" w:rsidRPr="00FD6FD6">
        <w:rPr>
          <w:sz w:val="20"/>
          <w:szCs w:val="20"/>
        </w:rPr>
        <w:t xml:space="preserve"> </w:t>
      </w:r>
      <w:r w:rsidRPr="00FD6FD6">
        <w:rPr>
          <w:i/>
          <w:sz w:val="20"/>
          <w:szCs w:val="20"/>
        </w:rPr>
        <w:t>Fuel Process Technology</w:t>
      </w:r>
      <w:r w:rsidR="00204408" w:rsidRPr="00FD6FD6">
        <w:rPr>
          <w:i/>
          <w:sz w:val="20"/>
          <w:szCs w:val="20"/>
        </w:rPr>
        <w:t>,</w:t>
      </w:r>
      <w:r w:rsidRPr="00FD6FD6">
        <w:rPr>
          <w:sz w:val="20"/>
          <w:szCs w:val="20"/>
        </w:rPr>
        <w:t xml:space="preserve"> 91: 116-120.</w:t>
      </w:r>
    </w:p>
    <w:p w:rsidR="00C84D57" w:rsidRPr="00FD6FD6" w:rsidRDefault="0038630B" w:rsidP="00FD6FD6">
      <w:pPr>
        <w:pStyle w:val="ListParagraph"/>
        <w:numPr>
          <w:ilvl w:val="0"/>
          <w:numId w:val="3"/>
        </w:numPr>
        <w:spacing w:before="0" w:line="240" w:lineRule="auto"/>
        <w:ind w:left="360"/>
        <w:rPr>
          <w:sz w:val="20"/>
          <w:szCs w:val="20"/>
          <w:shd w:val="clear" w:color="auto" w:fill="FFFFFF"/>
        </w:rPr>
      </w:pPr>
      <w:r w:rsidRPr="00FD6FD6">
        <w:rPr>
          <w:sz w:val="20"/>
          <w:szCs w:val="20"/>
          <w:lang w:val="en-US"/>
        </w:rPr>
        <w:t xml:space="preserve">Zhang, Q., </w:t>
      </w:r>
      <w:r w:rsidR="00204408" w:rsidRPr="00FD6FD6">
        <w:rPr>
          <w:sz w:val="20"/>
          <w:szCs w:val="20"/>
          <w:lang w:val="en-US"/>
        </w:rPr>
        <w:t xml:space="preserve">Vigier, </w:t>
      </w:r>
      <w:r w:rsidRPr="00FD6FD6">
        <w:rPr>
          <w:sz w:val="20"/>
          <w:szCs w:val="20"/>
          <w:lang w:val="en-US"/>
        </w:rPr>
        <w:t>D</w:t>
      </w:r>
      <w:r w:rsidR="00204408" w:rsidRPr="00FD6FD6">
        <w:rPr>
          <w:sz w:val="20"/>
          <w:szCs w:val="20"/>
          <w:lang w:val="en-US"/>
        </w:rPr>
        <w:t>.</w:t>
      </w:r>
      <w:r w:rsidRPr="00FD6FD6">
        <w:rPr>
          <w:sz w:val="20"/>
          <w:szCs w:val="20"/>
          <w:lang w:val="en-US"/>
        </w:rPr>
        <w:t xml:space="preserve"> O</w:t>
      </w:r>
      <w:r w:rsidR="00204408" w:rsidRPr="00FD6FD6">
        <w:rPr>
          <w:sz w:val="20"/>
          <w:szCs w:val="20"/>
          <w:lang w:val="en-US"/>
        </w:rPr>
        <w:t>.</w:t>
      </w:r>
      <w:r w:rsidRPr="00FD6FD6">
        <w:rPr>
          <w:sz w:val="20"/>
          <w:szCs w:val="20"/>
          <w:lang w:val="en-US"/>
        </w:rPr>
        <w:t xml:space="preserve">, </w:t>
      </w:r>
      <w:r w:rsidR="00204408" w:rsidRPr="00FD6FD6">
        <w:rPr>
          <w:sz w:val="20"/>
          <w:szCs w:val="20"/>
          <w:lang w:val="en-US"/>
        </w:rPr>
        <w:t xml:space="preserve">Royer, </w:t>
      </w:r>
      <w:r w:rsidRPr="00FD6FD6">
        <w:rPr>
          <w:sz w:val="20"/>
          <w:szCs w:val="20"/>
          <w:lang w:val="en-US"/>
        </w:rPr>
        <w:t xml:space="preserve">K., S. </w:t>
      </w:r>
      <w:r w:rsidR="00204408" w:rsidRPr="00FD6FD6">
        <w:rPr>
          <w:sz w:val="20"/>
          <w:szCs w:val="20"/>
          <w:lang w:val="en-US"/>
        </w:rPr>
        <w:t>and</w:t>
      </w:r>
      <w:r w:rsidRPr="00FD6FD6">
        <w:rPr>
          <w:sz w:val="20"/>
          <w:szCs w:val="20"/>
          <w:lang w:val="en-US"/>
        </w:rPr>
        <w:t xml:space="preserve"> Jerome, F. </w:t>
      </w:r>
      <w:r w:rsidR="00204408" w:rsidRPr="00FD6FD6">
        <w:rPr>
          <w:sz w:val="20"/>
          <w:szCs w:val="20"/>
          <w:lang w:val="en-US"/>
        </w:rPr>
        <w:t>(</w:t>
      </w:r>
      <w:r w:rsidRPr="00FD6FD6">
        <w:rPr>
          <w:sz w:val="20"/>
          <w:szCs w:val="20"/>
          <w:lang w:val="en-US"/>
        </w:rPr>
        <w:t>2012</w:t>
      </w:r>
      <w:r w:rsidR="00204408" w:rsidRPr="00FD6FD6">
        <w:rPr>
          <w:sz w:val="20"/>
          <w:szCs w:val="20"/>
          <w:lang w:val="en-US"/>
        </w:rPr>
        <w:t xml:space="preserve">). </w:t>
      </w:r>
      <w:r w:rsidRPr="00FD6FD6">
        <w:rPr>
          <w:sz w:val="20"/>
          <w:szCs w:val="20"/>
          <w:lang w:val="en-US"/>
        </w:rPr>
        <w:t xml:space="preserve">Deep </w:t>
      </w:r>
      <w:r w:rsidR="00C84D57" w:rsidRPr="00FD6FD6">
        <w:rPr>
          <w:sz w:val="20"/>
          <w:szCs w:val="20"/>
          <w:lang w:val="en-US"/>
        </w:rPr>
        <w:t>e</w:t>
      </w:r>
      <w:r w:rsidRPr="00FD6FD6">
        <w:rPr>
          <w:sz w:val="20"/>
          <w:szCs w:val="20"/>
          <w:lang w:val="en-US"/>
        </w:rPr>
        <w:t xml:space="preserve">utectic </w:t>
      </w:r>
      <w:r w:rsidR="00C84D57" w:rsidRPr="00FD6FD6">
        <w:rPr>
          <w:sz w:val="20"/>
          <w:szCs w:val="20"/>
          <w:lang w:val="en-US"/>
        </w:rPr>
        <w:t>s</w:t>
      </w:r>
      <w:r w:rsidRPr="00FD6FD6">
        <w:rPr>
          <w:sz w:val="20"/>
          <w:szCs w:val="20"/>
          <w:lang w:val="en-US"/>
        </w:rPr>
        <w:t xml:space="preserve">olvents: Syntheses, </w:t>
      </w:r>
      <w:r w:rsidR="00C84D57" w:rsidRPr="00FD6FD6">
        <w:rPr>
          <w:sz w:val="20"/>
          <w:szCs w:val="20"/>
          <w:lang w:val="en-US"/>
        </w:rPr>
        <w:t xml:space="preserve">properties and applications.  </w:t>
      </w:r>
      <w:r w:rsidR="001306E4" w:rsidRPr="00FD6FD6">
        <w:rPr>
          <w:i/>
          <w:iCs/>
          <w:sz w:val="20"/>
          <w:szCs w:val="20"/>
          <w:lang w:val="en-US"/>
        </w:rPr>
        <w:t xml:space="preserve">Chemical </w:t>
      </w:r>
      <w:r w:rsidRPr="00FD6FD6">
        <w:rPr>
          <w:i/>
          <w:iCs/>
          <w:sz w:val="20"/>
          <w:szCs w:val="20"/>
          <w:lang w:val="en-US"/>
        </w:rPr>
        <w:t>Society Reviews</w:t>
      </w:r>
      <w:r w:rsidR="00204408" w:rsidRPr="00FD6FD6">
        <w:rPr>
          <w:i/>
          <w:iCs/>
          <w:sz w:val="20"/>
          <w:szCs w:val="20"/>
          <w:lang w:val="en-US"/>
        </w:rPr>
        <w:t xml:space="preserve">, </w:t>
      </w:r>
      <w:r w:rsidRPr="00FD6FD6">
        <w:rPr>
          <w:sz w:val="20"/>
          <w:szCs w:val="20"/>
          <w:lang w:val="en-US"/>
        </w:rPr>
        <w:t>41(21): 7108-7146.</w:t>
      </w:r>
    </w:p>
    <w:p w:rsidR="00C84D57" w:rsidRPr="00FD6FD6" w:rsidRDefault="001306E4"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Abbott, A. P., Cullis, P. M., Gibson, M. J. Harris R. C. </w:t>
      </w:r>
      <w:r w:rsidR="00204408" w:rsidRPr="00FD6FD6">
        <w:rPr>
          <w:sz w:val="20"/>
          <w:szCs w:val="20"/>
        </w:rPr>
        <w:t>and</w:t>
      </w:r>
      <w:r w:rsidRPr="00FD6FD6">
        <w:rPr>
          <w:sz w:val="20"/>
          <w:szCs w:val="20"/>
        </w:rPr>
        <w:t xml:space="preserve"> Raven E. </w:t>
      </w:r>
      <w:r w:rsidR="00204408" w:rsidRPr="00FD6FD6">
        <w:rPr>
          <w:sz w:val="20"/>
          <w:szCs w:val="20"/>
        </w:rPr>
        <w:t>(</w:t>
      </w:r>
      <w:r w:rsidRPr="00FD6FD6">
        <w:rPr>
          <w:sz w:val="20"/>
          <w:szCs w:val="20"/>
        </w:rPr>
        <w:t>2007</w:t>
      </w:r>
      <w:r w:rsidR="00204408" w:rsidRPr="00FD6FD6">
        <w:rPr>
          <w:sz w:val="20"/>
          <w:szCs w:val="20"/>
        </w:rPr>
        <w:t>)</w:t>
      </w:r>
      <w:r w:rsidRPr="00FD6FD6">
        <w:rPr>
          <w:sz w:val="20"/>
          <w:szCs w:val="20"/>
        </w:rPr>
        <w:t xml:space="preserve">. Extraction </w:t>
      </w:r>
      <w:r w:rsidR="00C84D57" w:rsidRPr="00FD6FD6">
        <w:rPr>
          <w:sz w:val="20"/>
          <w:szCs w:val="20"/>
        </w:rPr>
        <w:t xml:space="preserve">of gylcerine from biodiesel into eutectic based ionic liquid. </w:t>
      </w:r>
      <w:r w:rsidR="00184948" w:rsidRPr="00FD6FD6">
        <w:rPr>
          <w:i/>
          <w:sz w:val="20"/>
          <w:szCs w:val="20"/>
        </w:rPr>
        <w:t>Green</w:t>
      </w:r>
      <w:r w:rsidRPr="00FD6FD6">
        <w:rPr>
          <w:i/>
          <w:sz w:val="20"/>
          <w:szCs w:val="20"/>
        </w:rPr>
        <w:t xml:space="preserve"> Chem</w:t>
      </w:r>
      <w:r w:rsidR="00204408" w:rsidRPr="00FD6FD6">
        <w:rPr>
          <w:sz w:val="20"/>
          <w:szCs w:val="20"/>
        </w:rPr>
        <w:t>istry,</w:t>
      </w:r>
      <w:r w:rsidRPr="00FD6FD6">
        <w:rPr>
          <w:sz w:val="20"/>
          <w:szCs w:val="20"/>
        </w:rPr>
        <w:t xml:space="preserve"> 9:</w:t>
      </w:r>
      <w:r w:rsidR="00C84D57" w:rsidRPr="00FD6FD6">
        <w:rPr>
          <w:sz w:val="20"/>
          <w:szCs w:val="20"/>
        </w:rPr>
        <w:t xml:space="preserve"> </w:t>
      </w:r>
      <w:r w:rsidRPr="00FD6FD6">
        <w:rPr>
          <w:sz w:val="20"/>
          <w:szCs w:val="20"/>
        </w:rPr>
        <w:t>868-872.</w:t>
      </w:r>
    </w:p>
    <w:p w:rsidR="00C84D57" w:rsidRPr="00FD6FD6" w:rsidRDefault="001306E4"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Nu’man, A. H., Ng, M., Choo, Y., Hashim, M. </w:t>
      </w:r>
      <w:r w:rsidR="00204408" w:rsidRPr="00FD6FD6">
        <w:rPr>
          <w:sz w:val="20"/>
          <w:szCs w:val="20"/>
        </w:rPr>
        <w:t>and Jayakumar, N. (</w:t>
      </w:r>
      <w:r w:rsidRPr="00FD6FD6">
        <w:rPr>
          <w:sz w:val="20"/>
          <w:szCs w:val="20"/>
        </w:rPr>
        <w:t>2015</w:t>
      </w:r>
      <w:r w:rsidR="00204408" w:rsidRPr="00FD6FD6">
        <w:rPr>
          <w:sz w:val="20"/>
          <w:szCs w:val="20"/>
        </w:rPr>
        <w:t>)</w:t>
      </w:r>
      <w:r w:rsidRPr="00FD6FD6">
        <w:rPr>
          <w:sz w:val="20"/>
          <w:szCs w:val="20"/>
        </w:rPr>
        <w:t xml:space="preserve">. Performance </w:t>
      </w:r>
      <w:r w:rsidR="00C84D57" w:rsidRPr="00FD6FD6">
        <w:rPr>
          <w:sz w:val="20"/>
          <w:szCs w:val="20"/>
        </w:rPr>
        <w:t xml:space="preserve">of choline-based deep eutectic solvents in the extraction of tocols from crude palm oil. </w:t>
      </w:r>
      <w:r w:rsidRPr="00FD6FD6">
        <w:rPr>
          <w:sz w:val="20"/>
          <w:szCs w:val="20"/>
        </w:rPr>
        <w:t xml:space="preserve"> </w:t>
      </w:r>
      <w:r w:rsidRPr="00FD6FD6">
        <w:rPr>
          <w:i/>
          <w:iCs/>
          <w:sz w:val="20"/>
          <w:szCs w:val="20"/>
        </w:rPr>
        <w:t>Journal of American Oil Chemical Society</w:t>
      </w:r>
      <w:r w:rsidR="00204408" w:rsidRPr="00FD6FD6">
        <w:rPr>
          <w:i/>
          <w:iCs/>
          <w:sz w:val="20"/>
          <w:szCs w:val="20"/>
        </w:rPr>
        <w:t>,</w:t>
      </w:r>
      <w:r w:rsidRPr="00FD6FD6">
        <w:rPr>
          <w:i/>
          <w:iCs/>
          <w:sz w:val="20"/>
          <w:szCs w:val="20"/>
        </w:rPr>
        <w:t xml:space="preserve"> </w:t>
      </w:r>
      <w:r w:rsidRPr="00FD6FD6">
        <w:rPr>
          <w:sz w:val="20"/>
          <w:szCs w:val="20"/>
        </w:rPr>
        <w:t>92(11-12): 1709-1716.</w:t>
      </w:r>
    </w:p>
    <w:p w:rsidR="00C84D57" w:rsidRPr="00FD6FD6" w:rsidRDefault="001306E4" w:rsidP="00FD6FD6">
      <w:pPr>
        <w:pStyle w:val="ListParagraph"/>
        <w:numPr>
          <w:ilvl w:val="0"/>
          <w:numId w:val="3"/>
        </w:numPr>
        <w:spacing w:before="0" w:line="240" w:lineRule="auto"/>
        <w:ind w:left="360"/>
        <w:rPr>
          <w:sz w:val="20"/>
          <w:szCs w:val="20"/>
          <w:shd w:val="clear" w:color="auto" w:fill="FFFFFF"/>
        </w:rPr>
      </w:pPr>
      <w:r w:rsidRPr="00FD6FD6">
        <w:rPr>
          <w:sz w:val="20"/>
          <w:szCs w:val="20"/>
          <w:lang w:val="en-US"/>
        </w:rPr>
        <w:t xml:space="preserve">Cvjetko, B. M., Ćurko, N., Tomašević, M., Kovačević Ganić, K. </w:t>
      </w:r>
      <w:r w:rsidR="00204408" w:rsidRPr="00FD6FD6">
        <w:rPr>
          <w:sz w:val="20"/>
          <w:szCs w:val="20"/>
          <w:lang w:val="en-US"/>
        </w:rPr>
        <w:t>and</w:t>
      </w:r>
      <w:r w:rsidRPr="00FD6FD6">
        <w:rPr>
          <w:sz w:val="20"/>
          <w:szCs w:val="20"/>
          <w:lang w:val="en-US"/>
        </w:rPr>
        <w:t xml:space="preserve"> Radojčić Redovniković, I.  </w:t>
      </w:r>
      <w:r w:rsidR="00204408" w:rsidRPr="00FD6FD6">
        <w:rPr>
          <w:sz w:val="20"/>
          <w:szCs w:val="20"/>
          <w:lang w:val="en-US"/>
        </w:rPr>
        <w:t>(</w:t>
      </w:r>
      <w:r w:rsidRPr="00FD6FD6">
        <w:rPr>
          <w:sz w:val="20"/>
          <w:szCs w:val="20"/>
          <w:lang w:val="en-US"/>
        </w:rPr>
        <w:t>2016</w:t>
      </w:r>
      <w:r w:rsidR="00204408" w:rsidRPr="00FD6FD6">
        <w:rPr>
          <w:sz w:val="20"/>
          <w:szCs w:val="20"/>
          <w:lang w:val="en-US"/>
        </w:rPr>
        <w:t>). Green</w:t>
      </w:r>
      <w:r w:rsidRPr="00FD6FD6">
        <w:rPr>
          <w:sz w:val="20"/>
          <w:szCs w:val="20"/>
          <w:lang w:val="en-US"/>
        </w:rPr>
        <w:t xml:space="preserve"> </w:t>
      </w:r>
      <w:r w:rsidR="00C84D57" w:rsidRPr="00FD6FD6">
        <w:rPr>
          <w:sz w:val="20"/>
          <w:szCs w:val="20"/>
          <w:lang w:val="en-US"/>
        </w:rPr>
        <w:t>extraction of grape skin phenolics by using deep eutectic solvents</w:t>
      </w:r>
      <w:r w:rsidRPr="00FD6FD6">
        <w:rPr>
          <w:sz w:val="20"/>
          <w:szCs w:val="20"/>
          <w:lang w:val="en-US"/>
        </w:rPr>
        <w:t xml:space="preserve">.  </w:t>
      </w:r>
      <w:r w:rsidRPr="00FD6FD6">
        <w:rPr>
          <w:i/>
          <w:iCs/>
          <w:sz w:val="20"/>
          <w:szCs w:val="20"/>
          <w:lang w:val="en-US"/>
        </w:rPr>
        <w:t>Food Chemistry</w:t>
      </w:r>
      <w:r w:rsidR="00204408" w:rsidRPr="00FD6FD6">
        <w:rPr>
          <w:i/>
          <w:iCs/>
          <w:sz w:val="20"/>
          <w:szCs w:val="20"/>
          <w:lang w:val="en-US"/>
        </w:rPr>
        <w:t>,</w:t>
      </w:r>
      <w:r w:rsidRPr="00FD6FD6">
        <w:rPr>
          <w:sz w:val="20"/>
          <w:szCs w:val="20"/>
          <w:lang w:val="en-US"/>
        </w:rPr>
        <w:t xml:space="preserve"> 200</w:t>
      </w:r>
      <w:r w:rsidR="00C84D57" w:rsidRPr="00FD6FD6">
        <w:rPr>
          <w:sz w:val="20"/>
          <w:szCs w:val="20"/>
          <w:lang w:val="en-US"/>
        </w:rPr>
        <w:t xml:space="preserve">: </w:t>
      </w:r>
      <w:r w:rsidRPr="00FD6FD6">
        <w:rPr>
          <w:sz w:val="20"/>
          <w:szCs w:val="20"/>
          <w:lang w:val="en-US"/>
        </w:rPr>
        <w:t>159-166.</w:t>
      </w:r>
    </w:p>
    <w:p w:rsidR="00C84D57" w:rsidRPr="00FD6FD6" w:rsidRDefault="00204408" w:rsidP="00FD6FD6">
      <w:pPr>
        <w:pStyle w:val="ListParagraph"/>
        <w:numPr>
          <w:ilvl w:val="0"/>
          <w:numId w:val="3"/>
        </w:numPr>
        <w:spacing w:before="0" w:line="240" w:lineRule="auto"/>
        <w:ind w:left="360"/>
        <w:rPr>
          <w:sz w:val="20"/>
          <w:szCs w:val="20"/>
          <w:shd w:val="clear" w:color="auto" w:fill="FFFFFF"/>
        </w:rPr>
      </w:pPr>
      <w:r w:rsidRPr="00FD6FD6">
        <w:rPr>
          <w:sz w:val="20"/>
          <w:szCs w:val="20"/>
          <w:lang w:val="en-US"/>
        </w:rPr>
        <w:t>Pavia, L. D., Lampman,</w:t>
      </w:r>
      <w:r w:rsidR="001306E4" w:rsidRPr="00FD6FD6">
        <w:rPr>
          <w:sz w:val="20"/>
          <w:szCs w:val="20"/>
          <w:lang w:val="en-US"/>
        </w:rPr>
        <w:t xml:space="preserve"> M. G., Kriz, S. G. </w:t>
      </w:r>
      <w:r w:rsidRPr="00FD6FD6">
        <w:rPr>
          <w:sz w:val="20"/>
          <w:szCs w:val="20"/>
          <w:lang w:val="en-US"/>
        </w:rPr>
        <w:t xml:space="preserve">and </w:t>
      </w:r>
      <w:r w:rsidR="001306E4" w:rsidRPr="00FD6FD6">
        <w:rPr>
          <w:sz w:val="20"/>
          <w:szCs w:val="20"/>
          <w:lang w:val="en-US"/>
        </w:rPr>
        <w:t xml:space="preserve">Vyvyan, R. J. </w:t>
      </w:r>
      <w:r w:rsidRPr="00FD6FD6">
        <w:rPr>
          <w:sz w:val="20"/>
          <w:szCs w:val="20"/>
          <w:lang w:val="en-US"/>
        </w:rPr>
        <w:t>(</w:t>
      </w:r>
      <w:r w:rsidR="001306E4" w:rsidRPr="00FD6FD6">
        <w:rPr>
          <w:sz w:val="20"/>
          <w:szCs w:val="20"/>
          <w:lang w:val="en-US"/>
        </w:rPr>
        <w:t>2009</w:t>
      </w:r>
      <w:r w:rsidRPr="00FD6FD6">
        <w:rPr>
          <w:sz w:val="20"/>
          <w:szCs w:val="20"/>
          <w:lang w:val="en-US"/>
        </w:rPr>
        <w:t>)</w:t>
      </w:r>
      <w:r w:rsidR="001306E4" w:rsidRPr="00FD6FD6">
        <w:rPr>
          <w:sz w:val="20"/>
          <w:szCs w:val="20"/>
          <w:lang w:val="en-US"/>
        </w:rPr>
        <w:t>. Introduction to spectroscopy. Brooks/Cole Cengage Learnin</w:t>
      </w:r>
      <w:r w:rsidRPr="00FD6FD6">
        <w:rPr>
          <w:sz w:val="20"/>
          <w:szCs w:val="20"/>
          <w:lang w:val="en-US"/>
        </w:rPr>
        <w:t>g, 4rd Ed. Canada</w:t>
      </w:r>
      <w:r w:rsidR="001306E4" w:rsidRPr="00FD6FD6">
        <w:rPr>
          <w:sz w:val="20"/>
          <w:szCs w:val="20"/>
          <w:lang w:val="en-US"/>
        </w:rPr>
        <w:t>: Lisa Lockwood.</w:t>
      </w:r>
    </w:p>
    <w:p w:rsidR="00C84D57" w:rsidRPr="00FD6FD6" w:rsidRDefault="001306E4"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Qamar, A. </w:t>
      </w:r>
      <w:r w:rsidR="00204408" w:rsidRPr="00FD6FD6">
        <w:rPr>
          <w:sz w:val="20"/>
          <w:szCs w:val="20"/>
        </w:rPr>
        <w:t>and</w:t>
      </w:r>
      <w:r w:rsidRPr="00FD6FD6">
        <w:rPr>
          <w:sz w:val="20"/>
          <w:szCs w:val="20"/>
        </w:rPr>
        <w:t xml:space="preserve"> Leo, B. </w:t>
      </w:r>
      <w:r w:rsidR="00204408" w:rsidRPr="00FD6FD6">
        <w:rPr>
          <w:sz w:val="20"/>
          <w:szCs w:val="20"/>
        </w:rPr>
        <w:t>(</w:t>
      </w:r>
      <w:r w:rsidRPr="00FD6FD6">
        <w:rPr>
          <w:sz w:val="20"/>
          <w:szCs w:val="20"/>
        </w:rPr>
        <w:t>2011</w:t>
      </w:r>
      <w:r w:rsidR="00204408" w:rsidRPr="00FD6FD6">
        <w:rPr>
          <w:sz w:val="20"/>
          <w:szCs w:val="20"/>
        </w:rPr>
        <w:t>)</w:t>
      </w:r>
      <w:r w:rsidRPr="00FD6FD6">
        <w:rPr>
          <w:sz w:val="20"/>
          <w:szCs w:val="20"/>
        </w:rPr>
        <w:t xml:space="preserve">. Anodic </w:t>
      </w:r>
      <w:r w:rsidR="00C84D57" w:rsidRPr="00FD6FD6">
        <w:rPr>
          <w:sz w:val="20"/>
          <w:szCs w:val="20"/>
        </w:rPr>
        <w:t xml:space="preserve">dissolution of refractory metals in choline chloride based binary mixtures. </w:t>
      </w:r>
      <w:r w:rsidRPr="00FD6FD6">
        <w:rPr>
          <w:i/>
          <w:sz w:val="20"/>
          <w:szCs w:val="20"/>
        </w:rPr>
        <w:t>The Electrochemical Society ECS Transactions</w:t>
      </w:r>
      <w:r w:rsidR="00204408" w:rsidRPr="00FD6FD6">
        <w:rPr>
          <w:i/>
          <w:sz w:val="20"/>
          <w:szCs w:val="20"/>
        </w:rPr>
        <w:t>,</w:t>
      </w:r>
      <w:r w:rsidRPr="00FD6FD6">
        <w:rPr>
          <w:sz w:val="20"/>
          <w:szCs w:val="20"/>
        </w:rPr>
        <w:t xml:space="preserve"> 33(30):</w:t>
      </w:r>
      <w:r w:rsidR="00C84D57" w:rsidRPr="00FD6FD6">
        <w:rPr>
          <w:sz w:val="20"/>
          <w:szCs w:val="20"/>
        </w:rPr>
        <w:t xml:space="preserve"> </w:t>
      </w:r>
      <w:r w:rsidRPr="00FD6FD6">
        <w:rPr>
          <w:sz w:val="20"/>
          <w:szCs w:val="20"/>
        </w:rPr>
        <w:t>57-67.</w:t>
      </w:r>
    </w:p>
    <w:p w:rsidR="00C84D57" w:rsidRPr="00FD6FD6" w:rsidRDefault="001306E4"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Zaira, M. </w:t>
      </w:r>
      <w:r w:rsidR="00204408" w:rsidRPr="00FD6FD6">
        <w:rPr>
          <w:sz w:val="20"/>
          <w:szCs w:val="20"/>
        </w:rPr>
        <w:t>(</w:t>
      </w:r>
      <w:r w:rsidRPr="00FD6FD6">
        <w:rPr>
          <w:sz w:val="20"/>
          <w:szCs w:val="20"/>
        </w:rPr>
        <w:t>2014</w:t>
      </w:r>
      <w:r w:rsidR="00204408" w:rsidRPr="00FD6FD6">
        <w:rPr>
          <w:sz w:val="20"/>
          <w:szCs w:val="20"/>
        </w:rPr>
        <w:t>)</w:t>
      </w:r>
      <w:r w:rsidRPr="00FD6FD6">
        <w:rPr>
          <w:sz w:val="20"/>
          <w:szCs w:val="20"/>
        </w:rPr>
        <w:t xml:space="preserve">. Deep </w:t>
      </w:r>
      <w:r w:rsidR="00C84D57" w:rsidRPr="00FD6FD6">
        <w:rPr>
          <w:sz w:val="20"/>
          <w:szCs w:val="20"/>
        </w:rPr>
        <w:t>eutectic solvents</w:t>
      </w:r>
      <w:r w:rsidRPr="00FD6FD6">
        <w:rPr>
          <w:sz w:val="20"/>
          <w:szCs w:val="20"/>
        </w:rPr>
        <w:t xml:space="preserve">: Properties and </w:t>
      </w:r>
      <w:r w:rsidR="00C84D57" w:rsidRPr="00FD6FD6">
        <w:rPr>
          <w:sz w:val="20"/>
          <w:szCs w:val="20"/>
        </w:rPr>
        <w:t>biocatalytic applications.</w:t>
      </w:r>
      <w:r w:rsidRPr="00FD6FD6">
        <w:rPr>
          <w:sz w:val="20"/>
          <w:szCs w:val="20"/>
        </w:rPr>
        <w:t xml:space="preserve"> Thesis PhD, University (Rheinisch-Westfälische Technische Hochschule Aachen)</w:t>
      </w:r>
      <w:r w:rsidR="00C84D57" w:rsidRPr="00FD6FD6">
        <w:rPr>
          <w:sz w:val="20"/>
          <w:szCs w:val="20"/>
        </w:rPr>
        <w:t xml:space="preserve">, </w:t>
      </w:r>
      <w:r w:rsidRPr="00FD6FD6">
        <w:rPr>
          <w:sz w:val="20"/>
          <w:szCs w:val="20"/>
        </w:rPr>
        <w:t>Germany.</w:t>
      </w:r>
    </w:p>
    <w:p w:rsidR="0079107D" w:rsidRPr="00FD6FD6" w:rsidRDefault="00204408" w:rsidP="00FD6FD6">
      <w:pPr>
        <w:pStyle w:val="ListParagraph"/>
        <w:numPr>
          <w:ilvl w:val="0"/>
          <w:numId w:val="3"/>
        </w:numPr>
        <w:spacing w:before="0" w:line="240" w:lineRule="auto"/>
        <w:ind w:left="360"/>
        <w:rPr>
          <w:sz w:val="20"/>
          <w:szCs w:val="20"/>
          <w:shd w:val="clear" w:color="auto" w:fill="FFFFFF"/>
        </w:rPr>
      </w:pPr>
      <w:r w:rsidRPr="00FD6FD6">
        <w:rPr>
          <w:sz w:val="20"/>
          <w:szCs w:val="20"/>
        </w:rPr>
        <w:t>Lobo</w:t>
      </w:r>
      <w:r w:rsidR="00A138D0" w:rsidRPr="00FD6FD6">
        <w:rPr>
          <w:sz w:val="20"/>
          <w:szCs w:val="20"/>
        </w:rPr>
        <w:t xml:space="preserve">, </w:t>
      </w:r>
      <w:r w:rsidR="009756DB" w:rsidRPr="00FD6FD6">
        <w:rPr>
          <w:sz w:val="20"/>
          <w:szCs w:val="20"/>
        </w:rPr>
        <w:t>R</w:t>
      </w:r>
      <w:r w:rsidR="00A138D0" w:rsidRPr="00FD6FD6">
        <w:rPr>
          <w:sz w:val="20"/>
          <w:szCs w:val="20"/>
        </w:rPr>
        <w:t>.</w:t>
      </w:r>
      <w:r w:rsidR="009756DB" w:rsidRPr="00FD6FD6">
        <w:rPr>
          <w:sz w:val="20"/>
          <w:szCs w:val="20"/>
        </w:rPr>
        <w:t xml:space="preserve"> H. </w:t>
      </w:r>
      <w:r w:rsidRPr="00FD6FD6">
        <w:rPr>
          <w:sz w:val="20"/>
          <w:szCs w:val="20"/>
        </w:rPr>
        <w:t>(</w:t>
      </w:r>
      <w:r w:rsidR="009756DB" w:rsidRPr="00FD6FD6">
        <w:rPr>
          <w:sz w:val="20"/>
          <w:szCs w:val="20"/>
        </w:rPr>
        <w:t>2013</w:t>
      </w:r>
      <w:r w:rsidRPr="00FD6FD6">
        <w:rPr>
          <w:sz w:val="20"/>
          <w:szCs w:val="20"/>
        </w:rPr>
        <w:t>)</w:t>
      </w:r>
      <w:r w:rsidR="009756DB" w:rsidRPr="00FD6FD6">
        <w:rPr>
          <w:sz w:val="20"/>
          <w:szCs w:val="20"/>
        </w:rPr>
        <w:t xml:space="preserve">. </w:t>
      </w:r>
      <w:r w:rsidR="009756DB" w:rsidRPr="00FD6FD6">
        <w:rPr>
          <w:sz w:val="20"/>
          <w:szCs w:val="20"/>
          <w:shd w:val="clear" w:color="auto" w:fill="FFFFFF"/>
        </w:rPr>
        <w:t xml:space="preserve">Synthesis of </w:t>
      </w:r>
      <w:r w:rsidR="00C84D57" w:rsidRPr="00FD6FD6">
        <w:rPr>
          <w:sz w:val="20"/>
          <w:szCs w:val="20"/>
          <w:shd w:val="clear" w:color="auto" w:fill="FFFFFF"/>
        </w:rPr>
        <w:t>novel colorants for dye-sensitized solar cells and use of greener protocols for heterocyclic synthesis</w:t>
      </w:r>
      <w:r w:rsidR="00347E02" w:rsidRPr="00FD6FD6">
        <w:rPr>
          <w:sz w:val="20"/>
          <w:szCs w:val="20"/>
          <w:shd w:val="clear" w:color="auto" w:fill="FFFFFF"/>
        </w:rPr>
        <w:t xml:space="preserve">. Thesis </w:t>
      </w:r>
      <w:r w:rsidR="00497784" w:rsidRPr="00FD6FD6">
        <w:rPr>
          <w:sz w:val="20"/>
          <w:szCs w:val="20"/>
          <w:shd w:val="clear" w:color="auto" w:fill="FFFFFF"/>
        </w:rPr>
        <w:t>PhD</w:t>
      </w:r>
      <w:r w:rsidR="00347E02" w:rsidRPr="00FD6FD6">
        <w:rPr>
          <w:sz w:val="20"/>
          <w:szCs w:val="20"/>
          <w:shd w:val="clear" w:color="auto" w:fill="FFFFFF"/>
        </w:rPr>
        <w:t xml:space="preserve">. </w:t>
      </w:r>
      <w:r w:rsidR="009756DB" w:rsidRPr="00FD6FD6">
        <w:rPr>
          <w:rFonts w:eastAsia="Calibri"/>
          <w:bCs/>
          <w:sz w:val="20"/>
          <w:szCs w:val="20"/>
        </w:rPr>
        <w:t>Institute of Chemical Technology</w:t>
      </w:r>
      <w:r w:rsidR="00A138D0" w:rsidRPr="00FD6FD6">
        <w:rPr>
          <w:rFonts w:eastAsia="Calibri"/>
          <w:bCs/>
          <w:sz w:val="20"/>
          <w:szCs w:val="20"/>
        </w:rPr>
        <w:t>, India</w:t>
      </w:r>
      <w:r w:rsidR="009756DB" w:rsidRPr="00FD6FD6">
        <w:rPr>
          <w:rFonts w:eastAsia="Calibri"/>
          <w:bCs/>
          <w:sz w:val="20"/>
          <w:szCs w:val="20"/>
        </w:rPr>
        <w:t>.</w:t>
      </w:r>
    </w:p>
    <w:p w:rsidR="0079107D"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color w:val="222222"/>
          <w:sz w:val="20"/>
          <w:szCs w:val="20"/>
          <w:shd w:val="clear" w:color="auto" w:fill="FFFFFF"/>
        </w:rPr>
        <w:t xml:space="preserve">D’Agostino, C., Gladden, L. F., Mantle, M. D., Abbott, A. P., Essa, I. A., Al-Murshedi, A. Y. </w:t>
      </w:r>
      <w:r w:rsidR="00204408" w:rsidRPr="00FD6FD6">
        <w:rPr>
          <w:color w:val="222222"/>
          <w:sz w:val="20"/>
          <w:szCs w:val="20"/>
          <w:shd w:val="clear" w:color="auto" w:fill="FFFFFF"/>
        </w:rPr>
        <w:t>and</w:t>
      </w:r>
      <w:r w:rsidRPr="00FD6FD6">
        <w:rPr>
          <w:color w:val="222222"/>
          <w:sz w:val="20"/>
          <w:szCs w:val="20"/>
          <w:shd w:val="clear" w:color="auto" w:fill="FFFFFF"/>
        </w:rPr>
        <w:t xml:space="preserve"> Harris, R. C. </w:t>
      </w:r>
      <w:r w:rsidR="00204408" w:rsidRPr="00FD6FD6">
        <w:rPr>
          <w:color w:val="222222"/>
          <w:sz w:val="20"/>
          <w:szCs w:val="20"/>
          <w:shd w:val="clear" w:color="auto" w:fill="FFFFFF"/>
        </w:rPr>
        <w:t>(</w:t>
      </w:r>
      <w:r w:rsidRPr="00FD6FD6">
        <w:rPr>
          <w:color w:val="222222"/>
          <w:sz w:val="20"/>
          <w:szCs w:val="20"/>
          <w:shd w:val="clear" w:color="auto" w:fill="FFFFFF"/>
        </w:rPr>
        <w:t>2015</w:t>
      </w:r>
      <w:r w:rsidR="00204408" w:rsidRPr="00FD6FD6">
        <w:rPr>
          <w:color w:val="222222"/>
          <w:sz w:val="20"/>
          <w:szCs w:val="20"/>
          <w:shd w:val="clear" w:color="auto" w:fill="FFFFFF"/>
        </w:rPr>
        <w:t>)</w:t>
      </w:r>
      <w:r w:rsidRPr="00FD6FD6">
        <w:rPr>
          <w:color w:val="222222"/>
          <w:sz w:val="20"/>
          <w:szCs w:val="20"/>
          <w:shd w:val="clear" w:color="auto" w:fill="FFFFFF"/>
        </w:rPr>
        <w:t xml:space="preserve">. Molecular </w:t>
      </w:r>
      <w:r w:rsidR="0079107D" w:rsidRPr="00FD6FD6">
        <w:rPr>
          <w:color w:val="222222"/>
          <w:sz w:val="20"/>
          <w:szCs w:val="20"/>
          <w:shd w:val="clear" w:color="auto" w:fill="FFFFFF"/>
        </w:rPr>
        <w:t xml:space="preserve">and ionic diffusion in aqueous–deep eutectic solvent mixtures: Probing inter-molecular interactions using </w:t>
      </w:r>
      <w:r w:rsidRPr="00FD6FD6">
        <w:rPr>
          <w:color w:val="222222"/>
          <w:sz w:val="20"/>
          <w:szCs w:val="20"/>
          <w:shd w:val="clear" w:color="auto" w:fill="FFFFFF"/>
        </w:rPr>
        <w:t>PFG NMR.</w:t>
      </w:r>
      <w:r w:rsidRPr="00FD6FD6">
        <w:rPr>
          <w:rStyle w:val="apple-converted-space"/>
          <w:color w:val="222222"/>
          <w:sz w:val="20"/>
          <w:szCs w:val="20"/>
          <w:shd w:val="clear" w:color="auto" w:fill="FFFFFF"/>
        </w:rPr>
        <w:t> </w:t>
      </w:r>
      <w:r w:rsidRPr="00FD6FD6">
        <w:rPr>
          <w:i/>
          <w:iCs/>
          <w:color w:val="222222"/>
          <w:sz w:val="20"/>
          <w:szCs w:val="20"/>
          <w:shd w:val="clear" w:color="auto" w:fill="FFFFFF"/>
        </w:rPr>
        <w:t>Physical Chemistry Chemical Physics</w:t>
      </w:r>
      <w:r w:rsidR="00204408" w:rsidRPr="00FD6FD6">
        <w:rPr>
          <w:i/>
          <w:iCs/>
          <w:color w:val="222222"/>
          <w:sz w:val="20"/>
          <w:szCs w:val="20"/>
          <w:shd w:val="clear" w:color="auto" w:fill="FFFFFF"/>
        </w:rPr>
        <w:t xml:space="preserve">, </w:t>
      </w:r>
      <w:r w:rsidRPr="00FD6FD6">
        <w:rPr>
          <w:iCs/>
          <w:color w:val="222222"/>
          <w:sz w:val="20"/>
          <w:szCs w:val="20"/>
          <w:shd w:val="clear" w:color="auto" w:fill="FFFFFF"/>
        </w:rPr>
        <w:t>17</w:t>
      </w:r>
      <w:r w:rsidRPr="00FD6FD6">
        <w:rPr>
          <w:color w:val="222222"/>
          <w:sz w:val="20"/>
          <w:szCs w:val="20"/>
          <w:shd w:val="clear" w:color="auto" w:fill="FFFFFF"/>
        </w:rPr>
        <w:t>(23):</w:t>
      </w:r>
      <w:r w:rsidR="0079107D" w:rsidRPr="00FD6FD6">
        <w:rPr>
          <w:color w:val="222222"/>
          <w:sz w:val="20"/>
          <w:szCs w:val="20"/>
          <w:shd w:val="clear" w:color="auto" w:fill="FFFFFF"/>
        </w:rPr>
        <w:t xml:space="preserve"> </w:t>
      </w:r>
      <w:r w:rsidRPr="00FD6FD6">
        <w:rPr>
          <w:color w:val="222222"/>
          <w:sz w:val="20"/>
          <w:szCs w:val="20"/>
          <w:shd w:val="clear" w:color="auto" w:fill="FFFFFF"/>
        </w:rPr>
        <w:t>15297-15304.</w:t>
      </w:r>
    </w:p>
    <w:p w:rsidR="0079107D"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sz w:val="20"/>
          <w:szCs w:val="20"/>
        </w:rPr>
        <w:t xml:space="preserve">Yue, D., Jia, Y., Yao, Y., Sun, J. </w:t>
      </w:r>
      <w:r w:rsidR="00204408" w:rsidRPr="00FD6FD6">
        <w:rPr>
          <w:sz w:val="20"/>
          <w:szCs w:val="20"/>
        </w:rPr>
        <w:t>and</w:t>
      </w:r>
      <w:r w:rsidRPr="00FD6FD6">
        <w:rPr>
          <w:sz w:val="20"/>
          <w:szCs w:val="20"/>
        </w:rPr>
        <w:t xml:space="preserve"> Jing, Y. </w:t>
      </w:r>
      <w:r w:rsidR="00204408" w:rsidRPr="00FD6FD6">
        <w:rPr>
          <w:sz w:val="20"/>
          <w:szCs w:val="20"/>
        </w:rPr>
        <w:t>(</w:t>
      </w:r>
      <w:r w:rsidRPr="00FD6FD6">
        <w:rPr>
          <w:sz w:val="20"/>
          <w:szCs w:val="20"/>
        </w:rPr>
        <w:t>2012</w:t>
      </w:r>
      <w:r w:rsidR="00204408" w:rsidRPr="00FD6FD6">
        <w:rPr>
          <w:sz w:val="20"/>
          <w:szCs w:val="20"/>
        </w:rPr>
        <w:t>)</w:t>
      </w:r>
      <w:r w:rsidRPr="00FD6FD6">
        <w:rPr>
          <w:sz w:val="20"/>
          <w:szCs w:val="20"/>
        </w:rPr>
        <w:t xml:space="preserve">. Structure </w:t>
      </w:r>
      <w:r w:rsidR="0079107D" w:rsidRPr="00FD6FD6">
        <w:rPr>
          <w:sz w:val="20"/>
          <w:szCs w:val="20"/>
        </w:rPr>
        <w:t xml:space="preserve">and electrochemical behavior of ionic liquid analogue based on choline chloride and urea.  </w:t>
      </w:r>
      <w:r w:rsidRPr="00FD6FD6">
        <w:rPr>
          <w:i/>
          <w:iCs/>
          <w:sz w:val="20"/>
          <w:szCs w:val="20"/>
        </w:rPr>
        <w:t>Electrochimica Acta</w:t>
      </w:r>
      <w:r w:rsidR="00204408" w:rsidRPr="00FD6FD6">
        <w:rPr>
          <w:sz w:val="20"/>
          <w:szCs w:val="20"/>
        </w:rPr>
        <w:t>,</w:t>
      </w:r>
      <w:r w:rsidRPr="00FD6FD6">
        <w:rPr>
          <w:sz w:val="20"/>
          <w:szCs w:val="20"/>
        </w:rPr>
        <w:t xml:space="preserve"> </w:t>
      </w:r>
      <w:r w:rsidR="00184948" w:rsidRPr="00FD6FD6">
        <w:rPr>
          <w:sz w:val="20"/>
          <w:szCs w:val="20"/>
        </w:rPr>
        <w:t>65: 30-36</w:t>
      </w:r>
      <w:r w:rsidRPr="00FD6FD6">
        <w:rPr>
          <w:sz w:val="20"/>
          <w:szCs w:val="20"/>
        </w:rPr>
        <w:t>.</w:t>
      </w:r>
    </w:p>
    <w:p w:rsidR="0079107D"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sz w:val="20"/>
          <w:szCs w:val="20"/>
        </w:rPr>
        <w:t>Dai, Y., Van S</w:t>
      </w:r>
      <w:r w:rsidR="00204408" w:rsidRPr="00FD6FD6">
        <w:rPr>
          <w:sz w:val="20"/>
          <w:szCs w:val="20"/>
        </w:rPr>
        <w:t>.</w:t>
      </w:r>
      <w:r w:rsidRPr="00FD6FD6">
        <w:rPr>
          <w:sz w:val="20"/>
          <w:szCs w:val="20"/>
        </w:rPr>
        <w:t xml:space="preserve">, J., Witkamp, G.-J., Verpoorte, R. </w:t>
      </w:r>
      <w:r w:rsidR="00204408" w:rsidRPr="00FD6FD6">
        <w:rPr>
          <w:sz w:val="20"/>
          <w:szCs w:val="20"/>
        </w:rPr>
        <w:t>and</w:t>
      </w:r>
      <w:r w:rsidRPr="00FD6FD6">
        <w:rPr>
          <w:sz w:val="20"/>
          <w:szCs w:val="20"/>
        </w:rPr>
        <w:t xml:space="preserve"> Choi, Y. H.  </w:t>
      </w:r>
      <w:r w:rsidR="00204408" w:rsidRPr="00FD6FD6">
        <w:rPr>
          <w:sz w:val="20"/>
          <w:szCs w:val="20"/>
        </w:rPr>
        <w:t>(</w:t>
      </w:r>
      <w:r w:rsidRPr="00FD6FD6">
        <w:rPr>
          <w:sz w:val="20"/>
          <w:szCs w:val="20"/>
        </w:rPr>
        <w:t>2013</w:t>
      </w:r>
      <w:r w:rsidR="00204408" w:rsidRPr="00FD6FD6">
        <w:rPr>
          <w:sz w:val="20"/>
          <w:szCs w:val="20"/>
        </w:rPr>
        <w:t>)</w:t>
      </w:r>
      <w:r w:rsidR="00E8089B" w:rsidRPr="00FD6FD6">
        <w:rPr>
          <w:sz w:val="20"/>
          <w:szCs w:val="20"/>
        </w:rPr>
        <w:t>.</w:t>
      </w:r>
      <w:r w:rsidRPr="00FD6FD6">
        <w:rPr>
          <w:sz w:val="20"/>
          <w:szCs w:val="20"/>
        </w:rPr>
        <w:t xml:space="preserve"> Ionic </w:t>
      </w:r>
      <w:r w:rsidR="0079107D" w:rsidRPr="00FD6FD6">
        <w:rPr>
          <w:sz w:val="20"/>
          <w:szCs w:val="20"/>
        </w:rPr>
        <w:t xml:space="preserve">liquids and deep eutectic solvents in natural products research: Mixtures of solids as extraction solvents. </w:t>
      </w:r>
      <w:r w:rsidR="00204408" w:rsidRPr="00FD6FD6">
        <w:rPr>
          <w:i/>
          <w:iCs/>
          <w:sz w:val="20"/>
          <w:szCs w:val="20"/>
        </w:rPr>
        <w:t xml:space="preserve">Journal of </w:t>
      </w:r>
      <w:r w:rsidRPr="00FD6FD6">
        <w:rPr>
          <w:i/>
          <w:iCs/>
          <w:sz w:val="20"/>
          <w:szCs w:val="20"/>
        </w:rPr>
        <w:t>Natural Products</w:t>
      </w:r>
      <w:r w:rsidR="00204408" w:rsidRPr="00FD6FD6">
        <w:rPr>
          <w:i/>
          <w:iCs/>
          <w:sz w:val="20"/>
          <w:szCs w:val="20"/>
        </w:rPr>
        <w:t>,</w:t>
      </w:r>
      <w:r w:rsidR="0079107D" w:rsidRPr="00FD6FD6">
        <w:rPr>
          <w:sz w:val="20"/>
          <w:szCs w:val="20"/>
        </w:rPr>
        <w:t xml:space="preserve"> </w:t>
      </w:r>
      <w:r w:rsidRPr="00FD6FD6">
        <w:rPr>
          <w:sz w:val="20"/>
          <w:szCs w:val="20"/>
        </w:rPr>
        <w:t>76(11): 2162-2173.</w:t>
      </w:r>
    </w:p>
    <w:p w:rsidR="0079107D" w:rsidRPr="00FD6FD6" w:rsidRDefault="00E8089B" w:rsidP="00FD6FD6">
      <w:pPr>
        <w:pStyle w:val="ListParagraph"/>
        <w:numPr>
          <w:ilvl w:val="0"/>
          <w:numId w:val="3"/>
        </w:numPr>
        <w:spacing w:before="0" w:line="240" w:lineRule="auto"/>
        <w:ind w:left="360"/>
        <w:rPr>
          <w:sz w:val="20"/>
          <w:szCs w:val="20"/>
          <w:shd w:val="clear" w:color="auto" w:fill="FFFFFF"/>
        </w:rPr>
      </w:pPr>
      <w:r w:rsidRPr="00FD6FD6">
        <w:rPr>
          <w:sz w:val="20"/>
          <w:szCs w:val="20"/>
        </w:rPr>
        <w:t>Durand, E., Lecomte, J. and Villeneuve, P. (2013)</w:t>
      </w:r>
      <w:r w:rsidR="009756DB" w:rsidRPr="00FD6FD6">
        <w:rPr>
          <w:sz w:val="20"/>
          <w:szCs w:val="20"/>
        </w:rPr>
        <w:t xml:space="preserve">. Deep </w:t>
      </w:r>
      <w:r w:rsidR="0079107D" w:rsidRPr="00FD6FD6">
        <w:rPr>
          <w:sz w:val="20"/>
          <w:szCs w:val="20"/>
        </w:rPr>
        <w:t xml:space="preserve">eutectic solvents: Synthesis, application, and focus on lipase-catalyzed reactions. </w:t>
      </w:r>
      <w:r w:rsidR="009756DB" w:rsidRPr="00FD6FD6">
        <w:rPr>
          <w:i/>
          <w:iCs/>
          <w:sz w:val="20"/>
          <w:szCs w:val="20"/>
        </w:rPr>
        <w:t>European Journal of Lipid Science and Technology</w:t>
      </w:r>
      <w:r w:rsidRPr="00FD6FD6">
        <w:rPr>
          <w:i/>
          <w:iCs/>
          <w:sz w:val="20"/>
          <w:szCs w:val="20"/>
        </w:rPr>
        <w:t>,</w:t>
      </w:r>
      <w:r w:rsidR="009756DB" w:rsidRPr="00FD6FD6">
        <w:rPr>
          <w:sz w:val="20"/>
          <w:szCs w:val="20"/>
        </w:rPr>
        <w:t xml:space="preserve"> 115(4): 379-385.</w:t>
      </w:r>
    </w:p>
    <w:p w:rsidR="0079107D"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sz w:val="20"/>
          <w:szCs w:val="20"/>
          <w:lang w:val="en-US"/>
        </w:rPr>
        <w:t xml:space="preserve">Xiaolei, N., </w:t>
      </w:r>
      <w:r w:rsidRPr="00FD6FD6">
        <w:rPr>
          <w:color w:val="222222"/>
          <w:sz w:val="20"/>
          <w:szCs w:val="20"/>
          <w:shd w:val="clear" w:color="auto" w:fill="FFFFFF"/>
        </w:rPr>
        <w:t xml:space="preserve">Xing, H., Yang, Q., Wang, J., Su, B., Bao, Z. </w:t>
      </w:r>
      <w:r w:rsidR="00E8089B" w:rsidRPr="00FD6FD6">
        <w:rPr>
          <w:color w:val="222222"/>
          <w:sz w:val="20"/>
          <w:szCs w:val="20"/>
          <w:shd w:val="clear" w:color="auto" w:fill="FFFFFF"/>
        </w:rPr>
        <w:t>and</w:t>
      </w:r>
      <w:r w:rsidRPr="00FD6FD6">
        <w:rPr>
          <w:color w:val="222222"/>
          <w:sz w:val="20"/>
          <w:szCs w:val="20"/>
          <w:shd w:val="clear" w:color="auto" w:fill="FFFFFF"/>
        </w:rPr>
        <w:t xml:space="preserve"> Ren, Q. </w:t>
      </w:r>
      <w:r w:rsidR="00E8089B" w:rsidRPr="00FD6FD6">
        <w:rPr>
          <w:color w:val="222222"/>
          <w:sz w:val="20"/>
          <w:szCs w:val="20"/>
          <w:shd w:val="clear" w:color="auto" w:fill="FFFFFF"/>
        </w:rPr>
        <w:t>(</w:t>
      </w:r>
      <w:r w:rsidRPr="00FD6FD6">
        <w:rPr>
          <w:color w:val="222222"/>
          <w:sz w:val="20"/>
          <w:szCs w:val="20"/>
          <w:shd w:val="clear" w:color="auto" w:fill="FFFFFF"/>
        </w:rPr>
        <w:t>2012</w:t>
      </w:r>
      <w:r w:rsidR="00E8089B" w:rsidRPr="00FD6FD6">
        <w:rPr>
          <w:color w:val="222222"/>
          <w:sz w:val="20"/>
          <w:szCs w:val="20"/>
          <w:shd w:val="clear" w:color="auto" w:fill="FFFFFF"/>
        </w:rPr>
        <w:t>)</w:t>
      </w:r>
      <w:r w:rsidRPr="00FD6FD6">
        <w:rPr>
          <w:color w:val="222222"/>
          <w:sz w:val="20"/>
          <w:szCs w:val="20"/>
          <w:shd w:val="clear" w:color="auto" w:fill="FFFFFF"/>
        </w:rPr>
        <w:t xml:space="preserve">. Selective </w:t>
      </w:r>
      <w:r w:rsidR="0079107D" w:rsidRPr="00FD6FD6">
        <w:rPr>
          <w:color w:val="222222"/>
          <w:sz w:val="20"/>
          <w:szCs w:val="20"/>
          <w:shd w:val="clear" w:color="auto" w:fill="FFFFFF"/>
        </w:rPr>
        <w:t xml:space="preserve">liquid–liquid extraction of natural phenolic compounds using amino acid ionic liquids: a case of α-tocopherol and methyl linoleate separation. </w:t>
      </w:r>
      <w:r w:rsidRPr="00FD6FD6">
        <w:rPr>
          <w:i/>
          <w:iCs/>
          <w:color w:val="222222"/>
          <w:sz w:val="20"/>
          <w:szCs w:val="20"/>
          <w:shd w:val="clear" w:color="auto" w:fill="FFFFFF"/>
        </w:rPr>
        <w:t>Industrial &amp; Engineering Chemistry Research</w:t>
      </w:r>
      <w:r w:rsidR="00E8089B" w:rsidRPr="00FD6FD6">
        <w:rPr>
          <w:rStyle w:val="apple-converted-space"/>
          <w:color w:val="222222"/>
          <w:sz w:val="20"/>
          <w:szCs w:val="20"/>
          <w:shd w:val="clear" w:color="auto" w:fill="FFFFFF"/>
        </w:rPr>
        <w:t xml:space="preserve">, </w:t>
      </w:r>
      <w:r w:rsidRPr="00FD6FD6">
        <w:rPr>
          <w:iCs/>
          <w:color w:val="222222"/>
          <w:sz w:val="20"/>
          <w:szCs w:val="20"/>
          <w:shd w:val="clear" w:color="auto" w:fill="FFFFFF"/>
        </w:rPr>
        <w:t>51</w:t>
      </w:r>
      <w:r w:rsidRPr="00FD6FD6">
        <w:rPr>
          <w:color w:val="222222"/>
          <w:sz w:val="20"/>
          <w:szCs w:val="20"/>
          <w:shd w:val="clear" w:color="auto" w:fill="FFFFFF"/>
        </w:rPr>
        <w:t>(18): 6480-6488.</w:t>
      </w:r>
    </w:p>
    <w:p w:rsidR="0079107D"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sz w:val="20"/>
          <w:szCs w:val="20"/>
        </w:rPr>
        <w:t>Haiying</w:t>
      </w:r>
      <w:r w:rsidR="005D63CF" w:rsidRPr="00FD6FD6">
        <w:rPr>
          <w:sz w:val="20"/>
          <w:szCs w:val="20"/>
        </w:rPr>
        <w:t>,</w:t>
      </w:r>
      <w:r w:rsidRPr="00FD6FD6">
        <w:rPr>
          <w:sz w:val="20"/>
          <w:szCs w:val="20"/>
        </w:rPr>
        <w:t xml:space="preserve"> D</w:t>
      </w:r>
      <w:r w:rsidR="0079107D" w:rsidRPr="00FD6FD6">
        <w:rPr>
          <w:sz w:val="20"/>
          <w:szCs w:val="20"/>
        </w:rPr>
        <w:t>.</w:t>
      </w:r>
      <w:r w:rsidRPr="00FD6FD6">
        <w:rPr>
          <w:sz w:val="20"/>
          <w:szCs w:val="20"/>
        </w:rPr>
        <w:t xml:space="preserve"> </w:t>
      </w:r>
      <w:r w:rsidR="005D63CF" w:rsidRPr="00FD6FD6">
        <w:rPr>
          <w:sz w:val="20"/>
          <w:szCs w:val="20"/>
        </w:rPr>
        <w:t>(</w:t>
      </w:r>
      <w:r w:rsidRPr="00FD6FD6">
        <w:rPr>
          <w:sz w:val="20"/>
          <w:szCs w:val="20"/>
        </w:rPr>
        <w:t>2013</w:t>
      </w:r>
      <w:r w:rsidR="005D63CF" w:rsidRPr="00FD6FD6">
        <w:rPr>
          <w:sz w:val="20"/>
          <w:szCs w:val="20"/>
        </w:rPr>
        <w:t>)</w:t>
      </w:r>
      <w:r w:rsidRPr="00FD6FD6">
        <w:rPr>
          <w:sz w:val="20"/>
          <w:szCs w:val="20"/>
        </w:rPr>
        <w:t xml:space="preserve">. Low </w:t>
      </w:r>
      <w:r w:rsidR="0079107D" w:rsidRPr="00FD6FD6">
        <w:rPr>
          <w:sz w:val="20"/>
          <w:szCs w:val="20"/>
        </w:rPr>
        <w:t xml:space="preserve">transition- temperature mixtures </w:t>
      </w:r>
      <w:r w:rsidRPr="00FD6FD6">
        <w:rPr>
          <w:sz w:val="20"/>
          <w:szCs w:val="20"/>
        </w:rPr>
        <w:t xml:space="preserve">(LTTMs): New </w:t>
      </w:r>
      <w:r w:rsidR="0079107D" w:rsidRPr="00FD6FD6">
        <w:rPr>
          <w:sz w:val="20"/>
          <w:szCs w:val="20"/>
        </w:rPr>
        <w:t>generation of designer solvents. Acess from</w:t>
      </w:r>
      <w:r w:rsidR="0079107D" w:rsidRPr="00FD6FD6">
        <w:rPr>
          <w:color w:val="auto"/>
          <w:sz w:val="20"/>
          <w:szCs w:val="20"/>
        </w:rPr>
        <w:t xml:space="preserve"> </w:t>
      </w:r>
      <w:hyperlink r:id="rId24" w:history="1">
        <w:r w:rsidR="0079107D" w:rsidRPr="00FD6FD6">
          <w:rPr>
            <w:rStyle w:val="Hyperlink"/>
            <w:color w:val="auto"/>
            <w:sz w:val="20"/>
            <w:szCs w:val="20"/>
            <w:u w:val="none"/>
          </w:rPr>
          <w:t>http://ism2.univ-amu.fr/fichiers_pdf/seminaires-stereo/2013-07-15-biblio-2013-04-08-haiying-DU.pdf [23</w:t>
        </w:r>
      </w:hyperlink>
      <w:r w:rsidRPr="00FD6FD6">
        <w:rPr>
          <w:sz w:val="20"/>
          <w:szCs w:val="20"/>
        </w:rPr>
        <w:t xml:space="preserve"> March 2016].</w:t>
      </w:r>
    </w:p>
    <w:p w:rsidR="0079107D"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sz w:val="20"/>
          <w:szCs w:val="20"/>
          <w:shd w:val="clear" w:color="auto" w:fill="FFFFFF"/>
        </w:rPr>
        <w:t xml:space="preserve">Abbott, A. P., Glen, C. and Stephen, G. </w:t>
      </w:r>
      <w:r w:rsidR="005D63CF" w:rsidRPr="00FD6FD6">
        <w:rPr>
          <w:sz w:val="20"/>
          <w:szCs w:val="20"/>
          <w:shd w:val="clear" w:color="auto" w:fill="FFFFFF"/>
        </w:rPr>
        <w:t>(</w:t>
      </w:r>
      <w:r w:rsidRPr="00FD6FD6">
        <w:rPr>
          <w:sz w:val="20"/>
          <w:szCs w:val="20"/>
          <w:shd w:val="clear" w:color="auto" w:fill="FFFFFF"/>
        </w:rPr>
        <w:t>2006</w:t>
      </w:r>
      <w:r w:rsidR="005D63CF" w:rsidRPr="00FD6FD6">
        <w:rPr>
          <w:sz w:val="20"/>
          <w:szCs w:val="20"/>
          <w:shd w:val="clear" w:color="auto" w:fill="FFFFFF"/>
        </w:rPr>
        <w:t xml:space="preserve">). </w:t>
      </w:r>
      <w:r w:rsidRPr="00FD6FD6">
        <w:rPr>
          <w:sz w:val="20"/>
          <w:szCs w:val="20"/>
          <w:shd w:val="clear" w:color="auto" w:fill="FFFFFF"/>
        </w:rPr>
        <w:t xml:space="preserve">Design </w:t>
      </w:r>
      <w:r w:rsidR="00653480" w:rsidRPr="00FD6FD6">
        <w:rPr>
          <w:sz w:val="20"/>
          <w:szCs w:val="20"/>
          <w:shd w:val="clear" w:color="auto" w:fill="FFFFFF"/>
        </w:rPr>
        <w:t>of improved deep eutectic solvents using hole theory.</w:t>
      </w:r>
      <w:r w:rsidR="00653480" w:rsidRPr="00FD6FD6">
        <w:rPr>
          <w:rStyle w:val="apple-converted-space"/>
          <w:sz w:val="20"/>
          <w:szCs w:val="20"/>
          <w:shd w:val="clear" w:color="auto" w:fill="FFFFFF"/>
        </w:rPr>
        <w:t> </w:t>
      </w:r>
      <w:r w:rsidR="00066A5E" w:rsidRPr="00FD6FD6">
        <w:rPr>
          <w:rStyle w:val="apple-converted-space"/>
          <w:i/>
          <w:sz w:val="20"/>
          <w:szCs w:val="20"/>
          <w:shd w:val="clear" w:color="auto" w:fill="FFFFFF"/>
        </w:rPr>
        <w:t>European Journal of Chemical Physics and Physical Chemistry</w:t>
      </w:r>
      <w:r w:rsidR="00066A5E" w:rsidRPr="00FD6FD6">
        <w:rPr>
          <w:rStyle w:val="apple-converted-space"/>
          <w:sz w:val="20"/>
          <w:szCs w:val="20"/>
          <w:shd w:val="clear" w:color="auto" w:fill="FFFFFF"/>
        </w:rPr>
        <w:t>,</w:t>
      </w:r>
      <w:r w:rsidR="00066A5E" w:rsidRPr="00FD6FD6">
        <w:rPr>
          <w:sz w:val="20"/>
          <w:szCs w:val="20"/>
          <w:shd w:val="clear" w:color="auto" w:fill="FFFFFF"/>
        </w:rPr>
        <w:t xml:space="preserve"> </w:t>
      </w:r>
      <w:r w:rsidRPr="00FD6FD6">
        <w:rPr>
          <w:sz w:val="20"/>
          <w:szCs w:val="20"/>
          <w:shd w:val="clear" w:color="auto" w:fill="FFFFFF"/>
        </w:rPr>
        <w:t>7(4): 803-806.</w:t>
      </w:r>
    </w:p>
    <w:p w:rsidR="0079107D" w:rsidRPr="00FD6FD6" w:rsidRDefault="00676013" w:rsidP="00FD6FD6">
      <w:pPr>
        <w:pStyle w:val="ListParagraph"/>
        <w:numPr>
          <w:ilvl w:val="0"/>
          <w:numId w:val="3"/>
        </w:numPr>
        <w:spacing w:before="0" w:line="240" w:lineRule="auto"/>
        <w:ind w:left="360"/>
        <w:rPr>
          <w:sz w:val="20"/>
          <w:szCs w:val="20"/>
          <w:shd w:val="clear" w:color="auto" w:fill="FFFFFF"/>
        </w:rPr>
      </w:pPr>
      <w:r w:rsidRPr="00FD6FD6">
        <w:rPr>
          <w:sz w:val="20"/>
          <w:szCs w:val="20"/>
          <w:shd w:val="clear" w:color="auto" w:fill="FFFFFF"/>
        </w:rPr>
        <w:t>Dubbs, M. D.</w:t>
      </w:r>
      <w:r w:rsidR="00653480" w:rsidRPr="00FD6FD6">
        <w:rPr>
          <w:sz w:val="20"/>
          <w:szCs w:val="20"/>
          <w:shd w:val="clear" w:color="auto" w:fill="FFFFFF"/>
        </w:rPr>
        <w:t xml:space="preserve"> and</w:t>
      </w:r>
      <w:r w:rsidRPr="00FD6FD6">
        <w:rPr>
          <w:sz w:val="20"/>
          <w:szCs w:val="20"/>
          <w:shd w:val="clear" w:color="auto" w:fill="FFFFFF"/>
        </w:rPr>
        <w:t xml:space="preserve"> Gupta, R. B. (1998). Solubility of </w:t>
      </w:r>
      <w:r w:rsidR="00653480" w:rsidRPr="00FD6FD6">
        <w:rPr>
          <w:sz w:val="20"/>
          <w:szCs w:val="20"/>
          <w:shd w:val="clear" w:color="auto" w:fill="FFFFFF"/>
        </w:rPr>
        <w:t>v</w:t>
      </w:r>
      <w:r w:rsidRPr="00FD6FD6">
        <w:rPr>
          <w:sz w:val="20"/>
          <w:szCs w:val="20"/>
          <w:shd w:val="clear" w:color="auto" w:fill="FFFFFF"/>
        </w:rPr>
        <w:t>itamin E (α-</w:t>
      </w:r>
      <w:r w:rsidR="00653480" w:rsidRPr="00FD6FD6">
        <w:rPr>
          <w:sz w:val="20"/>
          <w:szCs w:val="20"/>
          <w:shd w:val="clear" w:color="auto" w:fill="FFFFFF"/>
        </w:rPr>
        <w:t>t</w:t>
      </w:r>
      <w:r w:rsidRPr="00FD6FD6">
        <w:rPr>
          <w:sz w:val="20"/>
          <w:szCs w:val="20"/>
          <w:shd w:val="clear" w:color="auto" w:fill="FFFFFF"/>
        </w:rPr>
        <w:t xml:space="preserve">ocopherol) and </w:t>
      </w:r>
      <w:r w:rsidR="00653480" w:rsidRPr="00FD6FD6">
        <w:rPr>
          <w:sz w:val="20"/>
          <w:szCs w:val="20"/>
          <w:shd w:val="clear" w:color="auto" w:fill="FFFFFF"/>
        </w:rPr>
        <w:t>v</w:t>
      </w:r>
      <w:r w:rsidRPr="00FD6FD6">
        <w:rPr>
          <w:sz w:val="20"/>
          <w:szCs w:val="20"/>
          <w:shd w:val="clear" w:color="auto" w:fill="FFFFFF"/>
        </w:rPr>
        <w:t xml:space="preserve">itamin K3 </w:t>
      </w:r>
      <w:r w:rsidR="00653480" w:rsidRPr="00FD6FD6">
        <w:rPr>
          <w:sz w:val="20"/>
          <w:szCs w:val="20"/>
          <w:shd w:val="clear" w:color="auto" w:fill="FFFFFF"/>
        </w:rPr>
        <w:t>(menadione) in ethanol− water mixture</w:t>
      </w:r>
      <w:r w:rsidRPr="00FD6FD6">
        <w:rPr>
          <w:sz w:val="20"/>
          <w:szCs w:val="20"/>
          <w:shd w:val="clear" w:color="auto" w:fill="FFFFFF"/>
        </w:rPr>
        <w:t>. </w:t>
      </w:r>
      <w:r w:rsidRPr="00FD6FD6">
        <w:rPr>
          <w:i/>
          <w:iCs/>
          <w:sz w:val="20"/>
          <w:szCs w:val="20"/>
          <w:shd w:val="clear" w:color="auto" w:fill="FFFFFF"/>
        </w:rPr>
        <w:t>Journal of Chemical &amp; Engineering Data</w:t>
      </w:r>
      <w:r w:rsidRPr="00FD6FD6">
        <w:rPr>
          <w:sz w:val="20"/>
          <w:szCs w:val="20"/>
          <w:shd w:val="clear" w:color="auto" w:fill="FFFFFF"/>
        </w:rPr>
        <w:t>, </w:t>
      </w:r>
      <w:r w:rsidRPr="00FD6FD6">
        <w:rPr>
          <w:iCs/>
          <w:sz w:val="20"/>
          <w:szCs w:val="20"/>
          <w:shd w:val="clear" w:color="auto" w:fill="FFFFFF"/>
        </w:rPr>
        <w:t>43</w:t>
      </w:r>
      <w:r w:rsidRPr="00FD6FD6">
        <w:rPr>
          <w:sz w:val="20"/>
          <w:szCs w:val="20"/>
          <w:shd w:val="clear" w:color="auto" w:fill="FFFFFF"/>
        </w:rPr>
        <w:t>(4)</w:t>
      </w:r>
      <w:r w:rsidR="00653480" w:rsidRPr="00FD6FD6">
        <w:rPr>
          <w:sz w:val="20"/>
          <w:szCs w:val="20"/>
          <w:shd w:val="clear" w:color="auto" w:fill="FFFFFF"/>
        </w:rPr>
        <w:t>:</w:t>
      </w:r>
      <w:r w:rsidRPr="00FD6FD6">
        <w:rPr>
          <w:sz w:val="20"/>
          <w:szCs w:val="20"/>
          <w:shd w:val="clear" w:color="auto" w:fill="FFFFFF"/>
        </w:rPr>
        <w:t xml:space="preserve"> 590-591.</w:t>
      </w:r>
    </w:p>
    <w:p w:rsidR="009756DB" w:rsidRPr="00FD6FD6" w:rsidRDefault="009756DB" w:rsidP="00FD6FD6">
      <w:pPr>
        <w:pStyle w:val="ListParagraph"/>
        <w:numPr>
          <w:ilvl w:val="0"/>
          <w:numId w:val="3"/>
        </w:numPr>
        <w:spacing w:before="0" w:line="240" w:lineRule="auto"/>
        <w:ind w:left="360"/>
        <w:rPr>
          <w:sz w:val="20"/>
          <w:szCs w:val="20"/>
          <w:shd w:val="clear" w:color="auto" w:fill="FFFFFF"/>
        </w:rPr>
      </w:pPr>
      <w:r w:rsidRPr="00FD6FD6">
        <w:rPr>
          <w:color w:val="222222"/>
          <w:sz w:val="20"/>
          <w:szCs w:val="20"/>
          <w:shd w:val="clear" w:color="auto" w:fill="FFFFFF"/>
        </w:rPr>
        <w:t xml:space="preserve">Dai, Y, Van Spronsen, J., Witkamp, G. J., Verpoorte, R. </w:t>
      </w:r>
      <w:r w:rsidR="00066A5E" w:rsidRPr="00FD6FD6">
        <w:rPr>
          <w:color w:val="222222"/>
          <w:sz w:val="20"/>
          <w:szCs w:val="20"/>
          <w:shd w:val="clear" w:color="auto" w:fill="FFFFFF"/>
        </w:rPr>
        <w:t>and</w:t>
      </w:r>
      <w:r w:rsidRPr="00FD6FD6">
        <w:rPr>
          <w:color w:val="222222"/>
          <w:sz w:val="20"/>
          <w:szCs w:val="20"/>
          <w:shd w:val="clear" w:color="auto" w:fill="FFFFFF"/>
        </w:rPr>
        <w:t xml:space="preserve"> Choi, Y. H. </w:t>
      </w:r>
      <w:r w:rsidR="00066A5E" w:rsidRPr="00FD6FD6">
        <w:rPr>
          <w:color w:val="222222"/>
          <w:sz w:val="20"/>
          <w:szCs w:val="20"/>
          <w:shd w:val="clear" w:color="auto" w:fill="FFFFFF"/>
        </w:rPr>
        <w:t>(</w:t>
      </w:r>
      <w:r w:rsidRPr="00FD6FD6">
        <w:rPr>
          <w:color w:val="222222"/>
          <w:sz w:val="20"/>
          <w:szCs w:val="20"/>
          <w:shd w:val="clear" w:color="auto" w:fill="FFFFFF"/>
        </w:rPr>
        <w:t>2013</w:t>
      </w:r>
      <w:r w:rsidR="00066A5E" w:rsidRPr="00FD6FD6">
        <w:rPr>
          <w:color w:val="222222"/>
          <w:sz w:val="20"/>
          <w:szCs w:val="20"/>
          <w:shd w:val="clear" w:color="auto" w:fill="FFFFFF"/>
        </w:rPr>
        <w:t>)</w:t>
      </w:r>
      <w:r w:rsidRPr="00FD6FD6">
        <w:rPr>
          <w:color w:val="222222"/>
          <w:sz w:val="20"/>
          <w:szCs w:val="20"/>
          <w:shd w:val="clear" w:color="auto" w:fill="FFFFFF"/>
        </w:rPr>
        <w:t>.</w:t>
      </w:r>
      <w:r w:rsidR="00066A5E" w:rsidRPr="00FD6FD6">
        <w:rPr>
          <w:color w:val="222222"/>
          <w:sz w:val="20"/>
          <w:szCs w:val="20"/>
          <w:shd w:val="clear" w:color="auto" w:fill="FFFFFF"/>
        </w:rPr>
        <w:t xml:space="preserve"> </w:t>
      </w:r>
      <w:r w:rsidRPr="00FD6FD6">
        <w:rPr>
          <w:color w:val="222222"/>
          <w:sz w:val="20"/>
          <w:szCs w:val="20"/>
          <w:shd w:val="clear" w:color="auto" w:fill="FFFFFF"/>
        </w:rPr>
        <w:t xml:space="preserve">Natural </w:t>
      </w:r>
      <w:r w:rsidR="00653480" w:rsidRPr="00FD6FD6">
        <w:rPr>
          <w:color w:val="222222"/>
          <w:sz w:val="20"/>
          <w:szCs w:val="20"/>
          <w:shd w:val="clear" w:color="auto" w:fill="FFFFFF"/>
        </w:rPr>
        <w:t>deep eutectic solvents as new potential media for green technology.</w:t>
      </w:r>
      <w:r w:rsidR="00653480" w:rsidRPr="00FD6FD6">
        <w:rPr>
          <w:rStyle w:val="apple-converted-space"/>
          <w:color w:val="222222"/>
          <w:sz w:val="20"/>
          <w:szCs w:val="20"/>
          <w:shd w:val="clear" w:color="auto" w:fill="FFFFFF"/>
        </w:rPr>
        <w:t> </w:t>
      </w:r>
      <w:r w:rsidR="00066A5E" w:rsidRPr="00FD6FD6">
        <w:rPr>
          <w:i/>
          <w:iCs/>
          <w:color w:val="222222"/>
          <w:sz w:val="20"/>
          <w:szCs w:val="20"/>
          <w:shd w:val="clear" w:color="auto" w:fill="FFFFFF"/>
        </w:rPr>
        <w:t xml:space="preserve">Analytica </w:t>
      </w:r>
      <w:r w:rsidRPr="00FD6FD6">
        <w:rPr>
          <w:i/>
          <w:iCs/>
          <w:color w:val="222222"/>
          <w:sz w:val="20"/>
          <w:szCs w:val="20"/>
          <w:shd w:val="clear" w:color="auto" w:fill="FFFFFF"/>
        </w:rPr>
        <w:t>Chimica Acta</w:t>
      </w:r>
      <w:r w:rsidR="00066A5E" w:rsidRPr="00FD6FD6">
        <w:rPr>
          <w:i/>
          <w:iCs/>
          <w:color w:val="222222"/>
          <w:sz w:val="20"/>
          <w:szCs w:val="20"/>
          <w:shd w:val="clear" w:color="auto" w:fill="FFFFFF"/>
        </w:rPr>
        <w:t>,</w:t>
      </w:r>
      <w:r w:rsidRPr="00FD6FD6">
        <w:rPr>
          <w:rStyle w:val="apple-converted-space"/>
          <w:color w:val="222222"/>
          <w:sz w:val="20"/>
          <w:szCs w:val="20"/>
          <w:shd w:val="clear" w:color="auto" w:fill="FFFFFF"/>
        </w:rPr>
        <w:t> </w:t>
      </w:r>
      <w:r w:rsidRPr="00FD6FD6">
        <w:rPr>
          <w:color w:val="222222"/>
          <w:sz w:val="20"/>
          <w:szCs w:val="20"/>
          <w:shd w:val="clear" w:color="auto" w:fill="FFFFFF"/>
        </w:rPr>
        <w:t>766: 61-68.</w:t>
      </w:r>
    </w:p>
    <w:p w:rsidR="00EC409D" w:rsidRDefault="00EC409D" w:rsidP="009756DB">
      <w:pPr>
        <w:tabs>
          <w:tab w:val="left" w:pos="1080"/>
        </w:tabs>
        <w:ind w:left="397" w:hanging="397"/>
        <w:jc w:val="both"/>
        <w:rPr>
          <w:color w:val="222222"/>
          <w:shd w:val="clear" w:color="auto" w:fill="FFFFFF"/>
        </w:rPr>
      </w:pPr>
    </w:p>
    <w:p w:rsidR="00EC409D" w:rsidRDefault="00EC409D" w:rsidP="009756DB">
      <w:pPr>
        <w:tabs>
          <w:tab w:val="left" w:pos="1080"/>
        </w:tabs>
        <w:ind w:left="397" w:hanging="397"/>
        <w:jc w:val="both"/>
        <w:rPr>
          <w:color w:val="222222"/>
          <w:shd w:val="clear" w:color="auto" w:fill="FFFFFF"/>
        </w:rPr>
      </w:pPr>
    </w:p>
    <w:p w:rsidR="0038630B" w:rsidRPr="0038630B" w:rsidRDefault="0038630B" w:rsidP="0038630B">
      <w:pPr>
        <w:autoSpaceDE w:val="0"/>
        <w:autoSpaceDN w:val="0"/>
        <w:adjustRightInd w:val="0"/>
        <w:ind w:left="397" w:hanging="397"/>
        <w:jc w:val="both"/>
        <w:rPr>
          <w:color w:val="222222"/>
          <w:szCs w:val="18"/>
          <w:shd w:val="clear" w:color="auto" w:fill="FFFFFF"/>
        </w:rPr>
      </w:pPr>
    </w:p>
    <w:p w:rsidR="0038630B" w:rsidRPr="00C84B9E" w:rsidRDefault="0038630B" w:rsidP="0038630B">
      <w:pPr>
        <w:ind w:left="454" w:hanging="454"/>
        <w:jc w:val="both"/>
        <w:rPr>
          <w:szCs w:val="18"/>
        </w:rPr>
      </w:pPr>
    </w:p>
    <w:p w:rsidR="00C84B9E" w:rsidRPr="00C84B9E" w:rsidRDefault="00C84B9E" w:rsidP="00C84B9E">
      <w:pPr>
        <w:autoSpaceDE w:val="0"/>
        <w:autoSpaceDN w:val="0"/>
        <w:adjustRightInd w:val="0"/>
        <w:ind w:left="284" w:hanging="284"/>
        <w:jc w:val="both"/>
        <w:rPr>
          <w:color w:val="222222"/>
          <w:shd w:val="clear" w:color="auto" w:fill="FFFFFF"/>
        </w:rPr>
      </w:pPr>
    </w:p>
    <w:p w:rsidR="00C84B9E" w:rsidRPr="00C84B9E" w:rsidRDefault="00C84B9E" w:rsidP="00C84B9E">
      <w:pPr>
        <w:autoSpaceDE w:val="0"/>
        <w:autoSpaceDN w:val="0"/>
        <w:adjustRightInd w:val="0"/>
        <w:ind w:left="340" w:hanging="340"/>
        <w:jc w:val="both"/>
        <w:rPr>
          <w:szCs w:val="18"/>
          <w:lang w:val="en-US"/>
        </w:rPr>
      </w:pPr>
    </w:p>
    <w:p w:rsidR="00C84B9E" w:rsidRPr="00686348" w:rsidRDefault="00C84B9E" w:rsidP="00C84B9E">
      <w:pPr>
        <w:autoSpaceDE w:val="0"/>
        <w:autoSpaceDN w:val="0"/>
        <w:adjustRightInd w:val="0"/>
        <w:ind w:left="284" w:hanging="284"/>
        <w:jc w:val="both"/>
        <w:rPr>
          <w:sz w:val="18"/>
          <w:szCs w:val="18"/>
          <w:lang w:val="en-US"/>
        </w:rPr>
      </w:pPr>
    </w:p>
    <w:p w:rsidR="00C84B9E" w:rsidRPr="00C84B9E" w:rsidRDefault="00C84B9E" w:rsidP="00C84B9E">
      <w:pPr>
        <w:tabs>
          <w:tab w:val="left" w:pos="1080"/>
        </w:tabs>
        <w:ind w:left="284" w:hanging="284"/>
        <w:jc w:val="both"/>
        <w:rPr>
          <w:color w:val="222222"/>
          <w:shd w:val="clear" w:color="auto" w:fill="FFFFFF"/>
        </w:rPr>
      </w:pPr>
    </w:p>
    <w:p w:rsidR="00515B98" w:rsidRPr="00184948" w:rsidRDefault="00515B98" w:rsidP="00184948">
      <w:pPr>
        <w:tabs>
          <w:tab w:val="left" w:pos="1170"/>
        </w:tabs>
        <w:jc w:val="both"/>
        <w:rPr>
          <w:shd w:val="clear" w:color="auto" w:fill="FFFFFF"/>
        </w:rPr>
      </w:pPr>
    </w:p>
    <w:p w:rsidR="00515B98" w:rsidRPr="001306E4" w:rsidRDefault="00515B98" w:rsidP="00502C96">
      <w:pPr>
        <w:tabs>
          <w:tab w:val="left" w:pos="1080"/>
        </w:tabs>
        <w:ind w:left="720" w:hanging="720"/>
        <w:jc w:val="both"/>
      </w:pPr>
    </w:p>
    <w:p w:rsidR="00515B98" w:rsidRPr="001306E4" w:rsidRDefault="00515B98" w:rsidP="00502C96">
      <w:pPr>
        <w:ind w:left="720" w:hanging="720"/>
        <w:jc w:val="both"/>
      </w:pPr>
    </w:p>
    <w:p w:rsidR="00515B98" w:rsidRPr="001306E4" w:rsidRDefault="00515B98" w:rsidP="00502C96">
      <w:pPr>
        <w:ind w:left="720" w:hanging="720"/>
        <w:jc w:val="both"/>
      </w:pPr>
    </w:p>
    <w:p w:rsidR="00515B98" w:rsidRPr="001306E4" w:rsidRDefault="00515B98" w:rsidP="00502C96">
      <w:pPr>
        <w:autoSpaceDE w:val="0"/>
        <w:autoSpaceDN w:val="0"/>
        <w:adjustRightInd w:val="0"/>
        <w:ind w:left="720" w:hanging="720"/>
        <w:jc w:val="both"/>
        <w:rPr>
          <w:rFonts w:eastAsia="Calibri"/>
          <w:bCs/>
        </w:rPr>
      </w:pPr>
    </w:p>
    <w:p w:rsidR="00515B98" w:rsidRPr="001306E4" w:rsidRDefault="00515B98" w:rsidP="00502C96">
      <w:pPr>
        <w:ind w:left="720" w:hanging="720"/>
        <w:jc w:val="both"/>
        <w:rPr>
          <w:shd w:val="clear" w:color="auto" w:fill="FFFFFF"/>
        </w:rPr>
      </w:pPr>
    </w:p>
    <w:p w:rsidR="00515B98" w:rsidRPr="001306E4" w:rsidRDefault="00515B98" w:rsidP="00502C96">
      <w:pPr>
        <w:autoSpaceDE w:val="0"/>
        <w:autoSpaceDN w:val="0"/>
        <w:adjustRightInd w:val="0"/>
        <w:ind w:left="720" w:hanging="720"/>
        <w:jc w:val="both"/>
        <w:rPr>
          <w:color w:val="222222"/>
          <w:shd w:val="clear" w:color="auto" w:fill="FFFFFF"/>
        </w:rPr>
      </w:pPr>
    </w:p>
    <w:p w:rsidR="00515B98" w:rsidRPr="001306E4" w:rsidRDefault="00515B98" w:rsidP="00502C96">
      <w:pPr>
        <w:ind w:left="720" w:hanging="720"/>
        <w:jc w:val="both"/>
      </w:pPr>
    </w:p>
    <w:p w:rsidR="00515B98" w:rsidRPr="001306E4" w:rsidRDefault="00515B98" w:rsidP="00502C96">
      <w:pPr>
        <w:tabs>
          <w:tab w:val="left" w:pos="810"/>
        </w:tabs>
        <w:ind w:left="720" w:hanging="720"/>
        <w:jc w:val="both"/>
      </w:pPr>
    </w:p>
    <w:p w:rsidR="00515B98" w:rsidRPr="001306E4" w:rsidRDefault="00515B98" w:rsidP="00502C96">
      <w:pPr>
        <w:ind w:left="720" w:hanging="720"/>
        <w:jc w:val="both"/>
      </w:pPr>
    </w:p>
    <w:p w:rsidR="00515B98" w:rsidRPr="001306E4" w:rsidRDefault="00515B98" w:rsidP="00502C96">
      <w:pPr>
        <w:tabs>
          <w:tab w:val="left" w:pos="1080"/>
        </w:tabs>
        <w:ind w:left="720" w:hanging="720"/>
        <w:jc w:val="both"/>
      </w:pPr>
    </w:p>
    <w:p w:rsidR="00515B98" w:rsidRPr="001306E4" w:rsidRDefault="00515B98" w:rsidP="00502C96">
      <w:pPr>
        <w:tabs>
          <w:tab w:val="left" w:pos="1170"/>
        </w:tabs>
        <w:ind w:left="720" w:hanging="720"/>
        <w:jc w:val="both"/>
      </w:pPr>
    </w:p>
    <w:p w:rsidR="00515B98" w:rsidRPr="001306E4" w:rsidRDefault="00515B98" w:rsidP="00502C96">
      <w:pPr>
        <w:autoSpaceDE w:val="0"/>
        <w:autoSpaceDN w:val="0"/>
        <w:adjustRightInd w:val="0"/>
        <w:ind w:left="720" w:hanging="720"/>
        <w:jc w:val="both"/>
        <w:rPr>
          <w:color w:val="222222"/>
          <w:shd w:val="clear" w:color="auto" w:fill="FFFFFF"/>
        </w:rPr>
      </w:pPr>
    </w:p>
    <w:p w:rsidR="009C1986" w:rsidRPr="00686348" w:rsidRDefault="009C1986" w:rsidP="009C1986">
      <w:pPr>
        <w:tabs>
          <w:tab w:val="left" w:pos="1080"/>
        </w:tabs>
        <w:ind w:left="720" w:hanging="720"/>
        <w:jc w:val="both"/>
        <w:rPr>
          <w:sz w:val="18"/>
          <w:szCs w:val="18"/>
          <w:lang w:val="en-US"/>
        </w:rPr>
      </w:pPr>
    </w:p>
    <w:sectPr w:rsidR="009C1986" w:rsidRPr="00686348" w:rsidSect="007C23B1">
      <w:type w:val="continuous"/>
      <w:pgSz w:w="11907" w:h="16840" w:code="9"/>
      <w:pgMar w:top="1440" w:right="1440" w:bottom="1440" w:left="1440" w:header="720" w:footer="720" w:gutter="0"/>
      <w:cols w:space="22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EB" w:rsidRDefault="00B07BEB">
      <w:r>
        <w:separator/>
      </w:r>
    </w:p>
  </w:endnote>
  <w:endnote w:type="continuationSeparator" w:id="0">
    <w:p w:rsidR="00B07BEB" w:rsidRDefault="00B0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63" w:rsidRDefault="00002263" w:rsidP="0039143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2F" w:rsidRPr="00002263" w:rsidRDefault="00DD1F2F" w:rsidP="00002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EB" w:rsidRDefault="00B07BEB">
      <w:r>
        <w:separator/>
      </w:r>
    </w:p>
  </w:footnote>
  <w:footnote w:type="continuationSeparator" w:id="0">
    <w:p w:rsidR="00B07BEB" w:rsidRDefault="00B07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72C30"/>
    <w:multiLevelType w:val="hybridMultilevel"/>
    <w:tmpl w:val="9440DB0C"/>
    <w:lvl w:ilvl="0" w:tplc="EDB8363A">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185A55"/>
    <w:multiLevelType w:val="hybridMultilevel"/>
    <w:tmpl w:val="BD20256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CF"/>
    <w:rsid w:val="00002263"/>
    <w:rsid w:val="00003C95"/>
    <w:rsid w:val="00005485"/>
    <w:rsid w:val="00006835"/>
    <w:rsid w:val="00007DFE"/>
    <w:rsid w:val="000110F3"/>
    <w:rsid w:val="00016DEC"/>
    <w:rsid w:val="00017142"/>
    <w:rsid w:val="00020B66"/>
    <w:rsid w:val="000218D6"/>
    <w:rsid w:val="00037AEC"/>
    <w:rsid w:val="00052DC0"/>
    <w:rsid w:val="00066A5E"/>
    <w:rsid w:val="000737CE"/>
    <w:rsid w:val="000864BE"/>
    <w:rsid w:val="00092B5C"/>
    <w:rsid w:val="000A45FD"/>
    <w:rsid w:val="000B2702"/>
    <w:rsid w:val="000B42B1"/>
    <w:rsid w:val="000D5792"/>
    <w:rsid w:val="000E02CD"/>
    <w:rsid w:val="000F5E2C"/>
    <w:rsid w:val="00101F18"/>
    <w:rsid w:val="00112053"/>
    <w:rsid w:val="00120841"/>
    <w:rsid w:val="00126727"/>
    <w:rsid w:val="001306E4"/>
    <w:rsid w:val="00134288"/>
    <w:rsid w:val="00136DCD"/>
    <w:rsid w:val="00144C04"/>
    <w:rsid w:val="00146460"/>
    <w:rsid w:val="0015281C"/>
    <w:rsid w:val="00153AD0"/>
    <w:rsid w:val="0015668F"/>
    <w:rsid w:val="00167215"/>
    <w:rsid w:val="0017655C"/>
    <w:rsid w:val="001772DE"/>
    <w:rsid w:val="001775D1"/>
    <w:rsid w:val="00184948"/>
    <w:rsid w:val="001A2F00"/>
    <w:rsid w:val="001A57AB"/>
    <w:rsid w:val="001B2AB0"/>
    <w:rsid w:val="001C0ED0"/>
    <w:rsid w:val="001C5740"/>
    <w:rsid w:val="001D35A9"/>
    <w:rsid w:val="001E0756"/>
    <w:rsid w:val="001F4349"/>
    <w:rsid w:val="001F4FC5"/>
    <w:rsid w:val="00203644"/>
    <w:rsid w:val="00204408"/>
    <w:rsid w:val="0020519B"/>
    <w:rsid w:val="002256EA"/>
    <w:rsid w:val="00226706"/>
    <w:rsid w:val="00233A03"/>
    <w:rsid w:val="00236211"/>
    <w:rsid w:val="0024450C"/>
    <w:rsid w:val="002502A7"/>
    <w:rsid w:val="00257A97"/>
    <w:rsid w:val="002635D3"/>
    <w:rsid w:val="0026444C"/>
    <w:rsid w:val="00265E5D"/>
    <w:rsid w:val="0027115E"/>
    <w:rsid w:val="002743D7"/>
    <w:rsid w:val="002868B7"/>
    <w:rsid w:val="002962FE"/>
    <w:rsid w:val="002B084D"/>
    <w:rsid w:val="002C48B4"/>
    <w:rsid w:val="002E3EED"/>
    <w:rsid w:val="002F6D12"/>
    <w:rsid w:val="00302B06"/>
    <w:rsid w:val="00305EAC"/>
    <w:rsid w:val="00320310"/>
    <w:rsid w:val="00347E02"/>
    <w:rsid w:val="00351D4B"/>
    <w:rsid w:val="00355D15"/>
    <w:rsid w:val="0036103C"/>
    <w:rsid w:val="00370ED6"/>
    <w:rsid w:val="0038145A"/>
    <w:rsid w:val="0038630B"/>
    <w:rsid w:val="00391433"/>
    <w:rsid w:val="003A081E"/>
    <w:rsid w:val="003A4BE3"/>
    <w:rsid w:val="003B22BB"/>
    <w:rsid w:val="003B3808"/>
    <w:rsid w:val="003B4955"/>
    <w:rsid w:val="003C0FDF"/>
    <w:rsid w:val="003C6E6E"/>
    <w:rsid w:val="003D1E82"/>
    <w:rsid w:val="003E66D5"/>
    <w:rsid w:val="003E6BDE"/>
    <w:rsid w:val="003E70CA"/>
    <w:rsid w:val="003E7F0F"/>
    <w:rsid w:val="003F1010"/>
    <w:rsid w:val="003F4D65"/>
    <w:rsid w:val="00400E60"/>
    <w:rsid w:val="0040256B"/>
    <w:rsid w:val="00417CD2"/>
    <w:rsid w:val="00417D42"/>
    <w:rsid w:val="00422E73"/>
    <w:rsid w:val="0042779D"/>
    <w:rsid w:val="004305D7"/>
    <w:rsid w:val="00432FF8"/>
    <w:rsid w:val="0043507A"/>
    <w:rsid w:val="004367ED"/>
    <w:rsid w:val="00455722"/>
    <w:rsid w:val="00463466"/>
    <w:rsid w:val="0047630D"/>
    <w:rsid w:val="00476516"/>
    <w:rsid w:val="00480DA1"/>
    <w:rsid w:val="00481C14"/>
    <w:rsid w:val="00486D6F"/>
    <w:rsid w:val="00492696"/>
    <w:rsid w:val="00497784"/>
    <w:rsid w:val="004A0BF0"/>
    <w:rsid w:val="004B5A4A"/>
    <w:rsid w:val="004C183B"/>
    <w:rsid w:val="004C2190"/>
    <w:rsid w:val="004D06AE"/>
    <w:rsid w:val="004D5201"/>
    <w:rsid w:val="004D5653"/>
    <w:rsid w:val="004E06B5"/>
    <w:rsid w:val="004E2789"/>
    <w:rsid w:val="004F2124"/>
    <w:rsid w:val="00501029"/>
    <w:rsid w:val="00502C96"/>
    <w:rsid w:val="005154AA"/>
    <w:rsid w:val="00515B98"/>
    <w:rsid w:val="0053078D"/>
    <w:rsid w:val="00553CE5"/>
    <w:rsid w:val="0055637C"/>
    <w:rsid w:val="005605BF"/>
    <w:rsid w:val="0056450D"/>
    <w:rsid w:val="005765D2"/>
    <w:rsid w:val="005772D9"/>
    <w:rsid w:val="00577E1C"/>
    <w:rsid w:val="005822C3"/>
    <w:rsid w:val="00585021"/>
    <w:rsid w:val="00590724"/>
    <w:rsid w:val="00591718"/>
    <w:rsid w:val="00593440"/>
    <w:rsid w:val="005A52DE"/>
    <w:rsid w:val="005B01CE"/>
    <w:rsid w:val="005C0E2C"/>
    <w:rsid w:val="005C36CA"/>
    <w:rsid w:val="005C6983"/>
    <w:rsid w:val="005D63CF"/>
    <w:rsid w:val="005D6CDE"/>
    <w:rsid w:val="005E24F7"/>
    <w:rsid w:val="005E6E46"/>
    <w:rsid w:val="005F19A9"/>
    <w:rsid w:val="005F3C84"/>
    <w:rsid w:val="00603345"/>
    <w:rsid w:val="0060649F"/>
    <w:rsid w:val="00610032"/>
    <w:rsid w:val="006126BF"/>
    <w:rsid w:val="00612A48"/>
    <w:rsid w:val="0062103D"/>
    <w:rsid w:val="00631726"/>
    <w:rsid w:val="006355CB"/>
    <w:rsid w:val="00641EE6"/>
    <w:rsid w:val="0064629C"/>
    <w:rsid w:val="00653480"/>
    <w:rsid w:val="00660D9C"/>
    <w:rsid w:val="0066508C"/>
    <w:rsid w:val="00673090"/>
    <w:rsid w:val="00676013"/>
    <w:rsid w:val="00686348"/>
    <w:rsid w:val="006A2C80"/>
    <w:rsid w:val="006A51E5"/>
    <w:rsid w:val="006B3EB7"/>
    <w:rsid w:val="006B677A"/>
    <w:rsid w:val="006B6C65"/>
    <w:rsid w:val="006D658E"/>
    <w:rsid w:val="006E4942"/>
    <w:rsid w:val="006F0412"/>
    <w:rsid w:val="006F5FF1"/>
    <w:rsid w:val="00702E0B"/>
    <w:rsid w:val="00703B1C"/>
    <w:rsid w:val="00712D29"/>
    <w:rsid w:val="00713183"/>
    <w:rsid w:val="00721A36"/>
    <w:rsid w:val="00723BE9"/>
    <w:rsid w:val="0074705C"/>
    <w:rsid w:val="00750CD4"/>
    <w:rsid w:val="00754FE1"/>
    <w:rsid w:val="00755597"/>
    <w:rsid w:val="00756156"/>
    <w:rsid w:val="0075754A"/>
    <w:rsid w:val="007603A0"/>
    <w:rsid w:val="00770A2B"/>
    <w:rsid w:val="00771FB4"/>
    <w:rsid w:val="0077607F"/>
    <w:rsid w:val="007829EC"/>
    <w:rsid w:val="007842C4"/>
    <w:rsid w:val="00784514"/>
    <w:rsid w:val="00785577"/>
    <w:rsid w:val="007866C4"/>
    <w:rsid w:val="0079107D"/>
    <w:rsid w:val="007A289F"/>
    <w:rsid w:val="007A61EB"/>
    <w:rsid w:val="007A6664"/>
    <w:rsid w:val="007B7AB7"/>
    <w:rsid w:val="007C16A1"/>
    <w:rsid w:val="007C23B1"/>
    <w:rsid w:val="007C5F98"/>
    <w:rsid w:val="007C7442"/>
    <w:rsid w:val="007D5772"/>
    <w:rsid w:val="007D736F"/>
    <w:rsid w:val="007E4246"/>
    <w:rsid w:val="007F2543"/>
    <w:rsid w:val="007F5F23"/>
    <w:rsid w:val="007F5F2C"/>
    <w:rsid w:val="00831484"/>
    <w:rsid w:val="00834038"/>
    <w:rsid w:val="00850906"/>
    <w:rsid w:val="00851F08"/>
    <w:rsid w:val="008520DC"/>
    <w:rsid w:val="008520EB"/>
    <w:rsid w:val="00866305"/>
    <w:rsid w:val="00874B12"/>
    <w:rsid w:val="0087613C"/>
    <w:rsid w:val="00881467"/>
    <w:rsid w:val="00883E28"/>
    <w:rsid w:val="008928AC"/>
    <w:rsid w:val="00896A82"/>
    <w:rsid w:val="00896CFB"/>
    <w:rsid w:val="008A37D1"/>
    <w:rsid w:val="008A52B2"/>
    <w:rsid w:val="008B1496"/>
    <w:rsid w:val="008C1157"/>
    <w:rsid w:val="008C466D"/>
    <w:rsid w:val="008C7230"/>
    <w:rsid w:val="008D15F4"/>
    <w:rsid w:val="008D4F16"/>
    <w:rsid w:val="008D78F2"/>
    <w:rsid w:val="008E3355"/>
    <w:rsid w:val="008E6527"/>
    <w:rsid w:val="008E7057"/>
    <w:rsid w:val="008E7CC1"/>
    <w:rsid w:val="008F1986"/>
    <w:rsid w:val="008F700D"/>
    <w:rsid w:val="008F7C59"/>
    <w:rsid w:val="009035E0"/>
    <w:rsid w:val="009140A7"/>
    <w:rsid w:val="00925624"/>
    <w:rsid w:val="00927368"/>
    <w:rsid w:val="00933C0F"/>
    <w:rsid w:val="009405C6"/>
    <w:rsid w:val="00942DCE"/>
    <w:rsid w:val="0094329A"/>
    <w:rsid w:val="009448E8"/>
    <w:rsid w:val="0097525E"/>
    <w:rsid w:val="009756DB"/>
    <w:rsid w:val="00977F9D"/>
    <w:rsid w:val="009828BE"/>
    <w:rsid w:val="009834F4"/>
    <w:rsid w:val="0098359F"/>
    <w:rsid w:val="009911D9"/>
    <w:rsid w:val="009A5068"/>
    <w:rsid w:val="009A6605"/>
    <w:rsid w:val="009B3C84"/>
    <w:rsid w:val="009B57DE"/>
    <w:rsid w:val="009B67B6"/>
    <w:rsid w:val="009B6AFA"/>
    <w:rsid w:val="009B73F5"/>
    <w:rsid w:val="009C1986"/>
    <w:rsid w:val="009D0FFA"/>
    <w:rsid w:val="009D168D"/>
    <w:rsid w:val="009E06D7"/>
    <w:rsid w:val="009F1A15"/>
    <w:rsid w:val="009F30D9"/>
    <w:rsid w:val="009F3D76"/>
    <w:rsid w:val="009F4AFC"/>
    <w:rsid w:val="00A12BD2"/>
    <w:rsid w:val="00A138D0"/>
    <w:rsid w:val="00A15A89"/>
    <w:rsid w:val="00A170E9"/>
    <w:rsid w:val="00A357F4"/>
    <w:rsid w:val="00A41284"/>
    <w:rsid w:val="00A82431"/>
    <w:rsid w:val="00A84D05"/>
    <w:rsid w:val="00A93921"/>
    <w:rsid w:val="00A94664"/>
    <w:rsid w:val="00AC12BF"/>
    <w:rsid w:val="00AE1D40"/>
    <w:rsid w:val="00AE5079"/>
    <w:rsid w:val="00AE55B9"/>
    <w:rsid w:val="00AF0C80"/>
    <w:rsid w:val="00AF598B"/>
    <w:rsid w:val="00AF7BA8"/>
    <w:rsid w:val="00B00E38"/>
    <w:rsid w:val="00B0109F"/>
    <w:rsid w:val="00B07BEB"/>
    <w:rsid w:val="00B21A9F"/>
    <w:rsid w:val="00B25F86"/>
    <w:rsid w:val="00B360FB"/>
    <w:rsid w:val="00B36EA3"/>
    <w:rsid w:val="00B54BC6"/>
    <w:rsid w:val="00B5570E"/>
    <w:rsid w:val="00B55F31"/>
    <w:rsid w:val="00B62242"/>
    <w:rsid w:val="00B6633B"/>
    <w:rsid w:val="00B666BD"/>
    <w:rsid w:val="00B67DA7"/>
    <w:rsid w:val="00B736C7"/>
    <w:rsid w:val="00B748B4"/>
    <w:rsid w:val="00B9020C"/>
    <w:rsid w:val="00B918C0"/>
    <w:rsid w:val="00B929E5"/>
    <w:rsid w:val="00BA07CA"/>
    <w:rsid w:val="00BA1879"/>
    <w:rsid w:val="00BB7C34"/>
    <w:rsid w:val="00BC12ED"/>
    <w:rsid w:val="00BC73BD"/>
    <w:rsid w:val="00BC7840"/>
    <w:rsid w:val="00BE1742"/>
    <w:rsid w:val="00BF31B1"/>
    <w:rsid w:val="00C009DC"/>
    <w:rsid w:val="00C0278F"/>
    <w:rsid w:val="00C03352"/>
    <w:rsid w:val="00C05042"/>
    <w:rsid w:val="00C153A5"/>
    <w:rsid w:val="00C20EB2"/>
    <w:rsid w:val="00C2120A"/>
    <w:rsid w:val="00C36A4A"/>
    <w:rsid w:val="00C376C8"/>
    <w:rsid w:val="00C42F06"/>
    <w:rsid w:val="00C630BA"/>
    <w:rsid w:val="00C7629B"/>
    <w:rsid w:val="00C84B9E"/>
    <w:rsid w:val="00C84D57"/>
    <w:rsid w:val="00C85552"/>
    <w:rsid w:val="00C85F15"/>
    <w:rsid w:val="00C8676A"/>
    <w:rsid w:val="00C9034F"/>
    <w:rsid w:val="00CC1CA6"/>
    <w:rsid w:val="00CC4942"/>
    <w:rsid w:val="00CD2FC0"/>
    <w:rsid w:val="00CD31DA"/>
    <w:rsid w:val="00CD5EDF"/>
    <w:rsid w:val="00CD6A73"/>
    <w:rsid w:val="00CE0A9B"/>
    <w:rsid w:val="00CE37EB"/>
    <w:rsid w:val="00CE671E"/>
    <w:rsid w:val="00CE742F"/>
    <w:rsid w:val="00D04CC0"/>
    <w:rsid w:val="00D06A84"/>
    <w:rsid w:val="00D14D81"/>
    <w:rsid w:val="00D154FB"/>
    <w:rsid w:val="00D2070B"/>
    <w:rsid w:val="00D3316F"/>
    <w:rsid w:val="00D33950"/>
    <w:rsid w:val="00D46943"/>
    <w:rsid w:val="00D47720"/>
    <w:rsid w:val="00D55356"/>
    <w:rsid w:val="00D57978"/>
    <w:rsid w:val="00D64D49"/>
    <w:rsid w:val="00D70EBF"/>
    <w:rsid w:val="00D73494"/>
    <w:rsid w:val="00D7647E"/>
    <w:rsid w:val="00D97571"/>
    <w:rsid w:val="00DA516D"/>
    <w:rsid w:val="00DB3B96"/>
    <w:rsid w:val="00DC04D8"/>
    <w:rsid w:val="00DC1DE1"/>
    <w:rsid w:val="00DC3145"/>
    <w:rsid w:val="00DC48A8"/>
    <w:rsid w:val="00DD1F2F"/>
    <w:rsid w:val="00DD3172"/>
    <w:rsid w:val="00DD43CB"/>
    <w:rsid w:val="00DD5452"/>
    <w:rsid w:val="00DD7C00"/>
    <w:rsid w:val="00E014D4"/>
    <w:rsid w:val="00E04C19"/>
    <w:rsid w:val="00E1603E"/>
    <w:rsid w:val="00E20C90"/>
    <w:rsid w:val="00E348F9"/>
    <w:rsid w:val="00E4690C"/>
    <w:rsid w:val="00E47324"/>
    <w:rsid w:val="00E55C30"/>
    <w:rsid w:val="00E7356F"/>
    <w:rsid w:val="00E8089B"/>
    <w:rsid w:val="00E816E5"/>
    <w:rsid w:val="00E838CF"/>
    <w:rsid w:val="00E921D4"/>
    <w:rsid w:val="00E93198"/>
    <w:rsid w:val="00EA287A"/>
    <w:rsid w:val="00EA324F"/>
    <w:rsid w:val="00EA3B61"/>
    <w:rsid w:val="00EC409D"/>
    <w:rsid w:val="00EC470D"/>
    <w:rsid w:val="00EC5FF6"/>
    <w:rsid w:val="00ED0B91"/>
    <w:rsid w:val="00ED311B"/>
    <w:rsid w:val="00EE5041"/>
    <w:rsid w:val="00EE5B38"/>
    <w:rsid w:val="00EE7A46"/>
    <w:rsid w:val="00F00218"/>
    <w:rsid w:val="00F129F8"/>
    <w:rsid w:val="00F13256"/>
    <w:rsid w:val="00F136FE"/>
    <w:rsid w:val="00F13E0B"/>
    <w:rsid w:val="00F206EA"/>
    <w:rsid w:val="00F24C5C"/>
    <w:rsid w:val="00F41644"/>
    <w:rsid w:val="00F5032A"/>
    <w:rsid w:val="00F511C6"/>
    <w:rsid w:val="00F71E88"/>
    <w:rsid w:val="00F725A7"/>
    <w:rsid w:val="00F83B0C"/>
    <w:rsid w:val="00F85932"/>
    <w:rsid w:val="00F9098A"/>
    <w:rsid w:val="00F93204"/>
    <w:rsid w:val="00F937CC"/>
    <w:rsid w:val="00F9589A"/>
    <w:rsid w:val="00F9668C"/>
    <w:rsid w:val="00FA13EC"/>
    <w:rsid w:val="00FA4062"/>
    <w:rsid w:val="00FC6B2B"/>
    <w:rsid w:val="00FD458C"/>
    <w:rsid w:val="00FD6FD6"/>
    <w:rsid w:val="00FE265D"/>
    <w:rsid w:val="00FE4B29"/>
    <w:rsid w:val="00FF1213"/>
    <w:rsid w:val="00FF29D2"/>
    <w:rsid w:val="00FF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8676A"/>
    <w:pPr>
      <w:ind w:left="284" w:hanging="284"/>
      <w:jc w:val="both"/>
    </w:pPr>
  </w:style>
  <w:style w:type="paragraph" w:customStyle="1" w:styleId="PaperTitle">
    <w:name w:val="Paper Title"/>
    <w:basedOn w:val="Normal"/>
    <w:rsid w:val="00C8676A"/>
    <w:pPr>
      <w:spacing w:after="120"/>
      <w:jc w:val="center"/>
    </w:pPr>
    <w:rPr>
      <w:b/>
      <w:sz w:val="36"/>
    </w:rPr>
  </w:style>
  <w:style w:type="paragraph" w:customStyle="1" w:styleId="Author">
    <w:name w:val="Author"/>
    <w:basedOn w:val="Normal"/>
    <w:rsid w:val="00C8676A"/>
    <w:pPr>
      <w:spacing w:before="240" w:after="240"/>
      <w:jc w:val="center"/>
    </w:pPr>
    <w:rPr>
      <w:b/>
      <w:sz w:val="24"/>
    </w:rPr>
  </w:style>
  <w:style w:type="paragraph" w:customStyle="1" w:styleId="Affiliation-Address">
    <w:name w:val="Affiliation-Address"/>
    <w:basedOn w:val="Normal"/>
    <w:rsid w:val="00C8676A"/>
    <w:pPr>
      <w:jc w:val="center"/>
    </w:pPr>
  </w:style>
  <w:style w:type="paragraph" w:customStyle="1" w:styleId="Fax-Email-URL">
    <w:name w:val="Fax-Email-URL"/>
    <w:basedOn w:val="Affiliation-Address"/>
    <w:rsid w:val="00C8676A"/>
    <w:rPr>
      <w:rFonts w:ascii="Courier New" w:hAnsi="Courier New"/>
      <w:snapToGrid w:val="0"/>
      <w:lang w:val="pt-PT"/>
    </w:rPr>
  </w:style>
  <w:style w:type="paragraph" w:customStyle="1" w:styleId="Section">
    <w:name w:val="Section"/>
    <w:basedOn w:val="Normal"/>
    <w:next w:val="Normal"/>
    <w:rsid w:val="00C8676A"/>
    <w:pPr>
      <w:tabs>
        <w:tab w:val="left" w:pos="284"/>
      </w:tabs>
      <w:spacing w:before="240" w:after="160"/>
      <w:jc w:val="both"/>
    </w:pPr>
    <w:rPr>
      <w:b/>
      <w:sz w:val="24"/>
    </w:rPr>
  </w:style>
  <w:style w:type="paragraph" w:customStyle="1" w:styleId="SubSection">
    <w:name w:val="SubSection"/>
    <w:basedOn w:val="Section"/>
    <w:rsid w:val="00C8676A"/>
    <w:pPr>
      <w:keepNext/>
    </w:pPr>
    <w:rPr>
      <w:sz w:val="20"/>
    </w:rPr>
  </w:style>
  <w:style w:type="paragraph" w:styleId="Caption">
    <w:name w:val="caption"/>
    <w:basedOn w:val="List"/>
    <w:qFormat/>
    <w:rsid w:val="00C8676A"/>
    <w:pPr>
      <w:jc w:val="center"/>
    </w:pPr>
  </w:style>
  <w:style w:type="character" w:styleId="Hyperlink">
    <w:name w:val="Hyperlink"/>
    <w:rsid w:val="00C8676A"/>
    <w:rPr>
      <w:color w:val="0000FF"/>
      <w:u w:val="single"/>
    </w:rPr>
  </w:style>
  <w:style w:type="character" w:styleId="FollowedHyperlink">
    <w:name w:val="FollowedHyperlink"/>
    <w:rsid w:val="00C8676A"/>
    <w:rPr>
      <w:color w:val="800080"/>
      <w:u w:val="single"/>
    </w:rPr>
  </w:style>
  <w:style w:type="paragraph" w:styleId="DocumentMap">
    <w:name w:val="Document Map"/>
    <w:basedOn w:val="Normal"/>
    <w:semiHidden/>
    <w:rsid w:val="00C8676A"/>
    <w:pPr>
      <w:shd w:val="clear" w:color="auto" w:fill="000080"/>
    </w:pPr>
    <w:rPr>
      <w:rFonts w:ascii="Tahoma" w:hAnsi="Tahoma" w:cs="Tahoma"/>
    </w:rPr>
  </w:style>
  <w:style w:type="paragraph" w:styleId="Header">
    <w:name w:val="header"/>
    <w:basedOn w:val="Normal"/>
    <w:rsid w:val="00391433"/>
    <w:pPr>
      <w:tabs>
        <w:tab w:val="center" w:pos="4153"/>
        <w:tab w:val="right" w:pos="8306"/>
      </w:tabs>
    </w:pPr>
  </w:style>
  <w:style w:type="paragraph" w:styleId="Footer">
    <w:name w:val="footer"/>
    <w:basedOn w:val="Normal"/>
    <w:rsid w:val="00391433"/>
    <w:pPr>
      <w:tabs>
        <w:tab w:val="center" w:pos="4153"/>
        <w:tab w:val="right" w:pos="8306"/>
      </w:tabs>
    </w:pPr>
  </w:style>
  <w:style w:type="character" w:customStyle="1" w:styleId="apple-converted-space">
    <w:name w:val="apple-converted-space"/>
    <w:rsid w:val="0066508C"/>
  </w:style>
  <w:style w:type="paragraph" w:styleId="NoSpacing">
    <w:name w:val="No Spacing"/>
    <w:uiPriority w:val="1"/>
    <w:qFormat/>
    <w:rsid w:val="00B736C7"/>
    <w:pPr>
      <w:jc w:val="both"/>
    </w:pPr>
    <w:rPr>
      <w:rFonts w:eastAsia="SimSun"/>
      <w:color w:val="000000"/>
      <w:sz w:val="22"/>
      <w:szCs w:val="22"/>
    </w:rPr>
  </w:style>
  <w:style w:type="character" w:styleId="Strong">
    <w:name w:val="Strong"/>
    <w:basedOn w:val="DefaultParagraphFont"/>
    <w:uiPriority w:val="22"/>
    <w:qFormat/>
    <w:rsid w:val="00713183"/>
    <w:rPr>
      <w:rFonts w:ascii="Times New Roman" w:hAnsi="Times New Roman"/>
      <w:b/>
      <w:bCs/>
      <w:sz w:val="28"/>
    </w:rPr>
  </w:style>
  <w:style w:type="paragraph" w:styleId="ListParagraph">
    <w:name w:val="List Paragraph"/>
    <w:basedOn w:val="Normal"/>
    <w:uiPriority w:val="34"/>
    <w:qFormat/>
    <w:rsid w:val="00C7629B"/>
    <w:pPr>
      <w:spacing w:before="240" w:line="360" w:lineRule="auto"/>
      <w:jc w:val="both"/>
    </w:pPr>
    <w:rPr>
      <w:rFonts w:eastAsia="SimSun"/>
      <w:color w:val="000000"/>
      <w:sz w:val="24"/>
      <w:szCs w:val="22"/>
    </w:rPr>
  </w:style>
  <w:style w:type="table" w:customStyle="1" w:styleId="LightShading1">
    <w:name w:val="Light Shading1"/>
    <w:basedOn w:val="TableNormal"/>
    <w:uiPriority w:val="60"/>
    <w:rsid w:val="00C7629B"/>
    <w:rPr>
      <w:rFonts w:ascii="Calibri" w:eastAsia="SimSun" w:hAnsi="Calibri"/>
      <w:color w:val="000000"/>
      <w:sz w:val="22"/>
      <w:szCs w:val="22"/>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rsid w:val="00CE742F"/>
    <w:rPr>
      <w:rFonts w:ascii="Tahoma" w:hAnsi="Tahoma" w:cs="Tahoma"/>
      <w:sz w:val="16"/>
      <w:szCs w:val="16"/>
    </w:rPr>
  </w:style>
  <w:style w:type="character" w:customStyle="1" w:styleId="BalloonTextChar">
    <w:name w:val="Balloon Text Char"/>
    <w:basedOn w:val="DefaultParagraphFont"/>
    <w:link w:val="BalloonText"/>
    <w:rsid w:val="00CE742F"/>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79107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8676A"/>
    <w:pPr>
      <w:ind w:left="284" w:hanging="284"/>
      <w:jc w:val="both"/>
    </w:pPr>
  </w:style>
  <w:style w:type="paragraph" w:customStyle="1" w:styleId="PaperTitle">
    <w:name w:val="Paper Title"/>
    <w:basedOn w:val="Normal"/>
    <w:rsid w:val="00C8676A"/>
    <w:pPr>
      <w:spacing w:after="120"/>
      <w:jc w:val="center"/>
    </w:pPr>
    <w:rPr>
      <w:b/>
      <w:sz w:val="36"/>
    </w:rPr>
  </w:style>
  <w:style w:type="paragraph" w:customStyle="1" w:styleId="Author">
    <w:name w:val="Author"/>
    <w:basedOn w:val="Normal"/>
    <w:rsid w:val="00C8676A"/>
    <w:pPr>
      <w:spacing w:before="240" w:after="240"/>
      <w:jc w:val="center"/>
    </w:pPr>
    <w:rPr>
      <w:b/>
      <w:sz w:val="24"/>
    </w:rPr>
  </w:style>
  <w:style w:type="paragraph" w:customStyle="1" w:styleId="Affiliation-Address">
    <w:name w:val="Affiliation-Address"/>
    <w:basedOn w:val="Normal"/>
    <w:rsid w:val="00C8676A"/>
    <w:pPr>
      <w:jc w:val="center"/>
    </w:pPr>
  </w:style>
  <w:style w:type="paragraph" w:customStyle="1" w:styleId="Fax-Email-URL">
    <w:name w:val="Fax-Email-URL"/>
    <w:basedOn w:val="Affiliation-Address"/>
    <w:rsid w:val="00C8676A"/>
    <w:rPr>
      <w:rFonts w:ascii="Courier New" w:hAnsi="Courier New"/>
      <w:snapToGrid w:val="0"/>
      <w:lang w:val="pt-PT"/>
    </w:rPr>
  </w:style>
  <w:style w:type="paragraph" w:customStyle="1" w:styleId="Section">
    <w:name w:val="Section"/>
    <w:basedOn w:val="Normal"/>
    <w:next w:val="Normal"/>
    <w:rsid w:val="00C8676A"/>
    <w:pPr>
      <w:tabs>
        <w:tab w:val="left" w:pos="284"/>
      </w:tabs>
      <w:spacing w:before="240" w:after="160"/>
      <w:jc w:val="both"/>
    </w:pPr>
    <w:rPr>
      <w:b/>
      <w:sz w:val="24"/>
    </w:rPr>
  </w:style>
  <w:style w:type="paragraph" w:customStyle="1" w:styleId="SubSection">
    <w:name w:val="SubSection"/>
    <w:basedOn w:val="Section"/>
    <w:rsid w:val="00C8676A"/>
    <w:pPr>
      <w:keepNext/>
    </w:pPr>
    <w:rPr>
      <w:sz w:val="20"/>
    </w:rPr>
  </w:style>
  <w:style w:type="paragraph" w:styleId="Caption">
    <w:name w:val="caption"/>
    <w:basedOn w:val="List"/>
    <w:qFormat/>
    <w:rsid w:val="00C8676A"/>
    <w:pPr>
      <w:jc w:val="center"/>
    </w:pPr>
  </w:style>
  <w:style w:type="character" w:styleId="Hyperlink">
    <w:name w:val="Hyperlink"/>
    <w:rsid w:val="00C8676A"/>
    <w:rPr>
      <w:color w:val="0000FF"/>
      <w:u w:val="single"/>
    </w:rPr>
  </w:style>
  <w:style w:type="character" w:styleId="FollowedHyperlink">
    <w:name w:val="FollowedHyperlink"/>
    <w:rsid w:val="00C8676A"/>
    <w:rPr>
      <w:color w:val="800080"/>
      <w:u w:val="single"/>
    </w:rPr>
  </w:style>
  <w:style w:type="paragraph" w:styleId="DocumentMap">
    <w:name w:val="Document Map"/>
    <w:basedOn w:val="Normal"/>
    <w:semiHidden/>
    <w:rsid w:val="00C8676A"/>
    <w:pPr>
      <w:shd w:val="clear" w:color="auto" w:fill="000080"/>
    </w:pPr>
    <w:rPr>
      <w:rFonts w:ascii="Tahoma" w:hAnsi="Tahoma" w:cs="Tahoma"/>
    </w:rPr>
  </w:style>
  <w:style w:type="paragraph" w:styleId="Header">
    <w:name w:val="header"/>
    <w:basedOn w:val="Normal"/>
    <w:rsid w:val="00391433"/>
    <w:pPr>
      <w:tabs>
        <w:tab w:val="center" w:pos="4153"/>
        <w:tab w:val="right" w:pos="8306"/>
      </w:tabs>
    </w:pPr>
  </w:style>
  <w:style w:type="paragraph" w:styleId="Footer">
    <w:name w:val="footer"/>
    <w:basedOn w:val="Normal"/>
    <w:rsid w:val="00391433"/>
    <w:pPr>
      <w:tabs>
        <w:tab w:val="center" w:pos="4153"/>
        <w:tab w:val="right" w:pos="8306"/>
      </w:tabs>
    </w:pPr>
  </w:style>
  <w:style w:type="character" w:customStyle="1" w:styleId="apple-converted-space">
    <w:name w:val="apple-converted-space"/>
    <w:rsid w:val="0066508C"/>
  </w:style>
  <w:style w:type="paragraph" w:styleId="NoSpacing">
    <w:name w:val="No Spacing"/>
    <w:uiPriority w:val="1"/>
    <w:qFormat/>
    <w:rsid w:val="00B736C7"/>
    <w:pPr>
      <w:jc w:val="both"/>
    </w:pPr>
    <w:rPr>
      <w:rFonts w:eastAsia="SimSun"/>
      <w:color w:val="000000"/>
      <w:sz w:val="22"/>
      <w:szCs w:val="22"/>
    </w:rPr>
  </w:style>
  <w:style w:type="character" w:styleId="Strong">
    <w:name w:val="Strong"/>
    <w:basedOn w:val="DefaultParagraphFont"/>
    <w:uiPriority w:val="22"/>
    <w:qFormat/>
    <w:rsid w:val="00713183"/>
    <w:rPr>
      <w:rFonts w:ascii="Times New Roman" w:hAnsi="Times New Roman"/>
      <w:b/>
      <w:bCs/>
      <w:sz w:val="28"/>
    </w:rPr>
  </w:style>
  <w:style w:type="paragraph" w:styleId="ListParagraph">
    <w:name w:val="List Paragraph"/>
    <w:basedOn w:val="Normal"/>
    <w:uiPriority w:val="34"/>
    <w:qFormat/>
    <w:rsid w:val="00C7629B"/>
    <w:pPr>
      <w:spacing w:before="240" w:line="360" w:lineRule="auto"/>
      <w:jc w:val="both"/>
    </w:pPr>
    <w:rPr>
      <w:rFonts w:eastAsia="SimSun"/>
      <w:color w:val="000000"/>
      <w:sz w:val="24"/>
      <w:szCs w:val="22"/>
    </w:rPr>
  </w:style>
  <w:style w:type="table" w:customStyle="1" w:styleId="LightShading1">
    <w:name w:val="Light Shading1"/>
    <w:basedOn w:val="TableNormal"/>
    <w:uiPriority w:val="60"/>
    <w:rsid w:val="00C7629B"/>
    <w:rPr>
      <w:rFonts w:ascii="Calibri" w:eastAsia="SimSun" w:hAnsi="Calibri"/>
      <w:color w:val="000000"/>
      <w:sz w:val="22"/>
      <w:szCs w:val="22"/>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rsid w:val="00CE742F"/>
    <w:rPr>
      <w:rFonts w:ascii="Tahoma" w:hAnsi="Tahoma" w:cs="Tahoma"/>
      <w:sz w:val="16"/>
      <w:szCs w:val="16"/>
    </w:rPr>
  </w:style>
  <w:style w:type="character" w:customStyle="1" w:styleId="BalloonTextChar">
    <w:name w:val="Balloon Text Char"/>
    <w:basedOn w:val="DefaultParagraphFont"/>
    <w:link w:val="BalloonText"/>
    <w:rsid w:val="00CE742F"/>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7910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27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chart" Target="charts/chart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sm2.univ-amu.fr/fichiers_pdf/seminaires-stereo/2013-07-15-biblio-2013-04-08-haiying-DU.pdf%20%5b23"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wmf"/><Relationship Id="rId10" Type="http://schemas.openxmlformats.org/officeDocument/2006/relationships/oleObject" Target="embeddings/oleObject1.bin"/><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 Id="rId5" Type="http://schemas.microsoft.com/office/2011/relationships/chartStyle" Target="style1.xml"/><Relationship Id="rId4" Type="http://schemas.microsoft.com/office/2011/relationships/chartColorStyle" Target="colors1.xm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20Aspire%204250\Documents\kimia%20tahun%203\tesis%20real\graf%20kalibr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Sheet1!$C$3</c:f>
              <c:strCache>
                <c:ptCount val="1"/>
                <c:pt idx="0">
                  <c:v>2 jam</c:v>
                </c:pt>
              </c:strCache>
            </c:strRef>
          </c:tx>
          <c:spPr>
            <a:solidFill>
              <a:schemeClr val="accent1">
                <a:lumMod val="75000"/>
              </a:schemeClr>
            </a:solidFill>
            <a:ln>
              <a:noFill/>
            </a:ln>
            <a:effectLst/>
          </c:spPr>
          <c:invertIfNegative val="0"/>
          <c:dLbls>
            <c:dLbl>
              <c:idx val="4"/>
              <c:layout>
                <c:manualLayout>
                  <c:x val="3.7790697674418602E-2"/>
                  <c:y val="-3.39558573853989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11-4178-B9BF-02CC96358154}"/>
                </c:ext>
              </c:extLst>
            </c:dLbl>
            <c:dLbl>
              <c:idx val="5"/>
              <c:layout>
                <c:manualLayout>
                  <c:x val="-1.7922541659047466E-4"/>
                  <c:y val="-4.2444821731748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E66-49A8-A2C3-A897323525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Sheet1!$I$4:$I$9</c:f>
                <c:numCache>
                  <c:formatCode>General</c:formatCode>
                  <c:ptCount val="6"/>
                  <c:pt idx="0">
                    <c:v>2.0000000000000001E-4</c:v>
                  </c:pt>
                  <c:pt idx="1">
                    <c:v>2.6499999999999999E-4</c:v>
                  </c:pt>
                  <c:pt idx="2">
                    <c:v>5.77E-5</c:v>
                  </c:pt>
                  <c:pt idx="3">
                    <c:v>2.0000000000000001E-4</c:v>
                  </c:pt>
                  <c:pt idx="4">
                    <c:v>5.77E-5</c:v>
                  </c:pt>
                  <c:pt idx="5">
                    <c:v>1.5300000000000001E-4</c:v>
                  </c:pt>
                </c:numCache>
              </c:numRef>
            </c:plus>
            <c:minus>
              <c:numRef>
                <c:f>Sheet1!$I$4:$I$9</c:f>
                <c:numCache>
                  <c:formatCode>General</c:formatCode>
                  <c:ptCount val="6"/>
                  <c:pt idx="0">
                    <c:v>2.0000000000000001E-4</c:v>
                  </c:pt>
                  <c:pt idx="1">
                    <c:v>2.6499999999999999E-4</c:v>
                  </c:pt>
                  <c:pt idx="2">
                    <c:v>5.77E-5</c:v>
                  </c:pt>
                  <c:pt idx="3">
                    <c:v>2.0000000000000001E-4</c:v>
                  </c:pt>
                  <c:pt idx="4">
                    <c:v>5.77E-5</c:v>
                  </c:pt>
                  <c:pt idx="5">
                    <c:v>1.5300000000000001E-4</c:v>
                  </c:pt>
                </c:numCache>
              </c:numRef>
            </c:minus>
            <c:spPr>
              <a:noFill/>
              <a:ln w="9525" cap="flat" cmpd="sng" algn="ctr">
                <a:solidFill>
                  <a:schemeClr val="tx1">
                    <a:lumMod val="65000"/>
                    <a:lumOff val="35000"/>
                  </a:schemeClr>
                </a:solidFill>
                <a:round/>
              </a:ln>
              <a:effectLst/>
            </c:spPr>
          </c:errBars>
          <c:cat>
            <c:strRef>
              <c:f>Sheet1!$A$4:$A$9</c:f>
              <c:strCache>
                <c:ptCount val="6"/>
                <c:pt idx="0">
                  <c:v>Kawalan</c:v>
                </c:pt>
                <c:pt idx="1">
                  <c:v>1:1</c:v>
                </c:pt>
                <c:pt idx="2">
                  <c:v>1:2</c:v>
                </c:pt>
                <c:pt idx="3">
                  <c:v>1:3</c:v>
                </c:pt>
                <c:pt idx="4">
                  <c:v>1:4</c:v>
                </c:pt>
                <c:pt idx="5">
                  <c:v>1:5</c:v>
                </c:pt>
              </c:strCache>
            </c:strRef>
          </c:cat>
          <c:val>
            <c:numRef>
              <c:f>Sheet1!$C$4:$C$9</c:f>
              <c:numCache>
                <c:formatCode>General</c:formatCode>
                <c:ptCount val="6"/>
                <c:pt idx="0">
                  <c:v>1.55</c:v>
                </c:pt>
                <c:pt idx="1">
                  <c:v>5.97</c:v>
                </c:pt>
                <c:pt idx="2">
                  <c:v>5.68</c:v>
                </c:pt>
                <c:pt idx="3">
                  <c:v>125.56</c:v>
                </c:pt>
                <c:pt idx="4">
                  <c:v>55.84</c:v>
                </c:pt>
                <c:pt idx="5">
                  <c:v>61.89</c:v>
                </c:pt>
              </c:numCache>
            </c:numRef>
          </c:val>
          <c:extLst xmlns:c16r2="http://schemas.microsoft.com/office/drawing/2015/06/chart">
            <c:ext xmlns:c16="http://schemas.microsoft.com/office/drawing/2014/chart" uri="{C3380CC4-5D6E-409C-BE32-E72D297353CC}">
              <c16:uniqueId val="{00000001-3E66-49A8-A2C3-A89732352534}"/>
            </c:ext>
          </c:extLst>
        </c:ser>
        <c:ser>
          <c:idx val="2"/>
          <c:order val="2"/>
          <c:tx>
            <c:strRef>
              <c:f>Sheet1!$D$3</c:f>
              <c:strCache>
                <c:ptCount val="1"/>
                <c:pt idx="0">
                  <c:v>3 jam</c:v>
                </c:pt>
              </c:strCache>
            </c:strRef>
          </c:tx>
          <c:spPr>
            <a:solidFill>
              <a:srgbClr val="FF2929">
                <a:alpha val="97647"/>
              </a:srgbClr>
            </a:solidFill>
            <a:ln>
              <a:noFill/>
            </a:ln>
            <a:effectLst/>
          </c:spPr>
          <c:invertIfNegative val="0"/>
          <c:dLbls>
            <c:dLbl>
              <c:idx val="0"/>
              <c:layout>
                <c:manualLayout>
                  <c:x val="0"/>
                  <c:y val="-3.04465493910690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66-49A8-A2C3-A89732352534}"/>
                </c:ext>
              </c:extLst>
            </c:dLbl>
            <c:dLbl>
              <c:idx val="1"/>
              <c:layout>
                <c:manualLayout>
                  <c:x val="-5.3239562351217726E-2"/>
                  <c:y val="1.52904963704663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E66-49A8-A2C3-A89732352534}"/>
                </c:ext>
              </c:extLst>
            </c:dLbl>
            <c:dLbl>
              <c:idx val="2"/>
              <c:layout>
                <c:manualLayout>
                  <c:x val="0"/>
                  <c:y val="-3.82003395585738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C11-4178-B9BF-02CC96358154}"/>
                </c:ext>
              </c:extLst>
            </c:dLbl>
            <c:dLbl>
              <c:idx val="3"/>
              <c:layout>
                <c:manualLayout>
                  <c:x val="4.3604651162790699E-2"/>
                  <c:y val="-5.94227504244482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11-4178-B9BF-02CC963581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Sheet1!$H$4:$H$9</c:f>
                <c:numCache>
                  <c:formatCode>General</c:formatCode>
                  <c:ptCount val="6"/>
                  <c:pt idx="0">
                    <c:v>0.5</c:v>
                  </c:pt>
                  <c:pt idx="1">
                    <c:v>3.77</c:v>
                  </c:pt>
                  <c:pt idx="2">
                    <c:v>74.27</c:v>
                  </c:pt>
                  <c:pt idx="3">
                    <c:v>2.14</c:v>
                  </c:pt>
                  <c:pt idx="4">
                    <c:v>0.79</c:v>
                  </c:pt>
                  <c:pt idx="5">
                    <c:v>1.28</c:v>
                  </c:pt>
                </c:numCache>
              </c:numRef>
            </c:plus>
            <c:minus>
              <c:numRef>
                <c:f>Sheet1!$H$4:$H$9</c:f>
                <c:numCache>
                  <c:formatCode>General</c:formatCode>
                  <c:ptCount val="6"/>
                  <c:pt idx="0">
                    <c:v>0.5</c:v>
                  </c:pt>
                  <c:pt idx="1">
                    <c:v>3.77</c:v>
                  </c:pt>
                  <c:pt idx="2">
                    <c:v>74.27</c:v>
                  </c:pt>
                  <c:pt idx="3">
                    <c:v>2.14</c:v>
                  </c:pt>
                  <c:pt idx="4">
                    <c:v>0.79</c:v>
                  </c:pt>
                  <c:pt idx="5">
                    <c:v>1.28</c:v>
                  </c:pt>
                </c:numCache>
              </c:numRef>
            </c:minus>
            <c:spPr>
              <a:noFill/>
              <a:ln w="9525" cap="flat" cmpd="sng" algn="ctr">
                <a:solidFill>
                  <a:schemeClr val="tx1">
                    <a:lumMod val="65000"/>
                    <a:lumOff val="35000"/>
                  </a:schemeClr>
                </a:solidFill>
                <a:round/>
              </a:ln>
              <a:effectLst/>
            </c:spPr>
          </c:errBars>
          <c:cat>
            <c:strRef>
              <c:f>Sheet1!$A$4:$A$9</c:f>
              <c:strCache>
                <c:ptCount val="6"/>
                <c:pt idx="0">
                  <c:v>Kawalan</c:v>
                </c:pt>
                <c:pt idx="1">
                  <c:v>1:1</c:v>
                </c:pt>
                <c:pt idx="2">
                  <c:v>1:2</c:v>
                </c:pt>
                <c:pt idx="3">
                  <c:v>1:3</c:v>
                </c:pt>
                <c:pt idx="4">
                  <c:v>1:4</c:v>
                </c:pt>
                <c:pt idx="5">
                  <c:v>1:5</c:v>
                </c:pt>
              </c:strCache>
            </c:strRef>
          </c:cat>
          <c:val>
            <c:numRef>
              <c:f>Sheet1!$D$4:$D$9</c:f>
              <c:numCache>
                <c:formatCode>0.00</c:formatCode>
                <c:ptCount val="6"/>
                <c:pt idx="0">
                  <c:v>9.32</c:v>
                </c:pt>
                <c:pt idx="1">
                  <c:v>364.05</c:v>
                </c:pt>
                <c:pt idx="2">
                  <c:v>825.32</c:v>
                </c:pt>
                <c:pt idx="3">
                  <c:v>59.65</c:v>
                </c:pt>
                <c:pt idx="4">
                  <c:v>20.3</c:v>
                </c:pt>
                <c:pt idx="5">
                  <c:v>58.68</c:v>
                </c:pt>
              </c:numCache>
            </c:numRef>
          </c:val>
          <c:extLst xmlns:c16r2="http://schemas.microsoft.com/office/drawing/2015/06/chart">
            <c:ext xmlns:c16="http://schemas.microsoft.com/office/drawing/2014/chart" uri="{C3380CC4-5D6E-409C-BE32-E72D297353CC}">
              <c16:uniqueId val="{00000004-3E66-49A8-A2C3-A89732352534}"/>
            </c:ext>
          </c:extLst>
        </c:ser>
        <c:dLbls>
          <c:showLegendKey val="0"/>
          <c:showVal val="0"/>
          <c:showCatName val="0"/>
          <c:showSerName val="0"/>
          <c:showPercent val="0"/>
          <c:showBubbleSize val="0"/>
        </c:dLbls>
        <c:gapWidth val="214"/>
        <c:axId val="66426368"/>
        <c:axId val="66428288"/>
      </c:barChart>
      <c:lineChart>
        <c:grouping val="standard"/>
        <c:varyColors val="0"/>
        <c:ser>
          <c:idx val="0"/>
          <c:order val="0"/>
          <c:tx>
            <c:strRef>
              <c:f>Sheet1!$B$3</c:f>
              <c:strCache>
                <c:ptCount val="1"/>
                <c:pt idx="0">
                  <c:v>Kelikatan (cp)</c:v>
                </c:pt>
              </c:strCache>
            </c:strRef>
          </c:tx>
          <c:spPr>
            <a:ln w="12700" cap="rnd">
              <a:solidFill>
                <a:schemeClr val="tx1"/>
              </a:solidFill>
              <a:round/>
            </a:ln>
            <a:effectLst/>
          </c:spPr>
          <c:marker>
            <c:symbol val="circle"/>
            <c:size val="5"/>
            <c:spPr>
              <a:solidFill>
                <a:schemeClr val="tx1"/>
              </a:solidFill>
              <a:ln w="12700">
                <a:solidFill>
                  <a:schemeClr val="tx1"/>
                </a:solidFill>
              </a:ln>
              <a:effectLst/>
            </c:spPr>
          </c:marker>
          <c:dLbls>
            <c:dLbl>
              <c:idx val="1"/>
              <c:layout>
                <c:manualLayout>
                  <c:x val="-3.1853238076182219E-2"/>
                  <c:y val="-4.89296636085627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E66-49A8-A2C3-A89732352534}"/>
                </c:ext>
              </c:extLst>
            </c:dLbl>
            <c:dLbl>
              <c:idx val="2"/>
              <c:layout>
                <c:manualLayout>
                  <c:x val="-2.7902341803687097E-2"/>
                  <c:y val="-5.19877675840978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E66-49A8-A2C3-A89732352534}"/>
                </c:ext>
              </c:extLst>
            </c:dLbl>
            <c:dLbl>
              <c:idx val="3"/>
              <c:layout>
                <c:manualLayout>
                  <c:x val="-4.3846537120079791E-2"/>
                  <c:y val="-2.75229357798165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E66-49A8-A2C3-A89732352534}"/>
                </c:ext>
              </c:extLst>
            </c:dLbl>
            <c:dLbl>
              <c:idx val="4"/>
              <c:layout>
                <c:manualLayout>
                  <c:x val="-3.5874439461883408E-2"/>
                  <c:y val="-5.81039755351681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E66-49A8-A2C3-A89732352534}"/>
                </c:ext>
              </c:extLst>
            </c:dLbl>
            <c:dLbl>
              <c:idx val="5"/>
              <c:layout>
                <c:manualLayout>
                  <c:x val="-2.3916292974589085E-2"/>
                  <c:y val="-3.05810397553516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E66-49A8-A2C3-A8973235253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Sheet1!$K$5:$K$9</c:f>
                <c:numCache>
                  <c:formatCode>General</c:formatCode>
                  <c:ptCount val="5"/>
                  <c:pt idx="0">
                    <c:v>0</c:v>
                  </c:pt>
                  <c:pt idx="1">
                    <c:v>0.57999999999999996</c:v>
                  </c:pt>
                  <c:pt idx="2">
                    <c:v>0.57999999999999996</c:v>
                  </c:pt>
                  <c:pt idx="3">
                    <c:v>0</c:v>
                  </c:pt>
                  <c:pt idx="4">
                    <c:v>0.57999999999999996</c:v>
                  </c:pt>
                </c:numCache>
              </c:numRef>
            </c:plus>
            <c:minus>
              <c:numRef>
                <c:f>Sheet1!$K$5:$K$9</c:f>
                <c:numCache>
                  <c:formatCode>General</c:formatCode>
                  <c:ptCount val="5"/>
                  <c:pt idx="0">
                    <c:v>0</c:v>
                  </c:pt>
                  <c:pt idx="1">
                    <c:v>0.57999999999999996</c:v>
                  </c:pt>
                  <c:pt idx="2">
                    <c:v>0.57999999999999996</c:v>
                  </c:pt>
                  <c:pt idx="3">
                    <c:v>0</c:v>
                  </c:pt>
                  <c:pt idx="4">
                    <c:v>0.57999999999999996</c:v>
                  </c:pt>
                </c:numCache>
              </c:numRef>
            </c:minus>
            <c:spPr>
              <a:noFill/>
              <a:ln w="9525" cap="flat" cmpd="sng" algn="ctr">
                <a:solidFill>
                  <a:schemeClr val="tx1">
                    <a:lumMod val="65000"/>
                    <a:lumOff val="35000"/>
                  </a:schemeClr>
                </a:solidFill>
                <a:round/>
              </a:ln>
              <a:effectLst/>
            </c:spPr>
          </c:errBars>
          <c:cat>
            <c:strRef>
              <c:f>Sheet1!$A$4:$A$9</c:f>
              <c:strCache>
                <c:ptCount val="6"/>
                <c:pt idx="0">
                  <c:v>Kawalan</c:v>
                </c:pt>
                <c:pt idx="1">
                  <c:v>1:1</c:v>
                </c:pt>
                <c:pt idx="2">
                  <c:v>1:2</c:v>
                </c:pt>
                <c:pt idx="3">
                  <c:v>1:3</c:v>
                </c:pt>
                <c:pt idx="4">
                  <c:v>1:4</c:v>
                </c:pt>
                <c:pt idx="5">
                  <c:v>1:5</c:v>
                </c:pt>
              </c:strCache>
            </c:strRef>
          </c:cat>
          <c:val>
            <c:numRef>
              <c:f>Sheet1!$B$4:$B$9</c:f>
              <c:numCache>
                <c:formatCode>0.0</c:formatCode>
                <c:ptCount val="6"/>
                <c:pt idx="1">
                  <c:v>5</c:v>
                </c:pt>
                <c:pt idx="2">
                  <c:v>5.7</c:v>
                </c:pt>
                <c:pt idx="3">
                  <c:v>8.3000000000000007</c:v>
                </c:pt>
                <c:pt idx="4">
                  <c:v>10</c:v>
                </c:pt>
                <c:pt idx="5">
                  <c:v>10.7</c:v>
                </c:pt>
              </c:numCache>
            </c:numRef>
          </c:val>
          <c:smooth val="0"/>
          <c:extLst xmlns:c16r2="http://schemas.microsoft.com/office/drawing/2015/06/chart">
            <c:ext xmlns:c16="http://schemas.microsoft.com/office/drawing/2014/chart" uri="{C3380CC4-5D6E-409C-BE32-E72D297353CC}">
              <c16:uniqueId val="{0000000A-3E66-49A8-A2C3-A89732352534}"/>
            </c:ext>
          </c:extLst>
        </c:ser>
        <c:dLbls>
          <c:showLegendKey val="0"/>
          <c:showVal val="0"/>
          <c:showCatName val="0"/>
          <c:showSerName val="0"/>
          <c:showPercent val="0"/>
          <c:showBubbleSize val="0"/>
        </c:dLbls>
        <c:marker val="1"/>
        <c:smooth val="0"/>
        <c:axId val="66448768"/>
        <c:axId val="66446848"/>
      </c:lineChart>
      <c:catAx>
        <c:axId val="664263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Nisbah CPO: DES relina (g)</a:t>
                </a:r>
                <a:endParaRPr lang="en-US" sz="900">
                  <a:solidFill>
                    <a:schemeClr val="tx1"/>
                  </a:solidFill>
                  <a:effectLst/>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6428288"/>
        <c:crosses val="autoZero"/>
        <c:auto val="1"/>
        <c:lblAlgn val="ctr"/>
        <c:lblOffset val="100"/>
        <c:noMultiLvlLbl val="0"/>
      </c:catAx>
      <c:valAx>
        <c:axId val="6642828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Kepekatan </a:t>
                </a:r>
                <a:r>
                  <a:rPr lang="el-GR" sz="900" b="0" i="0" baseline="0">
                    <a:solidFill>
                      <a:schemeClr val="tx1"/>
                    </a:solidFill>
                    <a:effectLst/>
                    <a:latin typeface="Times New Roman" panose="02020603050405020304" pitchFamily="18" charset="0"/>
                    <a:cs typeface="Times New Roman" panose="02020603050405020304" pitchFamily="18" charset="0"/>
                  </a:rPr>
                  <a:t>α</a:t>
                </a:r>
                <a:r>
                  <a:rPr lang="en-US" sz="900" b="0" i="0" baseline="0">
                    <a:solidFill>
                      <a:schemeClr val="tx1"/>
                    </a:solidFill>
                    <a:effectLst/>
                    <a:latin typeface="Times New Roman" panose="02020603050405020304" pitchFamily="18" charset="0"/>
                    <a:cs typeface="Times New Roman" panose="02020603050405020304" pitchFamily="18" charset="0"/>
                  </a:rPr>
                  <a:t>-T yang diekstrak (ppm)</a:t>
                </a:r>
                <a:endParaRPr lang="en-US" sz="900">
                  <a:solidFill>
                    <a:schemeClr val="tx1"/>
                  </a:solidFill>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sz="900"/>
              </a:p>
            </c:rich>
          </c:tx>
          <c:layout>
            <c:manualLayout>
              <c:xMode val="edge"/>
              <c:yMode val="edge"/>
              <c:x val="3.3881415047334329E-2"/>
              <c:y val="0.20772905680367937"/>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6426368"/>
        <c:crosses val="autoZero"/>
        <c:crossBetween val="between"/>
      </c:valAx>
      <c:valAx>
        <c:axId val="6644684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Kelikatan DES relina dalam</a:t>
                </a:r>
                <a:endParaRPr lang="en-US" sz="900">
                  <a:solidFill>
                    <a:schemeClr val="tx1"/>
                  </a:solidFill>
                  <a:effectLst/>
                  <a:latin typeface="Times New Roman" panose="02020603050405020304" pitchFamily="18" charset="0"/>
                  <a:cs typeface="Times New Roman" panose="02020603050405020304" pitchFamily="18" charset="0"/>
                </a:endParaRPr>
              </a:p>
              <a:p>
                <a:pPr>
                  <a:defRPr sz="900" b="0" i="0" u="none" strike="noStrike" kern="1200" baseline="0">
                    <a:solidFill>
                      <a:schemeClr val="tx1">
                        <a:lumMod val="65000"/>
                        <a:lumOff val="35000"/>
                      </a:scheme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 100 ml  metanol (cP)</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90697674418604646"/>
              <c:y val="0.1883821504485114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6448768"/>
        <c:crosses val="max"/>
        <c:crossBetween val="between"/>
        <c:majorUnit val="2"/>
      </c:valAx>
      <c:catAx>
        <c:axId val="66448768"/>
        <c:scaling>
          <c:orientation val="minMax"/>
        </c:scaling>
        <c:delete val="1"/>
        <c:axPos val="b"/>
        <c:numFmt formatCode="General" sourceLinked="1"/>
        <c:majorTickMark val="out"/>
        <c:minorTickMark val="none"/>
        <c:tickLblPos val="nextTo"/>
        <c:crossAx val="66446848"/>
        <c:crosses val="autoZero"/>
        <c:auto val="1"/>
        <c:lblAlgn val="ctr"/>
        <c:lblOffset val="100"/>
        <c:noMultiLvlLbl val="0"/>
      </c:catAx>
      <c:spPr>
        <a:noFill/>
        <a:ln>
          <a:noFill/>
        </a:ln>
        <a:effectLst/>
      </c:spPr>
    </c:plotArea>
    <c:legend>
      <c:legendPos val="b"/>
      <c:layout>
        <c:manualLayout>
          <c:xMode val="edge"/>
          <c:yMode val="edge"/>
          <c:x val="0.21337323750228895"/>
          <c:y val="0.18811277622555245"/>
          <c:w val="0.25655089077990811"/>
          <c:h val="0.128058465168918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4134156005369"/>
          <c:y val="4.6699214604118022E-2"/>
          <c:w val="0.69791056877052671"/>
          <c:h val="0.72380205817512033"/>
        </c:manualLayout>
      </c:layout>
      <c:barChart>
        <c:barDir val="col"/>
        <c:grouping val="clustered"/>
        <c:varyColors val="0"/>
        <c:ser>
          <c:idx val="1"/>
          <c:order val="1"/>
          <c:tx>
            <c:strRef>
              <c:f>Sheet2!$C$3</c:f>
              <c:strCache>
                <c:ptCount val="1"/>
                <c:pt idx="0">
                  <c:v>2 jam</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Sheet2!$C$11:$C$16</c:f>
                <c:numCache>
                  <c:formatCode>General</c:formatCode>
                  <c:ptCount val="6"/>
                  <c:pt idx="0">
                    <c:v>2.0000000000000001E-4</c:v>
                  </c:pt>
                  <c:pt idx="1">
                    <c:v>2.6499999999999999E-4</c:v>
                  </c:pt>
                  <c:pt idx="2">
                    <c:v>5.77E-5</c:v>
                  </c:pt>
                  <c:pt idx="3">
                    <c:v>2.0000000000000001E-4</c:v>
                  </c:pt>
                  <c:pt idx="4">
                    <c:v>5.77E-5</c:v>
                  </c:pt>
                  <c:pt idx="5">
                    <c:v>1.5300000000000001E-4</c:v>
                  </c:pt>
                </c:numCache>
              </c:numRef>
            </c:plus>
            <c:minus>
              <c:numRef>
                <c:f>Sheet2!$C$11:$C$16</c:f>
                <c:numCache>
                  <c:formatCode>General</c:formatCode>
                  <c:ptCount val="6"/>
                  <c:pt idx="0">
                    <c:v>2.0000000000000001E-4</c:v>
                  </c:pt>
                  <c:pt idx="1">
                    <c:v>2.6499999999999999E-4</c:v>
                  </c:pt>
                  <c:pt idx="2">
                    <c:v>5.77E-5</c:v>
                  </c:pt>
                  <c:pt idx="3">
                    <c:v>2.0000000000000001E-4</c:v>
                  </c:pt>
                  <c:pt idx="4">
                    <c:v>5.77E-5</c:v>
                  </c:pt>
                  <c:pt idx="5">
                    <c:v>1.5300000000000001E-4</c:v>
                  </c:pt>
                </c:numCache>
              </c:numRef>
            </c:minus>
            <c:spPr>
              <a:noFill/>
              <a:ln w="9525" cap="flat" cmpd="sng" algn="ctr">
                <a:solidFill>
                  <a:schemeClr val="tx1">
                    <a:lumMod val="65000"/>
                    <a:lumOff val="35000"/>
                  </a:schemeClr>
                </a:solidFill>
                <a:round/>
              </a:ln>
              <a:effectLst/>
            </c:spPr>
          </c:errBars>
          <c:cat>
            <c:strRef>
              <c:f>Sheet2!$A$4:$A$9</c:f>
              <c:strCache>
                <c:ptCount val="6"/>
                <c:pt idx="0">
                  <c:v>Kawalan</c:v>
                </c:pt>
                <c:pt idx="1">
                  <c:v>1:1</c:v>
                </c:pt>
                <c:pt idx="2">
                  <c:v>1:2</c:v>
                </c:pt>
                <c:pt idx="3">
                  <c:v>1:3</c:v>
                </c:pt>
                <c:pt idx="4">
                  <c:v>1:4</c:v>
                </c:pt>
                <c:pt idx="5">
                  <c:v>1:5</c:v>
                </c:pt>
              </c:strCache>
            </c:strRef>
          </c:cat>
          <c:val>
            <c:numRef>
              <c:f>Sheet2!$C$4:$C$9</c:f>
              <c:numCache>
                <c:formatCode>0.0000</c:formatCode>
                <c:ptCount val="6"/>
                <c:pt idx="0">
                  <c:v>1E-3</c:v>
                </c:pt>
                <c:pt idx="1">
                  <c:v>1.8E-3</c:v>
                </c:pt>
                <c:pt idx="2">
                  <c:v>1.1999999999999999E-3</c:v>
                </c:pt>
                <c:pt idx="3">
                  <c:v>2.1999999999999999E-2</c:v>
                </c:pt>
                <c:pt idx="4">
                  <c:v>8.6999999999999994E-3</c:v>
                </c:pt>
                <c:pt idx="5">
                  <c:v>8.3999999999999995E-3</c:v>
                </c:pt>
              </c:numCache>
            </c:numRef>
          </c:val>
          <c:extLst xmlns:c16r2="http://schemas.microsoft.com/office/drawing/2015/06/chart">
            <c:ext xmlns:c16="http://schemas.microsoft.com/office/drawing/2014/chart" uri="{C3380CC4-5D6E-409C-BE32-E72D297353CC}">
              <c16:uniqueId val="{00000000-149C-4952-BB6C-CFD6A4451B52}"/>
            </c:ext>
          </c:extLst>
        </c:ser>
        <c:ser>
          <c:idx val="2"/>
          <c:order val="2"/>
          <c:tx>
            <c:strRef>
              <c:f>Sheet2!$D$3</c:f>
              <c:strCache>
                <c:ptCount val="1"/>
                <c:pt idx="0">
                  <c:v>3 jam</c:v>
                </c:pt>
              </c:strCache>
            </c:strRef>
          </c:tx>
          <c:spPr>
            <a:solidFill>
              <a:srgbClr val="FF2929">
                <a:alpha val="98000"/>
              </a:srgbClr>
            </a:solidFill>
            <a:ln>
              <a:noFill/>
            </a:ln>
            <a:effectLst/>
          </c:spPr>
          <c:invertIfNegative val="0"/>
          <c:dLbls>
            <c:dLbl>
              <c:idx val="0"/>
              <c:layout>
                <c:manualLayout>
                  <c:x val="0"/>
                  <c:y val="-5.09445977499469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87D-4212-AE94-3A46F57EC52A}"/>
                </c:ext>
              </c:extLst>
            </c:dLbl>
            <c:dLbl>
              <c:idx val="1"/>
              <c:layout>
                <c:manualLayout>
                  <c:x val="3.7812681791739383E-2"/>
                  <c:y val="-0.1657571406843089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9C-4952-BB6C-CFD6A4451B52}"/>
                </c:ext>
              </c:extLst>
            </c:dLbl>
            <c:dLbl>
              <c:idx val="2"/>
              <c:layout>
                <c:manualLayout>
                  <c:x val="6.9808027923211169E-2"/>
                  <c:y val="-2.54722988749734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87D-4212-AE94-3A46F57EC52A}"/>
                </c:ext>
              </c:extLst>
            </c:dLbl>
            <c:dLbl>
              <c:idx val="3"/>
              <c:layout>
                <c:manualLayout>
                  <c:x val="3.7899483768717393E-2"/>
                  <c:y val="-0.106134578645722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9C-4952-BB6C-CFD6A4451B52}"/>
                </c:ext>
              </c:extLst>
            </c:dLbl>
            <c:dLbl>
              <c:idx val="4"/>
              <c:layout>
                <c:manualLayout>
                  <c:x val="2.3269342641070282E-2"/>
                  <c:y val="-9.76438123540650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87D-4212-AE94-3A46F57EC52A}"/>
                </c:ext>
              </c:extLst>
            </c:dLbl>
            <c:dLbl>
              <c:idx val="5"/>
              <c:layout>
                <c:manualLayout>
                  <c:x val="1.0664992174257586E-16"/>
                  <c:y val="-0.107415213514358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9C-4952-BB6C-CFD6A4451B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Sheet2!$D$11:$D$16</c:f>
                <c:numCache>
                  <c:formatCode>General</c:formatCode>
                  <c:ptCount val="6"/>
                  <c:pt idx="0">
                    <c:v>2.9999999999999997E-4</c:v>
                  </c:pt>
                  <c:pt idx="1">
                    <c:v>4.6899999999999997E-2</c:v>
                  </c:pt>
                  <c:pt idx="2">
                    <c:v>1.5599999999999999E-2</c:v>
                  </c:pt>
                  <c:pt idx="3">
                    <c:v>2.9999999999999997E-4</c:v>
                  </c:pt>
                  <c:pt idx="4">
                    <c:v>1E-4</c:v>
                  </c:pt>
                  <c:pt idx="5">
                    <c:v>1E-4</c:v>
                  </c:pt>
                </c:numCache>
              </c:numRef>
            </c:plus>
            <c:minus>
              <c:numRef>
                <c:f>Sheet2!$D$11:$D$16</c:f>
                <c:numCache>
                  <c:formatCode>General</c:formatCode>
                  <c:ptCount val="6"/>
                  <c:pt idx="0">
                    <c:v>2.9999999999999997E-4</c:v>
                  </c:pt>
                  <c:pt idx="1">
                    <c:v>4.6899999999999997E-2</c:v>
                  </c:pt>
                  <c:pt idx="2">
                    <c:v>1.5599999999999999E-2</c:v>
                  </c:pt>
                  <c:pt idx="3">
                    <c:v>2.9999999999999997E-4</c:v>
                  </c:pt>
                  <c:pt idx="4">
                    <c:v>1E-4</c:v>
                  </c:pt>
                  <c:pt idx="5">
                    <c:v>1E-4</c:v>
                  </c:pt>
                </c:numCache>
              </c:numRef>
            </c:minus>
            <c:spPr>
              <a:noFill/>
              <a:ln w="9525" cap="flat" cmpd="sng" algn="ctr">
                <a:solidFill>
                  <a:schemeClr val="tx1">
                    <a:lumMod val="65000"/>
                    <a:lumOff val="35000"/>
                  </a:schemeClr>
                </a:solidFill>
                <a:round/>
              </a:ln>
              <a:effectLst/>
            </c:spPr>
          </c:errBars>
          <c:cat>
            <c:strRef>
              <c:f>Sheet2!$A$4:$A$9</c:f>
              <c:strCache>
                <c:ptCount val="6"/>
                <c:pt idx="0">
                  <c:v>Kawalan</c:v>
                </c:pt>
                <c:pt idx="1">
                  <c:v>1:1</c:v>
                </c:pt>
                <c:pt idx="2">
                  <c:v>1:2</c:v>
                </c:pt>
                <c:pt idx="3">
                  <c:v>1:3</c:v>
                </c:pt>
                <c:pt idx="4">
                  <c:v>1:4</c:v>
                </c:pt>
                <c:pt idx="5">
                  <c:v>1:5</c:v>
                </c:pt>
              </c:strCache>
            </c:strRef>
          </c:cat>
          <c:val>
            <c:numRef>
              <c:f>Sheet2!$D$4:$D$9</c:f>
              <c:numCache>
                <c:formatCode>General</c:formatCode>
                <c:ptCount val="6"/>
                <c:pt idx="0">
                  <c:v>6.4000000000000003E-3</c:v>
                </c:pt>
                <c:pt idx="1">
                  <c:v>6.3399999999999998E-2</c:v>
                </c:pt>
                <c:pt idx="2">
                  <c:v>0.15540000000000001</c:v>
                </c:pt>
                <c:pt idx="3">
                  <c:v>8.6999999999999994E-3</c:v>
                </c:pt>
                <c:pt idx="4">
                  <c:v>2.2000000000000001E-3</c:v>
                </c:pt>
                <c:pt idx="5">
                  <c:v>6.4000000000000003E-3</c:v>
                </c:pt>
              </c:numCache>
            </c:numRef>
          </c:val>
          <c:extLst xmlns:c16r2="http://schemas.microsoft.com/office/drawing/2015/06/chart">
            <c:ext xmlns:c16="http://schemas.microsoft.com/office/drawing/2014/chart" uri="{C3380CC4-5D6E-409C-BE32-E72D297353CC}">
              <c16:uniqueId val="{00000004-149C-4952-BB6C-CFD6A4451B52}"/>
            </c:ext>
          </c:extLst>
        </c:ser>
        <c:dLbls>
          <c:showLegendKey val="0"/>
          <c:showVal val="0"/>
          <c:showCatName val="0"/>
          <c:showSerName val="0"/>
          <c:showPercent val="0"/>
          <c:showBubbleSize val="0"/>
        </c:dLbls>
        <c:gapWidth val="219"/>
        <c:axId val="77204096"/>
        <c:axId val="77222656"/>
      </c:barChart>
      <c:lineChart>
        <c:grouping val="standard"/>
        <c:varyColors val="0"/>
        <c:ser>
          <c:idx val="0"/>
          <c:order val="0"/>
          <c:tx>
            <c:strRef>
              <c:f>Sheet2!$B$3</c:f>
              <c:strCache>
                <c:ptCount val="1"/>
                <c:pt idx="0">
                  <c:v>Kelikatan (cp)</c:v>
                </c:pt>
              </c:strCache>
            </c:strRef>
          </c:tx>
          <c:spPr>
            <a:ln w="12700" cap="rnd">
              <a:solidFill>
                <a:schemeClr val="tx1"/>
              </a:solidFill>
              <a:round/>
            </a:ln>
            <a:effectLst/>
          </c:spPr>
          <c:marker>
            <c:symbol val="circle"/>
            <c:size val="5"/>
            <c:spPr>
              <a:solidFill>
                <a:schemeClr val="tx1"/>
              </a:solidFill>
              <a:ln w="12700">
                <a:solidFill>
                  <a:schemeClr val="tx1"/>
                </a:solidFill>
              </a:ln>
              <a:effectLst/>
            </c:spPr>
          </c:marker>
          <c:dLbls>
            <c:dLbl>
              <c:idx val="1"/>
              <c:layout>
                <c:manualLayout>
                  <c:x val="-2.755227338797506E-2"/>
                  <c:y val="-3.7647068123407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49C-4952-BB6C-CFD6A4451B52}"/>
                </c:ext>
              </c:extLst>
            </c:dLbl>
            <c:dLbl>
              <c:idx val="2"/>
              <c:layout>
                <c:manualLayout>
                  <c:x val="-2.9520292915687637E-2"/>
                  <c:y val="-5.9607857862061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49C-4952-BB6C-CFD6A4451B52}"/>
                </c:ext>
              </c:extLst>
            </c:dLbl>
            <c:dLbl>
              <c:idx val="3"/>
              <c:layout>
                <c:manualLayout>
                  <c:x val="-2.5584253860262557E-2"/>
                  <c:y val="-5.9607857862061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49C-4952-BB6C-CFD6A4451B52}"/>
                </c:ext>
              </c:extLst>
            </c:dLbl>
            <c:dLbl>
              <c:idx val="4"/>
              <c:layout>
                <c:manualLayout>
                  <c:x val="-3.148831244340021E-2"/>
                  <c:y val="-2.82353010925554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49C-4952-BB6C-CFD6A4451B52}"/>
                </c:ext>
              </c:extLst>
            </c:dLbl>
            <c:dLbl>
              <c:idx val="5"/>
              <c:layout>
                <c:manualLayout>
                  <c:x val="-3.7392371026537578E-2"/>
                  <c:y val="-4.39215794773085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49C-4952-BB6C-CFD6A4451B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Sheet2!$B$11:$B$16</c:f>
                <c:numCache>
                  <c:formatCode>General</c:formatCode>
                  <c:ptCount val="6"/>
                  <c:pt idx="1">
                    <c:v>0</c:v>
                  </c:pt>
                  <c:pt idx="2">
                    <c:v>0.57999999999999996</c:v>
                  </c:pt>
                  <c:pt idx="3">
                    <c:v>0.57999999999999996</c:v>
                  </c:pt>
                  <c:pt idx="4">
                    <c:v>0</c:v>
                  </c:pt>
                  <c:pt idx="5">
                    <c:v>0.57999999999999996</c:v>
                  </c:pt>
                </c:numCache>
              </c:numRef>
            </c:plus>
            <c:minus>
              <c:numRef>
                <c:f>Sheet2!$B$11:$B$16</c:f>
                <c:numCache>
                  <c:formatCode>General</c:formatCode>
                  <c:ptCount val="6"/>
                  <c:pt idx="1">
                    <c:v>0</c:v>
                  </c:pt>
                  <c:pt idx="2">
                    <c:v>0.57999999999999996</c:v>
                  </c:pt>
                  <c:pt idx="3">
                    <c:v>0.57999999999999996</c:v>
                  </c:pt>
                  <c:pt idx="4">
                    <c:v>0</c:v>
                  </c:pt>
                  <c:pt idx="5">
                    <c:v>0.57999999999999996</c:v>
                  </c:pt>
                </c:numCache>
              </c:numRef>
            </c:minus>
            <c:spPr>
              <a:noFill/>
              <a:ln w="9525" cap="flat" cmpd="sng" algn="ctr">
                <a:solidFill>
                  <a:schemeClr val="tx1">
                    <a:lumMod val="65000"/>
                    <a:lumOff val="35000"/>
                  </a:schemeClr>
                </a:solidFill>
                <a:round/>
              </a:ln>
              <a:effectLst/>
            </c:spPr>
          </c:errBars>
          <c:cat>
            <c:strRef>
              <c:f>Sheet2!$A$4:$A$9</c:f>
              <c:strCache>
                <c:ptCount val="6"/>
                <c:pt idx="0">
                  <c:v>Kawalan</c:v>
                </c:pt>
                <c:pt idx="1">
                  <c:v>1:1</c:v>
                </c:pt>
                <c:pt idx="2">
                  <c:v>1:2</c:v>
                </c:pt>
                <c:pt idx="3">
                  <c:v>1:3</c:v>
                </c:pt>
                <c:pt idx="4">
                  <c:v>1:4</c:v>
                </c:pt>
                <c:pt idx="5">
                  <c:v>1:5</c:v>
                </c:pt>
              </c:strCache>
            </c:strRef>
          </c:cat>
          <c:val>
            <c:numRef>
              <c:f>Sheet2!$B$4:$B$9</c:f>
              <c:numCache>
                <c:formatCode>0.0</c:formatCode>
                <c:ptCount val="6"/>
                <c:pt idx="1">
                  <c:v>5</c:v>
                </c:pt>
                <c:pt idx="2">
                  <c:v>5.7</c:v>
                </c:pt>
                <c:pt idx="3">
                  <c:v>8.3000000000000007</c:v>
                </c:pt>
                <c:pt idx="4">
                  <c:v>10</c:v>
                </c:pt>
                <c:pt idx="5">
                  <c:v>10.7</c:v>
                </c:pt>
              </c:numCache>
            </c:numRef>
          </c:val>
          <c:smooth val="0"/>
          <c:extLst xmlns:c16r2="http://schemas.microsoft.com/office/drawing/2015/06/chart">
            <c:ext xmlns:c16="http://schemas.microsoft.com/office/drawing/2014/chart" uri="{C3380CC4-5D6E-409C-BE32-E72D297353CC}">
              <c16:uniqueId val="{0000000A-149C-4952-BB6C-CFD6A4451B52}"/>
            </c:ext>
          </c:extLst>
        </c:ser>
        <c:dLbls>
          <c:showLegendKey val="0"/>
          <c:showVal val="0"/>
          <c:showCatName val="0"/>
          <c:showSerName val="0"/>
          <c:showPercent val="0"/>
          <c:showBubbleSize val="0"/>
        </c:dLbls>
        <c:marker val="1"/>
        <c:smooth val="0"/>
        <c:axId val="77239040"/>
        <c:axId val="77224576"/>
      </c:lineChart>
      <c:catAx>
        <c:axId val="772040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Nisbah CPO:DES relina (g)</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22656"/>
        <c:crosses val="autoZero"/>
        <c:auto val="1"/>
        <c:lblAlgn val="ctr"/>
        <c:lblOffset val="100"/>
        <c:noMultiLvlLbl val="0"/>
      </c:catAx>
      <c:valAx>
        <c:axId val="7722265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Peratus hasil ekstrak </a:t>
                </a:r>
                <a:r>
                  <a:rPr lang="el-GR"/>
                  <a:t>α</a:t>
                </a:r>
                <a:r>
                  <a:rPr lang="en-US"/>
                  <a:t>-T (%)</a:t>
                </a:r>
              </a:p>
            </c:rich>
          </c:tx>
          <c:layout/>
          <c:overlay val="0"/>
          <c:spPr>
            <a:noFill/>
            <a:ln>
              <a:noFill/>
            </a:ln>
            <a:effectLst/>
          </c:spPr>
        </c:title>
        <c:numFmt formatCode="0.0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04096"/>
        <c:crosses val="autoZero"/>
        <c:crossBetween val="between"/>
      </c:valAx>
      <c:valAx>
        <c:axId val="77224576"/>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Kelikatan DES relina dalam 100 mL metanol (cP)</a:t>
                </a:r>
              </a:p>
            </c:rich>
          </c:tx>
          <c:layout>
            <c:manualLayout>
              <c:xMode val="edge"/>
              <c:yMode val="edge"/>
              <c:x val="0.93818073133528457"/>
              <c:y val="5.4696914743012262E-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39040"/>
        <c:crosses val="max"/>
        <c:crossBetween val="between"/>
      </c:valAx>
      <c:catAx>
        <c:axId val="77239040"/>
        <c:scaling>
          <c:orientation val="minMax"/>
        </c:scaling>
        <c:delete val="1"/>
        <c:axPos val="b"/>
        <c:numFmt formatCode="General" sourceLinked="1"/>
        <c:majorTickMark val="out"/>
        <c:minorTickMark val="none"/>
        <c:tickLblPos val="nextTo"/>
        <c:crossAx val="77224576"/>
        <c:crosses val="autoZero"/>
        <c:auto val="1"/>
        <c:lblAlgn val="ctr"/>
        <c:lblOffset val="100"/>
        <c:noMultiLvlLbl val="0"/>
      </c:catAx>
      <c:spPr>
        <a:noFill/>
        <a:ln>
          <a:noFill/>
        </a:ln>
        <a:effectLst/>
      </c:spPr>
    </c:plotArea>
    <c:legend>
      <c:legendPos val="b"/>
      <c:layout>
        <c:manualLayout>
          <c:xMode val="edge"/>
          <c:yMode val="edge"/>
          <c:x val="0.16648778867127378"/>
          <c:y val="7.347749229025595E-2"/>
          <c:w val="0.19142987930926544"/>
          <c:h val="0.245450670820679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91311557459658"/>
          <c:y val="0.10981244835829623"/>
          <c:w val="0.75292609543382893"/>
          <c:h val="0.69963566700184532"/>
        </c:manualLayout>
      </c:layout>
      <c:scatterChart>
        <c:scatterStyle val="lineMarker"/>
        <c:varyColors val="0"/>
        <c:ser>
          <c:idx val="0"/>
          <c:order val="0"/>
          <c:tx>
            <c:strRef>
              <c:f>Sheet1!$C$2</c:f>
              <c:strCache>
                <c:ptCount val="1"/>
                <c:pt idx="0">
                  <c:v>Luas puncak komatogram (mV.s)</c:v>
                </c:pt>
              </c:strCache>
            </c:strRef>
          </c:tx>
          <c:spPr>
            <a:ln>
              <a:noFill/>
            </a:ln>
          </c:spPr>
          <c:marker>
            <c:symbol val="circle"/>
            <c:size val="3"/>
            <c:spPr>
              <a:solidFill>
                <a:schemeClr val="tx1"/>
              </a:solidFill>
            </c:spPr>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A0D-4F64-84E3-DBF169BA6223}"/>
                </c:ext>
              </c:extLst>
            </c:dLbl>
            <c:dLbl>
              <c:idx val="5"/>
              <c:layout>
                <c:manualLayout>
                  <c:x val="-6.1282093087937702E-2"/>
                  <c:y val="-9.75467389313032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32-436D-AD5B-E61602BC376B}"/>
                </c:ext>
              </c:extLst>
            </c:dLbl>
            <c:spPr>
              <a:noFill/>
              <a:ln>
                <a:noFill/>
              </a:ln>
              <a:effectLst/>
            </c:spPr>
            <c:txPr>
              <a:bodyPr wrap="square" lIns="38100" tIns="19050" rIns="38100" bIns="19050" anchor="ctr">
                <a:spAutoFit/>
              </a:bodyPr>
              <a:lstStyle/>
              <a:p>
                <a:pPr>
                  <a:defRPr sz="9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intercept val="0"/>
            <c:dispRSqr val="1"/>
            <c:dispEq val="1"/>
            <c:trendlineLbl>
              <c:layout>
                <c:manualLayout>
                  <c:x val="-0.18598358884243055"/>
                  <c:y val="1.5253587903946177E-3"/>
                </c:manualLayout>
              </c:layout>
              <c:numFmt formatCode="General" sourceLinked="0"/>
              <c:txPr>
                <a:bodyPr/>
                <a:lstStyle/>
                <a:p>
                  <a:pPr>
                    <a:defRPr sz="1000"/>
                  </a:pPr>
                  <a:endParaRPr lang="en-US"/>
                </a:p>
              </c:txPr>
            </c:trendlineLbl>
          </c:trendline>
          <c:errBars>
            <c:errDir val="y"/>
            <c:errBarType val="both"/>
            <c:errValType val="cust"/>
            <c:noEndCap val="0"/>
            <c:plus>
              <c:numRef>
                <c:f>Sheet1!$G$4:$G$9</c:f>
                <c:numCache>
                  <c:formatCode>General</c:formatCode>
                  <c:ptCount val="6"/>
                  <c:pt idx="0">
                    <c:v>0</c:v>
                  </c:pt>
                  <c:pt idx="1">
                    <c:v>0.3511884584282649</c:v>
                  </c:pt>
                  <c:pt idx="2">
                    <c:v>1.5143755588805861</c:v>
                  </c:pt>
                  <c:pt idx="3">
                    <c:v>2.0599352740672532</c:v>
                  </c:pt>
                  <c:pt idx="4">
                    <c:v>3.7112441759378587</c:v>
                  </c:pt>
                  <c:pt idx="5">
                    <c:v>9.8068003616660047</c:v>
                  </c:pt>
                </c:numCache>
              </c:numRef>
            </c:plus>
            <c:minus>
              <c:numRef>
                <c:f>Sheet1!$G$4:$G$9</c:f>
                <c:numCache>
                  <c:formatCode>General</c:formatCode>
                  <c:ptCount val="6"/>
                  <c:pt idx="0">
                    <c:v>0</c:v>
                  </c:pt>
                  <c:pt idx="1">
                    <c:v>0.3511884584282649</c:v>
                  </c:pt>
                  <c:pt idx="2">
                    <c:v>1.5143755588805861</c:v>
                  </c:pt>
                  <c:pt idx="3">
                    <c:v>2.0599352740672532</c:v>
                  </c:pt>
                  <c:pt idx="4">
                    <c:v>3.7112441759378587</c:v>
                  </c:pt>
                  <c:pt idx="5">
                    <c:v>9.8068003616660047</c:v>
                  </c:pt>
                </c:numCache>
              </c:numRef>
            </c:minus>
          </c:errBars>
          <c:xVal>
            <c:numRef>
              <c:f>Sheet1!$B$4:$B$9</c:f>
              <c:numCache>
                <c:formatCode>General</c:formatCode>
                <c:ptCount val="6"/>
                <c:pt idx="0">
                  <c:v>0</c:v>
                </c:pt>
                <c:pt idx="1">
                  <c:v>2.5</c:v>
                </c:pt>
                <c:pt idx="2">
                  <c:v>10</c:v>
                </c:pt>
                <c:pt idx="3">
                  <c:v>30</c:v>
                </c:pt>
                <c:pt idx="4">
                  <c:v>40</c:v>
                </c:pt>
                <c:pt idx="5">
                  <c:v>80</c:v>
                </c:pt>
              </c:numCache>
            </c:numRef>
          </c:xVal>
          <c:yVal>
            <c:numRef>
              <c:f>Sheet1!$F$4:$F$9</c:f>
              <c:numCache>
                <c:formatCode>0.00</c:formatCode>
                <c:ptCount val="6"/>
                <c:pt idx="0" formatCode="General">
                  <c:v>0</c:v>
                </c:pt>
                <c:pt idx="1">
                  <c:v>26.066666666666666</c:v>
                </c:pt>
                <c:pt idx="2">
                  <c:v>214.96666666666658</c:v>
                </c:pt>
                <c:pt idx="3">
                  <c:v>494.56666666666672</c:v>
                </c:pt>
                <c:pt idx="4">
                  <c:v>672.93333333333351</c:v>
                </c:pt>
                <c:pt idx="5" formatCode="General">
                  <c:v>1029.27</c:v>
                </c:pt>
              </c:numCache>
            </c:numRef>
          </c:yVal>
          <c:smooth val="0"/>
          <c:extLst xmlns:c16r2="http://schemas.microsoft.com/office/drawing/2015/06/chart">
            <c:ext xmlns:c16="http://schemas.microsoft.com/office/drawing/2014/chart" uri="{C3380CC4-5D6E-409C-BE32-E72D297353CC}">
              <c16:uniqueId val="{00000001-2A0D-4F64-84E3-DBF169BA6223}"/>
            </c:ext>
          </c:extLst>
        </c:ser>
        <c:dLbls>
          <c:showLegendKey val="0"/>
          <c:showVal val="1"/>
          <c:showCatName val="0"/>
          <c:showSerName val="0"/>
          <c:showPercent val="0"/>
          <c:showBubbleSize val="0"/>
        </c:dLbls>
        <c:axId val="66494464"/>
        <c:axId val="66496000"/>
      </c:scatterChart>
      <c:valAx>
        <c:axId val="66494464"/>
        <c:scaling>
          <c:orientation val="minMax"/>
          <c:min val="0"/>
        </c:scaling>
        <c:delete val="0"/>
        <c:axPos val="b"/>
        <c:title>
          <c:tx>
            <c:rich>
              <a:bodyPr/>
              <a:lstStyle/>
              <a:p>
                <a:pPr>
                  <a:defRPr sz="900" b="0"/>
                </a:pPr>
                <a:r>
                  <a:rPr lang="en-US" sz="900" b="0"/>
                  <a:t>Kepekatan piawai tokoferol (ppm)</a:t>
                </a:r>
              </a:p>
            </c:rich>
          </c:tx>
          <c:layout>
            <c:manualLayout>
              <c:xMode val="edge"/>
              <c:yMode val="edge"/>
              <c:x val="0.32511436983897113"/>
              <c:y val="0.90113566488363106"/>
            </c:manualLayout>
          </c:layout>
          <c:overlay val="0"/>
        </c:title>
        <c:numFmt formatCode="General" sourceLinked="1"/>
        <c:majorTickMark val="out"/>
        <c:minorTickMark val="none"/>
        <c:tickLblPos val="nextTo"/>
        <c:txPr>
          <a:bodyPr/>
          <a:lstStyle/>
          <a:p>
            <a:pPr>
              <a:defRPr sz="900"/>
            </a:pPr>
            <a:endParaRPr lang="en-US"/>
          </a:p>
        </c:txPr>
        <c:crossAx val="66496000"/>
        <c:crosses val="autoZero"/>
        <c:crossBetween val="midCat"/>
        <c:majorUnit val="5"/>
      </c:valAx>
      <c:valAx>
        <c:axId val="66496000"/>
        <c:scaling>
          <c:orientation val="minMax"/>
          <c:max val="1200"/>
          <c:min val="0"/>
        </c:scaling>
        <c:delete val="0"/>
        <c:axPos val="l"/>
        <c:title>
          <c:tx>
            <c:rich>
              <a:bodyPr rot="-5400000" vert="horz"/>
              <a:lstStyle/>
              <a:p>
                <a:pPr>
                  <a:defRPr sz="900" b="0"/>
                </a:pPr>
                <a:r>
                  <a:rPr lang="en-US" sz="900" b="0"/>
                  <a:t>Luas puncak kromatogram (mV.s)</a:t>
                </a:r>
              </a:p>
            </c:rich>
          </c:tx>
          <c:layout>
            <c:manualLayout>
              <c:xMode val="edge"/>
              <c:yMode val="edge"/>
              <c:x val="2.4507274593111916E-2"/>
              <c:y val="0.15315858496264334"/>
            </c:manualLayout>
          </c:layout>
          <c:overlay val="0"/>
        </c:title>
        <c:numFmt formatCode="General" sourceLinked="1"/>
        <c:majorTickMark val="out"/>
        <c:minorTickMark val="none"/>
        <c:tickLblPos val="nextTo"/>
        <c:txPr>
          <a:bodyPr/>
          <a:lstStyle/>
          <a:p>
            <a:pPr>
              <a:defRPr sz="900"/>
            </a:pPr>
            <a:endParaRPr lang="en-US"/>
          </a:p>
        </c:txPr>
        <c:crossAx val="66494464"/>
        <c:crosses val="autoZero"/>
        <c:crossBetween val="midCat"/>
      </c:valAx>
    </c:plotArea>
    <c:plotVisOnly val="1"/>
    <c:dispBlanksAs val="gap"/>
    <c:showDLblsOverMax val="0"/>
  </c:chart>
  <c:spPr>
    <a:ln>
      <a:solidFill>
        <a:sysClr val="windowText" lastClr="000000"/>
      </a:solidFill>
    </a:ln>
  </c:spPr>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0.8565</cdr:x>
      <cdr:y>0.64679</cdr:y>
    </cdr:from>
    <cdr:to>
      <cdr:x>1</cdr:x>
      <cdr:y>0.86697</cdr:y>
    </cdr:to>
    <cdr:sp macro="" textlink="">
      <cdr:nvSpPr>
        <cdr:cNvPr id="2" name="TextBox 1"/>
        <cdr:cNvSpPr txBox="1"/>
      </cdr:nvSpPr>
      <cdr:spPr>
        <a:xfrm xmlns:a="http://schemas.openxmlformats.org/drawingml/2006/main" rot="16200000">
          <a:off x="5457825" y="2686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182</TotalTime>
  <Pages>12</Pages>
  <Words>4563</Words>
  <Characters>27416</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INSTRUCTIONS FOR PREPARING AND TRANSFERRING FINAL PAPERS TO CVMP 2005</vt:lpstr>
    </vt:vector>
  </TitlesOfParts>
  <Company>IEE</Company>
  <LinksUpToDate>false</LinksUpToDate>
  <CharactersWithSpaces>31916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AND TRANSFERRING FINAL PAPERS TO CVMP 2005</dc:title>
  <dc:creator>cewings</dc:creator>
  <cp:lastModifiedBy>Harun Hamzah</cp:lastModifiedBy>
  <cp:revision>9</cp:revision>
  <cp:lastPrinted>2016-10-27T15:59:00Z</cp:lastPrinted>
  <dcterms:created xsi:type="dcterms:W3CDTF">2018-03-08T04:45:00Z</dcterms:created>
  <dcterms:modified xsi:type="dcterms:W3CDTF">2018-05-20T06:23:00Z</dcterms:modified>
</cp:coreProperties>
</file>