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A0" w:rsidRDefault="00130BA0" w:rsidP="00130BA0">
      <w:pPr>
        <w:pStyle w:val="NoSpacing"/>
        <w:outlineLvl w:val="0"/>
        <w:rPr>
          <w:rFonts w:ascii="Times New Roman" w:hAnsi="Times New Roman"/>
          <w:bCs/>
          <w:sz w:val="24"/>
          <w:szCs w:val="24"/>
          <w:lang w:val="ms-MY"/>
        </w:rPr>
      </w:pPr>
      <w:r>
        <w:rPr>
          <w:rFonts w:ascii="Times New Roman" w:hAnsi="Times New Roman"/>
          <w:bCs/>
          <w:sz w:val="24"/>
          <w:szCs w:val="24"/>
          <w:lang w:val="ms-MY"/>
        </w:rPr>
        <w:t>Malaysian Journal of Analytical Sciences Vol 22 No 3 (2018): 391 - 403</w:t>
      </w:r>
    </w:p>
    <w:p w:rsidR="00130BA0" w:rsidRDefault="00130BA0" w:rsidP="00130BA0">
      <w:pPr>
        <w:pStyle w:val="NoSpacing"/>
        <w:outlineLvl w:val="0"/>
        <w:rPr>
          <w:rFonts w:ascii="Times New Roman" w:hAnsi="Times New Roman"/>
          <w:bCs/>
          <w:sz w:val="24"/>
          <w:szCs w:val="24"/>
          <w:lang w:val="ms-MY"/>
        </w:rPr>
      </w:pPr>
    </w:p>
    <w:p w:rsidR="00130BA0" w:rsidRDefault="00130BA0" w:rsidP="00130BA0">
      <w:pPr>
        <w:pStyle w:val="NoSpacing"/>
        <w:outlineLvl w:val="0"/>
        <w:rPr>
          <w:rFonts w:ascii="Times New Roman" w:hAnsi="Times New Roman"/>
          <w:bCs/>
          <w:sz w:val="24"/>
          <w:szCs w:val="24"/>
          <w:lang w:val="ms-MY"/>
        </w:rPr>
      </w:pPr>
    </w:p>
    <w:p w:rsidR="00130BA0" w:rsidRPr="00130BA0" w:rsidRDefault="00130BA0" w:rsidP="00130BA0">
      <w:pPr>
        <w:pStyle w:val="NoSpacing"/>
        <w:outlineLvl w:val="0"/>
        <w:rPr>
          <w:rFonts w:ascii="Times New Roman" w:hAnsi="Times New Roman"/>
          <w:bCs/>
          <w:sz w:val="24"/>
          <w:szCs w:val="24"/>
          <w:lang w:val="ms-MY"/>
        </w:rPr>
      </w:pPr>
    </w:p>
    <w:p w:rsidR="00130BA0" w:rsidRPr="00663393" w:rsidRDefault="00130BA0" w:rsidP="00130BA0">
      <w:pPr>
        <w:pStyle w:val="NoSpacing"/>
        <w:jc w:val="center"/>
        <w:outlineLvl w:val="0"/>
        <w:rPr>
          <w:rFonts w:ascii="Times New Roman" w:hAnsi="Times New Roman"/>
          <w:bCs/>
          <w:sz w:val="28"/>
          <w:szCs w:val="28"/>
          <w:lang w:val="ms-MY"/>
        </w:rPr>
      </w:pPr>
      <w:r w:rsidRPr="00663393">
        <w:rPr>
          <w:rFonts w:ascii="Times New Roman" w:hAnsi="Times New Roman"/>
          <w:bCs/>
          <w:sz w:val="28"/>
          <w:szCs w:val="28"/>
          <w:lang w:val="ms-MY"/>
        </w:rPr>
        <w:t xml:space="preserve">KAJIAN </w:t>
      </w:r>
      <w:r w:rsidR="005B3CA4">
        <w:rPr>
          <w:rFonts w:ascii="Times New Roman" w:hAnsi="Times New Roman"/>
          <w:bCs/>
          <w:sz w:val="28"/>
          <w:szCs w:val="28"/>
          <w:lang w:val="ms-MY"/>
        </w:rPr>
        <w:t>KELIKATAN PELARUT EUTEKTIK</w:t>
      </w:r>
      <w:bookmarkStart w:id="0" w:name="_GoBack"/>
      <w:bookmarkEnd w:id="0"/>
      <w:r w:rsidRPr="00663393">
        <w:rPr>
          <w:rFonts w:ascii="Times New Roman" w:hAnsi="Times New Roman"/>
          <w:bCs/>
          <w:sz w:val="28"/>
          <w:szCs w:val="28"/>
          <w:lang w:val="ms-MY"/>
        </w:rPr>
        <w:t xml:space="preserve"> RELINA TERHADAP PENGEKSTRAKAN α-TOKOFEROL DARIPADA MINYAK SAWIT MENTAH</w:t>
      </w:r>
    </w:p>
    <w:p w:rsidR="00130BA0" w:rsidRPr="00663393" w:rsidRDefault="00130BA0" w:rsidP="00130B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ms-MY"/>
        </w:rPr>
      </w:pPr>
    </w:p>
    <w:p w:rsidR="00130BA0" w:rsidRPr="00663393" w:rsidRDefault="00130BA0" w:rsidP="00130BA0">
      <w:pPr>
        <w:pStyle w:val="NoSpacing"/>
        <w:jc w:val="center"/>
        <w:outlineLvl w:val="0"/>
        <w:rPr>
          <w:rFonts w:ascii="Times New Roman" w:hAnsi="Times New Roman"/>
          <w:bCs/>
          <w:sz w:val="24"/>
          <w:szCs w:val="24"/>
          <w:lang w:val="ms-MY"/>
        </w:rPr>
      </w:pPr>
      <w:r w:rsidRPr="00663393">
        <w:rPr>
          <w:rFonts w:ascii="Times New Roman" w:hAnsi="Times New Roman"/>
          <w:bCs/>
          <w:sz w:val="24"/>
          <w:szCs w:val="24"/>
          <w:lang w:val="ms-MY"/>
        </w:rPr>
        <w:t xml:space="preserve">(Study on Viscosity of Reline </w:t>
      </w:r>
      <w:r>
        <w:rPr>
          <w:rFonts w:ascii="Times New Roman" w:hAnsi="Times New Roman"/>
          <w:bCs/>
          <w:sz w:val="24"/>
          <w:szCs w:val="24"/>
          <w:lang w:val="ms-MY"/>
        </w:rPr>
        <w:t>Deep Eutectic Solvent on The α-</w:t>
      </w:r>
      <w:r w:rsidRPr="00663393">
        <w:rPr>
          <w:rFonts w:ascii="Times New Roman" w:hAnsi="Times New Roman"/>
          <w:bCs/>
          <w:sz w:val="24"/>
          <w:szCs w:val="24"/>
          <w:lang w:val="ms-MY"/>
        </w:rPr>
        <w:t>Tocopherol Extraction From Crude Palm Oil)</w:t>
      </w:r>
    </w:p>
    <w:p w:rsidR="00130BA0" w:rsidRPr="00663393" w:rsidRDefault="00130BA0" w:rsidP="00130BA0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  <w:lang w:val="ms-MY"/>
        </w:rPr>
      </w:pPr>
    </w:p>
    <w:p w:rsidR="00130BA0" w:rsidRPr="00663393" w:rsidRDefault="00130BA0" w:rsidP="00130BA0">
      <w:pPr>
        <w:pStyle w:val="NoSpacing"/>
        <w:jc w:val="center"/>
        <w:outlineLvl w:val="0"/>
        <w:rPr>
          <w:rFonts w:ascii="Times New Roman" w:hAnsi="Times New Roman"/>
          <w:bCs/>
          <w:sz w:val="20"/>
          <w:szCs w:val="20"/>
          <w:lang w:val="ms-MY"/>
        </w:rPr>
      </w:pPr>
      <w:r w:rsidRPr="00663393">
        <w:rPr>
          <w:rFonts w:ascii="Times New Roman" w:hAnsi="Times New Roman"/>
          <w:bCs/>
          <w:sz w:val="20"/>
          <w:szCs w:val="20"/>
          <w:lang w:val="ms-MY"/>
        </w:rPr>
        <w:t xml:space="preserve">Noor Hasyimah Hussain, Zetty Shafiqa Othman, Edison Eukun Sage, Rozida Mohd Khalid, </w:t>
      </w:r>
    </w:p>
    <w:p w:rsidR="00130BA0" w:rsidRPr="00663393" w:rsidRDefault="00130BA0" w:rsidP="00130BA0">
      <w:pPr>
        <w:pStyle w:val="NoSpacing"/>
        <w:jc w:val="center"/>
        <w:outlineLvl w:val="0"/>
        <w:rPr>
          <w:rFonts w:ascii="Times New Roman" w:hAnsi="Times New Roman"/>
          <w:bCs/>
          <w:sz w:val="20"/>
          <w:szCs w:val="20"/>
          <w:vertAlign w:val="superscript"/>
          <w:lang w:val="ms-MY"/>
        </w:rPr>
      </w:pPr>
      <w:r w:rsidRPr="00663393">
        <w:rPr>
          <w:rFonts w:ascii="Times New Roman" w:hAnsi="Times New Roman"/>
          <w:bCs/>
          <w:sz w:val="20"/>
          <w:szCs w:val="20"/>
          <w:lang w:val="ms-MY"/>
        </w:rPr>
        <w:t>Nur Hasyareeda Hassan</w:t>
      </w:r>
      <w:r>
        <w:rPr>
          <w:rFonts w:ascii="Times New Roman" w:hAnsi="Times New Roman"/>
          <w:bCs/>
          <w:sz w:val="20"/>
          <w:szCs w:val="20"/>
          <w:lang w:val="ms-MY"/>
        </w:rPr>
        <w:t>*</w:t>
      </w:r>
    </w:p>
    <w:p w:rsidR="00130BA0" w:rsidRPr="00130BA0" w:rsidRDefault="00130BA0" w:rsidP="00130BA0">
      <w:pPr>
        <w:pStyle w:val="NoSpacing"/>
        <w:jc w:val="center"/>
        <w:outlineLvl w:val="0"/>
        <w:rPr>
          <w:rFonts w:ascii="Times New Roman" w:hAnsi="Times New Roman"/>
          <w:bCs/>
          <w:sz w:val="20"/>
          <w:szCs w:val="20"/>
          <w:lang w:val="ms-MY"/>
        </w:rPr>
      </w:pPr>
    </w:p>
    <w:p w:rsidR="00130BA0" w:rsidRPr="00130BA0" w:rsidRDefault="00130BA0" w:rsidP="00130BA0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eastAsia="en-MY"/>
        </w:rPr>
      </w:pPr>
      <w:r w:rsidRPr="00130BA0">
        <w:rPr>
          <w:rFonts w:ascii="Times New Roman" w:hAnsi="Times New Roman"/>
          <w:i/>
          <w:sz w:val="20"/>
          <w:szCs w:val="20"/>
          <w:lang w:eastAsia="en-MY"/>
        </w:rPr>
        <w:t xml:space="preserve">Pusat Pengajian Sains Kimia dan Teknologi Makanan, </w:t>
      </w:r>
    </w:p>
    <w:p w:rsidR="00130BA0" w:rsidRPr="00130BA0" w:rsidRDefault="00130BA0" w:rsidP="00130BA0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MY"/>
        </w:rPr>
      </w:pPr>
      <w:r w:rsidRPr="00130BA0">
        <w:rPr>
          <w:rFonts w:ascii="Times New Roman" w:hAnsi="Times New Roman"/>
          <w:i/>
          <w:sz w:val="20"/>
          <w:szCs w:val="20"/>
          <w:lang w:eastAsia="en-MY"/>
        </w:rPr>
        <w:t>Fakulti Sains dan Teknologi,</w:t>
      </w:r>
    </w:p>
    <w:p w:rsidR="00130BA0" w:rsidRPr="00130BA0" w:rsidRDefault="00130BA0" w:rsidP="00130BA0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eastAsia="en-MY"/>
        </w:rPr>
      </w:pPr>
      <w:r w:rsidRPr="00130BA0">
        <w:rPr>
          <w:rFonts w:ascii="Times New Roman" w:hAnsi="Times New Roman"/>
          <w:i/>
          <w:sz w:val="20"/>
          <w:szCs w:val="20"/>
          <w:lang w:eastAsia="en-MY"/>
        </w:rPr>
        <w:t>Universiti Kebangsaan Malaysia, 43600 UKM Bangi, Selangor, Malaysia</w:t>
      </w:r>
    </w:p>
    <w:p w:rsidR="00130BA0" w:rsidRPr="00130BA0" w:rsidRDefault="00130BA0" w:rsidP="00130BA0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eastAsia="en-MY"/>
        </w:rPr>
      </w:pPr>
    </w:p>
    <w:p w:rsidR="00130BA0" w:rsidRPr="00130BA0" w:rsidRDefault="00130BA0" w:rsidP="00130BA0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eastAsia="en-MY"/>
        </w:rPr>
      </w:pPr>
      <w:r w:rsidRPr="00130BA0">
        <w:rPr>
          <w:rFonts w:ascii="Times New Roman" w:hAnsi="Times New Roman"/>
          <w:bCs/>
          <w:i/>
          <w:sz w:val="20"/>
          <w:szCs w:val="20"/>
          <w:lang w:val="ms-MY"/>
        </w:rPr>
        <w:t>*Pengarang utama:   syareeda@ukm.edu.my</w:t>
      </w: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130BA0">
        <w:rPr>
          <w:rFonts w:ascii="Times New Roman" w:hAnsi="Times New Roman"/>
          <w:noProof/>
          <w:sz w:val="20"/>
          <w:szCs w:val="20"/>
          <w:lang w:bidi="ar-SA"/>
        </w:rPr>
        <w:t>Received: 7 June 2017; Accepted: 14 March 2018</w:t>
      </w: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30BA0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130BA0" w:rsidRPr="00130BA0" w:rsidRDefault="00130BA0" w:rsidP="00130B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  <w:r w:rsidRPr="00130BA0">
        <w:rPr>
          <w:rFonts w:ascii="Times New Roman" w:hAnsi="Times New Roman"/>
          <w:sz w:val="20"/>
          <w:szCs w:val="20"/>
          <w:lang w:eastAsia="zh-CN"/>
        </w:rPr>
        <w:t xml:space="preserve">DES Relina diklasifikasikan sebagai pelarut hijau dan serasi untuk digunakan bagi pengekstrakan α-tokoferol (α-T) daripada minyak sawit mentah (CPO) kerana kemampuannya untuk membentuk ikatan hidrogen yang kuat dengan molekul α-T. Kepekatan dan hasil α-T dikuantifikasi menggunakan kromatografi cecair prestasi tinggi fasa berbalik (RP-HPLC). Dua parameter dikaji melalui penggunaan lima siri nisbah CPO: DES relina (1: 1, 1: 2, 1: 3, 1: 4 dan 1: 5) pada 2 dan 3 jam masa pengekstrakan untuk mengenalpasti keadaan optimum bagi pengekstrakan α-T. Kepekatan α-T untuk semua sampel yang diekstrak dibandingkan dengan kawalan (tanpa DES relina) memberikan nisbah 1: 2 (CPO: DES relina) dengan kelikatan pelarut 5.7 ± 0:58 cP pada 3 jam masa pengekstrakan sebagai keadaan pengekstrakan terbaik bagi mendapatkan kepekatan α-T tertinggi iaitu 825.321 ± 74.27 mg / L dengan keberhasilan 0.1554 ± 0.0156 (%). Perkara ini menunjukkan bahawa keadaan tersebut merupakan keadaan yang paling kondusif bagi penyerapan molekul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>-T ke dalam ruang kosong dalam struktur pelarut di mana molekul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 xml:space="preserve"> 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dan DES relina berinteraksi melalui ikatan hidrogen. Ikatan hidrogen yang kuat terbentuk antara kumpulan –OH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>-T dengan kumpulan amina –NH</w:t>
      </w:r>
      <w:r w:rsidRPr="00130BA0">
        <w:rPr>
          <w:rFonts w:ascii="Times New Roman" w:hAnsi="Times New Roman"/>
          <w:sz w:val="20"/>
          <w:szCs w:val="20"/>
          <w:vertAlign w:val="subscript"/>
          <w:lang w:eastAsia="zh-CN"/>
        </w:rPr>
        <w:t>2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 DES relina merupakan faktor peningkatan keupayaan DES relina untuk mengekstrak sebatian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>-T yang tinggi daripada CPO.</w:t>
      </w:r>
    </w:p>
    <w:p w:rsidR="00130BA0" w:rsidRPr="00130BA0" w:rsidRDefault="00130BA0" w:rsidP="00130B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30BA0" w:rsidRPr="00130BA0" w:rsidRDefault="00130BA0" w:rsidP="00130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0BA0">
        <w:rPr>
          <w:rFonts w:ascii="Times New Roman" w:hAnsi="Times New Roman"/>
          <w:b/>
          <w:sz w:val="20"/>
          <w:szCs w:val="20"/>
        </w:rPr>
        <w:t>Kata kunci</w:t>
      </w:r>
      <w:r w:rsidRPr="00130BA0">
        <w:rPr>
          <w:rFonts w:ascii="Times New Roman" w:hAnsi="Times New Roman"/>
          <w:sz w:val="20"/>
          <w:szCs w:val="20"/>
        </w:rPr>
        <w:t>:  penderma ikatan hidrogen, pelarut eutektik dalam relina, tokoferol, kelikatan</w:t>
      </w: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130BA0" w:rsidRPr="00130BA0" w:rsidRDefault="00130BA0" w:rsidP="00130BA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0BA0">
        <w:rPr>
          <w:rFonts w:ascii="Times New Roman" w:hAnsi="Times New Roman"/>
          <w:b/>
          <w:sz w:val="20"/>
          <w:szCs w:val="20"/>
        </w:rPr>
        <w:t>Abstract</w:t>
      </w:r>
    </w:p>
    <w:p w:rsidR="00130BA0" w:rsidRPr="00130BA0" w:rsidRDefault="00130BA0" w:rsidP="00130BA0">
      <w:pPr>
        <w:pStyle w:val="NoSpacing"/>
        <w:jc w:val="both"/>
        <w:rPr>
          <w:rFonts w:ascii="Times New Roman" w:hAnsi="Times New Roman"/>
          <w:sz w:val="20"/>
          <w:szCs w:val="20"/>
          <w:lang w:eastAsia="zh-CN"/>
        </w:rPr>
      </w:pPr>
      <w:r w:rsidRPr="00130BA0">
        <w:rPr>
          <w:rFonts w:ascii="Times New Roman" w:hAnsi="Times New Roman"/>
          <w:sz w:val="20"/>
          <w:szCs w:val="20"/>
          <w:lang w:eastAsia="zh-CN"/>
        </w:rPr>
        <w:t xml:space="preserve">Reline DES was classified as a green solvent and compatible to be used for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>-tocopherol (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-T) extraction from crude palm oil (CPO) due to its ability to form strong hydrogen bond with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molecule. The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concentration and yield was quantified using reverse phase high performance liquid chromatography (RP-HPLC). Two parameters were studied through utilization of five CPO: Reline DES ratio series (1:1, 1:2, 1:3, 1:4 and 1:5) at 2 and 3 hours extraction time in determining optimize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extraction condition. Concentration of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for all extracted samples was compared to the control (without reline DES) resulted towards CPO: Reline DES ratio of 1:2 with solvent viscosity of 5.7 ± 0.58 cP at 3 hours extraction time as the best condition to obtain the highest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concentration of 825.321 ± 74.27 mg/L with the yield of 0.1554 ± 0.0156 (%). It can be concluded that this condition is the most conducive for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molecules diffusion into free space of solvent structure in which molecules of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α-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T and reline DES </w:t>
      </w:r>
      <w:r w:rsidRPr="00130BA0">
        <w:rPr>
          <w:rFonts w:ascii="Times New Roman" w:hAnsi="Times New Roman"/>
          <w:sz w:val="20"/>
          <w:szCs w:val="20"/>
          <w:lang w:eastAsia="zh-CN"/>
        </w:rPr>
        <w:lastRenderedPageBreak/>
        <w:t xml:space="preserve">interact through hydrogen bond. The strong hydrogen bond formed between –OH group of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>-T and -NH</w:t>
      </w:r>
      <w:r w:rsidRPr="00130BA0">
        <w:rPr>
          <w:rFonts w:ascii="Times New Roman" w:hAnsi="Times New Roman"/>
          <w:sz w:val="20"/>
          <w:szCs w:val="20"/>
          <w:vertAlign w:val="subscript"/>
          <w:lang w:eastAsia="zh-CN"/>
        </w:rPr>
        <w:t>2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 group of reline DES is the factor enhancing the capability of reline DES to extract higher </w:t>
      </w:r>
      <w:r w:rsidRPr="00130BA0">
        <w:rPr>
          <w:rFonts w:ascii="Times New Roman" w:hAnsi="Times New Roman"/>
          <w:i/>
          <w:sz w:val="20"/>
          <w:szCs w:val="20"/>
          <w:lang w:eastAsia="zh-CN"/>
        </w:rPr>
        <w:t>α</w:t>
      </w:r>
      <w:r w:rsidRPr="00130BA0">
        <w:rPr>
          <w:rFonts w:ascii="Times New Roman" w:hAnsi="Times New Roman"/>
          <w:sz w:val="20"/>
          <w:szCs w:val="20"/>
          <w:lang w:eastAsia="zh-CN"/>
        </w:rPr>
        <w:t xml:space="preserve">-T compound from CPO.  </w:t>
      </w:r>
    </w:p>
    <w:p w:rsidR="00130BA0" w:rsidRPr="00130BA0" w:rsidRDefault="00130BA0" w:rsidP="00130BA0">
      <w:pPr>
        <w:pStyle w:val="NoSpacing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B35EB2" w:rsidRDefault="00130BA0" w:rsidP="00130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0BA0">
        <w:rPr>
          <w:rFonts w:ascii="Times New Roman" w:hAnsi="Times New Roman"/>
          <w:b/>
          <w:sz w:val="20"/>
          <w:szCs w:val="20"/>
        </w:rPr>
        <w:t>Keywords</w:t>
      </w:r>
      <w:r w:rsidRPr="00130BA0">
        <w:rPr>
          <w:rFonts w:ascii="Times New Roman" w:hAnsi="Times New Roman"/>
          <w:sz w:val="20"/>
          <w:szCs w:val="20"/>
        </w:rPr>
        <w:t>:  hydrogen bond donor, reline deep eutectic solvent, tocopherol, viscosity</w:t>
      </w:r>
    </w:p>
    <w:p w:rsidR="00130BA0" w:rsidRDefault="00130BA0" w:rsidP="00130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0BA0" w:rsidRPr="00F447A7" w:rsidRDefault="00130BA0" w:rsidP="00130BA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  <w:shd w:val="clear" w:color="auto" w:fill="FFFFFF"/>
        </w:rPr>
        <w:t xml:space="preserve">Mazlan, M., Wan Ngah, W. Z., Mat Top, G. and Then, S. M. (2010). Comparison of the effects of </w:t>
      </w:r>
      <w:r w:rsidRPr="002902A0">
        <w:rPr>
          <w:rFonts w:ascii="Times New Roman" w:hAnsi="Times New Roman"/>
          <w:i/>
          <w:sz w:val="20"/>
          <w:szCs w:val="20"/>
          <w:shd w:val="clear" w:color="auto" w:fill="FFFFFF"/>
        </w:rPr>
        <w:t>Α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 xml:space="preserve">- tocopherol and </w:t>
      </w:r>
      <w:r w:rsidRPr="002902A0">
        <w:rPr>
          <w:rFonts w:ascii="Times New Roman" w:hAnsi="Times New Roman"/>
          <w:i/>
          <w:sz w:val="20"/>
          <w:szCs w:val="20"/>
          <w:shd w:val="clear" w:color="auto" w:fill="FFFFFF"/>
        </w:rPr>
        <w:t>Γ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-tocotrienol against oxidative stress in two different neuronal cultures.</w:t>
      </w:r>
      <w:r w:rsidRPr="002902A0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Sains Malaysiana,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902A0">
        <w:rPr>
          <w:rFonts w:ascii="Times New Roman" w:hAnsi="Times New Roman"/>
          <w:iCs/>
          <w:sz w:val="20"/>
          <w:szCs w:val="20"/>
          <w:shd w:val="clear" w:color="auto" w:fill="FFFFFF"/>
        </w:rPr>
        <w:t>39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:145-56.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>Top, N. M. H. G. M., Ngan, C. Y. M. M. A., Ma, N. M. H. Y. M. and Wahid, A. N. M. B. (2006). Palm tocols (tocopherols and tocotrienols) as a standard reference materials (MRM 3)</w:t>
      </w:r>
      <w:r w:rsidRPr="002902A0">
        <w:rPr>
          <w:rFonts w:ascii="Times New Roman" w:hAnsi="Times New Roman"/>
          <w:i/>
          <w:sz w:val="20"/>
          <w:szCs w:val="20"/>
        </w:rPr>
        <w:t>.</w:t>
      </w:r>
      <w:r w:rsidRPr="002902A0">
        <w:rPr>
          <w:rFonts w:ascii="Times New Roman" w:hAnsi="Times New Roman"/>
          <w:sz w:val="20"/>
          <w:szCs w:val="20"/>
        </w:rPr>
        <w:t xml:space="preserve">  Bangi: </w:t>
      </w:r>
      <w:r w:rsidRPr="002902A0">
        <w:rPr>
          <w:rFonts w:ascii="Times New Roman" w:hAnsi="Times New Roman"/>
          <w:iCs/>
          <w:sz w:val="20"/>
          <w:szCs w:val="20"/>
        </w:rPr>
        <w:t>Malaysian Palm Oil Board, Ministry of Plantation Industries and Commodities, Malaysia.</w:t>
      </w:r>
      <w:r w:rsidRPr="002902A0">
        <w:rPr>
          <w:rFonts w:ascii="Times New Roman" w:hAnsi="Times New Roman"/>
          <w:sz w:val="20"/>
          <w:szCs w:val="20"/>
        </w:rPr>
        <w:t xml:space="preserve"> 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Goh, S. H., Choo, Y. M. and Ong, S. H. (1985). Minor constituents of palm oil.  </w:t>
      </w:r>
      <w:r w:rsidRPr="002902A0">
        <w:rPr>
          <w:rFonts w:ascii="Times New Roman" w:hAnsi="Times New Roman"/>
          <w:i/>
          <w:iCs/>
          <w:sz w:val="20"/>
          <w:szCs w:val="20"/>
        </w:rPr>
        <w:t>Journal of the American Oil Chemists’ Society,</w:t>
      </w:r>
      <w:r w:rsidRPr="002902A0">
        <w:rPr>
          <w:rFonts w:ascii="Times New Roman" w:hAnsi="Times New Roman"/>
          <w:sz w:val="20"/>
          <w:szCs w:val="20"/>
        </w:rPr>
        <w:t xml:space="preserve"> 62(2): 237-240.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Ng, M. H, Choo, Y. M., Ma, A. N., Chuah, C. H. and Hashim, M. A.  (2004). Separation of vitamin E (tocopherol, tocotrienol, and tocomonoenol) in palm oil.  </w:t>
      </w:r>
      <w:r w:rsidRPr="002902A0">
        <w:rPr>
          <w:rFonts w:ascii="Times New Roman" w:hAnsi="Times New Roman"/>
          <w:i/>
          <w:iCs/>
          <w:sz w:val="20"/>
          <w:szCs w:val="20"/>
        </w:rPr>
        <w:t>Lipids,</w:t>
      </w:r>
      <w:r w:rsidRPr="002902A0">
        <w:rPr>
          <w:rFonts w:ascii="Times New Roman" w:hAnsi="Times New Roman"/>
          <w:sz w:val="20"/>
          <w:szCs w:val="20"/>
        </w:rPr>
        <w:t xml:space="preserve"> 39(10): 1031-1035.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Ng, M. H., Choo Y. M., Ma A. N., Chuah C. H. and Hashim, M. A. (2004). Isolation of palm tocols using supercritical fluid chromatography.  </w:t>
      </w:r>
      <w:r w:rsidRPr="002902A0">
        <w:rPr>
          <w:rFonts w:ascii="Times New Roman" w:hAnsi="Times New Roman"/>
          <w:i/>
          <w:iCs/>
          <w:sz w:val="20"/>
          <w:szCs w:val="20"/>
        </w:rPr>
        <w:t>Journal of Chromatographic Science,</w:t>
      </w:r>
      <w:r w:rsidRPr="002902A0">
        <w:rPr>
          <w:rFonts w:ascii="Times New Roman" w:hAnsi="Times New Roman"/>
          <w:sz w:val="20"/>
          <w:szCs w:val="20"/>
        </w:rPr>
        <w:t xml:space="preserve"> 42(10):1031-1035.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Choo, Y. M., Ng, M. H., Ma, A. N., Chuah, C. H. and Hashim, M. A. (2005). Application of supercritical fluid chromatography in the quantitative analysis of minor components (carotenes, vitamin e, sterols, and squalene) from palm oil.</w:t>
      </w:r>
      <w:r w:rsidRPr="002902A0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Lipids,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902A0">
        <w:rPr>
          <w:rFonts w:ascii="Times New Roman" w:hAnsi="Times New Roman"/>
          <w:iCs/>
          <w:sz w:val="20"/>
          <w:szCs w:val="20"/>
          <w:shd w:val="clear" w:color="auto" w:fill="FFFFFF"/>
        </w:rPr>
        <w:t>40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(4): 429-432.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Goossens, B. and Marion, J. (2011). Quantifying vitamin E in vegetable oils with reversed-phase high performance liquid chromatography. </w:t>
      </w:r>
      <w:r w:rsidRPr="002902A0">
        <w:rPr>
          <w:rFonts w:ascii="Times New Roman" w:hAnsi="Times New Roman"/>
          <w:i/>
          <w:sz w:val="20"/>
          <w:szCs w:val="20"/>
        </w:rPr>
        <w:t>Journal of Analytical Chemistry,</w:t>
      </w:r>
      <w:r w:rsidRPr="002902A0">
        <w:rPr>
          <w:rFonts w:ascii="Times New Roman" w:hAnsi="Times New Roman"/>
          <w:sz w:val="20"/>
          <w:szCs w:val="20"/>
        </w:rPr>
        <w:t xml:space="preserve"> 2: 44-50.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Ruperez, F. J., Martın, D., Herrera, E. and Barbas, C. (2001). Chromatographic Analysis of Αlpha-Tocopherol and Related Compounds in Various Matrices.</w:t>
      </w:r>
      <w:r w:rsidRPr="002902A0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Journal of chromatography A,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935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(1): 45-69.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Sanagi, M. M., See, H. H., Ibrahim, W. A. W., and Naim, A. A. (2005). Determination of carotene, tocopherols and tocotrienols in residue oil from palm pressed fiber using pressurized liquid extraction-normal phase liquid chromatography.  </w:t>
      </w:r>
      <w:r w:rsidRPr="002902A0">
        <w:rPr>
          <w:rFonts w:ascii="Times New Roman" w:hAnsi="Times New Roman"/>
          <w:i/>
          <w:iCs/>
          <w:sz w:val="20"/>
          <w:szCs w:val="20"/>
        </w:rPr>
        <w:t>Analytica Chimica Acta,</w:t>
      </w:r>
      <w:r w:rsidRPr="002902A0">
        <w:rPr>
          <w:rFonts w:ascii="Times New Roman" w:hAnsi="Times New Roman"/>
          <w:sz w:val="20"/>
          <w:szCs w:val="20"/>
        </w:rPr>
        <w:t xml:space="preserve"> 538(1–2): 71-76.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Johnson, L. A. and Lusas, E. W. (1983). Comparison of alternative solvents for oils extraction.  </w:t>
      </w:r>
      <w:r w:rsidRPr="002902A0">
        <w:rPr>
          <w:rFonts w:ascii="Times New Roman" w:hAnsi="Times New Roman"/>
          <w:i/>
          <w:iCs/>
          <w:sz w:val="20"/>
          <w:szCs w:val="20"/>
        </w:rPr>
        <w:t>Journal of the American Oil Chemists’ Society</w:t>
      </w:r>
      <w:r w:rsidRPr="002902A0">
        <w:rPr>
          <w:rFonts w:ascii="Times New Roman" w:hAnsi="Times New Roman"/>
          <w:sz w:val="20"/>
          <w:szCs w:val="20"/>
        </w:rPr>
        <w:t>, 60(2): 229-242.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Nam, M. W., Zhao, J., Lee, M. S., Jeong, J. H. and Lee, J. (2015). 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Enhanced extraction of bioactive natural products using tailor-made deep eutectic solvents: application to flavonoid extraction f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rom </w:t>
      </w:r>
      <w:r w:rsidRPr="002902A0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Flos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2902A0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Sophorae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.</w:t>
      </w:r>
      <w:r w:rsidRPr="002902A0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Green Chemistry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17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(3):1718-1727.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Hayyan, M., Mjalli, F. S., Hashim, M. A. and AlNashef, I. M. (2010). A novel technique for separating glycerine from palm oil-based biodiesel using ionic liquids. </w:t>
      </w:r>
      <w:r w:rsidRPr="002902A0">
        <w:rPr>
          <w:rFonts w:ascii="Times New Roman" w:hAnsi="Times New Roman"/>
          <w:i/>
          <w:sz w:val="20"/>
          <w:szCs w:val="20"/>
        </w:rPr>
        <w:t>Fuel Process Technology,</w:t>
      </w:r>
      <w:r w:rsidRPr="002902A0">
        <w:rPr>
          <w:rFonts w:ascii="Times New Roman" w:hAnsi="Times New Roman"/>
          <w:sz w:val="20"/>
          <w:szCs w:val="20"/>
        </w:rPr>
        <w:t xml:space="preserve"> 91: 116-120.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Zhang, Q., Vigier, D. O., Royer, K., S. and Jerome, F. (2012). Deep eutectic solvents: Syntheses, properties and applications.  </w:t>
      </w:r>
      <w:r w:rsidRPr="002902A0">
        <w:rPr>
          <w:rFonts w:ascii="Times New Roman" w:hAnsi="Times New Roman"/>
          <w:i/>
          <w:iCs/>
          <w:sz w:val="20"/>
          <w:szCs w:val="20"/>
        </w:rPr>
        <w:t xml:space="preserve">Chemical Society Reviews, </w:t>
      </w:r>
      <w:r w:rsidRPr="002902A0">
        <w:rPr>
          <w:rFonts w:ascii="Times New Roman" w:hAnsi="Times New Roman"/>
          <w:sz w:val="20"/>
          <w:szCs w:val="20"/>
        </w:rPr>
        <w:t>41(21): 7108-7146.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Abbott, A. P., Cullis, P. M., Gibson, M. J. Harris R. C. and Raven E. (2007). Extraction of gylcerine from biodiesel into eutectic based ionic liquid. </w:t>
      </w:r>
      <w:r w:rsidRPr="002902A0">
        <w:rPr>
          <w:rFonts w:ascii="Times New Roman" w:hAnsi="Times New Roman"/>
          <w:i/>
          <w:sz w:val="20"/>
          <w:szCs w:val="20"/>
        </w:rPr>
        <w:t>Green Chem</w:t>
      </w:r>
      <w:r w:rsidRPr="002902A0">
        <w:rPr>
          <w:rFonts w:ascii="Times New Roman" w:hAnsi="Times New Roman"/>
          <w:sz w:val="20"/>
          <w:szCs w:val="20"/>
        </w:rPr>
        <w:t>istry, 9: 868-872.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Nu’man, A. H., Ng, M., Choo, Y., Hashim, M. and Jayakumar, N. (2015). Performance of choline-based deep eutectic solvents in the extraction of tocols from crude palm oil.  </w:t>
      </w:r>
      <w:r w:rsidRPr="002902A0">
        <w:rPr>
          <w:rFonts w:ascii="Times New Roman" w:hAnsi="Times New Roman"/>
          <w:i/>
          <w:iCs/>
          <w:sz w:val="20"/>
          <w:szCs w:val="20"/>
        </w:rPr>
        <w:t xml:space="preserve">Journal of American Oil Chemical Society, </w:t>
      </w:r>
      <w:r w:rsidRPr="002902A0">
        <w:rPr>
          <w:rFonts w:ascii="Times New Roman" w:hAnsi="Times New Roman"/>
          <w:sz w:val="20"/>
          <w:szCs w:val="20"/>
        </w:rPr>
        <w:t>92(11-12): 1709-1716.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Cvjetko, B. M., Ćurko, N., Tomašević, M., Kovačević Ganić, K. and Radojčić Redovniković, I.  (2016). Green extraction of grape skin phenolics by using deep eutectic solvents.  </w:t>
      </w:r>
      <w:r w:rsidRPr="002902A0">
        <w:rPr>
          <w:rFonts w:ascii="Times New Roman" w:hAnsi="Times New Roman"/>
          <w:i/>
          <w:iCs/>
          <w:sz w:val="20"/>
          <w:szCs w:val="20"/>
        </w:rPr>
        <w:t>Food Chemistry,</w:t>
      </w:r>
      <w:r w:rsidRPr="002902A0">
        <w:rPr>
          <w:rFonts w:ascii="Times New Roman" w:hAnsi="Times New Roman"/>
          <w:sz w:val="20"/>
          <w:szCs w:val="20"/>
        </w:rPr>
        <w:t xml:space="preserve"> 200: 159-166.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>Pavia, L. D., Lampman, M. G., Kriz, S. G. and Vyvyan, R. J. (2009). Introduction to spectroscopy. Brooks/Cole Cengage Learning, 4rd Ed. Canada: Lisa Lockwood.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Qamar, A. and Leo, B. (2011). Anodic dissolution of refractory metals in choline chloride based binary mixtures. </w:t>
      </w:r>
      <w:r w:rsidRPr="002902A0">
        <w:rPr>
          <w:rFonts w:ascii="Times New Roman" w:hAnsi="Times New Roman"/>
          <w:i/>
          <w:sz w:val="20"/>
          <w:szCs w:val="20"/>
        </w:rPr>
        <w:t>The Electrochemical Society ECS Transactions,</w:t>
      </w:r>
      <w:r w:rsidRPr="002902A0">
        <w:rPr>
          <w:rFonts w:ascii="Times New Roman" w:hAnsi="Times New Roman"/>
          <w:sz w:val="20"/>
          <w:szCs w:val="20"/>
        </w:rPr>
        <w:t xml:space="preserve"> 33(30): 57-67.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>Zaira, M. (2014). Deep eutectic solvents: Properties and biocatalytic applications. Thesis PhD, University (Rheinisch-Westfälische Technische Hochschule Aachen), Germany.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Lobo, R. H. (2013). 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 xml:space="preserve">Synthesis of novel colorants for dye-sensitized solar cells and use of greener protocols for heterocyclic synthesis. Thesis PhD. </w:t>
      </w:r>
      <w:r w:rsidRPr="002902A0">
        <w:rPr>
          <w:rFonts w:ascii="Times New Roman" w:eastAsia="Calibri" w:hAnsi="Times New Roman"/>
          <w:bCs/>
          <w:sz w:val="20"/>
          <w:szCs w:val="20"/>
        </w:rPr>
        <w:t>Institute of Chemical Technology, India.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lastRenderedPageBreak/>
        <w:t>D’Agostino, C., Gladden, L. F., Mantle, M. D., Abbott, A. P., Essa, I. A., Al-Murshedi, A. Y. and Harris, R. C. (2015). Molecular and ionic diffusion in aqueous–deep eutectic solvent mixtures: Probing inter-molecular interactions using PFG NMR.</w:t>
      </w:r>
      <w:r w:rsidRPr="002902A0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 xml:space="preserve">Physical Chemistry Chemical Physics, </w:t>
      </w:r>
      <w:r w:rsidRPr="002902A0">
        <w:rPr>
          <w:rFonts w:ascii="Times New Roman" w:hAnsi="Times New Roman"/>
          <w:iCs/>
          <w:color w:val="222222"/>
          <w:sz w:val="20"/>
          <w:szCs w:val="20"/>
          <w:shd w:val="clear" w:color="auto" w:fill="FFFFFF"/>
        </w:rPr>
        <w:t>17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(23): 15297-15304.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Yue, D., Jia, Y., Yao, Y., Sun, J. and Jing, Y. (2012). Structure and electrochemical behavior of ionic liquid analogue based on choline chloride and urea.  </w:t>
      </w:r>
      <w:r w:rsidRPr="002902A0">
        <w:rPr>
          <w:rFonts w:ascii="Times New Roman" w:hAnsi="Times New Roman"/>
          <w:i/>
          <w:iCs/>
          <w:sz w:val="20"/>
          <w:szCs w:val="20"/>
        </w:rPr>
        <w:t>Electrochimica Acta</w:t>
      </w:r>
      <w:r w:rsidRPr="002902A0">
        <w:rPr>
          <w:rFonts w:ascii="Times New Roman" w:hAnsi="Times New Roman"/>
          <w:sz w:val="20"/>
          <w:szCs w:val="20"/>
        </w:rPr>
        <w:t>, 65: 30-36.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Dai, Y., Van S., J., Witkamp, G.-J., Verpoorte, R. and Choi, Y. H.  (2013). Ionic liquids and deep eutectic solvents in natural products research: Mixtures of solids as extraction solvents. </w:t>
      </w:r>
      <w:r w:rsidRPr="002902A0">
        <w:rPr>
          <w:rFonts w:ascii="Times New Roman" w:hAnsi="Times New Roman"/>
          <w:i/>
          <w:iCs/>
          <w:sz w:val="20"/>
          <w:szCs w:val="20"/>
        </w:rPr>
        <w:t>Journal of Natural Products,</w:t>
      </w:r>
      <w:r w:rsidRPr="002902A0">
        <w:rPr>
          <w:rFonts w:ascii="Times New Roman" w:hAnsi="Times New Roman"/>
          <w:sz w:val="20"/>
          <w:szCs w:val="20"/>
        </w:rPr>
        <w:t xml:space="preserve"> 76(11): 2162-2173.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Durand, E., Lecomte, J. and Villeneuve, P. (2013). Deep eutectic solvents: Synthesis, application, and focus on lipase-catalyzed reactions. </w:t>
      </w:r>
      <w:r w:rsidRPr="002902A0">
        <w:rPr>
          <w:rFonts w:ascii="Times New Roman" w:hAnsi="Times New Roman"/>
          <w:i/>
          <w:iCs/>
          <w:sz w:val="20"/>
          <w:szCs w:val="20"/>
        </w:rPr>
        <w:t>European Journal of Lipid Science and Technology,</w:t>
      </w:r>
      <w:r w:rsidRPr="002902A0">
        <w:rPr>
          <w:rFonts w:ascii="Times New Roman" w:hAnsi="Times New Roman"/>
          <w:sz w:val="20"/>
          <w:szCs w:val="20"/>
        </w:rPr>
        <w:t xml:space="preserve"> 115(4): 379-385.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 xml:space="preserve">Xiaolei, N., 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Xing, H., Yang, Q., Wang, J., Su, B., Bao, Z. and Ren, Q. (2012). Selective liquid–liquid extraction of natural phenolic compounds using amino acid ionic liquids: a case of α-tocopherol and methyl linoleate separation. 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Industrial &amp; Engineering Chemistry Research</w:t>
      </w:r>
      <w:r w:rsidRPr="002902A0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</w:t>
      </w:r>
      <w:r w:rsidRPr="002902A0">
        <w:rPr>
          <w:rFonts w:ascii="Times New Roman" w:hAnsi="Times New Roman"/>
          <w:iCs/>
          <w:color w:val="222222"/>
          <w:sz w:val="20"/>
          <w:szCs w:val="20"/>
          <w:shd w:val="clear" w:color="auto" w:fill="FFFFFF"/>
        </w:rPr>
        <w:t>51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(18): 6480-6488.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</w:rPr>
        <w:t>Haiying, D. (2013). Low transition- temperature mixtures (LTTMs): New generation of designer solvents. Acess from http://ism2.univ-amu.fr/fichiers_pdf/seminaires-stereo/2013-07-15-biblio-2013-04-08-haiying-DU.pdf [23 March 2016].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Abbott, A. P., Glen, C. and Stephen, G. (2006). Design of improved deep eutectic solvents using hole theory.</w:t>
      </w:r>
      <w:r w:rsidRPr="002902A0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2902A0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>European Journal of Chemical Physics and Physical Chemistry</w:t>
      </w:r>
      <w:r w:rsidRPr="002902A0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,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 xml:space="preserve"> 7(4): 803-806.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Dubbs, M. D. and Gupta, R. B. (1998). Solubility of vitamin E (α-tocopherol) and vitamin K3 (menadione) in ethanol− water mixture. </w:t>
      </w:r>
      <w:r w:rsidRPr="002902A0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Chemical &amp; Engineering Data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2902A0">
        <w:rPr>
          <w:rFonts w:ascii="Times New Roman" w:hAnsi="Times New Roman"/>
          <w:iCs/>
          <w:sz w:val="20"/>
          <w:szCs w:val="20"/>
          <w:shd w:val="clear" w:color="auto" w:fill="FFFFFF"/>
        </w:rPr>
        <w:t>43</w:t>
      </w:r>
      <w:r w:rsidRPr="002902A0">
        <w:rPr>
          <w:rFonts w:ascii="Times New Roman" w:hAnsi="Times New Roman"/>
          <w:sz w:val="20"/>
          <w:szCs w:val="20"/>
          <w:shd w:val="clear" w:color="auto" w:fill="FFFFFF"/>
        </w:rPr>
        <w:t>(4): 590-591.</w:t>
      </w:r>
    </w:p>
    <w:p w:rsidR="00130BA0" w:rsidRPr="002902A0" w:rsidRDefault="00130BA0" w:rsidP="00130BA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Dai, Y, Van Spronsen, J., Witkamp, G. J., Verpoorte, R. and Choi, Y. H. (2013). Natural deep eutectic solvents as new potential media for green technology.</w:t>
      </w:r>
      <w:r w:rsidRPr="002902A0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Analytica Chimica Acta,</w:t>
      </w:r>
      <w:r w:rsidRPr="002902A0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2902A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766: 61-68.</w:t>
      </w:r>
    </w:p>
    <w:p w:rsidR="00130BA0" w:rsidRPr="00130BA0" w:rsidRDefault="00130BA0" w:rsidP="00130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130BA0" w:rsidRPr="00130BA0" w:rsidSect="00130BA0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C30"/>
    <w:multiLevelType w:val="hybridMultilevel"/>
    <w:tmpl w:val="9440DB0C"/>
    <w:lvl w:ilvl="0" w:tplc="EDB8363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A0"/>
    <w:rsid w:val="00130BA0"/>
    <w:rsid w:val="005B3CA4"/>
    <w:rsid w:val="00B35EB2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A0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30B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0BA0"/>
    <w:pPr>
      <w:ind w:left="720"/>
      <w:contextualSpacing/>
    </w:pPr>
  </w:style>
  <w:style w:type="character" w:customStyle="1" w:styleId="apple-converted-space">
    <w:name w:val="apple-converted-space"/>
    <w:rsid w:val="00130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A0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30B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0BA0"/>
    <w:pPr>
      <w:ind w:left="720"/>
      <w:contextualSpacing/>
    </w:pPr>
  </w:style>
  <w:style w:type="character" w:customStyle="1" w:styleId="apple-converted-space">
    <w:name w:val="apple-converted-space"/>
    <w:rsid w:val="0013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2018-05-20T06:25:00Z</dcterms:created>
  <dcterms:modified xsi:type="dcterms:W3CDTF">2018-05-23T08:32:00Z</dcterms:modified>
</cp:coreProperties>
</file>