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DE6" w:rsidRDefault="00390DE6" w:rsidP="00390DE6">
      <w:pPr>
        <w:spacing w:after="0" w:line="240" w:lineRule="auto"/>
        <w:outlineLvl w:val="0"/>
        <w:rPr>
          <w:rFonts w:ascii="Times New Roman" w:hAnsi="Times New Roman"/>
          <w:sz w:val="24"/>
          <w:szCs w:val="24"/>
        </w:rPr>
      </w:pPr>
      <w:r w:rsidRPr="00390DE6">
        <w:rPr>
          <w:rFonts w:ascii="Times New Roman" w:hAnsi="Times New Roman"/>
          <w:sz w:val="24"/>
          <w:szCs w:val="24"/>
        </w:rPr>
        <w:t>Malaysian Journal of Analytical Sciences</w:t>
      </w:r>
      <w:r>
        <w:rPr>
          <w:rFonts w:ascii="Times New Roman" w:hAnsi="Times New Roman"/>
          <w:sz w:val="24"/>
          <w:szCs w:val="24"/>
        </w:rPr>
        <w:t xml:space="preserve"> Vol 22 No 3 (2018): 483 -</w:t>
      </w:r>
      <w:r w:rsidR="00F07BE9">
        <w:rPr>
          <w:rFonts w:ascii="Times New Roman" w:hAnsi="Times New Roman"/>
          <w:sz w:val="24"/>
          <w:szCs w:val="24"/>
        </w:rPr>
        <w:t xml:space="preserve"> </w:t>
      </w:r>
      <w:bookmarkStart w:id="0" w:name="_GoBack"/>
      <w:bookmarkEnd w:id="0"/>
      <w:r>
        <w:rPr>
          <w:rFonts w:ascii="Times New Roman" w:hAnsi="Times New Roman"/>
          <w:sz w:val="24"/>
          <w:szCs w:val="24"/>
        </w:rPr>
        <w:t>490</w:t>
      </w:r>
    </w:p>
    <w:p w:rsidR="00390DE6" w:rsidRDefault="00390DE6" w:rsidP="00390DE6">
      <w:pPr>
        <w:spacing w:after="0" w:line="240" w:lineRule="auto"/>
        <w:outlineLvl w:val="0"/>
        <w:rPr>
          <w:rFonts w:ascii="Times New Roman" w:hAnsi="Times New Roman"/>
          <w:sz w:val="24"/>
          <w:szCs w:val="24"/>
        </w:rPr>
      </w:pPr>
    </w:p>
    <w:p w:rsidR="00390DE6" w:rsidRDefault="00390DE6" w:rsidP="00390DE6">
      <w:pPr>
        <w:spacing w:after="0" w:line="240" w:lineRule="auto"/>
        <w:outlineLvl w:val="0"/>
        <w:rPr>
          <w:rFonts w:ascii="Times New Roman" w:hAnsi="Times New Roman"/>
          <w:sz w:val="24"/>
          <w:szCs w:val="24"/>
        </w:rPr>
      </w:pPr>
    </w:p>
    <w:p w:rsidR="00390DE6" w:rsidRPr="00390DE6" w:rsidRDefault="00390DE6" w:rsidP="00390DE6">
      <w:pPr>
        <w:spacing w:after="0" w:line="240" w:lineRule="auto"/>
        <w:outlineLvl w:val="0"/>
        <w:rPr>
          <w:rFonts w:ascii="Times New Roman" w:hAnsi="Times New Roman"/>
          <w:sz w:val="24"/>
          <w:szCs w:val="24"/>
        </w:rPr>
      </w:pPr>
    </w:p>
    <w:p w:rsidR="00390DE6" w:rsidRPr="001C60B5" w:rsidRDefault="00390DE6" w:rsidP="00390DE6">
      <w:pPr>
        <w:spacing w:after="0" w:line="240" w:lineRule="auto"/>
        <w:jc w:val="center"/>
        <w:outlineLvl w:val="0"/>
        <w:rPr>
          <w:rFonts w:ascii="Times New Roman" w:hAnsi="Times New Roman"/>
          <w:color w:val="548DD4"/>
          <w:sz w:val="28"/>
        </w:rPr>
      </w:pPr>
      <w:r w:rsidRPr="001C60B5">
        <w:rPr>
          <w:rFonts w:ascii="Times New Roman" w:hAnsi="Times New Roman"/>
          <w:caps/>
          <w:sz w:val="28"/>
        </w:rPr>
        <w:t>The Assessment OF INDOOR Radon-222 Concentration and Emanation Rate at Gua Penyu, Pahang</w:t>
      </w:r>
      <w:r w:rsidRPr="001C60B5">
        <w:rPr>
          <w:rFonts w:ascii="Times New Roman" w:hAnsi="Times New Roman"/>
          <w:sz w:val="28"/>
        </w:rPr>
        <w:t xml:space="preserve"> </w:t>
      </w:r>
    </w:p>
    <w:p w:rsidR="00390DE6" w:rsidRPr="003205C0" w:rsidRDefault="00390DE6" w:rsidP="00390DE6">
      <w:pPr>
        <w:spacing w:after="0" w:line="240" w:lineRule="auto"/>
        <w:jc w:val="center"/>
        <w:outlineLvl w:val="0"/>
        <w:rPr>
          <w:rFonts w:ascii="Times New Roman" w:hAnsi="Times New Roman"/>
          <w:b/>
          <w:color w:val="548DD4"/>
          <w:sz w:val="24"/>
        </w:rPr>
      </w:pPr>
    </w:p>
    <w:p w:rsidR="00390DE6" w:rsidRPr="00477DDF" w:rsidRDefault="00390DE6" w:rsidP="00390DE6">
      <w:pPr>
        <w:spacing w:after="0" w:line="240" w:lineRule="auto"/>
        <w:jc w:val="center"/>
        <w:outlineLvl w:val="0"/>
        <w:rPr>
          <w:rFonts w:ascii="Times New Roman" w:hAnsi="Times New Roman"/>
          <w:sz w:val="24"/>
          <w:lang w:val="ms-MY"/>
        </w:rPr>
      </w:pPr>
      <w:r>
        <w:rPr>
          <w:rFonts w:ascii="Times New Roman" w:hAnsi="Times New Roman"/>
          <w:sz w:val="24"/>
        </w:rPr>
        <w:t>(</w:t>
      </w:r>
      <w:r>
        <w:rPr>
          <w:rFonts w:ascii="Times New Roman" w:hAnsi="Times New Roman"/>
          <w:sz w:val="24"/>
          <w:lang w:val="ms-MY"/>
        </w:rPr>
        <w:t>Penilaian Kepekatan d</w:t>
      </w:r>
      <w:r w:rsidRPr="00F57329">
        <w:rPr>
          <w:rFonts w:ascii="Times New Roman" w:hAnsi="Times New Roman"/>
          <w:sz w:val="24"/>
          <w:lang w:val="ms-MY"/>
        </w:rPr>
        <w:t>an Kadar Pancaran Dalaman Radon-222 di Gua Penyu, Pahang</w:t>
      </w:r>
      <w:r>
        <w:rPr>
          <w:rFonts w:ascii="Times New Roman" w:hAnsi="Times New Roman"/>
          <w:sz w:val="24"/>
        </w:rPr>
        <w:t>)</w:t>
      </w:r>
    </w:p>
    <w:p w:rsidR="00390DE6" w:rsidRPr="00477DDF" w:rsidRDefault="00390DE6" w:rsidP="00390DE6">
      <w:pPr>
        <w:spacing w:after="0" w:line="240" w:lineRule="auto"/>
        <w:jc w:val="center"/>
        <w:outlineLvl w:val="0"/>
        <w:rPr>
          <w:rFonts w:ascii="Times New Roman" w:hAnsi="Times New Roman"/>
          <w:sz w:val="20"/>
          <w:szCs w:val="20"/>
        </w:rPr>
      </w:pPr>
    </w:p>
    <w:p w:rsidR="00390DE6" w:rsidRDefault="00390DE6" w:rsidP="00390DE6">
      <w:pPr>
        <w:pStyle w:val="Author"/>
        <w:spacing w:after="0"/>
      </w:pPr>
      <w:r w:rsidRPr="001C60B5">
        <w:t>Junaidah Md Sani</w:t>
      </w:r>
      <w:r w:rsidRPr="001C60B5">
        <w:rPr>
          <w:vertAlign w:val="superscript"/>
        </w:rPr>
        <w:t>1</w:t>
      </w:r>
      <w:r w:rsidRPr="00477DDF">
        <w:t>*</w:t>
      </w:r>
      <w:r w:rsidRPr="006A7D8F">
        <w:t xml:space="preserve">, </w:t>
      </w:r>
      <w:r>
        <w:t xml:space="preserve">Nuramirah Alias </w:t>
      </w:r>
      <w:r>
        <w:rPr>
          <w:vertAlign w:val="superscript"/>
        </w:rPr>
        <w:t>1</w:t>
      </w:r>
      <w:r>
        <w:t>, Nazree Ahmad</w:t>
      </w:r>
      <w:r w:rsidRPr="007C4374">
        <w:rPr>
          <w:vertAlign w:val="superscript"/>
        </w:rPr>
        <w:t xml:space="preserve"> </w:t>
      </w:r>
      <w:r>
        <w:rPr>
          <w:vertAlign w:val="superscript"/>
        </w:rPr>
        <w:t>1</w:t>
      </w:r>
      <w:r>
        <w:t>, Ahmad Saat</w:t>
      </w:r>
      <w:r>
        <w:rPr>
          <w:vertAlign w:val="superscript"/>
        </w:rPr>
        <w:t xml:space="preserve"> 2</w:t>
      </w:r>
      <w:r>
        <w:t xml:space="preserve"> </w:t>
      </w:r>
    </w:p>
    <w:p w:rsidR="00390DE6" w:rsidRPr="00390DE6" w:rsidRDefault="00390DE6" w:rsidP="00390DE6">
      <w:pPr>
        <w:pStyle w:val="Author"/>
        <w:spacing w:after="0"/>
        <w:rPr>
          <w:szCs w:val="20"/>
        </w:rPr>
      </w:pPr>
    </w:p>
    <w:p w:rsidR="00390DE6" w:rsidRPr="00390DE6" w:rsidRDefault="00390DE6" w:rsidP="00390DE6">
      <w:pPr>
        <w:pStyle w:val="Affiliation"/>
        <w:rPr>
          <w:i/>
          <w:sz w:val="20"/>
          <w:szCs w:val="20"/>
        </w:rPr>
      </w:pPr>
      <w:r w:rsidRPr="00390DE6">
        <w:rPr>
          <w:i/>
          <w:sz w:val="20"/>
          <w:szCs w:val="20"/>
          <w:vertAlign w:val="superscript"/>
        </w:rPr>
        <w:t>1</w:t>
      </w:r>
      <w:r w:rsidRPr="00390DE6">
        <w:rPr>
          <w:i/>
          <w:sz w:val="20"/>
          <w:szCs w:val="20"/>
        </w:rPr>
        <w:t>Faculty of Applied Sciences,</w:t>
      </w:r>
    </w:p>
    <w:p w:rsidR="00390DE6" w:rsidRPr="00390DE6" w:rsidRDefault="00390DE6" w:rsidP="00390DE6">
      <w:pPr>
        <w:pStyle w:val="Affiliation"/>
        <w:rPr>
          <w:i/>
          <w:sz w:val="20"/>
          <w:szCs w:val="20"/>
        </w:rPr>
      </w:pPr>
      <w:r w:rsidRPr="00390DE6">
        <w:rPr>
          <w:i/>
          <w:sz w:val="20"/>
          <w:szCs w:val="20"/>
        </w:rPr>
        <w:t>Universiti Teknologi MARA Cawangan Pahang, 26400 Bandar Tun Abdul Razak Jengka, Pahang, Malaysia</w:t>
      </w:r>
    </w:p>
    <w:p w:rsidR="00390DE6" w:rsidRPr="00390DE6" w:rsidRDefault="00390DE6" w:rsidP="00390DE6">
      <w:pPr>
        <w:pStyle w:val="Affiliation"/>
        <w:rPr>
          <w:i/>
          <w:sz w:val="20"/>
          <w:szCs w:val="20"/>
        </w:rPr>
      </w:pPr>
      <w:r w:rsidRPr="00390DE6">
        <w:rPr>
          <w:i/>
          <w:sz w:val="20"/>
          <w:szCs w:val="20"/>
          <w:vertAlign w:val="superscript"/>
        </w:rPr>
        <w:t>2</w:t>
      </w:r>
      <w:r w:rsidRPr="00390DE6">
        <w:rPr>
          <w:i/>
          <w:sz w:val="20"/>
          <w:szCs w:val="20"/>
        </w:rPr>
        <w:t xml:space="preserve">Institute of Science, </w:t>
      </w:r>
    </w:p>
    <w:p w:rsidR="00390DE6" w:rsidRPr="00390DE6" w:rsidRDefault="00390DE6" w:rsidP="00390DE6">
      <w:pPr>
        <w:pStyle w:val="Affiliation"/>
        <w:rPr>
          <w:i/>
          <w:sz w:val="20"/>
          <w:szCs w:val="20"/>
        </w:rPr>
      </w:pPr>
      <w:r w:rsidRPr="00390DE6">
        <w:rPr>
          <w:i/>
          <w:sz w:val="20"/>
          <w:szCs w:val="20"/>
        </w:rPr>
        <w:t>Universiti Teknologi MARA, 40450 Shah Alam, Selangor, Malaysia</w:t>
      </w:r>
    </w:p>
    <w:p w:rsidR="00390DE6" w:rsidRPr="00390DE6" w:rsidRDefault="00390DE6" w:rsidP="00390DE6">
      <w:pPr>
        <w:pStyle w:val="Affiliation"/>
        <w:rPr>
          <w:i/>
          <w:sz w:val="20"/>
          <w:szCs w:val="20"/>
        </w:rPr>
      </w:pPr>
    </w:p>
    <w:p w:rsidR="00390DE6" w:rsidRPr="00390DE6" w:rsidRDefault="00390DE6" w:rsidP="00390DE6">
      <w:pPr>
        <w:spacing w:after="0" w:line="240" w:lineRule="auto"/>
        <w:jc w:val="center"/>
        <w:outlineLvl w:val="0"/>
        <w:rPr>
          <w:rFonts w:ascii="Times New Roman" w:hAnsi="Times New Roman"/>
          <w:i/>
          <w:color w:val="548DD4"/>
          <w:sz w:val="20"/>
          <w:szCs w:val="20"/>
        </w:rPr>
      </w:pPr>
      <w:r w:rsidRPr="00390DE6">
        <w:rPr>
          <w:rFonts w:ascii="Times New Roman" w:hAnsi="Times New Roman"/>
          <w:i/>
          <w:sz w:val="20"/>
          <w:szCs w:val="20"/>
        </w:rPr>
        <w:t>*Corresponding author:  ajun@pahang.uitm.edu.my</w:t>
      </w:r>
    </w:p>
    <w:p w:rsidR="00390DE6" w:rsidRPr="00390DE6" w:rsidRDefault="00390DE6" w:rsidP="00390DE6">
      <w:pPr>
        <w:spacing w:after="0" w:line="240" w:lineRule="auto"/>
        <w:jc w:val="center"/>
        <w:rPr>
          <w:rFonts w:ascii="Times New Roman" w:hAnsi="Times New Roman"/>
          <w:noProof/>
          <w:sz w:val="20"/>
          <w:szCs w:val="20"/>
          <w:lang w:bidi="ar-SA"/>
        </w:rPr>
      </w:pPr>
    </w:p>
    <w:p w:rsidR="00390DE6" w:rsidRPr="00390DE6" w:rsidRDefault="00390DE6" w:rsidP="00390DE6">
      <w:pPr>
        <w:spacing w:after="0" w:line="240" w:lineRule="auto"/>
        <w:jc w:val="center"/>
        <w:rPr>
          <w:rFonts w:ascii="Times New Roman" w:hAnsi="Times New Roman"/>
          <w:noProof/>
          <w:sz w:val="20"/>
          <w:szCs w:val="20"/>
          <w:lang w:bidi="ar-SA"/>
        </w:rPr>
      </w:pPr>
    </w:p>
    <w:p w:rsidR="00390DE6" w:rsidRPr="00390DE6" w:rsidRDefault="00390DE6" w:rsidP="00390DE6">
      <w:pPr>
        <w:spacing w:after="0" w:line="240" w:lineRule="auto"/>
        <w:jc w:val="center"/>
        <w:rPr>
          <w:rFonts w:ascii="Times New Roman" w:hAnsi="Times New Roman"/>
          <w:noProof/>
          <w:sz w:val="20"/>
          <w:szCs w:val="20"/>
          <w:lang w:bidi="ar-SA"/>
        </w:rPr>
      </w:pPr>
      <w:r w:rsidRPr="00390DE6">
        <w:rPr>
          <w:rFonts w:ascii="Times New Roman" w:hAnsi="Times New Roman"/>
          <w:noProof/>
          <w:sz w:val="20"/>
          <w:szCs w:val="20"/>
          <w:lang w:bidi="ar-SA"/>
        </w:rPr>
        <w:t>Received: 4 December 2016; Accepted: 1 December 2017</w:t>
      </w:r>
    </w:p>
    <w:p w:rsidR="00390DE6" w:rsidRPr="00390DE6" w:rsidRDefault="00390DE6" w:rsidP="00390DE6">
      <w:pPr>
        <w:spacing w:after="0" w:line="240" w:lineRule="auto"/>
        <w:jc w:val="center"/>
        <w:rPr>
          <w:rFonts w:ascii="Times New Roman" w:hAnsi="Times New Roman"/>
          <w:noProof/>
          <w:sz w:val="20"/>
          <w:szCs w:val="20"/>
          <w:lang w:bidi="ar-SA"/>
        </w:rPr>
      </w:pPr>
    </w:p>
    <w:p w:rsidR="00390DE6" w:rsidRPr="00390DE6" w:rsidRDefault="00390DE6" w:rsidP="00390DE6">
      <w:pPr>
        <w:spacing w:after="0" w:line="240" w:lineRule="auto"/>
        <w:jc w:val="center"/>
        <w:rPr>
          <w:rFonts w:ascii="Times New Roman" w:hAnsi="Times New Roman"/>
          <w:noProof/>
          <w:sz w:val="20"/>
          <w:szCs w:val="20"/>
          <w:lang w:bidi="ar-SA"/>
        </w:rPr>
      </w:pPr>
    </w:p>
    <w:p w:rsidR="00390DE6" w:rsidRPr="00390DE6" w:rsidRDefault="00390DE6" w:rsidP="00390DE6">
      <w:pPr>
        <w:spacing w:after="0" w:line="240" w:lineRule="auto"/>
        <w:jc w:val="center"/>
        <w:rPr>
          <w:rFonts w:ascii="Times New Roman" w:hAnsi="Times New Roman"/>
          <w:b/>
          <w:noProof/>
          <w:sz w:val="20"/>
          <w:szCs w:val="20"/>
          <w:lang w:bidi="ar-SA"/>
        </w:rPr>
      </w:pPr>
      <w:r w:rsidRPr="00390DE6">
        <w:rPr>
          <w:rFonts w:ascii="Times New Roman" w:hAnsi="Times New Roman"/>
          <w:b/>
          <w:noProof/>
          <w:sz w:val="20"/>
          <w:szCs w:val="20"/>
          <w:lang w:bidi="ar-SA"/>
        </w:rPr>
        <w:t>Abstract</w:t>
      </w:r>
    </w:p>
    <w:p w:rsidR="00390DE6" w:rsidRPr="00390DE6" w:rsidRDefault="00390DE6" w:rsidP="00390DE6">
      <w:pPr>
        <w:spacing w:after="0" w:line="240" w:lineRule="auto"/>
        <w:jc w:val="both"/>
        <w:rPr>
          <w:rFonts w:ascii="Times New Roman" w:hAnsi="Times New Roman"/>
          <w:sz w:val="20"/>
          <w:szCs w:val="20"/>
        </w:rPr>
      </w:pPr>
      <w:r w:rsidRPr="00390DE6">
        <w:rPr>
          <w:rFonts w:ascii="Times New Roman" w:hAnsi="Times New Roman"/>
          <w:sz w:val="20"/>
          <w:szCs w:val="20"/>
        </w:rPr>
        <w:t xml:space="preserve">The indoor Radon-222 concentration and emanation rate in Gua Penyu, Gua Gelanggi Complex, Pahang were measured using Solid State Nuclear Track Detector CR-39 (SSNTD CR-39) to evaluate the air quality and radiological exposure in this recreational cave. A total of 20 SSNTD CR-39 dosimeters were placed inside the cave at about 15 m apart each. 10 dosimeters were embedded 5 cm into cave floor to determine emanation rate, while the other 10 dosimeters were placed at one meter above the floor level for concentration measurement. The control samples were placed outside the cave 15 m from the main entrance. These SSNTD CR-39 samples were left for a month before undergone etching process with NaOH solution (6 M) at 70 </w:t>
      </w:r>
      <w:r w:rsidRPr="00390DE6">
        <w:rPr>
          <w:rFonts w:ascii="Times New Roman" w:hAnsi="Times New Roman"/>
          <w:sz w:val="20"/>
          <w:szCs w:val="20"/>
        </w:rPr>
        <w:sym w:font="Symbol" w:char="F0B0"/>
      </w:r>
      <w:r w:rsidRPr="00390DE6">
        <w:rPr>
          <w:rFonts w:ascii="Times New Roman" w:hAnsi="Times New Roman"/>
          <w:sz w:val="20"/>
          <w:szCs w:val="20"/>
        </w:rPr>
        <w:t xml:space="preserve">C for six hours. The radon concentration and emanation rate were both determined from the track density in each CR-39 (1cm </w:t>
      </w:r>
      <w:r w:rsidRPr="00390DE6">
        <w:rPr>
          <w:rFonts w:ascii="Times New Roman" w:hAnsi="Times New Roman"/>
          <w:sz w:val="20"/>
          <w:szCs w:val="20"/>
        </w:rPr>
        <w:sym w:font="Symbol" w:char="F0B4"/>
      </w:r>
      <w:r w:rsidRPr="00390DE6">
        <w:rPr>
          <w:rFonts w:ascii="Times New Roman" w:hAnsi="Times New Roman"/>
          <w:sz w:val="20"/>
          <w:szCs w:val="20"/>
        </w:rPr>
        <w:t xml:space="preserve"> 1cm) sampling. The results showed that the radon emanation rates varied between 0.030 </w:t>
      </w:r>
      <w:r w:rsidRPr="00390DE6">
        <w:rPr>
          <w:rFonts w:ascii="Times New Roman" w:hAnsi="Times New Roman"/>
          <w:sz w:val="20"/>
          <w:szCs w:val="20"/>
        </w:rPr>
        <w:sym w:font="Symbol" w:char="F0B1"/>
      </w:r>
      <w:r w:rsidRPr="00390DE6">
        <w:rPr>
          <w:rFonts w:ascii="Times New Roman" w:hAnsi="Times New Roman"/>
          <w:sz w:val="20"/>
          <w:szCs w:val="20"/>
        </w:rPr>
        <w:t xml:space="preserve"> 0.004 Bqm</w:t>
      </w:r>
      <w:r w:rsidRPr="00390DE6">
        <w:rPr>
          <w:rFonts w:ascii="Times New Roman" w:hAnsi="Times New Roman"/>
          <w:sz w:val="20"/>
          <w:szCs w:val="20"/>
          <w:vertAlign w:val="superscript"/>
        </w:rPr>
        <w:t>-2</w:t>
      </w:r>
      <w:r w:rsidRPr="00390DE6">
        <w:rPr>
          <w:rFonts w:ascii="Times New Roman" w:hAnsi="Times New Roman"/>
          <w:sz w:val="20"/>
          <w:szCs w:val="20"/>
        </w:rPr>
        <w:t>day</w:t>
      </w:r>
      <w:r w:rsidRPr="00390DE6">
        <w:rPr>
          <w:rFonts w:ascii="Times New Roman" w:hAnsi="Times New Roman"/>
          <w:sz w:val="20"/>
          <w:szCs w:val="20"/>
          <w:vertAlign w:val="superscript"/>
        </w:rPr>
        <w:t>-1</w:t>
      </w:r>
      <w:r w:rsidRPr="00390DE6">
        <w:rPr>
          <w:rFonts w:ascii="Times New Roman" w:hAnsi="Times New Roman"/>
          <w:sz w:val="20"/>
          <w:szCs w:val="20"/>
        </w:rPr>
        <w:t xml:space="preserve"> and 0.120 </w:t>
      </w:r>
      <w:r w:rsidRPr="00390DE6">
        <w:rPr>
          <w:rFonts w:ascii="Times New Roman" w:hAnsi="Times New Roman"/>
          <w:sz w:val="20"/>
          <w:szCs w:val="20"/>
        </w:rPr>
        <w:sym w:font="Symbol" w:char="F0B1"/>
      </w:r>
      <w:r w:rsidRPr="00390DE6">
        <w:rPr>
          <w:rFonts w:ascii="Times New Roman" w:hAnsi="Times New Roman"/>
          <w:sz w:val="20"/>
          <w:szCs w:val="20"/>
        </w:rPr>
        <w:t xml:space="preserve"> 0.017 Bqm</w:t>
      </w:r>
      <w:r w:rsidRPr="00390DE6">
        <w:rPr>
          <w:rFonts w:ascii="Times New Roman" w:hAnsi="Times New Roman"/>
          <w:sz w:val="20"/>
          <w:szCs w:val="20"/>
          <w:vertAlign w:val="superscript"/>
        </w:rPr>
        <w:t>-2</w:t>
      </w:r>
      <w:r w:rsidRPr="00390DE6">
        <w:rPr>
          <w:rFonts w:ascii="Times New Roman" w:hAnsi="Times New Roman"/>
          <w:sz w:val="20"/>
          <w:szCs w:val="20"/>
        </w:rPr>
        <w:t>day</w:t>
      </w:r>
      <w:r w:rsidRPr="00390DE6">
        <w:rPr>
          <w:rFonts w:ascii="Times New Roman" w:hAnsi="Times New Roman"/>
          <w:sz w:val="20"/>
          <w:szCs w:val="20"/>
          <w:vertAlign w:val="superscript"/>
        </w:rPr>
        <w:t>-1</w:t>
      </w:r>
      <w:r w:rsidRPr="00390DE6">
        <w:rPr>
          <w:rFonts w:ascii="Times New Roman" w:hAnsi="Times New Roman"/>
          <w:sz w:val="20"/>
          <w:szCs w:val="20"/>
        </w:rPr>
        <w:t xml:space="preserve"> with the average rate of 0.080 Bqm</w:t>
      </w:r>
      <w:r w:rsidRPr="00390DE6">
        <w:rPr>
          <w:rFonts w:ascii="Times New Roman" w:hAnsi="Times New Roman"/>
          <w:sz w:val="20"/>
          <w:szCs w:val="20"/>
          <w:vertAlign w:val="superscript"/>
        </w:rPr>
        <w:t>-2</w:t>
      </w:r>
      <w:r w:rsidRPr="00390DE6">
        <w:rPr>
          <w:rFonts w:ascii="Times New Roman" w:hAnsi="Times New Roman"/>
          <w:sz w:val="20"/>
          <w:szCs w:val="20"/>
        </w:rPr>
        <w:t>day</w:t>
      </w:r>
      <w:r w:rsidRPr="00390DE6">
        <w:rPr>
          <w:rFonts w:ascii="Times New Roman" w:hAnsi="Times New Roman"/>
          <w:sz w:val="20"/>
          <w:szCs w:val="20"/>
          <w:vertAlign w:val="superscript"/>
        </w:rPr>
        <w:t>-1</w:t>
      </w:r>
      <w:r w:rsidRPr="00390DE6">
        <w:rPr>
          <w:rFonts w:ascii="Times New Roman" w:hAnsi="Times New Roman"/>
          <w:sz w:val="20"/>
          <w:szCs w:val="20"/>
        </w:rPr>
        <w:t xml:space="preserve">. The radon concentration was between 3.72 </w:t>
      </w:r>
      <w:r w:rsidRPr="00390DE6">
        <w:rPr>
          <w:rFonts w:ascii="Times New Roman" w:hAnsi="Times New Roman"/>
          <w:sz w:val="20"/>
          <w:szCs w:val="20"/>
        </w:rPr>
        <w:sym w:font="Symbol" w:char="F0B1"/>
      </w:r>
      <w:r w:rsidRPr="00390DE6">
        <w:rPr>
          <w:rFonts w:ascii="Times New Roman" w:hAnsi="Times New Roman"/>
          <w:sz w:val="20"/>
          <w:szCs w:val="20"/>
        </w:rPr>
        <w:t xml:space="preserve"> 1.60 Bqm</w:t>
      </w:r>
      <w:r w:rsidRPr="00390DE6">
        <w:rPr>
          <w:rFonts w:ascii="Times New Roman" w:hAnsi="Times New Roman"/>
          <w:sz w:val="20"/>
          <w:szCs w:val="20"/>
          <w:vertAlign w:val="superscript"/>
        </w:rPr>
        <w:t>-3</w:t>
      </w:r>
      <w:r w:rsidRPr="00390DE6">
        <w:rPr>
          <w:rFonts w:ascii="Times New Roman" w:hAnsi="Times New Roman"/>
          <w:sz w:val="20"/>
          <w:szCs w:val="20"/>
        </w:rPr>
        <w:t xml:space="preserve"> and 7.89 </w:t>
      </w:r>
      <w:r w:rsidRPr="00390DE6">
        <w:rPr>
          <w:rFonts w:ascii="Times New Roman" w:hAnsi="Times New Roman"/>
          <w:sz w:val="20"/>
          <w:szCs w:val="20"/>
        </w:rPr>
        <w:sym w:font="Symbol" w:char="F0B1"/>
      </w:r>
      <w:r w:rsidRPr="00390DE6">
        <w:rPr>
          <w:rFonts w:ascii="Times New Roman" w:hAnsi="Times New Roman"/>
          <w:sz w:val="20"/>
          <w:szCs w:val="20"/>
        </w:rPr>
        <w:t xml:space="preserve"> 2.10 Bqm</w:t>
      </w:r>
      <w:r w:rsidRPr="00390DE6">
        <w:rPr>
          <w:rFonts w:ascii="Times New Roman" w:hAnsi="Times New Roman"/>
          <w:sz w:val="20"/>
          <w:szCs w:val="20"/>
          <w:vertAlign w:val="superscript"/>
        </w:rPr>
        <w:t>-3</w:t>
      </w:r>
      <w:r w:rsidRPr="00390DE6">
        <w:rPr>
          <w:rFonts w:ascii="Times New Roman" w:hAnsi="Times New Roman"/>
          <w:sz w:val="20"/>
          <w:szCs w:val="20"/>
        </w:rPr>
        <w:t xml:space="preserve"> with the average of 4.8 Bqm</w:t>
      </w:r>
      <w:r w:rsidRPr="00390DE6">
        <w:rPr>
          <w:rFonts w:ascii="Times New Roman" w:hAnsi="Times New Roman"/>
          <w:sz w:val="20"/>
          <w:szCs w:val="20"/>
          <w:vertAlign w:val="superscript"/>
        </w:rPr>
        <w:t>-3</w:t>
      </w:r>
      <w:r w:rsidRPr="00390DE6">
        <w:rPr>
          <w:rFonts w:ascii="Times New Roman" w:hAnsi="Times New Roman"/>
          <w:sz w:val="20"/>
          <w:szCs w:val="20"/>
        </w:rPr>
        <w:t>. These values were lower compared to indoor concentration allowed by the International Commission on Radiation Protection (ICRP) 2009 that is 200 – 300      Bqm</w:t>
      </w:r>
      <w:r w:rsidRPr="00390DE6">
        <w:rPr>
          <w:rFonts w:ascii="Times New Roman" w:hAnsi="Times New Roman"/>
          <w:sz w:val="20"/>
          <w:szCs w:val="20"/>
          <w:vertAlign w:val="superscript"/>
        </w:rPr>
        <w:t>-3</w:t>
      </w:r>
      <w:r w:rsidRPr="00390DE6">
        <w:rPr>
          <w:rFonts w:ascii="Times New Roman" w:hAnsi="Times New Roman"/>
          <w:sz w:val="20"/>
          <w:szCs w:val="20"/>
        </w:rPr>
        <w:t>. The annual effective dose were found to range between 0.09 mSv.y</w:t>
      </w:r>
      <w:r w:rsidRPr="00390DE6">
        <w:rPr>
          <w:rFonts w:ascii="Times New Roman" w:hAnsi="Times New Roman"/>
          <w:sz w:val="20"/>
          <w:szCs w:val="20"/>
          <w:vertAlign w:val="superscript"/>
        </w:rPr>
        <w:t>-1</w:t>
      </w:r>
      <w:r w:rsidRPr="00390DE6">
        <w:rPr>
          <w:rFonts w:ascii="Times New Roman" w:hAnsi="Times New Roman"/>
          <w:sz w:val="20"/>
          <w:szCs w:val="20"/>
        </w:rPr>
        <w:t xml:space="preserve"> and 0.20 mSv.y</w:t>
      </w:r>
      <w:r w:rsidRPr="00390DE6">
        <w:rPr>
          <w:rFonts w:ascii="Times New Roman" w:hAnsi="Times New Roman"/>
          <w:sz w:val="20"/>
          <w:szCs w:val="20"/>
          <w:vertAlign w:val="superscript"/>
        </w:rPr>
        <w:t>-1</w:t>
      </w:r>
      <w:r w:rsidRPr="00390DE6">
        <w:rPr>
          <w:rFonts w:ascii="Times New Roman" w:hAnsi="Times New Roman"/>
          <w:sz w:val="20"/>
          <w:szCs w:val="20"/>
        </w:rPr>
        <w:t xml:space="preserve"> which was lower than recommended value 3 to 10 mSv.y</w:t>
      </w:r>
      <w:r w:rsidRPr="00390DE6">
        <w:rPr>
          <w:rFonts w:ascii="Times New Roman" w:hAnsi="Times New Roman"/>
          <w:sz w:val="20"/>
          <w:szCs w:val="20"/>
          <w:vertAlign w:val="superscript"/>
        </w:rPr>
        <w:t>-1</w:t>
      </w:r>
      <w:r w:rsidRPr="00390DE6">
        <w:rPr>
          <w:rFonts w:ascii="Times New Roman" w:hAnsi="Times New Roman"/>
          <w:sz w:val="20"/>
          <w:szCs w:val="20"/>
        </w:rPr>
        <w:t xml:space="preserve"> put forth by the ICRP 1993. Hence, this recreational cave is safe to be visited by public.</w:t>
      </w:r>
    </w:p>
    <w:p w:rsidR="00390DE6" w:rsidRPr="00390DE6" w:rsidRDefault="00390DE6" w:rsidP="00390DE6">
      <w:pPr>
        <w:spacing w:after="0" w:line="240" w:lineRule="auto"/>
        <w:jc w:val="both"/>
        <w:rPr>
          <w:rFonts w:ascii="Times New Roman" w:hAnsi="Times New Roman"/>
          <w:sz w:val="20"/>
          <w:szCs w:val="20"/>
        </w:rPr>
      </w:pPr>
    </w:p>
    <w:p w:rsidR="00390DE6" w:rsidRPr="00390DE6" w:rsidRDefault="00390DE6" w:rsidP="00390DE6">
      <w:pPr>
        <w:spacing w:after="0" w:line="240" w:lineRule="auto"/>
        <w:jc w:val="both"/>
        <w:outlineLvl w:val="0"/>
        <w:rPr>
          <w:rFonts w:ascii="Times New Roman" w:hAnsi="Times New Roman"/>
          <w:color w:val="548DD4"/>
          <w:sz w:val="20"/>
          <w:szCs w:val="20"/>
        </w:rPr>
      </w:pPr>
      <w:r w:rsidRPr="00390DE6">
        <w:rPr>
          <w:rFonts w:ascii="Times New Roman" w:hAnsi="Times New Roman"/>
          <w:b/>
          <w:sz w:val="20"/>
          <w:szCs w:val="20"/>
        </w:rPr>
        <w:t>Keywords:</w:t>
      </w:r>
      <w:r w:rsidRPr="00390DE6">
        <w:rPr>
          <w:rFonts w:ascii="Times New Roman" w:hAnsi="Times New Roman"/>
          <w:sz w:val="20"/>
          <w:szCs w:val="20"/>
        </w:rPr>
        <w:t xml:space="preserve">  limestone cave, emanation rate, indoor radon</w:t>
      </w:r>
    </w:p>
    <w:p w:rsidR="00390DE6" w:rsidRPr="00390DE6" w:rsidRDefault="00390DE6" w:rsidP="00390DE6">
      <w:pPr>
        <w:spacing w:after="0" w:line="240" w:lineRule="auto"/>
        <w:jc w:val="center"/>
        <w:outlineLvl w:val="0"/>
        <w:rPr>
          <w:rFonts w:ascii="Times New Roman" w:hAnsi="Times New Roman"/>
          <w:b/>
          <w:color w:val="548DD4"/>
          <w:sz w:val="20"/>
          <w:szCs w:val="20"/>
        </w:rPr>
      </w:pPr>
    </w:p>
    <w:p w:rsidR="00390DE6" w:rsidRPr="00390DE6" w:rsidRDefault="00390DE6" w:rsidP="00390DE6">
      <w:pPr>
        <w:spacing w:after="0" w:line="240" w:lineRule="auto"/>
        <w:jc w:val="center"/>
        <w:outlineLvl w:val="0"/>
        <w:rPr>
          <w:rFonts w:ascii="Times New Roman" w:hAnsi="Times New Roman"/>
          <w:b/>
          <w:sz w:val="20"/>
          <w:szCs w:val="20"/>
          <w:lang w:val="ms-MY"/>
        </w:rPr>
      </w:pPr>
      <w:r w:rsidRPr="00390DE6">
        <w:rPr>
          <w:rFonts w:ascii="Times New Roman" w:hAnsi="Times New Roman"/>
          <w:b/>
          <w:sz w:val="20"/>
          <w:szCs w:val="20"/>
          <w:lang w:val="ms-MY"/>
        </w:rPr>
        <w:t>Abstrak</w:t>
      </w:r>
    </w:p>
    <w:p w:rsidR="00390DE6" w:rsidRPr="00390DE6" w:rsidRDefault="00390DE6" w:rsidP="00390DE6">
      <w:pPr>
        <w:spacing w:after="0" w:line="240" w:lineRule="auto"/>
        <w:jc w:val="both"/>
        <w:outlineLvl w:val="0"/>
        <w:rPr>
          <w:rFonts w:ascii="Times New Roman" w:hAnsi="Times New Roman"/>
          <w:sz w:val="20"/>
          <w:szCs w:val="20"/>
          <w:lang w:val="ms-MY"/>
        </w:rPr>
      </w:pPr>
      <w:r w:rsidRPr="00390DE6">
        <w:rPr>
          <w:rFonts w:ascii="Times New Roman" w:hAnsi="Times New Roman"/>
          <w:sz w:val="20"/>
          <w:szCs w:val="20"/>
          <w:lang w:val="ms-MY"/>
        </w:rPr>
        <w:t xml:space="preserve">Kepekatan dan kadar pancaran dalaman Radon-222 dalam Gua Penyu, Kompleks Gua Gelanggi, Pahang telah diukur menggunakan Pengesan Jejak Nuklear Keadaan Pepejal CR-39 (SSNTD CR-39) untuk menilai kualiti udara dan pendedahan radiologi dalam gua rekreasi ini. Sejumlah 20 dosimeter SSNTD CR-39 telah ditempatkan dalam gua ini setiap satu berjarak kira-kira 15 m. 10 dosimeter telah dibenamkan 5 cm ke dalam lantai gua untuk penentuan kadar pancaran, manakala 10 dosimeter lain ditempatkan pada satu meter di atas aras lantai untuk pengukuran kepekatan. Sampel kawalan ditempatkan di luar gua 15 m  hadapan pintu masuk utama. Sampel SSNTD CR-39 ini ditinggalkan selama sebulan sebelum melalui proses punaran dalam larutan NaOH (6M) pada 70 </w:t>
      </w:r>
      <w:r w:rsidRPr="00390DE6">
        <w:rPr>
          <w:rFonts w:ascii="Times New Roman" w:hAnsi="Times New Roman"/>
          <w:sz w:val="20"/>
          <w:szCs w:val="20"/>
          <w:lang w:val="ms-MY"/>
        </w:rPr>
        <w:sym w:font="Symbol" w:char="F0B0"/>
      </w:r>
      <w:r w:rsidRPr="00390DE6">
        <w:rPr>
          <w:rFonts w:ascii="Times New Roman" w:hAnsi="Times New Roman"/>
          <w:sz w:val="20"/>
          <w:szCs w:val="20"/>
          <w:lang w:val="ms-MY"/>
        </w:rPr>
        <w:t xml:space="preserve">C selama enam jam. Kepekatan dan kadar pancaran radon keduanya ditentukan dari ketumpatan jejak dalam setiap sampel (1 cm </w:t>
      </w:r>
      <w:r w:rsidRPr="00390DE6">
        <w:rPr>
          <w:rFonts w:ascii="Times New Roman" w:hAnsi="Times New Roman"/>
          <w:sz w:val="20"/>
          <w:szCs w:val="20"/>
          <w:lang w:val="ms-MY"/>
        </w:rPr>
        <w:sym w:font="Symbol" w:char="F0B4"/>
      </w:r>
      <w:r w:rsidRPr="00390DE6">
        <w:rPr>
          <w:rFonts w:ascii="Times New Roman" w:hAnsi="Times New Roman"/>
          <w:sz w:val="20"/>
          <w:szCs w:val="20"/>
          <w:lang w:val="ms-MY"/>
        </w:rPr>
        <w:t xml:space="preserve"> 1cm) CR-39.  Hasil kajian menunjukkan bahawa kadar pancaran radon berada antara 0.030 </w:t>
      </w:r>
      <w:r w:rsidRPr="00390DE6">
        <w:rPr>
          <w:rFonts w:ascii="Times New Roman" w:hAnsi="Times New Roman"/>
          <w:sz w:val="20"/>
          <w:szCs w:val="20"/>
          <w:lang w:val="ms-MY"/>
        </w:rPr>
        <w:sym w:font="Symbol" w:char="F0B1"/>
      </w:r>
      <w:r w:rsidRPr="00390DE6">
        <w:rPr>
          <w:rFonts w:ascii="Times New Roman" w:hAnsi="Times New Roman"/>
          <w:sz w:val="20"/>
          <w:szCs w:val="20"/>
          <w:lang w:val="ms-MY"/>
        </w:rPr>
        <w:t xml:space="preserve"> 0.004 Bqm</w:t>
      </w:r>
      <w:r w:rsidRPr="00390DE6">
        <w:rPr>
          <w:rFonts w:ascii="Times New Roman" w:hAnsi="Times New Roman"/>
          <w:sz w:val="20"/>
          <w:szCs w:val="20"/>
          <w:vertAlign w:val="superscript"/>
          <w:lang w:val="ms-MY"/>
        </w:rPr>
        <w:t>-2</w:t>
      </w:r>
      <w:r w:rsidRPr="00390DE6">
        <w:rPr>
          <w:rFonts w:ascii="Times New Roman" w:hAnsi="Times New Roman"/>
          <w:sz w:val="20"/>
          <w:szCs w:val="20"/>
          <w:lang w:val="ms-MY"/>
        </w:rPr>
        <w:t>hari</w:t>
      </w:r>
      <w:r w:rsidRPr="00390DE6">
        <w:rPr>
          <w:rFonts w:ascii="Times New Roman" w:hAnsi="Times New Roman"/>
          <w:sz w:val="20"/>
          <w:szCs w:val="20"/>
          <w:vertAlign w:val="superscript"/>
          <w:lang w:val="ms-MY"/>
        </w:rPr>
        <w:t>-1</w:t>
      </w:r>
      <w:r w:rsidRPr="00390DE6">
        <w:rPr>
          <w:rFonts w:ascii="Times New Roman" w:hAnsi="Times New Roman"/>
          <w:sz w:val="20"/>
          <w:szCs w:val="20"/>
          <w:lang w:val="ms-MY"/>
        </w:rPr>
        <w:t xml:space="preserve"> dan 0.120 </w:t>
      </w:r>
      <w:r w:rsidRPr="00390DE6">
        <w:rPr>
          <w:rFonts w:ascii="Times New Roman" w:hAnsi="Times New Roman"/>
          <w:sz w:val="20"/>
          <w:szCs w:val="20"/>
          <w:lang w:val="ms-MY"/>
        </w:rPr>
        <w:sym w:font="Symbol" w:char="F0B1"/>
      </w:r>
      <w:r w:rsidRPr="00390DE6">
        <w:rPr>
          <w:rFonts w:ascii="Times New Roman" w:hAnsi="Times New Roman"/>
          <w:sz w:val="20"/>
          <w:szCs w:val="20"/>
          <w:lang w:val="ms-MY"/>
        </w:rPr>
        <w:t xml:space="preserve"> 0.017 Bqm</w:t>
      </w:r>
      <w:r w:rsidRPr="00390DE6">
        <w:rPr>
          <w:rFonts w:ascii="Times New Roman" w:hAnsi="Times New Roman"/>
          <w:sz w:val="20"/>
          <w:szCs w:val="20"/>
          <w:vertAlign w:val="superscript"/>
          <w:lang w:val="ms-MY"/>
        </w:rPr>
        <w:t>-2</w:t>
      </w:r>
      <w:r w:rsidRPr="00390DE6">
        <w:rPr>
          <w:rFonts w:ascii="Times New Roman" w:hAnsi="Times New Roman"/>
          <w:sz w:val="20"/>
          <w:szCs w:val="20"/>
          <w:lang w:val="ms-MY"/>
        </w:rPr>
        <w:t>hari</w:t>
      </w:r>
      <w:r w:rsidRPr="00390DE6">
        <w:rPr>
          <w:rFonts w:ascii="Times New Roman" w:hAnsi="Times New Roman"/>
          <w:sz w:val="20"/>
          <w:szCs w:val="20"/>
          <w:vertAlign w:val="superscript"/>
          <w:lang w:val="ms-MY"/>
        </w:rPr>
        <w:t>-1</w:t>
      </w:r>
      <w:r w:rsidRPr="00390DE6">
        <w:rPr>
          <w:rFonts w:ascii="Times New Roman" w:hAnsi="Times New Roman"/>
          <w:sz w:val="20"/>
          <w:szCs w:val="20"/>
          <w:lang w:val="ms-MY"/>
        </w:rPr>
        <w:t xml:space="preserve"> dengan purata 0.080 Bqm</w:t>
      </w:r>
      <w:r w:rsidRPr="00390DE6">
        <w:rPr>
          <w:rFonts w:ascii="Times New Roman" w:hAnsi="Times New Roman"/>
          <w:sz w:val="20"/>
          <w:szCs w:val="20"/>
          <w:vertAlign w:val="superscript"/>
          <w:lang w:val="ms-MY"/>
        </w:rPr>
        <w:t>-2</w:t>
      </w:r>
      <w:r w:rsidRPr="00390DE6">
        <w:rPr>
          <w:rFonts w:ascii="Times New Roman" w:hAnsi="Times New Roman"/>
          <w:sz w:val="20"/>
          <w:szCs w:val="20"/>
          <w:lang w:val="ms-MY"/>
        </w:rPr>
        <w:t>hari</w:t>
      </w:r>
      <w:r w:rsidRPr="00390DE6">
        <w:rPr>
          <w:rFonts w:ascii="Times New Roman" w:hAnsi="Times New Roman"/>
          <w:sz w:val="20"/>
          <w:szCs w:val="20"/>
          <w:vertAlign w:val="superscript"/>
          <w:lang w:val="ms-MY"/>
        </w:rPr>
        <w:t>-1</w:t>
      </w:r>
      <w:r w:rsidRPr="00390DE6">
        <w:rPr>
          <w:rFonts w:ascii="Times New Roman" w:hAnsi="Times New Roman"/>
          <w:sz w:val="20"/>
          <w:szCs w:val="20"/>
          <w:lang w:val="ms-MY"/>
        </w:rPr>
        <w:t xml:space="preserve">. Kepekatan radon antara 3.72 </w:t>
      </w:r>
      <w:r w:rsidRPr="00390DE6">
        <w:rPr>
          <w:rFonts w:ascii="Times New Roman" w:hAnsi="Times New Roman"/>
          <w:sz w:val="20"/>
          <w:szCs w:val="20"/>
          <w:lang w:val="ms-MY"/>
        </w:rPr>
        <w:sym w:font="Symbol" w:char="F0B1"/>
      </w:r>
      <w:r w:rsidRPr="00390DE6">
        <w:rPr>
          <w:rFonts w:ascii="Times New Roman" w:hAnsi="Times New Roman"/>
          <w:sz w:val="20"/>
          <w:szCs w:val="20"/>
          <w:lang w:val="ms-MY"/>
        </w:rPr>
        <w:t xml:space="preserve"> 1.60 </w:t>
      </w:r>
      <w:r w:rsidRPr="00390DE6">
        <w:rPr>
          <w:rFonts w:ascii="Times New Roman" w:hAnsi="Times New Roman"/>
          <w:sz w:val="20"/>
          <w:szCs w:val="20"/>
          <w:lang w:val="ms-MY"/>
        </w:rPr>
        <w:lastRenderedPageBreak/>
        <w:t>Bqm</w:t>
      </w:r>
      <w:r w:rsidRPr="00390DE6">
        <w:rPr>
          <w:rFonts w:ascii="Times New Roman" w:hAnsi="Times New Roman"/>
          <w:sz w:val="20"/>
          <w:szCs w:val="20"/>
          <w:vertAlign w:val="superscript"/>
          <w:lang w:val="ms-MY"/>
        </w:rPr>
        <w:t>-3</w:t>
      </w:r>
      <w:r w:rsidRPr="00390DE6">
        <w:rPr>
          <w:rFonts w:ascii="Times New Roman" w:hAnsi="Times New Roman"/>
          <w:sz w:val="20"/>
          <w:szCs w:val="20"/>
          <w:lang w:val="ms-MY"/>
        </w:rPr>
        <w:t xml:space="preserve"> and 7.89 </w:t>
      </w:r>
      <w:r w:rsidRPr="00390DE6">
        <w:rPr>
          <w:rFonts w:ascii="Times New Roman" w:hAnsi="Times New Roman"/>
          <w:sz w:val="20"/>
          <w:szCs w:val="20"/>
          <w:lang w:val="ms-MY"/>
        </w:rPr>
        <w:sym w:font="Symbol" w:char="F0B1"/>
      </w:r>
      <w:r w:rsidRPr="00390DE6">
        <w:rPr>
          <w:rFonts w:ascii="Times New Roman" w:hAnsi="Times New Roman"/>
          <w:sz w:val="20"/>
          <w:szCs w:val="20"/>
          <w:lang w:val="ms-MY"/>
        </w:rPr>
        <w:t xml:space="preserve"> 2.10 Bqm</w:t>
      </w:r>
      <w:r w:rsidRPr="00390DE6">
        <w:rPr>
          <w:rFonts w:ascii="Times New Roman" w:hAnsi="Times New Roman"/>
          <w:sz w:val="20"/>
          <w:szCs w:val="20"/>
          <w:vertAlign w:val="superscript"/>
          <w:lang w:val="ms-MY"/>
        </w:rPr>
        <w:t>-3</w:t>
      </w:r>
      <w:r w:rsidRPr="00390DE6">
        <w:rPr>
          <w:rFonts w:ascii="Times New Roman" w:hAnsi="Times New Roman"/>
          <w:sz w:val="20"/>
          <w:szCs w:val="20"/>
          <w:lang w:val="ms-MY"/>
        </w:rPr>
        <w:t xml:space="preserve"> dengan purata 4.8 Bqm</w:t>
      </w:r>
      <w:r w:rsidRPr="00390DE6">
        <w:rPr>
          <w:rFonts w:ascii="Times New Roman" w:hAnsi="Times New Roman"/>
          <w:sz w:val="20"/>
          <w:szCs w:val="20"/>
          <w:vertAlign w:val="superscript"/>
          <w:lang w:val="ms-MY"/>
        </w:rPr>
        <w:t>-3</w:t>
      </w:r>
      <w:r w:rsidRPr="00390DE6">
        <w:rPr>
          <w:rFonts w:ascii="Times New Roman" w:hAnsi="Times New Roman"/>
          <w:sz w:val="20"/>
          <w:szCs w:val="20"/>
          <w:lang w:val="ms-MY"/>
        </w:rPr>
        <w:t xml:space="preserve">. Nilai-nilai ini lebih rendah berbanding nilai dalaman 200 </w:t>
      </w:r>
      <w:r w:rsidRPr="00390DE6">
        <w:rPr>
          <w:rFonts w:ascii="Times New Roman" w:hAnsi="Times New Roman"/>
          <w:sz w:val="20"/>
          <w:szCs w:val="20"/>
          <w:lang w:val="ms-MY"/>
        </w:rPr>
        <w:sym w:font="Symbol" w:char="F02D"/>
      </w:r>
      <w:r w:rsidRPr="00390DE6">
        <w:rPr>
          <w:rFonts w:ascii="Times New Roman" w:hAnsi="Times New Roman"/>
          <w:sz w:val="20"/>
          <w:szCs w:val="20"/>
          <w:lang w:val="ms-MY"/>
        </w:rPr>
        <w:t xml:space="preserve"> 300 Bqm</w:t>
      </w:r>
      <w:r w:rsidRPr="00390DE6">
        <w:rPr>
          <w:rFonts w:ascii="Times New Roman" w:hAnsi="Times New Roman"/>
          <w:sz w:val="20"/>
          <w:szCs w:val="20"/>
          <w:vertAlign w:val="superscript"/>
          <w:lang w:val="ms-MY"/>
        </w:rPr>
        <w:t>-3</w:t>
      </w:r>
      <w:r w:rsidRPr="00390DE6">
        <w:rPr>
          <w:rFonts w:ascii="Times New Roman" w:hAnsi="Times New Roman"/>
          <w:sz w:val="20"/>
          <w:szCs w:val="20"/>
          <w:lang w:val="ms-MY"/>
        </w:rPr>
        <w:t xml:space="preserve"> yang dibenarkan oleh Jawatankuasa Perlindungan Radiasi Antarabangsa (ICRP) 2009. Didapati dos berkesan tahunan berada antara 0.09 mSv.tahun</w:t>
      </w:r>
      <w:r w:rsidRPr="00390DE6">
        <w:rPr>
          <w:rFonts w:ascii="Times New Roman" w:hAnsi="Times New Roman"/>
          <w:sz w:val="20"/>
          <w:szCs w:val="20"/>
          <w:vertAlign w:val="superscript"/>
          <w:lang w:val="ms-MY"/>
        </w:rPr>
        <w:t>-1</w:t>
      </w:r>
      <w:r w:rsidRPr="00390DE6">
        <w:rPr>
          <w:rFonts w:ascii="Times New Roman" w:hAnsi="Times New Roman"/>
          <w:sz w:val="20"/>
          <w:szCs w:val="20"/>
          <w:lang w:val="ms-MY"/>
        </w:rPr>
        <w:t xml:space="preserve"> dan 0.20 mSv.tahun</w:t>
      </w:r>
      <w:r w:rsidRPr="00390DE6">
        <w:rPr>
          <w:rFonts w:ascii="Times New Roman" w:hAnsi="Times New Roman"/>
          <w:sz w:val="20"/>
          <w:szCs w:val="20"/>
          <w:vertAlign w:val="superscript"/>
          <w:lang w:val="ms-MY"/>
        </w:rPr>
        <w:t>-1</w:t>
      </w:r>
      <w:r w:rsidRPr="00390DE6">
        <w:rPr>
          <w:rFonts w:ascii="Times New Roman" w:hAnsi="Times New Roman"/>
          <w:sz w:val="20"/>
          <w:szCs w:val="20"/>
          <w:lang w:val="ms-MY"/>
        </w:rPr>
        <w:t xml:space="preserve"> lebih rendah berbanding dengan nilai tahunan yang disyorkan oleh ICRP 1993 iaitu 3 hingga 10 mSv.tahun</w:t>
      </w:r>
      <w:r w:rsidRPr="00390DE6">
        <w:rPr>
          <w:rFonts w:ascii="Times New Roman" w:hAnsi="Times New Roman"/>
          <w:sz w:val="20"/>
          <w:szCs w:val="20"/>
          <w:vertAlign w:val="superscript"/>
          <w:lang w:val="ms-MY"/>
        </w:rPr>
        <w:t>-1</w:t>
      </w:r>
      <w:r w:rsidRPr="00390DE6">
        <w:rPr>
          <w:rFonts w:ascii="Times New Roman" w:hAnsi="Times New Roman"/>
          <w:sz w:val="20"/>
          <w:szCs w:val="20"/>
          <w:lang w:val="ms-MY"/>
        </w:rPr>
        <w:t xml:space="preserve">. Justeru, gua rekreasi ini adalah selamat dikunjungi oleh orang awam. </w:t>
      </w:r>
    </w:p>
    <w:p w:rsidR="00390DE6" w:rsidRPr="00390DE6" w:rsidRDefault="00390DE6" w:rsidP="00390DE6">
      <w:pPr>
        <w:spacing w:after="0" w:line="240" w:lineRule="auto"/>
        <w:jc w:val="both"/>
        <w:outlineLvl w:val="0"/>
        <w:rPr>
          <w:rFonts w:ascii="Times New Roman" w:hAnsi="Times New Roman"/>
          <w:color w:val="FF0000"/>
          <w:sz w:val="20"/>
          <w:szCs w:val="20"/>
        </w:rPr>
      </w:pPr>
    </w:p>
    <w:p w:rsidR="00621E3B" w:rsidRDefault="00390DE6" w:rsidP="00390DE6">
      <w:pPr>
        <w:spacing w:after="0" w:line="240" w:lineRule="auto"/>
        <w:jc w:val="both"/>
        <w:outlineLvl w:val="0"/>
        <w:rPr>
          <w:rFonts w:ascii="Times New Roman" w:hAnsi="Times New Roman"/>
          <w:sz w:val="20"/>
          <w:szCs w:val="20"/>
          <w:lang w:val="ms-MY"/>
        </w:rPr>
      </w:pPr>
      <w:r w:rsidRPr="00390DE6">
        <w:rPr>
          <w:rFonts w:ascii="Times New Roman" w:hAnsi="Times New Roman"/>
          <w:b/>
          <w:sz w:val="20"/>
          <w:szCs w:val="20"/>
          <w:lang w:val="ms-MY"/>
        </w:rPr>
        <w:t xml:space="preserve">Kata kunci:  </w:t>
      </w:r>
      <w:r w:rsidRPr="00390DE6">
        <w:rPr>
          <w:rFonts w:ascii="Times New Roman" w:hAnsi="Times New Roman"/>
          <w:sz w:val="20"/>
          <w:szCs w:val="20"/>
          <w:lang w:val="ms-MY"/>
        </w:rPr>
        <w:t>gua batu kapur, kadar pancaran, radon dalaman</w:t>
      </w:r>
    </w:p>
    <w:p w:rsidR="00390DE6" w:rsidRDefault="00390DE6" w:rsidP="00390DE6">
      <w:pPr>
        <w:spacing w:after="0" w:line="240" w:lineRule="auto"/>
        <w:jc w:val="both"/>
        <w:outlineLvl w:val="0"/>
        <w:rPr>
          <w:rFonts w:ascii="Times New Roman" w:hAnsi="Times New Roman"/>
          <w:sz w:val="20"/>
          <w:szCs w:val="20"/>
          <w:lang w:val="ms-MY"/>
        </w:rPr>
      </w:pPr>
    </w:p>
    <w:p w:rsidR="00390DE6" w:rsidRPr="00F447A7" w:rsidRDefault="00390DE6" w:rsidP="00390DE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Elzaher, M. A. (2012). An overview on studying </w:t>
      </w:r>
      <w:r w:rsidRPr="0024187B">
        <w:rPr>
          <w:rFonts w:ascii="Times New Roman" w:hAnsi="Times New Roman"/>
          <w:sz w:val="20"/>
          <w:szCs w:val="20"/>
          <w:vertAlign w:val="superscript"/>
        </w:rPr>
        <w:t>222</w:t>
      </w:r>
      <w:r w:rsidRPr="0024187B">
        <w:rPr>
          <w:rFonts w:ascii="Times New Roman" w:hAnsi="Times New Roman"/>
          <w:sz w:val="20"/>
          <w:szCs w:val="20"/>
        </w:rPr>
        <w:t xml:space="preserve">Rn exhalation rates using passive technique solid-state nuclear track detectors. </w:t>
      </w:r>
      <w:r w:rsidRPr="0024187B">
        <w:rPr>
          <w:rFonts w:ascii="Times New Roman" w:hAnsi="Times New Roman"/>
          <w:i/>
          <w:iCs/>
          <w:sz w:val="20"/>
          <w:szCs w:val="20"/>
        </w:rPr>
        <w:t xml:space="preserve">American Journal of Applied Sciences, </w:t>
      </w:r>
      <w:r w:rsidRPr="0024187B">
        <w:rPr>
          <w:rFonts w:ascii="Times New Roman" w:hAnsi="Times New Roman"/>
          <w:sz w:val="20"/>
          <w:szCs w:val="20"/>
        </w:rPr>
        <w:t>9 (10): 1653-1659.</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Rowan, E. L., and Kraemer, T. F. (2012). Radon-222 content of natural gas samples from upper and middle Devonian sandstone and shale reservoirs in Pennsylvania: Preliminary data. U.S. Geological Survey Open-File Report 2012-1159: pp. 6.</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Saat, A. and Hamzah, Z. (2012). Indoor and outdoor Radon-222 concentration at various locations in Peninsular Malaysia. </w:t>
      </w:r>
      <w:r w:rsidRPr="0024187B">
        <w:rPr>
          <w:rFonts w:ascii="Times New Roman" w:hAnsi="Times New Roman"/>
          <w:i/>
          <w:sz w:val="20"/>
          <w:szCs w:val="20"/>
        </w:rPr>
        <w:t>Proceedings-INTEC Academic Conference</w:t>
      </w:r>
      <w:r w:rsidRPr="0024187B">
        <w:rPr>
          <w:rFonts w:ascii="Times New Roman" w:hAnsi="Times New Roman"/>
          <w:sz w:val="20"/>
          <w:szCs w:val="20"/>
        </w:rPr>
        <w:t xml:space="preserve">, 2012: 48-54. </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Sharma, J., Mahur, A. K., Kumar, R., Varshney, R, Sonkawade, R. G, Swarup, R., Singh, H. and Prasad, R. (2012). Comparative study of indoor radon, thoron with radon exhalation rate in soil samples in some historical places at Jaipur, Rajasthan, India. </w:t>
      </w:r>
      <w:r w:rsidRPr="0024187B">
        <w:rPr>
          <w:rFonts w:ascii="Times New Roman" w:hAnsi="Times New Roman"/>
          <w:i/>
          <w:sz w:val="20"/>
          <w:szCs w:val="20"/>
        </w:rPr>
        <w:t>Advances in Applied Science Research</w:t>
      </w:r>
      <w:r w:rsidRPr="0024187B">
        <w:rPr>
          <w:rFonts w:ascii="Times New Roman" w:hAnsi="Times New Roman"/>
          <w:sz w:val="20"/>
          <w:szCs w:val="20"/>
        </w:rPr>
        <w:t>, 3(2):1085-1091.</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Najam, L. A, Tawfiq, N. F. and Mahmood, R. H. (2013). Radon concentration in some building in Iraq using CR-39 track detector</w:t>
      </w:r>
      <w:r w:rsidRPr="0024187B">
        <w:rPr>
          <w:rFonts w:ascii="Times New Roman" w:hAnsi="Times New Roman"/>
          <w:i/>
          <w:iCs/>
          <w:sz w:val="20"/>
          <w:szCs w:val="20"/>
        </w:rPr>
        <w:t>. International Journal of Physics</w:t>
      </w:r>
      <w:r w:rsidRPr="0024187B">
        <w:rPr>
          <w:rFonts w:ascii="Times New Roman" w:hAnsi="Times New Roman"/>
          <w:sz w:val="20"/>
          <w:szCs w:val="20"/>
        </w:rPr>
        <w:t xml:space="preserve">, 1(3): 73-76. </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International Atomic Energy Agency (2003). Radiation protection against radon in workplaces other than mines. Safety reports series no. 33, IAEA, Vienna.</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Yu, K. N., Nikezic, D., Ng, F. M. F. and Leung, J. K. C. (2005). Long-term measurements of radon progeny concentrations with solid-state nuclear track detectors. </w:t>
      </w:r>
      <w:r w:rsidRPr="0024187B">
        <w:rPr>
          <w:rFonts w:ascii="Times New Roman" w:hAnsi="Times New Roman"/>
          <w:i/>
          <w:iCs/>
          <w:sz w:val="20"/>
          <w:szCs w:val="20"/>
        </w:rPr>
        <w:t xml:space="preserve">Journal of Radiation Measurements, </w:t>
      </w:r>
      <w:r w:rsidRPr="0024187B">
        <w:rPr>
          <w:rFonts w:ascii="Times New Roman" w:hAnsi="Times New Roman"/>
          <w:sz w:val="20"/>
          <w:szCs w:val="20"/>
        </w:rPr>
        <w:t xml:space="preserve">40: 560-568. </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World Health Organization (2009). WHO handbook on indoor radon: A public health perspective. Avenue Appia, 1211 Geneva, Switzerland.</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Oufni, L., Misdaq, M. A. and Amrane, A. (2005). Radon level and radon effective dose rate determination in Moroccan dwellings using SSNTDs. </w:t>
      </w:r>
      <w:r w:rsidRPr="0024187B">
        <w:rPr>
          <w:rFonts w:ascii="Times New Roman" w:hAnsi="Times New Roman"/>
          <w:i/>
          <w:iCs/>
          <w:sz w:val="20"/>
          <w:szCs w:val="20"/>
        </w:rPr>
        <w:t xml:space="preserve">Journal of Radiation Measurements, </w:t>
      </w:r>
      <w:r w:rsidRPr="0024187B">
        <w:rPr>
          <w:rFonts w:ascii="Times New Roman" w:hAnsi="Times New Roman"/>
          <w:sz w:val="20"/>
          <w:szCs w:val="20"/>
        </w:rPr>
        <w:t>40: 118-123.</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Koltai, G., Tegzes, Z. and Hulber, E. (2014). First results of the radon concentration monitoring in Abaliget and Kispaplika Caves. </w:t>
      </w:r>
      <w:r w:rsidRPr="0024187B">
        <w:rPr>
          <w:rFonts w:ascii="Times New Roman" w:hAnsi="Times New Roman"/>
          <w:i/>
          <w:sz w:val="20"/>
          <w:szCs w:val="20"/>
        </w:rPr>
        <w:t>Acta Climatologica et Chorologica,</w:t>
      </w:r>
      <w:r w:rsidRPr="0024187B">
        <w:rPr>
          <w:rFonts w:ascii="Times New Roman" w:hAnsi="Times New Roman"/>
          <w:sz w:val="20"/>
          <w:szCs w:val="20"/>
        </w:rPr>
        <w:t xml:space="preserve"> 47-48: 71-76.</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Ahn, G. H. and Lee, J. K. (2005). Construction of an environmental radon monitoring system using CR-39 nuclear track detectors. </w:t>
      </w:r>
      <w:r w:rsidRPr="0024187B">
        <w:rPr>
          <w:rFonts w:ascii="Times New Roman" w:hAnsi="Times New Roman"/>
          <w:i/>
          <w:sz w:val="20"/>
          <w:szCs w:val="20"/>
        </w:rPr>
        <w:t>Nuclear Engineering and Technology,</w:t>
      </w:r>
      <w:r w:rsidRPr="0024187B">
        <w:rPr>
          <w:rFonts w:ascii="Times New Roman" w:hAnsi="Times New Roman"/>
          <w:sz w:val="20"/>
          <w:szCs w:val="20"/>
        </w:rPr>
        <w:t xml:space="preserve"> 37(4):395-400. </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Maghrabi, A. M., Alzimami, K. and Abo-Elmagd, M. (2014). Estimation of the residential radon levels and the population annual effective dose in dwellings of Al-Kharj, Saudi Arabia. </w:t>
      </w:r>
      <w:r w:rsidRPr="0024187B">
        <w:rPr>
          <w:rFonts w:ascii="Times New Roman" w:hAnsi="Times New Roman"/>
          <w:i/>
          <w:iCs/>
          <w:sz w:val="20"/>
          <w:szCs w:val="20"/>
        </w:rPr>
        <w:t xml:space="preserve">Journal of Radiation Research and Applied Sciences, </w:t>
      </w:r>
      <w:r w:rsidRPr="0024187B">
        <w:rPr>
          <w:rFonts w:ascii="Times New Roman" w:hAnsi="Times New Roman"/>
          <w:sz w:val="20"/>
          <w:szCs w:val="20"/>
        </w:rPr>
        <w:t xml:space="preserve">7: 577-582. </w:t>
      </w:r>
    </w:p>
    <w:p w:rsidR="00390DE6" w:rsidRPr="0024187B" w:rsidRDefault="00F07BE9" w:rsidP="00390DE6">
      <w:pPr>
        <w:pStyle w:val="ListParagraph"/>
        <w:numPr>
          <w:ilvl w:val="0"/>
          <w:numId w:val="1"/>
        </w:numPr>
        <w:spacing w:after="0" w:line="240" w:lineRule="auto"/>
        <w:ind w:left="360"/>
        <w:contextualSpacing w:val="0"/>
        <w:jc w:val="both"/>
        <w:rPr>
          <w:rFonts w:ascii="Times New Roman" w:hAnsi="Times New Roman"/>
          <w:sz w:val="20"/>
          <w:szCs w:val="20"/>
        </w:rPr>
      </w:pPr>
      <w:hyperlink r:id="rId6" w:history="1">
        <w:r w:rsidR="00390DE6" w:rsidRPr="0024187B">
          <w:rPr>
            <w:rFonts w:ascii="Times New Roman" w:hAnsi="Times New Roman"/>
            <w:sz w:val="20"/>
            <w:szCs w:val="20"/>
            <w:lang w:val="en-MY" w:eastAsia="en-MY"/>
          </w:rPr>
          <w:t>Sainz, C</w:t>
        </w:r>
      </w:hyperlink>
      <w:r w:rsidR="00390DE6" w:rsidRPr="0024187B">
        <w:rPr>
          <w:rFonts w:ascii="Times New Roman" w:hAnsi="Times New Roman"/>
          <w:sz w:val="20"/>
          <w:szCs w:val="20"/>
          <w:lang w:val="en-MY" w:eastAsia="en-MY"/>
        </w:rPr>
        <w:t>., </w:t>
      </w:r>
      <w:hyperlink r:id="rId7" w:history="1">
        <w:r w:rsidR="00390DE6" w:rsidRPr="0024187B">
          <w:rPr>
            <w:rFonts w:ascii="Times New Roman" w:hAnsi="Times New Roman"/>
            <w:sz w:val="20"/>
            <w:szCs w:val="20"/>
            <w:lang w:val="en-MY" w:eastAsia="en-MY"/>
          </w:rPr>
          <w:t>Dinu, A</w:t>
        </w:r>
      </w:hyperlink>
      <w:r w:rsidR="00390DE6" w:rsidRPr="0024187B">
        <w:rPr>
          <w:rFonts w:ascii="Times New Roman" w:hAnsi="Times New Roman"/>
          <w:sz w:val="20"/>
          <w:szCs w:val="20"/>
          <w:lang w:val="en-MY" w:eastAsia="en-MY"/>
        </w:rPr>
        <w:t>., </w:t>
      </w:r>
      <w:hyperlink r:id="rId8" w:history="1">
        <w:r w:rsidR="00390DE6" w:rsidRPr="0024187B">
          <w:rPr>
            <w:rFonts w:ascii="Times New Roman" w:hAnsi="Times New Roman"/>
            <w:sz w:val="20"/>
            <w:szCs w:val="20"/>
            <w:lang w:val="en-MY" w:eastAsia="en-MY"/>
          </w:rPr>
          <w:t>Dicu, T</w:t>
        </w:r>
      </w:hyperlink>
      <w:r w:rsidR="00390DE6" w:rsidRPr="0024187B">
        <w:rPr>
          <w:rFonts w:ascii="Times New Roman" w:hAnsi="Times New Roman"/>
          <w:sz w:val="20"/>
          <w:szCs w:val="20"/>
          <w:lang w:val="en-MY" w:eastAsia="en-MY"/>
        </w:rPr>
        <w:t>., </w:t>
      </w:r>
      <w:hyperlink r:id="rId9" w:history="1">
        <w:r w:rsidR="00390DE6" w:rsidRPr="0024187B">
          <w:rPr>
            <w:rFonts w:ascii="Times New Roman" w:hAnsi="Times New Roman"/>
            <w:sz w:val="20"/>
            <w:szCs w:val="20"/>
            <w:lang w:val="en-MY" w:eastAsia="en-MY"/>
          </w:rPr>
          <w:t>Szacsvai, K</w:t>
        </w:r>
      </w:hyperlink>
      <w:r w:rsidR="00390DE6" w:rsidRPr="0024187B">
        <w:rPr>
          <w:rFonts w:ascii="Times New Roman" w:hAnsi="Times New Roman"/>
          <w:sz w:val="20"/>
          <w:szCs w:val="20"/>
          <w:lang w:val="en-MY" w:eastAsia="en-MY"/>
        </w:rPr>
        <w:t>., </w:t>
      </w:r>
      <w:hyperlink r:id="rId10" w:history="1">
        <w:r w:rsidR="00390DE6" w:rsidRPr="0024187B">
          <w:rPr>
            <w:rFonts w:ascii="Times New Roman" w:hAnsi="Times New Roman"/>
            <w:sz w:val="20"/>
            <w:szCs w:val="20"/>
            <w:lang w:val="en-MY" w:eastAsia="en-MY"/>
          </w:rPr>
          <w:t>Cosma, C</w:t>
        </w:r>
      </w:hyperlink>
      <w:r w:rsidR="00390DE6" w:rsidRPr="0024187B">
        <w:rPr>
          <w:rFonts w:ascii="Times New Roman" w:hAnsi="Times New Roman"/>
          <w:sz w:val="20"/>
          <w:szCs w:val="20"/>
          <w:lang w:val="en-MY" w:eastAsia="en-MY"/>
        </w:rPr>
        <w:t>. and </w:t>
      </w:r>
      <w:hyperlink r:id="rId11" w:history="1">
        <w:r w:rsidR="00390DE6" w:rsidRPr="0024187B">
          <w:rPr>
            <w:rFonts w:ascii="Times New Roman" w:hAnsi="Times New Roman"/>
            <w:sz w:val="20"/>
            <w:szCs w:val="20"/>
            <w:lang w:val="en-MY" w:eastAsia="en-MY"/>
          </w:rPr>
          <w:t>Quindos, L.S</w:t>
        </w:r>
      </w:hyperlink>
      <w:r w:rsidR="00390DE6" w:rsidRPr="0024187B">
        <w:rPr>
          <w:rFonts w:ascii="Times New Roman" w:hAnsi="Times New Roman"/>
          <w:sz w:val="20"/>
          <w:szCs w:val="20"/>
          <w:lang w:val="en-MY" w:eastAsia="en-MY"/>
        </w:rPr>
        <w:t xml:space="preserve">. (2009). </w:t>
      </w:r>
      <w:r w:rsidR="00390DE6" w:rsidRPr="0024187B">
        <w:rPr>
          <w:rFonts w:ascii="Times New Roman" w:hAnsi="Times New Roman"/>
          <w:bCs/>
          <w:color w:val="000000"/>
          <w:kern w:val="36"/>
          <w:sz w:val="20"/>
          <w:szCs w:val="20"/>
          <w:lang w:val="en-MY" w:eastAsia="en-MY"/>
        </w:rPr>
        <w:t xml:space="preserve">Comparative risk assessment of residential radon exposures in two radon-prone areas, Stei (Romania) and Torrelodones (Spain). </w:t>
      </w:r>
      <w:r w:rsidR="00390DE6" w:rsidRPr="0024187B">
        <w:rPr>
          <w:rFonts w:ascii="Times New Roman" w:hAnsi="Times New Roman"/>
          <w:bCs/>
          <w:i/>
          <w:color w:val="000000"/>
          <w:kern w:val="36"/>
          <w:sz w:val="20"/>
          <w:szCs w:val="20"/>
          <w:lang w:val="en-MY" w:eastAsia="en-MY"/>
        </w:rPr>
        <w:t xml:space="preserve">Science of the Total Environment, </w:t>
      </w:r>
      <w:r w:rsidR="00390DE6" w:rsidRPr="0024187B">
        <w:rPr>
          <w:rFonts w:ascii="Times New Roman" w:hAnsi="Times New Roman"/>
          <w:color w:val="000000"/>
          <w:sz w:val="20"/>
          <w:szCs w:val="20"/>
          <w:shd w:val="clear" w:color="auto" w:fill="FFFFFF"/>
        </w:rPr>
        <w:t>407(15):4452-4460.</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Mansour, H. L., Tawfiq, N. F., and Karim, M. S. (2014). Indoor radon concentrations measurement in the dwellings of Thi-Qar governorate, Iraqi. </w:t>
      </w:r>
      <w:r w:rsidRPr="0024187B">
        <w:rPr>
          <w:rFonts w:ascii="Times New Roman" w:hAnsi="Times New Roman"/>
          <w:i/>
          <w:sz w:val="20"/>
          <w:szCs w:val="20"/>
        </w:rPr>
        <w:t>Journal of Natural Sciences</w:t>
      </w:r>
      <w:r w:rsidRPr="0024187B">
        <w:rPr>
          <w:rFonts w:ascii="Times New Roman" w:hAnsi="Times New Roman"/>
          <w:sz w:val="20"/>
          <w:szCs w:val="20"/>
        </w:rPr>
        <w:t>, 2(1):19-26.</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Nassiri, P., Ebrahimi, H. and Shalkouhi, J. P. (2011). Evaluation of radon exhalation rate from granite stone. </w:t>
      </w:r>
      <w:r w:rsidRPr="0024187B">
        <w:rPr>
          <w:rFonts w:ascii="Times New Roman" w:hAnsi="Times New Roman"/>
          <w:i/>
          <w:sz w:val="20"/>
          <w:szCs w:val="20"/>
        </w:rPr>
        <w:t>Journal of Scientific &amp; Industrial Research</w:t>
      </w:r>
      <w:r w:rsidRPr="0024187B">
        <w:rPr>
          <w:rFonts w:ascii="Times New Roman" w:hAnsi="Times New Roman"/>
          <w:sz w:val="20"/>
          <w:szCs w:val="20"/>
        </w:rPr>
        <w:t>, 70: 230-231.</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Bohus, L. S, Greaves, E. D, Palfalvi, J, Urbani, F. and Merlo, G. (1997). Radon concentration measurements in Venezuelan caves using SSNTDS. </w:t>
      </w:r>
      <w:r w:rsidRPr="0024187B">
        <w:rPr>
          <w:rFonts w:ascii="Times New Roman" w:hAnsi="Times New Roman"/>
          <w:i/>
          <w:iCs/>
          <w:sz w:val="20"/>
          <w:szCs w:val="20"/>
        </w:rPr>
        <w:t xml:space="preserve">Journal of Radiation Measurement, </w:t>
      </w:r>
      <w:r w:rsidRPr="0024187B">
        <w:rPr>
          <w:rFonts w:ascii="Times New Roman" w:hAnsi="Times New Roman"/>
          <w:sz w:val="20"/>
          <w:szCs w:val="20"/>
        </w:rPr>
        <w:t>28(1-6): 725-728.</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International Commission on Radiological Protection (2009), Statement on Radon. </w:t>
      </w:r>
      <w:r w:rsidRPr="0024187B">
        <w:rPr>
          <w:rFonts w:ascii="Times New Roman" w:hAnsi="Times New Roman"/>
          <w:i/>
          <w:sz w:val="20"/>
          <w:szCs w:val="20"/>
        </w:rPr>
        <w:t>Ref00/902/09,</w:t>
      </w:r>
      <w:r>
        <w:rPr>
          <w:rFonts w:ascii="Times New Roman" w:hAnsi="Times New Roman"/>
          <w:sz w:val="20"/>
          <w:szCs w:val="20"/>
        </w:rPr>
        <w:t xml:space="preserve"> </w:t>
      </w:r>
      <w:r w:rsidRPr="0024187B">
        <w:rPr>
          <w:rFonts w:ascii="Times New Roman" w:hAnsi="Times New Roman"/>
          <w:sz w:val="20"/>
          <w:szCs w:val="20"/>
        </w:rPr>
        <w:t>23(2): 1-44.</w:t>
      </w:r>
    </w:p>
    <w:p w:rsidR="00390DE6" w:rsidRPr="0024187B" w:rsidRDefault="00390DE6" w:rsidP="00390DE6">
      <w:pPr>
        <w:pStyle w:val="ListParagraph"/>
        <w:numPr>
          <w:ilvl w:val="0"/>
          <w:numId w:val="1"/>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International Commission on Radiological Protection (1993). Protection against Radon-222 at home and at work, </w:t>
      </w:r>
      <w:r w:rsidRPr="0024187B">
        <w:rPr>
          <w:rFonts w:ascii="Times New Roman" w:hAnsi="Times New Roman"/>
          <w:i/>
          <w:sz w:val="20"/>
          <w:szCs w:val="20"/>
        </w:rPr>
        <w:t>ICRP Publication</w:t>
      </w:r>
      <w:r w:rsidRPr="0024187B">
        <w:rPr>
          <w:rFonts w:ascii="Times New Roman" w:hAnsi="Times New Roman"/>
          <w:sz w:val="20"/>
          <w:szCs w:val="20"/>
        </w:rPr>
        <w:t xml:space="preserve">, 23(2). </w:t>
      </w:r>
    </w:p>
    <w:p w:rsidR="00390DE6" w:rsidRPr="00390DE6" w:rsidRDefault="00390DE6" w:rsidP="00390DE6">
      <w:pPr>
        <w:pStyle w:val="ListParagraph"/>
        <w:spacing w:after="0" w:line="240" w:lineRule="auto"/>
        <w:ind w:left="360" w:hanging="360"/>
        <w:contextualSpacing w:val="0"/>
        <w:jc w:val="both"/>
        <w:rPr>
          <w:rFonts w:ascii="Times New Roman" w:hAnsi="Times New Roman"/>
          <w:sz w:val="20"/>
          <w:szCs w:val="20"/>
        </w:rPr>
      </w:pPr>
      <w:r w:rsidRPr="0024187B">
        <w:rPr>
          <w:rFonts w:ascii="Times New Roman" w:hAnsi="Times New Roman"/>
          <w:sz w:val="20"/>
          <w:szCs w:val="20"/>
        </w:rPr>
        <w:t xml:space="preserve"> </w:t>
      </w:r>
    </w:p>
    <w:sectPr w:rsidR="00390DE6" w:rsidRPr="00390DE6" w:rsidSect="00390DE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82BDB"/>
    <w:multiLevelType w:val="hybridMultilevel"/>
    <w:tmpl w:val="05B438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E6"/>
    <w:rsid w:val="00390DE6"/>
    <w:rsid w:val="00621E3B"/>
    <w:rsid w:val="00D0718B"/>
    <w:rsid w:val="00D40B1F"/>
    <w:rsid w:val="00F0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E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qFormat/>
    <w:rsid w:val="00390DE6"/>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390DE6"/>
    <w:pPr>
      <w:spacing w:after="0" w:line="240" w:lineRule="auto"/>
      <w:jc w:val="center"/>
    </w:pPr>
    <w:rPr>
      <w:rFonts w:ascii="Times New Roman" w:hAnsi="Times New Roman"/>
      <w:noProof/>
      <w:sz w:val="18"/>
      <w:szCs w:val="18"/>
      <w:lang w:val="en-GB" w:bidi="ar-SA"/>
    </w:rPr>
  </w:style>
  <w:style w:type="paragraph" w:styleId="ListParagraph">
    <w:name w:val="List Paragraph"/>
    <w:basedOn w:val="Normal"/>
    <w:uiPriority w:val="34"/>
    <w:qFormat/>
    <w:rsid w:val="00390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E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qFormat/>
    <w:rsid w:val="00390DE6"/>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390DE6"/>
    <w:pPr>
      <w:spacing w:after="0" w:line="240" w:lineRule="auto"/>
      <w:jc w:val="center"/>
    </w:pPr>
    <w:rPr>
      <w:rFonts w:ascii="Times New Roman" w:hAnsi="Times New Roman"/>
      <w:noProof/>
      <w:sz w:val="18"/>
      <w:szCs w:val="18"/>
      <w:lang w:val="en-GB" w:bidi="ar-SA"/>
    </w:rPr>
  </w:style>
  <w:style w:type="paragraph" w:styleId="ListParagraph">
    <w:name w:val="List Paragraph"/>
    <w:basedOn w:val="Normal"/>
    <w:uiPriority w:val="34"/>
    <w:qFormat/>
    <w:rsid w:val="0039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Dicu%20T%5BAuthor%5D&amp;cauthor=true&amp;cauthor_uid=1942805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cbi.nlm.nih.gov/pubmed/?term=Dinu%20A%5BAuthor%5D&amp;cauthor=true&amp;cauthor_uid=194280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Sainz%20C%5BAuthor%5D&amp;cauthor=true&amp;cauthor_uid=19428051" TargetMode="External"/><Relationship Id="rId11" Type="http://schemas.openxmlformats.org/officeDocument/2006/relationships/hyperlink" Target="https://www.ncbi.nlm.nih.gov/pubmed/?term=Quind%C3%B3s%20LS%5BAuthor%5D&amp;cauthor=true&amp;cauthor_uid=19428051" TargetMode="External"/><Relationship Id="rId5" Type="http://schemas.openxmlformats.org/officeDocument/2006/relationships/webSettings" Target="webSettings.xml"/><Relationship Id="rId10" Type="http://schemas.openxmlformats.org/officeDocument/2006/relationships/hyperlink" Target="https://www.ncbi.nlm.nih.gov/pubmed/?term=Cosma%20C%5BAuthor%5D&amp;cauthor=true&amp;cauthor_uid=19428051" TargetMode="External"/><Relationship Id="rId4" Type="http://schemas.openxmlformats.org/officeDocument/2006/relationships/settings" Target="settings.xml"/><Relationship Id="rId9" Type="http://schemas.openxmlformats.org/officeDocument/2006/relationships/hyperlink" Target="https://www.ncbi.nlm.nih.gov/pubmed/?term=Szacsvai%20K%5BAuthor%5D&amp;cauthor=true&amp;cauthor_uid=19428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1284</Words>
  <Characters>6664</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2018-06-05T22:39:00Z</dcterms:created>
  <dcterms:modified xsi:type="dcterms:W3CDTF">2018-06-05T22:44:00Z</dcterms:modified>
</cp:coreProperties>
</file>