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A6D99" w:rsidRPr="003A6B89" w:rsidRDefault="007A6D99" w:rsidP="007A6D99">
      <w:pPr>
        <w:pStyle w:val="PaperTitle"/>
        <w:tabs>
          <w:tab w:val="left" w:pos="5742"/>
        </w:tabs>
        <w:spacing w:after="0"/>
        <w:rPr>
          <w:b w:val="0"/>
        </w:rPr>
      </w:pPr>
      <w:r w:rsidRPr="003A6B89">
        <w:rPr>
          <w:b w:val="0"/>
        </w:rPr>
        <w:t>COMPARATIVE STUDY OF MICROBIAL FUEL CELL’S PERFORMANCE USING THREE DIFFERENT ELECTRODES</w:t>
      </w:r>
    </w:p>
    <w:p w:rsidR="007A6D99" w:rsidRPr="007A6D99" w:rsidRDefault="007A6D99" w:rsidP="007A6D99">
      <w:pPr>
        <w:pStyle w:val="PaperTitle"/>
        <w:spacing w:after="0"/>
        <w:rPr>
          <w:b w:val="0"/>
          <w:sz w:val="24"/>
          <w:szCs w:val="24"/>
        </w:rPr>
      </w:pPr>
    </w:p>
    <w:p w:rsidR="007A6D99" w:rsidRPr="007A6D99" w:rsidRDefault="007A6D99" w:rsidP="007A6D99">
      <w:pPr>
        <w:pStyle w:val="PaperTitle"/>
        <w:spacing w:after="0"/>
        <w:rPr>
          <w:b w:val="0"/>
          <w:sz w:val="24"/>
          <w:szCs w:val="18"/>
          <w:lang w:val="ms-MY" w:eastAsia="en-GB"/>
        </w:rPr>
      </w:pPr>
      <w:r w:rsidRPr="003A6B89">
        <w:rPr>
          <w:b w:val="0"/>
          <w:sz w:val="24"/>
          <w:szCs w:val="18"/>
          <w:lang w:eastAsia="en-GB"/>
        </w:rPr>
        <w:t>(</w:t>
      </w:r>
      <w:r w:rsidRPr="003A6B89">
        <w:rPr>
          <w:b w:val="0"/>
          <w:sz w:val="24"/>
          <w:szCs w:val="18"/>
          <w:lang w:val="ms-MY" w:eastAsia="en-GB"/>
        </w:rPr>
        <w:t>Kajian Perbandingan Bagi Prestasi Sel Bahan Bakar Mikrob Menggunakan</w:t>
      </w:r>
      <w:r>
        <w:rPr>
          <w:b w:val="0"/>
          <w:sz w:val="24"/>
          <w:szCs w:val="18"/>
          <w:lang w:val="ms-MY" w:eastAsia="en-GB"/>
        </w:rPr>
        <w:t xml:space="preserve"> </w:t>
      </w:r>
      <w:r w:rsidRPr="003A6B89">
        <w:rPr>
          <w:b w:val="0"/>
          <w:sz w:val="24"/>
          <w:szCs w:val="18"/>
          <w:lang w:val="ms-MY" w:eastAsia="en-GB"/>
        </w:rPr>
        <w:t>Tiga Elektrod yang Berbeza</w:t>
      </w:r>
      <w:r w:rsidRPr="003A6B89">
        <w:rPr>
          <w:b w:val="0"/>
          <w:sz w:val="24"/>
          <w:szCs w:val="18"/>
          <w:lang w:eastAsia="en-GB"/>
        </w:rPr>
        <w:t>)</w:t>
      </w:r>
    </w:p>
    <w:p w:rsidR="007A6D99" w:rsidRPr="007A6D99" w:rsidRDefault="007A6D99" w:rsidP="007A6D99">
      <w:pPr>
        <w:pStyle w:val="email"/>
        <w:rPr>
          <w:rFonts w:ascii="Times New Roman" w:hAnsi="Times New Roman"/>
          <w:sz w:val="20"/>
          <w:szCs w:val="20"/>
          <w:u w:val="single"/>
        </w:rPr>
      </w:pPr>
    </w:p>
    <w:p w:rsidR="007A6D99" w:rsidRDefault="007A6D99" w:rsidP="007A6D99">
      <w:pPr>
        <w:spacing w:after="0" w:line="240" w:lineRule="auto"/>
        <w:jc w:val="center"/>
        <w:rPr>
          <w:rFonts w:ascii="Times New Roman" w:hAnsi="Times New Roman"/>
          <w:bCs/>
          <w:sz w:val="20"/>
          <w:szCs w:val="24"/>
        </w:rPr>
      </w:pPr>
      <w:r w:rsidRPr="003A6B89">
        <w:rPr>
          <w:rFonts w:ascii="Times New Roman" w:hAnsi="Times New Roman"/>
          <w:bCs/>
          <w:sz w:val="20"/>
          <w:szCs w:val="24"/>
        </w:rPr>
        <w:t>Khairul Baqir Alkhair</w:t>
      </w:r>
      <w:r w:rsidRPr="003A6B89">
        <w:rPr>
          <w:rFonts w:ascii="Times New Roman" w:hAnsi="Times New Roman"/>
          <w:bCs/>
          <w:sz w:val="20"/>
          <w:szCs w:val="24"/>
          <w:vertAlign w:val="superscript"/>
        </w:rPr>
        <w:t>1,3</w:t>
      </w:r>
      <w:r w:rsidRPr="007A6D99">
        <w:rPr>
          <w:rFonts w:ascii="Times New Roman" w:hAnsi="Times New Roman"/>
          <w:bCs/>
          <w:sz w:val="20"/>
          <w:szCs w:val="24"/>
        </w:rPr>
        <w:t>*</w:t>
      </w:r>
      <w:r w:rsidRPr="003A6B89">
        <w:rPr>
          <w:rFonts w:ascii="Times New Roman" w:hAnsi="Times New Roman"/>
          <w:bCs/>
          <w:sz w:val="20"/>
          <w:szCs w:val="24"/>
        </w:rPr>
        <w:t>, Oskar Hasdinor Hassan</w:t>
      </w:r>
      <w:r w:rsidRPr="003A6B89">
        <w:rPr>
          <w:rFonts w:ascii="Times New Roman" w:hAnsi="Times New Roman"/>
          <w:bCs/>
          <w:sz w:val="20"/>
          <w:szCs w:val="24"/>
          <w:vertAlign w:val="superscript"/>
        </w:rPr>
        <w:t>2</w:t>
      </w:r>
      <w:r w:rsidRPr="003A6B89">
        <w:rPr>
          <w:rFonts w:ascii="Times New Roman" w:hAnsi="Times New Roman"/>
          <w:bCs/>
          <w:sz w:val="20"/>
          <w:szCs w:val="24"/>
        </w:rPr>
        <w:t>, Sharifah Aminah Syed Mohamed</w:t>
      </w:r>
      <w:r w:rsidRPr="003A6B89">
        <w:rPr>
          <w:rFonts w:ascii="Times New Roman" w:hAnsi="Times New Roman"/>
          <w:bCs/>
          <w:sz w:val="20"/>
          <w:szCs w:val="24"/>
          <w:vertAlign w:val="superscript"/>
        </w:rPr>
        <w:t>1</w:t>
      </w:r>
      <w:r w:rsidRPr="003A6B89">
        <w:rPr>
          <w:rFonts w:ascii="Times New Roman" w:hAnsi="Times New Roman"/>
          <w:bCs/>
          <w:sz w:val="20"/>
          <w:szCs w:val="24"/>
        </w:rPr>
        <w:t>,Yap Kian Chung Andrew</w:t>
      </w:r>
      <w:r w:rsidRPr="003A6B89">
        <w:rPr>
          <w:rFonts w:ascii="Times New Roman" w:hAnsi="Times New Roman"/>
          <w:bCs/>
          <w:sz w:val="20"/>
          <w:szCs w:val="24"/>
          <w:vertAlign w:val="superscript"/>
        </w:rPr>
        <w:t>3</w:t>
      </w:r>
      <w:r w:rsidRPr="003A6B89">
        <w:rPr>
          <w:rFonts w:ascii="Times New Roman" w:hAnsi="Times New Roman"/>
          <w:bCs/>
          <w:sz w:val="20"/>
          <w:szCs w:val="24"/>
        </w:rPr>
        <w:t>, Zulkifli Ab. Rahman</w:t>
      </w:r>
      <w:r w:rsidRPr="003A6B89">
        <w:rPr>
          <w:rFonts w:ascii="Times New Roman" w:hAnsi="Times New Roman"/>
          <w:bCs/>
          <w:sz w:val="20"/>
          <w:szCs w:val="24"/>
          <w:vertAlign w:val="superscript"/>
        </w:rPr>
        <w:t>3</w:t>
      </w:r>
      <w:r w:rsidRPr="003A6B89">
        <w:rPr>
          <w:rFonts w:ascii="Times New Roman" w:hAnsi="Times New Roman"/>
          <w:bCs/>
          <w:sz w:val="20"/>
          <w:szCs w:val="24"/>
        </w:rPr>
        <w:t>, Tunku Ishak Tunku Kudin</w:t>
      </w:r>
      <w:r w:rsidRPr="003A6B89">
        <w:rPr>
          <w:rFonts w:ascii="Times New Roman" w:hAnsi="Times New Roman"/>
          <w:bCs/>
          <w:sz w:val="20"/>
          <w:szCs w:val="24"/>
          <w:vertAlign w:val="superscript"/>
        </w:rPr>
        <w:t>1</w:t>
      </w:r>
      <w:r w:rsidRPr="003A6B89">
        <w:rPr>
          <w:rFonts w:ascii="Times New Roman" w:hAnsi="Times New Roman"/>
          <w:bCs/>
          <w:sz w:val="20"/>
          <w:szCs w:val="24"/>
        </w:rPr>
        <w:t>,Ab. Malik Marwan Ali</w:t>
      </w:r>
      <w:r w:rsidRPr="003A6B89">
        <w:rPr>
          <w:rFonts w:ascii="Times New Roman" w:hAnsi="Times New Roman"/>
          <w:bCs/>
          <w:sz w:val="20"/>
          <w:szCs w:val="24"/>
          <w:vertAlign w:val="superscript"/>
        </w:rPr>
        <w:t>1,4</w:t>
      </w:r>
      <w:r w:rsidRPr="003A6B89">
        <w:rPr>
          <w:rFonts w:ascii="Times New Roman" w:hAnsi="Times New Roman"/>
          <w:bCs/>
          <w:sz w:val="20"/>
          <w:szCs w:val="24"/>
        </w:rPr>
        <w:t>, Mohd Zu Azhan Yahya</w:t>
      </w:r>
      <w:r w:rsidRPr="003A6B89">
        <w:rPr>
          <w:rFonts w:ascii="Times New Roman" w:hAnsi="Times New Roman"/>
          <w:bCs/>
          <w:sz w:val="20"/>
          <w:szCs w:val="24"/>
          <w:vertAlign w:val="superscript"/>
        </w:rPr>
        <w:t>5</w:t>
      </w:r>
      <w:r w:rsidRPr="003A6B89">
        <w:rPr>
          <w:rFonts w:ascii="Times New Roman" w:hAnsi="Times New Roman"/>
          <w:bCs/>
          <w:sz w:val="20"/>
          <w:szCs w:val="24"/>
        </w:rPr>
        <w:t>,</w:t>
      </w:r>
    </w:p>
    <w:p w:rsidR="007A6D99" w:rsidRPr="003A6B89" w:rsidRDefault="007A6D99" w:rsidP="007A6D99">
      <w:pPr>
        <w:spacing w:after="0" w:line="240" w:lineRule="auto"/>
        <w:jc w:val="center"/>
        <w:rPr>
          <w:rFonts w:ascii="Times New Roman" w:hAnsi="Times New Roman"/>
          <w:bCs/>
          <w:sz w:val="20"/>
          <w:szCs w:val="24"/>
        </w:rPr>
      </w:pPr>
      <w:r w:rsidRPr="003A6B89">
        <w:rPr>
          <w:rFonts w:ascii="Times New Roman" w:hAnsi="Times New Roman"/>
          <w:bCs/>
          <w:sz w:val="20"/>
          <w:szCs w:val="24"/>
        </w:rPr>
        <w:t xml:space="preserve"> Muhammad Haikal Zainal</w:t>
      </w:r>
      <w:r w:rsidRPr="003A6B89">
        <w:rPr>
          <w:rFonts w:ascii="Times New Roman" w:hAnsi="Times New Roman"/>
          <w:bCs/>
          <w:sz w:val="20"/>
          <w:szCs w:val="24"/>
          <w:vertAlign w:val="superscript"/>
        </w:rPr>
        <w:t>1</w:t>
      </w:r>
    </w:p>
    <w:p w:rsidR="007A6D99" w:rsidRPr="003A6B89" w:rsidRDefault="007A6D99" w:rsidP="007A6D99">
      <w:pPr>
        <w:spacing w:after="0" w:line="240" w:lineRule="auto"/>
        <w:jc w:val="center"/>
        <w:rPr>
          <w:rFonts w:ascii="Times New Roman" w:hAnsi="Times New Roman"/>
          <w:bCs/>
          <w:sz w:val="20"/>
          <w:szCs w:val="24"/>
          <w:vertAlign w:val="superscript"/>
        </w:rPr>
      </w:pP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vertAlign w:val="superscript"/>
        </w:rPr>
        <w:t>1</w:t>
      </w:r>
      <w:r>
        <w:rPr>
          <w:rFonts w:ascii="Times New Roman" w:hAnsi="Times New Roman"/>
          <w:i/>
          <w:sz w:val="18"/>
          <w:szCs w:val="24"/>
        </w:rPr>
        <w:t>Faculty of Applied Science</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vertAlign w:val="superscript"/>
        </w:rPr>
        <w:t>2</w:t>
      </w:r>
      <w:r>
        <w:rPr>
          <w:rFonts w:ascii="Times New Roman" w:hAnsi="Times New Roman"/>
          <w:i/>
          <w:sz w:val="18"/>
          <w:szCs w:val="24"/>
        </w:rPr>
        <w:t>Faculty of Art and Design</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rPr>
        <w:t>Universiti Teknologi MARA, 40450 Shah Alam, Selangor, Malaysia</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vertAlign w:val="superscript"/>
        </w:rPr>
        <w:t>3</w:t>
      </w:r>
      <w:r w:rsidRPr="003A6B89">
        <w:rPr>
          <w:rFonts w:ascii="Times New Roman" w:hAnsi="Times New Roman"/>
          <w:i/>
          <w:sz w:val="18"/>
          <w:szCs w:val="24"/>
        </w:rPr>
        <w:t>Milling and Processing Unit, Enginering and Processing Research Division,</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rPr>
        <w:t>Malaysian Palm Oil Board, 43000 Kajang, Selangor, Malaysia</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vertAlign w:val="superscript"/>
        </w:rPr>
        <w:t>4</w:t>
      </w:r>
      <w:r w:rsidRPr="003A6B89">
        <w:rPr>
          <w:rFonts w:ascii="Times New Roman" w:hAnsi="Times New Roman"/>
          <w:i/>
          <w:sz w:val="18"/>
          <w:szCs w:val="24"/>
        </w:rPr>
        <w:t>Institute of Science,</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rPr>
        <w:t>Universiti Teknologi MARA, 40450 Shah Alam, Selangor, Malaysia</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vertAlign w:val="superscript"/>
        </w:rPr>
        <w:t>5</w:t>
      </w:r>
      <w:r w:rsidRPr="003A6B89">
        <w:rPr>
          <w:rFonts w:ascii="Times New Roman" w:hAnsi="Times New Roman"/>
          <w:i/>
          <w:sz w:val="18"/>
          <w:szCs w:val="24"/>
        </w:rPr>
        <w:t>Faculty of Defence Science and Technology,</w:t>
      </w:r>
    </w:p>
    <w:p w:rsidR="007A6D99" w:rsidRPr="003A6B89" w:rsidRDefault="007A6D99" w:rsidP="007A6D99">
      <w:pPr>
        <w:spacing w:after="0" w:line="240" w:lineRule="auto"/>
        <w:jc w:val="center"/>
        <w:rPr>
          <w:rFonts w:ascii="Times New Roman" w:hAnsi="Times New Roman"/>
          <w:i/>
          <w:sz w:val="18"/>
          <w:szCs w:val="24"/>
        </w:rPr>
      </w:pPr>
      <w:r w:rsidRPr="003A6B89">
        <w:rPr>
          <w:rFonts w:ascii="Times New Roman" w:hAnsi="Times New Roman"/>
          <w:i/>
          <w:sz w:val="18"/>
          <w:szCs w:val="24"/>
        </w:rPr>
        <w:t>Universiti Pertahanan Nasional Malaysia, 57000 Sungai Besi, Kuala Lumpur, Malaysia</w:t>
      </w:r>
    </w:p>
    <w:p w:rsidR="007A6D99" w:rsidRPr="003A6B89" w:rsidRDefault="007A6D99" w:rsidP="007A6D99">
      <w:pPr>
        <w:pStyle w:val="email"/>
        <w:rPr>
          <w:rFonts w:ascii="Times New Roman" w:hAnsi="Times New Roman"/>
          <w:i/>
        </w:rPr>
      </w:pPr>
    </w:p>
    <w:p w:rsidR="007A6D99" w:rsidRPr="003A6B89" w:rsidRDefault="007A6D99" w:rsidP="007A6D99">
      <w:pPr>
        <w:pStyle w:val="email"/>
        <w:rPr>
          <w:rFonts w:ascii="Times New Roman" w:hAnsi="Times New Roman"/>
          <w:i/>
        </w:rPr>
      </w:pPr>
      <w:r w:rsidRPr="003A6B89">
        <w:rPr>
          <w:rFonts w:ascii="Times New Roman" w:hAnsi="Times New Roman"/>
          <w:i/>
        </w:rPr>
        <w:t>*Corresponding author:</w:t>
      </w:r>
      <w:r>
        <w:rPr>
          <w:rFonts w:ascii="Times New Roman" w:hAnsi="Times New Roman"/>
          <w:i/>
        </w:rPr>
        <w:t xml:space="preserve">  </w:t>
      </w:r>
      <w:r w:rsidRPr="003A6B89">
        <w:rPr>
          <w:rFonts w:ascii="Times New Roman" w:hAnsi="Times New Roman"/>
          <w:i/>
        </w:rPr>
        <w:t>oskar@salam.uitm.edu.my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710E5">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8710E5">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A6D99" w:rsidRDefault="007A6D99" w:rsidP="007A6D99">
      <w:pPr>
        <w:spacing w:after="0" w:line="240" w:lineRule="auto"/>
        <w:jc w:val="both"/>
        <w:rPr>
          <w:rFonts w:ascii="Times New Roman" w:hAnsi="Times New Roman"/>
          <w:sz w:val="18"/>
          <w:szCs w:val="18"/>
        </w:rPr>
      </w:pPr>
      <w:r w:rsidRPr="003A6B89">
        <w:rPr>
          <w:rFonts w:ascii="Times New Roman" w:hAnsi="Times New Roman"/>
          <w:sz w:val="18"/>
          <w:szCs w:val="18"/>
        </w:rPr>
        <w:t xml:space="preserve">Microbial Fuel Cell (MFC) is an alternative method of renewable energy which have gained considerable attention due to its capability to generate electricity and treat wastewater such as palm oil mill effluent (POME). MFC’s mechanism on its electrochemical process is still lacking and further studies is needed. The objectives of this study are (1) to determine the compatibility of MFC device in generating electricity by using three different electrodes and (2) to study the effect of sodium hydroxide (NaOH) to MFC’s performance. In this work, the MFC device is associated with 3 different electrodes which are </w:t>
      </w:r>
      <w:bookmarkStart w:id="0" w:name="_Hlk516304918"/>
      <w:r w:rsidRPr="003A6B89">
        <w:rPr>
          <w:rFonts w:ascii="Times New Roman" w:hAnsi="Times New Roman"/>
          <w:sz w:val="18"/>
          <w:szCs w:val="18"/>
        </w:rPr>
        <w:t xml:space="preserve">carbon brush (CB), carbon cloth (CC) and pre-treated carbon cloth (PCC) </w:t>
      </w:r>
      <w:bookmarkEnd w:id="0"/>
      <w:r w:rsidRPr="003A6B89">
        <w:rPr>
          <w:rFonts w:ascii="Times New Roman" w:hAnsi="Times New Roman"/>
          <w:sz w:val="18"/>
          <w:szCs w:val="18"/>
        </w:rPr>
        <w:t>on its anode chamber. There are 2 types of substrates used in this experiment which are POME with the presence of bacteria (POME+) and POME without bacteria in it (POME-). The experiment was carried out for 120 hours and its power generation was monitored. The experimental result shows that PCC with POME+ yielded the highest power density of 49.88 mW/m</w:t>
      </w:r>
      <w:r w:rsidRPr="003A6B89">
        <w:rPr>
          <w:rFonts w:ascii="Times New Roman" w:hAnsi="Times New Roman"/>
          <w:sz w:val="18"/>
          <w:szCs w:val="18"/>
          <w:vertAlign w:val="superscript"/>
        </w:rPr>
        <w:t>2</w:t>
      </w:r>
      <w:r w:rsidRPr="003A6B89">
        <w:rPr>
          <w:rFonts w:ascii="Times New Roman" w:hAnsi="Times New Roman"/>
          <w:sz w:val="18"/>
          <w:szCs w:val="18"/>
        </w:rPr>
        <w:t xml:space="preserve"> at 27 hours as compared to the others. In addition, CC with POME- has the highest chemical oxygen demand (COD) deduction which indicates the POME treatment was deducted by 45.93%. NaOH affected the performance of MFC but is insignificant to influence the redox reaction of MFC.</w:t>
      </w:r>
    </w:p>
    <w:p w:rsidR="007A6D99" w:rsidRPr="007A6D99" w:rsidRDefault="007A6D99" w:rsidP="007A6D99">
      <w:pPr>
        <w:spacing w:after="0" w:line="240" w:lineRule="auto"/>
        <w:jc w:val="both"/>
        <w:rPr>
          <w:rFonts w:ascii="Times New Roman" w:hAnsi="Times New Roman"/>
          <w:sz w:val="18"/>
          <w:szCs w:val="18"/>
        </w:rPr>
      </w:pPr>
    </w:p>
    <w:p w:rsidR="007A6D99" w:rsidRPr="003A6B89" w:rsidRDefault="007A6D99" w:rsidP="007A6D99">
      <w:pPr>
        <w:pStyle w:val="Abstract"/>
        <w:spacing w:before="0"/>
        <w:ind w:left="0" w:right="380"/>
        <w:rPr>
          <w:szCs w:val="18"/>
        </w:rPr>
      </w:pPr>
      <w:r w:rsidRPr="003A6B89">
        <w:rPr>
          <w:b/>
          <w:szCs w:val="18"/>
        </w:rPr>
        <w:t>Keywords:</w:t>
      </w:r>
      <w:r w:rsidRPr="003A6B89">
        <w:rPr>
          <w:szCs w:val="18"/>
        </w:rPr>
        <w:t xml:space="preserve"> </w:t>
      </w:r>
      <w:r>
        <w:rPr>
          <w:szCs w:val="18"/>
        </w:rPr>
        <w:t xml:space="preserve"> </w:t>
      </w:r>
      <w:r w:rsidRPr="003A6B89">
        <w:rPr>
          <w:szCs w:val="18"/>
        </w:rPr>
        <w:t xml:space="preserve">bio-electricity, fuel cell, wastewater treatment </w:t>
      </w:r>
    </w:p>
    <w:p w:rsidR="007A6D99" w:rsidRPr="003A6B89" w:rsidRDefault="007A6D99" w:rsidP="007A6D99">
      <w:pPr>
        <w:spacing w:after="0" w:line="240" w:lineRule="auto"/>
        <w:jc w:val="center"/>
        <w:rPr>
          <w:rFonts w:ascii="Times New Roman" w:hAnsi="Times New Roman"/>
          <w:sz w:val="18"/>
          <w:szCs w:val="18"/>
        </w:rPr>
      </w:pPr>
    </w:p>
    <w:p w:rsidR="007A6D99" w:rsidRPr="003A6B89" w:rsidRDefault="007A6D99" w:rsidP="007A6D99">
      <w:pPr>
        <w:spacing w:after="0" w:line="240" w:lineRule="auto"/>
        <w:jc w:val="center"/>
        <w:rPr>
          <w:rFonts w:ascii="Times New Roman" w:hAnsi="Times New Roman"/>
          <w:b/>
          <w:sz w:val="18"/>
          <w:szCs w:val="18"/>
          <w:lang w:val="ms-MY"/>
        </w:rPr>
      </w:pPr>
      <w:r w:rsidRPr="003A6B89">
        <w:rPr>
          <w:rFonts w:ascii="Times New Roman" w:hAnsi="Times New Roman"/>
          <w:b/>
          <w:sz w:val="18"/>
          <w:szCs w:val="18"/>
          <w:lang w:val="ms-MY"/>
        </w:rPr>
        <w:t>Abstrak</w:t>
      </w:r>
    </w:p>
    <w:p w:rsidR="007A6D99" w:rsidRPr="003A6B89" w:rsidRDefault="007A6D99" w:rsidP="007A6D99">
      <w:pPr>
        <w:spacing w:after="0" w:line="240" w:lineRule="auto"/>
        <w:jc w:val="both"/>
        <w:rPr>
          <w:rFonts w:ascii="Times New Roman" w:hAnsi="Times New Roman"/>
          <w:sz w:val="18"/>
          <w:szCs w:val="18"/>
          <w:lang w:val="ms-MY"/>
        </w:rPr>
      </w:pPr>
      <w:r w:rsidRPr="003A6B89">
        <w:rPr>
          <w:rFonts w:ascii="Times New Roman" w:hAnsi="Times New Roman"/>
          <w:sz w:val="18"/>
          <w:szCs w:val="18"/>
          <w:lang w:val="ms-MY"/>
        </w:rPr>
        <w:t xml:space="preserve">Sel Bahan Bakar Mikrob (MFC) merupakan kaedah alternatif tenaga boleh diperbaharui yang mendapat perhatian yang baik kerana kemampuannya menjana elektrik dan merawat air kumbahan seperti sisa kilang minyak sawit (POME). Mekanisma MFC bagi proses elektrokimia masih kurang dan kajian lanjut diperlukan. Objektif kajian ini adalah (1) menentukan kesesuaian peranti MFC dalam menghasilkan elektrik dengan menggunakan tiga elektrod yang berbeza dan (2) untuk mengkaji kesan natrium hidroksida (NaOH) kepada prestasi MFC. Dalam kerja ini, peranti MFC dikaitkan dengan 3 elektroda yang berbeza iaitu berus karbon (CB), kain karbon (CC) dan pra rawatan kain karbon (PCC) di ruang anodnya. Terdapat 2 jenis substrat yang digunakan dalam eksperimen ini iaitu POME dengan kehadiran bakteria (POME+) dan POME tanpa bakteria di dalamnya (POME-). </w:t>
      </w:r>
      <w:r w:rsidRPr="003A6B89">
        <w:rPr>
          <w:rFonts w:ascii="Times New Roman" w:hAnsi="Times New Roman"/>
          <w:sz w:val="18"/>
          <w:szCs w:val="18"/>
          <w:lang w:val="ms-MY"/>
        </w:rPr>
        <w:lastRenderedPageBreak/>
        <w:t>Eksperimen ini dijalankan selama 120 jam dan penjanaan kuasanya dipantau. Keputusan eksperimen menunjukkan bahawa PCC dengan POME+ menghasilkan ketumpatan kuasa tertinggi 49.88 mW/m</w:t>
      </w:r>
      <w:r w:rsidRPr="003A6B89">
        <w:rPr>
          <w:rFonts w:ascii="Times New Roman" w:hAnsi="Times New Roman"/>
          <w:sz w:val="18"/>
          <w:szCs w:val="18"/>
          <w:vertAlign w:val="superscript"/>
          <w:lang w:val="ms-MY"/>
        </w:rPr>
        <w:t xml:space="preserve">2 </w:t>
      </w:r>
      <w:r w:rsidRPr="003A6B89">
        <w:rPr>
          <w:rFonts w:ascii="Times New Roman" w:hAnsi="Times New Roman"/>
          <w:sz w:val="18"/>
          <w:szCs w:val="18"/>
          <w:lang w:val="ms-MY"/>
        </w:rPr>
        <w:t>pada 27 jam berbanding yang lain. Di samping itu, CC dengan POME- mempunyai permintaan oksigen kimia (COD) tertinggi yang menunjukkan rawatan POME berjaya sebanyak 45.93%. NaOH mempengaruhi prestasi MFC tetapi tidak signifikan untuk mempengaruhi tindak balas redoks MFC.</w:t>
      </w:r>
    </w:p>
    <w:p w:rsidR="007A6D99" w:rsidRPr="003A6B89" w:rsidRDefault="007A6D99" w:rsidP="007A6D99">
      <w:pPr>
        <w:spacing w:after="0" w:line="240" w:lineRule="auto"/>
        <w:jc w:val="both"/>
        <w:rPr>
          <w:rFonts w:ascii="Times New Roman" w:hAnsi="Times New Roman"/>
          <w:sz w:val="18"/>
          <w:szCs w:val="18"/>
          <w:lang w:val="ms-MY"/>
        </w:rPr>
      </w:pPr>
    </w:p>
    <w:p w:rsidR="006768E9" w:rsidRDefault="007A6D99" w:rsidP="007A6D99">
      <w:pPr>
        <w:spacing w:after="0" w:line="240" w:lineRule="auto"/>
        <w:jc w:val="both"/>
        <w:rPr>
          <w:rFonts w:ascii="Times New Roman" w:hAnsi="Times New Roman"/>
          <w:noProof/>
          <w:sz w:val="20"/>
          <w:szCs w:val="20"/>
          <w:lang w:bidi="ar-SA"/>
        </w:rPr>
      </w:pPr>
      <w:r w:rsidRPr="003A6B89">
        <w:rPr>
          <w:rFonts w:ascii="Times New Roman" w:hAnsi="Times New Roman"/>
          <w:b/>
          <w:sz w:val="18"/>
          <w:szCs w:val="18"/>
          <w:lang w:val="ms-MY"/>
        </w:rPr>
        <w:t>Kata kunci:</w:t>
      </w:r>
      <w:r w:rsidRPr="003A6B89">
        <w:rPr>
          <w:rFonts w:ascii="Times New Roman" w:hAnsi="Times New Roman"/>
          <w:sz w:val="18"/>
          <w:szCs w:val="18"/>
          <w:lang w:val="ms-MY"/>
        </w:rPr>
        <w:t xml:space="preserve"> </w:t>
      </w:r>
      <w:r>
        <w:rPr>
          <w:rFonts w:ascii="Times New Roman" w:hAnsi="Times New Roman"/>
          <w:sz w:val="18"/>
          <w:szCs w:val="18"/>
          <w:lang w:val="ms-MY"/>
        </w:rPr>
        <w:t xml:space="preserve"> </w:t>
      </w:r>
      <w:r w:rsidRPr="003A6B89">
        <w:rPr>
          <w:rFonts w:ascii="Times New Roman" w:hAnsi="Times New Roman"/>
          <w:sz w:val="18"/>
          <w:szCs w:val="18"/>
          <w:lang w:val="ms-MY"/>
        </w:rPr>
        <w:t>bio-elektrik, sel bahan bakar, rawatan air kumbahan</w:t>
      </w:r>
    </w:p>
    <w:p w:rsidR="00494C46" w:rsidRDefault="00494C46" w:rsidP="00F447A7">
      <w:pPr>
        <w:spacing w:after="0" w:line="240" w:lineRule="auto"/>
        <w:jc w:val="center"/>
        <w:rPr>
          <w:rFonts w:ascii="Times New Roman" w:hAnsi="Times New Roman"/>
          <w:noProof/>
          <w:sz w:val="20"/>
          <w:szCs w:val="20"/>
          <w:lang w:bidi="ar-SA"/>
        </w:rPr>
      </w:pPr>
    </w:p>
    <w:p w:rsidR="007A6D99" w:rsidRPr="00BE7C30" w:rsidRDefault="007A6D9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In Malaysia, POME is a highly polluted wastewater produced by palm oil processing mills, which was usually treated in open pond system consist of cooling ponds, acidification ponds, anaerobic ponds and facultative ponds until its biological oxygen demand (BOD) meets the limit set by Malaysian Department of Environment (DOE) which is 5,000 mg/1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"author" : [ { "dropping-particle" : "", "family" : "Malaysian Federal Subsidiary Legislation", "given" : "", "non-dropping-particle" : "", "parse-names" : false, "suffix" : "" } ], "id" : "ITEM-1", "issued" : { "date-parts" : [ [ "1978" ] ] }, "title" : "Environmental quality act 1974", "type" : "article-journal" }, "uris" : [ "http://www.mendeley.com/documents/?uuid=17fa75f2-b1b5-493e-82ef-3f1300247708" ] } ], "mendeley" : { "formattedCitation" : "[1]", "plainTextFormattedCitation" : "[1]", "previouslyFormattedCitation" : "[1]"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[1]</w:t>
      </w:r>
      <w:r w:rsidRPr="007A6D99">
        <w:rPr>
          <w:rFonts w:ascii="Times New Roman" w:hAnsi="Times New Roman"/>
          <w:sz w:val="20"/>
          <w:szCs w:val="20"/>
        </w:rPr>
        <w:fldChar w:fldCharType="end"/>
      </w:r>
      <w:r w:rsidRPr="007A6D99">
        <w:rPr>
          <w:rFonts w:ascii="Times New Roman" w:hAnsi="Times New Roman"/>
          <w:b/>
          <w:sz w:val="20"/>
          <w:szCs w:val="20"/>
          <w:vertAlign w:val="superscript"/>
        </w:rPr>
        <w:t xml:space="preserve"> </w:t>
      </w:r>
      <w:r w:rsidRPr="007A6D99">
        <w:rPr>
          <w:rFonts w:ascii="Times New Roman" w:hAnsi="Times New Roman"/>
          <w:sz w:val="20"/>
          <w:szCs w:val="20"/>
        </w:rPr>
        <w:t xml:space="preserve">before discharging it into the water course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"author" : [ { "dropping-particle" : "", "family" : "Andrew", "given" : "Y K C", "non-dropping-particle" : "", "parse-names" : false, "suffix" : "" }, { "dropping-particle" : "", "family" : "Manaf", "given" : "F Y A", "non-dropping-particle" : "", "parse-names" : false, "suffix" : "" } ], "container-title" : "Palm Oil Engineering Bulletin", "id" : "ITEM-1", "issue" : "109", "issued" : { "date-parts" : [ [ "2013" ] ] }, "title" : "Fermentation Pathway for Palm Oil Mill Effluent", "type" : "article-journal", "volume" : "Oct-Dec" }, "uris" : [ "http://www.mendeley.com/documents/?uuid=c6b154bc-b406-4ab3-a529-747984aa75a0" ] } ], "mendeley" : { "formattedCitation" : "[2]", "plainTextFormattedCitation" : "[2]", "previouslyFormattedCitation" : "[2]"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[2]</w:t>
      </w:r>
      <w:r w:rsidRPr="007A6D99">
        <w:rPr>
          <w:rFonts w:ascii="Times New Roman" w:hAnsi="Times New Roman"/>
          <w:sz w:val="20"/>
          <w:szCs w:val="20"/>
        </w:rPr>
        <w:fldChar w:fldCharType="end"/>
      </w:r>
      <w:r w:rsidRPr="007A6D99">
        <w:rPr>
          <w:rFonts w:ascii="Times New Roman" w:hAnsi="Times New Roman"/>
          <w:sz w:val="20"/>
          <w:szCs w:val="20"/>
        </w:rPr>
        <w:t xml:space="preserve">. POME anaerobic fermentation is a complex biochemical process in anaerobic condition where organic matters are degraded to methane and carbon dioxide in discrete steps involving the concerted action of myriad numbers of bacteria in several different metabolite groups of microorganism. The main pathways of anaerobic digestion are involved in 4 stages which are hydrolysis, acidogenesis, acetogenesis and methanogenesis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"author" : [ { "dropping-particle" : "", "family" : "Andrew", "given" : "Y K C", "non-dropping-particle" : "", "parse-names" : false, "suffix" : "" }, { "dropping-particle" : "", "family" : "Manaf", "given" : "F Y A", "non-dropping-particle" : "", "parse-names" : false, "suffix" : "" } ], "container-title" : "Palm Oil Engineering Bulletin", "id" : "ITEM-1", "issue" : "109", "issued" : { "date-parts" : [ [ "2013" ] ] }, "title" : "Fermentation Pathway for Palm Oil Mill Effluent", "type" : "article-journal", "volume" : "Oct-Dec" }, "uris" : [ "http://www.mendeley.com/documents/?uuid=c6b154bc-b406-4ab3-a529-747984aa75a0" ] } ], "mendeley" : { "formattedCitation" : "[2]", "plainTextFormattedCitation" : "[2]", "previouslyFormattedCitation" : "[2]"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[2]</w:t>
      </w:r>
      <w:r w:rsidRPr="007A6D99">
        <w:rPr>
          <w:rFonts w:ascii="Times New Roman" w:hAnsi="Times New Roman"/>
          <w:sz w:val="20"/>
          <w:szCs w:val="20"/>
        </w:rPr>
        <w:fldChar w:fldCharType="end"/>
      </w:r>
      <w:r w:rsidRPr="007A6D99">
        <w:rPr>
          <w:rFonts w:ascii="Times New Roman" w:hAnsi="Times New Roman"/>
          <w:sz w:val="20"/>
          <w:szCs w:val="20"/>
        </w:rPr>
        <w:t xml:space="preserve">. </w:t>
      </w:r>
    </w:p>
    <w:p w:rsidR="007A6D99" w:rsidRPr="007A6D99" w:rsidRDefault="007A6D99" w:rsidP="007A6D99">
      <w:pPr>
        <w:spacing w:after="0" w:line="240" w:lineRule="auto"/>
        <w:jc w:val="both"/>
        <w:rPr>
          <w:rFonts w:ascii="Times New Roman" w:hAnsi="Times New Roman"/>
          <w:sz w:val="20"/>
          <w:szCs w:val="20"/>
        </w:rPr>
      </w:pP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Recently, the POME treatment process involving bacteria has gained some interest among many scientists and environmentalists, and usage of bacteria together in MFC is one of the alternatives for POME treatment. The application of MFC technologies is an alternative approach to wastewater treatment that uses by-product generated electricity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[3]</w:t>
      </w:r>
      <w:r w:rsidRPr="007A6D99">
        <w:rPr>
          <w:rFonts w:ascii="Times New Roman" w:hAnsi="Times New Roman"/>
          <w:sz w:val="20"/>
          <w:szCs w:val="20"/>
        </w:rPr>
        <w:fldChar w:fldCharType="end"/>
      </w:r>
      <w:r w:rsidRPr="007A6D99">
        <w:rPr>
          <w:rFonts w:ascii="Times New Roman" w:hAnsi="Times New Roman"/>
          <w:sz w:val="20"/>
          <w:szCs w:val="20"/>
        </w:rPr>
        <w:t xml:space="preserve">. In 2004, the relationship between electricity using MFCs and wastewater treatment was clearly forged when it was demonstrated that domestic wastewater could be treated to practical levels while simultaneously generating electricity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"DOI" : "Doi 10.1021/Es0499344", "ISBN" : "0013-936X", "ISSN" : "0013-936X", "PMID" : "15298217", "abstract" : "Microbial fuel cells (MFCs) are typically designed as a two-chamber system with the bacteria in the anode chamber separated from the cathode chamber by a polymeric proton exchange membrane (PEM). Most MFCs use aqueous cathodes where water is bubbled with air to provide dissolved oxygen to electrode. To increase energy output and reduce the cost of MFCs, we examined power generation in an air-cathode MFC containing carbon electrodes in the presence and absence of a polymeric proton exchange membrane (PEM). Bacteria present in domestic wastewater were used as the biocatalyst, and glucose and wastewater were tested as substrates. Power density was found to be much greater than typically reported for aqueous-cathode MFCs, reaching a maximum of 262 +/- 10 mW/m2 (6.6 +/- 0.3 mW/L; liquid volume) using glucose. Removing the PEM increased the maximum power density to 494 +/- 21 mW/m2 (12.5 +/- 0.5 mW/L). Coulombic efficiency was 40-55% with the PEM and 9-12% with the PEM removed, indicating substantial oxygen diffusion into the anode chamber in the absence of the PEM. Power output increased with glucose concentration according to saturation-type kinetics, with a half saturation constant of 79 mg/L with the PEM-MFC and 103 mg/L in the MFC without a PEM (1000 omega resistor). Similar results on the effect of the PEM on power density were found using wastewater, where 28 +/- 3 mW/m2 (0.7 +/- 0.1 mW/L) (28% Coulombic efficiency) was produced with the PEM, and 146 +/- 8 mW/m2 (3.7 +/- 0.2 mW/L) (20% Coulombic efficiency) was produced when the PEM was removed. The increase in power output when a PEM was removed was attributed to a higher cathode potential as shown by an increase in the open circuit potential. An analysis based on available anode surface area and maximum bacterial growth rates suggests that mediatorless MFCs may have an upper order-of-magnitude limit in power density of 10(3) mW/m2. A cost-effective approach to achieving power densities in this range will likely require systems that do not contain a polymeric PEM in the MFC and systems based on direct oxygen transfer to a carbon cathode.", "author" : [ { "dropping-particle" : "", "family" : "Liu", "given" : "Hong", "non-dropping-particle" : "", "parse-names" : false, "suffix" : "" }, { "dropping-particle" : "", "family" : "Logan", "given" : "Bruce E", "non-dropping-particle" : "", "parse-names" : false, "suffix" : "" } ], "container-title" : "Environmental science &amp; technology", "id" : "ITEM-1", "issue" : "14", "issued" : { "date-parts" : [ [ "2004" ] ] }, "page" : "4040-4046", "title" : "Electricity generation using an air-cathode single chamber microbial fuel cell in the presence and absence of a proton exchange membrane.", "type" : "article-journal", "volume" : "38" }, "uris" : [ "http://www.mendeley.com/documents/?uuid=e4b64514-1bee-4684-838b-7d88f255cb7b" ] } ], "mendeley" : { "formattedCitation" : "[4]", "plainTextFormattedCitation" : "[4]", "previouslyFormattedCitation" : "[4]"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[4]</w:t>
      </w:r>
      <w:r w:rsidRPr="007A6D99">
        <w:rPr>
          <w:rFonts w:ascii="Times New Roman" w:hAnsi="Times New Roman"/>
          <w:sz w:val="20"/>
          <w:szCs w:val="20"/>
        </w:rPr>
        <w:fldChar w:fldCharType="end"/>
      </w:r>
      <w:r w:rsidRPr="007A6D99">
        <w:rPr>
          <w:rFonts w:ascii="Times New Roman" w:hAnsi="Times New Roman"/>
          <w:sz w:val="20"/>
          <w:szCs w:val="20"/>
        </w:rPr>
        <w:t xml:space="preserve">. Bioelectricity generation is a new approach for generating electricity from biomass using bacteria. Therefore, bacteria were further categorized by their ability to exogenously transfer electrons, called exoelectrogens that can produce power in an MFC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[3]</w:t>
      </w:r>
      <w:r w:rsidRPr="007A6D99">
        <w:rPr>
          <w:rFonts w:ascii="Times New Roman" w:hAnsi="Times New Roman"/>
          <w:sz w:val="20"/>
          <w:szCs w:val="20"/>
        </w:rPr>
        <w:fldChar w:fldCharType="end"/>
      </w:r>
      <w:r w:rsidRPr="007A6D99">
        <w:rPr>
          <w:rFonts w:ascii="Times New Roman" w:hAnsi="Times New Roman"/>
          <w:sz w:val="20"/>
          <w:szCs w:val="20"/>
        </w:rPr>
        <w:t xml:space="preserve">. Other names for exoelectrogens are electrogens, anode-respiring bacteria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"DOI" : "10.1111/j.1574-6976.2009.00191.x", "ISBN" : "1574-6976 (Electronic)\\n0168-6445 (Linking)", "ISSN" : "01686445", "PMID" : "19895647", "abstract" : "In microbial fuel cells and electrolysis cells (MXCs), anode-respiring bacteria (ARB) oxidize organic substrates to produce electrical current. In order to develop an electrical current, ARB must transfer electrons to a solid anode through extracellular electron transfer (EET). ARB use various EET mechanisms to transfer electrons to the anode, including direct contact through outer-membrane proteins, diffusion of soluble electron shuttles, and electron transport through solid components of the extracellular biofilm matrix. In this review, we perform a novel kinetic analysis of each EET mechanism by analyzing the results available in the literature. Our goal is to evaluate how well each EET mechanism can produce a high current density (&gt; 10 A m(-2)) without a large anode potential loss (less than a few hundred millivolts), which are feasibility goals of MXCs. Direct contact of ARB to the anode cannot achieve high current densities due to the limited number of cells that can come in direct contact with the anode. Slow diffusive flux of electron shuttles at commonly observed concentrations limits current generation and results in high potential losses, as has been observed experimentally. Only electron transport through a solid conductive matrix can explain observations of high current densities and low anode potential losses. Thus, a study of the biological components that create a solid conductive matrix is of critical importance for understanding the function of ARB.", "author" : [ { "dropping-particle" : "", "family" : "Torres", "given" : "C\u00e9sar I.", "non-dropping-particle" : "", "parse-names" : false, "suffix" : "" }, { "dropping-particle" : "", "family" : "Marcus", "given" : "Andrew Kato", "non-dropping-particle" : "", "parse-names" : false, "suffix" : "" }, { "dropping-particle" : "", "family" : "Lee", "given" : "Hyung Sool", "non-dropping-particle" : "", "parse-names" : false, "suffix" : "" }, { "dropping-particle" : "", "family" : "Parameswaran", "given" : "Prathap", "non-dropping-particle" : "", "parse-names" : false, "suffix" : "" }, { "dropping-particle" : "", "family" : "Krajmalnik-Brown", "given" : "Rosa", "non-dropping-particle" : "", "parse-names" : false, "suffix" : "" }, { "dropping-particle" : "", "family" : "Rittmann", "given" : "Bruce E.", "non-dropping-particle" : "", "parse-names" : false, "suffix" : "" } ], "container-title" : "FEMS Microbiology Reviews", "id" : "ITEM-1", "issued" : { "date-parts" : [ [ "2010" ] ] }, "page" : "3-17", "title" : "A kinetic perspective on extracellular electron transfer by anode-respiring bacteria", "type" : "article-journal", "volume" : "34" }, "uris" : [ "http://www.mendeley.com/documents/?uuid=091f082a-430d-4518-99ea-d8223f045277" ] } ], "mendeley" : { "formattedCitation" : "[5]", "plainTextFormattedCitation" : "[5]", "previouslyFormattedCitation" : "[5]"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[5]</w:t>
      </w:r>
      <w:r w:rsidRPr="007A6D99">
        <w:rPr>
          <w:rFonts w:ascii="Times New Roman" w:hAnsi="Times New Roman"/>
          <w:sz w:val="20"/>
          <w:szCs w:val="20"/>
        </w:rPr>
        <w:fldChar w:fldCharType="end"/>
      </w:r>
      <w:r w:rsidRPr="007A6D99">
        <w:rPr>
          <w:rFonts w:ascii="Times New Roman" w:hAnsi="Times New Roman"/>
          <w:sz w:val="20"/>
          <w:szCs w:val="20"/>
        </w:rPr>
        <w:t xml:space="preserve"> and electrochemically active bacteria/microorganism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"author" : [ { "dropping-particle" : "", "family" : "Samir", "given" : "K K", "non-dropping-particle" : "", "parse-names" : false, "suffix" : "" }, { "dropping-particle" : "", "family" : "Rao", "given" : "Y S", "non-dropping-particle" : "", "parse-names" : false, "suffix" : "" }, { "dropping-particle" : "", "family" : "Zhang", "given" : "T C", "non-dropping-particle" : "", "parse-names" : false, "suffix" : "" }, { "dropping-particle" : "", "family" : "Buddhi", "given" : "P L", "non-dropping-particle" : "", "parse-names" : false, "suffix" : "" }, { "dropping-particle" : "", "family" : "Tyagi", "given" : "R D", "non-dropping-particle" : "", "parse-names" : false, "suffix" : "" }, { "dropping-particle" : "", "family" : "Kao", "given" : "C M", "non-dropping-particle" : "", "parse-names" : false, "suffix" : "" } ], "container-title" : "Institute of The American Society Of Civil Engineers", "id" : "ITEM-1", "issued" : { "date-parts" : [ [ "2010" ] ] }, "page" : "116-126", "title" : "Bioenergy and Biofuel from Biowastes and Biomass", "type" : "article-journal", "volume" : "6" }, "uris" : [ "http://www.mendeley.com/documents/?uuid=f301b372-5727-46b2-9188-9cd886b528fa" ] } ], "mendeley" : { "formattedCitation" : "[6]", "plainTextFormattedCitation" : "[6]", "previouslyFormattedCitation" : "[6]"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[6]</w:t>
      </w:r>
      <w:r w:rsidRPr="007A6D99">
        <w:rPr>
          <w:rFonts w:ascii="Times New Roman" w:hAnsi="Times New Roman"/>
          <w:sz w:val="20"/>
          <w:szCs w:val="20"/>
        </w:rPr>
        <w:fldChar w:fldCharType="end"/>
      </w:r>
      <w:r w:rsidRPr="007A6D99">
        <w:rPr>
          <w:rFonts w:ascii="Times New Roman" w:hAnsi="Times New Roman"/>
          <w:sz w:val="20"/>
          <w:szCs w:val="20"/>
        </w:rPr>
        <w:t xml:space="preserve">. Exogenously transfer electrons by bacteria are also known as e Extracellular Electron Transfer (EET)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"DOI" : "10.1111/j.1574-6976.2009.00191.x", "ISBN" : "1574-6976 (Electronic)\\n0168-6445 (Linking)", "ISSN" : "01686445", "PMID" : "19895647", "abstract" : "In microbial fuel cells and electrolysis cells (MXCs), anode-respiring bacteria (ARB) oxidize organic substrates to produce electrical current. In order to develop an electrical current, ARB must transfer electrons to a solid anode through extracellular electron transfer (EET). ARB use various EET mechanisms to transfer electrons to the anode, including direct contact through outer-membrane proteins, diffusion of soluble electron shuttles, and electron transport through solid components of the extracellular biofilm matrix. In this review, we perform a novel kinetic analysis of each EET mechanism by analyzing the results available in the literature. Our goal is to evaluate how well each EET mechanism can produce a high current density (&gt; 10 A m(-2)) without a large anode potential loss (less than a few hundred millivolts), which are feasibility goals of MXCs. Direct contact of ARB to the anode cannot achieve high current densities due to the limited number of cells that can come in direct contact with the anode. Slow diffusive flux of electron shuttles at commonly observed concentrations limits current generation and results in high potential losses, as has been observed experimentally. Only electron transport through a solid conductive matrix can explain observations of high current densities and low anode potential losses. Thus, a study of the biological components that create a solid conductive matrix is of critical importance for understanding the function of ARB.", "author" : [ { "dropping-particle" : "", "family" : "Torres", "given" : "C\u00e9sar I.", "non-dropping-particle" : "", "parse-names" : false, "suffix" : "" }, { "dropping-particle" : "", "family" : "Marcus", "given" : "Andrew Kato", "non-dropping-particle" : "", "parse-names" : false, "suffix" : "" }, { "dropping-particle" : "", "family" : "Lee", "given" : "Hyung Sool", "non-dropping-particle" : "", "parse-names" : false, "suffix" : "" }, { "dropping-particle" : "", "family" : "Parameswaran", "given" : "Prathap", "non-dropping-particle" : "", "parse-names" : false, "suffix" : "" }, { "dropping-particle" : "", "family" : "Krajmalnik-Brown", "given" : "Rosa", "non-dropping-particle" : "", "parse-names" : false, "suffix" : "" }, { "dropping-particle" : "", "family" : "Rittmann", "given" : "Bruce E.", "non-dropping-particle" : "", "parse-names" : false, "suffix" : "" } ], "container-title" : "FEMS Microbiology Reviews", "id" : "ITEM-1", "issued" : { "date-parts" : [ [ "2010" ] ] }, "page" : "3-17", "title" : "A kinetic perspective on extracellular electron transfer by anode-respiring bacteria", "type" : "article-journal", "volume" : "34" }, "uris" : [ "http://www.mendeley.com/documents/?uuid=091f082a-430d-4518-99ea-d8223f045277" ] } ], "mendeley" : { "formattedCitation" : "[5]", "plainTextFormattedCitation" : "[5]", "previouslyFormattedCitation" : "[5]"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[5]</w:t>
      </w:r>
      <w:r w:rsidRPr="007A6D99">
        <w:rPr>
          <w:rFonts w:ascii="Times New Roman" w:hAnsi="Times New Roman"/>
          <w:sz w:val="20"/>
          <w:szCs w:val="20"/>
        </w:rPr>
        <w:fldChar w:fldCharType="end"/>
      </w:r>
      <w:r w:rsidRPr="007A6D99">
        <w:rPr>
          <w:rFonts w:ascii="Times New Roman" w:hAnsi="Times New Roman"/>
          <w:sz w:val="20"/>
          <w:szCs w:val="20"/>
        </w:rPr>
        <w:t>.</w:t>
      </w:r>
    </w:p>
    <w:p w:rsidR="007A6D99" w:rsidRPr="007A6D99" w:rsidRDefault="007A6D99" w:rsidP="007A6D99">
      <w:pPr>
        <w:spacing w:after="0" w:line="240" w:lineRule="auto"/>
        <w:jc w:val="both"/>
        <w:rPr>
          <w:rFonts w:ascii="Times New Roman" w:hAnsi="Times New Roman"/>
          <w:sz w:val="20"/>
          <w:szCs w:val="20"/>
        </w:rPr>
      </w:pPr>
    </w:p>
    <w:p w:rsid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In the present study, the POME was autoclaved to eliminate any living microorganisms that potentially leading the experimental process to false result. The autoclaved POME was used as a substrate, there were two type of substrates that were used which is POME- and POME+. Each of the substrates was subjected with 3 different electrodes namely carbon brush (CB), carbon cloth (CC) and pre-treated carbon cloth (PCC). Mixed cultured exoelectorgens that was successfully isolated and cultured by our lab, was used in this experiment. NaOH was subjected in the MFC device and acted as reducing agent. The aims of this experiment were to determine the compatibility of MFC device in generating electricity by using three different electrodes, and also to study the effect of NaOH as reducing agent on 3 different electrodes that were used. The purpose to achieve the experiment’s goals are to provide a basic understanding towards the electrochemical process of MFC device. By gaining this understanding, we could build a new MFC system that would enhance the power generation yields by the MFC devices and its performance.  </w:t>
      </w:r>
    </w:p>
    <w:p w:rsidR="007A6D99" w:rsidRPr="007A6D99" w:rsidRDefault="007A6D99" w:rsidP="007A6D99">
      <w:pPr>
        <w:spacing w:after="0" w:line="240" w:lineRule="auto"/>
        <w:jc w:val="center"/>
        <w:rPr>
          <w:rFonts w:ascii="Times New Roman" w:hAnsi="Times New Roman"/>
          <w:sz w:val="20"/>
          <w:szCs w:val="20"/>
        </w:rPr>
      </w:pPr>
    </w:p>
    <w:p w:rsidR="007A6D99" w:rsidRPr="007A6D99" w:rsidRDefault="007A6D99" w:rsidP="007A6D99">
      <w:pPr>
        <w:pStyle w:val="TAMainText"/>
        <w:spacing w:line="240" w:lineRule="auto"/>
        <w:ind w:firstLine="0"/>
        <w:jc w:val="center"/>
        <w:rPr>
          <w:rFonts w:ascii="Times New Roman" w:hAnsi="Times New Roman"/>
          <w:b/>
          <w:sz w:val="20"/>
        </w:rPr>
      </w:pPr>
      <w:r w:rsidRPr="007A6D99">
        <w:rPr>
          <w:rFonts w:ascii="Times New Roman" w:hAnsi="Times New Roman"/>
          <w:b/>
          <w:sz w:val="20"/>
        </w:rPr>
        <w:t>Materials and Methods</w:t>
      </w: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The air cathode double-chambered MFC was made locally using acrylic fiber material with 100 mL of working volume for each component. The anode chamber (anaerobic) and cathode chamber (aerobic) were separated by a salt bridge compartment filled with molten 10% agarose with 4% potassium chloride salt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"author" : [ { "dropping-particle" : "", "family" : "Nair", "given" : "Ramya", "non-dropping-particle" : "", "parse-names" : false, "suffix" : "" }, { "dropping-particle" : "", "family" : "Renganathan", "given" : "K", "non-dropping-particle" : "", "parse-names" : false, "suffix" : "" }, { "dropping-particle" : "", "family" : "Barathi", "given" : "S", "non-dropping-particle" : "", "parse-names" : false, "suffix" : "" }, { "dropping-particle" : "", "family" : "Venkatraman", "given" : "K", "non-dropping-particle" : "", "parse-names" : false, "suffix" : "" } ], "container-title" : "International Journal of Advancements in Research &amp; Technology", "id" : "ITEM-1", "issue" : "5", "issued" : { "date-parts" : [ [ "2013" ] ] }, "page" : "326-330", "title" : "Performance of Salt-bridge Microbial Fuel Cell at Various Agarose Concentrations using hostel sewage waste as substrate", "type" : "article-journal", "volume" : "2" }, "uris" : [ "http://www.mendeley.com/documents/?uuid=d84d6e29-8376-428b-ae51-a15bbdd9dba2" ] } ], "mendeley" : { "formattedCitation" : "[7]", "plainTextFormattedCitation" : "[7]", "previouslyFormattedCitation" : "[7]"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[7]</w:t>
      </w:r>
      <w:r w:rsidRPr="007A6D99">
        <w:rPr>
          <w:rFonts w:ascii="Times New Roman" w:hAnsi="Times New Roman"/>
          <w:sz w:val="20"/>
          <w:szCs w:val="20"/>
        </w:rPr>
        <w:fldChar w:fldCharType="end"/>
      </w:r>
      <w:r w:rsidRPr="007A6D99">
        <w:rPr>
          <w:rFonts w:ascii="Times New Roman" w:hAnsi="Times New Roman"/>
          <w:sz w:val="20"/>
          <w:szCs w:val="20"/>
        </w:rPr>
        <w:t xml:space="preserve"> heated in a water bath which was allowed to be cooled and solidified in room temperature. The salt bridge assists in the proton transfer mechanism during the operational of MFC. The electrodes material used for anode and cathode were carbon cloth (Activated Carbon Fiber (ACF) Fabric, China) with the sizes of 3.0 x 3.0 cm (used in both chambers) with projected area of 9.0 cm</w:t>
      </w:r>
      <w:r w:rsidRPr="007A6D99">
        <w:rPr>
          <w:rFonts w:ascii="Times New Roman" w:hAnsi="Times New Roman"/>
          <w:sz w:val="20"/>
          <w:szCs w:val="20"/>
          <w:vertAlign w:val="superscript"/>
        </w:rPr>
        <w:t>2</w:t>
      </w:r>
      <w:r w:rsidRPr="007A6D99">
        <w:rPr>
          <w:rFonts w:ascii="Times New Roman" w:hAnsi="Times New Roman"/>
          <w:sz w:val="20"/>
          <w:szCs w:val="20"/>
        </w:rPr>
        <w:t xml:space="preserve"> and carbon brush (Bosch Skil Dremel PG88, German) also with the sizes of 3.0 x 3.0 cm (used in both chambers) with projected area of anode was 9.0 cm</w:t>
      </w:r>
      <w:r w:rsidRPr="007A6D99">
        <w:rPr>
          <w:rFonts w:ascii="Times New Roman" w:hAnsi="Times New Roman"/>
          <w:sz w:val="20"/>
          <w:szCs w:val="20"/>
          <w:vertAlign w:val="superscript"/>
        </w:rPr>
        <w:t>2</w:t>
      </w:r>
      <w:r w:rsidRPr="007A6D99">
        <w:rPr>
          <w:rFonts w:ascii="Times New Roman" w:hAnsi="Times New Roman"/>
          <w:sz w:val="20"/>
          <w:szCs w:val="20"/>
        </w:rPr>
        <w:t xml:space="preserve">, separately. The anode chamber is sealed to maintain its anaerobic condition. The electrodes close circuit was connected externally through copper wires to provide the permanent connection to external resistance of 1 kΩ resistor. The schematic diagram of MFC is shown in Figure 1. </w:t>
      </w:r>
    </w:p>
    <w:p w:rsidR="007A6D99" w:rsidRPr="007A6D99" w:rsidRDefault="007A6D99" w:rsidP="007A6D99">
      <w:pPr>
        <w:spacing w:after="0" w:line="240" w:lineRule="auto"/>
        <w:ind w:firstLine="567"/>
        <w:jc w:val="both"/>
        <w:rPr>
          <w:rFonts w:ascii="Times New Roman" w:hAnsi="Times New Roman"/>
          <w:sz w:val="20"/>
          <w:szCs w:val="20"/>
        </w:rPr>
      </w:pPr>
    </w:p>
    <w:p w:rsidR="007A6D99" w:rsidRPr="007A6D99" w:rsidRDefault="007A6D99" w:rsidP="009C74B8">
      <w:pPr>
        <w:tabs>
          <w:tab w:val="center" w:pos="4680"/>
          <w:tab w:val="right" w:pos="9360"/>
        </w:tabs>
        <w:spacing w:after="120" w:line="240" w:lineRule="auto"/>
        <w:jc w:val="center"/>
        <w:rPr>
          <w:rFonts w:ascii="Times New Roman" w:hAnsi="Times New Roman"/>
          <w:sz w:val="20"/>
          <w:szCs w:val="20"/>
        </w:rPr>
      </w:pPr>
      <w:r w:rsidRPr="007A6D99">
        <w:rPr>
          <w:rFonts w:ascii="Times New Roman" w:hAnsi="Times New Roman"/>
          <w:noProof/>
          <w:sz w:val="20"/>
          <w:szCs w:val="20"/>
        </w:rPr>
        <w:lastRenderedPageBreak/>
        <w:drawing>
          <wp:inline distT="0" distB="0" distL="0" distR="0" wp14:anchorId="18C2C9A1" wp14:editId="03BDE542">
            <wp:extent cx="2256929" cy="2143568"/>
            <wp:effectExtent l="19050" t="19050" r="1016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1414"/>
                    <a:stretch>
                      <a:fillRect/>
                    </a:stretch>
                  </pic:blipFill>
                  <pic:spPr bwMode="auto">
                    <a:xfrm>
                      <a:off x="0" y="0"/>
                      <a:ext cx="2280343" cy="2165806"/>
                    </a:xfrm>
                    <a:prstGeom prst="rect">
                      <a:avLst/>
                    </a:prstGeom>
                    <a:noFill/>
                    <a:ln>
                      <a:solidFill>
                        <a:schemeClr val="tx1"/>
                      </a:solidFill>
                    </a:ln>
                  </pic:spPr>
                </pic:pic>
              </a:graphicData>
            </a:graphic>
          </wp:inline>
        </w:drawing>
      </w:r>
      <w:r w:rsidRPr="007A6D99">
        <w:rPr>
          <w:rFonts w:ascii="Times New Roman" w:hAnsi="Times New Roman"/>
          <w:sz w:val="20"/>
          <w:szCs w:val="20"/>
        </w:rPr>
        <w:t xml:space="preserve"> </w:t>
      </w:r>
    </w:p>
    <w:p w:rsidR="007A6D99" w:rsidRPr="007A6D99" w:rsidRDefault="007A6D99" w:rsidP="009C74B8">
      <w:pPr>
        <w:spacing w:after="0" w:line="240" w:lineRule="auto"/>
        <w:jc w:val="center"/>
        <w:rPr>
          <w:rFonts w:ascii="Times New Roman" w:hAnsi="Times New Roman"/>
          <w:sz w:val="20"/>
          <w:szCs w:val="20"/>
        </w:rPr>
      </w:pPr>
      <w:r w:rsidRPr="007A6D99">
        <w:rPr>
          <w:rFonts w:ascii="Times New Roman" w:hAnsi="Times New Roman"/>
          <w:bCs/>
          <w:sz w:val="20"/>
          <w:szCs w:val="20"/>
        </w:rPr>
        <w:t>Figure 1</w:t>
      </w:r>
      <w:r w:rsidR="009C74B8">
        <w:rPr>
          <w:rFonts w:ascii="Times New Roman" w:hAnsi="Times New Roman"/>
          <w:bCs/>
          <w:sz w:val="20"/>
          <w:szCs w:val="20"/>
        </w:rPr>
        <w:t xml:space="preserve">.  </w:t>
      </w:r>
      <w:r w:rsidRPr="007A6D99">
        <w:rPr>
          <w:rFonts w:ascii="Times New Roman" w:hAnsi="Times New Roman"/>
          <w:sz w:val="20"/>
          <w:szCs w:val="20"/>
        </w:rPr>
        <w:t>Schematic diagram of aqueous cathode double-chamber Microbial Fuel Cell (MFC)</w:t>
      </w:r>
    </w:p>
    <w:p w:rsidR="007A6D99" w:rsidRPr="007A6D99" w:rsidRDefault="007A6D99" w:rsidP="009C74B8">
      <w:pPr>
        <w:tabs>
          <w:tab w:val="left" w:pos="3854"/>
        </w:tabs>
        <w:spacing w:after="120" w:line="240" w:lineRule="auto"/>
        <w:jc w:val="both"/>
        <w:rPr>
          <w:rFonts w:ascii="Times New Roman" w:hAnsi="Times New Roman"/>
          <w:sz w:val="20"/>
          <w:szCs w:val="20"/>
        </w:rPr>
      </w:pP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The substrate used is autoclaved POME. A batch of 1.5 L raw POME was autoclaved for 15 minutes in temperature of 121 </w:t>
      </w:r>
      <w:r w:rsidRPr="007A6D99">
        <w:rPr>
          <w:rFonts w:ascii="Times New Roman" w:hAnsi="Times New Roman"/>
          <w:sz w:val="20"/>
          <w:szCs w:val="20"/>
          <w:vertAlign w:val="superscript"/>
        </w:rPr>
        <w:t>o</w:t>
      </w:r>
      <w:r w:rsidRPr="007A6D99">
        <w:rPr>
          <w:rFonts w:ascii="Times New Roman" w:hAnsi="Times New Roman"/>
          <w:sz w:val="20"/>
          <w:szCs w:val="20"/>
        </w:rPr>
        <w:t>C at 100 kPa to eliminate living microorganisms entirely. The substrates were introduced with inoculum (acetogenic mixed cultured bacteria) and were prepared in 250 mL borosilicate glass reagent bottles with a mixing ratio of 1:10 (20 mL of inoculum to 180 mL of autoclaved POME) with a total of 6 bottles. The pH of substrates was controlled by using sodium hydroxide (NaOH) that maintained pH 6.8 ± 0.2. Then, each 250 mL bottle transferred 100 mL of substrate into 100 mL borosilicate glass reagent bottles as controlled and calibrate sample. After 24 hours of fermentation process, the leftover substrates of 100 mL in each 250 mL bottle was used in MFC’s operation.</w:t>
      </w:r>
    </w:p>
    <w:p w:rsidR="007A6D99" w:rsidRPr="007A6D99" w:rsidRDefault="007A6D99" w:rsidP="007A6D99">
      <w:pPr>
        <w:spacing w:after="0" w:line="240" w:lineRule="auto"/>
        <w:jc w:val="both"/>
        <w:rPr>
          <w:rFonts w:ascii="Times New Roman" w:hAnsi="Times New Roman"/>
          <w:sz w:val="20"/>
          <w:szCs w:val="20"/>
        </w:rPr>
      </w:pP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 xml:space="preserve">In preparing PCC, the cloth was soaked in a pure acetone for 24 hours. After soaking overnight, the cloth was then soaked in ammonium peroxydisulfate (200g/mL) and concentrated sulfuric acid (100 mL/L) for 15 minutes. The furnace was set up to 450 </w:t>
      </w:r>
      <w:r w:rsidRPr="007A6D99">
        <w:rPr>
          <w:rFonts w:ascii="Times New Roman" w:hAnsi="Times New Roman"/>
          <w:sz w:val="20"/>
          <w:szCs w:val="20"/>
          <w:vertAlign w:val="superscript"/>
        </w:rPr>
        <w:t>°</w:t>
      </w:r>
      <w:r w:rsidRPr="007A6D99">
        <w:rPr>
          <w:rFonts w:ascii="Times New Roman" w:hAnsi="Times New Roman"/>
          <w:sz w:val="20"/>
          <w:szCs w:val="20"/>
        </w:rPr>
        <w:t>C before the cloth was heat-treated for 30 minutes. This pretreated process was done as to increase the surface area of the carbon cloths that are used.</w:t>
      </w:r>
    </w:p>
    <w:p w:rsidR="007A6D99" w:rsidRPr="007A6D99" w:rsidRDefault="007A6D99" w:rsidP="007A6D99">
      <w:pPr>
        <w:spacing w:after="0" w:line="240" w:lineRule="auto"/>
        <w:jc w:val="both"/>
        <w:rPr>
          <w:rFonts w:ascii="Times New Roman" w:hAnsi="Times New Roman"/>
          <w:sz w:val="20"/>
          <w:szCs w:val="20"/>
        </w:rPr>
      </w:pP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The electrode output voltage was recorded every 1 hour with digital multimeter with data logger (DM620, 50,000 Count Logger DMM and UT803, UNI-T). From these data, power generation was calculated using power density normalized by surface area (</w:t>
      </w:r>
      <w:r w:rsidRPr="007A6D99">
        <w:rPr>
          <w:rFonts w:ascii="Times New Roman" w:hAnsi="Times New Roman"/>
          <w:b/>
          <w:i/>
          <w:sz w:val="20"/>
          <w:szCs w:val="20"/>
        </w:rPr>
        <w:t>P</w:t>
      </w:r>
      <w:r w:rsidRPr="007A6D99">
        <w:rPr>
          <w:rFonts w:ascii="Times New Roman" w:hAnsi="Times New Roman"/>
          <w:b/>
          <w:i/>
          <w:sz w:val="20"/>
          <w:szCs w:val="20"/>
          <w:vertAlign w:val="subscript"/>
        </w:rPr>
        <w:t>A</w:t>
      </w:r>
      <w:r w:rsidRPr="007A6D99">
        <w:rPr>
          <w:rFonts w:ascii="Times New Roman" w:hAnsi="Times New Roman"/>
          <w:sz w:val="20"/>
          <w:szCs w:val="20"/>
        </w:rPr>
        <w:t>, Wm</w:t>
      </w:r>
      <w:r w:rsidRPr="007A6D99">
        <w:rPr>
          <w:rFonts w:ascii="Times New Roman" w:hAnsi="Times New Roman"/>
          <w:sz w:val="20"/>
          <w:szCs w:val="20"/>
          <w:vertAlign w:val="superscript"/>
        </w:rPr>
        <w:t>-2</w:t>
      </w:r>
      <w:r w:rsidRPr="007A6D99">
        <w:rPr>
          <w:rFonts w:ascii="Times New Roman" w:hAnsi="Times New Roman"/>
          <w:sz w:val="20"/>
          <w:szCs w:val="20"/>
        </w:rPr>
        <w:t xml:space="preserve">)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"DOI" : "10.1021/es0605016", "ISBN" : "0013-936X", "ISSN" : "0013936X", "PMID" : "16999087", "abstract" : "Microbial fuel cell (MFC) research is a rapidly evolving field that lacks established terminology and methods for the analysis of system performance. This makes it difficult for researchers to compare devices on an equivalent basis. The construction and analysis of MFCs requires knowledge of different scientific and engineering fields, ranging from microbiology and electrochemistry to materials and environmental engineering. Describing MFC systems therefore involves an understanding of these different scientific and engineering principles. In this paper, we provide a review of the different materials and methods used to construct MFCs, techniques used to analyze system performance, and recommendations on what information to include in MFC studies and the most useful ways to present results.", "author" : [ { "dropping-particle" : "", "family" : "Logan", "given" : "Bruce E.", "non-dropping-particle" : "", "parse-names" : false, "suffix" : "" }, { "dropping-particle" : "", "family" : "Hamelers", "given" : "Bert", "non-dropping-particle" : "", "parse-names" : false, "suffix" : "" }, { "dropping-particle" : "", "family" : "Rozendal", "given" : "Ren\u00e9", "non-dropping-particle" : "", "parse-names" : false, "suffix" : "" }, { "dropping-particle" : "", "family" : "Schr\u00f6der", "given" : "Uwe", "non-dropping-particle" : "", "parse-names" : false, "suffix" : "" }, { "dropping-particle" : "", "family" : "Keller", "given" : "J\u00fcrg", "non-dropping-particle" : "", "parse-names" : false, "suffix" : "" }, { "dropping-particle" : "", "family" : "Freguia", "given" : "Stefano", "non-dropping-particle" : "", "parse-names" : false, "suffix" : "" }, { "dropping-particle" : "", "family" : "Aelterman", "given" : "Peter", "non-dropping-particle" : "", "parse-names" : false, "suffix" : "" }, { "dropping-particle" : "", "family" : "Verstraete", "given" : "Willy", "non-dropping-particle" : "", "parse-names" : false, "suffix" : "" }, { "dropping-particle" : "", "family" : "Rabaey", "given" : "Korneel", "non-dropping-particle" : "", "parse-names" : false, "suffix" : "" } ], "container-title" : "Environmental Science and Technology", "id" : "ITEM-1", "issue" : "17", "issued" : { "date-parts" : [ [ "2006" ] ] }, "page" : "5181-5192", "title" : "Microbial fuel cells: Methodology and technology", "type" : "article-journal", "volume" : "40" }, "uris" : [ "http://www.mendeley.com/documents/?uuid=60178963-f927-43c6-904a-840261009e3b" ] } ], "mendeley" : { "formattedCitation" : "[8]", "plainTextFormattedCitation" : "[8]", "previouslyFormattedCitation" : "[8]" }, "properties" : { "noteIndex" : 3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[8]</w:t>
      </w:r>
      <w:r w:rsidRPr="007A6D99">
        <w:rPr>
          <w:rFonts w:ascii="Times New Roman" w:hAnsi="Times New Roman"/>
          <w:sz w:val="20"/>
          <w:szCs w:val="20"/>
        </w:rPr>
        <w:fldChar w:fldCharType="end"/>
      </w:r>
      <w:r w:rsidRPr="007A6D99">
        <w:rPr>
          <w:rFonts w:ascii="Times New Roman" w:hAnsi="Times New Roman"/>
          <w:sz w:val="20"/>
          <w:szCs w:val="20"/>
        </w:rPr>
        <w:t xml:space="preserve"> using the equation 1 below;</w:t>
      </w:r>
    </w:p>
    <w:p w:rsidR="007A6D99" w:rsidRPr="007A6D99" w:rsidRDefault="007A6D99" w:rsidP="007A6D99">
      <w:pPr>
        <w:spacing w:after="0" w:line="240" w:lineRule="auto"/>
        <w:jc w:val="both"/>
        <w:rPr>
          <w:rFonts w:ascii="Times New Roman" w:hAnsi="Times New Roman"/>
          <w:sz w:val="20"/>
          <w:szCs w:val="20"/>
        </w:rPr>
      </w:pPr>
    </w:p>
    <w:p w:rsidR="007A6D99" w:rsidRPr="007A6D99" w:rsidRDefault="007A6D99" w:rsidP="007A6D99">
      <w:pPr>
        <w:spacing w:after="0" w:line="240" w:lineRule="auto"/>
        <w:ind w:firstLine="720"/>
        <w:jc w:val="both"/>
        <w:rPr>
          <w:rFonts w:ascii="Times New Roman" w:hAnsi="Times New Roman"/>
          <w:sz w:val="20"/>
          <w:szCs w:val="20"/>
        </w:rPr>
      </w:pPr>
      <w:r w:rsidRPr="007A6D99">
        <w:rPr>
          <w:rFonts w:ascii="Times New Roman" w:hAnsi="Times New Roman"/>
          <w:position w:val="-30"/>
          <w:sz w:val="20"/>
          <w:szCs w:val="20"/>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4.25pt;height:27.75pt" o:ole="">
            <v:imagedata r:id="rId12" o:title=""/>
          </v:shape>
          <o:OLEObject Type="Embed" ProgID="Equation.3" ShapeID="_x0000_i1034" DrawAspect="Content" ObjectID="_1590119378" r:id="rId13">
            <o:FieldCodes>\* MERGEFORMAT</o:FieldCodes>
          </o:OLEObject>
        </w:object>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t xml:space="preserve"> </w:t>
      </w:r>
      <w:r w:rsidR="009C74B8">
        <w:rPr>
          <w:rFonts w:ascii="Times New Roman" w:hAnsi="Times New Roman"/>
          <w:sz w:val="20"/>
          <w:szCs w:val="20"/>
        </w:rPr>
        <w:t xml:space="preserve">      </w:t>
      </w:r>
      <w:r w:rsidRPr="007A6D99">
        <w:rPr>
          <w:rFonts w:ascii="Times New Roman" w:hAnsi="Times New Roman"/>
          <w:sz w:val="20"/>
          <w:szCs w:val="20"/>
        </w:rPr>
        <w:t xml:space="preserve">  (1)</w:t>
      </w:r>
    </w:p>
    <w:p w:rsidR="007A6D99" w:rsidRPr="007A6D99" w:rsidRDefault="007A6D99" w:rsidP="007A6D99">
      <w:pPr>
        <w:spacing w:after="0" w:line="240" w:lineRule="auto"/>
        <w:ind w:firstLine="567"/>
        <w:jc w:val="both"/>
        <w:rPr>
          <w:rFonts w:ascii="Times New Roman" w:hAnsi="Times New Roman"/>
          <w:sz w:val="20"/>
          <w:szCs w:val="20"/>
        </w:rPr>
      </w:pPr>
    </w:p>
    <w:p w:rsidR="007A6D99" w:rsidRDefault="007A6D99" w:rsidP="009C74B8">
      <w:pPr>
        <w:spacing w:after="0" w:line="240" w:lineRule="auto"/>
        <w:jc w:val="both"/>
        <w:rPr>
          <w:rFonts w:ascii="Times New Roman" w:hAnsi="Times New Roman"/>
          <w:sz w:val="20"/>
          <w:szCs w:val="20"/>
        </w:rPr>
      </w:pPr>
      <w:r w:rsidRPr="007A6D99">
        <w:rPr>
          <w:rFonts w:ascii="Times New Roman" w:hAnsi="Times New Roman"/>
          <w:sz w:val="20"/>
          <w:szCs w:val="20"/>
        </w:rPr>
        <w:t xml:space="preserve">where </w:t>
      </w:r>
      <w:r w:rsidRPr="007A6D99">
        <w:rPr>
          <w:rFonts w:ascii="Times New Roman" w:hAnsi="Times New Roman"/>
          <w:b/>
          <w:i/>
          <w:sz w:val="20"/>
          <w:szCs w:val="20"/>
        </w:rPr>
        <w:t>A</w:t>
      </w:r>
      <w:r w:rsidRPr="007A6D99">
        <w:rPr>
          <w:rFonts w:ascii="Times New Roman" w:hAnsi="Times New Roman"/>
          <w:sz w:val="20"/>
          <w:szCs w:val="20"/>
        </w:rPr>
        <w:t xml:space="preserve"> = total area of anode electrode (m</w:t>
      </w:r>
      <w:r w:rsidRPr="007A6D99">
        <w:rPr>
          <w:rFonts w:ascii="Times New Roman" w:hAnsi="Times New Roman"/>
          <w:sz w:val="20"/>
          <w:szCs w:val="20"/>
          <w:vertAlign w:val="superscript"/>
        </w:rPr>
        <w:t>2</w:t>
      </w:r>
      <w:r w:rsidRPr="007A6D99">
        <w:rPr>
          <w:rFonts w:ascii="Times New Roman" w:hAnsi="Times New Roman"/>
          <w:sz w:val="20"/>
          <w:szCs w:val="20"/>
        </w:rPr>
        <w:t xml:space="preserve">), </w:t>
      </w:r>
      <w:r w:rsidRPr="007A6D99">
        <w:rPr>
          <w:rFonts w:ascii="Times New Roman" w:hAnsi="Times New Roman"/>
          <w:b/>
          <w:i/>
          <w:sz w:val="20"/>
          <w:szCs w:val="20"/>
        </w:rPr>
        <w:t>An</w:t>
      </w:r>
      <w:r w:rsidRPr="007A6D99">
        <w:rPr>
          <w:rFonts w:ascii="Times New Roman" w:hAnsi="Times New Roman"/>
          <w:sz w:val="20"/>
          <w:szCs w:val="20"/>
        </w:rPr>
        <w:t xml:space="preserve"> = Anode, </w:t>
      </w:r>
      <w:r w:rsidRPr="007A6D99">
        <w:rPr>
          <w:rFonts w:ascii="Times New Roman" w:hAnsi="Times New Roman"/>
          <w:b/>
          <w:i/>
          <w:sz w:val="20"/>
          <w:szCs w:val="20"/>
        </w:rPr>
        <w:t>P</w:t>
      </w:r>
      <w:r w:rsidRPr="007A6D99">
        <w:rPr>
          <w:rFonts w:ascii="Times New Roman" w:hAnsi="Times New Roman"/>
          <w:sz w:val="20"/>
          <w:szCs w:val="20"/>
        </w:rPr>
        <w:t xml:space="preserve"> = power (W), </w:t>
      </w:r>
      <w:r w:rsidRPr="007A6D99">
        <w:rPr>
          <w:rFonts w:ascii="Times New Roman" w:hAnsi="Times New Roman"/>
          <w:b/>
          <w:i/>
          <w:sz w:val="20"/>
          <w:szCs w:val="20"/>
        </w:rPr>
        <w:t>V</w:t>
      </w:r>
      <w:r w:rsidRPr="007A6D99">
        <w:rPr>
          <w:rFonts w:ascii="Times New Roman" w:hAnsi="Times New Roman"/>
          <w:sz w:val="20"/>
          <w:szCs w:val="20"/>
        </w:rPr>
        <w:t xml:space="preserve"> = the potential (V) and </w:t>
      </w:r>
      <w:r w:rsidRPr="007A6D99">
        <w:rPr>
          <w:rFonts w:ascii="Times New Roman" w:hAnsi="Times New Roman"/>
          <w:b/>
          <w:i/>
          <w:sz w:val="20"/>
          <w:szCs w:val="20"/>
        </w:rPr>
        <w:t>R</w:t>
      </w:r>
      <w:r w:rsidRPr="007A6D99">
        <w:rPr>
          <w:rFonts w:ascii="Times New Roman" w:hAnsi="Times New Roman"/>
          <w:sz w:val="20"/>
          <w:szCs w:val="20"/>
        </w:rPr>
        <w:t xml:space="preserve"> = external resistance (Ω). The data collection was analyzed and graphs were plotted based on the equation 1. </w:t>
      </w:r>
    </w:p>
    <w:p w:rsidR="009C74B8" w:rsidRPr="007A6D99" w:rsidRDefault="009C74B8" w:rsidP="009C74B8">
      <w:pPr>
        <w:spacing w:after="0" w:line="240" w:lineRule="auto"/>
        <w:jc w:val="both"/>
        <w:rPr>
          <w:rFonts w:ascii="Times New Roman" w:hAnsi="Times New Roman"/>
          <w:sz w:val="20"/>
          <w:szCs w:val="20"/>
        </w:rPr>
      </w:pP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t>The COD of the anode substrates was determined by using COD cell test kit (20 - 1,500 mgL</w:t>
      </w:r>
      <w:r w:rsidRPr="007A6D99">
        <w:rPr>
          <w:rFonts w:ascii="Times New Roman" w:hAnsi="Times New Roman"/>
          <w:sz w:val="20"/>
          <w:szCs w:val="20"/>
          <w:vertAlign w:val="superscript"/>
        </w:rPr>
        <w:t>-1</w:t>
      </w:r>
      <w:r w:rsidRPr="007A6D99">
        <w:rPr>
          <w:rFonts w:ascii="Times New Roman" w:hAnsi="Times New Roman"/>
          <w:sz w:val="20"/>
          <w:szCs w:val="20"/>
        </w:rPr>
        <w:t xml:space="preserve"> range: Hach, USA), digested by using COD reactor (Hach DRB 200, USA) and measured using COD spectrophotometer (Hach DR2800, USA) where COD reading was taken. The initial COD reading was analyzed by taking 2 mL of substrate before filling it in MFC devices. The second COD reading was taken from the MFC anode chamber and the calibrate sample on the final day of the experiment. The COD reduction efficiency (</w:t>
      </w:r>
      <w:r w:rsidRPr="007A6D99">
        <w:rPr>
          <w:rFonts w:ascii="Times New Roman" w:hAnsi="Times New Roman"/>
          <w:b/>
          <w:sz w:val="20"/>
          <w:szCs w:val="20"/>
        </w:rPr>
        <w:t>ŋ</w:t>
      </w:r>
      <w:r w:rsidRPr="007A6D99">
        <w:rPr>
          <w:rFonts w:ascii="Times New Roman" w:hAnsi="Times New Roman"/>
          <w:sz w:val="20"/>
          <w:szCs w:val="20"/>
        </w:rPr>
        <w:t xml:space="preserve">) can be calculated as the ratio between the removed and initial effluent COD </w:t>
      </w:r>
      <w:r w:rsidRPr="007A6D99">
        <w:rPr>
          <w:rFonts w:ascii="Times New Roman" w:hAnsi="Times New Roman"/>
          <w:sz w:val="20"/>
          <w:szCs w:val="20"/>
        </w:rPr>
        <w:fldChar w:fldCharType="begin" w:fldLock="1"/>
      </w:r>
      <w:r w:rsidRPr="007A6D99">
        <w:rPr>
          <w:rFonts w:ascii="Times New Roman" w:hAnsi="Times New Roman"/>
          <w:sz w:val="20"/>
          <w:szCs w:val="20"/>
        </w:rPr>
        <w:instrText>ADDIN CSL_CITATION { "citationItems" : [ { "id" : "ITEM-1", "itemData" : { "DOI" : "10.1021/es0605016", "ISBN" : "0013-936X", "ISSN" : "0013936X", "PMID" : "16999087", "abstract" : "Microbial fuel cell (MFC) research is a rapidly evolving field that lacks established terminology and methods for the analysis of system performance. This makes it difficult for researchers to compare devices on an equivalent basis. The construction and analysis of MFCs requires knowledge of different scientific and engineering fields, ranging from microbiology and electrochemistry to materials and environmental engineering. Describing MFC systems therefore involves an understanding of these different scientific and engineering principles. In this paper, we provide a review of the different materials and methods used to construct MFCs, techniques used to analyze system performance, and recommendations on what information to include in MFC studies and the most useful ways to present results.", "author" : [ { "dropping-particle" : "", "family" : "Logan", "given" : "Bruce E.", "non-dropping-particle" : "", "parse-names" : false, "suffix" : "" }, { "dropping-particle" : "", "family" : "Hamelers", "given" : "Bert", "non-dropping-particle" : "", "parse-names" : false, "suffix" : "" }, { "dropping-particle" : "", "family" : "Rozendal", "given" : "Ren\u00e9", "non-dropping-particle" : "", "parse-names" : false, "suffix" : "" }, { "dropping-particle" : "", "family" : "Schr\u00f6der", "given" : "Uwe", "non-dropping-particle" : "", "parse-names" : false, "suffix" : "" }, { "dropping-particle" : "", "family" : "Keller", "given" : "J\u00fcrg", "non-dropping-particle" : "", "parse-names" : false, "suffix" : "" }, { "dropping-particle" : "", "family" : "Freguia", "given" : "Stefano", "non-dropping-particle" : "", "parse-names" : false, "suffix" : "" }, { "dropping-particle" : "", "family" : "Aelterman", "given" : "Peter", "non-dropping-particle" : "", "parse-names" : false, "suffix" : "" }, { "dropping-particle" : "", "family" : "Verstraete", "given" : "Willy", "non-dropping-particle" : "", "parse-names" : false, "suffix" : "" }, { "dropping-particle" : "", "family" : "Rabaey", "given" : "Korneel", "non-dropping-particle" : "", "parse-names" : false, "suffix" : "" } ], "container-title" : "Environmental Science and Technology", "id" : "ITEM-1", "issue" : "17", "issued" : { "date-parts" : [ [ "2006" ] ] }, "page" : "5181-5192", "title" : "Microbial fuel cells: Methodology and technology", "type" : "article-journal", "volume" : "40" }, "uris" : [ "http://www.mendeley.com/documents/?uuid=60178963-f927-43c6-904a-840261009e3b" ] } ], "mendeley" : { "formattedCitation" : "[8]", "plainTextFormattedCitation" : "[8]", "previouslyFormattedCitation" : "[8]" }, "properties" : { "noteIndex" : 0 }, "schema" : "https://github.com/citation-style-language/schema/raw/master/csl-citation.json" }</w:instrText>
      </w:r>
      <w:r w:rsidRPr="007A6D99">
        <w:rPr>
          <w:rFonts w:ascii="Times New Roman" w:hAnsi="Times New Roman"/>
          <w:sz w:val="20"/>
          <w:szCs w:val="20"/>
        </w:rPr>
        <w:fldChar w:fldCharType="separate"/>
      </w:r>
      <w:r w:rsidRPr="007A6D99">
        <w:rPr>
          <w:rFonts w:ascii="Times New Roman" w:hAnsi="Times New Roman"/>
          <w:noProof/>
          <w:sz w:val="20"/>
          <w:szCs w:val="20"/>
        </w:rPr>
        <w:t>[8]</w:t>
      </w:r>
      <w:r w:rsidRPr="007A6D99">
        <w:rPr>
          <w:rFonts w:ascii="Times New Roman" w:hAnsi="Times New Roman"/>
          <w:sz w:val="20"/>
          <w:szCs w:val="20"/>
        </w:rPr>
        <w:fldChar w:fldCharType="end"/>
      </w:r>
      <w:r w:rsidRPr="007A6D99">
        <w:rPr>
          <w:rFonts w:ascii="Times New Roman" w:hAnsi="Times New Roman"/>
          <w:b/>
          <w:sz w:val="20"/>
          <w:szCs w:val="20"/>
          <w:vertAlign w:val="superscript"/>
        </w:rPr>
        <w:t xml:space="preserve"> </w:t>
      </w:r>
      <w:r w:rsidRPr="007A6D99">
        <w:rPr>
          <w:rFonts w:ascii="Times New Roman" w:hAnsi="Times New Roman"/>
          <w:sz w:val="20"/>
          <w:szCs w:val="20"/>
        </w:rPr>
        <w:t xml:space="preserve">using the following equation 2 as reported in </w:t>
      </w:r>
      <w:r w:rsidRPr="007A6D99">
        <w:rPr>
          <w:rFonts w:ascii="Times New Roman" w:hAnsi="Times New Roman"/>
          <w:b/>
          <w:sz w:val="20"/>
          <w:szCs w:val="20"/>
        </w:rPr>
        <w:fldChar w:fldCharType="begin" w:fldLock="1"/>
      </w:r>
      <w:r w:rsidRPr="007A6D99">
        <w:rPr>
          <w:rFonts w:ascii="Times New Roman" w:hAnsi="Times New Roman"/>
          <w:b/>
          <w:sz w:val="20"/>
          <w:szCs w:val="20"/>
        </w:rPr>
        <w:instrText>ADDIN CSL_CITATION { "citationItems" : [ { "id" : "ITEM-1", "itemData" : { "DOI" : "10.12720/jomb.2.4.252-256", "ISSN" : "23013796", "author" : [ { "dropping-particle" : "", "family" : "Baranitharan", "given" : "E", "non-dropping-particle" : "", "parse-names" : false, "suffix" : "" }, { "dropping-particle" : "", "family" : "Maksudur", "given" : "Khan R", "non-dropping-particle" : "", "parse-names" : false, "suffix" : "" }, { "dropping-particle" : "", "family" : "Prasad", "given" : "Dmr", "non-dropping-particle" : "", "parse-names" : false, "suffix" : "" } ], "container-title" : "Journal of Medical and Bioengineering", "id" : "ITEM-1", "issue" : "4", "issued" : { "date-parts" : [ [ "2013" ] ] }, "page" : "252-256", "title" : "Treatment of Palm Oil Mill Effluent in Microbial Fuel Cell Using Polyacrylonitrile Carbon Felt as Electrode", "type" : "article-journal", "volume" : "2" }, "uris" : [ "http://www.mendeley.com/documents/?uuid=51f49d9b-1a3b-437a-afb8-a5bc3a3fe462" ] } ], "mendeley" : { "formattedCitation" : "[9]", "plainTextFormattedCitation" : "[9]", "previouslyFormattedCitation" : "[9]" }, "properties" : { "noteIndex" : 0 }, "schema" : "https://github.com/citation-style-language/schema/raw/master/csl-citation.json" }</w:instrText>
      </w:r>
      <w:r w:rsidRPr="007A6D99">
        <w:rPr>
          <w:rFonts w:ascii="Times New Roman" w:hAnsi="Times New Roman"/>
          <w:b/>
          <w:sz w:val="20"/>
          <w:szCs w:val="20"/>
        </w:rPr>
        <w:fldChar w:fldCharType="separate"/>
      </w:r>
      <w:r w:rsidRPr="007A6D99">
        <w:rPr>
          <w:rFonts w:ascii="Times New Roman" w:hAnsi="Times New Roman"/>
          <w:noProof/>
          <w:sz w:val="20"/>
          <w:szCs w:val="20"/>
        </w:rPr>
        <w:t>[9]</w:t>
      </w:r>
      <w:r w:rsidRPr="007A6D99">
        <w:rPr>
          <w:rFonts w:ascii="Times New Roman" w:hAnsi="Times New Roman"/>
          <w:b/>
          <w:sz w:val="20"/>
          <w:szCs w:val="20"/>
        </w:rPr>
        <w:fldChar w:fldCharType="end"/>
      </w:r>
      <w:r w:rsidRPr="007A6D99">
        <w:rPr>
          <w:rFonts w:ascii="Times New Roman" w:hAnsi="Times New Roman"/>
          <w:sz w:val="20"/>
          <w:szCs w:val="20"/>
        </w:rPr>
        <w:t>.</w:t>
      </w:r>
    </w:p>
    <w:p w:rsidR="007A6D99" w:rsidRPr="007A6D99" w:rsidRDefault="007A6D99" w:rsidP="007A6D99">
      <w:pPr>
        <w:spacing w:after="0" w:line="240" w:lineRule="auto"/>
        <w:jc w:val="both"/>
        <w:rPr>
          <w:rFonts w:ascii="Times New Roman" w:hAnsi="Times New Roman"/>
          <w:sz w:val="20"/>
          <w:szCs w:val="20"/>
        </w:rPr>
      </w:pPr>
    </w:p>
    <w:p w:rsidR="007A6D99" w:rsidRPr="007A6D99" w:rsidRDefault="007A6D99" w:rsidP="007A6D99">
      <w:pPr>
        <w:spacing w:after="0" w:line="240" w:lineRule="auto"/>
        <w:ind w:firstLine="720"/>
        <w:jc w:val="both"/>
        <w:rPr>
          <w:rFonts w:ascii="Times New Roman" w:hAnsi="Times New Roman"/>
          <w:sz w:val="20"/>
          <w:szCs w:val="20"/>
        </w:rPr>
      </w:pPr>
      <m:oMath>
        <m:r>
          <m:rPr>
            <m:sty m:val="p"/>
          </m:rPr>
          <w:rPr>
            <w:rFonts w:ascii="Cambria Math" w:hAnsi="Cambria Math"/>
            <w:sz w:val="20"/>
            <w:szCs w:val="20"/>
          </w:rPr>
          <m:t>η=</m:t>
        </m:r>
        <m:f>
          <m:fPr>
            <m:ctrlPr>
              <w:rPr>
                <w:rFonts w:ascii="Cambria Math" w:hAnsi="Cambria Math"/>
                <w:sz w:val="20"/>
                <w:szCs w:val="20"/>
              </w:rPr>
            </m:ctrlPr>
          </m:fPr>
          <m:num>
            <m:sSub>
              <m:sSubPr>
                <m:ctrlPr>
                  <w:rPr>
                    <w:rFonts w:ascii="Cambria Math" w:hAnsi="Cambria Math"/>
                    <w:sz w:val="20"/>
                    <w:szCs w:val="20"/>
                  </w:rPr>
                </m:ctrlPr>
              </m:sSubPr>
              <m:e>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0</m:t>
                    </m:r>
                  </m:sub>
                </m:sSub>
                <m:r>
                  <m:rPr>
                    <m:sty m:val="p"/>
                  </m:rPr>
                  <w:rPr>
                    <w:rFonts w:ascii="Cambria Math" w:hAnsi="Cambria Math"/>
                    <w:sz w:val="20"/>
                    <w:szCs w:val="20"/>
                  </w:rPr>
                  <m:t>-COD</m:t>
                </m:r>
              </m:e>
              <m:sub>
                <m:r>
                  <m:rPr>
                    <m:sty m:val="p"/>
                  </m:rPr>
                  <w:rPr>
                    <w:rFonts w:ascii="Cambria Math" w:hAnsi="Cambria Math"/>
                    <w:sz w:val="20"/>
                    <w:szCs w:val="20"/>
                  </w:rPr>
                  <m:t>t</m:t>
                </m:r>
              </m:sub>
            </m:sSub>
          </m:num>
          <m:den>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0</m:t>
                </m:r>
              </m:sub>
            </m:sSub>
          </m:den>
        </m:f>
      </m:oMath>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r>
      <w:r w:rsidRPr="007A6D99">
        <w:rPr>
          <w:rFonts w:ascii="Times New Roman" w:hAnsi="Times New Roman"/>
          <w:sz w:val="20"/>
          <w:szCs w:val="20"/>
        </w:rPr>
        <w:tab/>
        <w:t xml:space="preserve">   </w:t>
      </w:r>
      <w:r w:rsidR="009C74B8">
        <w:rPr>
          <w:rFonts w:ascii="Times New Roman" w:hAnsi="Times New Roman"/>
          <w:sz w:val="20"/>
          <w:szCs w:val="20"/>
        </w:rPr>
        <w:t xml:space="preserve">      </w:t>
      </w:r>
      <w:r w:rsidRPr="007A6D99">
        <w:rPr>
          <w:rFonts w:ascii="Times New Roman" w:hAnsi="Times New Roman"/>
          <w:sz w:val="20"/>
          <w:szCs w:val="20"/>
        </w:rPr>
        <w:t>(2)</w:t>
      </w:r>
    </w:p>
    <w:p w:rsidR="007A6D99" w:rsidRPr="007A6D99" w:rsidRDefault="007A6D99" w:rsidP="007A6D99">
      <w:pPr>
        <w:spacing w:after="0" w:line="240" w:lineRule="auto"/>
        <w:ind w:firstLine="567"/>
        <w:jc w:val="both"/>
        <w:rPr>
          <w:rFonts w:ascii="Times New Roman" w:hAnsi="Times New Roman"/>
          <w:b/>
          <w:sz w:val="20"/>
          <w:szCs w:val="20"/>
        </w:rPr>
      </w:pPr>
      <w:r w:rsidRPr="007A6D99">
        <w:rPr>
          <w:rFonts w:ascii="Times New Roman" w:hAnsi="Times New Roman"/>
          <w:b/>
          <w:sz w:val="20"/>
          <w:szCs w:val="20"/>
        </w:rPr>
        <w:tab/>
      </w:r>
      <w:r w:rsidRPr="007A6D99">
        <w:rPr>
          <w:rFonts w:ascii="Times New Roman" w:hAnsi="Times New Roman"/>
          <w:b/>
          <w:sz w:val="20"/>
          <w:szCs w:val="20"/>
        </w:rPr>
        <w:tab/>
      </w:r>
      <w:r w:rsidRPr="007A6D99">
        <w:rPr>
          <w:rFonts w:ascii="Times New Roman" w:hAnsi="Times New Roman"/>
          <w:b/>
          <w:sz w:val="20"/>
          <w:szCs w:val="20"/>
        </w:rPr>
        <w:tab/>
      </w:r>
      <w:r w:rsidRPr="007A6D99">
        <w:rPr>
          <w:rFonts w:ascii="Times New Roman" w:hAnsi="Times New Roman"/>
          <w:b/>
          <w:sz w:val="20"/>
          <w:szCs w:val="20"/>
        </w:rPr>
        <w:tab/>
      </w:r>
      <w:r w:rsidRPr="007A6D99">
        <w:rPr>
          <w:rFonts w:ascii="Times New Roman" w:hAnsi="Times New Roman"/>
          <w:b/>
          <w:sz w:val="20"/>
          <w:szCs w:val="20"/>
        </w:rPr>
        <w:tab/>
      </w:r>
      <w:r w:rsidRPr="007A6D99">
        <w:rPr>
          <w:rFonts w:ascii="Times New Roman" w:hAnsi="Times New Roman"/>
          <w:b/>
          <w:sz w:val="20"/>
          <w:szCs w:val="20"/>
        </w:rPr>
        <w:tab/>
        <w:t xml:space="preserve"> </w:t>
      </w:r>
    </w:p>
    <w:p w:rsidR="007A6D99" w:rsidRPr="007A6D99" w:rsidRDefault="007A6D99" w:rsidP="007A6D99">
      <w:pPr>
        <w:spacing w:after="0" w:line="240" w:lineRule="auto"/>
        <w:jc w:val="both"/>
        <w:rPr>
          <w:rFonts w:ascii="Times New Roman" w:hAnsi="Times New Roman"/>
          <w:sz w:val="20"/>
          <w:szCs w:val="20"/>
        </w:rPr>
      </w:pPr>
      <w:r w:rsidRPr="007A6D99">
        <w:rPr>
          <w:rFonts w:ascii="Times New Roman" w:hAnsi="Times New Roman"/>
          <w:sz w:val="20"/>
          <w:szCs w:val="20"/>
        </w:rPr>
        <w:lastRenderedPageBreak/>
        <w:t>where COD</w:t>
      </w:r>
      <w:r w:rsidRPr="007A6D99">
        <w:rPr>
          <w:rFonts w:ascii="Times New Roman" w:hAnsi="Times New Roman"/>
          <w:sz w:val="20"/>
          <w:szCs w:val="20"/>
          <w:vertAlign w:val="subscript"/>
        </w:rPr>
        <w:t xml:space="preserve">o = </w:t>
      </w:r>
      <w:r w:rsidRPr="007A6D99">
        <w:rPr>
          <w:rFonts w:ascii="Times New Roman" w:hAnsi="Times New Roman"/>
          <w:sz w:val="20"/>
          <w:szCs w:val="20"/>
        </w:rPr>
        <w:t>initial COD of the effluent in the anode chamber, mgL</w:t>
      </w:r>
      <w:r w:rsidRPr="007A6D99">
        <w:rPr>
          <w:rFonts w:ascii="Times New Roman" w:hAnsi="Times New Roman"/>
          <w:sz w:val="20"/>
          <w:szCs w:val="20"/>
          <w:vertAlign w:val="superscript"/>
        </w:rPr>
        <w:t>-1</w:t>
      </w:r>
      <w:r w:rsidRPr="007A6D99">
        <w:rPr>
          <w:rFonts w:ascii="Times New Roman" w:hAnsi="Times New Roman"/>
          <w:sz w:val="20"/>
          <w:szCs w:val="20"/>
        </w:rPr>
        <w:t xml:space="preserve"> and COD</w:t>
      </w:r>
      <w:r w:rsidRPr="007A6D99">
        <w:rPr>
          <w:rFonts w:ascii="Times New Roman" w:hAnsi="Times New Roman"/>
          <w:sz w:val="20"/>
          <w:szCs w:val="20"/>
          <w:vertAlign w:val="subscript"/>
        </w:rPr>
        <w:t>t</w:t>
      </w:r>
      <w:r w:rsidRPr="007A6D99">
        <w:rPr>
          <w:rFonts w:ascii="Times New Roman" w:hAnsi="Times New Roman"/>
          <w:sz w:val="20"/>
          <w:szCs w:val="20"/>
        </w:rPr>
        <w:t xml:space="preserve"> = COD of the effluent in the anode chamber at measured time. The data is collected and analyzed.</w:t>
      </w:r>
    </w:p>
    <w:p w:rsidR="007A6D99" w:rsidRPr="007A6D99" w:rsidRDefault="007A6D99" w:rsidP="007A6D99">
      <w:pPr>
        <w:pStyle w:val="TAMainText"/>
        <w:spacing w:line="240" w:lineRule="auto"/>
        <w:ind w:firstLine="0"/>
        <w:rPr>
          <w:rFonts w:ascii="Times New Roman" w:hAnsi="Times New Roman"/>
          <w:sz w:val="20"/>
        </w:rPr>
      </w:pPr>
    </w:p>
    <w:p w:rsidR="007A6D99" w:rsidRPr="007A6D99" w:rsidRDefault="007A6D99" w:rsidP="007A6D99">
      <w:pPr>
        <w:pStyle w:val="TAMainText"/>
        <w:spacing w:line="240" w:lineRule="auto"/>
        <w:ind w:firstLine="0"/>
        <w:rPr>
          <w:rFonts w:ascii="Times New Roman" w:hAnsi="Times New Roman"/>
          <w:sz w:val="20"/>
        </w:rPr>
      </w:pPr>
      <w:r w:rsidRPr="007A6D99">
        <w:rPr>
          <w:rFonts w:ascii="Times New Roman" w:hAnsi="Times New Roman"/>
          <w:sz w:val="20"/>
        </w:rPr>
        <w:t>Environmental Scanning Electron Microscopy (Quanta 450 FEG ESEM, USA) was used to observe the biofilm formed on the anodic carbon brush’s (ACB) surface. A cut ACB was soaked for 4 hours in 4% glutaraldehyde phosphate buffer solution for fixation process. Then, the ACB was rinsed in distilled water before the sample was observed under ESEM at 20 kV.</w:t>
      </w:r>
    </w:p>
    <w:p w:rsidR="006768E9" w:rsidRPr="00F447A7" w:rsidRDefault="006768E9" w:rsidP="007A6D9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C74B8" w:rsidRPr="003A6B89" w:rsidRDefault="009C74B8" w:rsidP="009C74B8">
      <w:pPr>
        <w:pStyle w:val="TAMainText"/>
        <w:spacing w:line="240" w:lineRule="auto"/>
        <w:ind w:firstLine="0"/>
        <w:rPr>
          <w:rFonts w:ascii="Times New Roman" w:hAnsi="Times New Roman"/>
          <w:b/>
          <w:sz w:val="20"/>
        </w:rPr>
      </w:pPr>
      <w:r w:rsidRPr="003A6B89">
        <w:rPr>
          <w:rFonts w:ascii="Times New Roman" w:hAnsi="Times New Roman"/>
          <w:sz w:val="20"/>
        </w:rPr>
        <w:t xml:space="preserve">The concept of MFC is the association of bacteria’s metabolism activity as catalyst to enhance the redox process in the MFC, which means without the presence of bacteria in the fuel cell, there are still a small number of electrons will be transferred. The redox process, or dissolve of hydrogen and oxygen, between the electrodes used still occurred, although there are no bacteria subjected into the MFC. There are lots of studies regarding fuel cell without bacteria association that achieved a greater success such as polymer electrolyte membrane fuel cell (PEMFC) </w:t>
      </w:r>
      <w:r w:rsidRPr="003A6B89">
        <w:rPr>
          <w:rFonts w:ascii="Times New Roman" w:hAnsi="Times New Roman"/>
          <w:sz w:val="20"/>
        </w:rPr>
        <w:fldChar w:fldCharType="begin" w:fldLock="1"/>
      </w:r>
      <w:r w:rsidRPr="003A6B89">
        <w:rPr>
          <w:rFonts w:ascii="Times New Roman" w:hAnsi="Times New Roman"/>
          <w:sz w:val="20"/>
        </w:rPr>
        <w:instrText>ADDIN CSL_CITATION { "citationItems" : [ { "id" : "ITEM-1", "itemData" : { "DOI" : "10.4236/sgre.2011.22009", "ISSN" : "2151-481X", "abstract" : "This study presents a state of the art of several studies dealing with the environmental impact assessment of fuel cell (FC) vehicles and the comparison with their conventional fossil-fuelled counterparts, by means of the Life Cycle As-sessment (LCA) methodology. Results declare that, depending on the systems characteristics, there are numerous envi-ronmental advantages, but also some disadvantages can be expected. In addition, the significance of the manufac-turing process of the FC, more specifically the Polymer Electrolyte Membrane Fuel Cell (PEMFC) type, in terms of environmental impact is presented. Finally, CIEMAT\u2019s role in HYCHAIN European project, consisting of supporting early adopters for hydrogen FCs in the transport sector, is highlighted", "author" : [ { "dropping-particle" : "", "family" : "Garra\u00edn", "given" : "Daniel", "non-dropping-particle" : "", "parse-names" : false, "suffix" : "" } ], "container-title" : "Smart Grid and Renewable Energy", "id" : "ITEM-1", "issue" : "02", "issued" : { "date-parts" : [ [ "2011" ] ] }, "page" : "68-74", "title" : "Polymer Electrolyte Membrane Fuel Cells (PEMFC) in Automotive Applications: Environmental Relevance of the Manufacturing Stage", "type" : "article-journal", "volume" : "02" }, "uris" : [ "http://www.mendeley.com/documents/?uuid=6e59502f-ad3c-4259-80d3-f091e11e87d8" ] } ], "mendeley" : { "formattedCitation" : "[10]", "plainTextFormattedCitation" : "[10]", "previouslyFormattedCitation" : "[10]" }, "properties" : { "noteIndex" : 0 }, "schema" : "https://github.com/citation-style-language/schema/raw/master/csl-citation.json" }</w:instrText>
      </w:r>
      <w:r w:rsidRPr="003A6B89">
        <w:rPr>
          <w:rFonts w:ascii="Times New Roman" w:hAnsi="Times New Roman"/>
          <w:sz w:val="20"/>
        </w:rPr>
        <w:fldChar w:fldCharType="separate"/>
      </w:r>
      <w:r w:rsidRPr="003A6B89">
        <w:rPr>
          <w:rFonts w:ascii="Times New Roman" w:hAnsi="Times New Roman"/>
          <w:noProof/>
          <w:sz w:val="20"/>
        </w:rPr>
        <w:t>[10]</w:t>
      </w:r>
      <w:r w:rsidRPr="003A6B89">
        <w:rPr>
          <w:rFonts w:ascii="Times New Roman" w:hAnsi="Times New Roman"/>
          <w:sz w:val="20"/>
        </w:rPr>
        <w:fldChar w:fldCharType="end"/>
      </w:r>
      <w:r w:rsidRPr="003A6B89">
        <w:rPr>
          <w:rFonts w:ascii="Times New Roman" w:hAnsi="Times New Roman"/>
          <w:sz w:val="20"/>
        </w:rPr>
        <w:t xml:space="preserve"> and alkaline fuel cell (AFC) </w:t>
      </w:r>
      <w:r w:rsidRPr="003A6B89">
        <w:rPr>
          <w:rFonts w:ascii="Times New Roman" w:hAnsi="Times New Roman"/>
          <w:sz w:val="20"/>
        </w:rPr>
        <w:fldChar w:fldCharType="begin" w:fldLock="1"/>
      </w:r>
      <w:r w:rsidRPr="003A6B89">
        <w:rPr>
          <w:rFonts w:ascii="Times New Roman" w:hAnsi="Times New Roman"/>
          <w:sz w:val="20"/>
        </w:rPr>
        <w:instrText>ADDIN CSL_CITATION { "citationItems" : [ { "id" : "ITEM-1", "itemData" : { "author" : [ { "dropping-particle" : "", "family" : "Alhassan", "given" : "Mohammed", "non-dropping-particle" : "", "parse-names" : false, "suffix" : "" }, { "dropping-particle" : "", "family" : "Garba", "given" : "Mohammed Umar", "non-dropping-particle" : "", "parse-names" : false, "suffix" : "" } ], "container-title" : "Leonardo Electronic Journal of Practises and Technologies", "id" : "ITEM-1", "issue" : "9", "issued" : { "date-parts" : [ [ "2006" ] ] }, "page" : "99-106", "title" : "Design of an Alkaline Fuel Cell", "type" : "article-journal", "volume" : "July-Decem" }, "uris" : [ "http://www.mendeley.com/documents/?uuid=6c743748-a991-4ac1-8264-6dcc53f78296" ] } ], "mendeley" : { "formattedCitation" : "[11]", "plainTextFormattedCitation" : "[11]", "previouslyFormattedCitation" : "[11]" }, "properties" : { "noteIndex" : 0 }, "schema" : "https://github.com/citation-style-language/schema/raw/master/csl-citation.json" }</w:instrText>
      </w:r>
      <w:r w:rsidRPr="003A6B89">
        <w:rPr>
          <w:rFonts w:ascii="Times New Roman" w:hAnsi="Times New Roman"/>
          <w:sz w:val="20"/>
        </w:rPr>
        <w:fldChar w:fldCharType="separate"/>
      </w:r>
      <w:r w:rsidRPr="003A6B89">
        <w:rPr>
          <w:rFonts w:ascii="Times New Roman" w:hAnsi="Times New Roman"/>
          <w:noProof/>
          <w:sz w:val="20"/>
        </w:rPr>
        <w:t>[11]</w:t>
      </w:r>
      <w:r w:rsidRPr="003A6B89">
        <w:rPr>
          <w:rFonts w:ascii="Times New Roman" w:hAnsi="Times New Roman"/>
          <w:sz w:val="20"/>
        </w:rPr>
        <w:fldChar w:fldCharType="end"/>
      </w:r>
      <w:r w:rsidRPr="003A6B89">
        <w:rPr>
          <w:rFonts w:ascii="Times New Roman" w:hAnsi="Times New Roman"/>
          <w:sz w:val="20"/>
        </w:rPr>
        <w:t xml:space="preserve">. However, MFC is the most unique and versatile system amongst all fuel cells due to its ability to treat wastewater, although its power generation is low as compared to other fuel cell systems. Overall, the result of the experiment is parallel as the theory which are the association of bacteria in the MFC enhanced the power generation and the redox reaction between two electrodes showed some results and produced small amount of electricity. </w:t>
      </w:r>
    </w:p>
    <w:p w:rsidR="009C74B8" w:rsidRPr="003A6B89"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r w:rsidRPr="003A6B89">
        <w:rPr>
          <w:rFonts w:ascii="Times New Roman" w:hAnsi="Times New Roman"/>
          <w:sz w:val="20"/>
        </w:rPr>
        <w:t>Voltage reading was recorded, where power and current densities were calculated. From Figure 2, the highest voltage generated is by PCC2. As for CB1 and PCC1 are the lowest voltage generation compared to all the electrodes material used. In the graph, by comparing the materials that were introduced with bacteria (CB2, CC2 and PCC2) yielded higher voltage generations as compared to the materials that were not introduced (CB1, CC1 and PCC1) with the bacteria. If we compare the average power generated of 72 hours between the materials, the highest voltage generation that were produced by the materials that were not introduced by the bacteria is only 2.0 mW/m</w:t>
      </w:r>
      <w:r w:rsidRPr="003A6B89">
        <w:rPr>
          <w:rFonts w:ascii="Times New Roman" w:hAnsi="Times New Roman"/>
          <w:sz w:val="20"/>
          <w:vertAlign w:val="superscript"/>
        </w:rPr>
        <w:t>2</w:t>
      </w:r>
      <w:r w:rsidRPr="003A6B89">
        <w:rPr>
          <w:rFonts w:ascii="Times New Roman" w:hAnsi="Times New Roman"/>
          <w:sz w:val="20"/>
        </w:rPr>
        <w:t xml:space="preserve"> at most on average. The highest power generated peak is produced by PCC2 at 26 hours, which is 49.55 mW/m</w:t>
      </w:r>
      <w:r w:rsidRPr="003A6B89">
        <w:rPr>
          <w:rFonts w:ascii="Times New Roman" w:hAnsi="Times New Roman"/>
          <w:sz w:val="20"/>
          <w:vertAlign w:val="superscript"/>
        </w:rPr>
        <w:t>2</w:t>
      </w:r>
      <w:r w:rsidRPr="003A6B89">
        <w:rPr>
          <w:rFonts w:ascii="Times New Roman" w:hAnsi="Times New Roman"/>
          <w:sz w:val="20"/>
        </w:rPr>
        <w:t>. If we compare the materials in POME+ (straight line), the highest power generated is yielded by PCC2 and the lowest is CB2, with the average power generated of 38.38 mW/m</w:t>
      </w:r>
      <w:r w:rsidRPr="003A6B89">
        <w:rPr>
          <w:rFonts w:ascii="Times New Roman" w:hAnsi="Times New Roman"/>
          <w:sz w:val="20"/>
          <w:vertAlign w:val="superscript"/>
        </w:rPr>
        <w:t>2</w:t>
      </w:r>
      <w:r w:rsidRPr="003A6B89">
        <w:rPr>
          <w:rFonts w:ascii="Times New Roman" w:hAnsi="Times New Roman"/>
          <w:sz w:val="20"/>
        </w:rPr>
        <w:t xml:space="preserve"> and 8.69 mW/m</w:t>
      </w:r>
      <w:r w:rsidRPr="003A6B89">
        <w:rPr>
          <w:rFonts w:ascii="Times New Roman" w:hAnsi="Times New Roman"/>
          <w:sz w:val="20"/>
          <w:vertAlign w:val="superscript"/>
        </w:rPr>
        <w:t>2</w:t>
      </w:r>
      <w:r w:rsidRPr="003A6B89">
        <w:rPr>
          <w:rFonts w:ascii="Times New Roman" w:hAnsi="Times New Roman"/>
          <w:sz w:val="20"/>
        </w:rPr>
        <w:t>, respectively. If we compare the materials that subjected in POME- (dotted line), the highest power generated is yielded by CC1 and the lowest is PCC1, with the average power generated of 1.9 mW/m</w:t>
      </w:r>
      <w:r w:rsidRPr="003A6B89">
        <w:rPr>
          <w:rFonts w:ascii="Times New Roman" w:hAnsi="Times New Roman"/>
          <w:sz w:val="20"/>
          <w:vertAlign w:val="superscript"/>
        </w:rPr>
        <w:t>2</w:t>
      </w:r>
      <w:r w:rsidRPr="003A6B89">
        <w:rPr>
          <w:rFonts w:ascii="Times New Roman" w:hAnsi="Times New Roman"/>
          <w:sz w:val="20"/>
        </w:rPr>
        <w:t xml:space="preserve"> and 0.28 mW/m</w:t>
      </w:r>
      <w:r w:rsidRPr="003A6B89">
        <w:rPr>
          <w:rFonts w:ascii="Times New Roman" w:hAnsi="Times New Roman"/>
          <w:sz w:val="20"/>
          <w:vertAlign w:val="superscript"/>
        </w:rPr>
        <w:t>2</w:t>
      </w:r>
      <w:r w:rsidRPr="003A6B89">
        <w:rPr>
          <w:rFonts w:ascii="Times New Roman" w:hAnsi="Times New Roman"/>
          <w:sz w:val="20"/>
        </w:rPr>
        <w:t>, respectively as shown in Figure 2. It is proven that the association of exoelectrogens bacteria in MFC device enhanced the power generation of the MFC system. There is lack of studies that compares this factor of presence and absence of bacteria, due to vast studies which have proven the ability of MFC to generate electricity. This work is not entirely to test the ability of MFC to produce electricity but instead to determine whether the electricity that was produced is really the work of the bacteria metabolism activity, or it is actually produced by other factors. The result that is shown in Figure 2, it is proven that electricity that was produced is due to the activity of bacteria metabolism. This result aligns with most of the studies regarding MFC [12 – 14].</w:t>
      </w:r>
    </w:p>
    <w:p w:rsidR="009C74B8" w:rsidRDefault="009C74B8" w:rsidP="009C74B8">
      <w:pPr>
        <w:pStyle w:val="TAMainText"/>
        <w:spacing w:line="240" w:lineRule="auto"/>
        <w:ind w:firstLine="0"/>
        <w:rPr>
          <w:rFonts w:ascii="Times New Roman" w:hAnsi="Times New Roman"/>
          <w:sz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t xml:space="preserve">There are 3 types of exoelectrogens which are mediator, mediatorless and nano-wired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[3]</w:t>
      </w:r>
      <w:r w:rsidRPr="003A6B89">
        <w:rPr>
          <w:rFonts w:ascii="Times New Roman" w:hAnsi="Times New Roman"/>
          <w:sz w:val="20"/>
          <w:szCs w:val="20"/>
        </w:rPr>
        <w:fldChar w:fldCharType="end"/>
      </w:r>
      <w:r w:rsidRPr="003A6B89">
        <w:rPr>
          <w:rFonts w:ascii="Times New Roman" w:hAnsi="Times New Roman"/>
          <w:sz w:val="20"/>
          <w:szCs w:val="20"/>
        </w:rPr>
        <w:t>. Depending on the type of bacteria that is associated with the MFC, the result may be varied. In one case, in a single MFC device there may be only single type of exoelectrogens metabolize in the system, on the other hand, all types of exoelectrogens are working together and co-existing in a single MFC system to generate electricity. There are many types of mediator used in the previous studies, and most common mediator used was glucose [4, 15, 16].</w:t>
      </w: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Default="009C74B8" w:rsidP="009C74B8">
      <w:pPr>
        <w:pStyle w:val="TAMainText"/>
        <w:spacing w:line="240" w:lineRule="auto"/>
        <w:ind w:firstLine="0"/>
        <w:rPr>
          <w:rFonts w:ascii="Times New Roman" w:hAnsi="Times New Roman"/>
          <w:sz w:val="20"/>
        </w:rPr>
      </w:pPr>
    </w:p>
    <w:p w:rsidR="009C74B8" w:rsidRPr="003A6B89" w:rsidRDefault="009C74B8" w:rsidP="009C74B8">
      <w:pPr>
        <w:pStyle w:val="TAMainText"/>
        <w:spacing w:line="240" w:lineRule="auto"/>
        <w:ind w:firstLine="0"/>
        <w:rPr>
          <w:rFonts w:ascii="Times New Roman" w:hAnsi="Times New Roman"/>
          <w:sz w:val="20"/>
        </w:rPr>
      </w:pPr>
    </w:p>
    <w:p w:rsidR="009C74B8" w:rsidRPr="003A6B89" w:rsidRDefault="009C74B8" w:rsidP="009C74B8">
      <w:pPr>
        <w:pStyle w:val="ListParagraph"/>
        <w:spacing w:after="120" w:line="240" w:lineRule="auto"/>
        <w:ind w:left="0"/>
        <w:contextualSpacing w:val="0"/>
        <w:jc w:val="center"/>
        <w:rPr>
          <w:rFonts w:ascii="Times New Roman" w:hAnsi="Times New Roman"/>
          <w:sz w:val="20"/>
          <w:szCs w:val="20"/>
        </w:rPr>
      </w:pPr>
      <w:r w:rsidRPr="003A6B89">
        <w:rPr>
          <w:rFonts w:ascii="Times New Roman" w:hAnsi="Times New Roman"/>
          <w:sz w:val="20"/>
          <w:szCs w:val="20"/>
        </w:rPr>
        <w:object w:dxaOrig="5856" w:dyaOrig="4560">
          <v:shape id="_x0000_i1040" type="#_x0000_t75" style="width:239.25pt;height:196.5pt" o:ole="" o:bordertopcolor="this" o:borderleftcolor="this" o:borderbottomcolor="this" o:borderrightcolor="this">
            <v:imagedata r:id="rId14" o:title="" croptop="6006f" cropbottom="3003f" cropleft="4534f" cropright="7557f"/>
            <w10:bordertop type="single" width="4"/>
            <w10:borderleft type="single" width="4"/>
            <w10:borderbottom type="single" width="4"/>
            <w10:borderright type="single" width="4"/>
          </v:shape>
          <o:OLEObject Type="Embed" ProgID="Origin50.Graph" ShapeID="_x0000_i1040" DrawAspect="Content" ObjectID="_1590119379" r:id="rId15"/>
        </w:object>
      </w:r>
    </w:p>
    <w:p w:rsidR="009C74B8" w:rsidRPr="003A6B89" w:rsidRDefault="009C74B8" w:rsidP="009C74B8">
      <w:pPr>
        <w:pStyle w:val="ListParagraph"/>
        <w:spacing w:after="0" w:line="240" w:lineRule="auto"/>
        <w:ind w:left="0"/>
        <w:contextualSpacing w:val="0"/>
        <w:jc w:val="center"/>
        <w:rPr>
          <w:rFonts w:ascii="Times New Roman" w:hAnsi="Times New Roman"/>
          <w:sz w:val="20"/>
          <w:szCs w:val="20"/>
        </w:rPr>
      </w:pPr>
      <w:r w:rsidRPr="003A6B89">
        <w:rPr>
          <w:rFonts w:ascii="Times New Roman" w:hAnsi="Times New Roman"/>
          <w:bCs/>
          <w:sz w:val="20"/>
          <w:szCs w:val="20"/>
        </w:rPr>
        <w:t xml:space="preserve">Figure 2.  </w:t>
      </w:r>
      <w:r w:rsidRPr="003A6B89">
        <w:rPr>
          <w:rFonts w:ascii="Times New Roman" w:hAnsi="Times New Roman"/>
          <w:sz w:val="20"/>
          <w:szCs w:val="20"/>
        </w:rPr>
        <w:t>Power Generations with POME+ and POME- exoelectrogens on materials used</w:t>
      </w:r>
    </w:p>
    <w:p w:rsidR="009C74B8" w:rsidRPr="003A6B89" w:rsidRDefault="009C74B8" w:rsidP="009C74B8">
      <w:pPr>
        <w:pStyle w:val="ListParagraph"/>
        <w:spacing w:after="12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t>NaOH is commonly used in controlling the substrate’s pH value [17 – 19]. The problem comes when NaOH itself may act as a reducing agent or mediator to the exoelectrogens that present in the MFC device. In different cases, a collaboration of NaOH which contributed in generating additional electrons is helpful in enhancing the power generation of the MFC system, but in this case, it is not, because this experiment is solely to determine the true potential of mediatorless exoelectrogens of yielding the highest power possible. This experiment was also conducted to determine whether the NaOH, that was used in maintaining the pH value of the substrate, may influence the result of power generation that generated by the exoelectrogens during the experimental process. From Figure 3 and Figure 4, there are two arrows aligned with the x-axis, these arrows represent the period of when the NaOH was inserted in the MFC’s anode chamber. At 15 hours of the experiment, the substrate in the anode MFC chamber was introduced with 5 pellets of NaOH and the substrate was later introduced with another 1 pellet of NaOH at 88 hours. In the Figure 3, power generations by all electrodes were increased when the NaOH was first introduced, then the power generations started to decrease. The power generations continued to increase when the substrates were introduced with NaOH for the second time. Also in the graph, the power was only generated when the NaOH was introduced in the substrates, but after 1 day, the power generation dropped to almost 1 mW/m</w:t>
      </w:r>
      <w:r w:rsidRPr="003A6B89">
        <w:rPr>
          <w:rFonts w:ascii="Times New Roman" w:hAnsi="Times New Roman"/>
          <w:sz w:val="20"/>
          <w:szCs w:val="20"/>
          <w:vertAlign w:val="superscript"/>
        </w:rPr>
        <w:t>2</w:t>
      </w:r>
      <w:r w:rsidRPr="003A6B89">
        <w:rPr>
          <w:rFonts w:ascii="Times New Roman" w:hAnsi="Times New Roman"/>
          <w:sz w:val="20"/>
          <w:szCs w:val="20"/>
        </w:rPr>
        <w:t xml:space="preserve"> which indicates no bacteria metabolism activity. </w:t>
      </w:r>
    </w:p>
    <w:p w:rsidR="009C74B8" w:rsidRDefault="009C74B8" w:rsidP="009C74B8">
      <w:pPr>
        <w:pStyle w:val="ListParagraph"/>
        <w:spacing w:after="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t xml:space="preserve">In Figure 4, power generations by all electrodes increased when the NaOH was first introduced, then the power generations started to maintain. As compared to power generations of POME- exoelectrogens, the power generated by POME+ exoelectrogens gradually decreased, but POME- exoelectrogens rapidly decreased, which proved the possibility of bacteria metabolism activity were taking place on the electrodes in POME+. Exoelectrogens’ metabolism activity produced electrons and hydrogens. Both electrons and hydrogens travelled to the cathodic chamber through proton exchange membrane (salt bridge) and will reduce to water which led the circuit to complete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5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[3]</w:t>
      </w:r>
      <w:r w:rsidRPr="003A6B89">
        <w:rPr>
          <w:rFonts w:ascii="Times New Roman" w:hAnsi="Times New Roman"/>
          <w:sz w:val="20"/>
          <w:szCs w:val="20"/>
        </w:rPr>
        <w:fldChar w:fldCharType="end"/>
      </w:r>
      <w:r w:rsidRPr="003A6B89">
        <w:rPr>
          <w:rFonts w:ascii="Times New Roman" w:hAnsi="Times New Roman"/>
          <w:sz w:val="20"/>
          <w:szCs w:val="20"/>
        </w:rPr>
        <w:t>. The power generations continued to increase slowly when the substrates were introduced with NaOH for the second time, then the power generations decreased after a few hours. In the graph, if we compared all three electrodes’ power generations, we can see a huge difference between PCC2 and both CC2 and CB2. The difference between them is around 35 mW/m</w:t>
      </w:r>
      <w:r w:rsidRPr="003A6B89">
        <w:rPr>
          <w:rFonts w:ascii="Times New Roman" w:hAnsi="Times New Roman"/>
          <w:sz w:val="20"/>
          <w:szCs w:val="20"/>
          <w:vertAlign w:val="superscript"/>
        </w:rPr>
        <w:t>2</w:t>
      </w:r>
      <w:r w:rsidRPr="003A6B89">
        <w:rPr>
          <w:rFonts w:ascii="Times New Roman" w:hAnsi="Times New Roman"/>
          <w:sz w:val="20"/>
          <w:szCs w:val="20"/>
        </w:rPr>
        <w:t xml:space="preserve"> in average, which means 3 times higher. The difference between CC2 and CB2 are small but CC2 still produced higher power generation. If we compare Figure 3 and Figure 4, there were almost no power generated by POME- exoelectrogens, but it is clear in Figure 4, there are power that was generated by the POME+ exoelectrogens in the MFC device. </w:t>
      </w:r>
    </w:p>
    <w:p w:rsidR="009C74B8" w:rsidRDefault="009C74B8" w:rsidP="009C74B8">
      <w:pPr>
        <w:pStyle w:val="ListParagraph"/>
        <w:spacing w:after="0" w:line="240" w:lineRule="auto"/>
        <w:ind w:left="0"/>
        <w:contextualSpacing w:val="0"/>
        <w:jc w:val="both"/>
        <w:rPr>
          <w:rFonts w:ascii="Times New Roman" w:hAnsi="Times New Roman"/>
          <w:sz w:val="20"/>
          <w:szCs w:val="20"/>
        </w:rPr>
      </w:pPr>
    </w:p>
    <w:p w:rsidR="009C74B8" w:rsidRDefault="009C74B8" w:rsidP="009C74B8">
      <w:pPr>
        <w:pStyle w:val="ListParagraph"/>
        <w:spacing w:after="0" w:line="240" w:lineRule="auto"/>
        <w:ind w:left="0"/>
        <w:contextualSpacing w:val="0"/>
        <w:jc w:val="both"/>
        <w:rPr>
          <w:rFonts w:ascii="Times New Roman" w:hAnsi="Times New Roman"/>
          <w:sz w:val="20"/>
          <w:szCs w:val="20"/>
        </w:rPr>
      </w:pPr>
    </w:p>
    <w:p w:rsidR="009C74B8" w:rsidRDefault="009C74B8" w:rsidP="009C74B8">
      <w:pPr>
        <w:pStyle w:val="ListParagraph"/>
        <w:spacing w:after="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120" w:line="240" w:lineRule="auto"/>
        <w:ind w:left="0"/>
        <w:contextualSpacing w:val="0"/>
        <w:jc w:val="center"/>
        <w:rPr>
          <w:rFonts w:ascii="Times New Roman" w:hAnsi="Times New Roman"/>
          <w:sz w:val="20"/>
          <w:szCs w:val="20"/>
        </w:rPr>
      </w:pPr>
      <w:r w:rsidRPr="003A6B89">
        <w:rPr>
          <w:rFonts w:ascii="Times New Roman" w:hAnsi="Times New Roman"/>
          <w:sz w:val="20"/>
          <w:szCs w:val="20"/>
        </w:rPr>
        <w:object w:dxaOrig="5856" w:dyaOrig="4560">
          <v:shape id="_x0000_i1041" type="#_x0000_t75" style="width:231pt;height:190.5pt" o:ole="" o:bordertopcolor="this" o:borderleftcolor="this" o:borderbottomcolor="this" o:borderrightcolor="this" filled="t" fillcolor="white [3212]">
            <v:imagedata r:id="rId16" o:title="" croptop="5795f" cropbottom="3104f" cropleft="4512f" cropright="7897f"/>
            <w10:bordertop type="single" width="4"/>
            <w10:borderleft type="single" width="4"/>
            <w10:borderbottom type="single" width="4"/>
            <w10:borderright type="single" width="4"/>
          </v:shape>
          <o:OLEObject Type="Embed" ProgID="Origin50.Graph" ShapeID="_x0000_i1041" DrawAspect="Content" ObjectID="_1590119380" r:id="rId17"/>
        </w:object>
      </w:r>
    </w:p>
    <w:p w:rsidR="009C74B8" w:rsidRDefault="009C74B8" w:rsidP="009C74B8">
      <w:pPr>
        <w:pStyle w:val="ListParagraph"/>
        <w:spacing w:after="0" w:line="240" w:lineRule="auto"/>
        <w:ind w:left="0"/>
        <w:contextualSpacing w:val="0"/>
        <w:jc w:val="center"/>
        <w:rPr>
          <w:rFonts w:ascii="Times New Roman" w:hAnsi="Times New Roman"/>
          <w:sz w:val="20"/>
          <w:szCs w:val="20"/>
        </w:rPr>
      </w:pPr>
      <w:r w:rsidRPr="003A6B89">
        <w:rPr>
          <w:rFonts w:ascii="Times New Roman" w:hAnsi="Times New Roman"/>
          <w:sz w:val="20"/>
          <w:szCs w:val="20"/>
        </w:rPr>
        <w:t xml:space="preserve">Figure 3. </w:t>
      </w:r>
      <w:r>
        <w:rPr>
          <w:rFonts w:ascii="Times New Roman" w:hAnsi="Times New Roman"/>
          <w:sz w:val="20"/>
          <w:szCs w:val="20"/>
        </w:rPr>
        <w:t xml:space="preserve"> </w:t>
      </w:r>
      <w:r w:rsidRPr="003A6B89">
        <w:rPr>
          <w:rFonts w:ascii="Times New Roman" w:hAnsi="Times New Roman"/>
          <w:sz w:val="20"/>
          <w:szCs w:val="20"/>
        </w:rPr>
        <w:t>Effect of NaOH in POME- exoelectrogens’ power generation CB1, CC1, and PCC1</w:t>
      </w:r>
    </w:p>
    <w:p w:rsidR="009C74B8" w:rsidRDefault="009C74B8" w:rsidP="009C74B8">
      <w:pPr>
        <w:pStyle w:val="ListParagraph"/>
        <w:spacing w:after="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120" w:line="240" w:lineRule="auto"/>
        <w:ind w:left="0"/>
        <w:contextualSpacing w:val="0"/>
        <w:jc w:val="center"/>
        <w:rPr>
          <w:rFonts w:ascii="Times New Roman" w:hAnsi="Times New Roman"/>
          <w:sz w:val="20"/>
          <w:szCs w:val="20"/>
        </w:rPr>
      </w:pPr>
      <w:r w:rsidRPr="003A6B89">
        <w:rPr>
          <w:rFonts w:ascii="Times New Roman" w:hAnsi="Times New Roman"/>
          <w:sz w:val="20"/>
          <w:szCs w:val="20"/>
        </w:rPr>
        <w:object w:dxaOrig="5856" w:dyaOrig="4560">
          <v:shape id="_x0000_i1042" type="#_x0000_t75" style="width:252.75pt;height:204pt" o:ole="" o:bordertopcolor="this" o:borderleftcolor="this" o:borderbottomcolor="this" o:borderrightcolor="this">
            <v:imagedata r:id="rId18" o:title="" croptop="6224f" cropbottom="3551f" cropleft="4543f" cropright="7508f"/>
            <w10:bordertop type="single" width="4"/>
            <w10:borderleft type="single" width="4"/>
            <w10:borderbottom type="single" width="4"/>
            <w10:borderright type="single" width="4"/>
          </v:shape>
          <o:OLEObject Type="Embed" ProgID="Origin50.Graph" ShapeID="_x0000_i1042" DrawAspect="Content" ObjectID="_1590119381" r:id="rId19"/>
        </w:object>
      </w:r>
    </w:p>
    <w:p w:rsidR="009C74B8" w:rsidRDefault="009C74B8" w:rsidP="00E97F88">
      <w:pPr>
        <w:pStyle w:val="ListParagraph"/>
        <w:spacing w:after="0" w:line="240" w:lineRule="auto"/>
        <w:ind w:left="0"/>
        <w:contextualSpacing w:val="0"/>
        <w:jc w:val="center"/>
        <w:rPr>
          <w:rFonts w:ascii="Times New Roman" w:hAnsi="Times New Roman"/>
          <w:sz w:val="20"/>
          <w:szCs w:val="20"/>
        </w:rPr>
      </w:pPr>
      <w:r w:rsidRPr="003A6B89">
        <w:rPr>
          <w:rFonts w:ascii="Times New Roman" w:hAnsi="Times New Roman"/>
          <w:sz w:val="20"/>
          <w:szCs w:val="20"/>
        </w:rPr>
        <w:t>Figure 4.  Effect of NaOH in POME+ exoelectrogens’s power generation CB2, CC2, and PCC2</w:t>
      </w:r>
    </w:p>
    <w:p w:rsidR="00E97F88" w:rsidRPr="003A6B89" w:rsidRDefault="00E97F88" w:rsidP="00E97F88">
      <w:pPr>
        <w:pStyle w:val="ListParagraph"/>
        <w:spacing w:after="120" w:line="240" w:lineRule="auto"/>
        <w:ind w:left="0"/>
        <w:contextualSpacing w:val="0"/>
        <w:jc w:val="both"/>
        <w:rPr>
          <w:rFonts w:ascii="Times New Roman" w:hAnsi="Times New Roman"/>
          <w:sz w:val="20"/>
          <w:szCs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t>Most related MFC studies were using NaOH or Ca(OH)</w:t>
      </w:r>
      <w:r w:rsidRPr="003A6B89">
        <w:rPr>
          <w:rFonts w:ascii="Times New Roman" w:hAnsi="Times New Roman"/>
          <w:sz w:val="20"/>
          <w:szCs w:val="20"/>
          <w:vertAlign w:val="subscript"/>
        </w:rPr>
        <w:t>2</w:t>
      </w:r>
      <w:r w:rsidRPr="003A6B89">
        <w:rPr>
          <w:rFonts w:ascii="Times New Roman" w:hAnsi="Times New Roman"/>
          <w:sz w:val="20"/>
          <w:szCs w:val="20"/>
        </w:rPr>
        <w:t xml:space="preserve"> as their pH controller but did not attend to study the interaction between the pH controller, that they were using, and the inoculum in the MFC device. A study done by Patil et al., 1N NaOH was used to control their substrate’s pH value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"DOI" : "10.1016/j.biortech.2011.07.087", "ISBN" : "0960-8524", "ISSN" : "09608524", "PMID" : "21855323", "abstract" : "The pH-value played a crucial role for the development and current production of anodic microbial electroactive biofilms. It was demonstrated that only a narrow pH-window, ranging from pH 6 to 9, was suitable for growth and operation of biofilms derived from pH-neutral wastewater. Any stronger deviation from pH neutral conditions led to a substantial decrease in the biofilm performance. Thus, average current densities of 151, 821 and 730\u03bcAcm -2 were measured for anode biofilms grown and operated at pH 6, 7 and 9 respectively. The microbial diversity of the anode chamber community during the biofilm selection process was studied using the low cost method flow-cytometry. Thereby, it was demonstrated that the pH value as well as the microbial inocula had an impact on the resulting anode community structure. As shown by cyclic voltammetry the electron transfer thermodynamics of the biofilms was strongly depending on the solution's pH-value. \u00a9 2011 Elsevier Ltd.", "author" : [ { "dropping-particle" : "", "family" : "Patil", "given" : "Sunil a.", "non-dropping-particle" : "", "parse-names" : false, "suffix" : "" }, { "dropping-particle" : "", "family" : "Harnisch", "given" : "Falk", "non-dropping-particle" : "", "parse-names" : false, "suffix" : "" }, { "dropping-particle" : "", "family" : "Koch", "given" : "Christin", "non-dropping-particle" : "", "parse-names" : false, "suffix" : "" }, { "dropping-particle" : "", "family" : "H\u00fcbschmann", "given" : "Thomas", "non-dropping-particle" : "", "parse-names" : false, "suffix" : "" }, { "dropping-particle" : "", "family" : "Fetzer", "given" : "Ingo", "non-dropping-particle" : "", "parse-names" : false, "suffix" : "" }, { "dropping-particle" : "", "family" : "Carmona-Mart\u00ednez", "given" : "Alessandro a.", "non-dropping-particle" : "", "parse-names" : false, "suffix" : "" }, { "dropping-particle" : "", "family" : "M\u00fcller", "given" : "Susann", "non-dropping-particle" : "", "parse-names" : false, "suffix" : "" }, { "dropping-particle" : "", "family" : "Schr\u00f6der", "given" : "Uwe", "non-dropping-particle" : "", "parse-names" : false, "suffix" : "" } ], "container-title" : "Bioresource Technology", "id" : "ITEM-1", "issue" : "20", "issued" : { "date-parts" : [ [ "2011" ] ] }, "page" : "9683-9690", "publisher" : "Elsevier Ltd", "title" : "Electroactive mixed culture derived biofilms in microbial bioelectrochemical systems: The role of pH on biofilm formation, performance and composition", "type" : "article-journal", "volume" : "102" }, "uris" : [ "http://www.mendeley.com/documents/?uuid=016c32ea-888f-4891-891b-58faf0cf4f41" ] } ], "mendeley" : { "formattedCitation" : "[19]", "plainTextFormattedCitation" : "[19]", "previouslyFormattedCitation" : "[19]" }, "properties" : { "noteIndex" : 0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[19]</w:t>
      </w:r>
      <w:r w:rsidRPr="003A6B89">
        <w:rPr>
          <w:rFonts w:ascii="Times New Roman" w:hAnsi="Times New Roman"/>
          <w:sz w:val="20"/>
          <w:szCs w:val="20"/>
        </w:rPr>
        <w:fldChar w:fldCharType="end"/>
      </w:r>
      <w:r w:rsidRPr="003A6B89">
        <w:rPr>
          <w:rFonts w:ascii="Times New Roman" w:hAnsi="Times New Roman"/>
          <w:sz w:val="20"/>
          <w:szCs w:val="20"/>
        </w:rPr>
        <w:t xml:space="preserve">. In another study, they did not just use the NaOH to control pH value of the substrates but also, they washed the electrodes that were used with NaOH and HCl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"DOI" : "10.1016/j.biortech.2010.07.082", "ISBN" : "0960-8524", "ISSN" : "09608524", "PMID" : "20702091", "abstract" : "The aim of this work was to study the effect of pH on electricity production and contaminant dynamics using microbial fuel cells (MFCs). To investigate these effects, an air-cathode MFC was used to treat urban wastewater by adjusting the pH between 6 and 10. The short-term tests showed that the highest power production (0.66W\u00b7m-3) was at pH 9.5. The MFC operation in continuous control mode for 30days and at the optimal pH improved the performance of the cell relative to power generation to 1.8W\u00b7m-3. Organic matter removal (77% of influent COD) and physical ammonium loss were directly influenced by pH and followed the same behavior as the power generation. At a pH higher than the optimal one, anodic bacteria were affected, and power generation ceased. However, biological nitrogen processes and phosphorus dynamics were independent of the exoelectrogenic bacteria. \u00a9 2010 Elsevier Ltd.", "author" : [ { "dropping-particle" : "", "family" : "Puig", "given" : "Sebasti\u00e0", "non-dropping-particle" : "", "parse-names" : false, "suffix" : "" }, { "dropping-particle" : "", "family" : "Serra", "given" : "Marc", "non-dropping-particle" : "", "parse-names" : false, "suffix" : "" }, { "dropping-particle" : "", "family" : "Coma", "given" : "Marta", "non-dropping-particle" : "", "parse-names" : false, "suffix" : "" }, { "dropping-particle" : "", "family" : "Cabr\u00e9", "given" : "Marina", "non-dropping-particle" : "", "parse-names" : false, "suffix" : "" }, { "dropping-particle" : "", "family" : "Balaguer", "given" : "M. Dolors", "non-dropping-particle" : "", "parse-names" : false, "suffix" : "" }, { "dropping-particle" : "", "family" : "Colprim", "given" : "Jes\u00fas", "non-dropping-particle" : "", "parse-names" : false, "suffix" : "" } ], "container-title" : "Bioresource Technology", "id" : "ITEM-1", "issued" : { "date-parts" : [ [ "2010" ] ] }, "page" : "9594-9599", "title" : "Effect of pH on nutrient dynamics and electricity production using microbial fuel cells", "type" : "article-journal", "volume" : "101" }, "uris" : [ "http://www.mendeley.com/documents/?uuid=d42c068e-98e2-46eb-bbab-7acc40825e25" ] } ], "mendeley" : { "formattedCitation" : "[20]", "plainTextFormattedCitation" : "[20]", "previouslyFormattedCitation" : "[20]" }, "properties" : { "noteIndex" : 0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[20]</w:t>
      </w:r>
      <w:r w:rsidRPr="003A6B89">
        <w:rPr>
          <w:rFonts w:ascii="Times New Roman" w:hAnsi="Times New Roman"/>
          <w:sz w:val="20"/>
          <w:szCs w:val="20"/>
        </w:rPr>
        <w:fldChar w:fldCharType="end"/>
      </w:r>
      <w:r w:rsidRPr="003A6B89">
        <w:rPr>
          <w:rFonts w:ascii="Times New Roman" w:hAnsi="Times New Roman"/>
          <w:sz w:val="20"/>
          <w:szCs w:val="20"/>
        </w:rPr>
        <w:t>. In this work, NaOH also was used as a pH controller and from Figure 3 it shows a clear picture of the effect of NaOH to the power generated in MFC devices. However, the power peaked for a few hours then maintained back to its current power generation. It is proven that the use of NaOH, as pH controller, in MFC system affected the power generation as shown in Figure 3. In Figure 4, the NaOH affected the power generation, but as compared to Figure 3 the power that peaked maintained and decreased gradually. This strongly proved that the bacteria activity taken place after the effect of NaOH to the substrates wore off.</w:t>
      </w:r>
    </w:p>
    <w:p w:rsidR="009C74B8" w:rsidRPr="003A6B89" w:rsidRDefault="009C74B8" w:rsidP="009C74B8">
      <w:pPr>
        <w:spacing w:after="0" w:line="240" w:lineRule="auto"/>
        <w:jc w:val="both"/>
        <w:rPr>
          <w:rFonts w:ascii="Times New Roman" w:hAnsi="Times New Roman"/>
          <w:sz w:val="20"/>
        </w:rPr>
      </w:pPr>
    </w:p>
    <w:p w:rsidR="009C74B8" w:rsidRPr="003A6B89" w:rsidRDefault="009C74B8" w:rsidP="009C74B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lastRenderedPageBreak/>
        <w:t xml:space="preserve">COD deduction done by POME-‘s electrodes are relatively higher than POME+’s electrodes (Table 1). The highest COD deduction was done by CC1 with deduction of 45.93% and the lowest deduction is 22.73% by CB2. COD control, which is the POME sample that is not subjected in MFC device, of the experiment is 4.28%. There are a clear difference between COD deduction of control and both POME+ and POME- electrodes which proved the MFC’s theory on its ability to increase the COD deduction in POME treatment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"ISBN" : "9780470239483", "author" : [ { "dropping-particle" : "", "family" : "Logan", "given" : "Bruce E", "non-dropping-particle" : "", "parse-names" : false, "suffix" : "" } ], "container-title" : "John Wiley &amp; Sons, Inc.", "id" : "ITEM-1", "issued" : { "date-parts" : [ [ "2008" ] ] }, "number-of-pages" : "200", "title" : "Microbial Fuel Cells", "type" : "book" }, "uris" : [ "http://www.mendeley.com/documents/?uuid=3e46e9bf-f01a-48d2-90ad-9cb25606bbbe" ] } ], "mendeley" : { "formattedCitation" : "[3]", "plainTextFormattedCitation" : "[3]", "previouslyFormattedCitation" : "[3]" }, "properties" : { "noteIndex" : 0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[3]</w:t>
      </w:r>
      <w:r w:rsidRPr="003A6B89">
        <w:rPr>
          <w:rFonts w:ascii="Times New Roman" w:hAnsi="Times New Roman"/>
          <w:sz w:val="20"/>
          <w:szCs w:val="20"/>
        </w:rPr>
        <w:fldChar w:fldCharType="end"/>
      </w:r>
      <w:r w:rsidRPr="003A6B89">
        <w:rPr>
          <w:rFonts w:ascii="Times New Roman" w:hAnsi="Times New Roman"/>
          <w:sz w:val="20"/>
          <w:szCs w:val="20"/>
        </w:rPr>
        <w:t xml:space="preserve">. Although there are no bacteria subjected in POME- but the COD deduction is better than POME+, which is due to the increment of COD in POME+ after the POME sample was fermented with bacteria after 24 hours. In “initial COD” column, an increment of 60% of COD on POME+ after it was fermented for 24 hours. This increment is the factor of why the COD deduction done by POME- is better than POME+, but in terms of amount (mg/L) of COD deduction, POME+ deducted more than POME-, relativity. The highest amount of COD that was deducted is 21166 mg/L which is done by PCC2 and the lowest amount of COD deduction is done by CB2 which is 15033 mg/L. In most MFC studies, they calculated the coulombic efficiency (CE) as to determine the performance of MFC </w:t>
      </w:r>
      <w:r w:rsidRPr="003A6B89">
        <w:rPr>
          <w:rFonts w:ascii="Times New Roman" w:hAnsi="Times New Roman"/>
          <w:sz w:val="20"/>
          <w:szCs w:val="20"/>
        </w:rPr>
        <w:fldChar w:fldCharType="begin" w:fldLock="1"/>
      </w:r>
      <w:r w:rsidRPr="003A6B89">
        <w:rPr>
          <w:rFonts w:ascii="Times New Roman" w:hAnsi="Times New Roman"/>
          <w:sz w:val="20"/>
          <w:szCs w:val="20"/>
        </w:rPr>
        <w:instrText>ADDIN CSL_CITATION { "citationItems" : [ { "id" : "ITEM-1", "itemData" : { "DOI" : "10.1016/j.biortech.2014.11.001", "ISSN" : "0960-8524", "author" : [ { "dropping-particle" : "", "family" : "Zhang", "given" : "Xiaoyuan", "non-dropping-particle" : "", "parse-names" : false, "suffix" : "" }, { "dropping-particle" : "", "family" : "He", "given" : "Weihua", "non-dropping-particle" : "", "parse-names" : false, "suffix" : "" }, { "dropping-particle" : "", "family" : "Ren", "given" : "Lijiao", "non-dropping-particle" : "", "parse-names" : false, "suffix" : "" }, { "dropping-particle" : "", "family" : "Stager", "given" : "Jennifer", "non-dropping-particle" : "", "parse-names" : false, "suffix" : "" }, { "dropping-particle" : "", "family" : "Evans", "given" : "Patrick J", "non-dropping-particle" : "", "parse-names" : false, "suffix" : "" }, { "dropping-particle" : "", "family" : "Logan", "given" : "Bruce E", "non-dropping-particle" : "", "parse-names" : false, "suffix" : "" } ], "container-title" : "Bioresource Technology", "id" : "ITEM-1", "issued" : { "date-parts" : [ [ "2015" ] ] }, "page" : "23-31", "publisher" : "Elsevier Ltd", "title" : "COD removal characteristics in air-cathode microbial fuel cells", "type" : "article-journal", "volume" : "176" }, "uris" : [ "http://www.mendeley.com/documents/?uuid=b05686df-491b-40aa-8b4c-f8c15e163eb1" ] } ], "mendeley" : { "formattedCitation" : "[21]", "plainTextFormattedCitation" : "[21]", "previouslyFormattedCitation" : "[21]" }, "properties" : { "noteIndex" : 0 }, "schema" : "https://github.com/citation-style-language/schema/raw/master/csl-citation.json" }</w:instrText>
      </w:r>
      <w:r w:rsidRPr="003A6B89">
        <w:rPr>
          <w:rFonts w:ascii="Times New Roman" w:hAnsi="Times New Roman"/>
          <w:sz w:val="20"/>
          <w:szCs w:val="20"/>
        </w:rPr>
        <w:fldChar w:fldCharType="separate"/>
      </w:r>
      <w:r w:rsidRPr="003A6B89">
        <w:rPr>
          <w:rFonts w:ascii="Times New Roman" w:hAnsi="Times New Roman"/>
          <w:noProof/>
          <w:sz w:val="20"/>
          <w:szCs w:val="20"/>
        </w:rPr>
        <w:t>[21]</w:t>
      </w:r>
      <w:r w:rsidRPr="003A6B89">
        <w:rPr>
          <w:rFonts w:ascii="Times New Roman" w:hAnsi="Times New Roman"/>
          <w:sz w:val="20"/>
          <w:szCs w:val="20"/>
        </w:rPr>
        <w:fldChar w:fldCharType="end"/>
      </w:r>
      <w:r w:rsidRPr="003A6B89">
        <w:rPr>
          <w:rFonts w:ascii="Times New Roman" w:hAnsi="Times New Roman"/>
          <w:sz w:val="20"/>
          <w:szCs w:val="20"/>
        </w:rPr>
        <w:t xml:space="preserve">, but in this work, CE is not calculated because the objective of this work is not to determine the performance of the MFC but to compare the material used in the MFC devices.  </w:t>
      </w:r>
    </w:p>
    <w:p w:rsidR="009C74B8" w:rsidRPr="003A6B89" w:rsidRDefault="009C74B8" w:rsidP="00E97F88">
      <w:pPr>
        <w:pStyle w:val="ListParagraph"/>
        <w:spacing w:after="120" w:line="240" w:lineRule="auto"/>
        <w:ind w:left="0"/>
        <w:contextualSpacing w:val="0"/>
        <w:jc w:val="both"/>
        <w:rPr>
          <w:rFonts w:ascii="Times New Roman" w:hAnsi="Times New Roman"/>
          <w:sz w:val="20"/>
          <w:szCs w:val="20"/>
        </w:rPr>
      </w:pPr>
    </w:p>
    <w:p w:rsidR="009C74B8" w:rsidRPr="003A6B89" w:rsidRDefault="009C74B8" w:rsidP="00E97F88">
      <w:pPr>
        <w:pStyle w:val="ListParagraph"/>
        <w:spacing w:after="120" w:line="240" w:lineRule="auto"/>
        <w:ind w:left="0"/>
        <w:contextualSpacing w:val="0"/>
        <w:jc w:val="center"/>
        <w:rPr>
          <w:rFonts w:ascii="Times New Roman" w:hAnsi="Times New Roman"/>
          <w:sz w:val="20"/>
          <w:szCs w:val="20"/>
        </w:rPr>
      </w:pPr>
      <w:r w:rsidRPr="003A6B89">
        <w:rPr>
          <w:rFonts w:ascii="Times New Roman" w:hAnsi="Times New Roman"/>
          <w:sz w:val="20"/>
          <w:szCs w:val="20"/>
        </w:rPr>
        <w:t>Table 1.  COD deduction after 120 hours of MFC</w:t>
      </w:r>
    </w:p>
    <w:tbl>
      <w:tblPr>
        <w:tblStyle w:val="PlainTable41"/>
        <w:tblpPr w:leftFromText="180" w:rightFromText="180" w:vertAnchor="text" w:tblpXSpec="center" w:tblpY="1"/>
        <w:tblOverlap w:val="never"/>
        <w:tblW w:w="0" w:type="auto"/>
        <w:tblLook w:val="04A0" w:firstRow="1" w:lastRow="0" w:firstColumn="1" w:lastColumn="0" w:noHBand="0" w:noVBand="1"/>
      </w:tblPr>
      <w:tblGrid>
        <w:gridCol w:w="1038"/>
        <w:gridCol w:w="1233"/>
        <w:gridCol w:w="1155"/>
        <w:gridCol w:w="1094"/>
        <w:gridCol w:w="1094"/>
      </w:tblGrid>
      <w:tr w:rsidR="009C74B8" w:rsidRPr="003A6B89" w:rsidTr="00E97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vAlign w:val="center"/>
          </w:tcPr>
          <w:p w:rsidR="009C74B8" w:rsidRPr="003A6B89" w:rsidRDefault="009C74B8" w:rsidP="00E97F88">
            <w:pPr>
              <w:pStyle w:val="ListParagraph"/>
              <w:spacing w:after="0" w:line="240" w:lineRule="auto"/>
              <w:ind w:left="0"/>
              <w:contextualSpacing w:val="0"/>
              <w:jc w:val="both"/>
              <w:rPr>
                <w:rFonts w:ascii="Times New Roman" w:hAnsi="Times New Roman"/>
                <w:sz w:val="20"/>
                <w:szCs w:val="20"/>
              </w:rPr>
            </w:pPr>
            <w:r w:rsidRPr="003A6B89">
              <w:rPr>
                <w:rFonts w:ascii="Times New Roman" w:hAnsi="Times New Roman"/>
                <w:sz w:val="20"/>
                <w:szCs w:val="20"/>
              </w:rPr>
              <w:t>Electrode</w:t>
            </w:r>
          </w:p>
        </w:tc>
        <w:tc>
          <w:tcPr>
            <w:tcW w:w="0" w:type="auto"/>
            <w:tcBorders>
              <w:top w:val="single" w:sz="4" w:space="0" w:color="auto"/>
            </w:tcBorders>
            <w:vAlign w:val="center"/>
          </w:tcPr>
          <w:p w:rsidR="009C74B8" w:rsidRPr="003A6B89" w:rsidRDefault="009C74B8" w:rsidP="00FC07A4">
            <w:pPr>
              <w:pStyle w:val="ListParagraph"/>
              <w:spacing w:before="60"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Initial COD</w:t>
            </w:r>
          </w:p>
        </w:tc>
        <w:tc>
          <w:tcPr>
            <w:tcW w:w="0" w:type="auto"/>
            <w:tcBorders>
              <w:top w:val="single" w:sz="4" w:space="0" w:color="auto"/>
            </w:tcBorders>
            <w:vAlign w:val="center"/>
          </w:tcPr>
          <w:p w:rsidR="009C74B8" w:rsidRPr="003A6B89" w:rsidRDefault="009C74B8" w:rsidP="00FC07A4">
            <w:pPr>
              <w:pStyle w:val="ListParagraph"/>
              <w:spacing w:before="60"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Final COD</w:t>
            </w:r>
          </w:p>
        </w:tc>
        <w:tc>
          <w:tcPr>
            <w:tcW w:w="0" w:type="auto"/>
            <w:tcBorders>
              <w:top w:val="single" w:sz="4" w:space="0" w:color="auto"/>
            </w:tcBorders>
          </w:tcPr>
          <w:p w:rsidR="009C74B8" w:rsidRPr="003A6B89" w:rsidRDefault="009C74B8" w:rsidP="00FC07A4">
            <w:pPr>
              <w:pStyle w:val="ListParagraph"/>
              <w:spacing w:before="60"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Deduction</w:t>
            </w:r>
          </w:p>
        </w:tc>
        <w:tc>
          <w:tcPr>
            <w:tcW w:w="0" w:type="auto"/>
            <w:tcBorders>
              <w:top w:val="single" w:sz="4" w:space="0" w:color="auto"/>
            </w:tcBorders>
            <w:vAlign w:val="center"/>
          </w:tcPr>
          <w:p w:rsidR="009C74B8" w:rsidRPr="003A6B89" w:rsidRDefault="009C74B8" w:rsidP="00FC07A4">
            <w:pPr>
              <w:pStyle w:val="ListParagraph"/>
              <w:spacing w:before="60"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Deduction</w:t>
            </w:r>
          </w:p>
        </w:tc>
      </w:tr>
      <w:tr w:rsidR="009C74B8" w:rsidRPr="003A6B89" w:rsidTr="00E97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tcPr>
          <w:p w:rsidR="009C74B8" w:rsidRPr="003A6B89" w:rsidRDefault="009C74B8" w:rsidP="00E97F88">
            <w:pPr>
              <w:pStyle w:val="ListParagraph"/>
              <w:spacing w:after="0" w:line="240" w:lineRule="auto"/>
              <w:ind w:left="0"/>
              <w:contextualSpacing w:val="0"/>
              <w:jc w:val="both"/>
              <w:rPr>
                <w:rFonts w:ascii="Times New Roman" w:hAnsi="Times New Roman"/>
                <w:sz w:val="20"/>
                <w:szCs w:val="20"/>
              </w:rPr>
            </w:pPr>
          </w:p>
        </w:tc>
        <w:tc>
          <w:tcPr>
            <w:tcW w:w="0" w:type="auto"/>
            <w:tcBorders>
              <w:bottom w:val="single" w:sz="4" w:space="0" w:color="auto"/>
            </w:tcBorders>
            <w:shd w:val="clear" w:color="auto" w:fill="auto"/>
            <w:vAlign w:val="center"/>
          </w:tcPr>
          <w:p w:rsidR="009C74B8" w:rsidRPr="003A6B89" w:rsidRDefault="009C74B8" w:rsidP="00FC07A4">
            <w:pPr>
              <w:pStyle w:val="ListParagraph"/>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A6B89">
              <w:rPr>
                <w:rFonts w:ascii="Times New Roman" w:hAnsi="Times New Roman"/>
                <w:b/>
                <w:sz w:val="20"/>
                <w:szCs w:val="20"/>
              </w:rPr>
              <w:t>(mg/L)</w:t>
            </w:r>
          </w:p>
        </w:tc>
        <w:tc>
          <w:tcPr>
            <w:tcW w:w="0" w:type="auto"/>
            <w:tcBorders>
              <w:bottom w:val="single" w:sz="4" w:space="0" w:color="auto"/>
            </w:tcBorders>
            <w:shd w:val="clear" w:color="auto" w:fill="auto"/>
            <w:vAlign w:val="center"/>
          </w:tcPr>
          <w:p w:rsidR="009C74B8" w:rsidRPr="003A6B89" w:rsidRDefault="009C74B8" w:rsidP="00FC07A4">
            <w:pPr>
              <w:pStyle w:val="ListParagraph"/>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A6B89">
              <w:rPr>
                <w:rFonts w:ascii="Times New Roman" w:hAnsi="Times New Roman"/>
                <w:b/>
                <w:sz w:val="20"/>
                <w:szCs w:val="20"/>
              </w:rPr>
              <w:t>(mg/L)</w:t>
            </w:r>
          </w:p>
        </w:tc>
        <w:tc>
          <w:tcPr>
            <w:tcW w:w="0" w:type="auto"/>
            <w:tcBorders>
              <w:bottom w:val="single" w:sz="4" w:space="0" w:color="auto"/>
            </w:tcBorders>
            <w:shd w:val="clear" w:color="auto" w:fill="auto"/>
          </w:tcPr>
          <w:p w:rsidR="009C74B8" w:rsidRPr="003A6B89" w:rsidRDefault="009C74B8" w:rsidP="00FC07A4">
            <w:pPr>
              <w:pStyle w:val="ListParagraph"/>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A6B89">
              <w:rPr>
                <w:rFonts w:ascii="Times New Roman" w:hAnsi="Times New Roman"/>
                <w:b/>
                <w:sz w:val="20"/>
                <w:szCs w:val="20"/>
              </w:rPr>
              <w:t>(mg/L)</w:t>
            </w:r>
          </w:p>
        </w:tc>
        <w:tc>
          <w:tcPr>
            <w:tcW w:w="0" w:type="auto"/>
            <w:tcBorders>
              <w:bottom w:val="single" w:sz="4" w:space="0" w:color="auto"/>
            </w:tcBorders>
            <w:shd w:val="clear" w:color="auto" w:fill="auto"/>
            <w:vAlign w:val="center"/>
          </w:tcPr>
          <w:p w:rsidR="009C74B8" w:rsidRPr="003A6B89" w:rsidRDefault="009C74B8" w:rsidP="00FC07A4">
            <w:pPr>
              <w:pStyle w:val="ListParagraph"/>
              <w:spacing w:after="6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A6B89">
              <w:rPr>
                <w:rFonts w:ascii="Times New Roman" w:hAnsi="Times New Roman"/>
                <w:b/>
                <w:sz w:val="20"/>
                <w:szCs w:val="20"/>
              </w:rPr>
              <w:t>(%)</w:t>
            </w:r>
          </w:p>
        </w:tc>
      </w:tr>
      <w:tr w:rsidR="009C74B8" w:rsidRPr="003A6B89" w:rsidTr="00E97F8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Control</w:t>
            </w:r>
          </w:p>
        </w:tc>
        <w:tc>
          <w:tcPr>
            <w:tcW w:w="0" w:type="auto"/>
            <w:tcBorders>
              <w:top w:val="single" w:sz="4" w:space="0" w:color="auto"/>
              <w:bottom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38200</w:t>
            </w:r>
          </w:p>
        </w:tc>
        <w:tc>
          <w:tcPr>
            <w:tcW w:w="0" w:type="auto"/>
            <w:tcBorders>
              <w:top w:val="single" w:sz="4" w:space="0" w:color="auto"/>
              <w:bottom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36566</w:t>
            </w:r>
          </w:p>
        </w:tc>
        <w:tc>
          <w:tcPr>
            <w:tcW w:w="0" w:type="auto"/>
            <w:tcBorders>
              <w:top w:val="single" w:sz="4" w:space="0" w:color="auto"/>
              <w:bottom w:val="single" w:sz="4" w:space="0" w:color="FFFFFF" w:themeColor="background1"/>
            </w:tcBorders>
            <w:shd w:val="clear" w:color="auto" w:fill="auto"/>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1634</w:t>
            </w:r>
          </w:p>
        </w:tc>
        <w:tc>
          <w:tcPr>
            <w:tcW w:w="0" w:type="auto"/>
            <w:tcBorders>
              <w:top w:val="single" w:sz="4" w:space="0" w:color="auto"/>
              <w:bottom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4.28</w:t>
            </w:r>
          </w:p>
        </w:tc>
      </w:tr>
      <w:tr w:rsidR="009C74B8" w:rsidRPr="003A6B89" w:rsidTr="00E97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CB1</w:t>
            </w:r>
          </w:p>
        </w:tc>
        <w:tc>
          <w:tcPr>
            <w:tcW w:w="0" w:type="auto"/>
            <w:vMerge w:val="restart"/>
            <w:tcBorders>
              <w:top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39700</w:t>
            </w:r>
          </w:p>
        </w:tc>
        <w:tc>
          <w:tcPr>
            <w:tcW w:w="0" w:type="auto"/>
            <w:tcBorders>
              <w:top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23633</w:t>
            </w:r>
          </w:p>
        </w:tc>
        <w:tc>
          <w:tcPr>
            <w:tcW w:w="0" w:type="auto"/>
            <w:tcBorders>
              <w:top w:val="single" w:sz="4" w:space="0" w:color="FFFFFF" w:themeColor="background1"/>
            </w:tcBorders>
            <w:shd w:val="clear" w:color="auto" w:fill="auto"/>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16067</w:t>
            </w:r>
          </w:p>
        </w:tc>
        <w:tc>
          <w:tcPr>
            <w:tcW w:w="0" w:type="auto"/>
            <w:tcBorders>
              <w:top w:val="single" w:sz="4" w:space="0" w:color="FFFFFF" w:themeColor="background1"/>
            </w:tcBorders>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40.47</w:t>
            </w:r>
          </w:p>
        </w:tc>
      </w:tr>
      <w:tr w:rsidR="009C74B8" w:rsidRPr="003A6B89" w:rsidTr="00E97F88">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9C74B8" w:rsidRPr="003A6B89" w:rsidRDefault="009C74B8" w:rsidP="00FC07A4">
            <w:pPr>
              <w:pStyle w:val="ListParagraph"/>
              <w:spacing w:before="6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CC1</w:t>
            </w:r>
          </w:p>
        </w:tc>
        <w:tc>
          <w:tcPr>
            <w:tcW w:w="0" w:type="auto"/>
            <w:vMerge/>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21467</w:t>
            </w:r>
          </w:p>
        </w:tc>
        <w:tc>
          <w:tcPr>
            <w:tcW w:w="0" w:type="auto"/>
            <w:shd w:val="clear" w:color="auto" w:fill="auto"/>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18233</w:t>
            </w: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45.93</w:t>
            </w:r>
          </w:p>
        </w:tc>
      </w:tr>
      <w:tr w:rsidR="009C74B8" w:rsidRPr="003A6B89" w:rsidTr="00E97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9C74B8" w:rsidRPr="003A6B89" w:rsidRDefault="009C74B8" w:rsidP="00FC07A4">
            <w:pPr>
              <w:pStyle w:val="ListParagraph"/>
              <w:spacing w:before="6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PCC1</w:t>
            </w:r>
          </w:p>
        </w:tc>
        <w:tc>
          <w:tcPr>
            <w:tcW w:w="0" w:type="auto"/>
            <w:vMerge/>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24033</w:t>
            </w:r>
          </w:p>
        </w:tc>
        <w:tc>
          <w:tcPr>
            <w:tcW w:w="0" w:type="auto"/>
            <w:shd w:val="clear" w:color="auto" w:fill="auto"/>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15667</w:t>
            </w: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39.46</w:t>
            </w:r>
          </w:p>
        </w:tc>
      </w:tr>
      <w:tr w:rsidR="009C74B8" w:rsidRPr="003A6B89" w:rsidTr="00E97F88">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9C74B8" w:rsidRPr="003A6B89" w:rsidRDefault="009C74B8" w:rsidP="00FC07A4">
            <w:pPr>
              <w:pStyle w:val="ListParagraph"/>
              <w:spacing w:before="12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CB2</w:t>
            </w:r>
          </w:p>
        </w:tc>
        <w:tc>
          <w:tcPr>
            <w:tcW w:w="0" w:type="auto"/>
            <w:vMerge w:val="restart"/>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66133</w:t>
            </w:r>
          </w:p>
        </w:tc>
        <w:tc>
          <w:tcPr>
            <w:tcW w:w="0" w:type="auto"/>
            <w:shd w:val="clear" w:color="auto" w:fill="auto"/>
            <w:vAlign w:val="center"/>
          </w:tcPr>
          <w:p w:rsidR="009C74B8" w:rsidRPr="003A6B89" w:rsidRDefault="009C74B8" w:rsidP="00FC07A4">
            <w:pPr>
              <w:pStyle w:val="ListParagraph"/>
              <w:spacing w:before="12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51100</w:t>
            </w:r>
          </w:p>
        </w:tc>
        <w:tc>
          <w:tcPr>
            <w:tcW w:w="0" w:type="auto"/>
            <w:shd w:val="clear" w:color="auto" w:fill="auto"/>
          </w:tcPr>
          <w:p w:rsidR="009C74B8" w:rsidRPr="003A6B89" w:rsidRDefault="009C74B8" w:rsidP="00FC07A4">
            <w:pPr>
              <w:pStyle w:val="ListParagraph"/>
              <w:spacing w:before="12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15033</w:t>
            </w:r>
          </w:p>
        </w:tc>
        <w:tc>
          <w:tcPr>
            <w:tcW w:w="0" w:type="auto"/>
            <w:shd w:val="clear" w:color="auto" w:fill="auto"/>
            <w:vAlign w:val="center"/>
          </w:tcPr>
          <w:p w:rsidR="009C74B8" w:rsidRPr="003A6B89" w:rsidRDefault="009C74B8" w:rsidP="00FC07A4">
            <w:pPr>
              <w:pStyle w:val="ListParagraph"/>
              <w:spacing w:before="12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22.73</w:t>
            </w:r>
          </w:p>
        </w:tc>
      </w:tr>
      <w:tr w:rsidR="009C74B8" w:rsidRPr="003A6B89" w:rsidTr="00FC0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9C74B8" w:rsidRPr="003A6B89" w:rsidRDefault="009C74B8" w:rsidP="00FC07A4">
            <w:pPr>
              <w:pStyle w:val="ListParagraph"/>
              <w:spacing w:before="60" w:after="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CC2</w:t>
            </w:r>
          </w:p>
        </w:tc>
        <w:tc>
          <w:tcPr>
            <w:tcW w:w="0" w:type="auto"/>
            <w:vMerge/>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46100</w:t>
            </w:r>
          </w:p>
        </w:tc>
        <w:tc>
          <w:tcPr>
            <w:tcW w:w="0" w:type="auto"/>
            <w:shd w:val="clear" w:color="auto" w:fill="auto"/>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20033</w:t>
            </w:r>
          </w:p>
        </w:tc>
        <w:tc>
          <w:tcPr>
            <w:tcW w:w="0" w:type="auto"/>
            <w:shd w:val="clear" w:color="auto" w:fill="auto"/>
            <w:vAlign w:val="center"/>
          </w:tcPr>
          <w:p w:rsidR="009C74B8" w:rsidRPr="003A6B89" w:rsidRDefault="009C74B8" w:rsidP="00FC07A4">
            <w:pPr>
              <w:pStyle w:val="ListParagraph"/>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30.29</w:t>
            </w:r>
          </w:p>
        </w:tc>
      </w:tr>
      <w:tr w:rsidR="009C74B8" w:rsidRPr="003A6B89" w:rsidTr="00FC07A4">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vAlign w:val="center"/>
          </w:tcPr>
          <w:p w:rsidR="009C74B8" w:rsidRPr="003A6B89" w:rsidRDefault="009C74B8" w:rsidP="00FC07A4">
            <w:pPr>
              <w:pStyle w:val="ListParagraph"/>
              <w:spacing w:before="60" w:after="60" w:line="240" w:lineRule="auto"/>
              <w:ind w:left="0"/>
              <w:contextualSpacing w:val="0"/>
              <w:jc w:val="both"/>
              <w:rPr>
                <w:rFonts w:ascii="Times New Roman" w:hAnsi="Times New Roman"/>
                <w:b w:val="0"/>
                <w:sz w:val="20"/>
                <w:szCs w:val="20"/>
              </w:rPr>
            </w:pPr>
            <w:r w:rsidRPr="003A6B89">
              <w:rPr>
                <w:rFonts w:ascii="Times New Roman" w:hAnsi="Times New Roman"/>
                <w:b w:val="0"/>
                <w:sz w:val="20"/>
                <w:szCs w:val="20"/>
              </w:rPr>
              <w:t>PCC2</w:t>
            </w:r>
          </w:p>
        </w:tc>
        <w:tc>
          <w:tcPr>
            <w:tcW w:w="0" w:type="auto"/>
            <w:vMerge/>
            <w:tcBorders>
              <w:bottom w:val="single" w:sz="4" w:space="0" w:color="auto"/>
            </w:tcBorders>
            <w:shd w:val="clear" w:color="auto" w:fill="auto"/>
            <w:vAlign w:val="center"/>
          </w:tcPr>
          <w:p w:rsidR="009C74B8" w:rsidRPr="003A6B89" w:rsidRDefault="009C74B8" w:rsidP="00FC07A4">
            <w:pPr>
              <w:pStyle w:val="ListParagraph"/>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tcBorders>
              <w:bottom w:val="single" w:sz="4" w:space="0" w:color="auto"/>
            </w:tcBorders>
            <w:shd w:val="clear" w:color="auto" w:fill="auto"/>
            <w:vAlign w:val="center"/>
          </w:tcPr>
          <w:p w:rsidR="009C74B8" w:rsidRPr="003A6B89" w:rsidRDefault="009C74B8" w:rsidP="00FC07A4">
            <w:pPr>
              <w:pStyle w:val="ListParagraph"/>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44967</w:t>
            </w:r>
          </w:p>
        </w:tc>
        <w:tc>
          <w:tcPr>
            <w:tcW w:w="0" w:type="auto"/>
            <w:tcBorders>
              <w:bottom w:val="single" w:sz="4" w:space="0" w:color="auto"/>
            </w:tcBorders>
            <w:shd w:val="clear" w:color="auto" w:fill="auto"/>
          </w:tcPr>
          <w:p w:rsidR="009C74B8" w:rsidRPr="003A6B89" w:rsidRDefault="009C74B8" w:rsidP="00FC07A4">
            <w:pPr>
              <w:pStyle w:val="ListParagraph"/>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21166</w:t>
            </w:r>
          </w:p>
        </w:tc>
        <w:tc>
          <w:tcPr>
            <w:tcW w:w="0" w:type="auto"/>
            <w:tcBorders>
              <w:bottom w:val="single" w:sz="4" w:space="0" w:color="auto"/>
            </w:tcBorders>
            <w:shd w:val="clear" w:color="auto" w:fill="auto"/>
            <w:vAlign w:val="center"/>
          </w:tcPr>
          <w:p w:rsidR="009C74B8" w:rsidRPr="003A6B89" w:rsidRDefault="009C74B8" w:rsidP="00FC07A4">
            <w:pPr>
              <w:pStyle w:val="ListParagraph"/>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A6B89">
              <w:rPr>
                <w:rFonts w:ascii="Times New Roman" w:hAnsi="Times New Roman"/>
                <w:sz w:val="20"/>
                <w:szCs w:val="20"/>
              </w:rPr>
              <w:t>32.0</w:t>
            </w:r>
          </w:p>
        </w:tc>
      </w:tr>
    </w:tbl>
    <w:p w:rsidR="009C74B8" w:rsidRPr="003A6B89" w:rsidRDefault="00E97F88" w:rsidP="00FC07A4">
      <w:pPr>
        <w:pStyle w:val="ListParagraph"/>
        <w:spacing w:after="120" w:line="240" w:lineRule="auto"/>
        <w:ind w:left="0" w:firstLine="720"/>
        <w:contextualSpacing w:val="0"/>
        <w:jc w:val="both"/>
        <w:rPr>
          <w:rFonts w:ascii="Times New Roman" w:hAnsi="Times New Roman"/>
          <w:sz w:val="20"/>
          <w:szCs w:val="20"/>
        </w:rPr>
      </w:pPr>
      <w:r>
        <w:rPr>
          <w:rFonts w:ascii="Times New Roman" w:hAnsi="Times New Roman"/>
          <w:sz w:val="20"/>
          <w:szCs w:val="20"/>
        </w:rPr>
        <w:br w:type="textWrapping" w:clear="all"/>
      </w:r>
    </w:p>
    <w:p w:rsidR="009C74B8" w:rsidRPr="003A6B89" w:rsidRDefault="009C74B8" w:rsidP="009C74B8">
      <w:pPr>
        <w:spacing w:after="0" w:line="240" w:lineRule="auto"/>
        <w:jc w:val="both"/>
        <w:rPr>
          <w:rFonts w:ascii="Times New Roman" w:hAnsi="Times New Roman"/>
          <w:sz w:val="20"/>
        </w:rPr>
      </w:pPr>
      <w:r w:rsidRPr="003A6B89">
        <w:rPr>
          <w:rFonts w:ascii="Times New Roman" w:hAnsi="Times New Roman"/>
          <w:sz w:val="20"/>
        </w:rPr>
        <w:t xml:space="preserve">ESEM was used to observe the ACB’s surface on both POME- and POME+. In ACB in POME- (Figure 5), there were a very small number of bacteria detected which did not contributed in generating electricity. In ACB in POME+ (Figure 5), there were lots of numbers of bacteria detected that formed a biofilm on the ACB which contributed in generating electricity. The comparison between both factors is clear and proven that the association of bacteria in MFC to generate electricity. </w:t>
      </w:r>
    </w:p>
    <w:p w:rsidR="009C74B8" w:rsidRPr="003A6B89" w:rsidRDefault="009C74B8" w:rsidP="00FC07A4">
      <w:pPr>
        <w:spacing w:after="120" w:line="240" w:lineRule="auto"/>
        <w:jc w:val="both"/>
        <w:rPr>
          <w:rFonts w:ascii="Times New Roman" w:hAnsi="Times New Roman"/>
          <w:sz w:val="20"/>
        </w:rPr>
      </w:pPr>
    </w:p>
    <w:p w:rsidR="009C74B8" w:rsidRPr="003A6B89" w:rsidRDefault="00FC07A4" w:rsidP="00FC07A4">
      <w:pPr>
        <w:spacing w:after="120" w:line="240" w:lineRule="auto"/>
        <w:jc w:val="center"/>
        <w:rPr>
          <w:rFonts w:ascii="Times New Roman" w:hAnsi="Times New Roman"/>
          <w:sz w:val="20"/>
        </w:rPr>
      </w:pPr>
      <w:r w:rsidRPr="003A6B89">
        <w:rPr>
          <w:rFonts w:ascii="Times New Roman" w:hAnsi="Times New Roman"/>
          <w:noProof/>
          <w:sz w:val="20"/>
        </w:rPr>
        <mc:AlternateContent>
          <mc:Choice Requires="wps">
            <w:drawing>
              <wp:anchor distT="45720" distB="45720" distL="114300" distR="114300" simplePos="0" relativeHeight="251661824" behindDoc="0" locked="0" layoutInCell="1" allowOverlap="0" wp14:anchorId="5D719EF6" wp14:editId="6AEC3CAC">
                <wp:simplePos x="0" y="0"/>
                <wp:positionH relativeFrom="column">
                  <wp:posOffset>3096260</wp:posOffset>
                </wp:positionH>
                <wp:positionV relativeFrom="paragraph">
                  <wp:posOffset>24130</wp:posOffset>
                </wp:positionV>
                <wp:extent cx="433070" cy="2597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B8" w:rsidRPr="004D1F6D" w:rsidRDefault="009C74B8" w:rsidP="009C74B8">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4D1F6D">
                              <w:rPr>
                                <w:rFonts w:ascii="Times New Roman" w:hAnsi="Times New Roman"/>
                                <w:b/>
                                <w:color w:val="FFFFFF" w:themeColor="background1"/>
                                <w:sz w:val="20"/>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43.8pt;margin-top:1.9pt;width:34.1pt;height:20.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nC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" o:allowoverlap="f" filled="f" stroked="f">
                <v:textbox>
                  <w:txbxContent>
                    <w:p w:rsidR="009C74B8" w:rsidRPr="004D1F6D" w:rsidRDefault="009C74B8" w:rsidP="009C74B8">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w:t>
                      </w:r>
                      <w:r>
                        <w:rPr>
                          <w:rFonts w:ascii="Times New Roman" w:hAnsi="Times New Roman"/>
                          <w:b/>
                          <w:color w:val="FFFFFF" w:themeColor="background1"/>
                          <w:sz w:val="20"/>
                          <w:lang w:val="en-GB"/>
                        </w:rPr>
                        <w:t>b</w:t>
                      </w:r>
                      <w:r w:rsidRPr="004D1F6D">
                        <w:rPr>
                          <w:rFonts w:ascii="Times New Roman" w:hAnsi="Times New Roman"/>
                          <w:b/>
                          <w:color w:val="FFFFFF" w:themeColor="background1"/>
                          <w:sz w:val="20"/>
                          <w:lang w:val="en-GB"/>
                        </w:rPr>
                        <w:t>)</w:t>
                      </w:r>
                    </w:p>
                  </w:txbxContent>
                </v:textbox>
              </v:shape>
            </w:pict>
          </mc:Fallback>
        </mc:AlternateContent>
      </w:r>
      <w:r w:rsidRPr="003A6B89">
        <w:rPr>
          <w:rFonts w:ascii="Times New Roman" w:hAnsi="Times New Roman"/>
          <w:noProof/>
          <w:sz w:val="20"/>
        </w:rPr>
        <mc:AlternateContent>
          <mc:Choice Requires="wps">
            <w:drawing>
              <wp:anchor distT="45720" distB="45720" distL="114300" distR="114300" simplePos="0" relativeHeight="251660800" behindDoc="0" locked="0" layoutInCell="1" allowOverlap="0" wp14:anchorId="03E0959D" wp14:editId="59D85690">
                <wp:simplePos x="0" y="0"/>
                <wp:positionH relativeFrom="column">
                  <wp:posOffset>866775</wp:posOffset>
                </wp:positionH>
                <wp:positionV relativeFrom="paragraph">
                  <wp:posOffset>43815</wp:posOffset>
                </wp:positionV>
                <wp:extent cx="433070" cy="25971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B8" w:rsidRPr="004D1F6D" w:rsidRDefault="009C74B8" w:rsidP="009C74B8">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68.25pt;margin-top:3.45pt;width:34.1pt;height:20.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ZWuAIAAL8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" o:allowoverlap="f" filled="f" stroked="f">
                <v:textbox>
                  <w:txbxContent>
                    <w:p w:rsidR="009C74B8" w:rsidRPr="004D1F6D" w:rsidRDefault="009C74B8" w:rsidP="009C74B8">
                      <w:pPr>
                        <w:jc w:val="center"/>
                        <w:rPr>
                          <w:rFonts w:ascii="Times New Roman" w:hAnsi="Times New Roman"/>
                          <w:color w:val="FFFFFF" w:themeColor="background1"/>
                          <w:sz w:val="18"/>
                          <w:lang w:val="en-GB"/>
                        </w:rPr>
                      </w:pPr>
                      <w:r w:rsidRPr="004D1F6D">
                        <w:rPr>
                          <w:rFonts w:ascii="Times New Roman" w:hAnsi="Times New Roman"/>
                          <w:b/>
                          <w:color w:val="FFFFFF" w:themeColor="background1"/>
                          <w:sz w:val="20"/>
                          <w:lang w:val="en-GB"/>
                        </w:rPr>
                        <w:t>(a)</w:t>
                      </w:r>
                    </w:p>
                  </w:txbxContent>
                </v:textbox>
              </v:shape>
            </w:pict>
          </mc:Fallback>
        </mc:AlternateContent>
      </w:r>
      <w:r w:rsidR="009C74B8" w:rsidRPr="003A6B89">
        <w:rPr>
          <w:rFonts w:ascii="Times New Roman" w:hAnsi="Times New Roman"/>
          <w:noProof/>
          <w:sz w:val="20"/>
        </w:rPr>
        <w:drawing>
          <wp:inline distT="0" distB="0" distL="0" distR="0" wp14:anchorId="5B7DCACC" wp14:editId="03D9D0F3">
            <wp:extent cx="2174117" cy="1986045"/>
            <wp:effectExtent l="0" t="0" r="0" b="0"/>
            <wp:docPr id="7" name="Picture 7" descr="TS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B_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0102" cy="1991513"/>
                    </a:xfrm>
                    <a:prstGeom prst="rect">
                      <a:avLst/>
                    </a:prstGeom>
                    <a:noFill/>
                    <a:ln>
                      <a:noFill/>
                    </a:ln>
                  </pic:spPr>
                </pic:pic>
              </a:graphicData>
            </a:graphic>
          </wp:inline>
        </w:drawing>
      </w:r>
      <w:r>
        <w:rPr>
          <w:rFonts w:ascii="Times New Roman" w:hAnsi="Times New Roman"/>
          <w:sz w:val="20"/>
        </w:rPr>
        <w:t xml:space="preserve">    </w:t>
      </w:r>
      <w:r w:rsidR="009C74B8" w:rsidRPr="003A6B89">
        <w:rPr>
          <w:rFonts w:ascii="Times New Roman" w:hAnsi="Times New Roman"/>
          <w:noProof/>
          <w:sz w:val="20"/>
        </w:rPr>
        <w:drawing>
          <wp:inline distT="0" distB="0" distL="0" distR="0" wp14:anchorId="5631AFC6" wp14:editId="4B31334B">
            <wp:extent cx="2159072" cy="1986045"/>
            <wp:effectExtent l="0" t="0" r="0" b="0"/>
            <wp:docPr id="8" name="Picture 8" descr="TSB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B_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87243" cy="2011958"/>
                    </a:xfrm>
                    <a:prstGeom prst="rect">
                      <a:avLst/>
                    </a:prstGeom>
                    <a:noFill/>
                    <a:ln>
                      <a:noFill/>
                    </a:ln>
                  </pic:spPr>
                </pic:pic>
              </a:graphicData>
            </a:graphic>
          </wp:inline>
        </w:drawing>
      </w:r>
    </w:p>
    <w:p w:rsidR="009C74B8" w:rsidRPr="003A6B89" w:rsidRDefault="009C74B8" w:rsidP="009C74B8">
      <w:pPr>
        <w:spacing w:after="0" w:line="240" w:lineRule="auto"/>
        <w:ind w:left="851" w:hanging="851"/>
        <w:jc w:val="both"/>
        <w:rPr>
          <w:rFonts w:ascii="Times New Roman" w:hAnsi="Times New Roman"/>
          <w:sz w:val="20"/>
        </w:rPr>
      </w:pPr>
      <w:r w:rsidRPr="003A6B89">
        <w:rPr>
          <w:rFonts w:ascii="Times New Roman" w:hAnsi="Times New Roman"/>
          <w:sz w:val="20"/>
        </w:rPr>
        <w:t>Figure 5.  ESEM images of microorganisms’ attachment on ACB’s surface at day 5 (a) ACB from POME- (b) ACB from POME+</w:t>
      </w:r>
    </w:p>
    <w:p w:rsidR="009C74B8" w:rsidRPr="003A6B89" w:rsidRDefault="009C74B8" w:rsidP="009C74B8">
      <w:pPr>
        <w:spacing w:after="0" w:line="240" w:lineRule="auto"/>
        <w:jc w:val="both"/>
        <w:rPr>
          <w:rFonts w:ascii="Times New Roman" w:hAnsi="Times New Roman"/>
          <w:b/>
          <w:sz w:val="20"/>
        </w:rPr>
      </w:pPr>
    </w:p>
    <w:p w:rsidR="006768E9" w:rsidRPr="00F447A7" w:rsidRDefault="006768E9" w:rsidP="009C74B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C07A4" w:rsidRPr="003A6B89" w:rsidRDefault="00FC07A4" w:rsidP="00FC07A4">
      <w:pPr>
        <w:spacing w:after="0" w:line="240" w:lineRule="auto"/>
        <w:jc w:val="both"/>
        <w:rPr>
          <w:rFonts w:ascii="Times New Roman" w:hAnsi="Times New Roman"/>
          <w:b/>
          <w:sz w:val="20"/>
        </w:rPr>
      </w:pPr>
      <w:r w:rsidRPr="003A6B89">
        <w:rPr>
          <w:rFonts w:ascii="Times New Roman" w:hAnsi="Times New Roman"/>
          <w:sz w:val="20"/>
        </w:rPr>
        <w:t>In conclusion, the result is as predicted. The comparison between two substrates used, which are POME- and POME+, shows a clear result that associations of bacteria in MFC devices generate a better power generation. On average, the highest power generated is 38.38 mW/m</w:t>
      </w:r>
      <w:r w:rsidRPr="003A6B89">
        <w:rPr>
          <w:rFonts w:ascii="Times New Roman" w:hAnsi="Times New Roman"/>
          <w:sz w:val="20"/>
          <w:vertAlign w:val="superscript"/>
        </w:rPr>
        <w:t>2</w:t>
      </w:r>
      <w:r w:rsidRPr="003A6B89">
        <w:rPr>
          <w:rFonts w:ascii="Times New Roman" w:hAnsi="Times New Roman"/>
          <w:sz w:val="20"/>
        </w:rPr>
        <w:t>, which yielded by POME+ PCC2. There are only a small portion of power generated in all POME- substrates but the power that were generated is not significant. CC1 with POME- has the highest chemical oxygen demand (COD) deduction efficiency which indicates the POME treatment is deducted by 45.93%. The pH controller (NaOH) used did gave a kick start in power generations but in a few hours the effect of NaOH on the power generation decrease rapidly.</w:t>
      </w:r>
    </w:p>
    <w:p w:rsidR="00FC07A4" w:rsidRPr="003A6B89" w:rsidRDefault="00FC07A4" w:rsidP="00FC07A4">
      <w:pPr>
        <w:pStyle w:val="ListParagraph"/>
        <w:spacing w:after="0" w:line="240" w:lineRule="auto"/>
        <w:ind w:left="0"/>
        <w:contextualSpacing w:val="0"/>
        <w:jc w:val="center"/>
        <w:rPr>
          <w:rFonts w:ascii="Times New Roman" w:hAnsi="Times New Roman"/>
          <w:sz w:val="20"/>
          <w:szCs w:val="20"/>
        </w:rPr>
      </w:pPr>
    </w:p>
    <w:p w:rsidR="00FC07A4" w:rsidRPr="003A6B89" w:rsidRDefault="00FC07A4" w:rsidP="00FC07A4">
      <w:pPr>
        <w:shd w:val="clear" w:color="auto" w:fill="FFFFFF"/>
        <w:spacing w:after="0" w:line="240" w:lineRule="auto"/>
        <w:jc w:val="center"/>
        <w:rPr>
          <w:rFonts w:ascii="Times New Roman" w:hAnsi="Times New Roman"/>
          <w:b/>
          <w:bCs/>
          <w:sz w:val="20"/>
        </w:rPr>
      </w:pPr>
      <w:r w:rsidRPr="003A6B89">
        <w:rPr>
          <w:rFonts w:ascii="Times New Roman" w:hAnsi="Times New Roman"/>
          <w:b/>
          <w:bCs/>
          <w:sz w:val="20"/>
        </w:rPr>
        <w:t>Acknowledgement</w:t>
      </w:r>
    </w:p>
    <w:p w:rsidR="006768E9" w:rsidRPr="00FC07A4" w:rsidRDefault="00FC07A4" w:rsidP="00FC07A4">
      <w:pPr>
        <w:shd w:val="clear" w:color="auto" w:fill="FFFFFF"/>
        <w:spacing w:after="0" w:line="240" w:lineRule="auto"/>
        <w:jc w:val="both"/>
        <w:rPr>
          <w:rFonts w:ascii="Times New Roman" w:hAnsi="Times New Roman"/>
          <w:sz w:val="20"/>
        </w:rPr>
      </w:pPr>
      <w:r w:rsidRPr="003A6B89">
        <w:rPr>
          <w:rFonts w:ascii="Times New Roman" w:hAnsi="Times New Roman"/>
          <w:sz w:val="20"/>
        </w:rPr>
        <w:t xml:space="preserve">The authors would like to thank the Ministry of Education (MOE), Malaysia and University of Technology MARA (UiTM) and Malaysia Palm Oil Board (MPOB) for funding (ERGS (600-RMI/ERGS 5/3 (5/2013)) and GSAS) this project.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eastAsia="Calibri" w:hAnsi="Times New Roman"/>
          <w:sz w:val="20"/>
        </w:rPr>
        <w:fldChar w:fldCharType="begin" w:fldLock="1"/>
      </w:r>
      <w:r w:rsidRPr="003A6B89">
        <w:rPr>
          <w:rFonts w:ascii="Times New Roman" w:hAnsi="Times New Roman"/>
          <w:sz w:val="20"/>
        </w:rPr>
        <w:instrText xml:space="preserve">ADDIN Mendeley Bibliography CSL_BIBLIOGRAPHY </w:instrText>
      </w:r>
      <w:r w:rsidRPr="003A6B89">
        <w:rPr>
          <w:rFonts w:ascii="Times New Roman" w:eastAsia="Calibri" w:hAnsi="Times New Roman"/>
          <w:sz w:val="20"/>
        </w:rPr>
        <w:fldChar w:fldCharType="separate"/>
      </w:r>
      <w:r w:rsidRPr="003A6B89">
        <w:rPr>
          <w:rFonts w:ascii="Times New Roman" w:hAnsi="Times New Roman"/>
          <w:noProof/>
          <w:sz w:val="20"/>
          <w:szCs w:val="24"/>
        </w:rPr>
        <w:t xml:space="preserve">Malaysian Federal Subsidiary Legislation (1978). Environmental quality act 1974. Access from https://www.doe.gov.my/portalv1/wpcontent/uploads/2015/01/Environmental_Quality_Scheduled_Wastes Regulations_2005_-_P.U.A_294-2005.pdf </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Andrew, Y. K. C. and Manaf, F. Y. A. (2013). Fermentation pathway for palm oil mill effluent. </w:t>
      </w:r>
      <w:r w:rsidRPr="003A6B89">
        <w:rPr>
          <w:rFonts w:ascii="Times New Roman" w:hAnsi="Times New Roman"/>
          <w:i/>
          <w:iCs/>
          <w:noProof/>
          <w:sz w:val="20"/>
          <w:szCs w:val="24"/>
        </w:rPr>
        <w:t>Palm Oil Engineering Bulletin,</w:t>
      </w:r>
      <w:r w:rsidRPr="003A6B89">
        <w:rPr>
          <w:rFonts w:ascii="Times New Roman" w:hAnsi="Times New Roman"/>
          <w:noProof/>
          <w:sz w:val="20"/>
          <w:szCs w:val="24"/>
        </w:rPr>
        <w:t xml:space="preserve"> 109: 13-23.</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(2008). </w:t>
      </w:r>
      <w:r w:rsidRPr="003A6B89">
        <w:rPr>
          <w:rFonts w:ascii="Times New Roman" w:hAnsi="Times New Roman"/>
          <w:iCs/>
          <w:noProof/>
          <w:sz w:val="20"/>
          <w:szCs w:val="24"/>
        </w:rPr>
        <w:t>Microbial fuel cells</w:t>
      </w:r>
      <w:r w:rsidRPr="003A6B89">
        <w:rPr>
          <w:rFonts w:ascii="Times New Roman" w:hAnsi="Times New Roman"/>
          <w:noProof/>
          <w:sz w:val="20"/>
          <w:szCs w:val="24"/>
        </w:rPr>
        <w:t xml:space="preserve">. </w:t>
      </w:r>
      <w:r w:rsidRPr="003A6B89">
        <w:rPr>
          <w:rFonts w:ascii="Times New Roman" w:hAnsi="Times New Roman"/>
          <w:sz w:val="20"/>
        </w:rPr>
        <w:t>John Wiley &amp; Sons, Inc, United Kingdom: pp.200.</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Liu, H. and Logan, B. E. (2004). Electricity generation using an air-cathode single chamber microbial fuel cell in the presence and absence of a proton exchange membrane. </w:t>
      </w:r>
      <w:r w:rsidRPr="003A6B89">
        <w:rPr>
          <w:rFonts w:ascii="Times New Roman" w:hAnsi="Times New Roman"/>
          <w:i/>
          <w:iCs/>
          <w:noProof/>
          <w:sz w:val="20"/>
          <w:szCs w:val="24"/>
        </w:rPr>
        <w:t>Environmental Science and Technology</w:t>
      </w:r>
      <w:r w:rsidRPr="003A6B89">
        <w:rPr>
          <w:rFonts w:ascii="Times New Roman" w:hAnsi="Times New Roman"/>
          <w:noProof/>
          <w:sz w:val="20"/>
          <w:szCs w:val="24"/>
        </w:rPr>
        <w:t>, 38(14): 4040–4046.</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Torres, C. I., Marcus, A. K., Lee, H. S., Parameswaran, P., Krajmalnik-Brown, R. and Rittmann, B. E. (2010). A kinetic perspective on extracellular electron transfer by anode-respiring bacteria. </w:t>
      </w:r>
      <w:r w:rsidRPr="003A6B89">
        <w:rPr>
          <w:rFonts w:ascii="Times New Roman" w:hAnsi="Times New Roman"/>
          <w:i/>
          <w:iCs/>
          <w:noProof/>
          <w:sz w:val="20"/>
          <w:szCs w:val="24"/>
        </w:rPr>
        <w:t>FEMS Microbiology. Reviews</w:t>
      </w:r>
      <w:r w:rsidRPr="003A6B89">
        <w:rPr>
          <w:rFonts w:ascii="Times New Roman" w:hAnsi="Times New Roman"/>
          <w:noProof/>
          <w:sz w:val="20"/>
          <w:szCs w:val="24"/>
        </w:rPr>
        <w:t>, 34: 3–17.</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Samir, K. K., Rao, Y. S., Zhang, T. C., Budhhi, P. L., Tyagi, R. D. and Kao, C. M. (2010). Bioenergy and biofuel from biowastes and biomass. </w:t>
      </w:r>
      <w:r w:rsidRPr="003A6B89">
        <w:rPr>
          <w:rFonts w:ascii="Times New Roman" w:hAnsi="Times New Roman"/>
          <w:i/>
          <w:iCs/>
          <w:noProof/>
          <w:sz w:val="20"/>
          <w:szCs w:val="24"/>
        </w:rPr>
        <w:t>Institution American Society Civil Engineering</w:t>
      </w:r>
      <w:r w:rsidRPr="003A6B89">
        <w:rPr>
          <w:rFonts w:ascii="Times New Roman" w:hAnsi="Times New Roman"/>
          <w:noProof/>
          <w:sz w:val="20"/>
          <w:szCs w:val="24"/>
        </w:rPr>
        <w:t>, 6: 116–126.</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Nair, R., Renganathan, K., Barathi, S. and Venkatraman, K. (2013). Performance of salt-bridge microbial fuel cell at various agarose concentrations using hostel sewage waste as substrate. </w:t>
      </w:r>
      <w:r w:rsidRPr="003A6B89">
        <w:rPr>
          <w:rFonts w:ascii="Times New Roman" w:hAnsi="Times New Roman"/>
          <w:i/>
          <w:iCs/>
          <w:noProof/>
          <w:sz w:val="20"/>
          <w:szCs w:val="24"/>
        </w:rPr>
        <w:t>International Journal of Advance Research Technology</w:t>
      </w:r>
      <w:r w:rsidRPr="003A6B89">
        <w:rPr>
          <w:rFonts w:ascii="Times New Roman" w:hAnsi="Times New Roman"/>
          <w:noProof/>
          <w:sz w:val="20"/>
          <w:szCs w:val="24"/>
        </w:rPr>
        <w:t>, 2 (5): 326–330.</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Hamelers, B., Rozendal, R., Schroder, U., Keller, J., Freguai, S., Aelterman, P., Verstraete, W. and Rabaey, K. (2006). Microbial fuel cells: Methodology and technology. </w:t>
      </w:r>
      <w:r w:rsidRPr="003A6B89">
        <w:rPr>
          <w:rFonts w:ascii="Times New Roman" w:hAnsi="Times New Roman"/>
          <w:i/>
          <w:iCs/>
          <w:noProof/>
          <w:sz w:val="20"/>
          <w:szCs w:val="24"/>
        </w:rPr>
        <w:t>Environment Science and Technology</w:t>
      </w:r>
      <w:r w:rsidRPr="003A6B89">
        <w:rPr>
          <w:rFonts w:ascii="Times New Roman" w:hAnsi="Times New Roman"/>
          <w:noProof/>
          <w:sz w:val="20"/>
          <w:szCs w:val="24"/>
        </w:rPr>
        <w:t>, 40(17): 5181–5192.</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sz w:val="20"/>
        </w:rPr>
        <w:t>Baranitharan</w:t>
      </w:r>
      <w:r w:rsidRPr="003A6B89">
        <w:rPr>
          <w:rFonts w:ascii="Times New Roman" w:hAnsi="Times New Roman"/>
          <w:noProof/>
          <w:sz w:val="20"/>
          <w:szCs w:val="24"/>
        </w:rPr>
        <w:t xml:space="preserve">, E., Khan, M. R. and Prasad, D. (2013). Treatment of palm oil mill effluent in microbial fuel cell using polyacrylonitrile carbon felt as electrode. </w:t>
      </w:r>
      <w:r w:rsidRPr="003A6B89">
        <w:rPr>
          <w:rFonts w:ascii="Times New Roman" w:hAnsi="Times New Roman"/>
          <w:i/>
          <w:iCs/>
          <w:noProof/>
          <w:sz w:val="20"/>
          <w:szCs w:val="24"/>
        </w:rPr>
        <w:t>Journal of Medical and Bioengineering,</w:t>
      </w:r>
      <w:r w:rsidRPr="003A6B89">
        <w:rPr>
          <w:rFonts w:ascii="Times New Roman" w:hAnsi="Times New Roman"/>
          <w:noProof/>
          <w:sz w:val="20"/>
          <w:szCs w:val="24"/>
        </w:rPr>
        <w:t xml:space="preserve"> 2(4): 252–256.</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Garraín, D. (2011). Polymer electrolyte membrane fuel cells (PEMFC) in automotive applications: environmental relevance of the manufacturing stage. </w:t>
      </w:r>
      <w:r w:rsidRPr="003A6B89">
        <w:rPr>
          <w:rFonts w:ascii="Times New Roman" w:hAnsi="Times New Roman"/>
          <w:i/>
          <w:iCs/>
          <w:noProof/>
          <w:sz w:val="20"/>
          <w:szCs w:val="24"/>
        </w:rPr>
        <w:t>Smart Grid Renewable Energy</w:t>
      </w:r>
      <w:r w:rsidRPr="003A6B89">
        <w:rPr>
          <w:rFonts w:ascii="Times New Roman" w:hAnsi="Times New Roman"/>
          <w:noProof/>
          <w:sz w:val="20"/>
          <w:szCs w:val="24"/>
        </w:rPr>
        <w:t>, 2(2): 68–74.</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Alhassan, M. and Garba, M. U. (2006). Design of an alkaline fuel cell. </w:t>
      </w:r>
      <w:r w:rsidRPr="003A6B89">
        <w:rPr>
          <w:rFonts w:ascii="Times New Roman" w:hAnsi="Times New Roman"/>
          <w:i/>
          <w:iCs/>
          <w:noProof/>
          <w:sz w:val="20"/>
          <w:szCs w:val="24"/>
        </w:rPr>
        <w:t>Leonardo Electronic Journal of Practices and Technologies,</w:t>
      </w:r>
      <w:r w:rsidRPr="003A6B89">
        <w:rPr>
          <w:rFonts w:ascii="Times New Roman" w:hAnsi="Times New Roman"/>
          <w:noProof/>
          <w:sz w:val="20"/>
          <w:szCs w:val="24"/>
        </w:rPr>
        <w:t xml:space="preserve"> 9: 99–106.</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Bond D. R. (2010) Electrodes as electron acceptors, and the bacteria who love them. In: Barton L., Mandl M., Loy A. (eds) Geomicrobiology: Molecular and environmental perspective. Springer, Dordrecht: pp. 385-399.</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Logan, B. E. and Regan, J. M. (2006). Electricity-producing bacterial communities in microbial fuel cells. </w:t>
      </w:r>
      <w:r w:rsidRPr="003A6B89">
        <w:rPr>
          <w:rFonts w:ascii="Times New Roman" w:hAnsi="Times New Roman"/>
          <w:i/>
          <w:iCs/>
          <w:noProof/>
          <w:sz w:val="20"/>
          <w:szCs w:val="24"/>
        </w:rPr>
        <w:t>Trends Microbiology,</w:t>
      </w:r>
      <w:r w:rsidRPr="003A6B89">
        <w:rPr>
          <w:rFonts w:ascii="Times New Roman" w:hAnsi="Times New Roman"/>
          <w:noProof/>
          <w:sz w:val="20"/>
          <w:szCs w:val="24"/>
        </w:rPr>
        <w:t xml:space="preserve"> 14(12): 512–518.</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Gallert, C. and Winter, J. (2005). Bacterial metabolism in wastewater treatment systems. Wiley-VCH, Weinheim, Germany: pp. 1-48.</w:t>
      </w:r>
    </w:p>
    <w:p w:rsidR="00FC07A4"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Alalayah, W. M., Kalil, M. S., Kadhum, A. A. H., Jahim, J. M. and Alauj, N. M. (2008). Hydrogen production using </w:t>
      </w:r>
      <w:r w:rsidRPr="003A6B89">
        <w:rPr>
          <w:rFonts w:ascii="Times New Roman" w:hAnsi="Times New Roman"/>
          <w:i/>
          <w:noProof/>
          <w:sz w:val="20"/>
          <w:szCs w:val="24"/>
        </w:rPr>
        <w:t>Clostridium saccharoperbutylacetonicum</w:t>
      </w:r>
      <w:r w:rsidRPr="003A6B89">
        <w:rPr>
          <w:rFonts w:ascii="Times New Roman" w:hAnsi="Times New Roman"/>
          <w:noProof/>
          <w:sz w:val="20"/>
          <w:szCs w:val="24"/>
        </w:rPr>
        <w:t xml:space="preserve"> N1-4 (ATCC 13564). </w:t>
      </w:r>
      <w:r w:rsidRPr="003A6B89">
        <w:rPr>
          <w:rFonts w:ascii="Times New Roman" w:hAnsi="Times New Roman"/>
          <w:i/>
          <w:iCs/>
          <w:noProof/>
          <w:sz w:val="20"/>
          <w:szCs w:val="24"/>
        </w:rPr>
        <w:t>International Journal Hydrogen Energy</w:t>
      </w:r>
      <w:r w:rsidRPr="003A6B89">
        <w:rPr>
          <w:rFonts w:ascii="Times New Roman" w:hAnsi="Times New Roman"/>
          <w:noProof/>
          <w:sz w:val="20"/>
          <w:szCs w:val="24"/>
        </w:rPr>
        <w:t>, 33(1): 7392–7396.</w:t>
      </w:r>
    </w:p>
    <w:p w:rsidR="00FC07A4" w:rsidRPr="00FC07A4" w:rsidRDefault="00FC07A4" w:rsidP="00FC07A4">
      <w:pPr>
        <w:widowControl w:val="0"/>
        <w:autoSpaceDE w:val="0"/>
        <w:autoSpaceDN w:val="0"/>
        <w:adjustRightInd w:val="0"/>
        <w:spacing w:after="0" w:line="240" w:lineRule="auto"/>
        <w:jc w:val="both"/>
        <w:rPr>
          <w:rFonts w:ascii="Times New Roman" w:hAnsi="Times New Roman"/>
          <w:noProof/>
          <w:sz w:val="20"/>
          <w:szCs w:val="24"/>
        </w:rPr>
      </w:pP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lastRenderedPageBreak/>
        <w:t xml:space="preserve">Biffinger, J. C., Byrd, J. N., Dudley, B. L. and Ringeisen, B. R. (2008). Oxygen Exposure promotes fuel diversity for shewanella oneidensis microbial fuel cells. </w:t>
      </w:r>
      <w:r w:rsidRPr="003A6B89">
        <w:rPr>
          <w:rFonts w:ascii="Times New Roman" w:hAnsi="Times New Roman"/>
          <w:i/>
          <w:iCs/>
          <w:noProof/>
          <w:sz w:val="20"/>
          <w:szCs w:val="24"/>
        </w:rPr>
        <w:t xml:space="preserve">Biosensors and Bioelectronics, </w:t>
      </w:r>
      <w:r w:rsidRPr="003A6B89">
        <w:rPr>
          <w:rFonts w:ascii="Times New Roman" w:hAnsi="Times New Roman"/>
          <w:noProof/>
          <w:sz w:val="20"/>
          <w:szCs w:val="24"/>
        </w:rPr>
        <w:t>23: 820–826.</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Lang, L. Y. (2007). Treatability of palm oil mill effluent (POME) using black liquor in an anaerobic Treatment Process. Thesis Master of Science, Universiti Sains Malaysia, Malaysia.</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Rajesh, J., Khac, U. Do, Adish, S., Ick-Tae, Y. and Kaliappan, S. (2012). A novel method of sludge pretreatment using the combination of alkali. </w:t>
      </w:r>
      <w:r w:rsidRPr="003A6B89">
        <w:rPr>
          <w:rFonts w:ascii="Times New Roman" w:hAnsi="Times New Roman"/>
          <w:i/>
          <w:iCs/>
          <w:noProof/>
          <w:sz w:val="20"/>
          <w:szCs w:val="24"/>
        </w:rPr>
        <w:t>Journal of Enviromental Biology,</w:t>
      </w:r>
      <w:r w:rsidRPr="003A6B89">
        <w:rPr>
          <w:rFonts w:ascii="Times New Roman" w:hAnsi="Times New Roman"/>
          <w:noProof/>
          <w:sz w:val="20"/>
          <w:szCs w:val="24"/>
        </w:rPr>
        <w:t xml:space="preserve"> 33: 249–253.</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sz w:val="20"/>
        </w:rPr>
        <w:t xml:space="preserve">Patil, S. A., Harnisch, F., Koch, C., Hübschmann, T., Fetzer, I., Carmona-Martínez, A. A., Müller, S. and Schröder, U. </w:t>
      </w:r>
      <w:r w:rsidRPr="003A6B89">
        <w:rPr>
          <w:rFonts w:ascii="Times New Roman" w:hAnsi="Times New Roman"/>
          <w:iCs/>
          <w:noProof/>
          <w:sz w:val="20"/>
          <w:szCs w:val="24"/>
        </w:rPr>
        <w:t xml:space="preserve">(2011). </w:t>
      </w:r>
      <w:r w:rsidRPr="003A6B89">
        <w:rPr>
          <w:rFonts w:ascii="Times New Roman" w:hAnsi="Times New Roman"/>
          <w:noProof/>
          <w:sz w:val="20"/>
          <w:szCs w:val="24"/>
        </w:rPr>
        <w:t xml:space="preserve">Electroactive mixed culture derived biofilms in microbial bioelectrochemical systems: The role of pH on biofilm formation, performance and composition. </w:t>
      </w:r>
      <w:r w:rsidRPr="003A6B89">
        <w:rPr>
          <w:rFonts w:ascii="Times New Roman" w:hAnsi="Times New Roman"/>
          <w:i/>
          <w:iCs/>
          <w:noProof/>
          <w:sz w:val="20"/>
          <w:szCs w:val="24"/>
        </w:rPr>
        <w:t>Bioresources. Technology,</w:t>
      </w:r>
      <w:r w:rsidRPr="003A6B89">
        <w:rPr>
          <w:rFonts w:ascii="Times New Roman" w:hAnsi="Times New Roman"/>
          <w:noProof/>
          <w:sz w:val="20"/>
          <w:szCs w:val="24"/>
        </w:rPr>
        <w:t xml:space="preserve"> 102(20): 9683–9690.</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Puig, S., Serra, M., Coma, M., Cabré, M., Balaguer, M. D. and Colprim, J. (2010). Effect of pH on nutrient dynamics and electricity production using microbial fuel cells. </w:t>
      </w:r>
      <w:r w:rsidRPr="003A6B89">
        <w:rPr>
          <w:rFonts w:ascii="Times New Roman" w:hAnsi="Times New Roman"/>
          <w:i/>
          <w:iCs/>
          <w:noProof/>
          <w:sz w:val="20"/>
          <w:szCs w:val="24"/>
        </w:rPr>
        <w:t>BioresourcesTechnology,</w:t>
      </w:r>
      <w:r w:rsidRPr="003A6B89">
        <w:rPr>
          <w:rFonts w:ascii="Times New Roman" w:hAnsi="Times New Roman"/>
          <w:noProof/>
          <w:sz w:val="20"/>
          <w:szCs w:val="24"/>
        </w:rPr>
        <w:t xml:space="preserve"> 101: 9594–9599.</w:t>
      </w:r>
    </w:p>
    <w:p w:rsidR="00FC07A4" w:rsidRPr="003A6B89" w:rsidRDefault="00FC07A4" w:rsidP="00FC07A4">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4"/>
        </w:rPr>
      </w:pPr>
      <w:r w:rsidRPr="003A6B89">
        <w:rPr>
          <w:rFonts w:ascii="Times New Roman" w:hAnsi="Times New Roman"/>
          <w:noProof/>
          <w:sz w:val="20"/>
          <w:szCs w:val="24"/>
        </w:rPr>
        <w:t xml:space="preserve">Zhang, X., He, W., Ren, L., Stager, J., Evans, P. J. and Logan, B. E. (2015). COD removal characteristics in air-cathode microbial fuel cells. </w:t>
      </w:r>
      <w:r w:rsidRPr="003A6B89">
        <w:rPr>
          <w:rFonts w:ascii="Times New Roman" w:hAnsi="Times New Roman"/>
          <w:i/>
          <w:iCs/>
          <w:noProof/>
          <w:sz w:val="20"/>
          <w:szCs w:val="24"/>
        </w:rPr>
        <w:t>Bioresources Technology,</w:t>
      </w:r>
      <w:r w:rsidRPr="003A6B89">
        <w:rPr>
          <w:rFonts w:ascii="Times New Roman" w:hAnsi="Times New Roman"/>
          <w:noProof/>
          <w:sz w:val="20"/>
          <w:szCs w:val="24"/>
        </w:rPr>
        <w:t xml:space="preserve"> 176: 23–31.</w:t>
      </w:r>
    </w:p>
    <w:p w:rsidR="00A74A7E" w:rsidRPr="007A738C" w:rsidRDefault="00FC07A4" w:rsidP="00FC07A4">
      <w:pPr>
        <w:spacing w:after="0" w:line="240" w:lineRule="auto"/>
        <w:ind w:left="360"/>
        <w:jc w:val="both"/>
        <w:rPr>
          <w:rFonts w:ascii="Times New Roman" w:hAnsi="Times New Roman"/>
          <w:noProof/>
          <w:lang w:bidi="ar-SA"/>
        </w:rPr>
      </w:pPr>
      <w:r w:rsidRPr="003A6B89">
        <w:rPr>
          <w:rFonts w:ascii="Times New Roman" w:hAnsi="Times New Roman"/>
          <w:sz w:val="20"/>
          <w:szCs w:val="20"/>
        </w:rPr>
        <w:fldChar w:fldCharType="end"/>
      </w:r>
      <w:bookmarkStart w:id="1" w:name="_GoBack"/>
      <w:bookmarkEnd w:id="1"/>
    </w:p>
    <w:sectPr w:rsidR="00A74A7E" w:rsidRPr="007A738C" w:rsidSect="00C27825">
      <w:headerReference w:type="even" r:id="rId22"/>
      <w:headerReference w:type="default" r:id="rId23"/>
      <w:footerReference w:type="even" r:id="rId24"/>
      <w:footerReference w:type="default" r:id="rId25"/>
      <w:pgSz w:w="12240" w:h="15840" w:code="1"/>
      <w:pgMar w:top="1800" w:right="1469" w:bottom="1699" w:left="1440" w:header="706" w:footer="706" w:gutter="0"/>
      <w:pgNumType w:start="4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27825">
      <w:rPr>
        <w:rFonts w:ascii="Times New Roman" w:hAnsi="Times New Roman"/>
        <w:noProof/>
      </w:rPr>
      <w:t>500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27825">
      <w:rPr>
        <w:rFonts w:ascii="Times New Roman" w:hAnsi="Times New Roman"/>
        <w:noProof/>
      </w:rPr>
      <w:t>499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A6D99" w:rsidRDefault="007A6D99" w:rsidP="007A6D99">
    <w:pPr>
      <w:pStyle w:val="Header"/>
      <w:ind w:left="1710" w:hanging="1710"/>
    </w:pPr>
    <w:r>
      <w:rPr>
        <w:rFonts w:ascii="Times New Roman" w:hAnsi="Times New Roman"/>
        <w:lang w:val="en-US"/>
      </w:rPr>
      <w:t>Khairul Baqir et al</w:t>
    </w:r>
    <w:r w:rsidR="006B72B0" w:rsidRPr="007A6D99">
      <w:rPr>
        <w:rFonts w:ascii="Times New Roman" w:hAnsi="Times New Roman"/>
        <w:lang w:val="en-US"/>
      </w:rPr>
      <w:t xml:space="preserve">: </w:t>
    </w:r>
    <w:r w:rsidR="000D2B43" w:rsidRPr="007A6D99">
      <w:rPr>
        <w:rFonts w:ascii="Times New Roman" w:hAnsi="Times New Roman"/>
        <w:lang w:val="en-US"/>
      </w:rPr>
      <w:t xml:space="preserve"> </w:t>
    </w:r>
    <w:r w:rsidRPr="007A6D99">
      <w:rPr>
        <w:rFonts w:ascii="Times New Roman" w:hAnsi="Times New Roman"/>
        <w:lang w:val="en-US"/>
      </w:rPr>
      <w:t xml:space="preserve"> </w:t>
    </w:r>
    <w:r>
      <w:rPr>
        <w:rFonts w:ascii="Times New Roman" w:hAnsi="Times New Roman"/>
        <w:lang w:val="en-US"/>
      </w:rPr>
      <w:tab/>
    </w:r>
    <w:r w:rsidRPr="007A6D99">
      <w:rPr>
        <w:rFonts w:ascii="Times New Roman" w:hAnsi="Times New Roman"/>
      </w:rPr>
      <w:t>COMPARATIVE STUDY OF MICROBIAL FUEL CELL’S PERFORMANCE USING THREE DIFFERENT ELECTRODES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8E2A51">
      <w:rPr>
        <w:rFonts w:ascii="Times New Roman" w:hAnsi="Times New Roman"/>
        <w:i/>
        <w:lang w:val="en-US"/>
      </w:rPr>
      <w:t>No 3</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C27825">
      <w:rPr>
        <w:rFonts w:ascii="Times New Roman" w:hAnsi="Times New Roman"/>
        <w:i/>
        <w:lang w:val="en-US"/>
      </w:rPr>
      <w:t>499</w:t>
    </w:r>
    <w:r>
      <w:rPr>
        <w:rFonts w:ascii="Times New Roman" w:hAnsi="Times New Roman"/>
        <w:i/>
        <w:lang w:val="en-US"/>
      </w:rPr>
      <w:t xml:space="preserve"> </w:t>
    </w:r>
    <w:r w:rsidR="007A0583">
      <w:rPr>
        <w:rFonts w:ascii="Times New Roman" w:hAnsi="Times New Roman"/>
        <w:i/>
        <w:lang w:val="en-US"/>
      </w:rPr>
      <w:t>-</w:t>
    </w:r>
    <w:r w:rsidR="00C27825">
      <w:rPr>
        <w:rFonts w:ascii="Times New Roman" w:hAnsi="Times New Roman"/>
        <w:i/>
        <w:lang w:val="en-US"/>
      </w:rPr>
      <w:t xml:space="preserve"> 507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doi.org/10.17576/mjas-2018-2203</w:t>
    </w:r>
    <w:r w:rsidR="00C27825">
      <w:rPr>
        <w:rFonts w:ascii="Times New Roman" w:hAnsi="Times New Roman"/>
        <w:i/>
        <w:lang w:val="en-US"/>
      </w:rPr>
      <w:t>-18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7AB6"/>
    <w:multiLevelType w:val="hybridMultilevel"/>
    <w:tmpl w:val="D83C2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71337"/>
    <w:rsid w:val="00084936"/>
    <w:rsid w:val="000C49FF"/>
    <w:rsid w:val="000D16A1"/>
    <w:rsid w:val="000D2B0C"/>
    <w:rsid w:val="000D2B43"/>
    <w:rsid w:val="000F77DA"/>
    <w:rsid w:val="001068E8"/>
    <w:rsid w:val="001106D8"/>
    <w:rsid w:val="00117BCD"/>
    <w:rsid w:val="001A3275"/>
    <w:rsid w:val="001D035A"/>
    <w:rsid w:val="001D3855"/>
    <w:rsid w:val="001D6F2C"/>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D7E25"/>
    <w:rsid w:val="00502641"/>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6D99"/>
    <w:rsid w:val="007A738C"/>
    <w:rsid w:val="007B1349"/>
    <w:rsid w:val="007D45AC"/>
    <w:rsid w:val="007E25BD"/>
    <w:rsid w:val="00802C35"/>
    <w:rsid w:val="0082181A"/>
    <w:rsid w:val="0082457A"/>
    <w:rsid w:val="00825624"/>
    <w:rsid w:val="0083587A"/>
    <w:rsid w:val="008710E5"/>
    <w:rsid w:val="00883CC3"/>
    <w:rsid w:val="008B470E"/>
    <w:rsid w:val="008B5904"/>
    <w:rsid w:val="008D1880"/>
    <w:rsid w:val="008D29BF"/>
    <w:rsid w:val="008E1211"/>
    <w:rsid w:val="008E2A51"/>
    <w:rsid w:val="008E5BBF"/>
    <w:rsid w:val="008E6968"/>
    <w:rsid w:val="009211AF"/>
    <w:rsid w:val="00921742"/>
    <w:rsid w:val="009357B8"/>
    <w:rsid w:val="009866F6"/>
    <w:rsid w:val="009C74B8"/>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27825"/>
    <w:rsid w:val="00C94D92"/>
    <w:rsid w:val="00C97340"/>
    <w:rsid w:val="00CA513F"/>
    <w:rsid w:val="00CB3AA6"/>
    <w:rsid w:val="00CE2BC6"/>
    <w:rsid w:val="00CE4C4E"/>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97F88"/>
    <w:rsid w:val="00F121A0"/>
    <w:rsid w:val="00F31093"/>
    <w:rsid w:val="00F33AB1"/>
    <w:rsid w:val="00F412AF"/>
    <w:rsid w:val="00F43667"/>
    <w:rsid w:val="00F447A7"/>
    <w:rsid w:val="00F4760B"/>
    <w:rsid w:val="00FB4C59"/>
    <w:rsid w:val="00FB584D"/>
    <w:rsid w:val="00FB6521"/>
    <w:rsid w:val="00FC07A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WebCharChar">
    <w:name w:val="Normal (Web) Char Char"/>
    <w:basedOn w:val="Normal"/>
    <w:rsid w:val="00071337"/>
    <w:pPr>
      <w:spacing w:before="100" w:beforeAutospacing="1" w:after="100" w:afterAutospacing="1" w:line="240" w:lineRule="auto"/>
    </w:pPr>
    <w:rPr>
      <w:rFonts w:ascii="Times New Roman" w:hAnsi="Times New Roman"/>
      <w:sz w:val="24"/>
      <w:szCs w:val="24"/>
      <w:lang w:bidi="ar-SA"/>
    </w:rPr>
  </w:style>
  <w:style w:type="paragraph" w:customStyle="1" w:styleId="TAMainText">
    <w:name w:val="TA_Main_Text"/>
    <w:basedOn w:val="Normal"/>
    <w:rsid w:val="00071337"/>
    <w:pPr>
      <w:spacing w:after="0" w:line="220" w:lineRule="exact"/>
      <w:ind w:firstLine="187"/>
      <w:jc w:val="both"/>
    </w:pPr>
    <w:rPr>
      <w:rFonts w:ascii="Times" w:hAnsi="Times"/>
      <w:sz w:val="18"/>
      <w:szCs w:val="20"/>
      <w:lang w:bidi="ar-SA"/>
    </w:rPr>
  </w:style>
  <w:style w:type="paragraph" w:customStyle="1" w:styleId="TFReferencesSection">
    <w:name w:val="TF_References_Section"/>
    <w:basedOn w:val="Normal"/>
    <w:rsid w:val="00071337"/>
    <w:pPr>
      <w:spacing w:after="0" w:line="150" w:lineRule="exact"/>
      <w:ind w:left="346" w:hanging="346"/>
      <w:jc w:val="both"/>
    </w:pPr>
    <w:rPr>
      <w:rFonts w:ascii="Times" w:hAnsi="Times"/>
      <w:sz w:val="15"/>
      <w:szCs w:val="20"/>
      <w:lang w:bidi="ar-SA"/>
    </w:rPr>
  </w:style>
  <w:style w:type="paragraph" w:customStyle="1" w:styleId="PaperTitle">
    <w:name w:val="PaperTitle"/>
    <w:basedOn w:val="Normal"/>
    <w:qFormat/>
    <w:rsid w:val="00071337"/>
    <w:pPr>
      <w:spacing w:after="600" w:line="240" w:lineRule="auto"/>
      <w:jc w:val="center"/>
    </w:pPr>
    <w:rPr>
      <w:rFonts w:ascii="Times New Roman" w:hAnsi="Times New Roman"/>
      <w:b/>
      <w:sz w:val="28"/>
      <w:szCs w:val="28"/>
      <w:lang w:bidi="ar-SA"/>
    </w:rPr>
  </w:style>
  <w:style w:type="paragraph" w:customStyle="1" w:styleId="Abstract">
    <w:name w:val="Abstract"/>
    <w:basedOn w:val="Normal"/>
    <w:qFormat/>
    <w:rsid w:val="00071337"/>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071337"/>
    <w:pPr>
      <w:spacing w:after="0" w:line="240" w:lineRule="auto"/>
      <w:jc w:val="center"/>
    </w:pPr>
    <w:rPr>
      <w:rFonts w:ascii="Courier" w:hAnsi="Courier"/>
      <w:noProof/>
      <w:sz w:val="18"/>
      <w:szCs w:val="18"/>
      <w:lang w:val="en-GB" w:bidi="ar-SA"/>
    </w:rPr>
  </w:style>
  <w:style w:type="table" w:customStyle="1" w:styleId="PlainTable41">
    <w:name w:val="Plain Table 41"/>
    <w:basedOn w:val="TableNormal"/>
    <w:uiPriority w:val="44"/>
    <w:rsid w:val="00071337"/>
    <w:rPr>
      <w:rFonts w:ascii="New York" w:eastAsia="Times New Roman" w:hAnsi="New Yor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rmalWebCharChar">
    <w:name w:val="Normal (Web) Char Char"/>
    <w:basedOn w:val="Normal"/>
    <w:rsid w:val="00071337"/>
    <w:pPr>
      <w:spacing w:before="100" w:beforeAutospacing="1" w:after="100" w:afterAutospacing="1" w:line="240" w:lineRule="auto"/>
    </w:pPr>
    <w:rPr>
      <w:rFonts w:ascii="Times New Roman" w:hAnsi="Times New Roman"/>
      <w:sz w:val="24"/>
      <w:szCs w:val="24"/>
      <w:lang w:bidi="ar-SA"/>
    </w:rPr>
  </w:style>
  <w:style w:type="paragraph" w:customStyle="1" w:styleId="TAMainText">
    <w:name w:val="TA_Main_Text"/>
    <w:basedOn w:val="Normal"/>
    <w:rsid w:val="00071337"/>
    <w:pPr>
      <w:spacing w:after="0" w:line="220" w:lineRule="exact"/>
      <w:ind w:firstLine="187"/>
      <w:jc w:val="both"/>
    </w:pPr>
    <w:rPr>
      <w:rFonts w:ascii="Times" w:hAnsi="Times"/>
      <w:sz w:val="18"/>
      <w:szCs w:val="20"/>
      <w:lang w:bidi="ar-SA"/>
    </w:rPr>
  </w:style>
  <w:style w:type="paragraph" w:customStyle="1" w:styleId="TFReferencesSection">
    <w:name w:val="TF_References_Section"/>
    <w:basedOn w:val="Normal"/>
    <w:rsid w:val="00071337"/>
    <w:pPr>
      <w:spacing w:after="0" w:line="150" w:lineRule="exact"/>
      <w:ind w:left="346" w:hanging="346"/>
      <w:jc w:val="both"/>
    </w:pPr>
    <w:rPr>
      <w:rFonts w:ascii="Times" w:hAnsi="Times"/>
      <w:sz w:val="15"/>
      <w:szCs w:val="20"/>
      <w:lang w:bidi="ar-SA"/>
    </w:rPr>
  </w:style>
  <w:style w:type="paragraph" w:customStyle="1" w:styleId="PaperTitle">
    <w:name w:val="PaperTitle"/>
    <w:basedOn w:val="Normal"/>
    <w:qFormat/>
    <w:rsid w:val="00071337"/>
    <w:pPr>
      <w:spacing w:after="600" w:line="240" w:lineRule="auto"/>
      <w:jc w:val="center"/>
    </w:pPr>
    <w:rPr>
      <w:rFonts w:ascii="Times New Roman" w:hAnsi="Times New Roman"/>
      <w:b/>
      <w:sz w:val="28"/>
      <w:szCs w:val="28"/>
      <w:lang w:bidi="ar-SA"/>
    </w:rPr>
  </w:style>
  <w:style w:type="paragraph" w:customStyle="1" w:styleId="Abstract">
    <w:name w:val="Abstract"/>
    <w:basedOn w:val="Normal"/>
    <w:qFormat/>
    <w:rsid w:val="00071337"/>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Normal"/>
    <w:qFormat/>
    <w:rsid w:val="00071337"/>
    <w:pPr>
      <w:spacing w:after="0" w:line="240" w:lineRule="auto"/>
      <w:jc w:val="center"/>
    </w:pPr>
    <w:rPr>
      <w:rFonts w:ascii="Courier" w:hAnsi="Courier"/>
      <w:noProof/>
      <w:sz w:val="18"/>
      <w:szCs w:val="18"/>
      <w:lang w:val="en-GB" w:bidi="ar-SA"/>
    </w:rPr>
  </w:style>
  <w:style w:type="table" w:customStyle="1" w:styleId="PlainTable41">
    <w:name w:val="Plain Table 41"/>
    <w:basedOn w:val="TableNormal"/>
    <w:uiPriority w:val="44"/>
    <w:rsid w:val="00071337"/>
    <w:rPr>
      <w:rFonts w:ascii="New York" w:eastAsia="Times New Roman" w:hAnsi="New Yor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669A-E682-44BD-BAC6-5BD018A4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10009</Words>
  <Characters>53049</Characters>
  <Application>Microsoft Office Word</Application>
  <DocSecurity>0</DocSecurity>
  <Lines>947</Lines>
  <Paragraphs>337</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62721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8</cp:revision>
  <cp:lastPrinted>2018-06-09T23:00:00Z</cp:lastPrinted>
  <dcterms:created xsi:type="dcterms:W3CDTF">2018-06-09T22:34:00Z</dcterms:created>
  <dcterms:modified xsi:type="dcterms:W3CDTF">2018-06-09T23:03:00Z</dcterms:modified>
</cp:coreProperties>
</file>