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GB" w:eastAsia="ko-KR"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ko-KR"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GB" w:eastAsia="ko-KR"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FC038D" w:rsidRPr="0004684A" w:rsidRDefault="00FC038D" w:rsidP="00FC038D">
      <w:pPr>
        <w:spacing w:after="0" w:line="240" w:lineRule="auto"/>
        <w:jc w:val="center"/>
        <w:outlineLvl w:val="0"/>
        <w:rPr>
          <w:rFonts w:ascii="Times New Roman" w:hAnsi="Times New Roman"/>
          <w:sz w:val="28"/>
        </w:rPr>
      </w:pPr>
      <w:r w:rsidRPr="0004684A">
        <w:rPr>
          <w:rFonts w:ascii="Times New Roman" w:hAnsi="Times New Roman"/>
          <w:sz w:val="28"/>
        </w:rPr>
        <w:t>MONOETHANOLAMINE</w:t>
      </w:r>
      <w:r>
        <w:rPr>
          <w:rFonts w:ascii="Times New Roman" w:hAnsi="Times New Roman"/>
          <w:sz w:val="28"/>
        </w:rPr>
        <w:t xml:space="preserve"> </w:t>
      </w:r>
      <w:r w:rsidRPr="0004684A">
        <w:rPr>
          <w:rFonts w:ascii="Times New Roman" w:hAnsi="Times New Roman"/>
          <w:sz w:val="28"/>
        </w:rPr>
        <w:t>WASTEWATER TREATMENT VIA ADSORPTION USING WOOD SAWDUST BASED ACTIVATED CARBON</w:t>
      </w:r>
    </w:p>
    <w:p w:rsidR="00FC038D" w:rsidRPr="0004684A" w:rsidRDefault="00FC038D" w:rsidP="00FC038D">
      <w:pPr>
        <w:spacing w:after="0" w:line="240" w:lineRule="auto"/>
        <w:jc w:val="center"/>
        <w:outlineLvl w:val="0"/>
        <w:rPr>
          <w:rFonts w:ascii="Times New Roman" w:hAnsi="Times New Roman"/>
          <w:b/>
          <w:sz w:val="24"/>
        </w:rPr>
      </w:pPr>
    </w:p>
    <w:p w:rsidR="00FC038D" w:rsidRPr="00FC038D" w:rsidRDefault="00FC038D" w:rsidP="00FC038D">
      <w:pPr>
        <w:spacing w:after="0" w:line="240" w:lineRule="auto"/>
        <w:jc w:val="center"/>
        <w:outlineLvl w:val="0"/>
        <w:rPr>
          <w:rFonts w:ascii="Times New Roman" w:hAnsi="Times New Roman"/>
          <w:sz w:val="24"/>
          <w:lang w:val="ms-MY"/>
        </w:rPr>
      </w:pPr>
      <w:r w:rsidRPr="0004684A">
        <w:rPr>
          <w:rFonts w:ascii="Times New Roman" w:hAnsi="Times New Roman"/>
          <w:sz w:val="24"/>
        </w:rPr>
        <w:t>(</w:t>
      </w:r>
      <w:r w:rsidRPr="0004684A">
        <w:rPr>
          <w:rFonts w:ascii="Times New Roman" w:hAnsi="Times New Roman"/>
          <w:sz w:val="24"/>
          <w:lang w:val="ms-MY"/>
        </w:rPr>
        <w:t>Rawatan Air Sisa Monoetanolamina Melalui Kaedah Penjerapan Menggunakan Karbon Habuk Kayu Yang Diaktifkan</w:t>
      </w:r>
      <w:r w:rsidRPr="0004684A">
        <w:rPr>
          <w:rFonts w:ascii="Times New Roman" w:hAnsi="Times New Roman"/>
          <w:sz w:val="24"/>
        </w:rPr>
        <w:t>)</w:t>
      </w:r>
    </w:p>
    <w:p w:rsidR="00FC038D" w:rsidRPr="00FC038D" w:rsidRDefault="00FC038D" w:rsidP="00FC038D">
      <w:pPr>
        <w:spacing w:after="0" w:line="240" w:lineRule="auto"/>
        <w:jc w:val="center"/>
        <w:outlineLvl w:val="0"/>
        <w:rPr>
          <w:rFonts w:ascii="Times New Roman" w:hAnsi="Times New Roman"/>
          <w:b/>
          <w:sz w:val="20"/>
          <w:szCs w:val="20"/>
          <w:lang w:val="ms-MY"/>
        </w:rPr>
      </w:pPr>
    </w:p>
    <w:p w:rsidR="00FC038D" w:rsidRPr="00FC038D" w:rsidRDefault="00FC038D" w:rsidP="00FC038D">
      <w:pPr>
        <w:spacing w:after="0" w:line="240" w:lineRule="auto"/>
        <w:jc w:val="center"/>
        <w:outlineLvl w:val="0"/>
        <w:rPr>
          <w:rFonts w:ascii="Times New Roman" w:hAnsi="Times New Roman"/>
          <w:sz w:val="20"/>
          <w:szCs w:val="20"/>
          <w:vertAlign w:val="superscript"/>
        </w:rPr>
      </w:pPr>
      <w:r w:rsidRPr="00FC038D">
        <w:rPr>
          <w:rFonts w:ascii="Times New Roman" w:hAnsi="Times New Roman"/>
          <w:sz w:val="20"/>
          <w:szCs w:val="20"/>
        </w:rPr>
        <w:t>Azry Borhan</w:t>
      </w:r>
      <w:r w:rsidRPr="00FC038D">
        <w:rPr>
          <w:rFonts w:ascii="Times New Roman" w:hAnsi="Times New Roman"/>
          <w:sz w:val="20"/>
          <w:szCs w:val="20"/>
          <w:vertAlign w:val="superscript"/>
        </w:rPr>
        <w:t>1</w:t>
      </w:r>
      <w:r w:rsidRPr="002E5CC6">
        <w:rPr>
          <w:rFonts w:ascii="Times New Roman" w:hAnsi="Times New Roman"/>
          <w:sz w:val="20"/>
          <w:szCs w:val="20"/>
        </w:rPr>
        <w:t>*</w:t>
      </w:r>
      <w:r w:rsidRPr="00FC038D">
        <w:rPr>
          <w:rFonts w:ascii="Times New Roman" w:hAnsi="Times New Roman"/>
          <w:sz w:val="20"/>
          <w:szCs w:val="20"/>
        </w:rPr>
        <w:t>, Tong Yeong Yit</w:t>
      </w:r>
      <w:r w:rsidRPr="00FC038D">
        <w:rPr>
          <w:rFonts w:ascii="Times New Roman" w:hAnsi="Times New Roman"/>
          <w:sz w:val="20"/>
          <w:szCs w:val="20"/>
          <w:vertAlign w:val="superscript"/>
        </w:rPr>
        <w:t>1</w:t>
      </w:r>
      <w:r w:rsidRPr="00FC038D">
        <w:rPr>
          <w:rFonts w:ascii="Times New Roman" w:hAnsi="Times New Roman"/>
          <w:sz w:val="20"/>
          <w:szCs w:val="20"/>
        </w:rPr>
        <w:t>, Suzana Yusup</w:t>
      </w:r>
      <w:r w:rsidRPr="00FC038D">
        <w:rPr>
          <w:rFonts w:ascii="Times New Roman" w:hAnsi="Times New Roman"/>
          <w:sz w:val="20"/>
          <w:szCs w:val="20"/>
          <w:vertAlign w:val="superscript"/>
        </w:rPr>
        <w:t>1</w:t>
      </w:r>
      <w:r w:rsidRPr="00FC038D">
        <w:rPr>
          <w:rFonts w:ascii="Times New Roman" w:hAnsi="Times New Roman"/>
          <w:sz w:val="20"/>
          <w:szCs w:val="20"/>
        </w:rPr>
        <w:t>, Normawati Mohd Yunus</w:t>
      </w:r>
      <w:r w:rsidRPr="00FC038D">
        <w:rPr>
          <w:rFonts w:ascii="Times New Roman" w:hAnsi="Times New Roman"/>
          <w:sz w:val="20"/>
          <w:szCs w:val="20"/>
          <w:vertAlign w:val="superscript"/>
        </w:rPr>
        <w:t>2</w:t>
      </w:r>
    </w:p>
    <w:p w:rsidR="00FC038D" w:rsidRPr="008F13BE" w:rsidRDefault="00FC038D" w:rsidP="00FC038D">
      <w:pPr>
        <w:spacing w:after="0" w:line="240" w:lineRule="auto"/>
        <w:jc w:val="center"/>
        <w:outlineLvl w:val="0"/>
        <w:rPr>
          <w:rFonts w:ascii="Times New Roman" w:hAnsi="Times New Roman"/>
          <w:b/>
          <w:sz w:val="18"/>
          <w:szCs w:val="18"/>
        </w:rPr>
      </w:pPr>
    </w:p>
    <w:p w:rsidR="00FC038D" w:rsidRPr="0004684A" w:rsidRDefault="00FC038D" w:rsidP="00FC038D">
      <w:pPr>
        <w:spacing w:after="0" w:line="240" w:lineRule="auto"/>
        <w:jc w:val="center"/>
        <w:outlineLvl w:val="0"/>
        <w:rPr>
          <w:rFonts w:ascii="Times New Roman" w:hAnsi="Times New Roman"/>
          <w:i/>
          <w:sz w:val="18"/>
          <w:szCs w:val="18"/>
        </w:rPr>
      </w:pPr>
      <w:r w:rsidRPr="0004684A">
        <w:rPr>
          <w:rFonts w:ascii="Times New Roman" w:hAnsi="Times New Roman"/>
          <w:i/>
          <w:sz w:val="18"/>
          <w:szCs w:val="18"/>
          <w:vertAlign w:val="superscript"/>
        </w:rPr>
        <w:t>1</w:t>
      </w:r>
      <w:r w:rsidRPr="0004684A">
        <w:rPr>
          <w:rFonts w:ascii="Times New Roman" w:hAnsi="Times New Roman"/>
          <w:i/>
          <w:sz w:val="18"/>
          <w:szCs w:val="18"/>
        </w:rPr>
        <w:t>Dep</w:t>
      </w:r>
      <w:r>
        <w:rPr>
          <w:rFonts w:ascii="Times New Roman" w:hAnsi="Times New Roman"/>
          <w:i/>
          <w:sz w:val="18"/>
          <w:szCs w:val="18"/>
        </w:rPr>
        <w:t>artment of Chemical Engineering</w:t>
      </w:r>
    </w:p>
    <w:p w:rsidR="00FC038D" w:rsidRPr="0004684A" w:rsidRDefault="00FC038D" w:rsidP="00FC038D">
      <w:pPr>
        <w:spacing w:after="0" w:line="240" w:lineRule="auto"/>
        <w:jc w:val="center"/>
        <w:outlineLvl w:val="0"/>
        <w:rPr>
          <w:rFonts w:ascii="Times New Roman" w:hAnsi="Times New Roman"/>
          <w:i/>
          <w:sz w:val="18"/>
          <w:szCs w:val="18"/>
        </w:rPr>
      </w:pPr>
      <w:r w:rsidRPr="0004684A">
        <w:rPr>
          <w:rFonts w:ascii="Times New Roman" w:hAnsi="Times New Roman"/>
          <w:i/>
          <w:sz w:val="18"/>
          <w:szCs w:val="18"/>
          <w:vertAlign w:val="superscript"/>
        </w:rPr>
        <w:t>2</w:t>
      </w:r>
      <w:r w:rsidRPr="0004684A">
        <w:rPr>
          <w:rFonts w:ascii="Times New Roman" w:hAnsi="Times New Roman"/>
          <w:i/>
          <w:sz w:val="18"/>
          <w:szCs w:val="18"/>
        </w:rPr>
        <w:t>Department of Fundamental and Applied Sciences</w:t>
      </w:r>
    </w:p>
    <w:p w:rsidR="00FC038D" w:rsidRPr="0004684A" w:rsidRDefault="00FC038D" w:rsidP="00FC038D">
      <w:pPr>
        <w:spacing w:after="0" w:line="240" w:lineRule="auto"/>
        <w:jc w:val="center"/>
        <w:outlineLvl w:val="0"/>
        <w:rPr>
          <w:rFonts w:ascii="Times New Roman" w:hAnsi="Times New Roman"/>
          <w:i/>
          <w:sz w:val="18"/>
          <w:szCs w:val="18"/>
        </w:rPr>
      </w:pPr>
      <w:r w:rsidRPr="0004684A">
        <w:rPr>
          <w:rFonts w:ascii="Times New Roman" w:hAnsi="Times New Roman"/>
          <w:i/>
          <w:sz w:val="18"/>
          <w:szCs w:val="18"/>
        </w:rPr>
        <w:t xml:space="preserve">Universiti Teknologi Petronas, </w:t>
      </w:r>
      <w:r>
        <w:rPr>
          <w:rFonts w:ascii="Times New Roman" w:hAnsi="Times New Roman"/>
          <w:i/>
          <w:sz w:val="18"/>
          <w:szCs w:val="18"/>
        </w:rPr>
        <w:t xml:space="preserve">32610 Bandar Seri Iskandar, </w:t>
      </w:r>
      <w:r w:rsidRPr="0004684A">
        <w:rPr>
          <w:rFonts w:ascii="Times New Roman" w:hAnsi="Times New Roman"/>
          <w:i/>
          <w:sz w:val="18"/>
          <w:szCs w:val="18"/>
        </w:rPr>
        <w:t>Perak, Malaysia</w:t>
      </w:r>
    </w:p>
    <w:p w:rsidR="00FC038D" w:rsidRPr="0004684A" w:rsidRDefault="00FC038D" w:rsidP="00FC038D">
      <w:pPr>
        <w:spacing w:after="0" w:line="240" w:lineRule="auto"/>
        <w:jc w:val="center"/>
        <w:outlineLvl w:val="0"/>
        <w:rPr>
          <w:rFonts w:ascii="Times New Roman" w:hAnsi="Times New Roman"/>
          <w:b/>
          <w:sz w:val="18"/>
          <w:szCs w:val="18"/>
        </w:rPr>
      </w:pPr>
      <w:bookmarkStart w:id="0" w:name="_GoBack"/>
      <w:bookmarkEnd w:id="0"/>
    </w:p>
    <w:p w:rsidR="00FC038D" w:rsidRPr="0004684A" w:rsidRDefault="00FC038D" w:rsidP="00FC038D">
      <w:pPr>
        <w:spacing w:after="0" w:line="240" w:lineRule="auto"/>
        <w:jc w:val="center"/>
        <w:outlineLvl w:val="0"/>
        <w:rPr>
          <w:rFonts w:ascii="Times New Roman" w:hAnsi="Times New Roman"/>
          <w:i/>
          <w:sz w:val="18"/>
        </w:rPr>
      </w:pPr>
      <w:r w:rsidRPr="002E5CC6">
        <w:rPr>
          <w:rFonts w:ascii="Times New Roman" w:hAnsi="Times New Roman"/>
          <w:i/>
          <w:sz w:val="18"/>
        </w:rPr>
        <w:t>*</w:t>
      </w:r>
      <w:r w:rsidRPr="0004684A">
        <w:rPr>
          <w:rFonts w:ascii="Times New Roman" w:hAnsi="Times New Roman"/>
          <w:i/>
          <w:sz w:val="18"/>
        </w:rPr>
        <w:t xml:space="preserve">Corresponding author: </w:t>
      </w:r>
      <w:r w:rsidR="002E5CC6">
        <w:rPr>
          <w:rFonts w:ascii="Times New Roman" w:hAnsi="Times New Roman"/>
          <w:i/>
          <w:sz w:val="18"/>
        </w:rPr>
        <w:t xml:space="preserve"> </w:t>
      </w:r>
      <w:r w:rsidRPr="0004684A">
        <w:rPr>
          <w:rFonts w:ascii="Times New Roman" w:hAnsi="Times New Roman"/>
          <w:i/>
          <w:sz w:val="18"/>
        </w:rPr>
        <w:t>azrybo@utp.edu.my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646E8">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4646E8">
        <w:rPr>
          <w:rFonts w:ascii="Times New Roman" w:hAnsi="Times New Roman"/>
          <w:noProof/>
          <w:sz w:val="18"/>
          <w:szCs w:val="18"/>
          <w:lang w:bidi="ar-SA"/>
        </w:rPr>
        <w:t>7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E5CC6" w:rsidRPr="0004684A" w:rsidRDefault="002E5CC6" w:rsidP="002E5CC6">
      <w:pPr>
        <w:spacing w:after="0" w:line="240" w:lineRule="auto"/>
        <w:jc w:val="both"/>
        <w:outlineLvl w:val="0"/>
        <w:rPr>
          <w:rFonts w:ascii="Times New Roman" w:hAnsi="Times New Roman"/>
          <w:sz w:val="18"/>
          <w:szCs w:val="18"/>
        </w:rPr>
      </w:pPr>
      <w:r w:rsidRPr="0004684A">
        <w:rPr>
          <w:rFonts w:ascii="Times New Roman" w:hAnsi="Times New Roman"/>
          <w:sz w:val="18"/>
          <w:szCs w:val="18"/>
          <w:lang w:val="en-GB"/>
        </w:rPr>
        <w:t>In this work, sawdust, which is low cost and produced abundantly from wood industry, was tested as a precursor for the production of porous carbons in a chemical scheme using H</w:t>
      </w:r>
      <w:r w:rsidRPr="0004684A">
        <w:rPr>
          <w:rFonts w:ascii="Times New Roman" w:hAnsi="Times New Roman"/>
          <w:sz w:val="18"/>
          <w:szCs w:val="18"/>
          <w:vertAlign w:val="subscript"/>
          <w:lang w:val="en-GB"/>
        </w:rPr>
        <w:t>3</w:t>
      </w:r>
      <w:r w:rsidRPr="0004684A">
        <w:rPr>
          <w:rFonts w:ascii="Times New Roman" w:hAnsi="Times New Roman"/>
          <w:sz w:val="18"/>
          <w:szCs w:val="18"/>
          <w:lang w:val="en-GB"/>
        </w:rPr>
        <w:t>PO</w:t>
      </w:r>
      <w:r w:rsidRPr="0004684A">
        <w:rPr>
          <w:rFonts w:ascii="Times New Roman" w:hAnsi="Times New Roman"/>
          <w:sz w:val="18"/>
          <w:szCs w:val="18"/>
          <w:vertAlign w:val="subscript"/>
          <w:lang w:val="en-GB"/>
        </w:rPr>
        <w:t>4</w:t>
      </w:r>
      <w:r w:rsidRPr="0004684A">
        <w:rPr>
          <w:rFonts w:ascii="Times New Roman" w:hAnsi="Times New Roman"/>
          <w:sz w:val="18"/>
          <w:szCs w:val="18"/>
          <w:lang w:val="en-GB"/>
        </w:rPr>
        <w:t>. From synthesis parameters studied, F21 activated carbon with the largest surface area, total pore volume and diameter was obtained when sawdust is impregnated with ratio of 1:1 and treated with activation temperature of 500</w:t>
      </w:r>
      <w:r>
        <w:rPr>
          <w:rFonts w:ascii="Times New Roman" w:hAnsi="Times New Roman"/>
          <w:sz w:val="18"/>
          <w:szCs w:val="18"/>
          <w:lang w:val="en-GB"/>
        </w:rPr>
        <w:t xml:space="preserve"> </w:t>
      </w:r>
      <w:r w:rsidRPr="0004684A">
        <w:rPr>
          <w:rFonts w:ascii="Times New Roman" w:hAnsi="Times New Roman"/>
          <w:sz w:val="18"/>
          <w:szCs w:val="18"/>
          <w:lang w:val="en-GB"/>
        </w:rPr>
        <w:t xml:space="preserve">°C for a period of 60 minutes. Through nitrogen adsorption-desorption isotherm analysis, existence of mesopores was proven when a combination of Type-I and Type-II isotherms were exhibited by the activated carbon produced. The results from adsorption test showed that under the effect of initial concentration, the optimum sample is capable of removing 96.8% of MEA at low concentration of 100 ppm, while under the effect of stirring rate, 99.7% of MEA is removed at highest stirring rate at 400 rpm. Finally under the effect of contact time, 99.7% of MEA removal is achieved at time of 45 minutes. The obtained results show that agriculture waste product from sawdust can be effectively used as an adsorption material in MEA wastewater treatment. </w:t>
      </w:r>
    </w:p>
    <w:p w:rsidR="002E5CC6" w:rsidRPr="0004684A" w:rsidRDefault="002E5CC6" w:rsidP="002E5CC6">
      <w:pPr>
        <w:spacing w:after="0" w:line="240" w:lineRule="auto"/>
        <w:jc w:val="both"/>
        <w:outlineLvl w:val="0"/>
        <w:rPr>
          <w:rFonts w:ascii="Times New Roman" w:hAnsi="Times New Roman"/>
          <w:sz w:val="18"/>
          <w:szCs w:val="18"/>
        </w:rPr>
      </w:pPr>
    </w:p>
    <w:p w:rsidR="002E5CC6" w:rsidRPr="0004684A" w:rsidRDefault="002E5CC6" w:rsidP="002E5CC6">
      <w:pPr>
        <w:spacing w:after="0" w:line="240" w:lineRule="auto"/>
        <w:jc w:val="both"/>
        <w:outlineLvl w:val="0"/>
        <w:rPr>
          <w:rFonts w:ascii="Times New Roman" w:hAnsi="Times New Roman"/>
        </w:rPr>
      </w:pPr>
      <w:r w:rsidRPr="0004684A">
        <w:rPr>
          <w:rFonts w:ascii="Times New Roman" w:hAnsi="Times New Roman"/>
          <w:b/>
          <w:sz w:val="18"/>
          <w:szCs w:val="18"/>
        </w:rPr>
        <w:t>Keyword</w:t>
      </w:r>
      <w:r>
        <w:rPr>
          <w:rFonts w:ascii="Times New Roman" w:hAnsi="Times New Roman"/>
          <w:b/>
          <w:sz w:val="18"/>
          <w:szCs w:val="18"/>
        </w:rPr>
        <w:t>s</w:t>
      </w:r>
      <w:r w:rsidRPr="0004684A">
        <w:rPr>
          <w:rFonts w:ascii="Times New Roman" w:hAnsi="Times New Roman"/>
          <w:sz w:val="18"/>
          <w:szCs w:val="18"/>
        </w:rPr>
        <w:t>:</w:t>
      </w:r>
      <w:r w:rsidRPr="0004684A">
        <w:rPr>
          <w:rFonts w:ascii="Times New Roman" w:hAnsi="Times New Roman"/>
        </w:rPr>
        <w:t xml:space="preserve"> </w:t>
      </w:r>
      <w:r>
        <w:rPr>
          <w:rFonts w:ascii="Times New Roman" w:hAnsi="Times New Roman"/>
        </w:rPr>
        <w:t xml:space="preserve"> </w:t>
      </w:r>
      <w:r w:rsidRPr="0004684A">
        <w:rPr>
          <w:rFonts w:ascii="Times New Roman" w:hAnsi="Times New Roman"/>
          <w:sz w:val="18"/>
          <w:szCs w:val="18"/>
        </w:rPr>
        <w:t>wood sawdust, monoethanolamine, chemical activation, activated carbon, adsorption</w:t>
      </w:r>
      <w:r w:rsidRPr="0004684A">
        <w:rPr>
          <w:rFonts w:ascii="Times New Roman" w:hAnsi="Times New Roman"/>
        </w:rPr>
        <w:t xml:space="preserve"> </w:t>
      </w:r>
    </w:p>
    <w:p w:rsidR="002E5CC6" w:rsidRPr="0004684A" w:rsidRDefault="002E5CC6" w:rsidP="002E5CC6">
      <w:pPr>
        <w:spacing w:after="0" w:line="240" w:lineRule="auto"/>
        <w:jc w:val="center"/>
        <w:outlineLvl w:val="0"/>
        <w:rPr>
          <w:rFonts w:ascii="Times New Roman" w:hAnsi="Times New Roman"/>
          <w:b/>
          <w:sz w:val="18"/>
          <w:szCs w:val="18"/>
        </w:rPr>
      </w:pPr>
    </w:p>
    <w:p w:rsidR="002E5CC6" w:rsidRPr="0004684A" w:rsidRDefault="002E5CC6" w:rsidP="002E5CC6">
      <w:pPr>
        <w:spacing w:after="0" w:line="240" w:lineRule="auto"/>
        <w:jc w:val="center"/>
        <w:outlineLvl w:val="0"/>
        <w:rPr>
          <w:rFonts w:ascii="Times New Roman" w:hAnsi="Times New Roman"/>
          <w:b/>
          <w:sz w:val="18"/>
          <w:szCs w:val="18"/>
          <w:lang w:val="ms-MY"/>
        </w:rPr>
      </w:pPr>
      <w:r w:rsidRPr="0004684A">
        <w:rPr>
          <w:rFonts w:ascii="Times New Roman" w:hAnsi="Times New Roman"/>
          <w:b/>
          <w:sz w:val="18"/>
          <w:szCs w:val="18"/>
          <w:lang w:val="ms-MY"/>
        </w:rPr>
        <w:t>Abstrak</w:t>
      </w:r>
    </w:p>
    <w:p w:rsidR="002E5CC6" w:rsidRPr="0004684A" w:rsidRDefault="002E5CC6" w:rsidP="002E5CC6">
      <w:pPr>
        <w:spacing w:after="0" w:line="240" w:lineRule="auto"/>
        <w:jc w:val="both"/>
        <w:outlineLvl w:val="0"/>
        <w:rPr>
          <w:rFonts w:ascii="Times New Roman" w:hAnsi="Times New Roman"/>
          <w:sz w:val="18"/>
          <w:szCs w:val="18"/>
          <w:lang w:val="ms-MY"/>
        </w:rPr>
      </w:pPr>
      <w:r w:rsidRPr="0004684A">
        <w:rPr>
          <w:rFonts w:ascii="Times New Roman" w:hAnsi="Times New Roman"/>
          <w:sz w:val="18"/>
          <w:szCs w:val="18"/>
          <w:lang w:val="ms-MY"/>
        </w:rPr>
        <w:t>Di dalam kajian ini, habuk papan, yang berkos rendah dan dihasilkan dengan banyak dari industri kayu, telah diuji sebagai pemula untuk pengeluaran karbon berliang dalam skim kimia menggunakan H</w:t>
      </w:r>
      <w:r w:rsidRPr="0004684A">
        <w:rPr>
          <w:rFonts w:ascii="Times New Roman" w:hAnsi="Times New Roman"/>
          <w:sz w:val="18"/>
          <w:szCs w:val="18"/>
          <w:vertAlign w:val="subscript"/>
          <w:lang w:val="ms-MY"/>
        </w:rPr>
        <w:t>3</w:t>
      </w:r>
      <w:r w:rsidRPr="0004684A">
        <w:rPr>
          <w:rFonts w:ascii="Times New Roman" w:hAnsi="Times New Roman"/>
          <w:sz w:val="18"/>
          <w:szCs w:val="18"/>
          <w:lang w:val="ms-MY"/>
        </w:rPr>
        <w:t>PO</w:t>
      </w:r>
      <w:r w:rsidRPr="0004684A">
        <w:rPr>
          <w:rFonts w:ascii="Times New Roman" w:hAnsi="Times New Roman"/>
          <w:sz w:val="18"/>
          <w:szCs w:val="18"/>
          <w:vertAlign w:val="subscript"/>
          <w:lang w:val="ms-MY"/>
        </w:rPr>
        <w:t>4</w:t>
      </w:r>
      <w:r w:rsidRPr="0004684A">
        <w:rPr>
          <w:rFonts w:ascii="Times New Roman" w:hAnsi="Times New Roman"/>
          <w:sz w:val="18"/>
          <w:szCs w:val="18"/>
          <w:lang w:val="ms-MY"/>
        </w:rPr>
        <w:t>. Dari parameter sintesis yang dikaji, F21 karbon yang diaktifkan menghasilkan luas permukaan, jumlah isi padu dan diameter berliang terbesar diperolehi apabila habuk papan</w:t>
      </w:r>
      <w:r w:rsidRPr="0004684A">
        <w:rPr>
          <w:rFonts w:ascii="Helvetica" w:hAnsi="Helvetica" w:cs="Helvetica"/>
          <w:sz w:val="18"/>
          <w:szCs w:val="18"/>
          <w:lang w:val="ms-MY"/>
        </w:rPr>
        <w:t xml:space="preserve"> </w:t>
      </w:r>
      <w:r w:rsidRPr="0004684A">
        <w:rPr>
          <w:rFonts w:ascii="Times New Roman" w:hAnsi="Times New Roman"/>
          <w:sz w:val="18"/>
          <w:szCs w:val="18"/>
          <w:lang w:val="ms-MY"/>
        </w:rPr>
        <w:t>diimpregnasikan dengan nisbah 1:1 dan dirawat dengan suhu pengaktifan 500</w:t>
      </w:r>
      <w:r>
        <w:rPr>
          <w:rFonts w:ascii="Times New Roman" w:hAnsi="Times New Roman"/>
          <w:sz w:val="18"/>
          <w:szCs w:val="18"/>
          <w:lang w:val="ms-MY"/>
        </w:rPr>
        <w:t xml:space="preserve"> </w:t>
      </w:r>
      <w:r w:rsidRPr="0004684A">
        <w:rPr>
          <w:rFonts w:ascii="Times New Roman" w:hAnsi="Times New Roman"/>
          <w:sz w:val="18"/>
          <w:szCs w:val="18"/>
          <w:lang w:val="ms-MY"/>
        </w:rPr>
        <w:t xml:space="preserve">°C untuk tempoh 60 minit. Melalui analisis isoterma penjerapan nitrogen, kewujudan </w:t>
      </w:r>
      <w:r>
        <w:rPr>
          <w:rFonts w:ascii="Times New Roman" w:hAnsi="Times New Roman"/>
          <w:sz w:val="18"/>
          <w:szCs w:val="18"/>
          <w:lang w:val="ms-MY"/>
        </w:rPr>
        <w:t xml:space="preserve">liang </w:t>
      </w:r>
      <w:r w:rsidRPr="0004684A">
        <w:rPr>
          <w:rFonts w:ascii="Times New Roman" w:hAnsi="Times New Roman"/>
          <w:sz w:val="18"/>
          <w:szCs w:val="18"/>
          <w:lang w:val="ms-MY"/>
        </w:rPr>
        <w:t xml:space="preserve">meso terbukti apabila gabungan isotem Jenis-I dan Jenis-II dipamerkan oleh karbon </w:t>
      </w:r>
      <w:r>
        <w:rPr>
          <w:rFonts w:ascii="Times New Roman" w:hAnsi="Times New Roman"/>
          <w:sz w:val="18"/>
          <w:szCs w:val="18"/>
          <w:lang w:val="ms-MY"/>
        </w:rPr>
        <w:t xml:space="preserve">yang </w:t>
      </w:r>
      <w:r w:rsidRPr="0004684A">
        <w:rPr>
          <w:rFonts w:ascii="Times New Roman" w:hAnsi="Times New Roman"/>
          <w:sz w:val="18"/>
          <w:szCs w:val="18"/>
          <w:lang w:val="ms-MY"/>
        </w:rPr>
        <w:t xml:space="preserve">diaktifkan. Hasil daripada ujian penjerapan menunjukkan bahawa di bawah kesan kepekatan awal, sampel optimum mampu mengeluarkan 96.8% daripada </w:t>
      </w:r>
      <w:r>
        <w:rPr>
          <w:rFonts w:ascii="Times New Roman" w:hAnsi="Times New Roman"/>
          <w:sz w:val="18"/>
          <w:szCs w:val="18"/>
          <w:lang w:val="ms-MY"/>
        </w:rPr>
        <w:t>monoetanolamina (</w:t>
      </w:r>
      <w:r w:rsidRPr="0004684A">
        <w:rPr>
          <w:rFonts w:ascii="Times New Roman" w:hAnsi="Times New Roman"/>
          <w:sz w:val="18"/>
          <w:szCs w:val="18"/>
          <w:lang w:val="ms-MY"/>
        </w:rPr>
        <w:t>MEA</w:t>
      </w:r>
      <w:r>
        <w:rPr>
          <w:rFonts w:ascii="Times New Roman" w:hAnsi="Times New Roman"/>
          <w:sz w:val="18"/>
          <w:szCs w:val="18"/>
          <w:lang w:val="ms-MY"/>
        </w:rPr>
        <w:t>)</w:t>
      </w:r>
      <w:r w:rsidRPr="0004684A">
        <w:rPr>
          <w:rFonts w:ascii="Times New Roman" w:hAnsi="Times New Roman"/>
          <w:sz w:val="18"/>
          <w:szCs w:val="18"/>
          <w:lang w:val="ms-MY"/>
        </w:rPr>
        <w:t xml:space="preserve"> pada kepekatan rendah 100 ppm, manakala di bawah kesan kadar kacau, 99.7% daripada MEA dikeluarkan pada kadar pengadukan tertinggi pada 400 rpm. Akhirnya di bawah kesan waktu hubungan, 99.7% penyingkiran MEA dicapai pada masa 45 minit. Hasil yang diperoleh menunjukkan bahawa produk sisa pertanian dari habuk papan boleh digunakan dengan berkesan sebagai bahan penjerap dalam rawatan air buangan MEA.</w:t>
      </w:r>
    </w:p>
    <w:p w:rsidR="002E5CC6" w:rsidRPr="0004684A" w:rsidRDefault="002E5CC6" w:rsidP="002E5CC6">
      <w:pPr>
        <w:spacing w:after="0" w:line="240" w:lineRule="auto"/>
        <w:jc w:val="both"/>
        <w:outlineLvl w:val="0"/>
        <w:rPr>
          <w:rFonts w:ascii="Times New Roman" w:hAnsi="Times New Roman"/>
          <w:sz w:val="18"/>
          <w:szCs w:val="18"/>
          <w:lang w:val="ms-MY"/>
        </w:rPr>
      </w:pPr>
    </w:p>
    <w:p w:rsidR="002E5CC6" w:rsidRPr="0004684A" w:rsidRDefault="002E5CC6" w:rsidP="002E5CC6">
      <w:pPr>
        <w:spacing w:after="0" w:line="240" w:lineRule="auto"/>
        <w:jc w:val="both"/>
        <w:outlineLvl w:val="0"/>
        <w:rPr>
          <w:rFonts w:ascii="Times New Roman" w:hAnsi="Times New Roman"/>
          <w:b/>
          <w:sz w:val="18"/>
          <w:szCs w:val="18"/>
          <w:lang w:val="ms-MY"/>
        </w:rPr>
      </w:pPr>
      <w:r w:rsidRPr="0004684A">
        <w:rPr>
          <w:rFonts w:ascii="Times New Roman" w:hAnsi="Times New Roman"/>
          <w:b/>
          <w:sz w:val="18"/>
          <w:szCs w:val="18"/>
          <w:lang w:val="ms-MY"/>
        </w:rPr>
        <w:t>Kata kunci:</w:t>
      </w:r>
      <w:r>
        <w:rPr>
          <w:rFonts w:ascii="Times New Roman" w:hAnsi="Times New Roman"/>
          <w:b/>
          <w:sz w:val="18"/>
          <w:szCs w:val="18"/>
          <w:lang w:val="ms-MY"/>
        </w:rPr>
        <w:t xml:space="preserve"> </w:t>
      </w:r>
      <w:r w:rsidRPr="0004684A">
        <w:rPr>
          <w:rFonts w:ascii="Times New Roman" w:hAnsi="Times New Roman"/>
          <w:b/>
          <w:sz w:val="18"/>
          <w:szCs w:val="18"/>
          <w:lang w:val="ms-MY"/>
        </w:rPr>
        <w:t xml:space="preserve"> </w:t>
      </w:r>
      <w:r w:rsidRPr="0004684A">
        <w:rPr>
          <w:rFonts w:ascii="Times New Roman" w:hAnsi="Times New Roman"/>
          <w:sz w:val="18"/>
          <w:szCs w:val="18"/>
          <w:lang w:val="ms-MY"/>
        </w:rPr>
        <w:t>habuk papan kayu, monoetanolamin, pengaktifan kimia, karbon diaktifkan, penjerapan</w:t>
      </w:r>
      <w:r w:rsidRPr="0004684A">
        <w:rPr>
          <w:rFonts w:ascii="Times New Roman" w:hAnsi="Times New Roman"/>
          <w:b/>
          <w:sz w:val="18"/>
          <w:szCs w:val="18"/>
          <w:lang w:val="ms-MY"/>
        </w:rPr>
        <w:t xml:space="preserve"> </w:t>
      </w:r>
    </w:p>
    <w:p w:rsidR="006768E9" w:rsidRPr="002E5CC6" w:rsidRDefault="006768E9" w:rsidP="002E5CC6">
      <w:pPr>
        <w:spacing w:after="0" w:line="240" w:lineRule="auto"/>
        <w:jc w:val="center"/>
        <w:rPr>
          <w:rFonts w:ascii="Times New Roman" w:hAnsi="Times New Roman"/>
          <w:noProof/>
          <w:sz w:val="20"/>
          <w:szCs w:val="20"/>
          <w:lang w:val="ms-MY" w:bidi="ar-SA"/>
        </w:rPr>
      </w:pPr>
    </w:p>
    <w:p w:rsidR="00494C46" w:rsidRDefault="00494C46" w:rsidP="00F447A7">
      <w:pPr>
        <w:spacing w:after="0" w:line="240" w:lineRule="auto"/>
        <w:jc w:val="center"/>
        <w:rPr>
          <w:rFonts w:ascii="Times New Roman" w:hAnsi="Times New Roman"/>
          <w:noProof/>
          <w:sz w:val="20"/>
          <w:szCs w:val="20"/>
          <w:lang w:bidi="ar-SA"/>
        </w:rPr>
      </w:pPr>
    </w:p>
    <w:p w:rsidR="002E5CC6" w:rsidRDefault="002E5CC6" w:rsidP="00F447A7">
      <w:pPr>
        <w:spacing w:after="0" w:line="240" w:lineRule="auto"/>
        <w:jc w:val="center"/>
        <w:rPr>
          <w:rFonts w:ascii="Times New Roman" w:hAnsi="Times New Roman"/>
          <w:noProof/>
          <w:sz w:val="20"/>
          <w:szCs w:val="20"/>
          <w:lang w:bidi="ar-SA"/>
        </w:rPr>
      </w:pPr>
    </w:p>
    <w:p w:rsidR="002E5CC6" w:rsidRPr="00BE7C30" w:rsidRDefault="002E5CC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2E5CC6" w:rsidRPr="002E5CC6" w:rsidRDefault="002E5CC6" w:rsidP="002E5CC6">
      <w:pPr>
        <w:spacing w:after="0" w:line="240" w:lineRule="auto"/>
        <w:jc w:val="both"/>
        <w:outlineLvl w:val="0"/>
        <w:rPr>
          <w:rFonts w:ascii="Times New Roman" w:hAnsi="Times New Roman"/>
          <w:sz w:val="20"/>
          <w:szCs w:val="20"/>
          <w:lang w:val="en-GB"/>
        </w:rPr>
      </w:pPr>
      <w:r w:rsidRPr="002E5CC6">
        <w:rPr>
          <w:rFonts w:ascii="Times New Roman" w:hAnsi="Times New Roman"/>
          <w:sz w:val="20"/>
          <w:szCs w:val="20"/>
          <w:lang w:val="en-GB"/>
        </w:rPr>
        <w:t>In petrochemical industry, especially in natural gas processing plant, raw natural gas contains significant amount of carbon dioxide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Prior to further processing activities, the gas stream needs to undergo treatment to remove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xml:space="preserve"> to meet specifications for successful liquefaction LNG process. The most important commercially applied technology for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xml:space="preserve"> removal is the absorption process by using amine-based solvent. One of the important amines is monoethanolamine (MEA) which is used in most acid gas recovery system as it provides sufficient alkalinity to absorb CO</w:t>
      </w:r>
      <w:r w:rsidRPr="002E5CC6">
        <w:rPr>
          <w:rFonts w:ascii="Times New Roman" w:hAnsi="Times New Roman"/>
          <w:sz w:val="20"/>
          <w:szCs w:val="20"/>
          <w:vertAlign w:val="subscript"/>
          <w:lang w:val="en-GB"/>
        </w:rPr>
        <w:t>2</w:t>
      </w:r>
      <w:r w:rsidRPr="002E5CC6">
        <w:rPr>
          <w:rFonts w:ascii="Times New Roman" w:hAnsi="Times New Roman"/>
          <w:sz w:val="20"/>
          <w:szCs w:val="20"/>
          <w:lang w:val="en-GB"/>
        </w:rPr>
        <w:t xml:space="preserve"> [1]. However, during absorption-desorption, maintenance and transportation activities, amine may degrade over time and this corrosive by-products may be carried over and need to be removed as wastewater. Amines are known as toxic material and can have significant affect to human health and the aquatic ecosystem [2]. MEA </w:t>
      </w:r>
      <w:r>
        <w:rPr>
          <w:rFonts w:ascii="Times New Roman" w:hAnsi="Times New Roman"/>
          <w:sz w:val="20"/>
          <w:szCs w:val="20"/>
          <w:lang w:val="en-GB"/>
        </w:rPr>
        <w:t xml:space="preserve"> </w:t>
      </w:r>
      <w:r w:rsidRPr="002E5CC6">
        <w:rPr>
          <w:rFonts w:ascii="Times New Roman" w:hAnsi="Times New Roman"/>
          <w:sz w:val="20"/>
          <w:szCs w:val="20"/>
          <w:lang w:val="en-GB"/>
        </w:rPr>
        <w:t>is an</w:t>
      </w:r>
      <w:r>
        <w:rPr>
          <w:rFonts w:ascii="Times New Roman" w:hAnsi="Times New Roman"/>
          <w:sz w:val="20"/>
          <w:szCs w:val="20"/>
          <w:lang w:val="en-GB"/>
        </w:rPr>
        <w:t xml:space="preserve"> </w:t>
      </w:r>
      <w:r w:rsidRPr="002E5CC6">
        <w:rPr>
          <w:rFonts w:ascii="Times New Roman" w:hAnsi="Times New Roman"/>
          <w:sz w:val="20"/>
          <w:szCs w:val="20"/>
          <w:lang w:val="en-GB"/>
        </w:rPr>
        <w:t xml:space="preserve"> organic </w:t>
      </w:r>
      <w:r>
        <w:rPr>
          <w:rFonts w:ascii="Times New Roman" w:hAnsi="Times New Roman"/>
          <w:sz w:val="20"/>
          <w:szCs w:val="20"/>
          <w:lang w:val="en-GB"/>
        </w:rPr>
        <w:t xml:space="preserve"> </w:t>
      </w:r>
      <w:r w:rsidRPr="002E5CC6">
        <w:rPr>
          <w:rFonts w:ascii="Times New Roman" w:hAnsi="Times New Roman"/>
          <w:sz w:val="20"/>
          <w:szCs w:val="20"/>
          <w:lang w:val="en-GB"/>
        </w:rPr>
        <w:t xml:space="preserve">matter </w:t>
      </w:r>
      <w:r>
        <w:rPr>
          <w:rFonts w:ascii="Times New Roman" w:hAnsi="Times New Roman"/>
          <w:sz w:val="20"/>
          <w:szCs w:val="20"/>
          <w:lang w:val="en-GB"/>
        </w:rPr>
        <w:t xml:space="preserve"> </w:t>
      </w:r>
      <w:r w:rsidRPr="002E5CC6">
        <w:rPr>
          <w:rFonts w:ascii="Times New Roman" w:hAnsi="Times New Roman"/>
          <w:sz w:val="20"/>
          <w:szCs w:val="20"/>
          <w:lang w:val="en-GB"/>
        </w:rPr>
        <w:t>and</w:t>
      </w:r>
      <w:r>
        <w:rPr>
          <w:rFonts w:ascii="Times New Roman" w:hAnsi="Times New Roman"/>
          <w:sz w:val="20"/>
          <w:szCs w:val="20"/>
          <w:lang w:val="en-GB"/>
        </w:rPr>
        <w:t xml:space="preserve"> </w:t>
      </w:r>
      <w:r w:rsidRPr="002E5CC6">
        <w:rPr>
          <w:rFonts w:ascii="Times New Roman" w:hAnsi="Times New Roman"/>
          <w:sz w:val="20"/>
          <w:szCs w:val="20"/>
          <w:lang w:val="en-GB"/>
        </w:rPr>
        <w:t xml:space="preserve"> can</w:t>
      </w:r>
      <w:r>
        <w:rPr>
          <w:rFonts w:ascii="Times New Roman" w:hAnsi="Times New Roman"/>
          <w:sz w:val="20"/>
          <w:szCs w:val="20"/>
          <w:lang w:val="en-GB"/>
        </w:rPr>
        <w:t xml:space="preserve"> </w:t>
      </w:r>
      <w:r w:rsidRPr="002E5CC6">
        <w:rPr>
          <w:rFonts w:ascii="Times New Roman" w:hAnsi="Times New Roman"/>
          <w:sz w:val="20"/>
          <w:szCs w:val="20"/>
          <w:lang w:val="en-GB"/>
        </w:rPr>
        <w:t xml:space="preserve"> upset the water stream by increasing the Chemical Oxygen Demand (COD). A high COD reading indicates oxygen deficiency in water. Decomposition of organic matter will consume the amount of water-dissolved oxygen, which in turns leads to lack of oxygen and ultimately destroy the aquatic ecosystem. It is common, in the range of 60 – 80 tons of MEA wastewater is generated per month [3]. In view of the fact that MEA wastewater is produced abundantly from petrochemical plants as well as other processing plants such as coal fired power station and ammonia synthesis plant, it is essential to identify the alternative route methods for treating MEA wastewater which is inexpensive, simple, economically viable and environmental friendly. One of the effective ways is by adsorption method using activated carbon (AC).</w:t>
      </w:r>
    </w:p>
    <w:p w:rsidR="002E5CC6" w:rsidRPr="002E5CC6" w:rsidRDefault="002E5CC6" w:rsidP="002E5CC6">
      <w:pPr>
        <w:spacing w:after="0" w:line="240" w:lineRule="auto"/>
        <w:jc w:val="both"/>
        <w:outlineLvl w:val="0"/>
        <w:rPr>
          <w:rFonts w:ascii="Times New Roman" w:hAnsi="Times New Roman"/>
          <w:sz w:val="20"/>
          <w:szCs w:val="20"/>
          <w:lang w:val="en-GB"/>
        </w:rPr>
      </w:pPr>
    </w:p>
    <w:p w:rsidR="002E5CC6" w:rsidRPr="002E5CC6" w:rsidRDefault="002E5CC6" w:rsidP="002E5CC6">
      <w:pPr>
        <w:spacing w:after="0" w:line="240" w:lineRule="auto"/>
        <w:jc w:val="both"/>
        <w:outlineLvl w:val="0"/>
        <w:rPr>
          <w:rFonts w:ascii="Times New Roman" w:hAnsi="Times New Roman"/>
          <w:sz w:val="20"/>
          <w:szCs w:val="20"/>
          <w:lang w:val="ms-MY"/>
        </w:rPr>
      </w:pPr>
      <w:r w:rsidRPr="002E5CC6">
        <w:rPr>
          <w:rFonts w:ascii="Times New Roman" w:hAnsi="Times New Roman"/>
          <w:sz w:val="20"/>
          <w:szCs w:val="20"/>
          <w:lang w:val="ms-MY"/>
        </w:rPr>
        <w:t>AC in its broadest definition includes a wide range of carbonaceous materials prepared to exhibit a high degree of porosity and an extended interparticulate surface area. The first-class features of high porosity and large surface area impart AC with excellent adsorptive characteristics, which make carbon very useful in many industrial processes such as filtration, separation, decolourization and purification [3, 4]. The versatility of this product is notably observed in the fact that it can be produced from a variety of raw materials. Among them, wood is by far the most common source of precursor, followed closely by coal, coconut shell and other biomass [5, 6]. In Malaysia, the growth of wood-based industry has been phenomenal over the past decades. Malaysia with its well-known tropical rainforest climate is considered as the most ideal climatic condition for cultivating timber, and this potential has been fully utilized and exploited. According to Malaysian Investment Development Authority (MIDA) [7], a total of 1025 sawmills operating in Malaysia has made it into becoming one of the major timber supplier in Southeast Asia region, with exports of saw logs and sawn timber in 2015 amounted to RM6.1 billion. However, the intense wood processing activities has led to generation of substantial amount of byproducts in the form of sawdust, offcut and wood barks [8]. Managing considerable quantities of residues in the form of sawdust and wood chips has become a challenge for the industry and the problem is indeed of great concern. To effectively manage the issue, waste minimization programs were carried out with the intent to reclaim this useful material. In line with the zero waste concept of viewing waste as a potential resource with value to be realized, sawdust has been shown to have potential as precursor material in the preparation of AC and is able to be transformed into value-added products rather than as a waste management problem to be dealt with.</w:t>
      </w:r>
    </w:p>
    <w:p w:rsidR="002E5CC6" w:rsidRPr="002E5CC6" w:rsidRDefault="002E5CC6" w:rsidP="002E5CC6">
      <w:pPr>
        <w:spacing w:after="0" w:line="240" w:lineRule="auto"/>
        <w:jc w:val="both"/>
        <w:outlineLvl w:val="0"/>
        <w:rPr>
          <w:rFonts w:ascii="Times New Roman" w:hAnsi="Times New Roman"/>
          <w:sz w:val="20"/>
          <w:szCs w:val="20"/>
          <w:lang w:val="ms-MY"/>
        </w:rPr>
      </w:pPr>
    </w:p>
    <w:p w:rsidR="002E5CC6" w:rsidRPr="002E5CC6" w:rsidRDefault="002E5CC6" w:rsidP="002E5CC6">
      <w:pPr>
        <w:spacing w:after="0" w:line="240" w:lineRule="auto"/>
        <w:jc w:val="both"/>
        <w:outlineLvl w:val="0"/>
        <w:rPr>
          <w:rFonts w:ascii="Times New Roman" w:hAnsi="Times New Roman"/>
          <w:sz w:val="20"/>
          <w:szCs w:val="20"/>
          <w:lang w:val="ms-MY"/>
        </w:rPr>
      </w:pPr>
      <w:r w:rsidRPr="002E5CC6">
        <w:rPr>
          <w:rFonts w:ascii="Times New Roman" w:hAnsi="Times New Roman"/>
          <w:sz w:val="20"/>
          <w:szCs w:val="20"/>
          <w:lang w:val="ms-MY"/>
        </w:rPr>
        <w:t>High quality AC are manufactured through activation and carbonization of carbonaceous materials [9]. These carbon-based materials need to be activated and carbonized through a series of optimum processes to draw out and make full use of its enormous potential. The resultant products often have high adsorptive capacities, which are associated with their internal porosity and are related to properties such as surface area, pore volume and pore size distribution [10]. Basically, there are two different processes for preparing AC: physical and chemical activation. Physical activation involves the pyrolysis step followed by a stage of controlled oxidation to activate the carbon in the presence of steam or CO</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xml:space="preserve"> [11]. Chemical activation, on the other hand, is a single step method consisting carbonization at a relatively low temperature in the presence of chemical activating agent. [5, 12]. Present study chose to employ chemical activation method due to numerous advantages over physical activation. In the process of chemical activation, the yield is relatively high, and activation temperature is low making the process more economical compared to physical activation [9, 13]. It is more common to use chemical activation when the material is of wood origin [14]. Zhang et al</w:t>
      </w:r>
      <w:r w:rsidRPr="002E5CC6">
        <w:rPr>
          <w:rFonts w:ascii="Times New Roman" w:hAnsi="Times New Roman"/>
          <w:i/>
          <w:sz w:val="20"/>
          <w:szCs w:val="20"/>
          <w:lang w:val="ms-MY"/>
        </w:rPr>
        <w:t xml:space="preserve">. </w:t>
      </w:r>
      <w:r w:rsidRPr="002E5CC6">
        <w:rPr>
          <w:rFonts w:ascii="Times New Roman" w:hAnsi="Times New Roman"/>
          <w:sz w:val="20"/>
          <w:szCs w:val="20"/>
          <w:lang w:val="ms-MY"/>
        </w:rPr>
        <w:t>[15] claim that AC in chemical activation usually has a relatively higher specific surface area and more mesopores than that in physical activation. The main chemical activating agents used include zinc chloride (ZnCl</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phosphoric acid (H</w:t>
      </w:r>
      <w:r w:rsidRPr="002E5CC6">
        <w:rPr>
          <w:rFonts w:ascii="Times New Roman" w:hAnsi="Times New Roman"/>
          <w:sz w:val="20"/>
          <w:szCs w:val="20"/>
          <w:vertAlign w:val="subscript"/>
          <w:lang w:val="ms-MY"/>
        </w:rPr>
        <w:t>3</w:t>
      </w:r>
      <w:r w:rsidRPr="002E5CC6">
        <w:rPr>
          <w:rFonts w:ascii="Times New Roman" w:hAnsi="Times New Roman"/>
          <w:sz w:val="20"/>
          <w:szCs w:val="20"/>
          <w:lang w:val="ms-MY"/>
        </w:rPr>
        <w:t>PO</w:t>
      </w:r>
      <w:r w:rsidRPr="002E5CC6">
        <w:rPr>
          <w:rFonts w:ascii="Times New Roman" w:hAnsi="Times New Roman"/>
          <w:sz w:val="20"/>
          <w:szCs w:val="20"/>
          <w:vertAlign w:val="subscript"/>
          <w:lang w:val="ms-MY"/>
        </w:rPr>
        <w:t>4</w:t>
      </w:r>
      <w:r w:rsidRPr="002E5CC6">
        <w:rPr>
          <w:rFonts w:ascii="Times New Roman" w:hAnsi="Times New Roman"/>
          <w:sz w:val="20"/>
          <w:szCs w:val="20"/>
          <w:lang w:val="ms-MY"/>
        </w:rPr>
        <w:t>) and potassium hydroxide (KOH) solution. These chemical reagents generally act as the dehydrating agents and may promote the formation of cross-links. H</w:t>
      </w:r>
      <w:r w:rsidRPr="002E5CC6">
        <w:rPr>
          <w:rFonts w:ascii="Times New Roman" w:hAnsi="Times New Roman"/>
          <w:sz w:val="20"/>
          <w:szCs w:val="20"/>
          <w:vertAlign w:val="subscript"/>
          <w:lang w:val="ms-MY"/>
        </w:rPr>
        <w:t>3</w:t>
      </w:r>
      <w:r w:rsidRPr="002E5CC6">
        <w:rPr>
          <w:rFonts w:ascii="Times New Roman" w:hAnsi="Times New Roman"/>
          <w:sz w:val="20"/>
          <w:szCs w:val="20"/>
          <w:lang w:val="ms-MY"/>
        </w:rPr>
        <w:t>PO</w:t>
      </w:r>
      <w:r w:rsidRPr="002E5CC6">
        <w:rPr>
          <w:rFonts w:ascii="Times New Roman" w:hAnsi="Times New Roman"/>
          <w:sz w:val="20"/>
          <w:szCs w:val="20"/>
          <w:vertAlign w:val="subscript"/>
          <w:lang w:val="ms-MY"/>
        </w:rPr>
        <w:t>4</w:t>
      </w:r>
      <w:r w:rsidRPr="002E5CC6">
        <w:rPr>
          <w:rFonts w:ascii="Times New Roman" w:hAnsi="Times New Roman"/>
          <w:sz w:val="20"/>
          <w:szCs w:val="20"/>
          <w:lang w:val="ms-MY"/>
        </w:rPr>
        <w:t xml:space="preserve"> and ZnCl</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xml:space="preserve"> are more suitable for activating a lignocellulosic material; whereas KOH is normally used for activation of coal </w:t>
      </w:r>
      <w:r w:rsidRPr="002E5CC6">
        <w:rPr>
          <w:rFonts w:ascii="Times New Roman" w:hAnsi="Times New Roman"/>
          <w:sz w:val="20"/>
          <w:szCs w:val="20"/>
          <w:lang w:val="ms-MY"/>
        </w:rPr>
        <w:lastRenderedPageBreak/>
        <w:t>precursor or chars [12]. When compared with ZnCl</w:t>
      </w:r>
      <w:r w:rsidRPr="002E5CC6">
        <w:rPr>
          <w:rFonts w:ascii="Times New Roman" w:hAnsi="Times New Roman"/>
          <w:sz w:val="20"/>
          <w:szCs w:val="20"/>
          <w:vertAlign w:val="subscript"/>
          <w:lang w:val="ms-MY"/>
        </w:rPr>
        <w:t>2</w:t>
      </w:r>
      <w:r w:rsidRPr="002E5CC6">
        <w:rPr>
          <w:rFonts w:ascii="Times New Roman" w:hAnsi="Times New Roman"/>
          <w:sz w:val="20"/>
          <w:szCs w:val="20"/>
          <w:lang w:val="ms-MY"/>
        </w:rPr>
        <w:t>, the use of H</w:t>
      </w:r>
      <w:r w:rsidRPr="002E5CC6">
        <w:rPr>
          <w:rFonts w:ascii="Times New Roman" w:hAnsi="Times New Roman"/>
          <w:sz w:val="20"/>
          <w:szCs w:val="20"/>
          <w:vertAlign w:val="subscript"/>
          <w:lang w:val="ms-MY"/>
        </w:rPr>
        <w:t>3</w:t>
      </w:r>
      <w:r w:rsidRPr="002E5CC6">
        <w:rPr>
          <w:rFonts w:ascii="Times New Roman" w:hAnsi="Times New Roman"/>
          <w:sz w:val="20"/>
          <w:szCs w:val="20"/>
          <w:lang w:val="ms-MY"/>
        </w:rPr>
        <w:t>PO</w:t>
      </w:r>
      <w:r w:rsidRPr="002E5CC6">
        <w:rPr>
          <w:rFonts w:ascii="Times New Roman" w:hAnsi="Times New Roman"/>
          <w:sz w:val="20"/>
          <w:szCs w:val="20"/>
          <w:vertAlign w:val="subscript"/>
          <w:lang w:val="ms-MY"/>
        </w:rPr>
        <w:t>4</w:t>
      </w:r>
      <w:r w:rsidRPr="002E5CC6">
        <w:rPr>
          <w:rFonts w:ascii="Times New Roman" w:hAnsi="Times New Roman"/>
          <w:sz w:val="20"/>
          <w:szCs w:val="20"/>
          <w:lang w:val="ms-MY"/>
        </w:rPr>
        <w:t xml:space="preserve"> is more favoured due to problems of environmental contamination with zinc compounds [7, 10]. </w:t>
      </w:r>
    </w:p>
    <w:p w:rsidR="002E5CC6" w:rsidRPr="002E5CC6" w:rsidRDefault="002E5CC6" w:rsidP="002E5CC6">
      <w:pPr>
        <w:spacing w:after="0" w:line="240" w:lineRule="auto"/>
        <w:jc w:val="both"/>
        <w:outlineLvl w:val="0"/>
        <w:rPr>
          <w:rFonts w:ascii="Times New Roman" w:hAnsi="Times New Roman"/>
          <w:sz w:val="20"/>
          <w:szCs w:val="20"/>
          <w:lang w:val="ms-MY"/>
        </w:rPr>
      </w:pPr>
    </w:p>
    <w:p w:rsidR="002E5CC6" w:rsidRPr="002E5CC6" w:rsidRDefault="002E5CC6" w:rsidP="002E5CC6">
      <w:pPr>
        <w:spacing w:after="0" w:line="240" w:lineRule="auto"/>
        <w:jc w:val="both"/>
        <w:outlineLvl w:val="0"/>
        <w:rPr>
          <w:rFonts w:ascii="Times New Roman" w:hAnsi="Times New Roman"/>
          <w:sz w:val="20"/>
          <w:szCs w:val="20"/>
        </w:rPr>
      </w:pPr>
      <w:r w:rsidRPr="002E5CC6">
        <w:rPr>
          <w:rFonts w:ascii="Times New Roman" w:hAnsi="Times New Roman"/>
          <w:sz w:val="20"/>
          <w:szCs w:val="20"/>
          <w:lang w:val="de-DE"/>
        </w:rPr>
        <w:t>In this study, chemical activation method by H</w:t>
      </w:r>
      <w:r w:rsidRPr="002E5CC6">
        <w:rPr>
          <w:rFonts w:ascii="Times New Roman" w:hAnsi="Times New Roman"/>
          <w:sz w:val="20"/>
          <w:szCs w:val="20"/>
          <w:vertAlign w:val="subscript"/>
          <w:lang w:val="de-DE"/>
        </w:rPr>
        <w:t>3</w:t>
      </w:r>
      <w:r w:rsidRPr="002E5CC6">
        <w:rPr>
          <w:rFonts w:ascii="Times New Roman" w:hAnsi="Times New Roman"/>
          <w:sz w:val="20"/>
          <w:szCs w:val="20"/>
          <w:lang w:val="de-DE"/>
        </w:rPr>
        <w:t>PO</w:t>
      </w:r>
      <w:r w:rsidRPr="002E5CC6">
        <w:rPr>
          <w:rFonts w:ascii="Times New Roman" w:hAnsi="Times New Roman"/>
          <w:sz w:val="20"/>
          <w:szCs w:val="20"/>
          <w:vertAlign w:val="subscript"/>
          <w:lang w:val="de-DE"/>
        </w:rPr>
        <w:t>4</w:t>
      </w:r>
      <w:r w:rsidRPr="002E5CC6">
        <w:rPr>
          <w:rFonts w:ascii="Times New Roman" w:hAnsi="Times New Roman"/>
          <w:sz w:val="20"/>
          <w:szCs w:val="20"/>
          <w:lang w:val="de-DE"/>
        </w:rPr>
        <w:t xml:space="preserve"> was selected due to its numerous advantages over physical activation method and favourable conditions compared to other chemical activating agents. The research study was set in the direction towards evaluating the potential of sawdust and to compare its</w:t>
      </w:r>
      <w:r w:rsidRPr="002E5CC6">
        <w:rPr>
          <w:rFonts w:ascii="Times New Roman" w:hAnsi="Times New Roman"/>
          <w:sz w:val="20"/>
          <w:szCs w:val="20"/>
        </w:rPr>
        <w:t xml:space="preserve"> effectiveness in adsorbing MEA from aqueous solution. Since chemical activation was adopted in this study, impregnation ratio, temperature and activation time would be the main factors affecting the extent of reaction. Therefore, these parameters were also investigated to assess the effects of operation conditions on pore development of activated carbon prepared from sawdust.</w:t>
      </w:r>
    </w:p>
    <w:p w:rsidR="002E5CC6" w:rsidRPr="002E5CC6" w:rsidRDefault="002E5CC6" w:rsidP="002E5CC6">
      <w:pPr>
        <w:spacing w:after="0" w:line="240" w:lineRule="auto"/>
        <w:jc w:val="center"/>
        <w:outlineLvl w:val="0"/>
        <w:rPr>
          <w:rFonts w:ascii="Times New Roman" w:hAnsi="Times New Roman"/>
          <w:sz w:val="20"/>
          <w:szCs w:val="20"/>
        </w:rPr>
      </w:pPr>
    </w:p>
    <w:p w:rsidR="002E5CC6" w:rsidRPr="002E5CC6" w:rsidRDefault="002E5CC6" w:rsidP="002E5CC6">
      <w:pPr>
        <w:spacing w:after="0" w:line="240" w:lineRule="auto"/>
        <w:jc w:val="center"/>
        <w:outlineLvl w:val="0"/>
        <w:rPr>
          <w:rFonts w:ascii="Times New Roman" w:hAnsi="Times New Roman"/>
          <w:b/>
          <w:sz w:val="20"/>
          <w:szCs w:val="20"/>
        </w:rPr>
      </w:pPr>
      <w:r w:rsidRPr="002E5CC6">
        <w:rPr>
          <w:rFonts w:ascii="Times New Roman" w:hAnsi="Times New Roman"/>
          <w:b/>
          <w:sz w:val="20"/>
          <w:szCs w:val="20"/>
        </w:rPr>
        <w:t>Materials and Methods</w:t>
      </w:r>
    </w:p>
    <w:p w:rsidR="002E5CC6" w:rsidRPr="002E5CC6" w:rsidRDefault="002E5CC6" w:rsidP="002E5CC6">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Sample preparation</w:t>
      </w:r>
    </w:p>
    <w:p w:rsidR="002E5CC6" w:rsidRPr="002E5CC6" w:rsidRDefault="002E5CC6" w:rsidP="002E5CC6">
      <w:pPr>
        <w:spacing w:after="0" w:line="240" w:lineRule="auto"/>
        <w:jc w:val="both"/>
        <w:outlineLvl w:val="0"/>
        <w:rPr>
          <w:rFonts w:ascii="Times New Roman" w:hAnsi="Times New Roman"/>
          <w:sz w:val="20"/>
          <w:szCs w:val="20"/>
        </w:rPr>
      </w:pPr>
      <w:r w:rsidRPr="002E5CC6">
        <w:rPr>
          <w:rFonts w:ascii="Times New Roman" w:hAnsi="Times New Roman"/>
          <w:sz w:val="20"/>
          <w:szCs w:val="20"/>
        </w:rPr>
        <w:t xml:space="preserve">Fresh sawdust produced from the process of converting the raw logs into sawn timber was collected from a local sawmill for experimental purpose. The type of sawdust acquired was originated from Nyatoh wood or scientifically known as </w:t>
      </w:r>
      <w:r w:rsidRPr="002E5CC6">
        <w:rPr>
          <w:rFonts w:ascii="Times New Roman" w:hAnsi="Times New Roman"/>
          <w:i/>
          <w:sz w:val="20"/>
          <w:szCs w:val="20"/>
        </w:rPr>
        <w:t>Sapotaceae spp.</w:t>
      </w:r>
      <w:r w:rsidRPr="002E5CC6">
        <w:rPr>
          <w:rFonts w:ascii="Times New Roman" w:hAnsi="Times New Roman"/>
          <w:sz w:val="20"/>
          <w:szCs w:val="20"/>
        </w:rPr>
        <w:t>, classified as species of light hardwood. The sawdust collected was sieved according to size of 250 µm. The sieved sawdust was then washed with distilled water several times to remove impurities and ashes that were collected together. After washing, the sawdust was dried in an oven overnight at 80 °C constant heating rate to preserve the samples [5]. The dried and cleaned sawdust was placed in a desiccator for further process. All chemicals were purchased from R &amp; M Chemicals and were industrial reagent grade.</w:t>
      </w:r>
    </w:p>
    <w:p w:rsidR="002E5CC6" w:rsidRPr="002E5CC6" w:rsidRDefault="002E5CC6" w:rsidP="002E5CC6">
      <w:pPr>
        <w:spacing w:after="0" w:line="240" w:lineRule="auto"/>
        <w:jc w:val="both"/>
        <w:outlineLvl w:val="0"/>
        <w:rPr>
          <w:rFonts w:ascii="Times New Roman" w:hAnsi="Times New Roman"/>
          <w:sz w:val="20"/>
          <w:szCs w:val="20"/>
        </w:rPr>
      </w:pPr>
    </w:p>
    <w:p w:rsidR="002E5CC6" w:rsidRPr="002E5CC6" w:rsidRDefault="002E5CC6" w:rsidP="002E5CC6">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Carbonization and activation</w:t>
      </w:r>
    </w:p>
    <w:p w:rsid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The sawdust prepared was impregnated by mixing it with desired ratio (1:1, 1:2, and 1:3) of H</w:t>
      </w:r>
      <w:r w:rsidRPr="002E5CC6">
        <w:rPr>
          <w:rFonts w:ascii="Times New Roman" w:hAnsi="Times New Roman"/>
          <w:bCs/>
          <w:sz w:val="20"/>
          <w:szCs w:val="20"/>
          <w:vertAlign w:val="subscript"/>
        </w:rPr>
        <w:t>3</w:t>
      </w:r>
      <w:r w:rsidRPr="002E5CC6">
        <w:rPr>
          <w:rFonts w:ascii="Times New Roman" w:hAnsi="Times New Roman"/>
          <w:bCs/>
          <w:sz w:val="20"/>
          <w:szCs w:val="20"/>
        </w:rPr>
        <w:t>PO</w:t>
      </w:r>
      <w:r w:rsidRPr="002E5CC6">
        <w:rPr>
          <w:rFonts w:ascii="Times New Roman" w:hAnsi="Times New Roman"/>
          <w:bCs/>
          <w:sz w:val="20"/>
          <w:szCs w:val="20"/>
          <w:vertAlign w:val="subscript"/>
        </w:rPr>
        <w:t>4</w:t>
      </w:r>
      <w:r w:rsidRPr="002E5CC6">
        <w:rPr>
          <w:rFonts w:ascii="Times New Roman" w:hAnsi="Times New Roman"/>
          <w:bCs/>
          <w:sz w:val="20"/>
          <w:szCs w:val="20"/>
        </w:rPr>
        <w:t xml:space="preserve"> based on the dry weight of the sample. The impregnation ratio is given by:</w:t>
      </w: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Cs/>
          <w:sz w:val="20"/>
          <w:szCs w:val="20"/>
        </w:rPr>
      </w:pPr>
      <w:r>
        <w:rPr>
          <w:rFonts w:ascii="Times New Roman" w:hAnsi="Times New Roman"/>
          <w:bCs/>
          <w:sz w:val="20"/>
          <w:szCs w:val="20"/>
        </w:rPr>
        <w:t xml:space="preserve">                                                             </w:t>
      </w:r>
      <w:r w:rsidRPr="002E5CC6">
        <w:rPr>
          <w:rFonts w:ascii="Times New Roman" w:hAnsi="Times New Roman"/>
          <w:bCs/>
          <w:sz w:val="20"/>
          <w:szCs w:val="20"/>
        </w:rPr>
        <w:t>W</w:t>
      </w:r>
      <w:r w:rsidRPr="002E5CC6">
        <w:rPr>
          <w:rFonts w:ascii="Times New Roman" w:hAnsi="Times New Roman"/>
          <w:bCs/>
          <w:sz w:val="20"/>
          <w:szCs w:val="20"/>
          <w:vertAlign w:val="subscript"/>
        </w:rPr>
        <w:t xml:space="preserve">H3PO4 </w:t>
      </w:r>
      <w:r w:rsidRPr="002E5CC6">
        <w:rPr>
          <w:rFonts w:ascii="Times New Roman" w:hAnsi="Times New Roman"/>
          <w:bCs/>
          <w:sz w:val="20"/>
          <w:szCs w:val="20"/>
        </w:rPr>
        <w:tab/>
      </w:r>
    </w:p>
    <w:p w:rsidR="002E5CC6" w:rsidRPr="002E5CC6" w:rsidRDefault="002E5CC6" w:rsidP="002E5CC6">
      <w:pPr>
        <w:spacing w:after="0" w:line="240" w:lineRule="auto"/>
        <w:ind w:left="720"/>
        <w:jc w:val="both"/>
        <w:outlineLvl w:val="0"/>
        <w:rPr>
          <w:rFonts w:ascii="Times New Roman" w:hAnsi="Times New Roman"/>
          <w:bCs/>
          <w:sz w:val="20"/>
          <w:szCs w:val="20"/>
        </w:rPr>
      </w:pPr>
      <w:r>
        <w:rPr>
          <w:rFonts w:ascii="Times New Roman" w:hAnsi="Times New Roman"/>
          <w:bCs/>
          <w:noProof/>
          <w:sz w:val="20"/>
          <w:szCs w:val="20"/>
          <w:lang w:val="en-GB" w:eastAsia="ko-KR" w:bidi="ar-SA"/>
        </w:rPr>
        <mc:AlternateContent>
          <mc:Choice Requires="wps">
            <w:drawing>
              <wp:anchor distT="0" distB="0" distL="114300" distR="114300" simplePos="0" relativeHeight="251675136" behindDoc="0" locked="0" layoutInCell="1" allowOverlap="1">
                <wp:simplePos x="0" y="0"/>
                <wp:positionH relativeFrom="column">
                  <wp:posOffset>1876425</wp:posOffset>
                </wp:positionH>
                <wp:positionV relativeFrom="paragraph">
                  <wp:posOffset>80010</wp:posOffset>
                </wp:positionV>
                <wp:extent cx="5334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6.3pt" to="189.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" strokecolor="black [3040]"/>
            </w:pict>
          </mc:Fallback>
        </mc:AlternateContent>
      </w:r>
      <w:r>
        <w:rPr>
          <w:rFonts w:ascii="Times New Roman" w:hAnsi="Times New Roman"/>
          <w:bCs/>
          <w:sz w:val="20"/>
          <w:szCs w:val="20"/>
        </w:rPr>
        <w:t xml:space="preserve">Impregnation ratio, IR   =  </w:t>
      </w: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r>
      <w:r>
        <w:rPr>
          <w:rFonts w:ascii="Times New Roman" w:hAnsi="Times New Roman"/>
          <w:bCs/>
          <w:sz w:val="20"/>
          <w:szCs w:val="20"/>
        </w:rPr>
        <w:t xml:space="preserve">  </w:t>
      </w: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r>
      <w:r>
        <w:rPr>
          <w:rFonts w:ascii="Times New Roman" w:hAnsi="Times New Roman"/>
          <w:bCs/>
          <w:sz w:val="20"/>
          <w:szCs w:val="20"/>
        </w:rPr>
        <w:t xml:space="preserve">                                     </w:t>
      </w:r>
      <w:r w:rsidRPr="002E5CC6">
        <w:rPr>
          <w:rFonts w:ascii="Times New Roman" w:hAnsi="Times New Roman"/>
          <w:bCs/>
          <w:sz w:val="20"/>
          <w:szCs w:val="20"/>
        </w:rPr>
        <w:t>(1)</w:t>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ab/>
      </w:r>
      <w:r w:rsidRPr="002E5CC6">
        <w:rPr>
          <w:rFonts w:ascii="Times New Roman" w:hAnsi="Times New Roman"/>
          <w:bCs/>
          <w:sz w:val="20"/>
          <w:szCs w:val="20"/>
        </w:rPr>
        <w:tab/>
      </w:r>
      <w:r w:rsidRPr="002E5CC6">
        <w:rPr>
          <w:rFonts w:ascii="Times New Roman" w:hAnsi="Times New Roman"/>
          <w:bCs/>
          <w:sz w:val="20"/>
          <w:szCs w:val="20"/>
        </w:rPr>
        <w:tab/>
        <w:t xml:space="preserve">               </w:t>
      </w:r>
      <w:r>
        <w:rPr>
          <w:rFonts w:ascii="Times New Roman" w:hAnsi="Times New Roman"/>
          <w:bCs/>
          <w:sz w:val="20"/>
          <w:szCs w:val="20"/>
        </w:rPr>
        <w:t xml:space="preserve">  </w:t>
      </w:r>
      <w:r w:rsidRPr="002E5CC6">
        <w:rPr>
          <w:rFonts w:ascii="Times New Roman" w:hAnsi="Times New Roman"/>
          <w:bCs/>
          <w:sz w:val="20"/>
          <w:szCs w:val="20"/>
        </w:rPr>
        <w:t>W</w:t>
      </w:r>
      <w:r w:rsidRPr="002E5CC6">
        <w:rPr>
          <w:rFonts w:ascii="Times New Roman" w:hAnsi="Times New Roman"/>
          <w:bCs/>
          <w:sz w:val="20"/>
          <w:szCs w:val="20"/>
          <w:vertAlign w:val="subscript"/>
        </w:rPr>
        <w:t>sawdust</w:t>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fldChar w:fldCharType="begin"/>
      </w:r>
      <w:r w:rsidRPr="002E5CC6">
        <w:rPr>
          <w:rFonts w:ascii="Times New Roman" w:hAnsi="Times New Roman"/>
          <w:bCs/>
          <w:sz w:val="20"/>
          <w:szCs w:val="20"/>
        </w:rPr>
        <w:instrText xml:space="preserve"> QUOTE </w:instrText>
      </w:r>
      <m:oMath>
        <m:r>
          <m:rPr>
            <m:sty m:val="p"/>
          </m:rPr>
          <w:rPr>
            <w:rFonts w:ascii="Cambria Math" w:hAnsi="Cambria Math"/>
            <w:sz w:val="20"/>
            <w:szCs w:val="20"/>
          </w:rPr>
          <m:t xml:space="preserve">Impregnation ratio, IR= </m:t>
        </m:r>
        <m:f>
          <m:fPr>
            <m:ctrlPr>
              <w:rPr>
                <w:rFonts w:ascii="Cambria Math" w:hAnsi="Cambria Math"/>
                <w:bCs/>
                <w:i/>
                <w:sz w:val="20"/>
                <w:szCs w:val="20"/>
              </w:rPr>
            </m:ctrlPr>
          </m:fPr>
          <m:num>
            <m:sSub>
              <m:sSubPr>
                <m:ctrlPr>
                  <w:rPr>
                    <w:rFonts w:ascii="Cambria Math" w:hAnsi="Cambria Math"/>
                    <w:bCs/>
                    <w:i/>
                    <w:sz w:val="20"/>
                    <w:szCs w:val="20"/>
                  </w:rPr>
                </m:ctrlPr>
              </m:sSubPr>
              <m:e>
                <m:r>
                  <m:rPr>
                    <m:sty m:val="p"/>
                  </m:rPr>
                  <w:rPr>
                    <w:rFonts w:ascii="Cambria Math" w:hAnsi="Cambria Math"/>
                    <w:sz w:val="20"/>
                    <w:szCs w:val="20"/>
                  </w:rPr>
                  <m:t>W</m:t>
                </m:r>
              </m:e>
              <m:sub>
                <m:r>
                  <m:rPr>
                    <m:sty m:val="p"/>
                  </m:rPr>
                  <w:rPr>
                    <w:rFonts w:ascii="Cambria Math" w:hAnsi="Cambria Math"/>
                    <w:sz w:val="20"/>
                    <w:szCs w:val="20"/>
                  </w:rPr>
                  <m:t>H3PO4</m:t>
                </m:r>
              </m:sub>
            </m:sSub>
          </m:num>
          <m:den>
            <m:sSub>
              <m:sSubPr>
                <m:ctrlPr>
                  <w:rPr>
                    <w:rFonts w:ascii="Cambria Math" w:hAnsi="Cambria Math"/>
                    <w:bCs/>
                    <w:i/>
                    <w:sz w:val="20"/>
                    <w:szCs w:val="20"/>
                  </w:rPr>
                </m:ctrlPr>
              </m:sSubPr>
              <m:e>
                <m:r>
                  <m:rPr>
                    <m:sty m:val="p"/>
                  </m:rPr>
                  <w:rPr>
                    <w:rFonts w:ascii="Cambria Math" w:hAnsi="Cambria Math"/>
                    <w:sz w:val="20"/>
                    <w:szCs w:val="20"/>
                  </w:rPr>
                  <m:t>W</m:t>
                </m:r>
              </m:e>
              <m:sub>
                <m:r>
                  <m:rPr>
                    <m:sty m:val="p"/>
                  </m:rPr>
                  <w:rPr>
                    <w:rFonts w:ascii="Cambria Math" w:hAnsi="Cambria Math"/>
                    <w:sz w:val="20"/>
                    <w:szCs w:val="20"/>
                  </w:rPr>
                  <m:t>sawdust</m:t>
                </m:r>
              </m:sub>
            </m:sSub>
          </m:den>
        </m:f>
      </m:oMath>
      <w:r w:rsidRPr="002E5CC6">
        <w:rPr>
          <w:rFonts w:ascii="Times New Roman" w:hAnsi="Times New Roman"/>
          <w:bCs/>
          <w:sz w:val="20"/>
          <w:szCs w:val="20"/>
        </w:rPr>
        <w:instrText xml:space="preserve"> </w:instrText>
      </w:r>
      <w:r w:rsidRPr="002E5CC6">
        <w:rPr>
          <w:rFonts w:ascii="Times New Roman" w:hAnsi="Times New Roman"/>
          <w:sz w:val="20"/>
          <w:szCs w:val="20"/>
        </w:rPr>
        <w:fldChar w:fldCharType="end"/>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where W</w:t>
      </w:r>
      <w:r w:rsidRPr="002E5CC6">
        <w:rPr>
          <w:rFonts w:ascii="Times New Roman" w:hAnsi="Times New Roman"/>
          <w:bCs/>
          <w:sz w:val="20"/>
          <w:szCs w:val="20"/>
          <w:vertAlign w:val="subscript"/>
        </w:rPr>
        <w:t>H3PO4</w:t>
      </w:r>
      <w:r w:rsidRPr="002E5CC6">
        <w:rPr>
          <w:rFonts w:ascii="Times New Roman" w:hAnsi="Times New Roman"/>
          <w:bCs/>
          <w:sz w:val="20"/>
          <w:szCs w:val="20"/>
        </w:rPr>
        <w:t xml:space="preserve"> is the dry weight of phosphoric acid and W</w:t>
      </w:r>
      <w:r w:rsidRPr="002E5CC6">
        <w:rPr>
          <w:rFonts w:ascii="Times New Roman" w:hAnsi="Times New Roman"/>
          <w:bCs/>
          <w:sz w:val="20"/>
          <w:szCs w:val="20"/>
          <w:vertAlign w:val="subscript"/>
        </w:rPr>
        <w:t>sawdust</w:t>
      </w:r>
      <w:r w:rsidRPr="002E5CC6">
        <w:rPr>
          <w:rFonts w:ascii="Times New Roman" w:hAnsi="Times New Roman"/>
          <w:bCs/>
          <w:sz w:val="20"/>
          <w:szCs w:val="20"/>
        </w:rPr>
        <w:t xml:space="preserve"> is the dry weight of sawdust [12]. The impregnation process was allowed to sit for overnight to ensure complete reaction takes place between the chemical reagent and raw material. The impregnated material was then carbonized in a fixed bed activation unit with heating temperature ranging from 400, 500, 600 to 700 °C and activation time of 30, 60, 90 and 120 minutes. The one-factor-at-a-time (OFAT) method was adopted in this study so that reduction of sample is achievable; it is a method of designing experiments involving the testing of factors one at a time instead of all simultaneously. Throughout the process, nitrogen gas, which acts as the carrier gas and promotes the pore formation in sawdust, was allowed to flow in the rotary kiln [5]. After the heat treatment, the material was left to cool to room temperature and subsequently washed with distilled water to remove the residual H</w:t>
      </w:r>
      <w:r w:rsidRPr="002E5CC6">
        <w:rPr>
          <w:rFonts w:ascii="Times New Roman" w:hAnsi="Times New Roman"/>
          <w:bCs/>
          <w:sz w:val="20"/>
          <w:szCs w:val="20"/>
          <w:vertAlign w:val="subscript"/>
        </w:rPr>
        <w:t>3</w:t>
      </w:r>
      <w:r w:rsidRPr="002E5CC6">
        <w:rPr>
          <w:rFonts w:ascii="Times New Roman" w:hAnsi="Times New Roman"/>
          <w:bCs/>
          <w:sz w:val="20"/>
          <w:szCs w:val="20"/>
        </w:rPr>
        <w:t>PO</w:t>
      </w:r>
      <w:r w:rsidRPr="002E5CC6">
        <w:rPr>
          <w:rFonts w:ascii="Times New Roman" w:hAnsi="Times New Roman"/>
          <w:bCs/>
          <w:sz w:val="20"/>
          <w:szCs w:val="20"/>
          <w:vertAlign w:val="subscript"/>
        </w:rPr>
        <w:t>4</w:t>
      </w:r>
      <w:r w:rsidRPr="002E5CC6">
        <w:rPr>
          <w:rFonts w:ascii="Times New Roman" w:hAnsi="Times New Roman"/>
          <w:bCs/>
          <w:sz w:val="20"/>
          <w:szCs w:val="20"/>
        </w:rPr>
        <w:t xml:space="preserve"> solution. The carbon sample produced was dried in an oven for overnight at 80°C and kept in a desiccator to prevent moisture.</w:t>
      </w: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
          <w:bCs/>
          <w:sz w:val="20"/>
          <w:szCs w:val="20"/>
        </w:rPr>
      </w:pPr>
      <w:r w:rsidRPr="002E5CC6">
        <w:rPr>
          <w:rFonts w:ascii="Times New Roman" w:hAnsi="Times New Roman"/>
          <w:b/>
          <w:bCs/>
          <w:sz w:val="20"/>
          <w:szCs w:val="20"/>
        </w:rPr>
        <w:t>Adsorption analysis</w:t>
      </w:r>
    </w:p>
    <w:p w:rsidR="002E5CC6" w:rsidRPr="002E5CC6" w:rsidRDefault="002E5CC6" w:rsidP="002E5CC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The batch experiment was carried out using UV-Vis Spectrophotometer set at wavelength of 195 nm to detect the concentration of MEA in synthetic MEA wastewater. Calibration was performed using standard solution of 100 ppm, 300 ppm and 500 ppm prepared by diluting MEA (analyte) with distilled water (solvent). The concentration range selected is based on reported MEA discharged into wastewater treatment plant [1]. Effect of initial concentrations (200, 300 and 400 ppm), stirring rate (100, 300 and 400 rpm) and contact time (15, 30 and 45 minutes) were studied to determine the optimum conditions of the sawdust AC sample prepared. All experiments were conducted at a room temperature of 32 °C and repeated twice for accuracy. Samples were extracted from the mixture and readings were taken at interval of 10 minutes. The graphs of % MEA removed versus the above three effects were plotted to study the effectiveness of AC in adsorbing MEA.</w:t>
      </w:r>
    </w:p>
    <w:p w:rsidR="002E5CC6" w:rsidRDefault="002E5CC6" w:rsidP="002E5CC6">
      <w:pPr>
        <w:spacing w:after="0" w:line="240" w:lineRule="auto"/>
        <w:jc w:val="both"/>
        <w:outlineLvl w:val="0"/>
        <w:rPr>
          <w:rFonts w:ascii="Times New Roman" w:hAnsi="Times New Roman"/>
          <w:bCs/>
          <w:sz w:val="20"/>
          <w:szCs w:val="20"/>
        </w:rPr>
      </w:pPr>
    </w:p>
    <w:p w:rsid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
          <w:bCs/>
          <w:sz w:val="20"/>
          <w:szCs w:val="20"/>
        </w:rPr>
      </w:pPr>
      <w:r w:rsidRPr="002E5CC6">
        <w:rPr>
          <w:rFonts w:ascii="Times New Roman" w:hAnsi="Times New Roman"/>
          <w:b/>
          <w:bCs/>
          <w:sz w:val="20"/>
          <w:szCs w:val="20"/>
        </w:rPr>
        <w:lastRenderedPageBreak/>
        <w:t>FESEM Analysis</w:t>
      </w:r>
    </w:p>
    <w:p w:rsidR="002E5CC6" w:rsidRPr="002E5CC6" w:rsidRDefault="002E5CC6" w:rsidP="002E5CC6">
      <w:pPr>
        <w:spacing w:after="0" w:line="240" w:lineRule="auto"/>
        <w:jc w:val="both"/>
        <w:outlineLvl w:val="0"/>
        <w:rPr>
          <w:rFonts w:ascii="Times New Roman" w:hAnsi="Times New Roman"/>
          <w:bCs/>
          <w:sz w:val="20"/>
          <w:szCs w:val="20"/>
          <w:lang w:val="de-DE"/>
        </w:rPr>
      </w:pPr>
      <w:r w:rsidRPr="002E5CC6">
        <w:rPr>
          <w:rFonts w:ascii="Times New Roman" w:hAnsi="Times New Roman"/>
          <w:bCs/>
          <w:sz w:val="20"/>
          <w:szCs w:val="20"/>
          <w:lang w:val="de-DE"/>
        </w:rPr>
        <w:t xml:space="preserve">To determine the best operating parameter for producing AC from sawdust, analytical technique used in material science for investigating the molecular surface structure was employed. A Zeiss EVO-50 Field Emission Scanning Electron Microscope (FESEM), model Supra 55 VP is an equipment designed for high resolution imaging at magnification of 10 – 100,000 times, and was used to compare the structural images of sawdust before and after activation by producing real space magnified images of its surface morphology. </w:t>
      </w:r>
    </w:p>
    <w:p w:rsidR="002E5CC6" w:rsidRPr="002E5CC6" w:rsidRDefault="002E5CC6" w:rsidP="002E5CC6">
      <w:pPr>
        <w:spacing w:after="0" w:line="240" w:lineRule="auto"/>
        <w:jc w:val="both"/>
        <w:outlineLvl w:val="0"/>
        <w:rPr>
          <w:rFonts w:ascii="Times New Roman" w:hAnsi="Times New Roman"/>
          <w:bCs/>
          <w:sz w:val="20"/>
          <w:szCs w:val="20"/>
        </w:rPr>
      </w:pPr>
    </w:p>
    <w:p w:rsidR="002E5CC6" w:rsidRPr="002E5CC6" w:rsidRDefault="002E5CC6" w:rsidP="002E5CC6">
      <w:pPr>
        <w:spacing w:after="0" w:line="240" w:lineRule="auto"/>
        <w:jc w:val="both"/>
        <w:outlineLvl w:val="0"/>
        <w:rPr>
          <w:rFonts w:ascii="Times New Roman" w:hAnsi="Times New Roman"/>
          <w:b/>
          <w:bCs/>
          <w:sz w:val="20"/>
          <w:szCs w:val="20"/>
        </w:rPr>
      </w:pPr>
      <w:r w:rsidRPr="002E5CC6">
        <w:rPr>
          <w:rFonts w:ascii="Times New Roman" w:hAnsi="Times New Roman"/>
          <w:b/>
          <w:bCs/>
          <w:sz w:val="20"/>
          <w:szCs w:val="20"/>
        </w:rPr>
        <w:t>Micrometrics ASAP 2020</w:t>
      </w:r>
    </w:p>
    <w:p w:rsidR="002E5CC6" w:rsidRPr="002E5CC6" w:rsidRDefault="002E5CC6" w:rsidP="002E5CC6">
      <w:pPr>
        <w:spacing w:after="0" w:line="240" w:lineRule="auto"/>
        <w:jc w:val="both"/>
        <w:outlineLvl w:val="0"/>
        <w:rPr>
          <w:rFonts w:ascii="Times New Roman" w:hAnsi="Times New Roman"/>
          <w:bCs/>
          <w:sz w:val="20"/>
          <w:szCs w:val="20"/>
          <w:lang w:val="de-DE"/>
        </w:rPr>
      </w:pPr>
      <w:r w:rsidRPr="002E5CC6">
        <w:rPr>
          <w:rFonts w:ascii="Times New Roman" w:hAnsi="Times New Roman"/>
          <w:bCs/>
          <w:sz w:val="20"/>
          <w:szCs w:val="20"/>
          <w:lang w:val="de-DE"/>
        </w:rPr>
        <w:t>Accurate and precise surface area and porosimetry measurements are essential to the determination of the effectiveness and quality of activated carbon samples. The pore size distribution, specific surface area (S</w:t>
      </w:r>
      <w:r w:rsidRPr="002E5CC6">
        <w:rPr>
          <w:rFonts w:ascii="Times New Roman" w:hAnsi="Times New Roman"/>
          <w:bCs/>
          <w:sz w:val="20"/>
          <w:szCs w:val="20"/>
          <w:vertAlign w:val="subscript"/>
          <w:lang w:val="de-DE"/>
        </w:rPr>
        <w:t>BET</w:t>
      </w:r>
      <w:r w:rsidRPr="002E5CC6">
        <w:rPr>
          <w:rFonts w:ascii="Times New Roman" w:hAnsi="Times New Roman"/>
          <w:bCs/>
          <w:sz w:val="20"/>
          <w:szCs w:val="20"/>
          <w:lang w:val="de-DE"/>
        </w:rPr>
        <w:t>), porosity volume (V</w:t>
      </w:r>
      <w:r w:rsidRPr="002E5CC6">
        <w:rPr>
          <w:rFonts w:ascii="Times New Roman" w:hAnsi="Times New Roman"/>
          <w:bCs/>
          <w:sz w:val="20"/>
          <w:szCs w:val="20"/>
          <w:vertAlign w:val="subscript"/>
          <w:lang w:val="de-DE"/>
        </w:rPr>
        <w:t>T</w:t>
      </w:r>
      <w:r w:rsidRPr="002E5CC6">
        <w:rPr>
          <w:rFonts w:ascii="Times New Roman" w:hAnsi="Times New Roman"/>
          <w:bCs/>
          <w:sz w:val="20"/>
          <w:szCs w:val="20"/>
          <w:lang w:val="de-DE"/>
        </w:rPr>
        <w:t>) and average pore diameter (D) of the AC samples are determined by nitrogen (N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adsorption-desorption isotherm isotherm whereby 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xml:space="preserve"> gas playing the role as adsorbate, was set to flow at 350 °C for 2 hours. The S</w:t>
      </w:r>
      <w:r w:rsidRPr="002E5CC6">
        <w:rPr>
          <w:rFonts w:ascii="Times New Roman" w:hAnsi="Times New Roman"/>
          <w:bCs/>
          <w:sz w:val="20"/>
          <w:szCs w:val="20"/>
          <w:vertAlign w:val="subscript"/>
          <w:lang w:val="de-DE"/>
        </w:rPr>
        <w:t>BET</w:t>
      </w:r>
      <w:r w:rsidRPr="002E5CC6">
        <w:rPr>
          <w:rFonts w:ascii="Times New Roman" w:hAnsi="Times New Roman"/>
          <w:bCs/>
          <w:sz w:val="20"/>
          <w:szCs w:val="20"/>
          <w:lang w:val="de-DE"/>
        </w:rPr>
        <w:t xml:space="preserve"> of samples are estimated using the Brunauer-Emmett-Teller (BET) method using 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xml:space="preserve"> gas adsorption isotherm data while the Barett-Joyner-Halenda (BJH) adsorption model is used for pore size distribution [11]. </w:t>
      </w:r>
    </w:p>
    <w:p w:rsidR="006768E9" w:rsidRPr="002E5CC6" w:rsidRDefault="006768E9" w:rsidP="00BA1F7B">
      <w:pPr>
        <w:spacing w:after="0" w:line="240" w:lineRule="auto"/>
        <w:jc w:val="center"/>
        <w:rPr>
          <w:rFonts w:ascii="Times New Roman" w:hAnsi="Times New Roman"/>
          <w:noProof/>
          <w:sz w:val="20"/>
          <w:szCs w:val="20"/>
          <w:lang w:val="de-DE"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Characterization study and EDX spectroscopy</w:t>
      </w:r>
    </w:p>
    <w:p w:rsidR="00D5188E" w:rsidRPr="002E5CC6" w:rsidRDefault="00D5188E" w:rsidP="00D5188E">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Table 1 below shows the preparation condition and results of AC samples produced from sawdust. Results showed that sample F21 which was prepared at IR of 1:1,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500 °C and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60 minutes yields the highest value of S</w:t>
      </w:r>
      <w:r w:rsidRPr="002E5CC6">
        <w:rPr>
          <w:rFonts w:ascii="Times New Roman" w:hAnsi="Times New Roman"/>
          <w:bCs/>
          <w:sz w:val="20"/>
          <w:szCs w:val="20"/>
          <w:vertAlign w:val="subscript"/>
        </w:rPr>
        <w:t>BET</w:t>
      </w:r>
      <w:r w:rsidRPr="002E5CC6">
        <w:rPr>
          <w:rFonts w:ascii="Times New Roman" w:hAnsi="Times New Roman"/>
          <w:bCs/>
          <w:sz w:val="20"/>
          <w:szCs w:val="20"/>
        </w:rPr>
        <w:t xml:space="preserve"> 1213.786 m</w:t>
      </w:r>
      <w:r w:rsidRPr="002E5CC6">
        <w:rPr>
          <w:rFonts w:ascii="Times New Roman" w:hAnsi="Times New Roman"/>
          <w:bCs/>
          <w:sz w:val="20"/>
          <w:szCs w:val="20"/>
          <w:vertAlign w:val="superscript"/>
        </w:rPr>
        <w:t>2</w:t>
      </w:r>
      <w:r w:rsidRPr="002E5CC6">
        <w:rPr>
          <w:rFonts w:ascii="Times New Roman" w:hAnsi="Times New Roman"/>
          <w:bCs/>
          <w:sz w:val="20"/>
          <w:szCs w:val="20"/>
        </w:rPr>
        <w:t>/g with D equals 2.18 nm and V</w:t>
      </w:r>
      <w:r w:rsidRPr="002E5CC6">
        <w:rPr>
          <w:rFonts w:ascii="Times New Roman" w:hAnsi="Times New Roman"/>
          <w:bCs/>
          <w:sz w:val="20"/>
          <w:szCs w:val="20"/>
          <w:vertAlign w:val="subscript"/>
        </w:rPr>
        <w:t>T</w:t>
      </w:r>
      <w:r w:rsidRPr="002E5CC6">
        <w:rPr>
          <w:rFonts w:ascii="Times New Roman" w:hAnsi="Times New Roman"/>
          <w:bCs/>
          <w:sz w:val="20"/>
          <w:szCs w:val="20"/>
        </w:rPr>
        <w:t xml:space="preserve"> as high as 0.662 cm</w:t>
      </w:r>
      <w:r w:rsidRPr="002E5CC6">
        <w:rPr>
          <w:rFonts w:ascii="Times New Roman" w:hAnsi="Times New Roman"/>
          <w:bCs/>
          <w:sz w:val="20"/>
          <w:szCs w:val="20"/>
          <w:vertAlign w:val="superscript"/>
        </w:rPr>
        <w:t>3</w:t>
      </w:r>
      <w:r w:rsidRPr="002E5CC6">
        <w:rPr>
          <w:rFonts w:ascii="Times New Roman" w:hAnsi="Times New Roman"/>
          <w:bCs/>
          <w:sz w:val="20"/>
          <w:szCs w:val="20"/>
        </w:rPr>
        <w:t>/g. Whereas sample D15 exhibit lowest characterization of S</w:t>
      </w:r>
      <w:r w:rsidRPr="002E5CC6">
        <w:rPr>
          <w:rFonts w:ascii="Times New Roman" w:hAnsi="Times New Roman"/>
          <w:bCs/>
          <w:sz w:val="20"/>
          <w:szCs w:val="20"/>
          <w:vertAlign w:val="subscript"/>
        </w:rPr>
        <w:t>BET</w:t>
      </w:r>
      <w:r w:rsidRPr="002E5CC6">
        <w:rPr>
          <w:rFonts w:ascii="Times New Roman" w:hAnsi="Times New Roman"/>
          <w:bCs/>
          <w:sz w:val="20"/>
          <w:szCs w:val="20"/>
        </w:rPr>
        <w:t xml:space="preserve"> (58.581 m</w:t>
      </w:r>
      <w:r w:rsidRPr="002E5CC6">
        <w:rPr>
          <w:rFonts w:ascii="Times New Roman" w:hAnsi="Times New Roman"/>
          <w:bCs/>
          <w:sz w:val="20"/>
          <w:szCs w:val="20"/>
          <w:vertAlign w:val="superscript"/>
        </w:rPr>
        <w:t>2</w:t>
      </w:r>
      <w:r w:rsidRPr="002E5CC6">
        <w:rPr>
          <w:rFonts w:ascii="Times New Roman" w:hAnsi="Times New Roman"/>
          <w:bCs/>
          <w:sz w:val="20"/>
          <w:szCs w:val="20"/>
        </w:rPr>
        <w:t>/g), V</w:t>
      </w:r>
      <w:r w:rsidRPr="002E5CC6">
        <w:rPr>
          <w:rFonts w:ascii="Times New Roman" w:hAnsi="Times New Roman"/>
          <w:bCs/>
          <w:sz w:val="20"/>
          <w:szCs w:val="20"/>
          <w:vertAlign w:val="subscript"/>
        </w:rPr>
        <w:t>T</w:t>
      </w:r>
      <w:r w:rsidRPr="002E5CC6">
        <w:rPr>
          <w:rFonts w:ascii="Times New Roman" w:hAnsi="Times New Roman"/>
          <w:bCs/>
          <w:sz w:val="20"/>
          <w:szCs w:val="20"/>
        </w:rPr>
        <w:t xml:space="preserve"> (0.036 cm</w:t>
      </w:r>
      <w:r w:rsidRPr="002E5CC6">
        <w:rPr>
          <w:rFonts w:ascii="Times New Roman" w:hAnsi="Times New Roman"/>
          <w:bCs/>
          <w:sz w:val="20"/>
          <w:szCs w:val="20"/>
          <w:vertAlign w:val="superscript"/>
        </w:rPr>
        <w:t>3</w:t>
      </w:r>
      <w:r w:rsidRPr="002E5CC6">
        <w:rPr>
          <w:rFonts w:ascii="Times New Roman" w:hAnsi="Times New Roman"/>
          <w:bCs/>
          <w:sz w:val="20"/>
          <w:szCs w:val="20"/>
        </w:rPr>
        <w:t>/g) and D (2.573 nm) were obtained at IR of 1:1,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700 °C and t</w:t>
      </w:r>
      <w:r w:rsidRPr="002E5CC6">
        <w:rPr>
          <w:rFonts w:ascii="Times New Roman" w:hAnsi="Times New Roman"/>
          <w:bCs/>
          <w:sz w:val="20"/>
          <w:szCs w:val="20"/>
          <w:vertAlign w:val="subscript"/>
        </w:rPr>
        <w:t>act</w:t>
      </w:r>
      <w:r w:rsidRPr="002E5CC6">
        <w:rPr>
          <w:rFonts w:ascii="Times New Roman" w:hAnsi="Times New Roman"/>
          <w:bCs/>
          <w:sz w:val="20"/>
          <w:szCs w:val="20"/>
        </w:rPr>
        <w:t xml:space="preserve"> of 30 minutes. In sample B9, B10 and B11, as the impregnation ratio increases, the samples show decreasing S</w:t>
      </w:r>
      <w:r w:rsidRPr="002E5CC6">
        <w:rPr>
          <w:rFonts w:ascii="Times New Roman" w:hAnsi="Times New Roman"/>
          <w:bCs/>
          <w:sz w:val="20"/>
          <w:szCs w:val="20"/>
          <w:vertAlign w:val="subscript"/>
        </w:rPr>
        <w:t>BET</w:t>
      </w:r>
      <w:r w:rsidRPr="002E5CC6">
        <w:rPr>
          <w:rFonts w:ascii="Times New Roman" w:hAnsi="Times New Roman"/>
          <w:bCs/>
          <w:sz w:val="20"/>
          <w:szCs w:val="20"/>
        </w:rPr>
        <w:t xml:space="preserve"> value with similar trend observed in sample A6, A7 and A8. Impregnation ratio (IR) is a critical parameter in formation of pores because it signifies the amount of ions available for intercalation to take place. An optimum IR of 1:1 to 1:3 has been reported to yield highest surface area carbon [17], and the result obtained shows that highest value is achieved at 1:1 IR. High IR favors more pore formation as it intensify the action of acid with more aggressive physico-chemical effect and dehydration which inhibits the contraction or collapse of the precursor particle. The washing after heat treatment will evacuate and free this internal porosity leaving behind an extensive microporous structure [18].</w:t>
      </w:r>
    </w:p>
    <w:p w:rsidR="00D5188E" w:rsidRPr="002E5CC6" w:rsidRDefault="00D5188E" w:rsidP="001B6686">
      <w:pPr>
        <w:spacing w:after="120" w:line="240" w:lineRule="auto"/>
        <w:jc w:val="both"/>
        <w:outlineLvl w:val="0"/>
        <w:rPr>
          <w:rFonts w:ascii="Times New Roman" w:hAnsi="Times New Roman"/>
          <w:bCs/>
          <w:sz w:val="20"/>
          <w:szCs w:val="20"/>
        </w:rPr>
      </w:pPr>
    </w:p>
    <w:p w:rsidR="00D5188E" w:rsidRPr="002E5CC6" w:rsidRDefault="00D5188E" w:rsidP="001B6686">
      <w:pPr>
        <w:spacing w:after="120" w:line="240" w:lineRule="auto"/>
        <w:jc w:val="center"/>
        <w:outlineLvl w:val="0"/>
        <w:rPr>
          <w:rFonts w:ascii="Times New Roman" w:hAnsi="Times New Roman"/>
          <w:sz w:val="20"/>
          <w:szCs w:val="20"/>
        </w:rPr>
      </w:pPr>
      <w:r w:rsidRPr="002E5CC6">
        <w:rPr>
          <w:rFonts w:ascii="Times New Roman" w:hAnsi="Times New Roman"/>
          <w:sz w:val="20"/>
          <w:szCs w:val="20"/>
        </w:rPr>
        <w:t>Table 1</w:t>
      </w:r>
      <w:r w:rsidR="001B6686">
        <w:rPr>
          <w:rFonts w:ascii="Times New Roman" w:hAnsi="Times New Roman"/>
          <w:sz w:val="20"/>
          <w:szCs w:val="20"/>
        </w:rPr>
        <w:t xml:space="preserve">.  </w:t>
      </w:r>
      <w:r w:rsidRPr="002E5CC6">
        <w:rPr>
          <w:rFonts w:ascii="Times New Roman" w:hAnsi="Times New Roman"/>
          <w:sz w:val="20"/>
          <w:szCs w:val="20"/>
        </w:rPr>
        <w:t>Preparation condition and results of activated carbon samples</w:t>
      </w:r>
    </w:p>
    <w:tbl>
      <w:tblPr>
        <w:tblW w:w="8268" w:type="dxa"/>
        <w:jc w:val="center"/>
        <w:tblLayout w:type="fixed"/>
        <w:tblLook w:val="04A0" w:firstRow="1" w:lastRow="0" w:firstColumn="1" w:lastColumn="0" w:noHBand="0" w:noVBand="1"/>
      </w:tblPr>
      <w:tblGrid>
        <w:gridCol w:w="852"/>
        <w:gridCol w:w="511"/>
        <w:gridCol w:w="1620"/>
        <w:gridCol w:w="1193"/>
        <w:gridCol w:w="1449"/>
        <w:gridCol w:w="1179"/>
        <w:gridCol w:w="1464"/>
      </w:tblGrid>
      <w:tr w:rsidR="00D5188E" w:rsidRPr="002E5CC6" w:rsidTr="001B6686">
        <w:trPr>
          <w:trHeight w:val="525"/>
          <w:jc w:val="center"/>
        </w:trPr>
        <w:tc>
          <w:tcPr>
            <w:tcW w:w="852" w:type="dxa"/>
            <w:tcBorders>
              <w:top w:val="single" w:sz="4" w:space="0" w:color="auto"/>
              <w:bottom w:val="single" w:sz="4" w:space="0" w:color="auto"/>
            </w:tcBorders>
          </w:tcPr>
          <w:p w:rsidR="00D5188E" w:rsidRPr="002E5CC6" w:rsidRDefault="00D5188E" w:rsidP="001B6686">
            <w:pPr>
              <w:spacing w:before="60" w:after="0" w:line="240" w:lineRule="auto"/>
              <w:outlineLvl w:val="0"/>
              <w:rPr>
                <w:rFonts w:ascii="Times New Roman" w:hAnsi="Times New Roman"/>
                <w:b/>
                <w:sz w:val="20"/>
                <w:szCs w:val="20"/>
                <w:lang w:val="de-DE"/>
              </w:rPr>
            </w:pPr>
            <w:r w:rsidRPr="002E5CC6">
              <w:rPr>
                <w:rFonts w:ascii="Times New Roman" w:hAnsi="Times New Roman"/>
                <w:b/>
                <w:sz w:val="20"/>
                <w:szCs w:val="20"/>
                <w:lang w:val="de-DE"/>
              </w:rPr>
              <w:t>Sample</w:t>
            </w:r>
          </w:p>
        </w:tc>
        <w:tc>
          <w:tcPr>
            <w:tcW w:w="511" w:type="dxa"/>
            <w:tcBorders>
              <w:top w:val="single" w:sz="4" w:space="0" w:color="auto"/>
              <w:bottom w:val="single" w:sz="4" w:space="0" w:color="auto"/>
            </w:tcBorders>
          </w:tcPr>
          <w:p w:rsidR="00D5188E" w:rsidRPr="002E5CC6" w:rsidRDefault="00D5188E" w:rsidP="001B6686">
            <w:pPr>
              <w:spacing w:before="60" w:after="0" w:line="240" w:lineRule="auto"/>
              <w:outlineLvl w:val="0"/>
              <w:rPr>
                <w:rFonts w:ascii="Times New Roman" w:hAnsi="Times New Roman"/>
                <w:b/>
                <w:sz w:val="20"/>
                <w:szCs w:val="20"/>
                <w:lang w:val="de-DE"/>
              </w:rPr>
            </w:pPr>
            <w:r w:rsidRPr="002E5CC6">
              <w:rPr>
                <w:rFonts w:ascii="Times New Roman" w:hAnsi="Times New Roman"/>
                <w:b/>
                <w:sz w:val="20"/>
                <w:szCs w:val="20"/>
                <w:lang w:val="de-DE"/>
              </w:rPr>
              <w:t>IR</w:t>
            </w:r>
          </w:p>
        </w:tc>
        <w:tc>
          <w:tcPr>
            <w:tcW w:w="1620"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Activation Temperature,</w:t>
            </w:r>
          </w:p>
          <w:p w:rsidR="00D5188E" w:rsidRPr="002E5CC6" w:rsidRDefault="00D5188E" w:rsidP="001B6686">
            <w:pPr>
              <w:spacing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T</w:t>
            </w:r>
            <w:r w:rsidRPr="002E5CC6">
              <w:rPr>
                <w:rFonts w:ascii="Times New Roman" w:hAnsi="Times New Roman"/>
                <w:b/>
                <w:sz w:val="20"/>
                <w:szCs w:val="20"/>
                <w:vertAlign w:val="subscript"/>
                <w:lang w:val="de-DE"/>
              </w:rPr>
              <w:t>act</w:t>
            </w:r>
            <w:r w:rsidRPr="002E5CC6">
              <w:rPr>
                <w:rFonts w:ascii="Times New Roman" w:hAnsi="Times New Roman"/>
                <w:b/>
                <w:sz w:val="20"/>
                <w:szCs w:val="20"/>
                <w:lang w:val="de-DE"/>
              </w:rPr>
              <w:t xml:space="preserve"> (°C)</w:t>
            </w:r>
          </w:p>
        </w:tc>
        <w:tc>
          <w:tcPr>
            <w:tcW w:w="1193"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Activation Time,</w:t>
            </w:r>
          </w:p>
          <w:p w:rsidR="00D5188E" w:rsidRPr="002E5CC6" w:rsidRDefault="00D5188E" w:rsidP="001B6686">
            <w:pPr>
              <w:spacing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t</w:t>
            </w:r>
            <w:r w:rsidRPr="002E5CC6">
              <w:rPr>
                <w:rFonts w:ascii="Times New Roman" w:hAnsi="Times New Roman"/>
                <w:b/>
                <w:sz w:val="20"/>
                <w:szCs w:val="20"/>
                <w:vertAlign w:val="subscript"/>
                <w:lang w:val="de-DE"/>
              </w:rPr>
              <w:t>act</w:t>
            </w:r>
            <w:r w:rsidRPr="002E5CC6">
              <w:rPr>
                <w:rFonts w:ascii="Times New Roman" w:hAnsi="Times New Roman"/>
                <w:b/>
                <w:sz w:val="20"/>
                <w:szCs w:val="20"/>
                <w:lang w:val="de-DE"/>
              </w:rPr>
              <w:t xml:space="preserve"> (min)</w:t>
            </w:r>
          </w:p>
        </w:tc>
        <w:tc>
          <w:tcPr>
            <w:tcW w:w="1449"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Specific Surface Area, S</w:t>
            </w:r>
            <w:r w:rsidRPr="002E5CC6">
              <w:rPr>
                <w:rFonts w:ascii="Times New Roman" w:hAnsi="Times New Roman"/>
                <w:b/>
                <w:sz w:val="20"/>
                <w:szCs w:val="20"/>
                <w:vertAlign w:val="subscript"/>
                <w:lang w:val="de-DE"/>
              </w:rPr>
              <w:t>BET</w:t>
            </w:r>
            <w:r w:rsidRPr="002E5CC6">
              <w:rPr>
                <w:rFonts w:ascii="Times New Roman" w:hAnsi="Times New Roman"/>
                <w:b/>
                <w:sz w:val="20"/>
                <w:szCs w:val="20"/>
                <w:lang w:val="de-DE"/>
              </w:rPr>
              <w:t xml:space="preserve"> (m</w:t>
            </w:r>
            <w:r w:rsidRPr="002E5CC6">
              <w:rPr>
                <w:rFonts w:ascii="Times New Roman" w:hAnsi="Times New Roman"/>
                <w:b/>
                <w:sz w:val="20"/>
                <w:szCs w:val="20"/>
                <w:vertAlign w:val="superscript"/>
                <w:lang w:val="de-DE"/>
              </w:rPr>
              <w:t>2</w:t>
            </w:r>
            <w:r w:rsidRPr="002E5CC6">
              <w:rPr>
                <w:rFonts w:ascii="Times New Roman" w:hAnsi="Times New Roman"/>
                <w:b/>
                <w:sz w:val="20"/>
                <w:szCs w:val="20"/>
                <w:lang w:val="de-DE"/>
              </w:rPr>
              <w:t>/g)</w:t>
            </w:r>
          </w:p>
        </w:tc>
        <w:tc>
          <w:tcPr>
            <w:tcW w:w="1179"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Total Pore Volume,</w:t>
            </w:r>
          </w:p>
          <w:p w:rsidR="00D5188E" w:rsidRPr="002E5CC6" w:rsidRDefault="00D5188E" w:rsidP="001B6686">
            <w:pPr>
              <w:spacing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V</w:t>
            </w:r>
            <w:r w:rsidRPr="002E5CC6">
              <w:rPr>
                <w:rFonts w:ascii="Times New Roman" w:hAnsi="Times New Roman"/>
                <w:b/>
                <w:sz w:val="20"/>
                <w:szCs w:val="20"/>
                <w:vertAlign w:val="subscript"/>
                <w:lang w:val="de-DE"/>
              </w:rPr>
              <w:t>T</w:t>
            </w:r>
            <w:r w:rsidRPr="002E5CC6">
              <w:rPr>
                <w:rFonts w:ascii="Times New Roman" w:hAnsi="Times New Roman"/>
                <w:b/>
                <w:sz w:val="20"/>
                <w:szCs w:val="20"/>
                <w:lang w:val="de-DE"/>
              </w:rPr>
              <w:t xml:space="preserve"> (cm</w:t>
            </w:r>
            <w:r w:rsidRPr="002E5CC6">
              <w:rPr>
                <w:rFonts w:ascii="Times New Roman" w:hAnsi="Times New Roman"/>
                <w:b/>
                <w:sz w:val="20"/>
                <w:szCs w:val="20"/>
                <w:vertAlign w:val="superscript"/>
                <w:lang w:val="de-DE"/>
              </w:rPr>
              <w:t>3</w:t>
            </w:r>
            <w:r w:rsidRPr="002E5CC6">
              <w:rPr>
                <w:rFonts w:ascii="Times New Roman" w:hAnsi="Times New Roman"/>
                <w:b/>
                <w:sz w:val="20"/>
                <w:szCs w:val="20"/>
                <w:lang w:val="de-DE"/>
              </w:rPr>
              <w:t>/g)</w:t>
            </w:r>
          </w:p>
        </w:tc>
        <w:tc>
          <w:tcPr>
            <w:tcW w:w="1464" w:type="dxa"/>
            <w:tcBorders>
              <w:top w:val="single" w:sz="4" w:space="0" w:color="auto"/>
              <w:bottom w:val="single" w:sz="4" w:space="0" w:color="auto"/>
            </w:tcBorders>
          </w:tcPr>
          <w:p w:rsidR="00D5188E" w:rsidRPr="002E5CC6" w:rsidRDefault="00D5188E" w:rsidP="001B6686">
            <w:pPr>
              <w:spacing w:before="60" w:after="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Average Pore Diameter,</w:t>
            </w:r>
          </w:p>
          <w:p w:rsidR="00D5188E" w:rsidRPr="002E5CC6" w:rsidRDefault="00D5188E" w:rsidP="001B6686">
            <w:pPr>
              <w:spacing w:after="60" w:line="240" w:lineRule="auto"/>
              <w:jc w:val="center"/>
              <w:outlineLvl w:val="0"/>
              <w:rPr>
                <w:rFonts w:ascii="Times New Roman" w:hAnsi="Times New Roman"/>
                <w:b/>
                <w:sz w:val="20"/>
                <w:szCs w:val="20"/>
                <w:lang w:val="de-DE"/>
              </w:rPr>
            </w:pPr>
            <w:r w:rsidRPr="002E5CC6">
              <w:rPr>
                <w:rFonts w:ascii="Times New Roman" w:hAnsi="Times New Roman"/>
                <w:b/>
                <w:sz w:val="20"/>
                <w:szCs w:val="20"/>
                <w:lang w:val="de-DE"/>
              </w:rPr>
              <w:t>D (nm)</w:t>
            </w:r>
          </w:p>
        </w:tc>
      </w:tr>
      <w:tr w:rsidR="00D5188E" w:rsidRPr="002E5CC6" w:rsidTr="001B6686">
        <w:trPr>
          <w:trHeight w:val="293"/>
          <w:jc w:val="center"/>
        </w:trPr>
        <w:tc>
          <w:tcPr>
            <w:tcW w:w="852" w:type="dxa"/>
            <w:tcBorders>
              <w:top w:val="single" w:sz="4" w:space="0" w:color="auto"/>
            </w:tcBorders>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Raw</w:t>
            </w:r>
          </w:p>
        </w:tc>
        <w:tc>
          <w:tcPr>
            <w:tcW w:w="511" w:type="dxa"/>
            <w:tcBorders>
              <w:top w:val="single" w:sz="4" w:space="0" w:color="auto"/>
            </w:tcBorders>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w:t>
            </w:r>
          </w:p>
        </w:tc>
        <w:tc>
          <w:tcPr>
            <w:tcW w:w="1620"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c>
          <w:tcPr>
            <w:tcW w:w="1193"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c>
          <w:tcPr>
            <w:tcW w:w="1449"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1.304</w:t>
            </w:r>
          </w:p>
        </w:tc>
        <w:tc>
          <w:tcPr>
            <w:tcW w:w="1179"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0.002</w:t>
            </w:r>
          </w:p>
        </w:tc>
        <w:tc>
          <w:tcPr>
            <w:tcW w:w="1464" w:type="dxa"/>
            <w:tcBorders>
              <w:top w:val="single" w:sz="4" w:space="0" w:color="auto"/>
            </w:tcBorders>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6.328</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A6</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474.483</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0.253</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2.134</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A7</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1:2</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199.333</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0.107</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2.153</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A8</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1:3</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400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1.161</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B9</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1135.624</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0.565</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1.992</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B10</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1:2</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878.880</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0.551</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2.507</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B11</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1:3</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399.013</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0.261</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2.616</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C12</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600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539.708</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0.290</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2.153</w:t>
            </w:r>
          </w:p>
        </w:tc>
      </w:tr>
      <w:tr w:rsidR="00D5188E" w:rsidRPr="002E5CC6" w:rsidTr="00A77AFA">
        <w:trPr>
          <w:trHeight w:val="293"/>
          <w:jc w:val="center"/>
        </w:trPr>
        <w:tc>
          <w:tcPr>
            <w:tcW w:w="852"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D15</w:t>
            </w:r>
          </w:p>
        </w:tc>
        <w:tc>
          <w:tcPr>
            <w:tcW w:w="511" w:type="dxa"/>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700</w:t>
            </w:r>
          </w:p>
        </w:tc>
        <w:tc>
          <w:tcPr>
            <w:tcW w:w="1193"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30</w:t>
            </w:r>
          </w:p>
        </w:tc>
        <w:tc>
          <w:tcPr>
            <w:tcW w:w="144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58.581</w:t>
            </w:r>
          </w:p>
        </w:tc>
        <w:tc>
          <w:tcPr>
            <w:tcW w:w="1179"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0.036</w:t>
            </w:r>
          </w:p>
        </w:tc>
        <w:tc>
          <w:tcPr>
            <w:tcW w:w="1464" w:type="dxa"/>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2.573</w:t>
            </w:r>
          </w:p>
        </w:tc>
      </w:tr>
      <w:tr w:rsidR="00D5188E" w:rsidRPr="002E5CC6" w:rsidTr="00A77AFA">
        <w:trPr>
          <w:trHeight w:val="293"/>
          <w:jc w:val="center"/>
        </w:trPr>
        <w:tc>
          <w:tcPr>
            <w:tcW w:w="852"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F21</w:t>
            </w:r>
          </w:p>
        </w:tc>
        <w:tc>
          <w:tcPr>
            <w:tcW w:w="511"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60</w:t>
            </w:r>
          </w:p>
        </w:tc>
        <w:tc>
          <w:tcPr>
            <w:tcW w:w="144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1213.786</w:t>
            </w:r>
          </w:p>
        </w:tc>
        <w:tc>
          <w:tcPr>
            <w:tcW w:w="117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0.662</w:t>
            </w:r>
          </w:p>
        </w:tc>
        <w:tc>
          <w:tcPr>
            <w:tcW w:w="1464"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2.180</w:t>
            </w:r>
          </w:p>
        </w:tc>
      </w:tr>
      <w:tr w:rsidR="00D5188E" w:rsidRPr="002E5CC6" w:rsidTr="001B6686">
        <w:trPr>
          <w:trHeight w:val="293"/>
          <w:jc w:val="center"/>
        </w:trPr>
        <w:tc>
          <w:tcPr>
            <w:tcW w:w="852"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J33</w:t>
            </w:r>
          </w:p>
        </w:tc>
        <w:tc>
          <w:tcPr>
            <w:tcW w:w="511" w:type="dxa"/>
            <w:vAlign w:val="center"/>
          </w:tcPr>
          <w:p w:rsidR="00D5188E" w:rsidRPr="001B6686" w:rsidRDefault="00D5188E" w:rsidP="001B6686">
            <w:pPr>
              <w:spacing w:before="60" w:after="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90</w:t>
            </w:r>
          </w:p>
        </w:tc>
        <w:tc>
          <w:tcPr>
            <w:tcW w:w="144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1176.079</w:t>
            </w:r>
          </w:p>
        </w:tc>
        <w:tc>
          <w:tcPr>
            <w:tcW w:w="1179"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0.634</w:t>
            </w:r>
          </w:p>
        </w:tc>
        <w:tc>
          <w:tcPr>
            <w:tcW w:w="1464" w:type="dxa"/>
            <w:vAlign w:val="center"/>
          </w:tcPr>
          <w:p w:rsidR="00D5188E" w:rsidRPr="001B6686" w:rsidRDefault="00D5188E" w:rsidP="001B6686">
            <w:pPr>
              <w:spacing w:before="60" w:after="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2.158</w:t>
            </w:r>
          </w:p>
        </w:tc>
      </w:tr>
      <w:tr w:rsidR="00D5188E" w:rsidRPr="002E5CC6" w:rsidTr="001B6686">
        <w:trPr>
          <w:trHeight w:val="293"/>
          <w:jc w:val="center"/>
        </w:trPr>
        <w:tc>
          <w:tcPr>
            <w:tcW w:w="852" w:type="dxa"/>
            <w:tcBorders>
              <w:bottom w:val="single" w:sz="4" w:space="0" w:color="auto"/>
            </w:tcBorders>
            <w:vAlign w:val="center"/>
          </w:tcPr>
          <w:p w:rsidR="00D5188E" w:rsidRPr="001B6686" w:rsidRDefault="00D5188E" w:rsidP="001B6686">
            <w:pPr>
              <w:spacing w:before="60" w:after="60" w:line="240" w:lineRule="auto"/>
              <w:outlineLvl w:val="0"/>
              <w:rPr>
                <w:rFonts w:ascii="Times New Roman" w:hAnsi="Times New Roman"/>
                <w:sz w:val="20"/>
                <w:szCs w:val="20"/>
                <w:lang w:val="de-DE"/>
              </w:rPr>
            </w:pPr>
            <w:r w:rsidRPr="001B6686">
              <w:rPr>
                <w:rFonts w:ascii="Times New Roman" w:hAnsi="Times New Roman"/>
                <w:sz w:val="20"/>
                <w:szCs w:val="20"/>
                <w:lang w:val="de-DE"/>
              </w:rPr>
              <w:t>N45</w:t>
            </w:r>
          </w:p>
        </w:tc>
        <w:tc>
          <w:tcPr>
            <w:tcW w:w="511" w:type="dxa"/>
            <w:tcBorders>
              <w:bottom w:val="single" w:sz="4" w:space="0" w:color="auto"/>
            </w:tcBorders>
            <w:vAlign w:val="center"/>
          </w:tcPr>
          <w:p w:rsidR="00D5188E" w:rsidRPr="001B6686" w:rsidRDefault="00D5188E" w:rsidP="001B6686">
            <w:pPr>
              <w:spacing w:before="60" w:after="60" w:line="240" w:lineRule="auto"/>
              <w:outlineLvl w:val="0"/>
              <w:rPr>
                <w:rFonts w:ascii="Times New Roman" w:hAnsi="Times New Roman"/>
                <w:sz w:val="20"/>
                <w:szCs w:val="20"/>
                <w:lang w:val="de-DE"/>
              </w:rPr>
            </w:pPr>
            <w:r w:rsidRPr="001B6686">
              <w:rPr>
                <w:rFonts w:ascii="Times New Roman" w:hAnsi="Times New Roman"/>
                <w:sz w:val="20"/>
                <w:szCs w:val="20"/>
                <w:lang w:val="de-DE"/>
              </w:rPr>
              <w:t>1:1</w:t>
            </w:r>
          </w:p>
        </w:tc>
        <w:tc>
          <w:tcPr>
            <w:tcW w:w="1620"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500</w:t>
            </w:r>
          </w:p>
        </w:tc>
        <w:tc>
          <w:tcPr>
            <w:tcW w:w="1193"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120</w:t>
            </w:r>
          </w:p>
        </w:tc>
        <w:tc>
          <w:tcPr>
            <w:tcW w:w="1449"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941.242</w:t>
            </w:r>
          </w:p>
        </w:tc>
        <w:tc>
          <w:tcPr>
            <w:tcW w:w="1179"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0.495</w:t>
            </w:r>
          </w:p>
        </w:tc>
        <w:tc>
          <w:tcPr>
            <w:tcW w:w="1464" w:type="dxa"/>
            <w:tcBorders>
              <w:bottom w:val="single" w:sz="4" w:space="0" w:color="auto"/>
            </w:tcBorders>
            <w:vAlign w:val="center"/>
          </w:tcPr>
          <w:p w:rsidR="00D5188E" w:rsidRPr="001B6686" w:rsidRDefault="00D5188E" w:rsidP="001B6686">
            <w:pPr>
              <w:spacing w:before="60" w:after="60" w:line="240" w:lineRule="auto"/>
              <w:jc w:val="center"/>
              <w:outlineLvl w:val="0"/>
              <w:rPr>
                <w:rFonts w:ascii="Times New Roman" w:hAnsi="Times New Roman"/>
                <w:sz w:val="20"/>
                <w:szCs w:val="20"/>
                <w:lang w:val="de-DE"/>
              </w:rPr>
            </w:pPr>
            <w:r w:rsidRPr="001B6686">
              <w:rPr>
                <w:rFonts w:ascii="Times New Roman" w:hAnsi="Times New Roman"/>
                <w:sz w:val="20"/>
                <w:szCs w:val="20"/>
                <w:lang w:val="de-DE"/>
              </w:rPr>
              <w:t>2.105</w:t>
            </w:r>
          </w:p>
        </w:tc>
      </w:tr>
    </w:tbl>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lastRenderedPageBreak/>
        <w:t>Nevertheless, the outcome of the analysis confirms that there is a maximum amount of ions that can be uptake beyond which would reduce pore development. The reason is because additional acid does not lead to further action and probably form an insulating layer (or skin) covering the particles, thus reducing the activation process and the contact with surrounding atmosphere. This phenomenon is particularly observed in sample A8 where most likely activation is hindered, resulting in negligible surface area and undetected pore. Similar trend was observed by Borhan et al</w:t>
      </w:r>
      <w:r w:rsidRPr="002E5CC6">
        <w:rPr>
          <w:rFonts w:ascii="Times New Roman" w:hAnsi="Times New Roman"/>
          <w:bCs/>
          <w:i/>
          <w:sz w:val="20"/>
          <w:szCs w:val="20"/>
        </w:rPr>
        <w:t>.</w:t>
      </w:r>
      <w:r w:rsidRPr="002E5CC6">
        <w:rPr>
          <w:rFonts w:ascii="Times New Roman" w:hAnsi="Times New Roman"/>
          <w:bCs/>
          <w:sz w:val="20"/>
          <w:szCs w:val="20"/>
        </w:rPr>
        <w:t xml:space="preserve"> [5] using H</w:t>
      </w:r>
      <w:r w:rsidRPr="002E5CC6">
        <w:rPr>
          <w:rFonts w:ascii="Times New Roman" w:hAnsi="Times New Roman"/>
          <w:bCs/>
          <w:sz w:val="20"/>
          <w:szCs w:val="20"/>
          <w:vertAlign w:val="subscript"/>
        </w:rPr>
        <w:t>3</w:t>
      </w:r>
      <w:r w:rsidRPr="002E5CC6">
        <w:rPr>
          <w:rFonts w:ascii="Times New Roman" w:hAnsi="Times New Roman"/>
          <w:bCs/>
          <w:sz w:val="20"/>
          <w:szCs w:val="20"/>
        </w:rPr>
        <w:t>PO</w:t>
      </w:r>
      <w:r w:rsidRPr="002E5CC6">
        <w:rPr>
          <w:rFonts w:ascii="Times New Roman" w:hAnsi="Times New Roman"/>
          <w:bCs/>
          <w:sz w:val="20"/>
          <w:szCs w:val="20"/>
          <w:vertAlign w:val="subscript"/>
        </w:rPr>
        <w:t>4</w:t>
      </w:r>
      <w:r w:rsidRPr="002E5CC6">
        <w:rPr>
          <w:rFonts w:ascii="Times New Roman" w:hAnsi="Times New Roman"/>
          <w:bCs/>
          <w:sz w:val="20"/>
          <w:szCs w:val="20"/>
        </w:rPr>
        <w:t xml:space="preserve"> for banana peel activation when activated above 1:1 IR. As for activation temperature, the optimum temperatures have been reported to be between 400 to 700 °C by most of the earlier researchers [17]. Hence the experiments were conducted within the selected temperature range, and it turned out that the recommended temperature is reliable due to verification provided by sample B9 at 500 °C. The increase in temperature from 600 °C to 700 °C for Sample C12 and D15, clearly demonstrated the collapse of porous structure due to excessive heat energy intake, which results from knocking and breaking of some porous wall [12]. While maintaining a constant impregnation ratio at 1:1 and activation temperature at 500 °C, the influence of activation time is examined. The results obtained from sample B9, F21, J33 and N45 show that the optimum time for carbonization is 60 minutes. Prolonged heat exposure would only cause rupture in porous wall. Since the porous structure has already been well developed at temperature of 500 °C, the increase in activation time simply causes the break of the cross-links between carbon structures, with a consequent collapse of pores [16]. All the samples that have been analyzed show average pore diameter of around 2 nm, indicating formation of mesopores.</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Cs/>
          <w:sz w:val="20"/>
          <w:szCs w:val="20"/>
          <w:lang w:val="de-DE"/>
        </w:rPr>
      </w:pPr>
      <w:r w:rsidRPr="002E5CC6">
        <w:rPr>
          <w:rFonts w:ascii="Times New Roman" w:hAnsi="Times New Roman"/>
          <w:bCs/>
          <w:sz w:val="20"/>
          <w:szCs w:val="20"/>
          <w:lang w:val="de-DE"/>
        </w:rPr>
        <w:t xml:space="preserve">Aside from examining the surface morphology of the samples, FESEM is also equipped with EDX spectroscopy for detecting the elemental composition. Table 2 shows the comparison of elemental composition before and after activation. Two elements were detected on the sample before activation: carbon and oxygen. It was reported in specific that suitable range of carbon content should lie between 50 to 80% [6]. The result shows that </w:t>
      </w:r>
      <w:r w:rsidRPr="002E5CC6">
        <w:rPr>
          <w:rFonts w:ascii="Times New Roman" w:hAnsi="Times New Roman"/>
          <w:bCs/>
          <w:i/>
          <w:sz w:val="20"/>
          <w:szCs w:val="20"/>
          <w:lang w:val="de-DE"/>
        </w:rPr>
        <w:t xml:space="preserve">Nyatoh </w:t>
      </w:r>
      <w:r w:rsidRPr="002E5CC6">
        <w:rPr>
          <w:rFonts w:ascii="Times New Roman" w:hAnsi="Times New Roman"/>
          <w:bCs/>
          <w:sz w:val="20"/>
          <w:szCs w:val="20"/>
          <w:lang w:val="de-DE"/>
        </w:rPr>
        <w:t>wood species sawdust fulfills the criterion of producing AC. An additional element identified as phosphorus, P was detected in the sample after activation. Presence of phosphorus element is due to the use of H</w:t>
      </w:r>
      <w:r w:rsidRPr="002E5CC6">
        <w:rPr>
          <w:rFonts w:ascii="Times New Roman" w:hAnsi="Times New Roman"/>
          <w:bCs/>
          <w:sz w:val="20"/>
          <w:szCs w:val="20"/>
          <w:vertAlign w:val="subscript"/>
          <w:lang w:val="de-DE"/>
        </w:rPr>
        <w:t>3</w:t>
      </w:r>
      <w:r w:rsidRPr="002E5CC6">
        <w:rPr>
          <w:rFonts w:ascii="Times New Roman" w:hAnsi="Times New Roman"/>
          <w:bCs/>
          <w:sz w:val="20"/>
          <w:szCs w:val="20"/>
          <w:lang w:val="de-DE"/>
        </w:rPr>
        <w:t>PO</w:t>
      </w:r>
      <w:r w:rsidRPr="002E5CC6">
        <w:rPr>
          <w:rFonts w:ascii="Times New Roman" w:hAnsi="Times New Roman"/>
          <w:bCs/>
          <w:sz w:val="20"/>
          <w:szCs w:val="20"/>
          <w:vertAlign w:val="subscript"/>
          <w:lang w:val="de-DE"/>
        </w:rPr>
        <w:t>4</w:t>
      </w:r>
      <w:r w:rsidRPr="002E5CC6">
        <w:rPr>
          <w:rFonts w:ascii="Times New Roman" w:hAnsi="Times New Roman"/>
          <w:bCs/>
          <w:sz w:val="20"/>
          <w:szCs w:val="20"/>
          <w:lang w:val="de-DE"/>
        </w:rPr>
        <w:t xml:space="preserve"> as chemical activating agent during the impregnation process. Repetitive washing can further reduce the phosphorus element but complete elimination is hardly possible.</w:t>
      </w:r>
    </w:p>
    <w:p w:rsidR="00D5188E" w:rsidRPr="002E5CC6" w:rsidRDefault="00D5188E" w:rsidP="001B6686">
      <w:pPr>
        <w:spacing w:after="120" w:line="240" w:lineRule="auto"/>
        <w:jc w:val="both"/>
        <w:outlineLvl w:val="0"/>
        <w:rPr>
          <w:rFonts w:ascii="Times New Roman" w:hAnsi="Times New Roman"/>
          <w:sz w:val="20"/>
          <w:szCs w:val="20"/>
        </w:rPr>
      </w:pPr>
    </w:p>
    <w:p w:rsidR="00D5188E" w:rsidRPr="001B6686" w:rsidRDefault="00D5188E" w:rsidP="001B6686">
      <w:pPr>
        <w:spacing w:after="120" w:line="240" w:lineRule="auto"/>
        <w:jc w:val="center"/>
        <w:outlineLvl w:val="0"/>
        <w:rPr>
          <w:rFonts w:ascii="Times New Roman" w:hAnsi="Times New Roman"/>
          <w:bCs/>
          <w:sz w:val="20"/>
          <w:szCs w:val="20"/>
          <w:lang w:val="de-DE"/>
        </w:rPr>
      </w:pPr>
      <w:bookmarkStart w:id="1" w:name="_Toc371942329"/>
      <w:bookmarkStart w:id="2" w:name="_Toc371944565"/>
      <w:r w:rsidRPr="002E5CC6">
        <w:rPr>
          <w:rFonts w:ascii="Times New Roman" w:hAnsi="Times New Roman"/>
          <w:bCs/>
          <w:sz w:val="20"/>
          <w:szCs w:val="20"/>
          <w:lang w:val="de-DE"/>
        </w:rPr>
        <w:t xml:space="preserve">Table 2.  </w:t>
      </w:r>
      <w:r w:rsidR="001B6686">
        <w:rPr>
          <w:rFonts w:ascii="Times New Roman" w:hAnsi="Times New Roman"/>
          <w:bCs/>
          <w:sz w:val="20"/>
          <w:szCs w:val="20"/>
          <w:lang w:val="de-DE"/>
        </w:rPr>
        <w:t xml:space="preserve"> </w:t>
      </w:r>
      <w:r w:rsidRPr="002E5CC6">
        <w:rPr>
          <w:rFonts w:ascii="Times New Roman" w:hAnsi="Times New Roman"/>
          <w:bCs/>
          <w:sz w:val="20"/>
          <w:szCs w:val="20"/>
          <w:lang w:val="de-DE"/>
        </w:rPr>
        <w:t>Comparison of elemental composition before and after activation</w:t>
      </w:r>
      <w:bookmarkEnd w:id="1"/>
      <w:bookmarkEnd w:id="2"/>
    </w:p>
    <w:tbl>
      <w:tblPr>
        <w:tblStyle w:val="PlainTable2"/>
        <w:tblW w:w="0" w:type="auto"/>
        <w:jc w:val="center"/>
        <w:tblLook w:val="04A0" w:firstRow="1" w:lastRow="0" w:firstColumn="1" w:lastColumn="0" w:noHBand="0" w:noVBand="1"/>
      </w:tblPr>
      <w:tblGrid>
        <w:gridCol w:w="1361"/>
        <w:gridCol w:w="1089"/>
        <w:gridCol w:w="1088"/>
        <w:gridCol w:w="1089"/>
        <w:gridCol w:w="1088"/>
      </w:tblGrid>
      <w:tr w:rsidR="00D5188E" w:rsidRPr="002E5CC6" w:rsidTr="001B6686">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tcPr>
          <w:p w:rsidR="00D5188E" w:rsidRPr="002E5CC6" w:rsidRDefault="00D5188E" w:rsidP="001B6686">
            <w:pPr>
              <w:spacing w:before="120" w:after="0" w:line="240" w:lineRule="auto"/>
              <w:jc w:val="both"/>
              <w:outlineLvl w:val="0"/>
              <w:rPr>
                <w:rFonts w:ascii="Times New Roman" w:hAnsi="Times New Roman" w:cs="Times New Roman"/>
                <w:sz w:val="20"/>
                <w:szCs w:val="20"/>
                <w:lang w:val="de-DE"/>
              </w:rPr>
            </w:pPr>
            <w:r w:rsidRPr="002E5CC6">
              <w:rPr>
                <w:rFonts w:ascii="Times New Roman" w:hAnsi="Times New Roman" w:cs="Times New Roman"/>
                <w:sz w:val="20"/>
                <w:szCs w:val="20"/>
                <w:lang w:val="de-DE"/>
              </w:rPr>
              <w:t>Elements</w:t>
            </w:r>
          </w:p>
        </w:tc>
        <w:tc>
          <w:tcPr>
            <w:tcW w:w="0" w:type="auto"/>
            <w:gridSpan w:val="2"/>
            <w:tcBorders>
              <w:top w:val="single" w:sz="4" w:space="0" w:color="auto"/>
              <w:bottom w:val="single" w:sz="4" w:space="0" w:color="auto"/>
            </w:tcBorders>
          </w:tcPr>
          <w:p w:rsidR="00D5188E" w:rsidRPr="002E5CC6" w:rsidRDefault="00D5188E" w:rsidP="001B6686">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2E5CC6">
              <w:rPr>
                <w:rFonts w:ascii="Times New Roman" w:hAnsi="Times New Roman" w:cs="Times New Roman"/>
                <w:sz w:val="20"/>
                <w:szCs w:val="20"/>
                <w:lang w:val="de-DE"/>
              </w:rPr>
              <w:t>Before Activation</w:t>
            </w:r>
          </w:p>
        </w:tc>
        <w:tc>
          <w:tcPr>
            <w:tcW w:w="0" w:type="auto"/>
            <w:gridSpan w:val="2"/>
            <w:tcBorders>
              <w:top w:val="single" w:sz="4" w:space="0" w:color="auto"/>
              <w:bottom w:val="single" w:sz="4" w:space="0" w:color="auto"/>
            </w:tcBorders>
          </w:tcPr>
          <w:p w:rsidR="00D5188E" w:rsidRPr="002E5CC6" w:rsidRDefault="00D5188E" w:rsidP="001B6686">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2E5CC6">
              <w:rPr>
                <w:rFonts w:ascii="Times New Roman" w:hAnsi="Times New Roman" w:cs="Times New Roman"/>
                <w:sz w:val="20"/>
                <w:szCs w:val="20"/>
                <w:lang w:val="de-DE"/>
              </w:rPr>
              <w:t>After activation</w:t>
            </w:r>
          </w:p>
        </w:tc>
      </w:tr>
      <w:tr w:rsidR="00D5188E" w:rsidRPr="002E5CC6" w:rsidTr="001B668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tcPr>
          <w:p w:rsidR="00D5188E" w:rsidRPr="002E5CC6" w:rsidRDefault="00D5188E" w:rsidP="00A77AFA">
            <w:pPr>
              <w:spacing w:after="0" w:line="240" w:lineRule="auto"/>
              <w:jc w:val="both"/>
              <w:outlineLvl w:val="0"/>
              <w:rPr>
                <w:rFonts w:ascii="Times New Roman" w:hAnsi="Times New Roman" w:cs="Times New Roman"/>
                <w:b w:val="0"/>
                <w:sz w:val="20"/>
                <w:szCs w:val="20"/>
                <w:lang w:val="de-DE"/>
              </w:rPr>
            </w:pPr>
          </w:p>
        </w:tc>
        <w:tc>
          <w:tcPr>
            <w:tcW w:w="0" w:type="auto"/>
            <w:tcBorders>
              <w:top w:val="single" w:sz="4" w:space="0" w:color="auto"/>
              <w:bottom w:val="single" w:sz="4" w:space="0" w:color="auto"/>
            </w:tcBorders>
          </w:tcPr>
          <w:p w:rsidR="00D5188E" w:rsidRPr="002E5CC6" w:rsidRDefault="00D5188E" w:rsidP="001B6686">
            <w:pPr>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Weight %</w:t>
            </w:r>
          </w:p>
        </w:tc>
        <w:tc>
          <w:tcPr>
            <w:tcW w:w="0" w:type="auto"/>
            <w:tcBorders>
              <w:top w:val="single" w:sz="4" w:space="0" w:color="auto"/>
              <w:bottom w:val="single" w:sz="4" w:space="0" w:color="auto"/>
            </w:tcBorders>
          </w:tcPr>
          <w:p w:rsidR="00D5188E" w:rsidRPr="002E5CC6" w:rsidRDefault="00D5188E" w:rsidP="001B6686">
            <w:pPr>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Atomic %</w:t>
            </w:r>
          </w:p>
        </w:tc>
        <w:tc>
          <w:tcPr>
            <w:tcW w:w="0" w:type="auto"/>
            <w:tcBorders>
              <w:top w:val="single" w:sz="4" w:space="0" w:color="auto"/>
              <w:bottom w:val="single" w:sz="4" w:space="0" w:color="auto"/>
            </w:tcBorders>
          </w:tcPr>
          <w:p w:rsidR="00D5188E" w:rsidRPr="002E5CC6" w:rsidRDefault="00D5188E" w:rsidP="001B6686">
            <w:pPr>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Weight %</w:t>
            </w:r>
          </w:p>
        </w:tc>
        <w:tc>
          <w:tcPr>
            <w:tcW w:w="0" w:type="auto"/>
            <w:tcBorders>
              <w:top w:val="single" w:sz="4" w:space="0" w:color="auto"/>
              <w:bottom w:val="single" w:sz="4" w:space="0" w:color="auto"/>
            </w:tcBorders>
          </w:tcPr>
          <w:p w:rsidR="00D5188E" w:rsidRPr="002E5CC6" w:rsidRDefault="00D5188E" w:rsidP="001B6686">
            <w:pPr>
              <w:spacing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de-DE"/>
              </w:rPr>
            </w:pPr>
            <w:r w:rsidRPr="002E5CC6">
              <w:rPr>
                <w:rFonts w:ascii="Times New Roman" w:hAnsi="Times New Roman" w:cs="Times New Roman"/>
                <w:b/>
                <w:bCs/>
                <w:sz w:val="20"/>
                <w:szCs w:val="20"/>
                <w:lang w:val="de-DE"/>
              </w:rPr>
              <w:t>Atomic %</w:t>
            </w:r>
          </w:p>
        </w:tc>
      </w:tr>
      <w:tr w:rsidR="00D5188E" w:rsidRPr="002E5CC6" w:rsidTr="001B6686">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rsidR="00D5188E" w:rsidRPr="002E5CC6" w:rsidRDefault="00D5188E" w:rsidP="0001677C">
            <w:pPr>
              <w:spacing w:before="60" w:after="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Carbon, C</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54.98</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61.93</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76.86</w:t>
            </w:r>
          </w:p>
        </w:tc>
        <w:tc>
          <w:tcPr>
            <w:tcW w:w="0" w:type="auto"/>
            <w:tcBorders>
              <w:top w:val="single" w:sz="4" w:space="0" w:color="auto"/>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82.45</w:t>
            </w:r>
          </w:p>
        </w:tc>
      </w:tr>
      <w:tr w:rsidR="00D5188E" w:rsidRPr="002E5CC6" w:rsidTr="00A77AFA">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5188E" w:rsidRPr="002E5CC6" w:rsidRDefault="00D5188E" w:rsidP="0001677C">
            <w:pPr>
              <w:spacing w:before="60" w:after="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Oxygen, O</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45.02</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38.07</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20.36</w:t>
            </w:r>
          </w:p>
        </w:tc>
        <w:tc>
          <w:tcPr>
            <w:tcW w:w="0" w:type="auto"/>
            <w:tcBorders>
              <w:top w:val="nil"/>
              <w:bottom w:val="nil"/>
            </w:tcBorders>
          </w:tcPr>
          <w:p w:rsidR="00D5188E" w:rsidRPr="002E5CC6" w:rsidRDefault="00D5188E" w:rsidP="0001677C">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16.39</w:t>
            </w:r>
          </w:p>
        </w:tc>
      </w:tr>
      <w:tr w:rsidR="00D5188E" w:rsidRPr="002E5CC6" w:rsidTr="0001677C">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5188E" w:rsidRPr="002E5CC6" w:rsidRDefault="00D5188E" w:rsidP="0001677C">
            <w:pPr>
              <w:spacing w:before="60" w:after="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Phosphorus, P</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0.00</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0.00</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2.78</w:t>
            </w:r>
          </w:p>
        </w:tc>
        <w:tc>
          <w:tcPr>
            <w:tcW w:w="0" w:type="auto"/>
            <w:tcBorders>
              <w:top w:val="nil"/>
              <w:bottom w:val="nil"/>
            </w:tcBorders>
          </w:tcPr>
          <w:p w:rsidR="00D5188E" w:rsidRPr="002E5CC6" w:rsidRDefault="00D5188E" w:rsidP="0001677C">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1.16</w:t>
            </w:r>
          </w:p>
        </w:tc>
      </w:tr>
      <w:tr w:rsidR="00D5188E" w:rsidRPr="002E5CC6" w:rsidTr="0001677C">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D5188E" w:rsidRPr="002E5CC6" w:rsidRDefault="00D5188E" w:rsidP="0001677C">
            <w:pPr>
              <w:spacing w:before="60" w:after="60" w:line="240" w:lineRule="auto"/>
              <w:jc w:val="both"/>
              <w:outlineLvl w:val="0"/>
              <w:rPr>
                <w:rFonts w:ascii="Times New Roman" w:hAnsi="Times New Roman" w:cs="Times New Roman"/>
                <w:b w:val="0"/>
                <w:sz w:val="20"/>
                <w:szCs w:val="20"/>
                <w:lang w:val="de-DE"/>
              </w:rPr>
            </w:pPr>
            <w:r w:rsidRPr="002E5CC6">
              <w:rPr>
                <w:rFonts w:ascii="Times New Roman" w:hAnsi="Times New Roman" w:cs="Times New Roman"/>
                <w:b w:val="0"/>
                <w:sz w:val="20"/>
                <w:szCs w:val="20"/>
                <w:lang w:val="de-DE"/>
              </w:rPr>
              <w:t>Total</w:t>
            </w: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100.00</w:t>
            </w: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r w:rsidRPr="002E5CC6">
              <w:rPr>
                <w:rFonts w:ascii="Times New Roman" w:hAnsi="Times New Roman" w:cs="Times New Roman"/>
                <w:bCs/>
                <w:sz w:val="20"/>
                <w:szCs w:val="20"/>
                <w:lang w:val="de-DE"/>
              </w:rPr>
              <w:t>100.00</w:t>
            </w:r>
          </w:p>
        </w:tc>
        <w:tc>
          <w:tcPr>
            <w:tcW w:w="0" w:type="auto"/>
            <w:tcBorders>
              <w:top w:val="nil"/>
              <w:bottom w:val="single" w:sz="4" w:space="0" w:color="auto"/>
            </w:tcBorders>
          </w:tcPr>
          <w:p w:rsidR="00D5188E" w:rsidRPr="002E5CC6" w:rsidRDefault="00D5188E" w:rsidP="0001677C">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de-DE"/>
              </w:rPr>
            </w:pPr>
          </w:p>
        </w:tc>
      </w:tr>
    </w:tbl>
    <w:p w:rsidR="00D5188E" w:rsidRPr="002E5CC6" w:rsidRDefault="00D5188E" w:rsidP="00BA1026">
      <w:pPr>
        <w:spacing w:after="12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N</w:t>
      </w:r>
      <w:r w:rsidRPr="002E5CC6">
        <w:rPr>
          <w:rFonts w:ascii="Times New Roman" w:hAnsi="Times New Roman"/>
          <w:b/>
          <w:sz w:val="20"/>
          <w:szCs w:val="20"/>
          <w:vertAlign w:val="subscript"/>
        </w:rPr>
        <w:t>2</w:t>
      </w:r>
      <w:r w:rsidRPr="002E5CC6">
        <w:rPr>
          <w:rFonts w:ascii="Times New Roman" w:hAnsi="Times New Roman"/>
          <w:b/>
          <w:sz w:val="20"/>
          <w:szCs w:val="20"/>
        </w:rPr>
        <w:t xml:space="preserve"> adsorption – desorption isotherms</w:t>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bCs/>
          <w:sz w:val="20"/>
          <w:szCs w:val="20"/>
        </w:rPr>
        <w:t>The existence of mesopores is further proven with the identified isotherms. The objective of this study is to categorize the right adsorption isotherm type based on IUPAC classification [19]. Figure 1 shows the N</w:t>
      </w:r>
      <w:r w:rsidRPr="002E5CC6">
        <w:rPr>
          <w:rFonts w:ascii="Times New Roman" w:hAnsi="Times New Roman"/>
          <w:bCs/>
          <w:sz w:val="20"/>
          <w:szCs w:val="20"/>
          <w:vertAlign w:val="subscript"/>
        </w:rPr>
        <w:t>2</w:t>
      </w:r>
      <w:r w:rsidRPr="002E5CC6">
        <w:rPr>
          <w:rFonts w:ascii="Times New Roman" w:hAnsi="Times New Roman"/>
          <w:bCs/>
          <w:sz w:val="20"/>
          <w:szCs w:val="20"/>
        </w:rPr>
        <w:t xml:space="preserve"> adsorption-desorption isotherm of some selected samples. The isotherm is plotted as quantity of N</w:t>
      </w:r>
      <w:r w:rsidRPr="002E5CC6">
        <w:rPr>
          <w:rFonts w:ascii="Times New Roman" w:hAnsi="Times New Roman"/>
          <w:bCs/>
          <w:sz w:val="20"/>
          <w:szCs w:val="20"/>
          <w:vertAlign w:val="subscript"/>
        </w:rPr>
        <w:t>2</w:t>
      </w:r>
      <w:r w:rsidRPr="002E5CC6">
        <w:rPr>
          <w:rFonts w:ascii="Times New Roman" w:hAnsi="Times New Roman"/>
          <w:bCs/>
          <w:sz w:val="20"/>
          <w:szCs w:val="20"/>
        </w:rPr>
        <w:t xml:space="preserve"> gas adsorbed against the relative pressure. Based on the six principal types of adsorption isotherms, it is stated that all isotherms produced should fit at least one or a combination of two or more of the shapes [12]. Referring to the graph in </w:t>
      </w:r>
    </w:p>
    <w:p w:rsidR="00D5188E" w:rsidRDefault="00D5188E" w:rsidP="00D5188E">
      <w:pPr>
        <w:spacing w:after="0" w:line="240" w:lineRule="auto"/>
        <w:jc w:val="both"/>
        <w:outlineLvl w:val="0"/>
        <w:rPr>
          <w:rFonts w:ascii="Times New Roman" w:hAnsi="Times New Roman"/>
          <w:sz w:val="20"/>
          <w:szCs w:val="20"/>
        </w:rPr>
      </w:pPr>
    </w:p>
    <w:p w:rsidR="00BA1026" w:rsidRPr="002E5CC6" w:rsidRDefault="00BA1026" w:rsidP="00BA1026">
      <w:pPr>
        <w:spacing w:after="0" w:line="240" w:lineRule="auto"/>
        <w:jc w:val="both"/>
        <w:outlineLvl w:val="0"/>
        <w:rPr>
          <w:rFonts w:ascii="Times New Roman" w:hAnsi="Times New Roman"/>
          <w:bCs/>
          <w:sz w:val="20"/>
          <w:szCs w:val="20"/>
        </w:rPr>
      </w:pPr>
      <w:r w:rsidRPr="002E5CC6">
        <w:rPr>
          <w:rFonts w:ascii="Times New Roman" w:hAnsi="Times New Roman"/>
          <w:bCs/>
          <w:sz w:val="20"/>
          <w:szCs w:val="20"/>
        </w:rPr>
        <w:t>From Figure 1, it can be seen that all selected samples exhibit trends with combination of Type-I and Type-II isotherms except Sample D15 which shows Type-I isotherm. Literature presents that Type-I isotherm is normally observed on microporous solid whose pore sizes are not exceedingly large when compare to the molecular diameter of the adsorbate, whereas Type-II isotherm is found in adsorbents with pore diameters larger than micropores. A combination of these two could be viewed as the effect of mixed micropores and mesopores structure.</w:t>
      </w:r>
      <w:r w:rsidRPr="002E5CC6">
        <w:rPr>
          <w:rFonts w:ascii="Times New Roman" w:hAnsi="Times New Roman"/>
          <w:b/>
          <w:bCs/>
          <w:sz w:val="20"/>
          <w:szCs w:val="20"/>
        </w:rPr>
        <w:t xml:space="preserve"> </w:t>
      </w:r>
    </w:p>
    <w:p w:rsidR="00BA1026" w:rsidRPr="002E5CC6" w:rsidRDefault="00BA1026" w:rsidP="00BA1026">
      <w:pPr>
        <w:spacing w:after="0" w:line="240" w:lineRule="auto"/>
        <w:jc w:val="both"/>
        <w:outlineLvl w:val="0"/>
        <w:rPr>
          <w:rFonts w:ascii="Times New Roman" w:hAnsi="Times New Roman"/>
          <w:sz w:val="20"/>
          <w:szCs w:val="20"/>
        </w:rPr>
      </w:pPr>
    </w:p>
    <w:p w:rsidR="00D5188E" w:rsidRPr="002E5CC6" w:rsidRDefault="00D5188E" w:rsidP="00BA1026">
      <w:pPr>
        <w:spacing w:after="120" w:line="240" w:lineRule="auto"/>
        <w:jc w:val="center"/>
        <w:outlineLvl w:val="0"/>
        <w:rPr>
          <w:rFonts w:ascii="Times New Roman" w:hAnsi="Times New Roman"/>
          <w:sz w:val="20"/>
          <w:szCs w:val="20"/>
        </w:rPr>
      </w:pPr>
      <w:r w:rsidRPr="002E5CC6">
        <w:rPr>
          <w:rFonts w:ascii="Times New Roman" w:hAnsi="Times New Roman"/>
          <w:b/>
          <w:noProof/>
          <w:sz w:val="20"/>
          <w:szCs w:val="20"/>
          <w:lang w:val="en-GB"/>
        </w:rPr>
        <w:lastRenderedPageBreak/>
        <w:drawing>
          <wp:inline distT="0" distB="0" distL="0" distR="0" wp14:anchorId="3DA713CC" wp14:editId="4DAF5DD0">
            <wp:extent cx="4656569" cy="2239528"/>
            <wp:effectExtent l="0" t="0" r="10795" b="889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188E" w:rsidRPr="002E5CC6" w:rsidRDefault="00D5188E" w:rsidP="00BA1026">
      <w:pPr>
        <w:spacing w:after="0" w:line="240" w:lineRule="auto"/>
        <w:jc w:val="center"/>
        <w:outlineLvl w:val="0"/>
        <w:rPr>
          <w:rFonts w:ascii="Times New Roman" w:hAnsi="Times New Roman"/>
          <w:bCs/>
          <w:sz w:val="20"/>
          <w:szCs w:val="20"/>
          <w:lang w:val="de-DE"/>
        </w:rPr>
      </w:pPr>
      <w:r w:rsidRPr="002E5CC6">
        <w:rPr>
          <w:rFonts w:ascii="Times New Roman" w:hAnsi="Times New Roman"/>
          <w:bCs/>
          <w:sz w:val="20"/>
          <w:szCs w:val="20"/>
          <w:lang w:val="de-DE"/>
        </w:rPr>
        <w:t xml:space="preserve">Figure 1.  </w:t>
      </w:r>
      <w:r w:rsidR="00BA1026">
        <w:rPr>
          <w:rFonts w:ascii="Times New Roman" w:hAnsi="Times New Roman"/>
          <w:bCs/>
          <w:sz w:val="20"/>
          <w:szCs w:val="20"/>
          <w:lang w:val="de-DE"/>
        </w:rPr>
        <w:t xml:space="preserve"> </w:t>
      </w:r>
      <w:r w:rsidRPr="002E5CC6">
        <w:rPr>
          <w:rFonts w:ascii="Times New Roman" w:hAnsi="Times New Roman"/>
          <w:bCs/>
          <w:sz w:val="20"/>
          <w:szCs w:val="20"/>
          <w:lang w:val="de-DE"/>
        </w:rPr>
        <w:t>N</w:t>
      </w:r>
      <w:r w:rsidRPr="002E5CC6">
        <w:rPr>
          <w:rFonts w:ascii="Times New Roman" w:hAnsi="Times New Roman"/>
          <w:bCs/>
          <w:sz w:val="20"/>
          <w:szCs w:val="20"/>
          <w:vertAlign w:val="subscript"/>
          <w:lang w:val="de-DE"/>
        </w:rPr>
        <w:t>2</w:t>
      </w:r>
      <w:r w:rsidRPr="002E5CC6">
        <w:rPr>
          <w:rFonts w:ascii="Times New Roman" w:hAnsi="Times New Roman"/>
          <w:bCs/>
          <w:sz w:val="20"/>
          <w:szCs w:val="20"/>
          <w:lang w:val="de-DE"/>
        </w:rPr>
        <w:t xml:space="preserve"> adsorption-desorption isotherms of selected samples</w:t>
      </w:r>
    </w:p>
    <w:p w:rsidR="00D5188E" w:rsidRPr="002E5CC6" w:rsidRDefault="00D5188E" w:rsidP="00BA1026">
      <w:pPr>
        <w:spacing w:after="12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Morphology</w:t>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sz w:val="20"/>
          <w:szCs w:val="20"/>
        </w:rPr>
        <w:t>Figure 2 shows the microscopic structure of the raw sawdust and some selected samples prepared at different activation parameters. By using FESEM, structural images with magnification up to 300 times are taken. The structural image of fresh sawdust in Figure 2(a) points up that the raw material before undergoing activation shows no noticeable pores. However, the image clearly shows the existence of fine pores on the surface, which is one of the important characteristics for manufacturing AC. After activation, a greater distribution of pores emerged to become active sites for adsorption to take place more readily. The difference in pore structure before activation and after activation is clearly illustrated through comparison made between Figure 2(a) with Figure 2(b) and 2(c). Sample A6 (Figure 2(b)) shows good canal structure for the AC, meaning that the carbonization and activation are taking place but still at early stages at temperature of 400 °C. Many new large pores were clearly observed on the surface of the AC. Sample F21 (Figure 2(c)) shows the most well developed porous structure among the three AC. This justified that sample F21 has the highest S</w:t>
      </w:r>
      <w:r w:rsidRPr="002E5CC6">
        <w:rPr>
          <w:rFonts w:ascii="Times New Roman" w:hAnsi="Times New Roman"/>
          <w:sz w:val="20"/>
          <w:szCs w:val="20"/>
          <w:vertAlign w:val="subscript"/>
        </w:rPr>
        <w:t>BET</w:t>
      </w:r>
      <w:r w:rsidRPr="002E5CC6">
        <w:rPr>
          <w:rFonts w:ascii="Times New Roman" w:hAnsi="Times New Roman"/>
          <w:sz w:val="20"/>
          <w:szCs w:val="20"/>
        </w:rPr>
        <w:t>, V</w:t>
      </w:r>
      <w:r w:rsidRPr="002E5CC6">
        <w:rPr>
          <w:rFonts w:ascii="Times New Roman" w:hAnsi="Times New Roman"/>
          <w:sz w:val="20"/>
          <w:szCs w:val="20"/>
          <w:vertAlign w:val="subscript"/>
        </w:rPr>
        <w:t>T</w:t>
      </w:r>
      <w:r w:rsidRPr="002E5CC6">
        <w:rPr>
          <w:rFonts w:ascii="Times New Roman" w:hAnsi="Times New Roman"/>
          <w:sz w:val="20"/>
          <w:szCs w:val="20"/>
        </w:rPr>
        <w:t xml:space="preserve"> and D compared to other samples. On the other hand, collapse of porous wall due to excessive heat exposure is observed in Figure 2(d) with Sample D15 being activated at highest temperature.</w:t>
      </w:r>
    </w:p>
    <w:p w:rsidR="00D5188E" w:rsidRPr="002E5CC6" w:rsidRDefault="00BA1026" w:rsidP="00D5188E">
      <w:pPr>
        <w:spacing w:after="0" w:line="240" w:lineRule="auto"/>
        <w:jc w:val="both"/>
        <w:outlineLvl w:val="0"/>
        <w:rPr>
          <w:rFonts w:ascii="Times New Roman" w:hAnsi="Times New Roman"/>
          <w:sz w:val="20"/>
          <w:szCs w:val="20"/>
        </w:rPr>
      </w:pPr>
      <w:r w:rsidRPr="002E5CC6">
        <w:rPr>
          <w:rFonts w:ascii="Times New Roman" w:hAnsi="Times New Roman"/>
          <w:noProof/>
          <w:sz w:val="20"/>
          <w:szCs w:val="20"/>
          <w:lang w:val="en-GB"/>
        </w:rPr>
        <w:drawing>
          <wp:anchor distT="0" distB="0" distL="114300" distR="114300" simplePos="0" relativeHeight="251678208" behindDoc="0" locked="0" layoutInCell="1" allowOverlap="1" wp14:anchorId="3D29005F" wp14:editId="69001513">
            <wp:simplePos x="0" y="0"/>
            <wp:positionH relativeFrom="column">
              <wp:posOffset>3086735</wp:posOffset>
            </wp:positionH>
            <wp:positionV relativeFrom="paragraph">
              <wp:posOffset>291465</wp:posOffset>
            </wp:positionV>
            <wp:extent cx="2694940" cy="1835150"/>
            <wp:effectExtent l="0" t="0" r="0" b="0"/>
            <wp:wrapTopAndBottom/>
            <wp:docPr id="8" name="Picture 1" descr="C:\Users\User_2\Desktop\lecture notes\Final year 2nd sem\FYP 2\FESEM\Clean sawdust\C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2\Desktop\lecture notes\Final year 2nd sem\FYP 2\FESEM\Clean sawdust\C_02.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4940" cy="183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5CC6">
        <w:rPr>
          <w:rFonts w:ascii="Times New Roman" w:hAnsi="Times New Roman"/>
          <w:bCs/>
          <w:noProof/>
          <w:sz w:val="20"/>
          <w:szCs w:val="20"/>
          <w:lang w:val="en-GB"/>
        </w:rPr>
        <mc:AlternateContent>
          <mc:Choice Requires="wps">
            <w:drawing>
              <wp:anchor distT="45720" distB="45720" distL="114300" distR="114300" simplePos="0" relativeHeight="251682304" behindDoc="0" locked="0" layoutInCell="1" allowOverlap="1" wp14:anchorId="65E5461D" wp14:editId="27BFB32F">
                <wp:simplePos x="0" y="0"/>
                <wp:positionH relativeFrom="column">
                  <wp:posOffset>3257550</wp:posOffset>
                </wp:positionH>
                <wp:positionV relativeFrom="paragraph">
                  <wp:posOffset>349250</wp:posOffset>
                </wp:positionV>
                <wp:extent cx="230505" cy="276225"/>
                <wp:effectExtent l="0" t="0" r="1714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6225"/>
                        </a:xfrm>
                        <a:prstGeom prst="rect">
                          <a:avLst/>
                        </a:prstGeom>
                        <a:solidFill>
                          <a:srgbClr val="FFFFFF"/>
                        </a:solidFill>
                        <a:ln w="9525">
                          <a:solidFill>
                            <a:srgbClr val="000000"/>
                          </a:solidFill>
                          <a:miter lim="800000"/>
                          <a:headEnd/>
                          <a:tailEnd/>
                        </a:ln>
                      </wps:spPr>
                      <wps:txb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56.5pt;margin-top:27.5pt;width:18.15pt;height:21.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">
                <v:textbo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b</w:t>
                      </w:r>
                    </w:p>
                  </w:txbxContent>
                </v:textbox>
                <w10:wrap type="square"/>
              </v:shape>
            </w:pict>
          </mc:Fallback>
        </mc:AlternateContent>
      </w:r>
      <w:r w:rsidRPr="002E5CC6">
        <w:rPr>
          <w:rFonts w:ascii="Times New Roman" w:hAnsi="Times New Roman"/>
          <w:bCs/>
          <w:noProof/>
          <w:sz w:val="20"/>
          <w:szCs w:val="20"/>
          <w:lang w:val="en-GB"/>
        </w:rPr>
        <mc:AlternateContent>
          <mc:Choice Requires="wps">
            <w:drawing>
              <wp:anchor distT="45720" distB="45720" distL="114300" distR="114300" simplePos="0" relativeHeight="251681280" behindDoc="0" locked="0" layoutInCell="1" allowOverlap="1" wp14:anchorId="0049D417" wp14:editId="2B5A2ACF">
                <wp:simplePos x="0" y="0"/>
                <wp:positionH relativeFrom="column">
                  <wp:posOffset>238125</wp:posOffset>
                </wp:positionH>
                <wp:positionV relativeFrom="paragraph">
                  <wp:posOffset>330835</wp:posOffset>
                </wp:positionV>
                <wp:extent cx="226695" cy="237490"/>
                <wp:effectExtent l="0" t="0" r="2095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7490"/>
                        </a:xfrm>
                        <a:prstGeom prst="rect">
                          <a:avLst/>
                        </a:prstGeom>
                        <a:solidFill>
                          <a:srgbClr val="FFFFFF"/>
                        </a:solidFill>
                        <a:ln w="9525">
                          <a:solidFill>
                            <a:srgbClr val="000000"/>
                          </a:solidFill>
                          <a:miter lim="800000"/>
                          <a:headEnd/>
                          <a:tailEnd/>
                        </a:ln>
                      </wps:spPr>
                      <wps:txb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5pt;margin-top:26.05pt;width:17.85pt;height:18.7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">
                <v:textbo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a</w:t>
                      </w:r>
                    </w:p>
                  </w:txbxContent>
                </v:textbox>
                <w10:wrap type="square"/>
              </v:shape>
            </w:pict>
          </mc:Fallback>
        </mc:AlternateContent>
      </w:r>
      <w:r w:rsidRPr="002E5CC6">
        <w:rPr>
          <w:rFonts w:ascii="Times New Roman" w:hAnsi="Times New Roman"/>
          <w:noProof/>
          <w:sz w:val="20"/>
          <w:szCs w:val="20"/>
          <w:lang w:val="en-GB"/>
        </w:rPr>
        <w:drawing>
          <wp:anchor distT="0" distB="0" distL="114300" distR="114300" simplePos="0" relativeHeight="251677184" behindDoc="0" locked="0" layoutInCell="1" allowOverlap="1" wp14:anchorId="15BE4704" wp14:editId="3FB728B7">
            <wp:simplePos x="0" y="0"/>
            <wp:positionH relativeFrom="margin">
              <wp:posOffset>135890</wp:posOffset>
            </wp:positionH>
            <wp:positionV relativeFrom="paragraph">
              <wp:posOffset>288925</wp:posOffset>
            </wp:positionV>
            <wp:extent cx="2751455" cy="1849120"/>
            <wp:effectExtent l="0" t="0" r="0" b="0"/>
            <wp:wrapThrough wrapText="bothSides">
              <wp:wrapPolygon edited="0">
                <wp:start x="0" y="0"/>
                <wp:lineTo x="0" y="21363"/>
                <wp:lineTo x="21386" y="21363"/>
                <wp:lineTo x="21386" y="0"/>
                <wp:lineTo x="0" y="0"/>
              </wp:wrapPolygon>
            </wp:wrapThrough>
            <wp:docPr id="10" name="Picture 10" descr="C:\Users\User_2\Desktop\lecture notes\Final year 2nd sem\FYP 2\FESEM\A6\A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2\Desktop\lecture notes\Final year 2nd sem\FYP 2\FESEM\A6\A602.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2751455"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noProof/>
          <w:sz w:val="20"/>
          <w:szCs w:val="20"/>
          <w:lang w:val="en-GB"/>
        </w:rPr>
        <mc:AlternateContent>
          <mc:Choice Requires="wps">
            <w:drawing>
              <wp:anchor distT="0" distB="0" distL="114300" distR="114300" simplePos="0" relativeHeight="251688448" behindDoc="0" locked="0" layoutInCell="1" allowOverlap="1" wp14:anchorId="4CAF8192" wp14:editId="040A9603">
                <wp:simplePos x="0" y="0"/>
                <wp:positionH relativeFrom="column">
                  <wp:posOffset>4647363</wp:posOffset>
                </wp:positionH>
                <wp:positionV relativeFrom="paragraph">
                  <wp:posOffset>1863620</wp:posOffset>
                </wp:positionV>
                <wp:extent cx="441736" cy="53452"/>
                <wp:effectExtent l="0" t="0" r="15875" b="22860"/>
                <wp:wrapNone/>
                <wp:docPr id="7" name="Rectangle 7"/>
                <wp:cNvGraphicFramePr/>
                <a:graphic xmlns:a="http://schemas.openxmlformats.org/drawingml/2006/main">
                  <a:graphicData uri="http://schemas.microsoft.com/office/word/2010/wordprocessingShape">
                    <wps:wsp>
                      <wps:cNvSpPr/>
                      <wps:spPr>
                        <a:xfrm>
                          <a:off x="0" y="0"/>
                          <a:ext cx="441736" cy="534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65.95pt;margin-top:146.75pt;width:34.8pt;height: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" fillcolor="windowText" strokecolor="windowText" strokeweight="1pt"/>
            </w:pict>
          </mc:Fallback>
        </mc:AlternateContent>
      </w:r>
      <w:r w:rsidRPr="002E5CC6">
        <w:rPr>
          <w:rFonts w:ascii="Times New Roman" w:hAnsi="Times New Roman"/>
          <w:noProof/>
          <w:sz w:val="20"/>
          <w:szCs w:val="20"/>
          <w:lang w:val="en-GB"/>
        </w:rPr>
        <mc:AlternateContent>
          <mc:Choice Requires="wps">
            <w:drawing>
              <wp:anchor distT="0" distB="0" distL="114300" distR="114300" simplePos="0" relativeHeight="251687424" behindDoc="0" locked="0" layoutInCell="1" allowOverlap="1" wp14:anchorId="2529931C" wp14:editId="46FD5E7B">
                <wp:simplePos x="0" y="0"/>
                <wp:positionH relativeFrom="column">
                  <wp:posOffset>1846613</wp:posOffset>
                </wp:positionH>
                <wp:positionV relativeFrom="paragraph">
                  <wp:posOffset>1854827</wp:posOffset>
                </wp:positionV>
                <wp:extent cx="387350" cy="635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387350" cy="635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45.4pt;margin-top:146.05pt;width:30.5pt;height: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" fillcolor="windowText" strokecolor="windowText" strokeweight="1pt"/>
            </w:pict>
          </mc:Fallback>
        </mc:AlternateContent>
      </w:r>
    </w:p>
    <w:p w:rsidR="00D5188E" w:rsidRDefault="00D5188E" w:rsidP="00D5188E">
      <w:pPr>
        <w:spacing w:after="0" w:line="240" w:lineRule="auto"/>
        <w:jc w:val="both"/>
        <w:outlineLvl w:val="0"/>
        <w:rPr>
          <w:rFonts w:ascii="Times New Roman" w:hAnsi="Times New Roman"/>
          <w:sz w:val="20"/>
          <w:szCs w:val="20"/>
        </w:rPr>
      </w:pPr>
    </w:p>
    <w:p w:rsidR="00BA1026" w:rsidRPr="002E5CC6" w:rsidRDefault="00BA1026" w:rsidP="00D5188E">
      <w:pPr>
        <w:spacing w:after="0" w:line="240" w:lineRule="auto"/>
        <w:jc w:val="both"/>
        <w:outlineLvl w:val="0"/>
        <w:rPr>
          <w:rFonts w:ascii="Times New Roman" w:hAnsi="Times New Roman"/>
          <w:sz w:val="20"/>
          <w:szCs w:val="20"/>
        </w:rPr>
      </w:pPr>
      <w:r w:rsidRPr="002E5CC6">
        <w:rPr>
          <w:rFonts w:ascii="Times New Roman" w:hAnsi="Times New Roman"/>
          <w:bCs/>
          <w:noProof/>
          <w:sz w:val="20"/>
          <w:szCs w:val="20"/>
          <w:lang w:val="en-GB"/>
        </w:rPr>
        <w:lastRenderedPageBreak/>
        <mc:AlternateContent>
          <mc:Choice Requires="wps">
            <w:drawing>
              <wp:anchor distT="45720" distB="45720" distL="114300" distR="114300" simplePos="0" relativeHeight="251690496" behindDoc="0" locked="0" layoutInCell="1" allowOverlap="1" wp14:anchorId="0E113006" wp14:editId="446C0D8D">
                <wp:simplePos x="0" y="0"/>
                <wp:positionH relativeFrom="column">
                  <wp:posOffset>3255010</wp:posOffset>
                </wp:positionH>
                <wp:positionV relativeFrom="paragraph">
                  <wp:posOffset>66675</wp:posOffset>
                </wp:positionV>
                <wp:extent cx="216535" cy="216535"/>
                <wp:effectExtent l="0" t="0" r="12065"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solidFill>
                          <a:srgbClr val="FFFFFF"/>
                        </a:solidFill>
                        <a:ln w="9525">
                          <a:solidFill>
                            <a:srgbClr val="000000"/>
                          </a:solidFill>
                          <a:miter lim="800000"/>
                          <a:headEnd/>
                          <a:tailEnd/>
                        </a:ln>
                      </wps:spPr>
                      <wps:txbx>
                        <w:txbxContent>
                          <w:p w:rsidR="00BA1026" w:rsidRPr="00BA1026" w:rsidRDefault="00BA1026" w:rsidP="00BA1026">
                            <w:pPr>
                              <w:rPr>
                                <w:rFonts w:ascii="Times New Roman" w:hAnsi="Times New Roman"/>
                                <w:b/>
                                <w:sz w:val="20"/>
                                <w:szCs w:val="20"/>
                                <w:lang w:val="en-MY"/>
                              </w:rPr>
                            </w:pPr>
                            <w:r>
                              <w:rPr>
                                <w:rFonts w:ascii="Times New Roman" w:hAnsi="Times New Roman"/>
                                <w:b/>
                                <w:sz w:val="20"/>
                                <w:szCs w:val="20"/>
                                <w:lang w:val="en-MY"/>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3pt;margin-top:5.25pt;width:17.05pt;height:17.0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">
                <v:textbox>
                  <w:txbxContent>
                    <w:p w:rsidR="00BA1026" w:rsidRPr="00BA1026" w:rsidRDefault="00BA1026" w:rsidP="00BA1026">
                      <w:pPr>
                        <w:rPr>
                          <w:rFonts w:ascii="Times New Roman" w:hAnsi="Times New Roman"/>
                          <w:b/>
                          <w:sz w:val="20"/>
                          <w:szCs w:val="20"/>
                          <w:lang w:val="en-MY"/>
                        </w:rPr>
                      </w:pPr>
                      <w:r>
                        <w:rPr>
                          <w:rFonts w:ascii="Times New Roman" w:hAnsi="Times New Roman"/>
                          <w:b/>
                          <w:sz w:val="20"/>
                          <w:szCs w:val="20"/>
                          <w:lang w:val="en-MY"/>
                        </w:rPr>
                        <w:t>d</w:t>
                      </w:r>
                    </w:p>
                  </w:txbxContent>
                </v:textbox>
                <w10:wrap type="square"/>
              </v:shape>
            </w:pict>
          </mc:Fallback>
        </mc:AlternateContent>
      </w:r>
      <w:r w:rsidRPr="002E5CC6">
        <w:rPr>
          <w:rFonts w:ascii="Times New Roman" w:hAnsi="Times New Roman"/>
          <w:bCs/>
          <w:noProof/>
          <w:sz w:val="20"/>
          <w:szCs w:val="20"/>
          <w:lang w:val="en-GB"/>
        </w:rPr>
        <mc:AlternateContent>
          <mc:Choice Requires="wps">
            <w:drawing>
              <wp:anchor distT="45720" distB="45720" distL="114300" distR="114300" simplePos="0" relativeHeight="251683328" behindDoc="0" locked="0" layoutInCell="1" allowOverlap="1" wp14:anchorId="0050BCFB" wp14:editId="346EAC18">
                <wp:simplePos x="0" y="0"/>
                <wp:positionH relativeFrom="column">
                  <wp:posOffset>283210</wp:posOffset>
                </wp:positionH>
                <wp:positionV relativeFrom="paragraph">
                  <wp:posOffset>66675</wp:posOffset>
                </wp:positionV>
                <wp:extent cx="216535" cy="216535"/>
                <wp:effectExtent l="0" t="0" r="1206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solidFill>
                          <a:srgbClr val="FFFFFF"/>
                        </a:solidFill>
                        <a:ln w="9525">
                          <a:solidFill>
                            <a:srgbClr val="000000"/>
                          </a:solidFill>
                          <a:miter lim="800000"/>
                          <a:headEnd/>
                          <a:tailEnd/>
                        </a:ln>
                      </wps:spPr>
                      <wps:txb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pt;margin-top:5.25pt;width:17.05pt;height:17.0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">
                <v:textbox>
                  <w:txbxContent>
                    <w:p w:rsidR="00D5188E" w:rsidRPr="00BA1026" w:rsidRDefault="00D5188E" w:rsidP="00D5188E">
                      <w:pPr>
                        <w:rPr>
                          <w:rFonts w:ascii="Times New Roman" w:hAnsi="Times New Roman"/>
                          <w:b/>
                          <w:sz w:val="20"/>
                          <w:szCs w:val="20"/>
                        </w:rPr>
                      </w:pPr>
                      <w:r w:rsidRPr="00BA1026">
                        <w:rPr>
                          <w:rFonts w:ascii="Times New Roman" w:hAnsi="Times New Roman"/>
                          <w:b/>
                          <w:sz w:val="20"/>
                          <w:szCs w:val="20"/>
                        </w:rPr>
                        <w:t>c</w:t>
                      </w:r>
                    </w:p>
                  </w:txbxContent>
                </v:textbox>
                <w10:wrap type="square"/>
              </v:shape>
            </w:pict>
          </mc:Fallback>
        </mc:AlternateContent>
      </w:r>
      <w:r w:rsidRPr="002E5CC6">
        <w:rPr>
          <w:rFonts w:ascii="Times New Roman" w:hAnsi="Times New Roman"/>
          <w:noProof/>
          <w:sz w:val="20"/>
          <w:szCs w:val="20"/>
          <w:lang w:val="en-GB"/>
        </w:rPr>
        <w:drawing>
          <wp:anchor distT="0" distB="0" distL="114300" distR="114300" simplePos="0" relativeHeight="251680256" behindDoc="0" locked="0" layoutInCell="1" allowOverlap="1" wp14:anchorId="14CCF66E" wp14:editId="1616966E">
            <wp:simplePos x="0" y="0"/>
            <wp:positionH relativeFrom="column">
              <wp:posOffset>3090545</wp:posOffset>
            </wp:positionH>
            <wp:positionV relativeFrom="paragraph">
              <wp:posOffset>1905</wp:posOffset>
            </wp:positionV>
            <wp:extent cx="2729230" cy="1739900"/>
            <wp:effectExtent l="0" t="0" r="0" b="0"/>
            <wp:wrapThrough wrapText="bothSides">
              <wp:wrapPolygon edited="0">
                <wp:start x="0" y="0"/>
                <wp:lineTo x="0" y="21285"/>
                <wp:lineTo x="21409" y="21285"/>
                <wp:lineTo x="21409" y="0"/>
                <wp:lineTo x="0" y="0"/>
              </wp:wrapPolygon>
            </wp:wrapThrough>
            <wp:docPr id="6" name="Picture 6" descr="C:\Users\User_2\Desktop\lecture notes\Final year 2nd sem\FYP 2\FESEM\D15\D15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2\Desktop\lecture notes\Final year 2nd sem\FYP 2\FESEM\D15\D15_02.tif"/>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2729230"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5CC6">
        <w:rPr>
          <w:rFonts w:ascii="Times New Roman" w:hAnsi="Times New Roman"/>
          <w:noProof/>
          <w:sz w:val="20"/>
          <w:szCs w:val="20"/>
          <w:lang w:val="en-GB"/>
        </w:rPr>
        <w:drawing>
          <wp:anchor distT="0" distB="0" distL="114300" distR="114300" simplePos="0" relativeHeight="251679232" behindDoc="1" locked="0" layoutInCell="1" allowOverlap="1" wp14:anchorId="7B95C3D6" wp14:editId="3B86ECB1">
            <wp:simplePos x="0" y="0"/>
            <wp:positionH relativeFrom="margin">
              <wp:posOffset>142875</wp:posOffset>
            </wp:positionH>
            <wp:positionV relativeFrom="paragraph">
              <wp:posOffset>1905</wp:posOffset>
            </wp:positionV>
            <wp:extent cx="2733675" cy="1739900"/>
            <wp:effectExtent l="0" t="0" r="9525" b="0"/>
            <wp:wrapTopAndBottom/>
            <wp:docPr id="9" name="Picture 9" descr="C:\Users\User_2\Desktop\lecture notes\Final year 2nd sem\FYP 2\FESEM\B9\B9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2\Desktop\lecture notes\Final year 2nd sem\FYP 2\FESEM\B9\B9_03.tif"/>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ind w:left="851" w:hanging="851"/>
        <w:jc w:val="both"/>
        <w:outlineLvl w:val="0"/>
        <w:rPr>
          <w:rFonts w:ascii="Times New Roman" w:hAnsi="Times New Roman"/>
          <w:bCs/>
          <w:sz w:val="20"/>
          <w:szCs w:val="20"/>
        </w:rPr>
      </w:pPr>
      <w:r w:rsidRPr="002E5CC6">
        <w:rPr>
          <w:rFonts w:ascii="Times New Roman" w:hAnsi="Times New Roman"/>
          <w:bCs/>
          <w:sz w:val="20"/>
          <w:szCs w:val="20"/>
        </w:rPr>
        <w:t xml:space="preserve">Figure 2. </w:t>
      </w:r>
      <w:r w:rsidR="00BA1026">
        <w:rPr>
          <w:rFonts w:ascii="Times New Roman" w:hAnsi="Times New Roman"/>
          <w:bCs/>
          <w:sz w:val="20"/>
          <w:szCs w:val="20"/>
        </w:rPr>
        <w:tab/>
      </w:r>
      <w:r w:rsidRPr="002E5CC6">
        <w:rPr>
          <w:rFonts w:ascii="Times New Roman" w:hAnsi="Times New Roman"/>
          <w:bCs/>
          <w:sz w:val="20"/>
          <w:szCs w:val="20"/>
        </w:rPr>
        <w:t>FESEM images of selected samples, (a) fresh sawdust, (b) sample A6, (c) sample F21 and (d) sample D15</w:t>
      </w:r>
    </w:p>
    <w:p w:rsidR="00D5188E" w:rsidRPr="002E5CC6" w:rsidRDefault="00D5188E" w:rsidP="00BA1026">
      <w:pPr>
        <w:spacing w:after="120" w:line="240" w:lineRule="auto"/>
        <w:jc w:val="both"/>
        <w:outlineLvl w:val="0"/>
        <w:rPr>
          <w:rFonts w:ascii="Times New Roman" w:hAnsi="Times New Roman"/>
          <w:b/>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Effect of initial concentration on MEA removal</w:t>
      </w:r>
    </w:p>
    <w:p w:rsidR="00D5188E" w:rsidRPr="002E5CC6" w:rsidRDefault="00D5188E" w:rsidP="00BA1026">
      <w:pPr>
        <w:spacing w:after="120" w:line="240" w:lineRule="auto"/>
        <w:jc w:val="both"/>
        <w:outlineLvl w:val="0"/>
        <w:rPr>
          <w:rFonts w:ascii="Times New Roman" w:hAnsi="Times New Roman"/>
          <w:sz w:val="20"/>
          <w:szCs w:val="20"/>
        </w:rPr>
      </w:pPr>
      <w:r w:rsidRPr="002E5CC6">
        <w:rPr>
          <w:rFonts w:ascii="Times New Roman" w:hAnsi="Times New Roman"/>
          <w:sz w:val="20"/>
          <w:szCs w:val="20"/>
        </w:rPr>
        <w:t>The adsorption test on selected AC samples was conducted using synthetic MEA wastewater produced from diluting MEA with distilled water. Sample B9 and F21 having high value of S</w:t>
      </w:r>
      <w:r w:rsidRPr="002E5CC6">
        <w:rPr>
          <w:rFonts w:ascii="Times New Roman" w:hAnsi="Times New Roman"/>
          <w:sz w:val="20"/>
          <w:szCs w:val="20"/>
          <w:vertAlign w:val="subscript"/>
        </w:rPr>
        <w:t>BET</w:t>
      </w:r>
      <w:r w:rsidRPr="002E5CC6">
        <w:rPr>
          <w:rFonts w:ascii="Times New Roman" w:hAnsi="Times New Roman"/>
          <w:sz w:val="20"/>
          <w:szCs w:val="20"/>
        </w:rPr>
        <w:t xml:space="preserve"> and V</w:t>
      </w:r>
      <w:r w:rsidRPr="002E5CC6">
        <w:rPr>
          <w:rFonts w:ascii="Times New Roman" w:hAnsi="Times New Roman"/>
          <w:sz w:val="20"/>
          <w:szCs w:val="20"/>
          <w:vertAlign w:val="subscript"/>
        </w:rPr>
        <w:t>T</w:t>
      </w:r>
      <w:r w:rsidRPr="002E5CC6">
        <w:rPr>
          <w:rFonts w:ascii="Times New Roman" w:hAnsi="Times New Roman"/>
          <w:sz w:val="20"/>
          <w:szCs w:val="20"/>
        </w:rPr>
        <w:t>, were selected as test subjects along with the fresh sawdust to show contrast. Figure 3 shows the plot of percentage removal against initial MEA concentration. It was revealed that at low concentration, the removal percentage was high and gradually decreased with the increase of MEA concentration. From Figure 3, MEA concentration prepared at 100 ppm, the removal percentage were 96.8, 92.7 and 4.6% for sample F21, B9 and raw sawdust, respectively. The low percentage MEA removal for raw sawdust without activation proved that the material is not capable of adsorbing MEA due to almost no noticeable pores. Sample B9 was able to remove up to 92.7% of MEA, nonetheless, the result was surpassed when Sample F21 which has relatively higher S</w:t>
      </w:r>
      <w:r w:rsidRPr="002E5CC6">
        <w:rPr>
          <w:rFonts w:ascii="Times New Roman" w:hAnsi="Times New Roman"/>
          <w:sz w:val="20"/>
          <w:szCs w:val="20"/>
          <w:vertAlign w:val="subscript"/>
        </w:rPr>
        <w:t>BET</w:t>
      </w:r>
      <w:r w:rsidRPr="002E5CC6">
        <w:rPr>
          <w:rFonts w:ascii="Times New Roman" w:hAnsi="Times New Roman"/>
          <w:sz w:val="20"/>
          <w:szCs w:val="20"/>
        </w:rPr>
        <w:t xml:space="preserve"> and V</w:t>
      </w:r>
      <w:r w:rsidRPr="002E5CC6">
        <w:rPr>
          <w:rFonts w:ascii="Times New Roman" w:hAnsi="Times New Roman"/>
          <w:sz w:val="20"/>
          <w:szCs w:val="20"/>
          <w:vertAlign w:val="subscript"/>
        </w:rPr>
        <w:t>T</w:t>
      </w:r>
      <w:r w:rsidRPr="002E5CC6">
        <w:rPr>
          <w:rFonts w:ascii="Times New Roman" w:hAnsi="Times New Roman"/>
          <w:sz w:val="20"/>
          <w:szCs w:val="20"/>
        </w:rPr>
        <w:t>, exhibited higher adsorption capacity and higher rate of adsorption. On the other hand, the highest MEA concentration at 500 ppm led to the lowest removal percentage under test (86, 85.4 and 0% for samples F21, B9 and raw sawdust, respectively. The obtained results in the present work concerning MEA removal agreed with that obtained by Razali et al</w:t>
      </w:r>
      <w:r w:rsidRPr="002E5CC6">
        <w:rPr>
          <w:rFonts w:ascii="Times New Roman" w:hAnsi="Times New Roman"/>
          <w:i/>
          <w:sz w:val="20"/>
          <w:szCs w:val="20"/>
        </w:rPr>
        <w:t>.</w:t>
      </w:r>
      <w:r w:rsidRPr="002E5CC6">
        <w:rPr>
          <w:rFonts w:ascii="Times New Roman" w:hAnsi="Times New Roman"/>
          <w:sz w:val="20"/>
          <w:szCs w:val="20"/>
        </w:rPr>
        <w:t xml:space="preserve"> [10] where the removal percentage of MEA was the highest at low concentration and decreased with the increase in its concentration. The reason behind this is due to the MEA molecules are no longer attached to the surface of the adsorbent since the adsorbent have reached their limited surface to adsorb. Further increase in concentrations brought no increase in adsorption, which was a result of overlapping of adsorption sites due to overcrowding of adsorbent particles.</w:t>
      </w:r>
    </w:p>
    <w:p w:rsidR="00D5188E" w:rsidRPr="002E5CC6" w:rsidRDefault="00D5188E" w:rsidP="00BA1026">
      <w:pPr>
        <w:spacing w:after="120" w:line="240" w:lineRule="auto"/>
        <w:jc w:val="both"/>
        <w:outlineLvl w:val="0"/>
        <w:rPr>
          <w:rFonts w:ascii="Times New Roman" w:hAnsi="Times New Roman"/>
          <w:sz w:val="20"/>
          <w:szCs w:val="20"/>
        </w:rPr>
      </w:pPr>
      <w:r w:rsidRPr="002E5CC6">
        <w:rPr>
          <w:rFonts w:ascii="Times New Roman" w:hAnsi="Times New Roman"/>
          <w:noProof/>
          <w:sz w:val="20"/>
          <w:szCs w:val="20"/>
          <w:lang w:val="en-GB"/>
        </w:rPr>
        <w:drawing>
          <wp:anchor distT="0" distB="0" distL="114300" distR="114300" simplePos="0" relativeHeight="251685376" behindDoc="0" locked="0" layoutInCell="1" allowOverlap="1" wp14:anchorId="627CA699" wp14:editId="631018A4">
            <wp:simplePos x="0" y="0"/>
            <wp:positionH relativeFrom="margin">
              <wp:posOffset>950976</wp:posOffset>
            </wp:positionH>
            <wp:positionV relativeFrom="paragraph">
              <wp:posOffset>118923</wp:posOffset>
            </wp:positionV>
            <wp:extent cx="4059555" cy="2150669"/>
            <wp:effectExtent l="0" t="0" r="17145" b="2159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BA1026" w:rsidRDefault="00BA1026" w:rsidP="00D5188E">
      <w:pPr>
        <w:spacing w:after="0" w:line="240" w:lineRule="auto"/>
        <w:jc w:val="both"/>
        <w:outlineLvl w:val="0"/>
        <w:rPr>
          <w:rFonts w:ascii="Times New Roman" w:hAnsi="Times New Roman"/>
          <w:bCs/>
          <w:sz w:val="20"/>
          <w:szCs w:val="20"/>
          <w:lang w:val="de-DE"/>
        </w:rPr>
      </w:pPr>
    </w:p>
    <w:p w:rsidR="00BA1026" w:rsidRDefault="00BA1026" w:rsidP="00BA1026">
      <w:pPr>
        <w:spacing w:after="120" w:line="240" w:lineRule="auto"/>
        <w:jc w:val="both"/>
        <w:outlineLvl w:val="0"/>
        <w:rPr>
          <w:rFonts w:ascii="Times New Roman" w:hAnsi="Times New Roman"/>
          <w:bCs/>
          <w:sz w:val="20"/>
          <w:szCs w:val="20"/>
          <w:lang w:val="de-DE"/>
        </w:rPr>
      </w:pPr>
    </w:p>
    <w:p w:rsidR="00D5188E" w:rsidRPr="002E5CC6" w:rsidRDefault="00D5188E" w:rsidP="00BA1026">
      <w:pPr>
        <w:spacing w:after="0" w:line="240" w:lineRule="auto"/>
        <w:jc w:val="center"/>
        <w:outlineLvl w:val="0"/>
        <w:rPr>
          <w:rFonts w:ascii="Times New Roman" w:hAnsi="Times New Roman"/>
          <w:sz w:val="20"/>
          <w:szCs w:val="20"/>
        </w:rPr>
      </w:pPr>
      <w:r w:rsidRPr="002E5CC6">
        <w:rPr>
          <w:rFonts w:ascii="Times New Roman" w:hAnsi="Times New Roman"/>
          <w:bCs/>
          <w:sz w:val="20"/>
          <w:szCs w:val="20"/>
          <w:lang w:val="de-DE"/>
        </w:rPr>
        <w:t>Figure 3.  Effect of initial concentration on MEA removal</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lastRenderedPageBreak/>
        <w:t>Effect of stirring rate on MEA removal</w:t>
      </w:r>
    </w:p>
    <w:p w:rsidR="00D5188E" w:rsidRPr="002E5CC6" w:rsidRDefault="00D5188E" w:rsidP="00BA1026">
      <w:pPr>
        <w:spacing w:after="120" w:line="240" w:lineRule="auto"/>
        <w:jc w:val="both"/>
        <w:outlineLvl w:val="0"/>
        <w:rPr>
          <w:rFonts w:ascii="Times New Roman" w:hAnsi="Times New Roman"/>
          <w:sz w:val="20"/>
          <w:szCs w:val="20"/>
        </w:rPr>
      </w:pPr>
      <w:r w:rsidRPr="002E5CC6">
        <w:rPr>
          <w:rFonts w:ascii="Times New Roman" w:hAnsi="Times New Roman"/>
          <w:sz w:val="20"/>
          <w:szCs w:val="20"/>
        </w:rPr>
        <w:t>The effect of stirring rate on adsorption of MEA is shown in Figure 4. In general, it was observed that when the stirring rate is increased from 200 to 400 rpm, the percentage removal of MEA also increased for all samples. Sample F21 shows the highest percentage of removal followed with sample B9 and raw sawdust. At a stirring rate of 400 rpm, maximum recoveries obtained for MEA are, 99.7% removal for sample F21, 99.1% removal for sample B9 and 4.2% removal for raw sawdust. Due to the existence of pore volume on the surface of B9, therefore the percentage removal is high and comparable with sample F21. With the increasing of the stirring rate, the rate of diffusion of MEA from the bulk liquid to the liquid boundary layer surrounding the AC particle become higher because of an enhancement of the turbulence and a reduction in the thickness of the liquid boundary layer [20]. This effect may be additionally enhanced by the greater fragmentation of the adsorbent particles which accompanies the increased agitation speed. As for raw sawdust, effect of stirring rate did not improve on the amount of MEA adsorbed from the bulk solution.</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noProof/>
          <w:sz w:val="20"/>
          <w:szCs w:val="20"/>
          <w:lang w:val="en-GB"/>
        </w:rPr>
        <w:drawing>
          <wp:anchor distT="0" distB="0" distL="114300" distR="114300" simplePos="0" relativeHeight="251686400" behindDoc="0" locked="0" layoutInCell="1" allowOverlap="1" wp14:anchorId="7B8E3C58" wp14:editId="1AADE3F9">
            <wp:simplePos x="0" y="0"/>
            <wp:positionH relativeFrom="margin">
              <wp:posOffset>921225</wp:posOffset>
            </wp:positionH>
            <wp:positionV relativeFrom="paragraph">
              <wp:posOffset>3696</wp:posOffset>
            </wp:positionV>
            <wp:extent cx="4121614" cy="2147570"/>
            <wp:effectExtent l="0" t="0" r="12700" b="2413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Cs/>
          <w:sz w:val="20"/>
          <w:szCs w:val="20"/>
          <w:lang w:val="de-DE"/>
        </w:rPr>
      </w:pPr>
    </w:p>
    <w:p w:rsidR="00D5188E" w:rsidRPr="002E5CC6" w:rsidRDefault="00D5188E" w:rsidP="00862BE8">
      <w:pPr>
        <w:spacing w:before="120" w:after="0" w:line="240" w:lineRule="auto"/>
        <w:jc w:val="center"/>
        <w:outlineLvl w:val="0"/>
        <w:rPr>
          <w:rFonts w:ascii="Times New Roman" w:hAnsi="Times New Roman"/>
          <w:sz w:val="20"/>
          <w:szCs w:val="20"/>
        </w:rPr>
      </w:pPr>
      <w:r w:rsidRPr="002E5CC6">
        <w:rPr>
          <w:rFonts w:ascii="Times New Roman" w:hAnsi="Times New Roman"/>
          <w:bCs/>
          <w:sz w:val="20"/>
          <w:szCs w:val="20"/>
          <w:lang w:val="de-DE"/>
        </w:rPr>
        <w:t>Figure 4.  Effect of stirring rate on MEA removal</w:t>
      </w:r>
    </w:p>
    <w:p w:rsidR="00D5188E" w:rsidRPr="002E5CC6" w:rsidRDefault="00D5188E" w:rsidP="00862BE8">
      <w:pPr>
        <w:spacing w:after="120" w:line="240" w:lineRule="auto"/>
        <w:jc w:val="both"/>
        <w:outlineLvl w:val="0"/>
        <w:rPr>
          <w:rFonts w:ascii="Times New Roman" w:hAnsi="Times New Roman"/>
          <w:sz w:val="20"/>
          <w:szCs w:val="20"/>
        </w:rPr>
      </w:pPr>
    </w:p>
    <w:p w:rsidR="00D5188E" w:rsidRPr="002E5CC6" w:rsidRDefault="00D5188E" w:rsidP="00D5188E">
      <w:pPr>
        <w:spacing w:after="0" w:line="240" w:lineRule="auto"/>
        <w:jc w:val="both"/>
        <w:outlineLvl w:val="0"/>
        <w:rPr>
          <w:rFonts w:ascii="Times New Roman" w:hAnsi="Times New Roman"/>
          <w:b/>
          <w:sz w:val="20"/>
          <w:szCs w:val="20"/>
        </w:rPr>
      </w:pPr>
      <w:r w:rsidRPr="002E5CC6">
        <w:rPr>
          <w:rFonts w:ascii="Times New Roman" w:hAnsi="Times New Roman"/>
          <w:b/>
          <w:sz w:val="20"/>
          <w:szCs w:val="20"/>
        </w:rPr>
        <w:t>Effect of contact time on MEA removal</w:t>
      </w:r>
    </w:p>
    <w:p w:rsidR="00D5188E" w:rsidRPr="002E5CC6" w:rsidRDefault="00D5188E" w:rsidP="00D5188E">
      <w:pPr>
        <w:spacing w:after="0" w:line="240" w:lineRule="auto"/>
        <w:jc w:val="both"/>
        <w:outlineLvl w:val="0"/>
        <w:rPr>
          <w:rFonts w:ascii="Times New Roman" w:hAnsi="Times New Roman"/>
          <w:sz w:val="20"/>
          <w:szCs w:val="20"/>
        </w:rPr>
      </w:pPr>
      <w:r w:rsidRPr="002E5CC6">
        <w:rPr>
          <w:rFonts w:ascii="Times New Roman" w:hAnsi="Times New Roman"/>
          <w:sz w:val="20"/>
          <w:szCs w:val="20"/>
        </w:rPr>
        <w:t>The relationship between contact time and the percentage removal of MEA with AC prepared from sawdust are shown in Figure 5. From the result obtained, it is evident that the removal of MEA increased as contact time increases. When MEA concentration prepared at 200 ppm and contact time of 45 minutes, the removal percentage were 99.7, 98.5 and 3.8% for samples F21, B9 and raw sawdust, respectively. This is the highest percentage removal compared than any other conditions specified. However, raw sawdust sample shows a constant MEA removal of 3.8% at contact time of 30 and 45 minutes of experiment. This is probably due to the adsorbent already achieved the optimum time to adsorb the MEA and equilibrium condition has been established [21, 22]. Increasing the contact time to promote removal of MEA will not bring any changes in the removal percentage, but probably resulted in desorption of the metal ions from the surface of the AC.</w:t>
      </w:r>
    </w:p>
    <w:p w:rsidR="00D5188E" w:rsidRPr="002E5CC6" w:rsidRDefault="00D5188E" w:rsidP="00D5188E">
      <w:pPr>
        <w:spacing w:after="0" w:line="240" w:lineRule="auto"/>
        <w:jc w:val="both"/>
        <w:outlineLvl w:val="0"/>
        <w:rPr>
          <w:rFonts w:ascii="Times New Roman" w:hAnsi="Times New Roman"/>
          <w:sz w:val="20"/>
          <w:szCs w:val="20"/>
        </w:rPr>
      </w:pPr>
    </w:p>
    <w:p w:rsidR="00D5188E" w:rsidRPr="002E5CC6" w:rsidRDefault="00D5188E" w:rsidP="00862BE8">
      <w:pPr>
        <w:spacing w:after="120" w:line="240" w:lineRule="auto"/>
        <w:jc w:val="center"/>
        <w:outlineLvl w:val="0"/>
        <w:rPr>
          <w:rFonts w:ascii="Times New Roman" w:hAnsi="Times New Roman"/>
          <w:sz w:val="20"/>
          <w:szCs w:val="20"/>
        </w:rPr>
      </w:pPr>
      <w:r w:rsidRPr="002E5CC6">
        <w:rPr>
          <w:rFonts w:ascii="Times New Roman" w:hAnsi="Times New Roman"/>
          <w:noProof/>
          <w:sz w:val="20"/>
          <w:szCs w:val="20"/>
          <w:lang w:val="en-GB"/>
        </w:rPr>
        <w:lastRenderedPageBreak/>
        <w:drawing>
          <wp:inline distT="0" distB="0" distL="0" distR="0" wp14:anchorId="116DCA12" wp14:editId="3BEDD0DB">
            <wp:extent cx="4121150" cy="2313296"/>
            <wp:effectExtent l="0" t="0" r="1270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188E" w:rsidRPr="002E5CC6" w:rsidRDefault="00D5188E" w:rsidP="00862BE8">
      <w:pPr>
        <w:spacing w:after="0" w:line="240" w:lineRule="auto"/>
        <w:jc w:val="center"/>
        <w:outlineLvl w:val="0"/>
        <w:rPr>
          <w:rFonts w:ascii="Times New Roman" w:hAnsi="Times New Roman"/>
          <w:bCs/>
          <w:sz w:val="20"/>
          <w:szCs w:val="20"/>
          <w:lang w:val="de-DE"/>
        </w:rPr>
      </w:pPr>
      <w:r w:rsidRPr="002E5CC6">
        <w:rPr>
          <w:rFonts w:ascii="Times New Roman" w:hAnsi="Times New Roman"/>
          <w:bCs/>
          <w:sz w:val="20"/>
          <w:szCs w:val="20"/>
          <w:lang w:val="de-DE"/>
        </w:rPr>
        <w:t>Figure 5.  Effect of contact time on MEA removal</w:t>
      </w:r>
    </w:p>
    <w:p w:rsidR="006768E9" w:rsidRDefault="006768E9" w:rsidP="00F447A7">
      <w:pPr>
        <w:spacing w:after="0" w:line="240" w:lineRule="auto"/>
        <w:jc w:val="center"/>
        <w:rPr>
          <w:rFonts w:ascii="Times New Roman" w:hAnsi="Times New Roman"/>
          <w:noProof/>
          <w:sz w:val="20"/>
          <w:szCs w:val="20"/>
          <w:lang w:val="de-DE" w:bidi="ar-SA"/>
        </w:rPr>
      </w:pPr>
    </w:p>
    <w:p w:rsidR="00862BE8" w:rsidRPr="00D5188E" w:rsidRDefault="00862BE8" w:rsidP="00F447A7">
      <w:pPr>
        <w:spacing w:after="0" w:line="240" w:lineRule="auto"/>
        <w:jc w:val="center"/>
        <w:rPr>
          <w:rFonts w:ascii="Times New Roman" w:hAnsi="Times New Roman"/>
          <w:noProof/>
          <w:sz w:val="20"/>
          <w:szCs w:val="20"/>
          <w:lang w:val="de-DE"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62BE8" w:rsidRPr="00862BE8" w:rsidRDefault="00862BE8" w:rsidP="00862BE8">
      <w:pPr>
        <w:spacing w:after="0" w:line="240" w:lineRule="auto"/>
        <w:contextualSpacing/>
        <w:jc w:val="both"/>
        <w:outlineLvl w:val="0"/>
        <w:rPr>
          <w:rFonts w:ascii="Times New Roman" w:hAnsi="Times New Roman"/>
          <w:sz w:val="20"/>
          <w:szCs w:val="20"/>
        </w:rPr>
      </w:pPr>
      <w:r w:rsidRPr="00862BE8">
        <w:rPr>
          <w:rFonts w:ascii="Times New Roman" w:hAnsi="Times New Roman"/>
          <w:sz w:val="20"/>
          <w:szCs w:val="20"/>
        </w:rPr>
        <w:t>The result of this study clearly demonstrated that AC having high surface area and great distribution of microscopic pores can be prepared from sawdust by chemical activation with H</w:t>
      </w:r>
      <w:r w:rsidRPr="00862BE8">
        <w:rPr>
          <w:rFonts w:ascii="Times New Roman" w:hAnsi="Times New Roman"/>
          <w:sz w:val="20"/>
          <w:szCs w:val="20"/>
          <w:vertAlign w:val="subscript"/>
        </w:rPr>
        <w:t>3</w:t>
      </w:r>
      <w:r w:rsidRPr="00862BE8">
        <w:rPr>
          <w:rFonts w:ascii="Times New Roman" w:hAnsi="Times New Roman"/>
          <w:sz w:val="20"/>
          <w:szCs w:val="20"/>
        </w:rPr>
        <w:t>PO</w:t>
      </w:r>
      <w:r w:rsidRPr="00862BE8">
        <w:rPr>
          <w:rFonts w:ascii="Times New Roman" w:hAnsi="Times New Roman"/>
          <w:sz w:val="20"/>
          <w:szCs w:val="20"/>
          <w:vertAlign w:val="subscript"/>
        </w:rPr>
        <w:t>4</w:t>
      </w:r>
      <w:r w:rsidRPr="00862BE8">
        <w:rPr>
          <w:rFonts w:ascii="Times New Roman" w:hAnsi="Times New Roman"/>
          <w:sz w:val="20"/>
          <w:szCs w:val="20"/>
        </w:rPr>
        <w:t>. The optimal preparation process of AC from sawdust was successfully achieved by using one-factor-at-a-time (OFAT) method. With an IR of 1:1, T</w:t>
      </w:r>
      <w:r w:rsidRPr="00862BE8">
        <w:rPr>
          <w:rFonts w:ascii="Times New Roman" w:hAnsi="Times New Roman"/>
          <w:sz w:val="20"/>
          <w:szCs w:val="20"/>
          <w:vertAlign w:val="subscript"/>
        </w:rPr>
        <w:t>act</w:t>
      </w:r>
      <w:r w:rsidRPr="00862BE8">
        <w:rPr>
          <w:rFonts w:ascii="Times New Roman" w:hAnsi="Times New Roman"/>
          <w:sz w:val="20"/>
          <w:szCs w:val="20"/>
        </w:rPr>
        <w:t xml:space="preserve"> of 500°C and t</w:t>
      </w:r>
      <w:r w:rsidRPr="00862BE8">
        <w:rPr>
          <w:rFonts w:ascii="Times New Roman" w:hAnsi="Times New Roman"/>
          <w:sz w:val="20"/>
          <w:szCs w:val="20"/>
          <w:vertAlign w:val="subscript"/>
        </w:rPr>
        <w:t>act</w:t>
      </w:r>
      <w:r w:rsidRPr="00862BE8">
        <w:rPr>
          <w:rFonts w:ascii="Times New Roman" w:hAnsi="Times New Roman"/>
          <w:sz w:val="20"/>
          <w:szCs w:val="20"/>
        </w:rPr>
        <w:t xml:space="preserve"> of 60 minutes, AC with highest S</w:t>
      </w:r>
      <w:r w:rsidRPr="00862BE8">
        <w:rPr>
          <w:rFonts w:ascii="Times New Roman" w:hAnsi="Times New Roman"/>
          <w:sz w:val="20"/>
          <w:szCs w:val="20"/>
          <w:vertAlign w:val="subscript"/>
        </w:rPr>
        <w:t>BET</w:t>
      </w:r>
      <w:r w:rsidRPr="00862BE8">
        <w:rPr>
          <w:rFonts w:ascii="Times New Roman" w:hAnsi="Times New Roman"/>
          <w:sz w:val="20"/>
          <w:szCs w:val="20"/>
        </w:rPr>
        <w:t xml:space="preserve"> (1213.786 m</w:t>
      </w:r>
      <w:r w:rsidRPr="00862BE8">
        <w:rPr>
          <w:rFonts w:ascii="Times New Roman" w:hAnsi="Times New Roman"/>
          <w:sz w:val="20"/>
          <w:szCs w:val="20"/>
          <w:vertAlign w:val="superscript"/>
        </w:rPr>
        <w:t>2</w:t>
      </w:r>
      <w:r w:rsidRPr="00862BE8">
        <w:rPr>
          <w:rFonts w:ascii="Times New Roman" w:hAnsi="Times New Roman"/>
          <w:sz w:val="20"/>
          <w:szCs w:val="20"/>
        </w:rPr>
        <w:t>/g), V</w:t>
      </w:r>
      <w:r w:rsidRPr="00862BE8">
        <w:rPr>
          <w:rFonts w:ascii="Times New Roman" w:hAnsi="Times New Roman"/>
          <w:sz w:val="20"/>
          <w:szCs w:val="20"/>
          <w:vertAlign w:val="subscript"/>
        </w:rPr>
        <w:t>T</w:t>
      </w:r>
      <w:r w:rsidRPr="00862BE8">
        <w:rPr>
          <w:rFonts w:ascii="Times New Roman" w:hAnsi="Times New Roman"/>
          <w:sz w:val="20"/>
          <w:szCs w:val="20"/>
        </w:rPr>
        <w:t xml:space="preserve"> (0.662 cm</w:t>
      </w:r>
      <w:r w:rsidRPr="00862BE8">
        <w:rPr>
          <w:rFonts w:ascii="Times New Roman" w:hAnsi="Times New Roman"/>
          <w:sz w:val="20"/>
          <w:szCs w:val="20"/>
          <w:vertAlign w:val="superscript"/>
        </w:rPr>
        <w:t>3</w:t>
      </w:r>
      <w:r w:rsidRPr="00862BE8">
        <w:rPr>
          <w:rFonts w:ascii="Times New Roman" w:hAnsi="Times New Roman"/>
          <w:sz w:val="20"/>
          <w:szCs w:val="20"/>
        </w:rPr>
        <w:t>/g) and D (2.18 nm) can be produced. In addition, characterization analysis revealed that the range of pore diameter (</w:t>
      </w:r>
      <w:r w:rsidRPr="00862BE8">
        <w:rPr>
          <w:rFonts w:ascii="Times New Roman" w:hAnsi="Times New Roman"/>
          <w:sz w:val="20"/>
          <w:szCs w:val="20"/>
          <w:lang w:val="en-MY"/>
        </w:rPr>
        <w:t>2-6 nm)</w:t>
      </w:r>
      <w:r w:rsidRPr="00862BE8">
        <w:rPr>
          <w:rFonts w:ascii="Times New Roman" w:hAnsi="Times New Roman"/>
          <w:sz w:val="20"/>
          <w:szCs w:val="20"/>
        </w:rPr>
        <w:t xml:space="preserve"> falls within mesopores group, indicating its suitability to be used for MEA adsorption. Results from batch experiments showed that sample F21 is capable of removing 96.8% of MEA at concentration of 200 ppm and 99.7% under effect of stirring rate at 400 rpm. While under the effect of contact time, 99.7% of MEA removal is achieved at time of 45 minutes. This study confirmed that sawdust is an effective remover of MEA from industrial wastewater and has the potential to be a promising precursor for the production of AC.</w:t>
      </w:r>
    </w:p>
    <w:p w:rsidR="00862BE8" w:rsidRPr="00862BE8" w:rsidRDefault="00862BE8" w:rsidP="00862BE8">
      <w:pPr>
        <w:spacing w:after="0" w:line="240" w:lineRule="auto"/>
        <w:contextualSpacing/>
        <w:jc w:val="center"/>
        <w:outlineLvl w:val="0"/>
        <w:rPr>
          <w:rFonts w:ascii="Times New Roman" w:hAnsi="Times New Roman"/>
          <w:sz w:val="20"/>
          <w:szCs w:val="20"/>
        </w:rPr>
      </w:pPr>
    </w:p>
    <w:p w:rsidR="00862BE8" w:rsidRPr="00862BE8" w:rsidRDefault="00862BE8" w:rsidP="00862BE8">
      <w:pPr>
        <w:spacing w:after="0" w:line="240" w:lineRule="auto"/>
        <w:contextualSpacing/>
        <w:jc w:val="center"/>
        <w:outlineLvl w:val="0"/>
        <w:rPr>
          <w:rFonts w:ascii="Times New Roman" w:hAnsi="Times New Roman"/>
          <w:b/>
          <w:sz w:val="20"/>
          <w:szCs w:val="20"/>
        </w:rPr>
      </w:pPr>
      <w:r w:rsidRPr="00862BE8">
        <w:rPr>
          <w:rFonts w:ascii="Times New Roman" w:hAnsi="Times New Roman"/>
          <w:b/>
          <w:sz w:val="20"/>
          <w:szCs w:val="20"/>
        </w:rPr>
        <w:t>Acknowledgement</w:t>
      </w:r>
    </w:p>
    <w:p w:rsidR="006768E9" w:rsidRPr="00F447A7" w:rsidRDefault="00862BE8" w:rsidP="00862BE8">
      <w:pPr>
        <w:spacing w:after="0" w:line="240" w:lineRule="auto"/>
        <w:contextualSpacing/>
        <w:jc w:val="both"/>
        <w:outlineLvl w:val="0"/>
        <w:rPr>
          <w:rFonts w:ascii="Times New Roman" w:hAnsi="Times New Roman"/>
          <w:sz w:val="20"/>
          <w:szCs w:val="20"/>
        </w:rPr>
      </w:pPr>
      <w:r w:rsidRPr="00862BE8">
        <w:rPr>
          <w:rFonts w:ascii="Times New Roman" w:hAnsi="Times New Roman"/>
          <w:sz w:val="20"/>
          <w:szCs w:val="20"/>
        </w:rPr>
        <w:t>The authors gratefully thank Universiti Teknologi PETRONAS for providing financial support and laboratory facilities in carrying out this research work.</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Luis, P. (2016). Use of monoethanolamine (MEA) for CO</w:t>
      </w:r>
      <w:r w:rsidRPr="00862BE8">
        <w:rPr>
          <w:rFonts w:ascii="Times New Roman" w:hAnsi="Times New Roman"/>
          <w:sz w:val="20"/>
          <w:szCs w:val="20"/>
          <w:vertAlign w:val="subscript"/>
        </w:rPr>
        <w:t>2</w:t>
      </w:r>
      <w:r w:rsidRPr="00862BE8">
        <w:rPr>
          <w:rFonts w:ascii="Times New Roman" w:hAnsi="Times New Roman"/>
          <w:sz w:val="20"/>
          <w:szCs w:val="20"/>
        </w:rPr>
        <w:t xml:space="preserve"> capture in a global scenario: Consequences and alternatives. </w:t>
      </w:r>
      <w:r w:rsidRPr="00862BE8">
        <w:rPr>
          <w:rFonts w:ascii="Times New Roman" w:hAnsi="Times New Roman"/>
          <w:i/>
          <w:sz w:val="20"/>
          <w:szCs w:val="20"/>
        </w:rPr>
        <w:t>Desalination</w:t>
      </w:r>
      <w:r w:rsidRPr="00862BE8">
        <w:rPr>
          <w:rFonts w:ascii="Times New Roman" w:hAnsi="Times New Roman"/>
          <w:sz w:val="20"/>
          <w:szCs w:val="20"/>
        </w:rPr>
        <w:t>, 380: 93-99.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Zhang, Y., Chen, C. C., Plaza, J. M. and Rochelle, G. T. (2009). Rate-based process modelling study of CO</w:t>
      </w:r>
      <w:r w:rsidRPr="00862BE8">
        <w:rPr>
          <w:rFonts w:ascii="Times New Roman" w:hAnsi="Times New Roman"/>
          <w:sz w:val="20"/>
          <w:szCs w:val="20"/>
          <w:vertAlign w:val="subscript"/>
        </w:rPr>
        <w:t>2</w:t>
      </w:r>
      <w:r w:rsidRPr="00862BE8">
        <w:rPr>
          <w:rFonts w:ascii="Times New Roman" w:hAnsi="Times New Roman"/>
          <w:sz w:val="20"/>
          <w:szCs w:val="20"/>
        </w:rPr>
        <w:t xml:space="preserve"> capture with aqueous monoethanolamine solution. </w:t>
      </w:r>
      <w:r w:rsidRPr="00862BE8">
        <w:rPr>
          <w:rFonts w:ascii="Times New Roman" w:hAnsi="Times New Roman"/>
          <w:i/>
          <w:sz w:val="20"/>
          <w:szCs w:val="20"/>
        </w:rPr>
        <w:t>Industrial and Engineering Chemistry Research</w:t>
      </w:r>
      <w:r w:rsidRPr="00862BE8">
        <w:rPr>
          <w:rFonts w:ascii="Times New Roman" w:hAnsi="Times New Roman"/>
          <w:sz w:val="20"/>
          <w:szCs w:val="20"/>
        </w:rPr>
        <w:t>, 48(20): 9233-9246.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Razali, M. N. (2011). Adsorption treatment of monoethanolamine wastewater from oil and gas industry. Master Thesis. Universiti Malaysia Pahang, Malaysia.</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Hospido, A., Moriera, M. T., Fernandez, C. M. and Feijoo, G. (2004). Environment performance of a municipal wastewater treatment plant: LCA case-studies. </w:t>
      </w:r>
      <w:r w:rsidRPr="00862BE8">
        <w:rPr>
          <w:rFonts w:ascii="Times New Roman" w:hAnsi="Times New Roman"/>
          <w:i/>
          <w:sz w:val="20"/>
          <w:szCs w:val="20"/>
        </w:rPr>
        <w:t>International Journal of Life Cycle Assessment</w:t>
      </w:r>
      <w:r w:rsidRPr="00862BE8">
        <w:rPr>
          <w:rFonts w:ascii="Times New Roman" w:hAnsi="Times New Roman"/>
          <w:sz w:val="20"/>
          <w:szCs w:val="20"/>
        </w:rPr>
        <w:t>, 10: 336-345.</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Borhan, A., Hoong, P. K. and Taha, M. F. (2014). Biosorption of heavy metal ions, oil and grease from industrial waste by banana peel. </w:t>
      </w:r>
      <w:r w:rsidRPr="00862BE8">
        <w:rPr>
          <w:rFonts w:ascii="Times New Roman" w:hAnsi="Times New Roman"/>
          <w:i/>
          <w:sz w:val="20"/>
          <w:szCs w:val="20"/>
        </w:rPr>
        <w:t>Journal of Applied Mechanics and Materials</w:t>
      </w:r>
      <w:r w:rsidRPr="00862BE8">
        <w:rPr>
          <w:rFonts w:ascii="Times New Roman" w:hAnsi="Times New Roman"/>
          <w:sz w:val="20"/>
          <w:szCs w:val="20"/>
        </w:rPr>
        <w:t>, 625: 749-752.</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Jahagindar, A. A., Ahmed, M. N. Z. and Devi, B. V. (2012). Adsorption of chromium on activated carbon prepared from coconut shell. </w:t>
      </w:r>
      <w:r w:rsidRPr="00862BE8">
        <w:rPr>
          <w:rFonts w:ascii="Times New Roman" w:hAnsi="Times New Roman"/>
          <w:i/>
          <w:sz w:val="20"/>
          <w:szCs w:val="20"/>
        </w:rPr>
        <w:t>International Journal of Engineering Research and Application,</w:t>
      </w:r>
      <w:r w:rsidRPr="00862BE8">
        <w:rPr>
          <w:rFonts w:ascii="Times New Roman" w:hAnsi="Times New Roman"/>
          <w:sz w:val="20"/>
          <w:szCs w:val="20"/>
        </w:rPr>
        <w:t xml:space="preserve"> 2: 364-370.</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Malaysian Investment Development Authority (2016). Industries in Malaysia - Wood based industry. http://www.mida.gov.my/env3/index.php?page=wood-based-industry. [Access online 29 December 2016].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Prakash, K. B. G., Shivakamy, K., Miranda, L. R. and Velan, M. (2006). Preparation of steam activated carbon from rubberwood sawdust and its adsorption kinetics. </w:t>
      </w:r>
      <w:r w:rsidRPr="00862BE8">
        <w:rPr>
          <w:rFonts w:ascii="Times New Roman" w:hAnsi="Times New Roman"/>
          <w:i/>
          <w:sz w:val="20"/>
          <w:szCs w:val="20"/>
        </w:rPr>
        <w:t>Journal of Hazardous Materials</w:t>
      </w:r>
      <w:r w:rsidRPr="00862BE8">
        <w:rPr>
          <w:rFonts w:ascii="Times New Roman" w:hAnsi="Times New Roman"/>
          <w:sz w:val="20"/>
          <w:szCs w:val="20"/>
        </w:rPr>
        <w:t>, 136(3): 922-929.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lastRenderedPageBreak/>
        <w:t>Nur Izzati, A. G., Nur Yusra, M. Y., Wan Nor Roslam, W. I. and Mohd. S. M. (2017). Modification of active carbon from biomass Nypa and amine functional croups as carbon dioxide adsorbent</w:t>
      </w:r>
      <w:r w:rsidRPr="00862BE8">
        <w:rPr>
          <w:rFonts w:ascii="Times New Roman" w:hAnsi="Times New Roman"/>
          <w:i/>
          <w:sz w:val="20"/>
          <w:szCs w:val="20"/>
        </w:rPr>
        <w:t>. Journal of Physical Science,</w:t>
      </w:r>
      <w:r w:rsidRPr="00862BE8">
        <w:rPr>
          <w:rFonts w:ascii="Times New Roman" w:hAnsi="Times New Roman"/>
          <w:sz w:val="20"/>
          <w:szCs w:val="20"/>
        </w:rPr>
        <w:t xml:space="preserve"> 28(1): 227-240.</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Razali, M. N., Yunus, R. M., Jemaat Z. and Alias S. (2010). Monoethanolamine wastewater treatment </w:t>
      </w:r>
      <w:r w:rsidRPr="00862BE8">
        <w:rPr>
          <w:rFonts w:ascii="Times New Roman" w:hAnsi="Times New Roman"/>
          <w:i/>
          <w:sz w:val="20"/>
          <w:szCs w:val="20"/>
        </w:rPr>
        <w:t xml:space="preserve">via </w:t>
      </w:r>
      <w:r w:rsidRPr="00862BE8">
        <w:rPr>
          <w:rFonts w:ascii="Times New Roman" w:hAnsi="Times New Roman"/>
          <w:sz w:val="20"/>
          <w:szCs w:val="20"/>
        </w:rPr>
        <w:t xml:space="preserve">adsorption: A study on comparison of chitosan, activated carbon, alum and zeolite. </w:t>
      </w:r>
      <w:r w:rsidRPr="00862BE8">
        <w:rPr>
          <w:rFonts w:ascii="Times New Roman" w:hAnsi="Times New Roman"/>
          <w:i/>
          <w:sz w:val="20"/>
          <w:szCs w:val="20"/>
        </w:rPr>
        <w:t>Journal of Applied Sciences</w:t>
      </w:r>
      <w:r w:rsidRPr="00862BE8">
        <w:rPr>
          <w:rFonts w:ascii="Times New Roman" w:hAnsi="Times New Roman"/>
          <w:sz w:val="20"/>
          <w:szCs w:val="20"/>
        </w:rPr>
        <w:t>, 10(21): 2544-2550.</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Mohammad, A. F. M., Yoshimitsu, U., Suzana, Y., Fathelrahman, E., Azhar, U. and Mitsuka, D. (2016). Activated carbon from rubber wood sawdust by CO</w:t>
      </w:r>
      <w:r w:rsidRPr="00862BE8">
        <w:rPr>
          <w:rFonts w:ascii="Times New Roman" w:hAnsi="Times New Roman"/>
          <w:sz w:val="20"/>
          <w:szCs w:val="20"/>
          <w:vertAlign w:val="subscript"/>
        </w:rPr>
        <w:t>2</w:t>
      </w:r>
      <w:r w:rsidRPr="00862BE8">
        <w:rPr>
          <w:rFonts w:ascii="Times New Roman" w:hAnsi="Times New Roman"/>
          <w:sz w:val="20"/>
          <w:szCs w:val="20"/>
        </w:rPr>
        <w:t xml:space="preserve"> activation. </w:t>
      </w:r>
      <w:r w:rsidRPr="00862BE8">
        <w:rPr>
          <w:rFonts w:ascii="Times New Roman" w:hAnsi="Times New Roman"/>
          <w:i/>
          <w:sz w:val="20"/>
          <w:szCs w:val="20"/>
        </w:rPr>
        <w:t>Procedia Engineering</w:t>
      </w:r>
      <w:r w:rsidRPr="00862BE8">
        <w:rPr>
          <w:rFonts w:ascii="Times New Roman" w:hAnsi="Times New Roman"/>
          <w:sz w:val="20"/>
          <w:szCs w:val="20"/>
        </w:rPr>
        <w:t>, 148: 530-537.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Borhan, A., Taha, M. F. and Hamzah, A. A. (2014). Characterization of activated carbon from wood sawdust prepared </w:t>
      </w:r>
      <w:r w:rsidRPr="00862BE8">
        <w:rPr>
          <w:rFonts w:ascii="Times New Roman" w:hAnsi="Times New Roman"/>
          <w:i/>
          <w:sz w:val="20"/>
          <w:szCs w:val="20"/>
        </w:rPr>
        <w:t>via</w:t>
      </w:r>
      <w:r w:rsidRPr="00862BE8">
        <w:rPr>
          <w:rFonts w:ascii="Times New Roman" w:hAnsi="Times New Roman"/>
          <w:sz w:val="20"/>
          <w:szCs w:val="20"/>
        </w:rPr>
        <w:t xml:space="preserve"> chemical activation using potassium hydroxide. </w:t>
      </w:r>
      <w:r w:rsidRPr="00862BE8">
        <w:rPr>
          <w:rFonts w:ascii="Times New Roman" w:hAnsi="Times New Roman"/>
          <w:i/>
          <w:sz w:val="20"/>
          <w:szCs w:val="20"/>
        </w:rPr>
        <w:t>Advanced Materials Research</w:t>
      </w:r>
      <w:r w:rsidRPr="00862BE8">
        <w:rPr>
          <w:rFonts w:ascii="Times New Roman" w:hAnsi="Times New Roman"/>
          <w:sz w:val="20"/>
          <w:szCs w:val="20"/>
        </w:rPr>
        <w:t>, 832: 132-137.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Muda, A. and Hidayu, A. R. (2016). Preparation and characterization of impregnated activated carbon from palm kernel shell and coconut shell for CO</w:t>
      </w:r>
      <w:r w:rsidRPr="00862BE8">
        <w:rPr>
          <w:rFonts w:ascii="Times New Roman" w:hAnsi="Times New Roman"/>
          <w:sz w:val="20"/>
          <w:szCs w:val="20"/>
          <w:vertAlign w:val="subscript"/>
        </w:rPr>
        <w:t>2</w:t>
      </w:r>
      <w:r w:rsidRPr="00862BE8">
        <w:rPr>
          <w:rFonts w:ascii="Times New Roman" w:hAnsi="Times New Roman"/>
          <w:sz w:val="20"/>
          <w:szCs w:val="20"/>
        </w:rPr>
        <w:t xml:space="preserve"> capture. </w:t>
      </w:r>
      <w:r w:rsidRPr="00862BE8">
        <w:rPr>
          <w:rFonts w:ascii="Times New Roman" w:hAnsi="Times New Roman"/>
          <w:i/>
          <w:sz w:val="20"/>
          <w:szCs w:val="20"/>
        </w:rPr>
        <w:t>Procedia Engineering</w:t>
      </w:r>
      <w:r w:rsidRPr="00862BE8">
        <w:rPr>
          <w:rFonts w:ascii="Times New Roman" w:hAnsi="Times New Roman"/>
          <w:sz w:val="20"/>
          <w:szCs w:val="20"/>
        </w:rPr>
        <w:t>, 148: 106-113.</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Zhang, T., Walawender, W. P., Fan, F. T., Fan, M. and Brown, R. C. (2004). Preparation of activated carbon from forest and agricultural residues through CO</w:t>
      </w:r>
      <w:r w:rsidRPr="00862BE8">
        <w:rPr>
          <w:rFonts w:ascii="Times New Roman" w:hAnsi="Times New Roman"/>
          <w:sz w:val="20"/>
          <w:szCs w:val="20"/>
          <w:vertAlign w:val="subscript"/>
        </w:rPr>
        <w:t>2</w:t>
      </w:r>
      <w:r w:rsidRPr="00862BE8">
        <w:rPr>
          <w:rFonts w:ascii="Times New Roman" w:hAnsi="Times New Roman"/>
          <w:sz w:val="20"/>
          <w:szCs w:val="20"/>
        </w:rPr>
        <w:t xml:space="preserve"> activation. </w:t>
      </w:r>
      <w:r w:rsidRPr="00862BE8">
        <w:rPr>
          <w:rFonts w:ascii="Times New Roman" w:hAnsi="Times New Roman"/>
          <w:i/>
          <w:sz w:val="20"/>
          <w:szCs w:val="20"/>
        </w:rPr>
        <w:t>Chemical Engineering Journal</w:t>
      </w:r>
      <w:r w:rsidRPr="00862BE8">
        <w:rPr>
          <w:rFonts w:ascii="Times New Roman" w:hAnsi="Times New Roman"/>
          <w:sz w:val="20"/>
          <w:szCs w:val="20"/>
        </w:rPr>
        <w:t>, 105 (1-2): 53-59.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Zhang, H., Yan, Y. and Yang. L. (2010). Preparation of activated carbon from sawdust by zinc chloride activation. </w:t>
      </w:r>
      <w:r w:rsidRPr="00862BE8">
        <w:rPr>
          <w:rFonts w:ascii="Times New Roman" w:hAnsi="Times New Roman"/>
          <w:i/>
          <w:sz w:val="20"/>
          <w:szCs w:val="20"/>
        </w:rPr>
        <w:t>Adsorption</w:t>
      </w:r>
      <w:r w:rsidRPr="00862BE8">
        <w:rPr>
          <w:rFonts w:ascii="Times New Roman" w:hAnsi="Times New Roman"/>
          <w:sz w:val="20"/>
          <w:szCs w:val="20"/>
        </w:rPr>
        <w:t>, 16(3): 161-166.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Teng, H., Yeh, T. S. and Hsu, L.Y. (1998). Preparation of activated carbon from bituminous coal with phosphoric acid activation. </w:t>
      </w:r>
      <w:r w:rsidRPr="00862BE8">
        <w:rPr>
          <w:rFonts w:ascii="Times New Roman" w:hAnsi="Times New Roman"/>
          <w:i/>
          <w:sz w:val="20"/>
          <w:szCs w:val="20"/>
        </w:rPr>
        <w:t>Carbon</w:t>
      </w:r>
      <w:r w:rsidRPr="00862BE8">
        <w:rPr>
          <w:rFonts w:ascii="Times New Roman" w:hAnsi="Times New Roman"/>
          <w:sz w:val="20"/>
          <w:szCs w:val="20"/>
        </w:rPr>
        <w:t>, 36(9): 1387-1395.</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Borhan, A. and Kamil, A. F. (2014). Preparation and characterization of activated carbon from rubber-seed shell by chemical activation. </w:t>
      </w:r>
      <w:r w:rsidRPr="00862BE8">
        <w:rPr>
          <w:rFonts w:ascii="Times New Roman" w:hAnsi="Times New Roman"/>
          <w:i/>
          <w:sz w:val="20"/>
          <w:szCs w:val="20"/>
        </w:rPr>
        <w:t>Journal of Applied Sciences,</w:t>
      </w:r>
      <w:r w:rsidRPr="00862BE8">
        <w:rPr>
          <w:rFonts w:ascii="Times New Roman" w:hAnsi="Times New Roman"/>
          <w:sz w:val="20"/>
          <w:szCs w:val="20"/>
        </w:rPr>
        <w:t xml:space="preserve"> 11: 1124-1129.</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Girgis, B. S. and El-Hendawy, A. A. (2002). Porosity development in activated carbons obtained from date pits under chemical activation with phosphoric acid. </w:t>
      </w:r>
      <w:r w:rsidRPr="00862BE8">
        <w:rPr>
          <w:rFonts w:ascii="Times New Roman" w:hAnsi="Times New Roman"/>
          <w:i/>
          <w:sz w:val="20"/>
          <w:szCs w:val="20"/>
        </w:rPr>
        <w:t>Microporous and Mesoporous Materials</w:t>
      </w:r>
      <w:r w:rsidRPr="00862BE8">
        <w:rPr>
          <w:rFonts w:ascii="Times New Roman" w:hAnsi="Times New Roman"/>
          <w:sz w:val="20"/>
          <w:szCs w:val="20"/>
        </w:rPr>
        <w:t>, 52 (2): 105-117.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Mays, T. J. (2007). A new classification pore sizes. </w:t>
      </w:r>
      <w:r w:rsidRPr="00862BE8">
        <w:rPr>
          <w:rFonts w:ascii="Times New Roman" w:hAnsi="Times New Roman"/>
          <w:i/>
          <w:sz w:val="20"/>
          <w:szCs w:val="20"/>
        </w:rPr>
        <w:t>Studies in Surface Science Catalysis,</w:t>
      </w:r>
      <w:r w:rsidRPr="00862BE8">
        <w:rPr>
          <w:rFonts w:ascii="Times New Roman" w:hAnsi="Times New Roman"/>
          <w:sz w:val="20"/>
          <w:szCs w:val="20"/>
        </w:rPr>
        <w:t xml:space="preserve"> 160: 57-62.</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Koumanova, B., Peeva, P. and Allen, J. S. (2003). Variation of intraparticle diffusion parameter during adsorption of p-chlorophenol onto activated carbon made from apricot stones. </w:t>
      </w:r>
      <w:r w:rsidRPr="00862BE8">
        <w:rPr>
          <w:rFonts w:ascii="Times New Roman" w:hAnsi="Times New Roman"/>
          <w:i/>
          <w:sz w:val="20"/>
          <w:szCs w:val="20"/>
        </w:rPr>
        <w:t>Journal of Chemical Technology and Biotechnology</w:t>
      </w:r>
      <w:r w:rsidRPr="00862BE8">
        <w:rPr>
          <w:rFonts w:ascii="Times New Roman" w:hAnsi="Times New Roman"/>
          <w:sz w:val="20"/>
          <w:szCs w:val="20"/>
        </w:rPr>
        <w:t>, 78: 582-587.</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Bulut, Y. and Tex, Z. (2007). Removal of heavy metals from aqueous solution by sawdust adsorption. </w:t>
      </w:r>
      <w:r w:rsidRPr="00862BE8">
        <w:rPr>
          <w:rFonts w:ascii="Times New Roman" w:hAnsi="Times New Roman"/>
          <w:i/>
          <w:sz w:val="20"/>
          <w:szCs w:val="20"/>
        </w:rPr>
        <w:t xml:space="preserve">Journal of Environmental Sciences, </w:t>
      </w:r>
      <w:r w:rsidRPr="00862BE8">
        <w:rPr>
          <w:rFonts w:ascii="Times New Roman" w:hAnsi="Times New Roman"/>
          <w:sz w:val="20"/>
          <w:szCs w:val="20"/>
        </w:rPr>
        <w:t>19: 160-166.</w:t>
      </w:r>
    </w:p>
    <w:p w:rsidR="00862BE8" w:rsidRPr="00862BE8" w:rsidRDefault="00862BE8" w:rsidP="00862BE8">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62BE8">
        <w:rPr>
          <w:rFonts w:ascii="Times New Roman" w:hAnsi="Times New Roman"/>
          <w:sz w:val="20"/>
          <w:szCs w:val="20"/>
        </w:rPr>
        <w:t xml:space="preserve">Gad, H. M. H. and El-Sayed, A. A. (2009). Activated carbon from agricultural by-products for the removal of Rhodamine-B from aqueous solution. </w:t>
      </w:r>
      <w:r w:rsidRPr="00862BE8">
        <w:rPr>
          <w:rFonts w:ascii="Times New Roman" w:hAnsi="Times New Roman"/>
          <w:i/>
          <w:sz w:val="20"/>
          <w:szCs w:val="20"/>
        </w:rPr>
        <w:t>Journal of Hazardous Materials</w:t>
      </w:r>
      <w:r w:rsidRPr="00862BE8">
        <w:rPr>
          <w:rFonts w:ascii="Times New Roman" w:hAnsi="Times New Roman"/>
          <w:sz w:val="20"/>
          <w:szCs w:val="20"/>
        </w:rPr>
        <w:t>, 168: 1070-1081.</w:t>
      </w:r>
    </w:p>
    <w:p w:rsidR="00E31A5C" w:rsidRDefault="00E31A5C" w:rsidP="00862BE8">
      <w:pPr>
        <w:spacing w:after="0" w:line="240" w:lineRule="auto"/>
        <w:jc w:val="both"/>
        <w:rPr>
          <w:rFonts w:ascii="Times New Roman" w:hAnsi="Times New Roman"/>
          <w:noProof/>
          <w:sz w:val="20"/>
          <w:szCs w:val="20"/>
          <w:lang w:bidi="ar-SA"/>
        </w:rPr>
      </w:pPr>
    </w:p>
    <w:sectPr w:rsidR="00E31A5C" w:rsidSect="00060E3D">
      <w:headerReference w:type="even" r:id="rId23"/>
      <w:headerReference w:type="default" r:id="rId24"/>
      <w:footerReference w:type="even" r:id="rId25"/>
      <w:footerReference w:type="default" r:id="rId26"/>
      <w:pgSz w:w="12240" w:h="15840" w:code="1"/>
      <w:pgMar w:top="1800" w:right="1469" w:bottom="1699" w:left="1440" w:header="706" w:footer="706" w:gutter="0"/>
      <w:pgNumType w:start="5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F13BE">
          <w:rPr>
            <w:rFonts w:ascii="Times New Roman" w:hAnsi="Times New Roman"/>
            <w:noProof/>
          </w:rPr>
          <w:t>532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F13BE">
          <w:rPr>
            <w:rFonts w:ascii="Times New Roman" w:hAnsi="Times New Roman"/>
            <w:noProof/>
          </w:rPr>
          <w:t>533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F631EB">
      <w:rPr>
        <w:rFonts w:ascii="Times New Roman" w:hAnsi="Times New Roman"/>
        <w:i/>
        <w:lang w:val="en-US"/>
      </w:rPr>
      <w:t>No 3</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060E3D">
      <w:rPr>
        <w:rFonts w:ascii="Times New Roman" w:hAnsi="Times New Roman"/>
        <w:i/>
        <w:lang w:val="en-US"/>
      </w:rPr>
      <w:t>532</w:t>
    </w:r>
    <w:r w:rsidR="004B43FF">
      <w:rPr>
        <w:rFonts w:ascii="Times New Roman" w:hAnsi="Times New Roman"/>
        <w:i/>
        <w:lang w:val="en-US"/>
      </w:rPr>
      <w:t xml:space="preserve"> </w:t>
    </w:r>
    <w:r w:rsidR="00583C85">
      <w:rPr>
        <w:rFonts w:ascii="Times New Roman" w:hAnsi="Times New Roman"/>
        <w:i/>
        <w:lang w:val="en-US"/>
      </w:rPr>
      <w:t>-</w:t>
    </w:r>
    <w:r w:rsidR="00060E3D">
      <w:rPr>
        <w:rFonts w:ascii="Times New Roman" w:hAnsi="Times New Roman"/>
        <w:i/>
        <w:lang w:val="en-US"/>
      </w:rPr>
      <w:t xml:space="preserve"> 541</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F631EB">
      <w:rPr>
        <w:rFonts w:ascii="Times New Roman" w:hAnsi="Times New Roman"/>
        <w:i/>
        <w:lang w:val="en-US"/>
      </w:rPr>
      <w:t>3</w:t>
    </w:r>
    <w:r w:rsidR="00060E3D">
      <w:rPr>
        <w:rFonts w:ascii="Times New Roman" w:hAnsi="Times New Roman"/>
        <w:i/>
        <w:lang w:val="en-US"/>
      </w:rPr>
      <w:t>-22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1B6686" w:rsidRDefault="001B6686" w:rsidP="001B6686">
    <w:pPr>
      <w:pStyle w:val="Header"/>
      <w:ind w:left="990" w:hanging="990"/>
      <w:rPr>
        <w:rFonts w:ascii="Times New Roman" w:hAnsi="Times New Roman"/>
        <w:lang w:val="en-US"/>
      </w:rPr>
    </w:pPr>
    <w:r>
      <w:rPr>
        <w:rFonts w:ascii="Times New Roman" w:hAnsi="Times New Roman"/>
        <w:lang w:val="en-US"/>
      </w:rPr>
      <w:t>Azry et al</w:t>
    </w:r>
    <w:r w:rsidR="008E6968" w:rsidRPr="001B6686">
      <w:rPr>
        <w:rFonts w:ascii="Times New Roman" w:hAnsi="Times New Roman"/>
        <w:lang w:val="en-US"/>
      </w:rPr>
      <w:t xml:space="preserve">:  </w:t>
    </w:r>
    <w:r w:rsidRPr="001B6686">
      <w:rPr>
        <w:rFonts w:ascii="Times New Roman" w:hAnsi="Times New Roman"/>
        <w:lang w:val="en-US"/>
      </w:rPr>
      <w:t xml:space="preserve"> </w:t>
    </w:r>
    <w:r w:rsidRPr="001B6686">
      <w:rPr>
        <w:rFonts w:ascii="Times New Roman" w:hAnsi="Times New Roman"/>
      </w:rPr>
      <w:t>MONOETHANOLAMINE WASTEWATER TREATMENT VIA ADSORPTION USING WOOD SAWDUST BASED ACTIVATED CARBON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1677C"/>
    <w:rsid w:val="00060E3D"/>
    <w:rsid w:val="00070690"/>
    <w:rsid w:val="00084936"/>
    <w:rsid w:val="000C49FF"/>
    <w:rsid w:val="000C5261"/>
    <w:rsid w:val="000E5AF1"/>
    <w:rsid w:val="000F77DA"/>
    <w:rsid w:val="001068E8"/>
    <w:rsid w:val="00117BCD"/>
    <w:rsid w:val="00127342"/>
    <w:rsid w:val="001B6686"/>
    <w:rsid w:val="001D035A"/>
    <w:rsid w:val="001D3855"/>
    <w:rsid w:val="001D6F2C"/>
    <w:rsid w:val="00221D39"/>
    <w:rsid w:val="002B188F"/>
    <w:rsid w:val="002B3BD8"/>
    <w:rsid w:val="002E5CC6"/>
    <w:rsid w:val="002F3F91"/>
    <w:rsid w:val="00304767"/>
    <w:rsid w:val="00304B34"/>
    <w:rsid w:val="00312C0E"/>
    <w:rsid w:val="00361BAF"/>
    <w:rsid w:val="00367D1F"/>
    <w:rsid w:val="00373A9B"/>
    <w:rsid w:val="00383F26"/>
    <w:rsid w:val="003D585B"/>
    <w:rsid w:val="003E7DA6"/>
    <w:rsid w:val="003F12FF"/>
    <w:rsid w:val="004646E8"/>
    <w:rsid w:val="004760D4"/>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62BE8"/>
    <w:rsid w:val="008B470E"/>
    <w:rsid w:val="008C14D6"/>
    <w:rsid w:val="008E1211"/>
    <w:rsid w:val="008E5BBF"/>
    <w:rsid w:val="008E6968"/>
    <w:rsid w:val="008F13BE"/>
    <w:rsid w:val="00A14DB9"/>
    <w:rsid w:val="00A4762A"/>
    <w:rsid w:val="00A74A7E"/>
    <w:rsid w:val="00A87399"/>
    <w:rsid w:val="00AD1B8A"/>
    <w:rsid w:val="00AD76AF"/>
    <w:rsid w:val="00AE713F"/>
    <w:rsid w:val="00AF3AC1"/>
    <w:rsid w:val="00B1121C"/>
    <w:rsid w:val="00B25B65"/>
    <w:rsid w:val="00B2770A"/>
    <w:rsid w:val="00B314AD"/>
    <w:rsid w:val="00B75BF6"/>
    <w:rsid w:val="00BA1026"/>
    <w:rsid w:val="00BA1F7B"/>
    <w:rsid w:val="00BB58AF"/>
    <w:rsid w:val="00BE7C30"/>
    <w:rsid w:val="00C055BF"/>
    <w:rsid w:val="00C0756D"/>
    <w:rsid w:val="00C2226A"/>
    <w:rsid w:val="00C94D92"/>
    <w:rsid w:val="00C97340"/>
    <w:rsid w:val="00CA513F"/>
    <w:rsid w:val="00CF05FF"/>
    <w:rsid w:val="00D340BB"/>
    <w:rsid w:val="00D505D5"/>
    <w:rsid w:val="00D5188E"/>
    <w:rsid w:val="00D63C28"/>
    <w:rsid w:val="00D75B35"/>
    <w:rsid w:val="00D76E09"/>
    <w:rsid w:val="00D9736F"/>
    <w:rsid w:val="00D9792A"/>
    <w:rsid w:val="00DD377F"/>
    <w:rsid w:val="00E25547"/>
    <w:rsid w:val="00E2773B"/>
    <w:rsid w:val="00E31A5C"/>
    <w:rsid w:val="00E3287E"/>
    <w:rsid w:val="00E66197"/>
    <w:rsid w:val="00EB5BA5"/>
    <w:rsid w:val="00EF4195"/>
    <w:rsid w:val="00F202C3"/>
    <w:rsid w:val="00F23D94"/>
    <w:rsid w:val="00F31093"/>
    <w:rsid w:val="00F412AF"/>
    <w:rsid w:val="00F43667"/>
    <w:rsid w:val="00F447A7"/>
    <w:rsid w:val="00F467A2"/>
    <w:rsid w:val="00F631EB"/>
    <w:rsid w:val="00FB4C59"/>
    <w:rsid w:val="00FB4F34"/>
    <w:rsid w:val="00FC038D"/>
    <w:rsid w:val="00FE05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PlainTable2">
    <w:name w:val="Plain Table 2"/>
    <w:basedOn w:val="TableNormal"/>
    <w:uiPriority w:val="42"/>
    <w:rsid w:val="004646E8"/>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PlainTable2">
    <w:name w:val="Plain Table 2"/>
    <w:basedOn w:val="TableNormal"/>
    <w:uiPriority w:val="42"/>
    <w:rsid w:val="004646E8"/>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_2\Desktop\lecture%20notes\Final%20year%202nd%20sem\FYP%202\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Sample A6</c:v>
          </c:tx>
          <c:spPr>
            <a:ln>
              <a:solidFill>
                <a:schemeClr val="tx1"/>
              </a:solidFill>
            </a:ln>
          </c:spPr>
          <c:marker>
            <c:symbol val="diamond"/>
            <c:size val="7"/>
            <c:spPr>
              <a:noFill/>
              <a:ln>
                <a:solidFill>
                  <a:schemeClr val="tx1"/>
                </a:solidFill>
              </a:ln>
            </c:spPr>
          </c:marker>
          <c:xVal>
            <c:numRef>
              <c:f>Sheet1!$C$4:$C$60</c:f>
              <c:numCache>
                <c:formatCode>General</c:formatCode>
                <c:ptCount val="57"/>
                <c:pt idx="0">
                  <c:v>6.8802395779788577E-5</c:v>
                </c:pt>
                <c:pt idx="1">
                  <c:v>1.2077121477672191E-4</c:v>
                </c:pt>
                <c:pt idx="2">
                  <c:v>1.6187726319425607E-4</c:v>
                </c:pt>
                <c:pt idx="3">
                  <c:v>2.6626068459606505E-4</c:v>
                </c:pt>
                <c:pt idx="4">
                  <c:v>6.330901968530368E-4</c:v>
                </c:pt>
                <c:pt idx="5">
                  <c:v>1.8748542132483812E-3</c:v>
                </c:pt>
                <c:pt idx="6">
                  <c:v>6.4005924303211555E-3</c:v>
                </c:pt>
                <c:pt idx="7">
                  <c:v>1.1717589284991477E-2</c:v>
                </c:pt>
                <c:pt idx="8">
                  <c:v>2.3411839515831642E-2</c:v>
                </c:pt>
                <c:pt idx="9">
                  <c:v>5.1865797461056802E-2</c:v>
                </c:pt>
                <c:pt idx="10">
                  <c:v>7.1664644538827843E-2</c:v>
                </c:pt>
                <c:pt idx="11">
                  <c:v>9.0079319781539727E-2</c:v>
                </c:pt>
                <c:pt idx="12">
                  <c:v>0.11110486046350418</c:v>
                </c:pt>
                <c:pt idx="13">
                  <c:v>0.13770589258937838</c:v>
                </c:pt>
                <c:pt idx="14">
                  <c:v>0.1526240933304519</c:v>
                </c:pt>
                <c:pt idx="15">
                  <c:v>0.17855940971147324</c:v>
                </c:pt>
                <c:pt idx="16">
                  <c:v>0.20182618079888551</c:v>
                </c:pt>
                <c:pt idx="17">
                  <c:v>0.22704689604926129</c:v>
                </c:pt>
                <c:pt idx="18">
                  <c:v>0.2511989520472892</c:v>
                </c:pt>
                <c:pt idx="19">
                  <c:v>0.27605092785899982</c:v>
                </c:pt>
                <c:pt idx="20">
                  <c:v>0.30056241988161042</c:v>
                </c:pt>
                <c:pt idx="21">
                  <c:v>0.32066599851364913</c:v>
                </c:pt>
                <c:pt idx="22">
                  <c:v>0.34055634599181323</c:v>
                </c:pt>
                <c:pt idx="23">
                  <c:v>0.37877330228953382</c:v>
                </c:pt>
                <c:pt idx="24">
                  <c:v>0.41860442090885114</c:v>
                </c:pt>
                <c:pt idx="25">
                  <c:v>0.45867496009833592</c:v>
                </c:pt>
                <c:pt idx="26">
                  <c:v>0.49846824166955261</c:v>
                </c:pt>
                <c:pt idx="27">
                  <c:v>0.53837143951696953</c:v>
                </c:pt>
                <c:pt idx="28">
                  <c:v>0.57835074834265909</c:v>
                </c:pt>
                <c:pt idx="29">
                  <c:v>0.6182592687359475</c:v>
                </c:pt>
                <c:pt idx="30">
                  <c:v>0.6581706660168547</c:v>
                </c:pt>
                <c:pt idx="31">
                  <c:v>0.69799689968514489</c:v>
                </c:pt>
                <c:pt idx="32">
                  <c:v>0.73797307965605163</c:v>
                </c:pt>
                <c:pt idx="33">
                  <c:v>0.77794112330074383</c:v>
                </c:pt>
                <c:pt idx="34">
                  <c:v>0.81773389457738432</c:v>
                </c:pt>
                <c:pt idx="35">
                  <c:v>0.85768754700595751</c:v>
                </c:pt>
                <c:pt idx="36">
                  <c:v>0.88808088682597941</c:v>
                </c:pt>
                <c:pt idx="37">
                  <c:v>0.89916372080308149</c:v>
                </c:pt>
                <c:pt idx="38">
                  <c:v>0.90937339848072252</c:v>
                </c:pt>
                <c:pt idx="39">
                  <c:v>0.91921635535193635</c:v>
                </c:pt>
                <c:pt idx="40">
                  <c:v>0.92929925369497679</c:v>
                </c:pt>
                <c:pt idx="41">
                  <c:v>0.9393000701199542</c:v>
                </c:pt>
                <c:pt idx="42">
                  <c:v>0.94914691538566043</c:v>
                </c:pt>
                <c:pt idx="43">
                  <c:v>0.95484360935642765</c:v>
                </c:pt>
                <c:pt idx="44">
                  <c:v>0.95988599289138765</c:v>
                </c:pt>
                <c:pt idx="45">
                  <c:v>0.96485208603906869</c:v>
                </c:pt>
                <c:pt idx="46">
                  <c:v>0.96951457502733929</c:v>
                </c:pt>
                <c:pt idx="47">
                  <c:v>0.97497774170536256</c:v>
                </c:pt>
                <c:pt idx="48">
                  <c:v>0.979840578864559</c:v>
                </c:pt>
                <c:pt idx="49">
                  <c:v>0.98221568937334758</c:v>
                </c:pt>
                <c:pt idx="50">
                  <c:v>0.98477738223869782</c:v>
                </c:pt>
                <c:pt idx="51">
                  <c:v>0.98762326602861161</c:v>
                </c:pt>
                <c:pt idx="52">
                  <c:v>0.99007468968528001</c:v>
                </c:pt>
                <c:pt idx="53">
                  <c:v>0.99183048613380365</c:v>
                </c:pt>
                <c:pt idx="54">
                  <c:v>0.99409008802794396</c:v>
                </c:pt>
                <c:pt idx="55">
                  <c:v>0.99478019930818262</c:v>
                </c:pt>
                <c:pt idx="56">
                  <c:v>0.99746347877304642</c:v>
                </c:pt>
              </c:numCache>
            </c:numRef>
          </c:xVal>
          <c:yVal>
            <c:numRef>
              <c:f>Sheet1!$D$4:$D$60</c:f>
              <c:numCache>
                <c:formatCode>General</c:formatCode>
                <c:ptCount val="57"/>
                <c:pt idx="0">
                  <c:v>16.100113301764882</c:v>
                </c:pt>
                <c:pt idx="1">
                  <c:v>32.113970280158163</c:v>
                </c:pt>
                <c:pt idx="2">
                  <c:v>46.922744947653491</c:v>
                </c:pt>
                <c:pt idx="3">
                  <c:v>61.654902098976763</c:v>
                </c:pt>
                <c:pt idx="4">
                  <c:v>77.038891299906908</c:v>
                </c:pt>
                <c:pt idx="5">
                  <c:v>91.147388452798438</c:v>
                </c:pt>
                <c:pt idx="6">
                  <c:v>106.01627353297302</c:v>
                </c:pt>
                <c:pt idx="7">
                  <c:v>113.42810279308343</c:v>
                </c:pt>
                <c:pt idx="8">
                  <c:v>122.17801882133018</c:v>
                </c:pt>
                <c:pt idx="9">
                  <c:v>132.83469785913547</c:v>
                </c:pt>
                <c:pt idx="10">
                  <c:v>137.210405662998</c:v>
                </c:pt>
                <c:pt idx="11">
                  <c:v>140.2951659944998</c:v>
                </c:pt>
                <c:pt idx="12">
                  <c:v>142.97474111584978</c:v>
                </c:pt>
                <c:pt idx="13">
                  <c:v>145.58046827973789</c:v>
                </c:pt>
                <c:pt idx="14">
                  <c:v>146.80565444500832</c:v>
                </c:pt>
                <c:pt idx="15">
                  <c:v>148.51423014007699</c:v>
                </c:pt>
                <c:pt idx="16">
                  <c:v>149.78850066771429</c:v>
                </c:pt>
                <c:pt idx="17">
                  <c:v>150.94281249658835</c:v>
                </c:pt>
                <c:pt idx="18">
                  <c:v>151.88075575062001</c:v>
                </c:pt>
                <c:pt idx="19">
                  <c:v>152.70329433768507</c:v>
                </c:pt>
                <c:pt idx="20">
                  <c:v>153.44990411828309</c:v>
                </c:pt>
                <c:pt idx="21">
                  <c:v>154.00474300703274</c:v>
                </c:pt>
                <c:pt idx="22">
                  <c:v>154.52814647104253</c:v>
                </c:pt>
                <c:pt idx="23">
                  <c:v>155.37558261760304</c:v>
                </c:pt>
                <c:pt idx="24">
                  <c:v>156.16647273545118</c:v>
                </c:pt>
                <c:pt idx="25">
                  <c:v>156.85753043277396</c:v>
                </c:pt>
                <c:pt idx="26">
                  <c:v>157.48363762405532</c:v>
                </c:pt>
                <c:pt idx="27">
                  <c:v>158.05914962654754</c:v>
                </c:pt>
                <c:pt idx="28">
                  <c:v>158.5842035349838</c:v>
                </c:pt>
                <c:pt idx="29">
                  <c:v>159.06460885330989</c:v>
                </c:pt>
                <c:pt idx="30">
                  <c:v>159.4956258269338</c:v>
                </c:pt>
                <c:pt idx="31">
                  <c:v>159.9304247636104</c:v>
                </c:pt>
                <c:pt idx="32">
                  <c:v>160.36840948725353</c:v>
                </c:pt>
                <c:pt idx="33">
                  <c:v>160.7827482013513</c:v>
                </c:pt>
                <c:pt idx="34">
                  <c:v>161.19424311535118</c:v>
                </c:pt>
                <c:pt idx="35">
                  <c:v>161.61478303535404</c:v>
                </c:pt>
                <c:pt idx="36">
                  <c:v>161.95875944210007</c:v>
                </c:pt>
                <c:pt idx="37">
                  <c:v>162.12849655915167</c:v>
                </c:pt>
                <c:pt idx="38">
                  <c:v>162.27943188276603</c:v>
                </c:pt>
                <c:pt idx="39">
                  <c:v>162.41858239006743</c:v>
                </c:pt>
                <c:pt idx="40">
                  <c:v>162.55220100455222</c:v>
                </c:pt>
                <c:pt idx="41">
                  <c:v>162.68020376889723</c:v>
                </c:pt>
                <c:pt idx="42">
                  <c:v>162.82408755121187</c:v>
                </c:pt>
                <c:pt idx="43">
                  <c:v>162.91750179012939</c:v>
                </c:pt>
                <c:pt idx="44">
                  <c:v>163.00391971051195</c:v>
                </c:pt>
                <c:pt idx="45">
                  <c:v>163.07630860784118</c:v>
                </c:pt>
                <c:pt idx="46">
                  <c:v>163.16859565674935</c:v>
                </c:pt>
                <c:pt idx="47">
                  <c:v>163.25163497410722</c:v>
                </c:pt>
                <c:pt idx="48">
                  <c:v>163.33527361760284</c:v>
                </c:pt>
                <c:pt idx="49">
                  <c:v>163.38897231610684</c:v>
                </c:pt>
                <c:pt idx="50">
                  <c:v>163.45264525409081</c:v>
                </c:pt>
                <c:pt idx="51">
                  <c:v>163.51545284145078</c:v>
                </c:pt>
                <c:pt idx="52">
                  <c:v>163.57751873934387</c:v>
                </c:pt>
                <c:pt idx="53">
                  <c:v>163.6218797751313</c:v>
                </c:pt>
                <c:pt idx="54">
                  <c:v>163.68152792418738</c:v>
                </c:pt>
                <c:pt idx="55">
                  <c:v>163.74580342349998</c:v>
                </c:pt>
                <c:pt idx="56">
                  <c:v>163.88247984860121</c:v>
                </c:pt>
              </c:numCache>
            </c:numRef>
          </c:yVal>
          <c:smooth val="1"/>
          <c:extLst xmlns:c16r2="http://schemas.microsoft.com/office/drawing/2015/06/chart">
            <c:ext xmlns:c16="http://schemas.microsoft.com/office/drawing/2014/chart" uri="{C3380CC4-5D6E-409C-BE32-E72D297353CC}">
              <c16:uniqueId val="{00000000-3DF6-43F8-9D29-18DDF5CA6192}"/>
            </c:ext>
          </c:extLst>
        </c:ser>
        <c:ser>
          <c:idx val="1"/>
          <c:order val="1"/>
          <c:tx>
            <c:v>A6 desorp</c:v>
          </c:tx>
          <c:spPr>
            <a:ln>
              <a:solidFill>
                <a:sysClr val="windowText" lastClr="000000"/>
              </a:solidFill>
            </a:ln>
          </c:spPr>
          <c:marker>
            <c:symbol val="diamond"/>
            <c:size val="7"/>
            <c:spPr>
              <a:solidFill>
                <a:schemeClr val="tx1"/>
              </a:solidFill>
              <a:ln>
                <a:solidFill>
                  <a:sysClr val="windowText" lastClr="000000"/>
                </a:solidFill>
              </a:ln>
            </c:spPr>
          </c:marker>
          <c:xVal>
            <c:numRef>
              <c:f>Sheet1!$F$4:$F$31</c:f>
              <c:numCache>
                <c:formatCode>General</c:formatCode>
                <c:ptCount val="28"/>
                <c:pt idx="0">
                  <c:v>0.99746347877304642</c:v>
                </c:pt>
                <c:pt idx="1">
                  <c:v>0.97614022966663261</c:v>
                </c:pt>
                <c:pt idx="2">
                  <c:v>0.956861200027046</c:v>
                </c:pt>
                <c:pt idx="3">
                  <c:v>0.93683904930927475</c:v>
                </c:pt>
                <c:pt idx="4">
                  <c:v>0.93035443556155861</c:v>
                </c:pt>
                <c:pt idx="5">
                  <c:v>0.92049043528470664</c:v>
                </c:pt>
                <c:pt idx="6">
                  <c:v>0.91063150464006604</c:v>
                </c:pt>
                <c:pt idx="7">
                  <c:v>0.90054403841658692</c:v>
                </c:pt>
                <c:pt idx="8">
                  <c:v>0.890535589161212</c:v>
                </c:pt>
                <c:pt idx="9">
                  <c:v>0.8618180283171657</c:v>
                </c:pt>
                <c:pt idx="10">
                  <c:v>0.82214491201926465</c:v>
                </c:pt>
                <c:pt idx="11">
                  <c:v>0.78204592360182712</c:v>
                </c:pt>
                <c:pt idx="12">
                  <c:v>0.74189197348416847</c:v>
                </c:pt>
                <c:pt idx="13">
                  <c:v>0.70181480448837763</c:v>
                </c:pt>
                <c:pt idx="14">
                  <c:v>0.66174093787155552</c:v>
                </c:pt>
                <c:pt idx="15">
                  <c:v>0.62166246308841044</c:v>
                </c:pt>
                <c:pt idx="16">
                  <c:v>0.58150355541648957</c:v>
                </c:pt>
                <c:pt idx="17">
                  <c:v>0.54139367351044665</c:v>
                </c:pt>
                <c:pt idx="18">
                  <c:v>0.50132948362799867</c:v>
                </c:pt>
                <c:pt idx="19">
                  <c:v>0.46144268451665382</c:v>
                </c:pt>
                <c:pt idx="20">
                  <c:v>0.42097360584838273</c:v>
                </c:pt>
                <c:pt idx="21">
                  <c:v>0.38114619283984308</c:v>
                </c:pt>
                <c:pt idx="22">
                  <c:v>0.34097572968614842</c:v>
                </c:pt>
                <c:pt idx="23">
                  <c:v>0.30098719581548139</c:v>
                </c:pt>
                <c:pt idx="24">
                  <c:v>0.25113248316817477</c:v>
                </c:pt>
                <c:pt idx="25">
                  <c:v>0.20142943873966598</c:v>
                </c:pt>
                <c:pt idx="26">
                  <c:v>0.15112925760789991</c:v>
                </c:pt>
                <c:pt idx="27">
                  <c:v>0.10212172485150629</c:v>
                </c:pt>
              </c:numCache>
            </c:numRef>
          </c:xVal>
          <c:yVal>
            <c:numRef>
              <c:f>Sheet1!$G$4:$G$31</c:f>
              <c:numCache>
                <c:formatCode>General</c:formatCode>
                <c:ptCount val="28"/>
                <c:pt idx="0">
                  <c:v>163.88247984860121</c:v>
                </c:pt>
                <c:pt idx="1">
                  <c:v>163.61875260816996</c:v>
                </c:pt>
                <c:pt idx="2">
                  <c:v>163.46027570128476</c:v>
                </c:pt>
                <c:pt idx="3">
                  <c:v>163.31038391281297</c:v>
                </c:pt>
                <c:pt idx="4">
                  <c:v>163.25584793919199</c:v>
                </c:pt>
                <c:pt idx="5">
                  <c:v>163.19108465383852</c:v>
                </c:pt>
                <c:pt idx="6">
                  <c:v>163.13300117520632</c:v>
                </c:pt>
                <c:pt idx="7">
                  <c:v>163.0671392156728</c:v>
                </c:pt>
                <c:pt idx="8">
                  <c:v>162.99910793178927</c:v>
                </c:pt>
                <c:pt idx="9">
                  <c:v>162.76798473143614</c:v>
                </c:pt>
                <c:pt idx="10">
                  <c:v>162.46943809213701</c:v>
                </c:pt>
                <c:pt idx="11">
                  <c:v>162.16713045715389</c:v>
                </c:pt>
                <c:pt idx="12">
                  <c:v>161.86408923855132</c:v>
                </c:pt>
                <c:pt idx="13">
                  <c:v>161.55548616135138</c:v>
                </c:pt>
                <c:pt idx="14">
                  <c:v>161.22698467142573</c:v>
                </c:pt>
                <c:pt idx="15">
                  <c:v>160.86713390741446</c:v>
                </c:pt>
                <c:pt idx="16">
                  <c:v>160.47761801467888</c:v>
                </c:pt>
                <c:pt idx="17">
                  <c:v>160.05199222189623</c:v>
                </c:pt>
                <c:pt idx="18">
                  <c:v>159.57863978541587</c:v>
                </c:pt>
                <c:pt idx="19">
                  <c:v>158.94864800986716</c:v>
                </c:pt>
                <c:pt idx="20">
                  <c:v>158.26731940457321</c:v>
                </c:pt>
                <c:pt idx="21">
                  <c:v>157.53056625610731</c:v>
                </c:pt>
                <c:pt idx="22">
                  <c:v>156.72555924171371</c:v>
                </c:pt>
                <c:pt idx="23">
                  <c:v>155.7764547116503</c:v>
                </c:pt>
                <c:pt idx="24">
                  <c:v>154.32702449349674</c:v>
                </c:pt>
                <c:pt idx="25">
                  <c:v>152.3835351552618</c:v>
                </c:pt>
                <c:pt idx="26">
                  <c:v>149.5129828902096</c:v>
                </c:pt>
                <c:pt idx="27">
                  <c:v>144.98835548050971</c:v>
                </c:pt>
              </c:numCache>
            </c:numRef>
          </c:yVal>
          <c:smooth val="1"/>
          <c:extLst xmlns:c16r2="http://schemas.microsoft.com/office/drawing/2015/06/chart">
            <c:ext xmlns:c16="http://schemas.microsoft.com/office/drawing/2014/chart" uri="{C3380CC4-5D6E-409C-BE32-E72D297353CC}">
              <c16:uniqueId val="{00000001-3DF6-43F8-9D29-18DDF5CA6192}"/>
            </c:ext>
          </c:extLst>
        </c:ser>
        <c:ser>
          <c:idx val="2"/>
          <c:order val="2"/>
          <c:tx>
            <c:v>Sample B9</c:v>
          </c:tx>
          <c:spPr>
            <a:ln>
              <a:solidFill>
                <a:sysClr val="windowText" lastClr="000000"/>
              </a:solidFill>
            </a:ln>
          </c:spPr>
          <c:marker>
            <c:spPr>
              <a:noFill/>
              <a:ln>
                <a:solidFill>
                  <a:sysClr val="windowText" lastClr="000000"/>
                </a:solidFill>
              </a:ln>
            </c:spPr>
          </c:marker>
          <c:xVal>
            <c:numRef>
              <c:f>Sheet1!$X$4:$X$70</c:f>
              <c:numCache>
                <c:formatCode>General</c:formatCode>
                <c:ptCount val="67"/>
                <c:pt idx="0">
                  <c:v>5.2284956944136192E-5</c:v>
                </c:pt>
                <c:pt idx="1">
                  <c:v>8.9158450529573693E-5</c:v>
                </c:pt>
                <c:pt idx="2">
                  <c:v>1.3745381899760709E-4</c:v>
                </c:pt>
                <c:pt idx="3">
                  <c:v>1.7045652666609863E-4</c:v>
                </c:pt>
                <c:pt idx="4">
                  <c:v>2.3484573408870756E-4</c:v>
                </c:pt>
                <c:pt idx="5">
                  <c:v>3.2006550177534937E-4</c:v>
                </c:pt>
                <c:pt idx="6">
                  <c:v>4.2908845805762497E-4</c:v>
                </c:pt>
                <c:pt idx="7">
                  <c:v>6.0970623614851568E-4</c:v>
                </c:pt>
                <c:pt idx="8">
                  <c:v>9.1210876654886596E-4</c:v>
                </c:pt>
                <c:pt idx="9">
                  <c:v>1.4236360480414897E-3</c:v>
                </c:pt>
                <c:pt idx="10">
                  <c:v>2.3109926430717447E-3</c:v>
                </c:pt>
                <c:pt idx="11">
                  <c:v>3.8631985872247809E-3</c:v>
                </c:pt>
                <c:pt idx="12">
                  <c:v>6.4588372005082275E-3</c:v>
                </c:pt>
                <c:pt idx="13">
                  <c:v>1.0254383253166058E-2</c:v>
                </c:pt>
                <c:pt idx="14">
                  <c:v>1.1804828370090583E-2</c:v>
                </c:pt>
                <c:pt idx="15">
                  <c:v>1.9210852726663424E-2</c:v>
                </c:pt>
                <c:pt idx="16">
                  <c:v>2.3524193665060207E-2</c:v>
                </c:pt>
                <c:pt idx="17">
                  <c:v>3.7584725897090956E-2</c:v>
                </c:pt>
                <c:pt idx="18">
                  <c:v>4.7600884201947122E-2</c:v>
                </c:pt>
                <c:pt idx="19">
                  <c:v>6.7102074175301216E-2</c:v>
                </c:pt>
                <c:pt idx="20">
                  <c:v>7.2007787449447178E-2</c:v>
                </c:pt>
                <c:pt idx="21">
                  <c:v>8.8905565787575982E-2</c:v>
                </c:pt>
                <c:pt idx="22">
                  <c:v>0.10917542144523465</c:v>
                </c:pt>
                <c:pt idx="23">
                  <c:v>0.13550768493702586</c:v>
                </c:pt>
                <c:pt idx="24">
                  <c:v>0.15166870326452556</c:v>
                </c:pt>
                <c:pt idx="25">
                  <c:v>0.17991911218585718</c:v>
                </c:pt>
                <c:pt idx="26">
                  <c:v>0.20866202568586031</c:v>
                </c:pt>
                <c:pt idx="27">
                  <c:v>0.23748015466531541</c:v>
                </c:pt>
                <c:pt idx="28">
                  <c:v>0.26168235059239803</c:v>
                </c:pt>
                <c:pt idx="29">
                  <c:v>0.28422924895759111</c:v>
                </c:pt>
                <c:pt idx="30">
                  <c:v>0.30427492244521831</c:v>
                </c:pt>
                <c:pt idx="31">
                  <c:v>0.32275504750936634</c:v>
                </c:pt>
                <c:pt idx="32">
                  <c:v>0.34057015018843206</c:v>
                </c:pt>
                <c:pt idx="33">
                  <c:v>0.37790132639907986</c:v>
                </c:pt>
                <c:pt idx="34">
                  <c:v>0.41824327351771157</c:v>
                </c:pt>
                <c:pt idx="35">
                  <c:v>0.45771777276181252</c:v>
                </c:pt>
                <c:pt idx="36">
                  <c:v>0.49798938388230879</c:v>
                </c:pt>
                <c:pt idx="37">
                  <c:v>0.53797537450910971</c:v>
                </c:pt>
                <c:pt idx="38">
                  <c:v>0.57784546328692765</c:v>
                </c:pt>
                <c:pt idx="39">
                  <c:v>0.61787805104702165</c:v>
                </c:pt>
                <c:pt idx="40">
                  <c:v>0.65771997082733435</c:v>
                </c:pt>
                <c:pt idx="41">
                  <c:v>0.69761131547223554</c:v>
                </c:pt>
                <c:pt idx="42">
                  <c:v>0.73756074715602749</c:v>
                </c:pt>
                <c:pt idx="43">
                  <c:v>0.77737986741186105</c:v>
                </c:pt>
                <c:pt idx="44">
                  <c:v>0.81758989637749024</c:v>
                </c:pt>
                <c:pt idx="45">
                  <c:v>0.8572528914664671</c:v>
                </c:pt>
                <c:pt idx="46">
                  <c:v>0.88770324354983343</c:v>
                </c:pt>
                <c:pt idx="47">
                  <c:v>0.89883120063758948</c:v>
                </c:pt>
                <c:pt idx="48">
                  <c:v>0.90957284699875751</c:v>
                </c:pt>
                <c:pt idx="49">
                  <c:v>0.9191636025557236</c:v>
                </c:pt>
                <c:pt idx="50">
                  <c:v>0.9293748063909516</c:v>
                </c:pt>
                <c:pt idx="51">
                  <c:v>0.93915366698825153</c:v>
                </c:pt>
                <c:pt idx="52">
                  <c:v>0.94902902465501615</c:v>
                </c:pt>
                <c:pt idx="53">
                  <c:v>0.95456390953261727</c:v>
                </c:pt>
                <c:pt idx="54">
                  <c:v>0.95947866996815268</c:v>
                </c:pt>
                <c:pt idx="55">
                  <c:v>0.96459212722967114</c:v>
                </c:pt>
                <c:pt idx="56">
                  <c:v>0.96991171413855604</c:v>
                </c:pt>
                <c:pt idx="57">
                  <c:v>0.97453782292909064</c:v>
                </c:pt>
                <c:pt idx="58">
                  <c:v>0.97970312346579502</c:v>
                </c:pt>
                <c:pt idx="59">
                  <c:v>0.98214763062066368</c:v>
                </c:pt>
                <c:pt idx="60">
                  <c:v>0.98478517919951913</c:v>
                </c:pt>
                <c:pt idx="61">
                  <c:v>0.98711642941204658</c:v>
                </c:pt>
                <c:pt idx="62">
                  <c:v>0.98974204952009515</c:v>
                </c:pt>
                <c:pt idx="63">
                  <c:v>0.99170064578118244</c:v>
                </c:pt>
                <c:pt idx="64">
                  <c:v>0.99389694167524056</c:v>
                </c:pt>
                <c:pt idx="65">
                  <c:v>0.99483655111378255</c:v>
                </c:pt>
                <c:pt idx="66">
                  <c:v>0.9974547913265065</c:v>
                </c:pt>
              </c:numCache>
            </c:numRef>
          </c:xVal>
          <c:yVal>
            <c:numRef>
              <c:f>Sheet1!$Y$4:$Y$70</c:f>
              <c:numCache>
                <c:formatCode>General</c:formatCode>
                <c:ptCount val="67"/>
                <c:pt idx="0">
                  <c:v>13.658273431870972</c:v>
                </c:pt>
                <c:pt idx="1">
                  <c:v>28.545919324357229</c:v>
                </c:pt>
                <c:pt idx="2">
                  <c:v>43.388247142831702</c:v>
                </c:pt>
                <c:pt idx="3">
                  <c:v>58.252270507225504</c:v>
                </c:pt>
                <c:pt idx="4">
                  <c:v>73.080441316678247</c:v>
                </c:pt>
                <c:pt idx="5">
                  <c:v>88.516384567649368</c:v>
                </c:pt>
                <c:pt idx="6">
                  <c:v>103.34156084818386</c:v>
                </c:pt>
                <c:pt idx="7">
                  <c:v>118.1301142693417</c:v>
                </c:pt>
                <c:pt idx="8">
                  <c:v>132.97789137881381</c:v>
                </c:pt>
                <c:pt idx="9">
                  <c:v>147.82159814950262</c:v>
                </c:pt>
                <c:pt idx="10">
                  <c:v>162.71277673758252</c:v>
                </c:pt>
                <c:pt idx="11">
                  <c:v>177.83463579388189</c:v>
                </c:pt>
                <c:pt idx="12">
                  <c:v>193.25986632048986</c:v>
                </c:pt>
                <c:pt idx="13">
                  <c:v>207.4270338716307</c:v>
                </c:pt>
                <c:pt idx="14">
                  <c:v>211.86895547177528</c:v>
                </c:pt>
                <c:pt idx="15">
                  <c:v>227.79615124527112</c:v>
                </c:pt>
                <c:pt idx="16">
                  <c:v>234.84957149959047</c:v>
                </c:pt>
                <c:pt idx="17">
                  <c:v>252.11801767318386</c:v>
                </c:pt>
                <c:pt idx="18">
                  <c:v>261.49805185102696</c:v>
                </c:pt>
                <c:pt idx="19">
                  <c:v>275.96731936217054</c:v>
                </c:pt>
                <c:pt idx="20">
                  <c:v>279.1207251504992</c:v>
                </c:pt>
                <c:pt idx="21">
                  <c:v>288.56299637118366</c:v>
                </c:pt>
                <c:pt idx="22">
                  <c:v>297.99415272296164</c:v>
                </c:pt>
                <c:pt idx="23">
                  <c:v>307.97049417922005</c:v>
                </c:pt>
                <c:pt idx="24">
                  <c:v>313.12467639781482</c:v>
                </c:pt>
                <c:pt idx="25">
                  <c:v>320.65365661889331</c:v>
                </c:pt>
                <c:pt idx="26">
                  <c:v>326.81745495946774</c:v>
                </c:pt>
                <c:pt idx="27">
                  <c:v>331.75673981481879</c:v>
                </c:pt>
                <c:pt idx="28">
                  <c:v>335.1827199195364</c:v>
                </c:pt>
                <c:pt idx="29">
                  <c:v>337.88488928425488</c:v>
                </c:pt>
                <c:pt idx="30">
                  <c:v>339.96609902233695</c:v>
                </c:pt>
                <c:pt idx="31">
                  <c:v>341.6625023614103</c:v>
                </c:pt>
                <c:pt idx="32">
                  <c:v>343.13474306991878</c:v>
                </c:pt>
                <c:pt idx="33">
                  <c:v>345.79750855918849</c:v>
                </c:pt>
                <c:pt idx="34">
                  <c:v>348.18819276739669</c:v>
                </c:pt>
                <c:pt idx="35">
                  <c:v>350.2081041208437</c:v>
                </c:pt>
                <c:pt idx="36">
                  <c:v>352.01086765357002</c:v>
                </c:pt>
                <c:pt idx="37">
                  <c:v>353.60682609754701</c:v>
                </c:pt>
                <c:pt idx="38">
                  <c:v>355.04490755641137</c:v>
                </c:pt>
                <c:pt idx="39">
                  <c:v>356.32752661602046</c:v>
                </c:pt>
                <c:pt idx="40">
                  <c:v>357.48994299296101</c:v>
                </c:pt>
                <c:pt idx="41">
                  <c:v>358.55341116217517</c:v>
                </c:pt>
                <c:pt idx="42">
                  <c:v>359.51184867028923</c:v>
                </c:pt>
                <c:pt idx="43">
                  <c:v>360.42108974622232</c:v>
                </c:pt>
                <c:pt idx="44">
                  <c:v>361.26776553135932</c:v>
                </c:pt>
                <c:pt idx="45">
                  <c:v>362.08185014715764</c:v>
                </c:pt>
                <c:pt idx="46">
                  <c:v>362.70182341718373</c:v>
                </c:pt>
                <c:pt idx="47">
                  <c:v>363.00962352565432</c:v>
                </c:pt>
                <c:pt idx="48">
                  <c:v>363.26598907804919</c:v>
                </c:pt>
                <c:pt idx="49">
                  <c:v>363.49535810012947</c:v>
                </c:pt>
                <c:pt idx="50">
                  <c:v>363.7187955013535</c:v>
                </c:pt>
                <c:pt idx="51">
                  <c:v>363.94554582450962</c:v>
                </c:pt>
                <c:pt idx="52">
                  <c:v>364.1650852517248</c:v>
                </c:pt>
                <c:pt idx="53">
                  <c:v>364.31620221625064</c:v>
                </c:pt>
                <c:pt idx="54">
                  <c:v>364.45280039626681</c:v>
                </c:pt>
                <c:pt idx="55">
                  <c:v>364.58597729954965</c:v>
                </c:pt>
                <c:pt idx="56">
                  <c:v>364.72883091380533</c:v>
                </c:pt>
                <c:pt idx="57">
                  <c:v>364.86394422585732</c:v>
                </c:pt>
                <c:pt idx="58">
                  <c:v>365.01569879579102</c:v>
                </c:pt>
                <c:pt idx="59">
                  <c:v>365.11502026157319</c:v>
                </c:pt>
                <c:pt idx="60">
                  <c:v>365.21151175768478</c:v>
                </c:pt>
                <c:pt idx="61">
                  <c:v>365.30175316944701</c:v>
                </c:pt>
                <c:pt idx="62">
                  <c:v>365.40092761110179</c:v>
                </c:pt>
                <c:pt idx="63">
                  <c:v>365.49644039195152</c:v>
                </c:pt>
                <c:pt idx="64">
                  <c:v>365.59089791703923</c:v>
                </c:pt>
                <c:pt idx="65">
                  <c:v>365.65014970123144</c:v>
                </c:pt>
                <c:pt idx="66">
                  <c:v>365.87467485794406</c:v>
                </c:pt>
              </c:numCache>
            </c:numRef>
          </c:yVal>
          <c:smooth val="1"/>
          <c:extLst xmlns:c16r2="http://schemas.microsoft.com/office/drawing/2015/06/chart">
            <c:ext xmlns:c16="http://schemas.microsoft.com/office/drawing/2014/chart" uri="{C3380CC4-5D6E-409C-BE32-E72D297353CC}">
              <c16:uniqueId val="{00000002-3DF6-43F8-9D29-18DDF5CA6192}"/>
            </c:ext>
          </c:extLst>
        </c:ser>
        <c:ser>
          <c:idx val="3"/>
          <c:order val="3"/>
          <c:tx>
            <c:v>B9 desorp</c:v>
          </c:tx>
          <c:spPr>
            <a:ln>
              <a:solidFill>
                <a:schemeClr val="tx1"/>
              </a:solidFill>
            </a:ln>
          </c:spPr>
          <c:marker>
            <c:symbol val="triangle"/>
            <c:size val="7"/>
            <c:spPr>
              <a:solidFill>
                <a:schemeClr val="tx1"/>
              </a:solidFill>
              <a:ln>
                <a:solidFill>
                  <a:prstClr val="black"/>
                </a:solidFill>
              </a:ln>
            </c:spPr>
          </c:marker>
          <c:xVal>
            <c:numRef>
              <c:f>Sheet1!$Z$4:$Z$32</c:f>
              <c:numCache>
                <c:formatCode>General</c:formatCode>
                <c:ptCount val="29"/>
                <c:pt idx="0">
                  <c:v>0.9974547913265065</c:v>
                </c:pt>
                <c:pt idx="1">
                  <c:v>0.97673552594323931</c:v>
                </c:pt>
                <c:pt idx="2">
                  <c:v>0.95736511506401378</c:v>
                </c:pt>
                <c:pt idx="3">
                  <c:v>0.93738960145798833</c:v>
                </c:pt>
                <c:pt idx="4">
                  <c:v>0.93056874274681922</c:v>
                </c:pt>
                <c:pt idx="5">
                  <c:v>0.92024070697396698</c:v>
                </c:pt>
                <c:pt idx="6">
                  <c:v>0.91072394155441061</c:v>
                </c:pt>
                <c:pt idx="7">
                  <c:v>0.9006874101929</c:v>
                </c:pt>
                <c:pt idx="8">
                  <c:v>0.89053153572981159</c:v>
                </c:pt>
                <c:pt idx="9">
                  <c:v>0.86209674826043603</c:v>
                </c:pt>
                <c:pt idx="10">
                  <c:v>0.8225627540120074</c:v>
                </c:pt>
                <c:pt idx="11">
                  <c:v>0.78219314881950031</c:v>
                </c:pt>
                <c:pt idx="12">
                  <c:v>0.74221392120482377</c:v>
                </c:pt>
                <c:pt idx="13">
                  <c:v>0.70200751720948018</c:v>
                </c:pt>
                <c:pt idx="14">
                  <c:v>0.66202002430172235</c:v>
                </c:pt>
                <c:pt idx="15">
                  <c:v>0.62187736096571067</c:v>
                </c:pt>
                <c:pt idx="16">
                  <c:v>0.5818444343905641</c:v>
                </c:pt>
                <c:pt idx="17">
                  <c:v>0.54181734814509608</c:v>
                </c:pt>
                <c:pt idx="18">
                  <c:v>0.50175554145643853</c:v>
                </c:pt>
                <c:pt idx="19">
                  <c:v>0.46255320256202059</c:v>
                </c:pt>
                <c:pt idx="20">
                  <c:v>0.42252394442065788</c:v>
                </c:pt>
                <c:pt idx="21">
                  <c:v>0.38019178308565205</c:v>
                </c:pt>
                <c:pt idx="22">
                  <c:v>0.34210838641356506</c:v>
                </c:pt>
                <c:pt idx="23">
                  <c:v>0.30260196513437143</c:v>
                </c:pt>
                <c:pt idx="24">
                  <c:v>0.25408262914909902</c:v>
                </c:pt>
                <c:pt idx="25">
                  <c:v>0.20099781839292377</c:v>
                </c:pt>
                <c:pt idx="26">
                  <c:v>0.1540033995977953</c:v>
                </c:pt>
                <c:pt idx="27">
                  <c:v>0.10722424365802505</c:v>
                </c:pt>
                <c:pt idx="28">
                  <c:v>9.5822920725290889E-2</c:v>
                </c:pt>
              </c:numCache>
            </c:numRef>
          </c:xVal>
          <c:yVal>
            <c:numRef>
              <c:f>Sheet1!$AA$4:$AA$32</c:f>
              <c:numCache>
                <c:formatCode>General</c:formatCode>
                <c:ptCount val="29"/>
                <c:pt idx="0">
                  <c:v>365.87467485794406</c:v>
                </c:pt>
                <c:pt idx="1">
                  <c:v>365.42015246640216</c:v>
                </c:pt>
                <c:pt idx="2">
                  <c:v>365.05149246848345</c:v>
                </c:pt>
                <c:pt idx="3">
                  <c:v>364.69468438705155</c:v>
                </c:pt>
                <c:pt idx="4">
                  <c:v>364.51568553788047</c:v>
                </c:pt>
                <c:pt idx="5">
                  <c:v>364.32894663237374</c:v>
                </c:pt>
                <c:pt idx="6">
                  <c:v>364.16168441032181</c:v>
                </c:pt>
                <c:pt idx="7">
                  <c:v>363.97553774784086</c:v>
                </c:pt>
                <c:pt idx="8">
                  <c:v>363.8122535909327</c:v>
                </c:pt>
                <c:pt idx="9">
                  <c:v>363.38487674629164</c:v>
                </c:pt>
                <c:pt idx="10">
                  <c:v>362.70522202557743</c:v>
                </c:pt>
                <c:pt idx="11">
                  <c:v>361.94886391310405</c:v>
                </c:pt>
                <c:pt idx="12">
                  <c:v>361.12477463574777</c:v>
                </c:pt>
                <c:pt idx="13">
                  <c:v>360.25752987444872</c:v>
                </c:pt>
                <c:pt idx="14">
                  <c:v>359.32212680279883</c:v>
                </c:pt>
                <c:pt idx="15">
                  <c:v>358.31690075280875</c:v>
                </c:pt>
                <c:pt idx="16">
                  <c:v>357.23008551599429</c:v>
                </c:pt>
                <c:pt idx="17">
                  <c:v>356.03199341984117</c:v>
                </c:pt>
                <c:pt idx="18">
                  <c:v>354.70121620928194</c:v>
                </c:pt>
                <c:pt idx="19">
                  <c:v>352.90592811549101</c:v>
                </c:pt>
                <c:pt idx="20">
                  <c:v>350.29240951873822</c:v>
                </c:pt>
                <c:pt idx="21">
                  <c:v>347.54412166820913</c:v>
                </c:pt>
                <c:pt idx="22">
                  <c:v>344.85984343939828</c:v>
                </c:pt>
                <c:pt idx="23">
                  <c:v>341.44256503070778</c:v>
                </c:pt>
                <c:pt idx="24">
                  <c:v>335.88888176495431</c:v>
                </c:pt>
                <c:pt idx="25">
                  <c:v>327.10261433471828</c:v>
                </c:pt>
                <c:pt idx="26">
                  <c:v>315.68524039874978</c:v>
                </c:pt>
                <c:pt idx="27">
                  <c:v>299.11486327581838</c:v>
                </c:pt>
                <c:pt idx="28">
                  <c:v>293.94612008088166</c:v>
                </c:pt>
              </c:numCache>
            </c:numRef>
          </c:yVal>
          <c:smooth val="1"/>
          <c:extLst xmlns:c16r2="http://schemas.microsoft.com/office/drawing/2015/06/chart">
            <c:ext xmlns:c16="http://schemas.microsoft.com/office/drawing/2014/chart" uri="{C3380CC4-5D6E-409C-BE32-E72D297353CC}">
              <c16:uniqueId val="{00000003-3DF6-43F8-9D29-18DDF5CA6192}"/>
            </c:ext>
          </c:extLst>
        </c:ser>
        <c:ser>
          <c:idx val="4"/>
          <c:order val="4"/>
          <c:tx>
            <c:v>Sample C12</c:v>
          </c:tx>
          <c:spPr>
            <a:ln>
              <a:solidFill>
                <a:prstClr val="black"/>
              </a:solidFill>
            </a:ln>
          </c:spPr>
          <c:marker>
            <c:symbol val="circle"/>
            <c:size val="7"/>
            <c:spPr>
              <a:noFill/>
              <a:ln>
                <a:solidFill>
                  <a:prstClr val="black"/>
                </a:solidFill>
              </a:ln>
            </c:spPr>
          </c:marker>
          <c:xVal>
            <c:numRef>
              <c:f>Sheet1!$AD$4:$AD$58</c:f>
              <c:numCache>
                <c:formatCode>General</c:formatCode>
                <c:ptCount val="55"/>
                <c:pt idx="0">
                  <c:v>7.8380167193208922E-5</c:v>
                </c:pt>
                <c:pt idx="1">
                  <c:v>1.9033408591242316E-4</c:v>
                </c:pt>
                <c:pt idx="2">
                  <c:v>4.2495331793858951E-4</c:v>
                </c:pt>
                <c:pt idx="3">
                  <c:v>1.0977409663843717E-3</c:v>
                </c:pt>
                <c:pt idx="4">
                  <c:v>3.8405081490336412E-3</c:v>
                </c:pt>
                <c:pt idx="5">
                  <c:v>1.1869590892401877E-2</c:v>
                </c:pt>
                <c:pt idx="6">
                  <c:v>2.2936597808480733E-2</c:v>
                </c:pt>
                <c:pt idx="7">
                  <c:v>5.1372450712559505E-2</c:v>
                </c:pt>
                <c:pt idx="8">
                  <c:v>7.4947732076157333E-2</c:v>
                </c:pt>
                <c:pt idx="9">
                  <c:v>8.7822769766005754E-2</c:v>
                </c:pt>
                <c:pt idx="10">
                  <c:v>0.10649093758796656</c:v>
                </c:pt>
                <c:pt idx="11">
                  <c:v>0.13085061547486337</c:v>
                </c:pt>
                <c:pt idx="12">
                  <c:v>0.14752980615222569</c:v>
                </c:pt>
                <c:pt idx="13">
                  <c:v>0.17290056516025093</c:v>
                </c:pt>
                <c:pt idx="14">
                  <c:v>0.19986944822847591</c:v>
                </c:pt>
                <c:pt idx="15">
                  <c:v>0.2276976788570107</c:v>
                </c:pt>
                <c:pt idx="16">
                  <c:v>0.25598352153734188</c:v>
                </c:pt>
                <c:pt idx="17">
                  <c:v>0.28468536918800175</c:v>
                </c:pt>
                <c:pt idx="18">
                  <c:v>0.31073627522526914</c:v>
                </c:pt>
                <c:pt idx="19">
                  <c:v>0.33011285606479163</c:v>
                </c:pt>
                <c:pt idx="20">
                  <c:v>0.3473880030813799</c:v>
                </c:pt>
                <c:pt idx="21">
                  <c:v>0.37861829682359932</c:v>
                </c:pt>
                <c:pt idx="22">
                  <c:v>0.41843327128757396</c:v>
                </c:pt>
                <c:pt idx="23">
                  <c:v>0.45781642760041774</c:v>
                </c:pt>
                <c:pt idx="24">
                  <c:v>0.49773107400732669</c:v>
                </c:pt>
                <c:pt idx="25">
                  <c:v>0.53810367759115463</c:v>
                </c:pt>
                <c:pt idx="26">
                  <c:v>0.57795971992923645</c:v>
                </c:pt>
                <c:pt idx="27">
                  <c:v>0.61813848393214954</c:v>
                </c:pt>
                <c:pt idx="28">
                  <c:v>0.65808703262531776</c:v>
                </c:pt>
                <c:pt idx="29">
                  <c:v>0.69801384913864739</c:v>
                </c:pt>
                <c:pt idx="30">
                  <c:v>0.73796262166683269</c:v>
                </c:pt>
                <c:pt idx="31">
                  <c:v>0.77789914610164723</c:v>
                </c:pt>
                <c:pt idx="32">
                  <c:v>0.81784501808515431</c:v>
                </c:pt>
                <c:pt idx="33">
                  <c:v>0.85748535033906392</c:v>
                </c:pt>
                <c:pt idx="34">
                  <c:v>0.88796678250855421</c:v>
                </c:pt>
                <c:pt idx="35">
                  <c:v>0.8992076450172064</c:v>
                </c:pt>
                <c:pt idx="36">
                  <c:v>0.90949943078556161</c:v>
                </c:pt>
                <c:pt idx="37">
                  <c:v>0.9193589403057052</c:v>
                </c:pt>
                <c:pt idx="38">
                  <c:v>0.92940055156463242</c:v>
                </c:pt>
                <c:pt idx="39">
                  <c:v>0.93911000910948605</c:v>
                </c:pt>
                <c:pt idx="40">
                  <c:v>0.9490934859490241</c:v>
                </c:pt>
                <c:pt idx="41">
                  <c:v>0.95450868871255956</c:v>
                </c:pt>
                <c:pt idx="42">
                  <c:v>0.95946652476534244</c:v>
                </c:pt>
                <c:pt idx="43">
                  <c:v>0.96448281554872162</c:v>
                </c:pt>
                <c:pt idx="44">
                  <c:v>0.96941795664082764</c:v>
                </c:pt>
                <c:pt idx="45">
                  <c:v>0.97457661310373278</c:v>
                </c:pt>
                <c:pt idx="46">
                  <c:v>0.97991578099371568</c:v>
                </c:pt>
                <c:pt idx="47">
                  <c:v>0.98250539043536356</c:v>
                </c:pt>
                <c:pt idx="48">
                  <c:v>0.98480988445296458</c:v>
                </c:pt>
                <c:pt idx="49">
                  <c:v>0.98730269762496159</c:v>
                </c:pt>
                <c:pt idx="50">
                  <c:v>0.98963794743205857</c:v>
                </c:pt>
                <c:pt idx="51">
                  <c:v>0.99167418338817426</c:v>
                </c:pt>
                <c:pt idx="52">
                  <c:v>0.99366752126298863</c:v>
                </c:pt>
                <c:pt idx="53">
                  <c:v>0.99479856209138762</c:v>
                </c:pt>
                <c:pt idx="54">
                  <c:v>0.9973825880156979</c:v>
                </c:pt>
              </c:numCache>
            </c:numRef>
          </c:xVal>
          <c:yVal>
            <c:numRef>
              <c:f>Sheet1!$AE$4:$AE$58</c:f>
              <c:numCache>
                <c:formatCode>General</c:formatCode>
                <c:ptCount val="55"/>
                <c:pt idx="0">
                  <c:v>14.852268675656559</c:v>
                </c:pt>
                <c:pt idx="1">
                  <c:v>29.668844940112432</c:v>
                </c:pt>
                <c:pt idx="2">
                  <c:v>44.428984769506478</c:v>
                </c:pt>
                <c:pt idx="3">
                  <c:v>58.40278017647627</c:v>
                </c:pt>
                <c:pt idx="4">
                  <c:v>74.143760463363932</c:v>
                </c:pt>
                <c:pt idx="5">
                  <c:v>87.998565064148167</c:v>
                </c:pt>
                <c:pt idx="6">
                  <c:v>97.463096629344037</c:v>
                </c:pt>
                <c:pt idx="7">
                  <c:v>112.79492035344411</c:v>
                </c:pt>
                <c:pt idx="8">
                  <c:v>122.56287365353462</c:v>
                </c:pt>
                <c:pt idx="9">
                  <c:v>127.25850552385735</c:v>
                </c:pt>
                <c:pt idx="10">
                  <c:v>133.48268528304916</c:v>
                </c:pt>
                <c:pt idx="11">
                  <c:v>140.73336337359538</c:v>
                </c:pt>
                <c:pt idx="12">
                  <c:v>145.21634169711442</c:v>
                </c:pt>
                <c:pt idx="13">
                  <c:v>151.31189613136218</c:v>
                </c:pt>
                <c:pt idx="14">
                  <c:v>156.942686574535</c:v>
                </c:pt>
                <c:pt idx="15">
                  <c:v>161.87361650590967</c:v>
                </c:pt>
                <c:pt idx="16">
                  <c:v>166.12710676188118</c:v>
                </c:pt>
                <c:pt idx="17">
                  <c:v>169.63320428427997</c:v>
                </c:pt>
                <c:pt idx="18">
                  <c:v>172.25922029722182</c:v>
                </c:pt>
                <c:pt idx="19">
                  <c:v>173.90277841643149</c:v>
                </c:pt>
                <c:pt idx="20">
                  <c:v>175.17471763725908</c:v>
                </c:pt>
                <c:pt idx="21">
                  <c:v>177.06406309301553</c:v>
                </c:pt>
                <c:pt idx="22">
                  <c:v>178.86044231782506</c:v>
                </c:pt>
                <c:pt idx="23">
                  <c:v>180.197313143066</c:v>
                </c:pt>
                <c:pt idx="24">
                  <c:v>181.29080519881478</c:v>
                </c:pt>
                <c:pt idx="25">
                  <c:v>182.18461058250858</c:v>
                </c:pt>
                <c:pt idx="26">
                  <c:v>182.93796297670178</c:v>
                </c:pt>
                <c:pt idx="27">
                  <c:v>183.58094664204029</c:v>
                </c:pt>
                <c:pt idx="28">
                  <c:v>184.13756510761073</c:v>
                </c:pt>
                <c:pt idx="29">
                  <c:v>184.62490061144968</c:v>
                </c:pt>
                <c:pt idx="30">
                  <c:v>185.0624045292555</c:v>
                </c:pt>
                <c:pt idx="31">
                  <c:v>185.45234771243841</c:v>
                </c:pt>
                <c:pt idx="32">
                  <c:v>185.80218320246254</c:v>
                </c:pt>
                <c:pt idx="33">
                  <c:v>186.14391449622789</c:v>
                </c:pt>
                <c:pt idx="34">
                  <c:v>186.40735005782409</c:v>
                </c:pt>
                <c:pt idx="35">
                  <c:v>186.5329626233719</c:v>
                </c:pt>
                <c:pt idx="36">
                  <c:v>186.63864665393427</c:v>
                </c:pt>
                <c:pt idx="37">
                  <c:v>186.73707874367571</c:v>
                </c:pt>
                <c:pt idx="38">
                  <c:v>186.82730773475367</c:v>
                </c:pt>
                <c:pt idx="39">
                  <c:v>186.92130030239369</c:v>
                </c:pt>
                <c:pt idx="40">
                  <c:v>187.02983532802082</c:v>
                </c:pt>
                <c:pt idx="41">
                  <c:v>187.09743206838763</c:v>
                </c:pt>
                <c:pt idx="42">
                  <c:v>187.16463899594962</c:v>
                </c:pt>
                <c:pt idx="43">
                  <c:v>187.22824133381422</c:v>
                </c:pt>
                <c:pt idx="44">
                  <c:v>187.29648213998058</c:v>
                </c:pt>
                <c:pt idx="45">
                  <c:v>187.38126292837421</c:v>
                </c:pt>
                <c:pt idx="46">
                  <c:v>187.46535070593086</c:v>
                </c:pt>
                <c:pt idx="47">
                  <c:v>187.5212316563514</c:v>
                </c:pt>
                <c:pt idx="48">
                  <c:v>187.57569341033778</c:v>
                </c:pt>
                <c:pt idx="49">
                  <c:v>187.62488126661856</c:v>
                </c:pt>
                <c:pt idx="50">
                  <c:v>187.67565363535638</c:v>
                </c:pt>
                <c:pt idx="51">
                  <c:v>187.72864164794211</c:v>
                </c:pt>
                <c:pt idx="52">
                  <c:v>187.79147296566504</c:v>
                </c:pt>
                <c:pt idx="53">
                  <c:v>187.82616727036569</c:v>
                </c:pt>
                <c:pt idx="54">
                  <c:v>187.953616334065</c:v>
                </c:pt>
              </c:numCache>
            </c:numRef>
          </c:yVal>
          <c:smooth val="1"/>
          <c:extLst xmlns:c16r2="http://schemas.microsoft.com/office/drawing/2015/06/chart">
            <c:ext xmlns:c16="http://schemas.microsoft.com/office/drawing/2014/chart" uri="{C3380CC4-5D6E-409C-BE32-E72D297353CC}">
              <c16:uniqueId val="{00000004-3DF6-43F8-9D29-18DDF5CA6192}"/>
            </c:ext>
          </c:extLst>
        </c:ser>
        <c:ser>
          <c:idx val="5"/>
          <c:order val="5"/>
          <c:tx>
            <c:v>C12 desorp</c:v>
          </c:tx>
          <c:spPr>
            <a:ln>
              <a:solidFill>
                <a:prstClr val="black"/>
              </a:solidFill>
            </a:ln>
          </c:spPr>
          <c:marker>
            <c:spPr>
              <a:solidFill>
                <a:sysClr val="windowText" lastClr="000000"/>
              </a:solidFill>
              <a:ln>
                <a:solidFill>
                  <a:prstClr val="black"/>
                </a:solidFill>
              </a:ln>
            </c:spPr>
          </c:marker>
          <c:xVal>
            <c:numRef>
              <c:f>Sheet1!$AF$4:$AF$31</c:f>
              <c:numCache>
                <c:formatCode>General</c:formatCode>
                <c:ptCount val="28"/>
                <c:pt idx="0">
                  <c:v>0.9973825880156979</c:v>
                </c:pt>
                <c:pt idx="1">
                  <c:v>0.97651111670393309</c:v>
                </c:pt>
                <c:pt idx="2">
                  <c:v>0.95704811688732583</c:v>
                </c:pt>
                <c:pt idx="3">
                  <c:v>0.93693126850309716</c:v>
                </c:pt>
                <c:pt idx="4">
                  <c:v>0.93043053507369877</c:v>
                </c:pt>
                <c:pt idx="5">
                  <c:v>0.92037842867338848</c:v>
                </c:pt>
                <c:pt idx="6">
                  <c:v>0.91057633304964558</c:v>
                </c:pt>
                <c:pt idx="7">
                  <c:v>0.90047988675574453</c:v>
                </c:pt>
                <c:pt idx="8">
                  <c:v>0.89052801694355765</c:v>
                </c:pt>
                <c:pt idx="9">
                  <c:v>0.86180115477433161</c:v>
                </c:pt>
                <c:pt idx="10">
                  <c:v>0.82229147871464581</c:v>
                </c:pt>
                <c:pt idx="11">
                  <c:v>0.78205148407192449</c:v>
                </c:pt>
                <c:pt idx="12">
                  <c:v>0.74191706653561873</c:v>
                </c:pt>
                <c:pt idx="13">
                  <c:v>0.70178615533886923</c:v>
                </c:pt>
                <c:pt idx="14">
                  <c:v>0.66179251517770343</c:v>
                </c:pt>
                <c:pt idx="15">
                  <c:v>0.62167024517834213</c:v>
                </c:pt>
                <c:pt idx="16">
                  <c:v>0.58174159332303943</c:v>
                </c:pt>
                <c:pt idx="17">
                  <c:v>0.54155283567619972</c:v>
                </c:pt>
                <c:pt idx="18">
                  <c:v>0.50152767226724249</c:v>
                </c:pt>
                <c:pt idx="19">
                  <c:v>0.46320824616879963</c:v>
                </c:pt>
                <c:pt idx="20">
                  <c:v>0.42367240184920946</c:v>
                </c:pt>
                <c:pt idx="21">
                  <c:v>0.38082907978639641</c:v>
                </c:pt>
                <c:pt idx="22">
                  <c:v>0.34161465555416692</c:v>
                </c:pt>
                <c:pt idx="23">
                  <c:v>0.30371688312716016</c:v>
                </c:pt>
                <c:pt idx="24">
                  <c:v>0.25635177913343832</c:v>
                </c:pt>
                <c:pt idx="25">
                  <c:v>0.20316255811382361</c:v>
                </c:pt>
                <c:pt idx="26">
                  <c:v>0.15334159638193587</c:v>
                </c:pt>
                <c:pt idx="27">
                  <c:v>0.10368117851664022</c:v>
                </c:pt>
              </c:numCache>
            </c:numRef>
          </c:xVal>
          <c:yVal>
            <c:numRef>
              <c:f>Sheet1!$AG$4:$AG$31</c:f>
              <c:numCache>
                <c:formatCode>General</c:formatCode>
                <c:ptCount val="28"/>
                <c:pt idx="0">
                  <c:v>187.953616334065</c:v>
                </c:pt>
                <c:pt idx="1">
                  <c:v>187.64732213857042</c:v>
                </c:pt>
                <c:pt idx="2">
                  <c:v>187.43110941918962</c:v>
                </c:pt>
                <c:pt idx="3">
                  <c:v>187.25583974557907</c:v>
                </c:pt>
                <c:pt idx="4">
                  <c:v>187.18920334343107</c:v>
                </c:pt>
                <c:pt idx="5">
                  <c:v>187.11540831050004</c:v>
                </c:pt>
                <c:pt idx="6">
                  <c:v>187.04085996022516</c:v>
                </c:pt>
                <c:pt idx="7">
                  <c:v>186.97254868521827</c:v>
                </c:pt>
                <c:pt idx="8">
                  <c:v>186.89967010770872</c:v>
                </c:pt>
                <c:pt idx="9">
                  <c:v>186.7148203315771</c:v>
                </c:pt>
                <c:pt idx="10">
                  <c:v>186.44008296296812</c:v>
                </c:pt>
                <c:pt idx="11">
                  <c:v>186.1347791297917</c:v>
                </c:pt>
                <c:pt idx="12">
                  <c:v>185.80008517515222</c:v>
                </c:pt>
                <c:pt idx="13">
                  <c:v>185.44985963834608</c:v>
                </c:pt>
                <c:pt idx="14">
                  <c:v>185.07385579587358</c:v>
                </c:pt>
                <c:pt idx="15">
                  <c:v>184.68301305304178</c:v>
                </c:pt>
                <c:pt idx="16">
                  <c:v>184.24510885165449</c:v>
                </c:pt>
                <c:pt idx="17">
                  <c:v>183.75471146031245</c:v>
                </c:pt>
                <c:pt idx="18">
                  <c:v>183.19781434711501</c:v>
                </c:pt>
                <c:pt idx="19">
                  <c:v>182.12098499949639</c:v>
                </c:pt>
                <c:pt idx="20">
                  <c:v>180.12399762877402</c:v>
                </c:pt>
                <c:pt idx="21">
                  <c:v>177.69616030726527</c:v>
                </c:pt>
                <c:pt idx="22">
                  <c:v>175.29471105078511</c:v>
                </c:pt>
                <c:pt idx="23">
                  <c:v>172.18402245883877</c:v>
                </c:pt>
                <c:pt idx="24">
                  <c:v>166.79818969689072</c:v>
                </c:pt>
                <c:pt idx="25">
                  <c:v>158.28352106879782</c:v>
                </c:pt>
                <c:pt idx="26">
                  <c:v>147.45889256472029</c:v>
                </c:pt>
                <c:pt idx="27">
                  <c:v>133.41786617657195</c:v>
                </c:pt>
              </c:numCache>
            </c:numRef>
          </c:yVal>
          <c:smooth val="1"/>
          <c:extLst xmlns:c16r2="http://schemas.microsoft.com/office/drawing/2015/06/chart">
            <c:ext xmlns:c16="http://schemas.microsoft.com/office/drawing/2014/chart" uri="{C3380CC4-5D6E-409C-BE32-E72D297353CC}">
              <c16:uniqueId val="{00000005-3DF6-43F8-9D29-18DDF5CA6192}"/>
            </c:ext>
          </c:extLst>
        </c:ser>
        <c:ser>
          <c:idx val="6"/>
          <c:order val="6"/>
          <c:tx>
            <c:v>Sample D15</c:v>
          </c:tx>
          <c:spPr>
            <a:ln>
              <a:solidFill>
                <a:schemeClr val="tx1"/>
              </a:solidFill>
            </a:ln>
          </c:spPr>
          <c:marker>
            <c:symbol val="x"/>
            <c:size val="7"/>
            <c:spPr>
              <a:noFill/>
              <a:ln>
                <a:solidFill>
                  <a:schemeClr val="tx1"/>
                </a:solidFill>
              </a:ln>
            </c:spPr>
          </c:marker>
          <c:xVal>
            <c:numRef>
              <c:f>Sheet1!$AJ$4:$AJ$53</c:f>
              <c:numCache>
                <c:formatCode>General</c:formatCode>
                <c:ptCount val="50"/>
                <c:pt idx="0">
                  <c:v>1.3940517925680901E-2</c:v>
                </c:pt>
                <c:pt idx="1">
                  <c:v>2.9001230572905705E-2</c:v>
                </c:pt>
                <c:pt idx="2">
                  <c:v>6.0443100125826869E-2</c:v>
                </c:pt>
                <c:pt idx="3">
                  <c:v>7.3679776421115797E-2</c:v>
                </c:pt>
                <c:pt idx="4">
                  <c:v>8.9515053265998831E-2</c:v>
                </c:pt>
                <c:pt idx="5">
                  <c:v>0.10928108579202517</c:v>
                </c:pt>
                <c:pt idx="6">
                  <c:v>0.1339548493747979</c:v>
                </c:pt>
                <c:pt idx="7">
                  <c:v>0.14920932340826812</c:v>
                </c:pt>
                <c:pt idx="8">
                  <c:v>0.17383480658749914</c:v>
                </c:pt>
                <c:pt idx="9">
                  <c:v>0.19878051852975187</c:v>
                </c:pt>
                <c:pt idx="10">
                  <c:v>0.22384786451396629</c:v>
                </c:pt>
                <c:pt idx="11">
                  <c:v>0.24902844701016244</c:v>
                </c:pt>
                <c:pt idx="12">
                  <c:v>0.27426481853701334</c:v>
                </c:pt>
                <c:pt idx="13">
                  <c:v>0.29968666713407299</c:v>
                </c:pt>
                <c:pt idx="14">
                  <c:v>0.32023538488852471</c:v>
                </c:pt>
                <c:pt idx="15">
                  <c:v>0.34059327793787236</c:v>
                </c:pt>
                <c:pt idx="16">
                  <c:v>0.37894396363346877</c:v>
                </c:pt>
                <c:pt idx="17">
                  <c:v>0.41898518113277461</c:v>
                </c:pt>
                <c:pt idx="18">
                  <c:v>0.45901113496141976</c:v>
                </c:pt>
                <c:pt idx="19">
                  <c:v>0.49863631703562816</c:v>
                </c:pt>
                <c:pt idx="20">
                  <c:v>0.53848903484853994</c:v>
                </c:pt>
                <c:pt idx="21">
                  <c:v>0.57848734623916109</c:v>
                </c:pt>
                <c:pt idx="22">
                  <c:v>0.6183763539755287</c:v>
                </c:pt>
                <c:pt idx="23">
                  <c:v>0.6583634030728297</c:v>
                </c:pt>
                <c:pt idx="24">
                  <c:v>0.69826659399163915</c:v>
                </c:pt>
                <c:pt idx="25">
                  <c:v>0.73814607301727864</c:v>
                </c:pt>
                <c:pt idx="26">
                  <c:v>0.7780759865365704</c:v>
                </c:pt>
                <c:pt idx="27">
                  <c:v>0.81790938967037563</c:v>
                </c:pt>
                <c:pt idx="28">
                  <c:v>0.85784920303115275</c:v>
                </c:pt>
                <c:pt idx="29">
                  <c:v>0.88828366144468129</c:v>
                </c:pt>
                <c:pt idx="30">
                  <c:v>0.89937985439511881</c:v>
                </c:pt>
                <c:pt idx="31">
                  <c:v>0.90942130785060848</c:v>
                </c:pt>
                <c:pt idx="32">
                  <c:v>0.91962170413342625</c:v>
                </c:pt>
                <c:pt idx="33">
                  <c:v>0.92942655444181699</c:v>
                </c:pt>
                <c:pt idx="34">
                  <c:v>0.93932038697660858</c:v>
                </c:pt>
                <c:pt idx="35">
                  <c:v>0.9493793867436866</c:v>
                </c:pt>
                <c:pt idx="36">
                  <c:v>0.95470264210481703</c:v>
                </c:pt>
                <c:pt idx="37">
                  <c:v>0.95975964264626012</c:v>
                </c:pt>
                <c:pt idx="38">
                  <c:v>0.96483720658109073</c:v>
                </c:pt>
                <c:pt idx="39">
                  <c:v>0.96977833963496762</c:v>
                </c:pt>
                <c:pt idx="40">
                  <c:v>0.97496055829509065</c:v>
                </c:pt>
                <c:pt idx="41">
                  <c:v>0.97990386849501065</c:v>
                </c:pt>
                <c:pt idx="42">
                  <c:v>0.98264505956580783</c:v>
                </c:pt>
                <c:pt idx="43">
                  <c:v>0.98522734968851744</c:v>
                </c:pt>
                <c:pt idx="44">
                  <c:v>0.98781311470321409</c:v>
                </c:pt>
                <c:pt idx="45">
                  <c:v>0.99023784102993773</c:v>
                </c:pt>
                <c:pt idx="46">
                  <c:v>0.99225757995095487</c:v>
                </c:pt>
                <c:pt idx="47">
                  <c:v>0.99432515352300421</c:v>
                </c:pt>
                <c:pt idx="48">
                  <c:v>0.99534512248824569</c:v>
                </c:pt>
                <c:pt idx="49">
                  <c:v>0.99822704080498326</c:v>
                </c:pt>
              </c:numCache>
            </c:numRef>
          </c:xVal>
          <c:yVal>
            <c:numRef>
              <c:f>Sheet1!$AK$4:$AK$53</c:f>
              <c:numCache>
                <c:formatCode>General</c:formatCode>
                <c:ptCount val="50"/>
                <c:pt idx="0">
                  <c:v>7.9399914017116</c:v>
                </c:pt>
                <c:pt idx="1">
                  <c:v>9.0089125092165219</c:v>
                </c:pt>
                <c:pt idx="2">
                  <c:v>10.428111025046368</c:v>
                </c:pt>
                <c:pt idx="3">
                  <c:v>10.96860336718075</c:v>
                </c:pt>
                <c:pt idx="4">
                  <c:v>11.571750463348716</c:v>
                </c:pt>
                <c:pt idx="5">
                  <c:v>12.291884188951807</c:v>
                </c:pt>
                <c:pt idx="6">
                  <c:v>13.161815569130781</c:v>
                </c:pt>
                <c:pt idx="7">
                  <c:v>13.698714788178398</c:v>
                </c:pt>
                <c:pt idx="8">
                  <c:v>14.519981283121419</c:v>
                </c:pt>
                <c:pt idx="9">
                  <c:v>15.326001809729391</c:v>
                </c:pt>
                <c:pt idx="10">
                  <c:v>16.101866887516291</c:v>
                </c:pt>
                <c:pt idx="11">
                  <c:v>16.830835587086035</c:v>
                </c:pt>
                <c:pt idx="12">
                  <c:v>17.528330450788822</c:v>
                </c:pt>
                <c:pt idx="13">
                  <c:v>18.175371496167923</c:v>
                </c:pt>
                <c:pt idx="14">
                  <c:v>18.661391548616535</c:v>
                </c:pt>
                <c:pt idx="15">
                  <c:v>19.102117783484996</c:v>
                </c:pt>
                <c:pt idx="16">
                  <c:v>19.769970522839571</c:v>
                </c:pt>
                <c:pt idx="17">
                  <c:v>20.337200435341746</c:v>
                </c:pt>
                <c:pt idx="18">
                  <c:v>20.793579395011662</c:v>
                </c:pt>
                <c:pt idx="19">
                  <c:v>21.15246016718519</c:v>
                </c:pt>
                <c:pt idx="20">
                  <c:v>21.455698345984622</c:v>
                </c:pt>
                <c:pt idx="21">
                  <c:v>21.710751439772213</c:v>
                </c:pt>
                <c:pt idx="22">
                  <c:v>21.93150770066357</c:v>
                </c:pt>
                <c:pt idx="23">
                  <c:v>22.120875319781547</c:v>
                </c:pt>
                <c:pt idx="24">
                  <c:v>22.280856303181189</c:v>
                </c:pt>
                <c:pt idx="25">
                  <c:v>22.426795531404089</c:v>
                </c:pt>
                <c:pt idx="26">
                  <c:v>22.555141130111576</c:v>
                </c:pt>
                <c:pt idx="27">
                  <c:v>22.663512123719787</c:v>
                </c:pt>
                <c:pt idx="28">
                  <c:v>22.776580378285086</c:v>
                </c:pt>
                <c:pt idx="29">
                  <c:v>22.872931205487362</c:v>
                </c:pt>
                <c:pt idx="30">
                  <c:v>22.925603140825654</c:v>
                </c:pt>
                <c:pt idx="31">
                  <c:v>22.974000646837219</c:v>
                </c:pt>
                <c:pt idx="32">
                  <c:v>23.024106608680256</c:v>
                </c:pt>
                <c:pt idx="33">
                  <c:v>23.063519199049512</c:v>
                </c:pt>
                <c:pt idx="34">
                  <c:v>23.114554448980481</c:v>
                </c:pt>
                <c:pt idx="35">
                  <c:v>23.164830561283836</c:v>
                </c:pt>
                <c:pt idx="36">
                  <c:v>23.196765898185816</c:v>
                </c:pt>
                <c:pt idx="37">
                  <c:v>23.23889801390759</c:v>
                </c:pt>
                <c:pt idx="38">
                  <c:v>23.269850974805127</c:v>
                </c:pt>
                <c:pt idx="39">
                  <c:v>23.305745584440889</c:v>
                </c:pt>
                <c:pt idx="40">
                  <c:v>23.346023410932087</c:v>
                </c:pt>
                <c:pt idx="41">
                  <c:v>23.392996643453671</c:v>
                </c:pt>
                <c:pt idx="42">
                  <c:v>23.424456092419312</c:v>
                </c:pt>
                <c:pt idx="43">
                  <c:v>23.454336958818061</c:v>
                </c:pt>
                <c:pt idx="44">
                  <c:v>23.489052352203487</c:v>
                </c:pt>
                <c:pt idx="45">
                  <c:v>23.523863837089987</c:v>
                </c:pt>
                <c:pt idx="46">
                  <c:v>23.561996930174526</c:v>
                </c:pt>
                <c:pt idx="47">
                  <c:v>23.596260027969109</c:v>
                </c:pt>
                <c:pt idx="48">
                  <c:v>23.656228560658651</c:v>
                </c:pt>
                <c:pt idx="49">
                  <c:v>23.744328088547586</c:v>
                </c:pt>
              </c:numCache>
            </c:numRef>
          </c:yVal>
          <c:smooth val="1"/>
          <c:extLst xmlns:c16r2="http://schemas.microsoft.com/office/drawing/2015/06/chart">
            <c:ext xmlns:c16="http://schemas.microsoft.com/office/drawing/2014/chart" uri="{C3380CC4-5D6E-409C-BE32-E72D297353CC}">
              <c16:uniqueId val="{00000006-3DF6-43F8-9D29-18DDF5CA6192}"/>
            </c:ext>
          </c:extLst>
        </c:ser>
        <c:ser>
          <c:idx val="7"/>
          <c:order val="7"/>
          <c:tx>
            <c:v>D12 desorp</c:v>
          </c:tx>
          <c:spPr>
            <a:ln>
              <a:solidFill>
                <a:schemeClr val="tx1"/>
              </a:solidFill>
            </a:ln>
          </c:spPr>
          <c:marker>
            <c:symbol val="x"/>
            <c:size val="7"/>
            <c:spPr>
              <a:solidFill>
                <a:sysClr val="windowText" lastClr="000000"/>
              </a:solidFill>
              <a:ln>
                <a:solidFill>
                  <a:schemeClr val="bg1"/>
                </a:solidFill>
              </a:ln>
            </c:spPr>
          </c:marker>
          <c:xVal>
            <c:numRef>
              <c:f>Sheet1!$AL$4:$AL$31</c:f>
              <c:numCache>
                <c:formatCode>General</c:formatCode>
                <c:ptCount val="28"/>
                <c:pt idx="0">
                  <c:v>0.99822704080498326</c:v>
                </c:pt>
                <c:pt idx="1">
                  <c:v>0.97629640409332263</c:v>
                </c:pt>
                <c:pt idx="2">
                  <c:v>0.95672462243483147</c:v>
                </c:pt>
                <c:pt idx="3">
                  <c:v>0.93666514084626395</c:v>
                </c:pt>
                <c:pt idx="4">
                  <c:v>0.93038217359133257</c:v>
                </c:pt>
                <c:pt idx="5">
                  <c:v>0.9206152736837846</c:v>
                </c:pt>
                <c:pt idx="6">
                  <c:v>0.91068550194431686</c:v>
                </c:pt>
                <c:pt idx="7">
                  <c:v>0.90064605260308017</c:v>
                </c:pt>
                <c:pt idx="8">
                  <c:v>0.89064281849039495</c:v>
                </c:pt>
                <c:pt idx="9">
                  <c:v>0.86176222216690179</c:v>
                </c:pt>
                <c:pt idx="10">
                  <c:v>0.8221912055992886</c:v>
                </c:pt>
                <c:pt idx="11">
                  <c:v>0.78210885069038216</c:v>
                </c:pt>
                <c:pt idx="12">
                  <c:v>0.74205659081471353</c:v>
                </c:pt>
                <c:pt idx="13">
                  <c:v>0.701897669250659</c:v>
                </c:pt>
                <c:pt idx="14">
                  <c:v>0.66178686997462366</c:v>
                </c:pt>
                <c:pt idx="15">
                  <c:v>0.62167521326076181</c:v>
                </c:pt>
                <c:pt idx="16">
                  <c:v>0.58153971857439712</c:v>
                </c:pt>
                <c:pt idx="17">
                  <c:v>0.54149016548836659</c:v>
                </c:pt>
                <c:pt idx="18">
                  <c:v>0.50137455561705457</c:v>
                </c:pt>
                <c:pt idx="19">
                  <c:v>0.46158526405039818</c:v>
                </c:pt>
                <c:pt idx="20">
                  <c:v>0.42245781527979753</c:v>
                </c:pt>
                <c:pt idx="21">
                  <c:v>0.38090338207466429</c:v>
                </c:pt>
                <c:pt idx="22">
                  <c:v>0.34092669514384644</c:v>
                </c:pt>
                <c:pt idx="23">
                  <c:v>0.30159042335693781</c:v>
                </c:pt>
                <c:pt idx="24">
                  <c:v>0.25159718539574105</c:v>
                </c:pt>
                <c:pt idx="25">
                  <c:v>0.20150873220157919</c:v>
                </c:pt>
                <c:pt idx="26">
                  <c:v>0.15501216087219075</c:v>
                </c:pt>
                <c:pt idx="27">
                  <c:v>0.1007936892410211</c:v>
                </c:pt>
              </c:numCache>
            </c:numRef>
          </c:xVal>
          <c:yVal>
            <c:numRef>
              <c:f>Sheet1!$AM$4:$AM$31</c:f>
              <c:numCache>
                <c:formatCode>General</c:formatCode>
                <c:ptCount val="28"/>
                <c:pt idx="0">
                  <c:v>23.744328088547586</c:v>
                </c:pt>
                <c:pt idx="1">
                  <c:v>23.537904898628891</c:v>
                </c:pt>
                <c:pt idx="2">
                  <c:v>23.450785145642392</c:v>
                </c:pt>
                <c:pt idx="3">
                  <c:v>23.373529594725362</c:v>
                </c:pt>
                <c:pt idx="4">
                  <c:v>23.35226942099343</c:v>
                </c:pt>
                <c:pt idx="5">
                  <c:v>23.32573574974522</c:v>
                </c:pt>
                <c:pt idx="6">
                  <c:v>23.298758460697233</c:v>
                </c:pt>
                <c:pt idx="7">
                  <c:v>23.271014939151282</c:v>
                </c:pt>
                <c:pt idx="8">
                  <c:v>23.24516482811212</c:v>
                </c:pt>
                <c:pt idx="9">
                  <c:v>23.181912116596258</c:v>
                </c:pt>
                <c:pt idx="10">
                  <c:v>23.110456132233647</c:v>
                </c:pt>
                <c:pt idx="11">
                  <c:v>23.044388782314311</c:v>
                </c:pt>
                <c:pt idx="12">
                  <c:v>22.978912381156796</c:v>
                </c:pt>
                <c:pt idx="13">
                  <c:v>22.910270942782329</c:v>
                </c:pt>
                <c:pt idx="14">
                  <c:v>22.843888596478731</c:v>
                </c:pt>
                <c:pt idx="15">
                  <c:v>22.770177403665226</c:v>
                </c:pt>
                <c:pt idx="16">
                  <c:v>22.697676541973131</c:v>
                </c:pt>
                <c:pt idx="17">
                  <c:v>22.614729817615196</c:v>
                </c:pt>
                <c:pt idx="18">
                  <c:v>22.510939382089774</c:v>
                </c:pt>
                <c:pt idx="19">
                  <c:v>22.290282061706929</c:v>
                </c:pt>
                <c:pt idx="20">
                  <c:v>21.625704503302003</c:v>
                </c:pt>
                <c:pt idx="21">
                  <c:v>20.858136858761235</c:v>
                </c:pt>
                <c:pt idx="22">
                  <c:v>20.156656384828327</c:v>
                </c:pt>
                <c:pt idx="23">
                  <c:v>19.34899513955439</c:v>
                </c:pt>
                <c:pt idx="24">
                  <c:v>18.114254461062728</c:v>
                </c:pt>
                <c:pt idx="25">
                  <c:v>16.641196287953189</c:v>
                </c:pt>
                <c:pt idx="26">
                  <c:v>15.086158265603272</c:v>
                </c:pt>
                <c:pt idx="27">
                  <c:v>13.067308100918348</c:v>
                </c:pt>
              </c:numCache>
            </c:numRef>
          </c:yVal>
          <c:smooth val="1"/>
          <c:extLst xmlns:c16r2="http://schemas.microsoft.com/office/drawing/2015/06/chart">
            <c:ext xmlns:c16="http://schemas.microsoft.com/office/drawing/2014/chart" uri="{C3380CC4-5D6E-409C-BE32-E72D297353CC}">
              <c16:uniqueId val="{00000007-3DF6-43F8-9D29-18DDF5CA6192}"/>
            </c:ext>
          </c:extLst>
        </c:ser>
        <c:ser>
          <c:idx val="8"/>
          <c:order val="8"/>
          <c:tx>
            <c:v>Sample F21</c:v>
          </c:tx>
          <c:spPr>
            <a:ln>
              <a:solidFill>
                <a:schemeClr val="tx1"/>
              </a:solidFill>
            </a:ln>
          </c:spPr>
          <c:marker>
            <c:symbol val="square"/>
            <c:size val="6"/>
            <c:spPr>
              <a:noFill/>
              <a:ln>
                <a:solidFill>
                  <a:prstClr val="black"/>
                </a:solidFill>
              </a:ln>
            </c:spPr>
          </c:marker>
          <c:xVal>
            <c:numRef>
              <c:f>Sheet1!$AP$4:$AP$70</c:f>
              <c:numCache>
                <c:formatCode>General</c:formatCode>
                <c:ptCount val="67"/>
                <c:pt idx="0">
                  <c:v>1.1724833342199799E-4</c:v>
                </c:pt>
                <c:pt idx="1">
                  <c:v>1.5741630677061644E-4</c:v>
                </c:pt>
                <c:pt idx="2">
                  <c:v>1.971678121504903E-4</c:v>
                </c:pt>
                <c:pt idx="3">
                  <c:v>2.4724589628444981E-4</c:v>
                </c:pt>
                <c:pt idx="4">
                  <c:v>3.1273733249779779E-4</c:v>
                </c:pt>
                <c:pt idx="5">
                  <c:v>4.0246352404246333E-4</c:v>
                </c:pt>
                <c:pt idx="6">
                  <c:v>5.4021498243234155E-4</c:v>
                </c:pt>
                <c:pt idx="7">
                  <c:v>7.6073950616687824E-4</c:v>
                </c:pt>
                <c:pt idx="8">
                  <c:v>1.1045870364012466E-3</c:v>
                </c:pt>
                <c:pt idx="9">
                  <c:v>1.6767599391830975E-3</c:v>
                </c:pt>
                <c:pt idx="10">
                  <c:v>2.6434728490850679E-3</c:v>
                </c:pt>
                <c:pt idx="11">
                  <c:v>4.213874416906147E-3</c:v>
                </c:pt>
                <c:pt idx="12">
                  <c:v>6.6983287580218492E-3</c:v>
                </c:pt>
                <c:pt idx="13">
                  <c:v>1.0283011752426708E-2</c:v>
                </c:pt>
                <c:pt idx="14">
                  <c:v>1.1453273981394034E-2</c:v>
                </c:pt>
                <c:pt idx="15">
                  <c:v>1.8078807011868116E-2</c:v>
                </c:pt>
                <c:pt idx="16">
                  <c:v>2.4278292650531996E-2</c:v>
                </c:pt>
                <c:pt idx="17">
                  <c:v>3.6633508042170096E-2</c:v>
                </c:pt>
                <c:pt idx="18">
                  <c:v>4.7913512538838188E-2</c:v>
                </c:pt>
                <c:pt idx="19">
                  <c:v>6.5334455845319134E-2</c:v>
                </c:pt>
                <c:pt idx="20">
                  <c:v>7.0534057569624192E-2</c:v>
                </c:pt>
                <c:pt idx="21">
                  <c:v>8.7700068884887405E-2</c:v>
                </c:pt>
                <c:pt idx="22">
                  <c:v>0.10751046780140168</c:v>
                </c:pt>
                <c:pt idx="23">
                  <c:v>0.13107429694885273</c:v>
                </c:pt>
                <c:pt idx="24">
                  <c:v>0.14896387728383934</c:v>
                </c:pt>
                <c:pt idx="25">
                  <c:v>0.17505722153509104</c:v>
                </c:pt>
                <c:pt idx="26">
                  <c:v>0.20270137163058788</c:v>
                </c:pt>
                <c:pt idx="27">
                  <c:v>0.23124509240488494</c:v>
                </c:pt>
                <c:pt idx="28">
                  <c:v>0.26047595420224451</c:v>
                </c:pt>
                <c:pt idx="29">
                  <c:v>0.28933429349149281</c:v>
                </c:pt>
                <c:pt idx="30">
                  <c:v>0.31450867729726961</c:v>
                </c:pt>
                <c:pt idx="31">
                  <c:v>0.33437625144100525</c:v>
                </c:pt>
                <c:pt idx="32">
                  <c:v>0.35039610423152961</c:v>
                </c:pt>
                <c:pt idx="33">
                  <c:v>0.37830705222458111</c:v>
                </c:pt>
                <c:pt idx="34">
                  <c:v>0.41788200460523628</c:v>
                </c:pt>
                <c:pt idx="35">
                  <c:v>0.4575369578180708</c:v>
                </c:pt>
                <c:pt idx="36">
                  <c:v>0.49733650136006996</c:v>
                </c:pt>
                <c:pt idx="37">
                  <c:v>0.53759397096019401</c:v>
                </c:pt>
                <c:pt idx="38">
                  <c:v>0.57786991301689472</c:v>
                </c:pt>
                <c:pt idx="39">
                  <c:v>0.61774655682892254</c:v>
                </c:pt>
                <c:pt idx="40">
                  <c:v>0.65775785128069186</c:v>
                </c:pt>
                <c:pt idx="41">
                  <c:v>0.69789845792126592</c:v>
                </c:pt>
                <c:pt idx="42">
                  <c:v>0.73774987235444667</c:v>
                </c:pt>
                <c:pt idx="43">
                  <c:v>0.77768512306451654</c:v>
                </c:pt>
                <c:pt idx="44">
                  <c:v>0.81741322117580151</c:v>
                </c:pt>
                <c:pt idx="45">
                  <c:v>0.85791993136085465</c:v>
                </c:pt>
                <c:pt idx="46">
                  <c:v>0.88814449146219243</c:v>
                </c:pt>
                <c:pt idx="47">
                  <c:v>0.89912074339703352</c:v>
                </c:pt>
                <c:pt idx="48">
                  <c:v>0.90960060725671865</c:v>
                </c:pt>
                <c:pt idx="49">
                  <c:v>0.91930077431032753</c:v>
                </c:pt>
                <c:pt idx="50">
                  <c:v>0.92945563424479938</c:v>
                </c:pt>
                <c:pt idx="51">
                  <c:v>0.93922859160312933</c:v>
                </c:pt>
                <c:pt idx="52">
                  <c:v>0.94913272293442952</c:v>
                </c:pt>
                <c:pt idx="53">
                  <c:v>0.95455342701626822</c:v>
                </c:pt>
                <c:pt idx="54">
                  <c:v>0.95954058521075136</c:v>
                </c:pt>
                <c:pt idx="55">
                  <c:v>0.96482759921854044</c:v>
                </c:pt>
                <c:pt idx="56">
                  <c:v>0.9699015358190296</c:v>
                </c:pt>
                <c:pt idx="57">
                  <c:v>0.9750676236203506</c:v>
                </c:pt>
                <c:pt idx="58">
                  <c:v>0.97988593215317554</c:v>
                </c:pt>
                <c:pt idx="59">
                  <c:v>0.98246809531999857</c:v>
                </c:pt>
                <c:pt idx="60">
                  <c:v>0.98496070418820336</c:v>
                </c:pt>
                <c:pt idx="61">
                  <c:v>0.98728357552876689</c:v>
                </c:pt>
                <c:pt idx="62">
                  <c:v>0.98985461778557515</c:v>
                </c:pt>
                <c:pt idx="63">
                  <c:v>0.9917694793402464</c:v>
                </c:pt>
                <c:pt idx="64">
                  <c:v>0.99382191168467904</c:v>
                </c:pt>
                <c:pt idx="65">
                  <c:v>0.99489701921752405</c:v>
                </c:pt>
                <c:pt idx="66">
                  <c:v>0.99753564594553057</c:v>
                </c:pt>
              </c:numCache>
            </c:numRef>
          </c:xVal>
          <c:yVal>
            <c:numRef>
              <c:f>Sheet1!$AQ$4:$AQ$70</c:f>
              <c:numCache>
                <c:formatCode>General</c:formatCode>
                <c:ptCount val="67"/>
                <c:pt idx="0">
                  <c:v>13.650035517679481</c:v>
                </c:pt>
                <c:pt idx="1">
                  <c:v>28.551665295684597</c:v>
                </c:pt>
                <c:pt idx="2">
                  <c:v>43.418053345258009</c:v>
                </c:pt>
                <c:pt idx="3">
                  <c:v>58.286861157409291</c:v>
                </c:pt>
                <c:pt idx="4">
                  <c:v>73.148042254356568</c:v>
                </c:pt>
                <c:pt idx="5">
                  <c:v>88.003570002741426</c:v>
                </c:pt>
                <c:pt idx="6">
                  <c:v>102.83875046734629</c:v>
                </c:pt>
                <c:pt idx="7">
                  <c:v>117.68196041910232</c:v>
                </c:pt>
                <c:pt idx="8">
                  <c:v>132.52562332425578</c:v>
                </c:pt>
                <c:pt idx="9">
                  <c:v>147.29417668209481</c:v>
                </c:pt>
                <c:pt idx="10">
                  <c:v>162.20004283687115</c:v>
                </c:pt>
                <c:pt idx="11">
                  <c:v>177.21184054486733</c:v>
                </c:pt>
                <c:pt idx="12">
                  <c:v>192.10208995678684</c:v>
                </c:pt>
                <c:pt idx="13">
                  <c:v>206.18784973060377</c:v>
                </c:pt>
                <c:pt idx="14">
                  <c:v>209.88617862157429</c:v>
                </c:pt>
                <c:pt idx="15">
                  <c:v>226.1541853394159</c:v>
                </c:pt>
                <c:pt idx="16">
                  <c:v>237.49077652143481</c:v>
                </c:pt>
                <c:pt idx="17">
                  <c:v>254.91004396934952</c:v>
                </c:pt>
                <c:pt idx="18">
                  <c:v>267.49007038412111</c:v>
                </c:pt>
                <c:pt idx="19">
                  <c:v>283.69667120393092</c:v>
                </c:pt>
                <c:pt idx="20">
                  <c:v>288.00380626237825</c:v>
                </c:pt>
                <c:pt idx="21">
                  <c:v>300.94699112016258</c:v>
                </c:pt>
                <c:pt idx="22">
                  <c:v>314.02021373059893</c:v>
                </c:pt>
                <c:pt idx="23">
                  <c:v>327.67261364327425</c:v>
                </c:pt>
                <c:pt idx="24">
                  <c:v>336.9008836132723</c:v>
                </c:pt>
                <c:pt idx="25">
                  <c:v>348.86873306762169</c:v>
                </c:pt>
                <c:pt idx="26">
                  <c:v>359.84474151761088</c:v>
                </c:pt>
                <c:pt idx="27">
                  <c:v>369.49328257437526</c:v>
                </c:pt>
                <c:pt idx="28">
                  <c:v>377.78634661252329</c:v>
                </c:pt>
                <c:pt idx="29">
                  <c:v>384.56739279753049</c:v>
                </c:pt>
                <c:pt idx="30">
                  <c:v>389.4996419314117</c:v>
                </c:pt>
                <c:pt idx="31">
                  <c:v>392.85199275441545</c:v>
                </c:pt>
                <c:pt idx="32">
                  <c:v>395.22726094301925</c:v>
                </c:pt>
                <c:pt idx="33">
                  <c:v>398.78486722203235</c:v>
                </c:pt>
                <c:pt idx="34">
                  <c:v>402.8444656544375</c:v>
                </c:pt>
                <c:pt idx="35">
                  <c:v>406.11369184133332</c:v>
                </c:pt>
                <c:pt idx="36">
                  <c:v>408.89297331064483</c:v>
                </c:pt>
                <c:pt idx="37">
                  <c:v>411.35982397223262</c:v>
                </c:pt>
                <c:pt idx="38">
                  <c:v>413.51033552706463</c:v>
                </c:pt>
                <c:pt idx="39">
                  <c:v>415.40595829633003</c:v>
                </c:pt>
                <c:pt idx="40">
                  <c:v>417.13451812708564</c:v>
                </c:pt>
                <c:pt idx="41">
                  <c:v>418.67968106788732</c:v>
                </c:pt>
                <c:pt idx="42">
                  <c:v>420.04998606457178</c:v>
                </c:pt>
                <c:pt idx="43">
                  <c:v>421.28351328036069</c:v>
                </c:pt>
                <c:pt idx="44">
                  <c:v>422.41183619315871</c:v>
                </c:pt>
                <c:pt idx="45">
                  <c:v>423.46517507501829</c:v>
                </c:pt>
                <c:pt idx="46">
                  <c:v>424.24021650135575</c:v>
                </c:pt>
                <c:pt idx="47">
                  <c:v>424.58588546917525</c:v>
                </c:pt>
                <c:pt idx="48">
                  <c:v>424.87542029898685</c:v>
                </c:pt>
                <c:pt idx="49">
                  <c:v>425.14938625018675</c:v>
                </c:pt>
                <c:pt idx="50">
                  <c:v>425.41355539813458</c:v>
                </c:pt>
                <c:pt idx="51">
                  <c:v>425.68089967016971</c:v>
                </c:pt>
                <c:pt idx="52">
                  <c:v>425.95963885042522</c:v>
                </c:pt>
                <c:pt idx="53">
                  <c:v>426.1327082036712</c:v>
                </c:pt>
                <c:pt idx="54">
                  <c:v>426.31202975361953</c:v>
                </c:pt>
                <c:pt idx="55">
                  <c:v>426.46783365446731</c:v>
                </c:pt>
                <c:pt idx="56">
                  <c:v>426.6477338145927</c:v>
                </c:pt>
                <c:pt idx="57">
                  <c:v>426.84012546872043</c:v>
                </c:pt>
                <c:pt idx="58">
                  <c:v>427.00469088039478</c:v>
                </c:pt>
                <c:pt idx="59">
                  <c:v>427.13541439540091</c:v>
                </c:pt>
                <c:pt idx="60">
                  <c:v>427.25059159433232</c:v>
                </c:pt>
                <c:pt idx="61">
                  <c:v>427.37198601071032</c:v>
                </c:pt>
                <c:pt idx="62">
                  <c:v>427.49504154630063</c:v>
                </c:pt>
                <c:pt idx="63">
                  <c:v>427.60825993988379</c:v>
                </c:pt>
                <c:pt idx="64">
                  <c:v>427.74707668214074</c:v>
                </c:pt>
                <c:pt idx="65">
                  <c:v>427.83771306107207</c:v>
                </c:pt>
                <c:pt idx="66">
                  <c:v>428.1427724253524</c:v>
                </c:pt>
              </c:numCache>
            </c:numRef>
          </c:yVal>
          <c:smooth val="1"/>
          <c:extLst xmlns:c16r2="http://schemas.microsoft.com/office/drawing/2015/06/chart">
            <c:ext xmlns:c16="http://schemas.microsoft.com/office/drawing/2014/chart" uri="{C3380CC4-5D6E-409C-BE32-E72D297353CC}">
              <c16:uniqueId val="{00000008-3DF6-43F8-9D29-18DDF5CA6192}"/>
            </c:ext>
          </c:extLst>
        </c:ser>
        <c:ser>
          <c:idx val="9"/>
          <c:order val="9"/>
          <c:tx>
            <c:v>F21 desorp</c:v>
          </c:tx>
          <c:spPr>
            <a:ln>
              <a:solidFill>
                <a:schemeClr val="tx1"/>
              </a:solidFill>
            </a:ln>
          </c:spPr>
          <c:marker>
            <c:symbol val="square"/>
            <c:size val="6"/>
            <c:spPr>
              <a:solidFill>
                <a:sysClr val="windowText" lastClr="000000"/>
              </a:solidFill>
              <a:ln>
                <a:solidFill>
                  <a:prstClr val="black"/>
                </a:solidFill>
              </a:ln>
            </c:spPr>
          </c:marker>
          <c:xVal>
            <c:numRef>
              <c:f>Sheet1!$AR$4:$AR$33</c:f>
              <c:numCache>
                <c:formatCode>General</c:formatCode>
                <c:ptCount val="30"/>
                <c:pt idx="0">
                  <c:v>0.99753564594553057</c:v>
                </c:pt>
                <c:pt idx="1">
                  <c:v>0.97702010542346163</c:v>
                </c:pt>
                <c:pt idx="2">
                  <c:v>0.9576526655497527</c:v>
                </c:pt>
                <c:pt idx="3">
                  <c:v>0.93763044245952976</c:v>
                </c:pt>
                <c:pt idx="4">
                  <c:v>0.93075762743700963</c:v>
                </c:pt>
                <c:pt idx="5">
                  <c:v>0.92019211400161549</c:v>
                </c:pt>
                <c:pt idx="6">
                  <c:v>0.91093021556756471</c:v>
                </c:pt>
                <c:pt idx="7">
                  <c:v>0.90062884961514045</c:v>
                </c:pt>
                <c:pt idx="8">
                  <c:v>0.89072314601506752</c:v>
                </c:pt>
                <c:pt idx="9">
                  <c:v>0.86238366177406056</c:v>
                </c:pt>
                <c:pt idx="10">
                  <c:v>0.82308650382036086</c:v>
                </c:pt>
                <c:pt idx="11">
                  <c:v>0.78217721213853431</c:v>
                </c:pt>
                <c:pt idx="12">
                  <c:v>0.74232013297929811</c:v>
                </c:pt>
                <c:pt idx="13">
                  <c:v>0.70215574964989602</c:v>
                </c:pt>
                <c:pt idx="14">
                  <c:v>0.6621939248960097</c:v>
                </c:pt>
                <c:pt idx="15">
                  <c:v>0.6219347973726097</c:v>
                </c:pt>
                <c:pt idx="16">
                  <c:v>0.58207823621210519</c:v>
                </c:pt>
                <c:pt idx="17">
                  <c:v>0.54200232960141848</c:v>
                </c:pt>
                <c:pt idx="18">
                  <c:v>0.50211704085435738</c:v>
                </c:pt>
                <c:pt idx="19">
                  <c:v>0.46414129377447688</c:v>
                </c:pt>
                <c:pt idx="20">
                  <c:v>0.42552611584613997</c:v>
                </c:pt>
                <c:pt idx="21">
                  <c:v>0.38021581533306248</c:v>
                </c:pt>
                <c:pt idx="22">
                  <c:v>0.34318597020000952</c:v>
                </c:pt>
                <c:pt idx="23">
                  <c:v>0.30495697964740875</c:v>
                </c:pt>
                <c:pt idx="24">
                  <c:v>0.24917476505487807</c:v>
                </c:pt>
                <c:pt idx="25">
                  <c:v>0.20298808082131958</c:v>
                </c:pt>
                <c:pt idx="26">
                  <c:v>0.16319254109000342</c:v>
                </c:pt>
                <c:pt idx="27">
                  <c:v>0.14923317239765271</c:v>
                </c:pt>
                <c:pt idx="28">
                  <c:v>0.11802137595208054</c:v>
                </c:pt>
                <c:pt idx="29">
                  <c:v>9.9805096765135201E-2</c:v>
                </c:pt>
              </c:numCache>
            </c:numRef>
          </c:xVal>
          <c:yVal>
            <c:numRef>
              <c:f>Sheet1!$AS$4:$AS$33</c:f>
              <c:numCache>
                <c:formatCode>General</c:formatCode>
                <c:ptCount val="30"/>
                <c:pt idx="0">
                  <c:v>428.1427724253524</c:v>
                </c:pt>
                <c:pt idx="1">
                  <c:v>427.52953064257389</c:v>
                </c:pt>
                <c:pt idx="2">
                  <c:v>427.05096312482783</c:v>
                </c:pt>
                <c:pt idx="3">
                  <c:v>426.56867743450965</c:v>
                </c:pt>
                <c:pt idx="4">
                  <c:v>426.34263510832233</c:v>
                </c:pt>
                <c:pt idx="5">
                  <c:v>426.11447134554231</c:v>
                </c:pt>
                <c:pt idx="6">
                  <c:v>425.88784019282406</c:v>
                </c:pt>
                <c:pt idx="7">
                  <c:v>425.66736652852677</c:v>
                </c:pt>
                <c:pt idx="8">
                  <c:v>425.44392619233798</c:v>
                </c:pt>
                <c:pt idx="9">
                  <c:v>424.9068201301003</c:v>
                </c:pt>
                <c:pt idx="10">
                  <c:v>424.00827467819369</c:v>
                </c:pt>
                <c:pt idx="11">
                  <c:v>423.01768902784232</c:v>
                </c:pt>
                <c:pt idx="12">
                  <c:v>421.96229820466397</c:v>
                </c:pt>
                <c:pt idx="13">
                  <c:v>420.82781423440701</c:v>
                </c:pt>
                <c:pt idx="14">
                  <c:v>419.59306499255899</c:v>
                </c:pt>
                <c:pt idx="15">
                  <c:v>418.29104740126598</c:v>
                </c:pt>
                <c:pt idx="16">
                  <c:v>416.89621755895536</c:v>
                </c:pt>
                <c:pt idx="17">
                  <c:v>415.37250110340682</c:v>
                </c:pt>
                <c:pt idx="18">
                  <c:v>413.63436286838527</c:v>
                </c:pt>
                <c:pt idx="19">
                  <c:v>410.86096802113934</c:v>
                </c:pt>
                <c:pt idx="20">
                  <c:v>405.93673209355825</c:v>
                </c:pt>
                <c:pt idx="21">
                  <c:v>400.36031587387811</c:v>
                </c:pt>
                <c:pt idx="22">
                  <c:v>395.55458373844772</c:v>
                </c:pt>
                <c:pt idx="23">
                  <c:v>389.12373730368529</c:v>
                </c:pt>
                <c:pt idx="24">
                  <c:v>376.25197002248763</c:v>
                </c:pt>
                <c:pt idx="25">
                  <c:v>361.48766171936438</c:v>
                </c:pt>
                <c:pt idx="26">
                  <c:v>345.08858147821547</c:v>
                </c:pt>
                <c:pt idx="27">
                  <c:v>338.42437415238521</c:v>
                </c:pt>
                <c:pt idx="28">
                  <c:v>321.68353519173138</c:v>
                </c:pt>
                <c:pt idx="29">
                  <c:v>310.40304653642465</c:v>
                </c:pt>
              </c:numCache>
            </c:numRef>
          </c:yVal>
          <c:smooth val="1"/>
          <c:extLst xmlns:c16r2="http://schemas.microsoft.com/office/drawing/2015/06/chart">
            <c:ext xmlns:c16="http://schemas.microsoft.com/office/drawing/2014/chart" uri="{C3380CC4-5D6E-409C-BE32-E72D297353CC}">
              <c16:uniqueId val="{00000009-3DF6-43F8-9D29-18DDF5CA6192}"/>
            </c:ext>
          </c:extLst>
        </c:ser>
        <c:dLbls>
          <c:showLegendKey val="0"/>
          <c:showVal val="0"/>
          <c:showCatName val="0"/>
          <c:showSerName val="0"/>
          <c:showPercent val="0"/>
          <c:showBubbleSize val="0"/>
        </c:dLbls>
        <c:axId val="58927360"/>
        <c:axId val="58996608"/>
      </c:scatterChart>
      <c:valAx>
        <c:axId val="58927360"/>
        <c:scaling>
          <c:orientation val="minMax"/>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i="0" baseline="0">
                    <a:latin typeface="Times New Roman" panose="02020603050405020304" pitchFamily="18" charset="0"/>
                    <a:cs typeface="Times New Roman" panose="02020603050405020304" pitchFamily="18" charset="0"/>
                  </a:rPr>
                  <a:t>Relative Pressure (p/p°)</a:t>
                </a:r>
              </a:p>
            </c:rich>
          </c:tx>
          <c:layout>
            <c:manualLayout>
              <c:xMode val="edge"/>
              <c:yMode val="edge"/>
              <c:x val="0.33241397830279562"/>
              <c:y val="0.91318629751290459"/>
            </c:manualLayout>
          </c:layout>
          <c:overlay val="0"/>
        </c:title>
        <c:numFmt formatCode="General" sourceLinked="1"/>
        <c:majorTickMark val="none"/>
        <c:minorTickMark val="none"/>
        <c:tickLblPos val="nextTo"/>
        <c:txPr>
          <a:bodyPr/>
          <a:lstStyle/>
          <a:p>
            <a:pPr>
              <a:defRPr sz="900"/>
            </a:pPr>
            <a:endParaRPr lang="en-US"/>
          </a:p>
        </c:txPr>
        <c:crossAx val="58996608"/>
        <c:crosses val="autoZero"/>
        <c:crossBetween val="midCat"/>
      </c:valAx>
      <c:valAx>
        <c:axId val="58996608"/>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baseline="0">
                    <a:latin typeface="Times New Roman" panose="02020603050405020304" pitchFamily="18" charset="0"/>
                    <a:cs typeface="Times New Roman" panose="02020603050405020304" pitchFamily="18" charset="0"/>
                  </a:rPr>
                  <a:t>Quantity Adsorbed (cm³/g STP)</a:t>
                </a: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b="0">
                  <a:latin typeface="Times New Roman" panose="02020603050405020304" pitchFamily="18" charset="0"/>
                  <a:cs typeface="Times New Roman" panose="02020603050405020304" pitchFamily="18" charset="0"/>
                </a:endParaRPr>
              </a:p>
            </c:rich>
          </c:tx>
          <c:layout>
            <c:manualLayout>
              <c:xMode val="edge"/>
              <c:yMode val="edge"/>
              <c:x val="7.1547817791557354E-3"/>
              <c:y val="0.15713298625095609"/>
            </c:manualLayout>
          </c:layout>
          <c:overlay val="0"/>
        </c:title>
        <c:numFmt formatCode="General" sourceLinked="1"/>
        <c:majorTickMark val="none"/>
        <c:minorTickMark val="none"/>
        <c:tickLblPos val="nextTo"/>
        <c:crossAx val="58927360"/>
        <c:crosses val="autoZero"/>
        <c:crossBetween val="midCat"/>
      </c:valAx>
    </c:plotArea>
    <c:legend>
      <c:legendPos val="r"/>
      <c:legendEntry>
        <c:idx val="1"/>
        <c:delete val="1"/>
      </c:legendEntry>
      <c:legendEntry>
        <c:idx val="3"/>
        <c:delete val="1"/>
      </c:legendEntry>
      <c:legendEntry>
        <c:idx val="5"/>
        <c:delete val="1"/>
      </c:legendEntry>
      <c:legendEntry>
        <c:idx val="7"/>
        <c:delete val="1"/>
      </c:legendEntry>
      <c:legendEntry>
        <c:idx val="9"/>
        <c:delete val="1"/>
      </c:legendEntry>
      <c:layout>
        <c:manualLayout>
          <c:xMode val="edge"/>
          <c:yMode val="edge"/>
          <c:x val="0.79483146827013884"/>
          <c:y val="0.18580090674963143"/>
          <c:w val="0.18247810843344081"/>
          <c:h val="0.3922083824458592"/>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7727928307413"/>
          <c:y val="0.11222681630242173"/>
          <c:w val="0.69331835632230632"/>
          <c:h val="0.63270344307965642"/>
        </c:manualLayout>
      </c:layout>
      <c:barChart>
        <c:barDir val="col"/>
        <c:grouping val="clustered"/>
        <c:varyColors val="0"/>
        <c:ser>
          <c:idx val="0"/>
          <c:order val="0"/>
          <c:tx>
            <c:strRef>
              <c:f>'Effect of initial conc'!$B$5</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conc'!$B$6:$B$8</c:f>
              <c:numCache>
                <c:formatCode>General</c:formatCode>
                <c:ptCount val="3"/>
                <c:pt idx="0">
                  <c:v>96.8</c:v>
                </c:pt>
                <c:pt idx="1">
                  <c:v>91.4</c:v>
                </c:pt>
                <c:pt idx="2">
                  <c:v>86</c:v>
                </c:pt>
              </c:numCache>
            </c:numRef>
          </c:val>
          <c:extLst xmlns:c16r2="http://schemas.microsoft.com/office/drawing/2015/06/chart">
            <c:ext xmlns:c16="http://schemas.microsoft.com/office/drawing/2014/chart" uri="{C3380CC4-5D6E-409C-BE32-E72D297353CC}">
              <c16:uniqueId val="{00000000-1732-4922-998F-C123856C5F22}"/>
            </c:ext>
          </c:extLst>
        </c:ser>
        <c:ser>
          <c:idx val="1"/>
          <c:order val="1"/>
          <c:tx>
            <c:strRef>
              <c:f>'Effect of initial conc'!$C$5</c:f>
              <c:strCache>
                <c:ptCount val="1"/>
                <c:pt idx="0">
                  <c:v>B9</c:v>
                </c:pt>
              </c:strCache>
            </c:strRef>
          </c:tx>
          <c:spPr>
            <a:pattFill prst="ltDnDiag">
              <a:fgClr>
                <a:sysClr val="windowText" lastClr="000000"/>
              </a:fgClr>
              <a:bgClr>
                <a:srgbClr val="ED7D31"/>
              </a:bgClr>
            </a:pattFill>
            <a:ln>
              <a:solidFill>
                <a:srgbClr val="5B9BD5"/>
              </a:solidFill>
            </a:ln>
            <a:effectLst/>
          </c:spPr>
          <c:invertIfNegative val="0"/>
          <c:dLbls>
            <c:dLbl>
              <c:idx val="0"/>
              <c:layout>
                <c:manualLayout>
                  <c:x val="5.7530208322353282E-2"/>
                  <c:y val="5.58520232364319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32-4922-998F-C123856C5F22}"/>
                </c:ext>
              </c:extLst>
            </c:dLbl>
            <c:dLbl>
              <c:idx val="1"/>
              <c:layout>
                <c:manualLayout>
                  <c:x val="5.50594328319401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32-4922-998F-C123856C5F22}"/>
                </c:ext>
              </c:extLst>
            </c:dLbl>
            <c:dLbl>
              <c:idx val="2"/>
              <c:layout>
                <c:manualLayout>
                  <c:x val="4.2907939720386194E-2"/>
                  <c:y val="-2.896227732630140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32-4922-998F-C123856C5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conc'!$C$6:$C$8</c:f>
              <c:numCache>
                <c:formatCode>General</c:formatCode>
                <c:ptCount val="3"/>
                <c:pt idx="0">
                  <c:v>92.7</c:v>
                </c:pt>
                <c:pt idx="1">
                  <c:v>89.5</c:v>
                </c:pt>
                <c:pt idx="2">
                  <c:v>85.4</c:v>
                </c:pt>
              </c:numCache>
            </c:numRef>
          </c:val>
          <c:extLst xmlns:c16r2="http://schemas.microsoft.com/office/drawing/2015/06/chart">
            <c:ext xmlns:c16="http://schemas.microsoft.com/office/drawing/2014/chart" uri="{C3380CC4-5D6E-409C-BE32-E72D297353CC}">
              <c16:uniqueId val="{00000004-1732-4922-998F-C123856C5F22}"/>
            </c:ext>
          </c:extLst>
        </c:ser>
        <c:ser>
          <c:idx val="2"/>
          <c:order val="2"/>
          <c:tx>
            <c:strRef>
              <c:f>'Effect of initial conc'!$D$5</c:f>
              <c:strCache>
                <c:ptCount val="1"/>
                <c:pt idx="0">
                  <c:v>Raw</c:v>
                </c:pt>
              </c:strCache>
            </c:strRef>
          </c:tx>
          <c:spPr>
            <a:solidFill>
              <a:schemeClr val="accent3"/>
            </a:solidFill>
            <a:ln>
              <a:noFill/>
            </a:ln>
            <a:effectLst/>
          </c:spPr>
          <c:invertIfNegative val="0"/>
          <c:dLbls>
            <c:dLbl>
              <c:idx val="0"/>
              <c:layout>
                <c:manualLayout>
                  <c:x val="2.677376171352070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32-4922-998F-C123856C5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conc'!$D$6:$D$8</c:f>
              <c:numCache>
                <c:formatCode>General</c:formatCode>
                <c:ptCount val="3"/>
                <c:pt idx="0">
                  <c:v>4.5999999999999996</c:v>
                </c:pt>
                <c:pt idx="1">
                  <c:v>0</c:v>
                </c:pt>
                <c:pt idx="2">
                  <c:v>0</c:v>
                </c:pt>
              </c:numCache>
            </c:numRef>
          </c:val>
          <c:extLst xmlns:c16r2="http://schemas.microsoft.com/office/drawing/2015/06/chart">
            <c:ext xmlns:c16="http://schemas.microsoft.com/office/drawing/2014/chart" uri="{C3380CC4-5D6E-409C-BE32-E72D297353CC}">
              <c16:uniqueId val="{00000006-1732-4922-998F-C123856C5F22}"/>
            </c:ext>
          </c:extLst>
        </c:ser>
        <c:dLbls>
          <c:showLegendKey val="0"/>
          <c:showVal val="0"/>
          <c:showCatName val="0"/>
          <c:showSerName val="0"/>
          <c:showPercent val="0"/>
          <c:showBubbleSize val="0"/>
        </c:dLbls>
        <c:gapWidth val="150"/>
        <c:axId val="95790976"/>
        <c:axId val="95813632"/>
      </c:barChart>
      <c:catAx>
        <c:axId val="957909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Initial</a:t>
                </a:r>
                <a:r>
                  <a:rPr lang="en-US" sz="900" baseline="0"/>
                  <a:t> concentration (ppm)</a:t>
                </a:r>
                <a:endParaRPr lang="en-US" sz="900"/>
              </a:p>
            </c:rich>
          </c:tx>
          <c:layout>
            <c:manualLayout>
              <c:xMode val="edge"/>
              <c:yMode val="edge"/>
              <c:x val="0.33297368800274907"/>
              <c:y val="0.85001930133807102"/>
            </c:manualLayout>
          </c:layout>
          <c:overlay val="0"/>
          <c:spPr>
            <a:noFill/>
            <a:ln>
              <a:noFill/>
            </a:ln>
            <a:effectLst/>
          </c:spPr>
        </c:title>
        <c:numFmt formatCode="General" sourceLinked="1"/>
        <c:majorTickMark val="in"/>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813632"/>
        <c:crosses val="autoZero"/>
        <c:auto val="1"/>
        <c:lblAlgn val="ctr"/>
        <c:lblOffset val="100"/>
        <c:noMultiLvlLbl val="0"/>
      </c:catAx>
      <c:valAx>
        <c:axId val="9581363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790976"/>
        <c:crosses val="autoZero"/>
        <c:crossBetween val="between"/>
        <c:majorUnit val="20"/>
      </c:valAx>
      <c:spPr>
        <a:noFill/>
        <a:ln>
          <a:noFill/>
        </a:ln>
        <a:effectLst/>
      </c:spPr>
    </c:plotArea>
    <c:legend>
      <c:legendPos val="r"/>
      <c:layout>
        <c:manualLayout>
          <c:xMode val="edge"/>
          <c:yMode val="edge"/>
          <c:x val="0.77475817530840774"/>
          <c:y val="0.29571718227164739"/>
          <c:w val="0.17384147262716659"/>
          <c:h val="0.33615852520804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lgn="jus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043859116994"/>
          <c:y val="0.13010053222945003"/>
          <c:w val="0.69173871370855222"/>
          <c:h val="0.61452804797980976"/>
        </c:manualLayout>
      </c:layout>
      <c:barChart>
        <c:barDir val="col"/>
        <c:grouping val="clustered"/>
        <c:varyColors val="0"/>
        <c:ser>
          <c:idx val="0"/>
          <c:order val="0"/>
          <c:tx>
            <c:strRef>
              <c:f>'Effect of stirring rate'!$B$4</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stirring rate'!$A$5:$A$7</c:f>
              <c:numCache>
                <c:formatCode>General</c:formatCode>
                <c:ptCount val="3"/>
                <c:pt idx="0">
                  <c:v>200</c:v>
                </c:pt>
                <c:pt idx="1">
                  <c:v>300</c:v>
                </c:pt>
                <c:pt idx="2">
                  <c:v>400</c:v>
                </c:pt>
              </c:numCache>
            </c:numRef>
          </c:cat>
          <c:val>
            <c:numRef>
              <c:f>'Effect of stirring rate'!$B$5:$B$7</c:f>
              <c:numCache>
                <c:formatCode>General</c:formatCode>
                <c:ptCount val="3"/>
                <c:pt idx="0">
                  <c:v>98.4</c:v>
                </c:pt>
                <c:pt idx="1">
                  <c:v>99.1</c:v>
                </c:pt>
                <c:pt idx="2">
                  <c:v>99.7</c:v>
                </c:pt>
              </c:numCache>
            </c:numRef>
          </c:val>
          <c:extLst xmlns:c16r2="http://schemas.microsoft.com/office/drawing/2015/06/chart">
            <c:ext xmlns:c16="http://schemas.microsoft.com/office/drawing/2014/chart" uri="{C3380CC4-5D6E-409C-BE32-E72D297353CC}">
              <c16:uniqueId val="{00000000-47D7-43CF-B324-8FB76D757B4C}"/>
            </c:ext>
          </c:extLst>
        </c:ser>
        <c:ser>
          <c:idx val="1"/>
          <c:order val="1"/>
          <c:tx>
            <c:strRef>
              <c:f>'Effect of stirring rate'!$C$4</c:f>
              <c:strCache>
                <c:ptCount val="1"/>
                <c:pt idx="0">
                  <c:v>B9</c:v>
                </c:pt>
              </c:strCache>
            </c:strRef>
          </c:tx>
          <c:spPr>
            <a:pattFill prst="ltDnDiag">
              <a:fgClr>
                <a:sysClr val="windowText" lastClr="000000"/>
              </a:fgClr>
              <a:bgClr>
                <a:srgbClr val="ED7D31"/>
              </a:bgClr>
            </a:pattFill>
            <a:ln>
              <a:noFill/>
            </a:ln>
            <a:effectLst/>
          </c:spPr>
          <c:invertIfNegative val="0"/>
          <c:dLbls>
            <c:dLbl>
              <c:idx val="0"/>
              <c:layout>
                <c:manualLayout>
                  <c:x val="3.5360657716206285E-2"/>
                  <c:y val="6.26566416040100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D7-43CF-B324-8FB76D757B4C}"/>
                </c:ext>
              </c:extLst>
            </c:dLbl>
            <c:dLbl>
              <c:idx val="1"/>
              <c:layout>
                <c:manualLayout>
                  <c:x val="3.9518196546843541E-2"/>
                  <c:y val="1.128954275452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D7-43CF-B324-8FB76D757B4C}"/>
                </c:ext>
              </c:extLst>
            </c:dLbl>
            <c:dLbl>
              <c:idx val="2"/>
              <c:layout>
                <c:manualLayout>
                  <c:x val="4.4650021394794299E-2"/>
                  <c:y val="-1.435864782859397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D7-43CF-B324-8FB76D757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'Effect of stirring rate'!$A$5:$A$7</c:f>
              <c:numCache>
                <c:formatCode>General</c:formatCode>
                <c:ptCount val="3"/>
                <c:pt idx="0">
                  <c:v>200</c:v>
                </c:pt>
                <c:pt idx="1">
                  <c:v>300</c:v>
                </c:pt>
                <c:pt idx="2">
                  <c:v>400</c:v>
                </c:pt>
              </c:numCache>
            </c:numRef>
          </c:cat>
          <c:val>
            <c:numRef>
              <c:f>'Effect of stirring rate'!$C$5:$C$7</c:f>
              <c:numCache>
                <c:formatCode>General</c:formatCode>
                <c:ptCount val="3"/>
                <c:pt idx="0">
                  <c:v>97.6</c:v>
                </c:pt>
                <c:pt idx="1">
                  <c:v>98</c:v>
                </c:pt>
                <c:pt idx="2">
                  <c:v>99.1</c:v>
                </c:pt>
              </c:numCache>
            </c:numRef>
          </c:val>
          <c:extLst xmlns:c16r2="http://schemas.microsoft.com/office/drawing/2015/06/chart">
            <c:ext xmlns:c16="http://schemas.microsoft.com/office/drawing/2014/chart" uri="{C3380CC4-5D6E-409C-BE32-E72D297353CC}">
              <c16:uniqueId val="{00000004-47D7-43CF-B324-8FB76D757B4C}"/>
            </c:ext>
          </c:extLst>
        </c:ser>
        <c:ser>
          <c:idx val="2"/>
          <c:order val="2"/>
          <c:tx>
            <c:strRef>
              <c:f>'Effect of stirring rate'!$D$4</c:f>
              <c:strCache>
                <c:ptCount val="1"/>
                <c:pt idx="0">
                  <c:v>Raw</c:v>
                </c:pt>
              </c:strCache>
            </c:strRef>
          </c:tx>
          <c:spPr>
            <a:solidFill>
              <a:schemeClr val="accent3"/>
            </a:solidFill>
            <a:ln>
              <a:noFill/>
            </a:ln>
            <a:effectLst/>
          </c:spPr>
          <c:invertIfNegative val="0"/>
          <c:dLbls>
            <c:dLbl>
              <c:idx val="0"/>
              <c:layout>
                <c:manualLayout>
                  <c:x val="1.823569637565530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D7-43CF-B324-8FB76D757B4C}"/>
                </c:ext>
              </c:extLst>
            </c:dLbl>
            <c:dLbl>
              <c:idx val="1"/>
              <c:layout>
                <c:manualLayout>
                  <c:x val="9.1178481878276731E-3"/>
                  <c:y val="-1.0841585776196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D7-43CF-B324-8FB76D757B4C}"/>
                </c:ext>
              </c:extLst>
            </c:dLbl>
            <c:dLbl>
              <c:idx val="2"/>
              <c:layout>
                <c:manualLayout>
                  <c:x val="9.1178481878276731E-3"/>
                  <c:y val="-1.0841585776196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D7-43CF-B324-8FB76D757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stirring rate'!$A$5:$A$7</c:f>
              <c:numCache>
                <c:formatCode>General</c:formatCode>
                <c:ptCount val="3"/>
                <c:pt idx="0">
                  <c:v>200</c:v>
                </c:pt>
                <c:pt idx="1">
                  <c:v>300</c:v>
                </c:pt>
                <c:pt idx="2">
                  <c:v>400</c:v>
                </c:pt>
              </c:numCache>
            </c:numRef>
          </c:cat>
          <c:val>
            <c:numRef>
              <c:f>'Effect of stirring rate'!$D$5:$D$7</c:f>
              <c:numCache>
                <c:formatCode>General</c:formatCode>
                <c:ptCount val="3"/>
                <c:pt idx="0">
                  <c:v>2.6</c:v>
                </c:pt>
                <c:pt idx="1">
                  <c:v>3.1</c:v>
                </c:pt>
                <c:pt idx="2">
                  <c:v>4.2</c:v>
                </c:pt>
              </c:numCache>
            </c:numRef>
          </c:val>
          <c:extLst xmlns:c16r2="http://schemas.microsoft.com/office/drawing/2015/06/chart">
            <c:ext xmlns:c16="http://schemas.microsoft.com/office/drawing/2014/chart" uri="{C3380CC4-5D6E-409C-BE32-E72D297353CC}">
              <c16:uniqueId val="{00000008-47D7-43CF-B324-8FB76D757B4C}"/>
            </c:ext>
          </c:extLst>
        </c:ser>
        <c:dLbls>
          <c:showLegendKey val="0"/>
          <c:showVal val="0"/>
          <c:showCatName val="0"/>
          <c:showSerName val="0"/>
          <c:showPercent val="0"/>
          <c:showBubbleSize val="0"/>
        </c:dLbls>
        <c:gapWidth val="150"/>
        <c:axId val="111798144"/>
        <c:axId val="129802240"/>
      </c:barChart>
      <c:catAx>
        <c:axId val="1117981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Stirring</a:t>
                </a:r>
                <a:r>
                  <a:rPr lang="en-US" sz="900" baseline="0">
                    <a:latin typeface="Times New Roman" panose="02020603050405020304" pitchFamily="18" charset="0"/>
                    <a:cs typeface="Times New Roman" panose="02020603050405020304" pitchFamily="18" charset="0"/>
                  </a:rPr>
                  <a:t> rate (rpm)</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9802240"/>
        <c:crosses val="autoZero"/>
        <c:auto val="1"/>
        <c:lblAlgn val="ctr"/>
        <c:lblOffset val="100"/>
        <c:noMultiLvlLbl val="0"/>
      </c:catAx>
      <c:valAx>
        <c:axId val="129802240"/>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798144"/>
        <c:crosses val="autoZero"/>
        <c:crossBetween val="between"/>
        <c:majorUnit val="2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043859116994"/>
          <c:y val="0.12081274025260846"/>
          <c:w val="0.68865704960993901"/>
          <c:h val="0.64204663873358503"/>
        </c:manualLayout>
      </c:layout>
      <c:barChart>
        <c:barDir val="col"/>
        <c:grouping val="clustered"/>
        <c:varyColors val="0"/>
        <c:ser>
          <c:idx val="0"/>
          <c:order val="0"/>
          <c:tx>
            <c:strRef>
              <c:f>'Effect of contact time'!$B$4</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time'!$B$5:$B$7</c:f>
              <c:numCache>
                <c:formatCode>General</c:formatCode>
                <c:ptCount val="3"/>
                <c:pt idx="0">
                  <c:v>98.2</c:v>
                </c:pt>
                <c:pt idx="1">
                  <c:v>99.1</c:v>
                </c:pt>
                <c:pt idx="2">
                  <c:v>99.7</c:v>
                </c:pt>
              </c:numCache>
            </c:numRef>
          </c:val>
          <c:extLst xmlns:c16r2="http://schemas.microsoft.com/office/drawing/2015/06/chart">
            <c:ext xmlns:c16="http://schemas.microsoft.com/office/drawing/2014/chart" uri="{C3380CC4-5D6E-409C-BE32-E72D297353CC}">
              <c16:uniqueId val="{00000000-5C8F-4C87-83DF-F70DFDF0DBE7}"/>
            </c:ext>
          </c:extLst>
        </c:ser>
        <c:ser>
          <c:idx val="1"/>
          <c:order val="1"/>
          <c:tx>
            <c:strRef>
              <c:f>'Effect of contact time'!$C$4</c:f>
              <c:strCache>
                <c:ptCount val="1"/>
                <c:pt idx="0">
                  <c:v>B9</c:v>
                </c:pt>
              </c:strCache>
            </c:strRef>
          </c:tx>
          <c:spPr>
            <a:pattFill prst="ltDnDiag">
              <a:fgClr>
                <a:sysClr val="windowText" lastClr="000000"/>
              </a:fgClr>
              <a:bgClr>
                <a:srgbClr val="ED7D31"/>
              </a:bgClr>
            </a:pattFill>
            <a:ln>
              <a:noFill/>
            </a:ln>
            <a:effectLst/>
          </c:spPr>
          <c:invertIfNegative val="0"/>
          <c:dLbls>
            <c:dLbl>
              <c:idx val="0"/>
              <c:layout>
                <c:manualLayout>
                  <c:x val="4.0179573512906804E-2"/>
                  <c:y val="9.25927203884789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8F-4C87-83DF-F70DFDF0DBE7}"/>
                </c:ext>
              </c:extLst>
            </c:dLbl>
            <c:dLbl>
              <c:idx val="1"/>
              <c:layout>
                <c:manualLayout>
                  <c:x val="3.4624106330143074E-2"/>
                  <c:y val="5.84282792871749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8F-4C87-83DF-F70DFDF0DBE7}"/>
                </c:ext>
              </c:extLst>
            </c:dLbl>
            <c:dLbl>
              <c:idx val="2"/>
              <c:layout>
                <c:manualLayout>
                  <c:x val="3.61112436702987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8F-4C87-83DF-F70DFDF0D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time'!$C$5:$C$7</c:f>
              <c:numCache>
                <c:formatCode>General</c:formatCode>
                <c:ptCount val="3"/>
                <c:pt idx="0">
                  <c:v>97.6</c:v>
                </c:pt>
                <c:pt idx="1">
                  <c:v>98.4</c:v>
                </c:pt>
                <c:pt idx="2">
                  <c:v>98.5</c:v>
                </c:pt>
              </c:numCache>
            </c:numRef>
          </c:val>
          <c:extLst xmlns:c16r2="http://schemas.microsoft.com/office/drawing/2015/06/chart">
            <c:ext xmlns:c16="http://schemas.microsoft.com/office/drawing/2014/chart" uri="{C3380CC4-5D6E-409C-BE32-E72D297353CC}">
              <c16:uniqueId val="{00000004-5C8F-4C87-83DF-F70DFDF0DBE7}"/>
            </c:ext>
          </c:extLst>
        </c:ser>
        <c:ser>
          <c:idx val="2"/>
          <c:order val="2"/>
          <c:tx>
            <c:strRef>
              <c:f>'Effect of contact time'!$D$4</c:f>
              <c:strCache>
                <c:ptCount val="1"/>
                <c:pt idx="0">
                  <c:v>Raw</c:v>
                </c:pt>
              </c:strCache>
            </c:strRef>
          </c:tx>
          <c:spPr>
            <a:solidFill>
              <a:schemeClr val="accent3"/>
            </a:solidFill>
            <a:ln>
              <a:noFill/>
            </a:ln>
            <a:effectLst/>
          </c:spPr>
          <c:invertIfNegative val="0"/>
          <c:dLbls>
            <c:dLbl>
              <c:idx val="0"/>
              <c:layout>
                <c:manualLayout>
                  <c:x val="1.3468013468013428E-2"/>
                  <c:y val="-1.071172745985906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8F-4C87-83DF-F70DFDF0DBE7}"/>
                </c:ext>
              </c:extLst>
            </c:dLbl>
            <c:dLbl>
              <c:idx val="1"/>
              <c:layout>
                <c:manualLayout>
                  <c:x val="1.7957351290684626E-2"/>
                  <c:y val="5.84282792871749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8F-4C87-83DF-F70DFDF0DBE7}"/>
                </c:ext>
              </c:extLst>
            </c:dLbl>
            <c:dLbl>
              <c:idx val="2"/>
              <c:layout>
                <c:manualLayout>
                  <c:x val="1.795735129068462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8F-4C87-83DF-F70DFDF0D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time'!$D$5:$D$7</c:f>
              <c:numCache>
                <c:formatCode>General</c:formatCode>
                <c:ptCount val="3"/>
                <c:pt idx="0">
                  <c:v>1.2</c:v>
                </c:pt>
                <c:pt idx="1">
                  <c:v>3.8</c:v>
                </c:pt>
                <c:pt idx="2">
                  <c:v>3.8</c:v>
                </c:pt>
              </c:numCache>
            </c:numRef>
          </c:val>
          <c:extLst xmlns:c16r2="http://schemas.microsoft.com/office/drawing/2015/06/chart">
            <c:ext xmlns:c16="http://schemas.microsoft.com/office/drawing/2014/chart" uri="{C3380CC4-5D6E-409C-BE32-E72D297353CC}">
              <c16:uniqueId val="{00000008-5C8F-4C87-83DF-F70DFDF0DBE7}"/>
            </c:ext>
          </c:extLst>
        </c:ser>
        <c:dLbls>
          <c:showLegendKey val="0"/>
          <c:showVal val="0"/>
          <c:showCatName val="0"/>
          <c:showSerName val="0"/>
          <c:showPercent val="0"/>
          <c:showBubbleSize val="0"/>
        </c:dLbls>
        <c:gapWidth val="150"/>
        <c:axId val="55703808"/>
        <c:axId val="58929536"/>
      </c:barChart>
      <c:catAx>
        <c:axId val="557038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Time</a:t>
                </a:r>
                <a:r>
                  <a:rPr lang="en-US" sz="900" baseline="0">
                    <a:latin typeface="Times New Roman" panose="02020603050405020304" pitchFamily="18" charset="0"/>
                    <a:cs typeface="Times New Roman" panose="02020603050405020304" pitchFamily="18" charset="0"/>
                  </a:rPr>
                  <a:t> (minutes)</a:t>
                </a:r>
                <a:endParaRPr lang="en-US" sz="900">
                  <a:latin typeface="Times New Roman" panose="02020603050405020304" pitchFamily="18" charset="0"/>
                  <a:cs typeface="Times New Roman" panose="02020603050405020304" pitchFamily="18" charset="0"/>
                </a:endParaRPr>
              </a:p>
            </c:rich>
          </c:tx>
          <c:layout>
            <c:manualLayout>
              <c:xMode val="edge"/>
              <c:yMode val="edge"/>
              <c:x val="0.38797423049391555"/>
              <c:y val="0.87025977581023239"/>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929536"/>
        <c:crosses val="autoZero"/>
        <c:auto val="1"/>
        <c:lblAlgn val="ctr"/>
        <c:lblOffset val="100"/>
        <c:noMultiLvlLbl val="0"/>
      </c:catAx>
      <c:valAx>
        <c:axId val="5892953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703808"/>
        <c:crosses val="autoZero"/>
        <c:crossBetween val="between"/>
        <c:majorUnit val="2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0.67683</cdr:x>
      <cdr:y>0.20486</cdr:y>
    </cdr:from>
    <cdr:to>
      <cdr:x>0.80374</cdr:x>
      <cdr:y>0.32367</cdr:y>
    </cdr:to>
    <cdr:sp macro="" textlink="">
      <cdr:nvSpPr>
        <cdr:cNvPr id="2" name="TextBox 1"/>
        <cdr:cNvSpPr txBox="1"/>
      </cdr:nvSpPr>
      <cdr:spPr>
        <a:xfrm xmlns:a="http://schemas.openxmlformats.org/drawingml/2006/main">
          <a:off x="3604194" y="554416"/>
          <a:ext cx="675810" cy="321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000" b="0">
              <a:solidFill>
                <a:sysClr val="windowText" lastClr="000000"/>
              </a:solidFill>
              <a:latin typeface="Century Gothic" panose="020B0502020202020204" pitchFamily="34" charset="0"/>
            </a:rPr>
            <a:t>B9</a:t>
          </a:r>
        </a:p>
      </cdr:txBody>
    </cdr:sp>
  </cdr:relSizeAnchor>
  <cdr:relSizeAnchor xmlns:cdr="http://schemas.openxmlformats.org/drawingml/2006/chartDrawing">
    <cdr:from>
      <cdr:x>0.65726</cdr:x>
      <cdr:y>0.42751</cdr:y>
    </cdr:from>
    <cdr:to>
      <cdr:x>0.78417</cdr:x>
      <cdr:y>0.54633</cdr:y>
    </cdr:to>
    <cdr:sp macro="" textlink="">
      <cdr:nvSpPr>
        <cdr:cNvPr id="3" name="TextBox 1"/>
        <cdr:cNvSpPr txBox="1"/>
      </cdr:nvSpPr>
      <cdr:spPr>
        <a:xfrm xmlns:a="http://schemas.openxmlformats.org/drawingml/2006/main">
          <a:off x="3499956" y="1031857"/>
          <a:ext cx="675809" cy="2867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C12</a:t>
          </a:r>
        </a:p>
      </cdr:txBody>
    </cdr:sp>
  </cdr:relSizeAnchor>
  <cdr:relSizeAnchor xmlns:cdr="http://schemas.openxmlformats.org/drawingml/2006/chartDrawing">
    <cdr:from>
      <cdr:x>0.67198</cdr:x>
      <cdr:y>0.52356</cdr:y>
    </cdr:from>
    <cdr:to>
      <cdr:x>0.75784</cdr:x>
      <cdr:y>0.61927</cdr:y>
    </cdr:to>
    <cdr:sp macro="" textlink="">
      <cdr:nvSpPr>
        <cdr:cNvPr id="4" name="TextBox 1"/>
        <cdr:cNvSpPr txBox="1"/>
      </cdr:nvSpPr>
      <cdr:spPr>
        <a:xfrm xmlns:a="http://schemas.openxmlformats.org/drawingml/2006/main">
          <a:off x="3578361" y="1416955"/>
          <a:ext cx="457214" cy="25902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A6</a:t>
          </a:r>
        </a:p>
      </cdr:txBody>
    </cdr:sp>
  </cdr:relSizeAnchor>
  <cdr:relSizeAnchor xmlns:cdr="http://schemas.openxmlformats.org/drawingml/2006/chartDrawing">
    <cdr:from>
      <cdr:x>0.65031</cdr:x>
      <cdr:y>0.65047</cdr:y>
    </cdr:from>
    <cdr:to>
      <cdr:x>0.74807</cdr:x>
      <cdr:y>0.74618</cdr:y>
    </cdr:to>
    <cdr:sp macro="" textlink="">
      <cdr:nvSpPr>
        <cdr:cNvPr id="5" name="TextBox 1"/>
        <cdr:cNvSpPr txBox="1"/>
      </cdr:nvSpPr>
      <cdr:spPr>
        <a:xfrm xmlns:a="http://schemas.openxmlformats.org/drawingml/2006/main">
          <a:off x="3462959" y="1570009"/>
          <a:ext cx="520583" cy="23100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D15</a:t>
          </a:r>
        </a:p>
      </cdr:txBody>
    </cdr:sp>
  </cdr:relSizeAnchor>
  <cdr:relSizeAnchor xmlns:cdr="http://schemas.openxmlformats.org/drawingml/2006/chartDrawing">
    <cdr:from>
      <cdr:x>0.66873</cdr:x>
      <cdr:y>0.11019</cdr:y>
    </cdr:from>
    <cdr:to>
      <cdr:x>0.79564</cdr:x>
      <cdr:y>0.229</cdr:y>
    </cdr:to>
    <cdr:sp macro="" textlink="">
      <cdr:nvSpPr>
        <cdr:cNvPr id="6" name="TextBox 1"/>
        <cdr:cNvSpPr txBox="1"/>
      </cdr:nvSpPr>
      <cdr:spPr>
        <a:xfrm xmlns:a="http://schemas.openxmlformats.org/drawingml/2006/main">
          <a:off x="3561083" y="298211"/>
          <a:ext cx="675809" cy="32154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0">
              <a:solidFill>
                <a:sysClr val="windowText" lastClr="000000"/>
              </a:solidFill>
              <a:latin typeface="Century Gothic" panose="020B0502020202020204" pitchFamily="34" charset="0"/>
            </a:rPr>
            <a:t>F21</a:t>
          </a:r>
        </a:p>
      </cdr:txBody>
    </cdr:sp>
  </cdr:relSizeAnchor>
  <cdr:relSizeAnchor xmlns:cdr="http://schemas.openxmlformats.org/drawingml/2006/chartDrawing">
    <cdr:from>
      <cdr:x>0.7463</cdr:x>
      <cdr:y>0.61163</cdr:y>
    </cdr:from>
    <cdr:to>
      <cdr:x>1</cdr:x>
      <cdr:y>0.74786</cdr:y>
    </cdr:to>
    <cdr:sp macro="" textlink="">
      <cdr:nvSpPr>
        <cdr:cNvPr id="7" name="TextBox 1"/>
        <cdr:cNvSpPr txBox="1"/>
      </cdr:nvSpPr>
      <cdr:spPr>
        <a:xfrm xmlns:a="http://schemas.openxmlformats.org/drawingml/2006/main">
          <a:off x="3475112" y="1369453"/>
          <a:ext cx="1181343" cy="3050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dirty="0">
              <a:effectLst/>
              <a:latin typeface="Times New Roman" pitchFamily="18" charset="0"/>
              <a:cs typeface="Times New Roman" pitchFamily="18" charset="0"/>
            </a:rPr>
            <a:t>Empty marker –adsorption</a:t>
          </a:r>
        </a:p>
        <a:p xmlns:a="http://schemas.openxmlformats.org/drawingml/2006/main">
          <a:r>
            <a:rPr lang="en-US" sz="800" dirty="0">
              <a:effectLst/>
              <a:latin typeface="Times New Roman" pitchFamily="18" charset="0"/>
              <a:cs typeface="Times New Roman" pitchFamily="18" charset="0"/>
            </a:rPr>
            <a:t>Filled marker – desorption</a:t>
          </a:r>
        </a:p>
        <a:p xmlns:a="http://schemas.openxmlformats.org/drawingml/2006/main">
          <a:endParaRPr lang="en-US" sz="8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6C21A-6052-49C2-9763-3C052AA1F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4693</Words>
  <Characters>26752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31383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user</cp:lastModifiedBy>
  <cp:revision>7</cp:revision>
  <cp:lastPrinted>2018-06-16T08:41:00Z</cp:lastPrinted>
  <dcterms:created xsi:type="dcterms:W3CDTF">2018-06-16T07:53:00Z</dcterms:created>
  <dcterms:modified xsi:type="dcterms:W3CDTF">2018-06-16T08:47:00Z</dcterms:modified>
</cp:coreProperties>
</file>