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B02E3" w:rsidRPr="009C561E" w:rsidRDefault="004B02E3" w:rsidP="004B02E3">
      <w:pPr>
        <w:spacing w:after="0" w:line="240" w:lineRule="auto"/>
        <w:jc w:val="center"/>
        <w:rPr>
          <w:rFonts w:ascii="Times New Roman" w:hAnsi="Times New Roman"/>
          <w:sz w:val="28"/>
          <w:szCs w:val="28"/>
        </w:rPr>
      </w:pPr>
      <w:bookmarkStart w:id="0" w:name="_GoBack"/>
      <w:r w:rsidRPr="009C561E">
        <w:rPr>
          <w:rFonts w:ascii="Times New Roman" w:hAnsi="Times New Roman"/>
          <w:sz w:val="28"/>
          <w:szCs w:val="28"/>
        </w:rPr>
        <w:t>PREPARATION, CHARACTERIZATION AND PERFORMANCE OF POLYVINYLIDENE FLUORIDE/TETRAOCTYL PHOSPHONIUM BROMIDE NANOCOMPOSITE ULTRAFILTRATION MEMBRANE</w:t>
      </w:r>
    </w:p>
    <w:p w:rsidR="004B02E3" w:rsidRPr="004B02E3" w:rsidRDefault="004B02E3" w:rsidP="004B02E3">
      <w:pPr>
        <w:spacing w:after="0" w:line="240" w:lineRule="auto"/>
        <w:jc w:val="center"/>
        <w:rPr>
          <w:rFonts w:ascii="Times New Roman" w:hAnsi="Times New Roman"/>
          <w:sz w:val="24"/>
          <w:szCs w:val="24"/>
        </w:rPr>
      </w:pPr>
    </w:p>
    <w:p w:rsidR="004B02E3" w:rsidRPr="004B02E3" w:rsidRDefault="004B02E3" w:rsidP="004B02E3">
      <w:pPr>
        <w:spacing w:after="0" w:line="240" w:lineRule="auto"/>
        <w:jc w:val="center"/>
        <w:rPr>
          <w:rFonts w:ascii="Times New Roman" w:hAnsi="Times New Roman"/>
          <w:sz w:val="24"/>
          <w:szCs w:val="24"/>
          <w:lang w:val="ms-MY"/>
        </w:rPr>
      </w:pPr>
      <w:r w:rsidRPr="009C561E">
        <w:rPr>
          <w:rFonts w:ascii="Times New Roman" w:hAnsi="Times New Roman"/>
          <w:sz w:val="24"/>
          <w:szCs w:val="24"/>
        </w:rPr>
        <w:t>(</w:t>
      </w:r>
      <w:r w:rsidRPr="009C561E">
        <w:rPr>
          <w:rFonts w:ascii="Times New Roman" w:hAnsi="Times New Roman"/>
          <w:sz w:val="24"/>
          <w:szCs w:val="24"/>
          <w:lang w:val="ms-MY"/>
        </w:rPr>
        <w:t>Penyediaan, Pencirian dan Prestasi Membran Ultraturasan Nanokomposit Polivinilidena Flourida/Tetraoktil Fosfonium Bromida</w:t>
      </w:r>
      <w:r w:rsidRPr="009C561E">
        <w:rPr>
          <w:rFonts w:ascii="Times New Roman" w:hAnsi="Times New Roman"/>
          <w:sz w:val="24"/>
          <w:szCs w:val="24"/>
        </w:rPr>
        <w:t>)</w:t>
      </w:r>
    </w:p>
    <w:p w:rsidR="004B02E3" w:rsidRPr="004B02E3" w:rsidRDefault="004B02E3" w:rsidP="004B02E3">
      <w:pPr>
        <w:spacing w:after="0" w:line="240" w:lineRule="auto"/>
        <w:jc w:val="center"/>
        <w:rPr>
          <w:rFonts w:ascii="Times New Roman" w:hAnsi="Times New Roman"/>
          <w:sz w:val="20"/>
          <w:szCs w:val="20"/>
          <w:lang w:val="ms-MY"/>
        </w:rPr>
      </w:pPr>
    </w:p>
    <w:p w:rsidR="004B02E3" w:rsidRDefault="004B02E3" w:rsidP="004B02E3">
      <w:pPr>
        <w:spacing w:after="0" w:line="240" w:lineRule="auto"/>
        <w:jc w:val="center"/>
        <w:rPr>
          <w:rFonts w:ascii="Times New Roman" w:hAnsi="Times New Roman"/>
          <w:sz w:val="20"/>
          <w:szCs w:val="20"/>
        </w:rPr>
      </w:pPr>
      <w:r w:rsidRPr="004B02E3">
        <w:rPr>
          <w:rFonts w:ascii="Times New Roman" w:hAnsi="Times New Roman"/>
          <w:sz w:val="20"/>
          <w:szCs w:val="20"/>
        </w:rPr>
        <w:t>Asmadi Ali</w:t>
      </w:r>
      <w:r w:rsidRPr="004B02E3">
        <w:rPr>
          <w:rFonts w:ascii="Times New Roman" w:hAnsi="Times New Roman"/>
          <w:sz w:val="20"/>
          <w:szCs w:val="20"/>
          <w:vertAlign w:val="superscript"/>
        </w:rPr>
        <w:t>1</w:t>
      </w:r>
      <w:r w:rsidRPr="004B02E3">
        <w:rPr>
          <w:rFonts w:ascii="Times New Roman" w:hAnsi="Times New Roman"/>
          <w:sz w:val="20"/>
          <w:szCs w:val="20"/>
        </w:rPr>
        <w:t>*, Connie Ling Mee Yu</w:t>
      </w:r>
      <w:r w:rsidRPr="004B02E3">
        <w:rPr>
          <w:rFonts w:ascii="Times New Roman" w:hAnsi="Times New Roman"/>
          <w:sz w:val="20"/>
          <w:szCs w:val="20"/>
          <w:vertAlign w:val="superscript"/>
        </w:rPr>
        <w:t>1</w:t>
      </w:r>
      <w:r w:rsidRPr="004B02E3">
        <w:rPr>
          <w:rFonts w:ascii="Times New Roman" w:hAnsi="Times New Roman"/>
          <w:sz w:val="20"/>
          <w:szCs w:val="20"/>
        </w:rPr>
        <w:t>,</w:t>
      </w:r>
      <w:r w:rsidRPr="004B02E3">
        <w:rPr>
          <w:rFonts w:ascii="Times New Roman" w:hAnsi="Times New Roman"/>
          <w:sz w:val="20"/>
          <w:szCs w:val="20"/>
          <w:vertAlign w:val="superscript"/>
        </w:rPr>
        <w:t xml:space="preserve"> </w:t>
      </w:r>
      <w:r w:rsidRPr="004B02E3">
        <w:rPr>
          <w:rFonts w:ascii="Times New Roman" w:hAnsi="Times New Roman"/>
          <w:sz w:val="20"/>
          <w:szCs w:val="20"/>
        </w:rPr>
        <w:t>Nur Alyaa Mohd Sani</w:t>
      </w:r>
      <w:r w:rsidRPr="004B02E3">
        <w:rPr>
          <w:rFonts w:ascii="Times New Roman" w:hAnsi="Times New Roman"/>
          <w:sz w:val="20"/>
          <w:szCs w:val="20"/>
          <w:vertAlign w:val="superscript"/>
        </w:rPr>
        <w:t>1</w:t>
      </w:r>
      <w:r w:rsidRPr="004B02E3">
        <w:rPr>
          <w:rFonts w:ascii="Times New Roman" w:hAnsi="Times New Roman"/>
          <w:sz w:val="20"/>
          <w:szCs w:val="20"/>
        </w:rPr>
        <w:t>, Mohd Aidil Adha Abdullah</w:t>
      </w:r>
      <w:r w:rsidRPr="004B02E3">
        <w:rPr>
          <w:rFonts w:ascii="Times New Roman" w:hAnsi="Times New Roman"/>
          <w:sz w:val="20"/>
          <w:szCs w:val="20"/>
          <w:vertAlign w:val="superscript"/>
        </w:rPr>
        <w:t>2</w:t>
      </w:r>
      <w:r w:rsidRPr="004B02E3">
        <w:rPr>
          <w:rFonts w:ascii="Times New Roman" w:hAnsi="Times New Roman"/>
          <w:sz w:val="20"/>
          <w:szCs w:val="20"/>
        </w:rPr>
        <w:t>, Mohamad Awang</w:t>
      </w:r>
      <w:r w:rsidRPr="004B02E3">
        <w:rPr>
          <w:rFonts w:ascii="Times New Roman" w:hAnsi="Times New Roman"/>
          <w:sz w:val="20"/>
          <w:szCs w:val="20"/>
          <w:vertAlign w:val="superscript"/>
        </w:rPr>
        <w:t>1</w:t>
      </w:r>
      <w:r w:rsidRPr="004B02E3">
        <w:rPr>
          <w:rFonts w:ascii="Times New Roman" w:hAnsi="Times New Roman"/>
          <w:sz w:val="20"/>
          <w:szCs w:val="20"/>
        </w:rPr>
        <w:t xml:space="preserve">, </w:t>
      </w:r>
    </w:p>
    <w:p w:rsidR="004B02E3" w:rsidRPr="004B02E3" w:rsidRDefault="004B02E3" w:rsidP="004B02E3">
      <w:pPr>
        <w:spacing w:after="0" w:line="240" w:lineRule="auto"/>
        <w:jc w:val="center"/>
        <w:rPr>
          <w:rFonts w:ascii="Times New Roman" w:hAnsi="Times New Roman"/>
          <w:sz w:val="20"/>
          <w:szCs w:val="20"/>
        </w:rPr>
      </w:pPr>
      <w:r w:rsidRPr="004B02E3">
        <w:rPr>
          <w:rFonts w:ascii="Times New Roman" w:hAnsi="Times New Roman"/>
          <w:sz w:val="20"/>
          <w:szCs w:val="20"/>
        </w:rPr>
        <w:t>Nor Shalihan Mohamed</w:t>
      </w:r>
      <w:r w:rsidRPr="004B02E3">
        <w:rPr>
          <w:rFonts w:ascii="Times New Roman" w:hAnsi="Times New Roman"/>
          <w:sz w:val="20"/>
          <w:szCs w:val="20"/>
          <w:vertAlign w:val="superscript"/>
        </w:rPr>
        <w:t>1</w:t>
      </w:r>
      <w:r w:rsidRPr="004B02E3">
        <w:rPr>
          <w:rFonts w:ascii="Times New Roman" w:hAnsi="Times New Roman"/>
          <w:sz w:val="20"/>
          <w:szCs w:val="20"/>
        </w:rPr>
        <w:t>, Mohd Azizi Che Yunus</w:t>
      </w:r>
      <w:r w:rsidRPr="004B02E3">
        <w:rPr>
          <w:rFonts w:ascii="Times New Roman" w:hAnsi="Times New Roman"/>
          <w:sz w:val="20"/>
          <w:szCs w:val="20"/>
          <w:vertAlign w:val="superscript"/>
        </w:rPr>
        <w:t>3</w:t>
      </w:r>
    </w:p>
    <w:p w:rsidR="004B02E3" w:rsidRPr="009C561E" w:rsidRDefault="004B02E3" w:rsidP="004B02E3">
      <w:pPr>
        <w:spacing w:after="0" w:line="240" w:lineRule="auto"/>
        <w:jc w:val="center"/>
        <w:rPr>
          <w:rFonts w:ascii="Times New Roman" w:hAnsi="Times New Roman"/>
          <w:i/>
          <w:sz w:val="18"/>
        </w:rPr>
      </w:pPr>
    </w:p>
    <w:p w:rsidR="004B02E3" w:rsidRPr="009C561E" w:rsidRDefault="004B02E3" w:rsidP="004B02E3">
      <w:pPr>
        <w:spacing w:after="0" w:line="240" w:lineRule="auto"/>
        <w:jc w:val="center"/>
        <w:rPr>
          <w:rFonts w:ascii="Times New Roman" w:hAnsi="Times New Roman"/>
          <w:i/>
          <w:sz w:val="18"/>
        </w:rPr>
      </w:pPr>
      <w:r w:rsidRPr="009C561E">
        <w:rPr>
          <w:rFonts w:ascii="Times New Roman" w:hAnsi="Times New Roman"/>
          <w:i/>
          <w:sz w:val="18"/>
          <w:vertAlign w:val="superscript"/>
        </w:rPr>
        <w:t>1</w:t>
      </w:r>
      <w:r w:rsidRPr="009C561E">
        <w:rPr>
          <w:rFonts w:ascii="Times New Roman" w:hAnsi="Times New Roman"/>
          <w:i/>
          <w:sz w:val="18"/>
        </w:rPr>
        <w:t>School of Ocean Engineering</w:t>
      </w:r>
    </w:p>
    <w:p w:rsidR="004B02E3" w:rsidRPr="009C561E" w:rsidRDefault="004B02E3" w:rsidP="004B02E3">
      <w:pPr>
        <w:spacing w:after="0" w:line="240" w:lineRule="auto"/>
        <w:jc w:val="center"/>
        <w:rPr>
          <w:rFonts w:ascii="Times New Roman" w:hAnsi="Times New Roman"/>
          <w:i/>
          <w:sz w:val="18"/>
        </w:rPr>
      </w:pPr>
      <w:r w:rsidRPr="009C561E">
        <w:rPr>
          <w:rFonts w:ascii="Times New Roman" w:hAnsi="Times New Roman"/>
          <w:i/>
          <w:sz w:val="18"/>
          <w:vertAlign w:val="superscript"/>
        </w:rPr>
        <w:t>2</w:t>
      </w:r>
      <w:r>
        <w:rPr>
          <w:rFonts w:ascii="Times New Roman" w:hAnsi="Times New Roman"/>
          <w:i/>
          <w:sz w:val="18"/>
        </w:rPr>
        <w:t>School of Fundamental Science</w:t>
      </w:r>
    </w:p>
    <w:p w:rsidR="004B02E3" w:rsidRPr="009C561E" w:rsidRDefault="004B02E3" w:rsidP="004B02E3">
      <w:pPr>
        <w:spacing w:after="0" w:line="240" w:lineRule="auto"/>
        <w:jc w:val="center"/>
        <w:rPr>
          <w:rFonts w:ascii="Times New Roman" w:hAnsi="Times New Roman"/>
          <w:i/>
          <w:sz w:val="18"/>
        </w:rPr>
      </w:pPr>
      <w:r w:rsidRPr="009C561E">
        <w:rPr>
          <w:rFonts w:ascii="Times New Roman" w:hAnsi="Times New Roman"/>
          <w:i/>
          <w:sz w:val="18"/>
        </w:rPr>
        <w:t>Universiti Malaysia Terengganu, 21030 Kuala Nerus, Terengganu, Malaysia.</w:t>
      </w:r>
    </w:p>
    <w:p w:rsidR="004B02E3" w:rsidRPr="009C561E" w:rsidRDefault="004B02E3" w:rsidP="004B02E3">
      <w:pPr>
        <w:spacing w:after="0" w:line="240" w:lineRule="auto"/>
        <w:jc w:val="center"/>
        <w:rPr>
          <w:rFonts w:ascii="Times New Roman" w:hAnsi="Times New Roman"/>
          <w:i/>
          <w:sz w:val="18"/>
        </w:rPr>
      </w:pPr>
      <w:r w:rsidRPr="009C561E">
        <w:rPr>
          <w:rFonts w:ascii="Times New Roman" w:hAnsi="Times New Roman"/>
          <w:i/>
          <w:sz w:val="18"/>
          <w:vertAlign w:val="superscript"/>
        </w:rPr>
        <w:t>3</w:t>
      </w:r>
      <w:r w:rsidRPr="009C561E">
        <w:rPr>
          <w:rFonts w:ascii="Times New Roman" w:hAnsi="Times New Roman"/>
          <w:i/>
          <w:sz w:val="18"/>
        </w:rPr>
        <w:t>Centre of Lipid Engineering and Applied Research (CLEAR),</w:t>
      </w:r>
    </w:p>
    <w:p w:rsidR="004B02E3" w:rsidRDefault="004B02E3" w:rsidP="004B02E3">
      <w:pPr>
        <w:spacing w:after="0" w:line="240" w:lineRule="auto"/>
        <w:jc w:val="center"/>
        <w:rPr>
          <w:rFonts w:ascii="Times New Roman" w:hAnsi="Times New Roman"/>
          <w:i/>
          <w:sz w:val="18"/>
        </w:rPr>
      </w:pPr>
      <w:r w:rsidRPr="009C561E">
        <w:rPr>
          <w:rFonts w:ascii="Times New Roman" w:hAnsi="Times New Roman"/>
          <w:i/>
          <w:sz w:val="18"/>
        </w:rPr>
        <w:t xml:space="preserve">Ibnu Sina Institute for Industrial and Scientific Research, </w:t>
      </w:r>
    </w:p>
    <w:p w:rsidR="004B02E3" w:rsidRPr="009C561E" w:rsidRDefault="004B02E3" w:rsidP="004B02E3">
      <w:pPr>
        <w:spacing w:after="0" w:line="240" w:lineRule="auto"/>
        <w:jc w:val="center"/>
        <w:rPr>
          <w:rFonts w:ascii="Times New Roman" w:hAnsi="Times New Roman"/>
          <w:i/>
          <w:sz w:val="18"/>
        </w:rPr>
      </w:pPr>
      <w:r w:rsidRPr="009C561E">
        <w:rPr>
          <w:rFonts w:ascii="Times New Roman" w:hAnsi="Times New Roman"/>
          <w:i/>
          <w:sz w:val="18"/>
        </w:rPr>
        <w:t>Universiti Teknolog</w:t>
      </w:r>
      <w:r>
        <w:rPr>
          <w:rFonts w:ascii="Times New Roman" w:hAnsi="Times New Roman"/>
          <w:i/>
          <w:sz w:val="18"/>
        </w:rPr>
        <w:t xml:space="preserve">i Malaysia, </w:t>
      </w:r>
      <w:r w:rsidRPr="009C561E">
        <w:rPr>
          <w:rFonts w:ascii="Times New Roman" w:hAnsi="Times New Roman"/>
          <w:i/>
          <w:sz w:val="18"/>
        </w:rPr>
        <w:t>81310 UTM Johor Bahru, Johor, Malaysia</w:t>
      </w:r>
    </w:p>
    <w:p w:rsidR="004B02E3" w:rsidRPr="009C561E" w:rsidRDefault="004B02E3" w:rsidP="004B02E3">
      <w:pPr>
        <w:spacing w:after="0" w:line="240" w:lineRule="auto"/>
        <w:jc w:val="center"/>
        <w:rPr>
          <w:rFonts w:ascii="Times New Roman" w:hAnsi="Times New Roman"/>
          <w:sz w:val="18"/>
          <w:szCs w:val="18"/>
        </w:rPr>
      </w:pPr>
    </w:p>
    <w:p w:rsidR="004B02E3" w:rsidRPr="009C561E" w:rsidRDefault="004B02E3" w:rsidP="004B02E3">
      <w:pPr>
        <w:pStyle w:val="BIEmailAddress"/>
        <w:spacing w:after="0" w:line="240" w:lineRule="auto"/>
        <w:rPr>
          <w:rFonts w:ascii="Times New Roman" w:hAnsi="Times New Roman"/>
          <w:i/>
          <w:sz w:val="18"/>
          <w:szCs w:val="18"/>
        </w:rPr>
      </w:pPr>
      <w:r w:rsidRPr="004B02E3">
        <w:rPr>
          <w:rFonts w:ascii="Times New Roman" w:hAnsi="Times New Roman"/>
          <w:i/>
          <w:sz w:val="18"/>
          <w:szCs w:val="18"/>
        </w:rPr>
        <w:t>*</w:t>
      </w:r>
      <w:r w:rsidRPr="009C561E">
        <w:rPr>
          <w:rFonts w:ascii="Times New Roman" w:hAnsi="Times New Roman"/>
          <w:i/>
          <w:sz w:val="18"/>
          <w:szCs w:val="18"/>
        </w:rPr>
        <w:t xml:space="preserve">Corresponding author: </w:t>
      </w:r>
      <w:r>
        <w:rPr>
          <w:rFonts w:ascii="Times New Roman" w:hAnsi="Times New Roman"/>
          <w:i/>
          <w:sz w:val="18"/>
          <w:szCs w:val="18"/>
        </w:rPr>
        <w:t xml:space="preserve"> </w:t>
      </w:r>
      <w:r w:rsidRPr="009C561E">
        <w:rPr>
          <w:rFonts w:ascii="Times New Roman" w:hAnsi="Times New Roman"/>
          <w:i/>
          <w:sz w:val="18"/>
          <w:szCs w:val="18"/>
        </w:rPr>
        <w:t>asmadi@umt.edu.my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17644">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D17644">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B02E3" w:rsidRPr="009C561E" w:rsidRDefault="004B02E3" w:rsidP="004B02E3">
      <w:pPr>
        <w:pStyle w:val="BodyText"/>
        <w:rPr>
          <w:sz w:val="18"/>
          <w:szCs w:val="18"/>
        </w:rPr>
      </w:pPr>
      <w:r w:rsidRPr="009C561E">
        <w:rPr>
          <w:sz w:val="18"/>
          <w:szCs w:val="18"/>
        </w:rPr>
        <w:t xml:space="preserve">Ultrafiltration (UF) membrane is widely used in many industrial areas and applications. Polyvinylidene fluoride (PVDF) is one of the commonly used </w:t>
      </w:r>
      <w:r w:rsidRPr="009C561E">
        <w:rPr>
          <w:noProof/>
          <w:sz w:val="18"/>
          <w:szCs w:val="18"/>
        </w:rPr>
        <w:t>materials</w:t>
      </w:r>
      <w:r w:rsidRPr="009C561E">
        <w:rPr>
          <w:sz w:val="18"/>
          <w:szCs w:val="18"/>
        </w:rPr>
        <w:t xml:space="preserve"> for UF membrane fabrication due to its excellent properties. However, its hydrophobic nature causes the decrease of its demands and limits its applications. Hence, </w:t>
      </w:r>
      <w:r w:rsidRPr="009C561E">
        <w:rPr>
          <w:noProof/>
          <w:sz w:val="18"/>
          <w:szCs w:val="18"/>
        </w:rPr>
        <w:t>tetraoctyl</w:t>
      </w:r>
      <w:r w:rsidRPr="009C561E">
        <w:rPr>
          <w:sz w:val="18"/>
          <w:szCs w:val="18"/>
        </w:rPr>
        <w:t xml:space="preserve"> phosphonium bromide (TOPBr) clay was used as a </w:t>
      </w:r>
      <w:r w:rsidRPr="009C561E">
        <w:rPr>
          <w:noProof/>
          <w:sz w:val="18"/>
          <w:szCs w:val="18"/>
        </w:rPr>
        <w:t>nanofiller</w:t>
      </w:r>
      <w:r w:rsidRPr="009C561E">
        <w:rPr>
          <w:sz w:val="18"/>
          <w:szCs w:val="18"/>
        </w:rPr>
        <w:t xml:space="preserve"> material and was added into the PVDF </w:t>
      </w:r>
      <w:r w:rsidRPr="009C561E">
        <w:rPr>
          <w:noProof/>
          <w:sz w:val="18"/>
          <w:szCs w:val="18"/>
        </w:rPr>
        <w:t>matrix</w:t>
      </w:r>
      <w:r w:rsidRPr="009C561E">
        <w:rPr>
          <w:sz w:val="18"/>
          <w:szCs w:val="18"/>
        </w:rPr>
        <w:t xml:space="preserve"> to decrease the hydrophobic surface through the antifouling properties of the PVDF/TOPBr nanocomposite membrane. The phase inversion process was employed for membrane fabrication which characterizes the water content and porosity of the PVDF/TOPBr nanocomposite UF membrane and to determine the performance of membrane in terms of pure water permeation, protein separation and fouling parameters. The results showed the increment of TOPBr dosage increases the water content and porosity, as well as enhances the porosity structure of PVDF/TOPBr </w:t>
      </w:r>
      <w:r w:rsidRPr="009C561E">
        <w:rPr>
          <w:noProof/>
          <w:sz w:val="18"/>
          <w:szCs w:val="18"/>
        </w:rPr>
        <w:t>nanocomposite</w:t>
      </w:r>
      <w:r w:rsidRPr="009C561E">
        <w:rPr>
          <w:sz w:val="18"/>
          <w:szCs w:val="18"/>
        </w:rPr>
        <w:t xml:space="preserve"> membrane compared to the original PVDF membrane. The protein separation performance test revealed that after the addition of TOPBr, the flux increased from 2.06 L/m</w:t>
      </w:r>
      <w:r w:rsidRPr="009C561E">
        <w:rPr>
          <w:sz w:val="18"/>
          <w:szCs w:val="18"/>
          <w:vertAlign w:val="superscript"/>
        </w:rPr>
        <w:t>2</w:t>
      </w:r>
      <w:r w:rsidRPr="009C561E">
        <w:rPr>
          <w:sz w:val="18"/>
          <w:szCs w:val="18"/>
        </w:rPr>
        <w:t>.h to 20.22 L/m</w:t>
      </w:r>
      <w:r w:rsidRPr="009C561E">
        <w:rPr>
          <w:sz w:val="18"/>
          <w:szCs w:val="18"/>
          <w:vertAlign w:val="superscript"/>
        </w:rPr>
        <w:t>2</w:t>
      </w:r>
      <w:r w:rsidRPr="009C561E">
        <w:rPr>
          <w:sz w:val="18"/>
          <w:szCs w:val="18"/>
        </w:rPr>
        <w:t xml:space="preserve">.h with a 1.0 wt.% increase in protein separation as a result of the increase  in the membrane hydrophilicity and porosity of the </w:t>
      </w:r>
      <w:r w:rsidRPr="009C561E">
        <w:rPr>
          <w:noProof/>
          <w:sz w:val="18"/>
          <w:szCs w:val="18"/>
        </w:rPr>
        <w:t>nanocomposite</w:t>
      </w:r>
      <w:r w:rsidRPr="009C561E">
        <w:rPr>
          <w:sz w:val="18"/>
          <w:szCs w:val="18"/>
        </w:rPr>
        <w:t xml:space="preserve"> membrane. Moreover, </w:t>
      </w:r>
      <w:r w:rsidRPr="009C561E">
        <w:rPr>
          <w:bCs/>
          <w:sz w:val="18"/>
          <w:szCs w:val="18"/>
        </w:rPr>
        <w:t xml:space="preserve">PVDF/TOPBr1.0 </w:t>
      </w:r>
      <w:r w:rsidRPr="009C561E">
        <w:rPr>
          <w:sz w:val="18"/>
          <w:szCs w:val="18"/>
        </w:rPr>
        <w:t>nanocomposite showed the highest antifouling properties and flux recovery at 93% compared to other PVDF/TOPBr, as well as the native PVDF membrane.</w:t>
      </w:r>
    </w:p>
    <w:p w:rsidR="004B02E3" w:rsidRPr="009C561E" w:rsidRDefault="004B02E3" w:rsidP="004B02E3">
      <w:pPr>
        <w:pStyle w:val="BodyText"/>
        <w:rPr>
          <w:sz w:val="18"/>
          <w:szCs w:val="18"/>
          <w:lang w:eastAsia="en-MY"/>
        </w:rPr>
      </w:pPr>
    </w:p>
    <w:p w:rsidR="004B02E3" w:rsidRPr="009C561E" w:rsidRDefault="004B02E3" w:rsidP="004B02E3">
      <w:pPr>
        <w:pStyle w:val="keywords"/>
        <w:spacing w:before="0" w:after="0"/>
        <w:jc w:val="both"/>
        <w:rPr>
          <w:b w:val="0"/>
          <w:i w:val="0"/>
          <w:sz w:val="18"/>
          <w:szCs w:val="18"/>
        </w:rPr>
      </w:pPr>
      <w:r w:rsidRPr="009C561E">
        <w:rPr>
          <w:i w:val="0"/>
          <w:sz w:val="18"/>
          <w:szCs w:val="18"/>
        </w:rPr>
        <w:t xml:space="preserve">Keywords: </w:t>
      </w:r>
      <w:r>
        <w:rPr>
          <w:i w:val="0"/>
          <w:sz w:val="18"/>
          <w:szCs w:val="18"/>
        </w:rPr>
        <w:t xml:space="preserve"> </w:t>
      </w:r>
      <w:r w:rsidRPr="009C561E">
        <w:rPr>
          <w:b w:val="0"/>
          <w:i w:val="0"/>
          <w:sz w:val="18"/>
          <w:szCs w:val="18"/>
        </w:rPr>
        <w:t>ultrafiltration</w:t>
      </w:r>
      <w:r w:rsidRPr="009C561E">
        <w:rPr>
          <w:i w:val="0"/>
          <w:sz w:val="18"/>
          <w:szCs w:val="18"/>
        </w:rPr>
        <w:t xml:space="preserve">, </w:t>
      </w:r>
      <w:r w:rsidRPr="009C561E">
        <w:rPr>
          <w:b w:val="0"/>
          <w:i w:val="0"/>
          <w:sz w:val="18"/>
          <w:szCs w:val="18"/>
        </w:rPr>
        <w:t>nanocomposite membrane, polyvinylidene fluoride, clay</w:t>
      </w:r>
    </w:p>
    <w:p w:rsidR="004B02E3" w:rsidRPr="009C561E" w:rsidRDefault="004B02E3" w:rsidP="004B02E3">
      <w:pPr>
        <w:pStyle w:val="keywords"/>
        <w:spacing w:before="0" w:after="0"/>
        <w:jc w:val="center"/>
        <w:rPr>
          <w:b w:val="0"/>
          <w:i w:val="0"/>
          <w:sz w:val="20"/>
          <w:szCs w:val="20"/>
        </w:rPr>
      </w:pPr>
    </w:p>
    <w:p w:rsidR="004B02E3" w:rsidRPr="004B02E3" w:rsidRDefault="004B02E3" w:rsidP="004B02E3">
      <w:pPr>
        <w:pStyle w:val="Heading1"/>
        <w:spacing w:before="0"/>
        <w:contextualSpacing w:val="0"/>
        <w:jc w:val="center"/>
        <w:rPr>
          <w:rFonts w:ascii="Times New Roman" w:hAnsi="Times New Roman"/>
          <w:b/>
          <w:smallCaps w:val="0"/>
          <w:sz w:val="18"/>
          <w:szCs w:val="18"/>
          <w:lang w:val="ms-MY" w:eastAsia="en-US"/>
        </w:rPr>
      </w:pPr>
      <w:r w:rsidRPr="004B02E3">
        <w:rPr>
          <w:rFonts w:ascii="Times New Roman" w:hAnsi="Times New Roman"/>
          <w:b/>
          <w:smallCaps w:val="0"/>
          <w:sz w:val="18"/>
          <w:szCs w:val="18"/>
          <w:lang w:val="ms-MY" w:eastAsia="en-US"/>
        </w:rPr>
        <w:t>Abstrak</w:t>
      </w:r>
    </w:p>
    <w:p w:rsidR="004B02E3" w:rsidRPr="009C561E" w:rsidRDefault="004B02E3" w:rsidP="004B02E3">
      <w:pPr>
        <w:pStyle w:val="BodyText"/>
        <w:rPr>
          <w:sz w:val="18"/>
          <w:szCs w:val="18"/>
          <w:lang w:val="ms-MY"/>
        </w:rPr>
      </w:pPr>
      <w:r w:rsidRPr="009C561E">
        <w:rPr>
          <w:sz w:val="18"/>
          <w:szCs w:val="18"/>
          <w:lang w:val="ms-MY"/>
        </w:rPr>
        <w:t xml:space="preserve">Membran ultraturasan (UF) digunakan secara meluas dalam banyak industri dan aplikasinya. Polivinilidena fluorida (PVDF) adalah bahan yang biasanya digunakan untuk fabrikasi membran kerana mempunyai sifat yang cemerlang. Walaubagaimanapun, sifat asal yang hidrofobik menyebabkan penurunan permintaannya dan menghadkan penggunaannya. Maka, tanah liat tetraoktil fosfonium bromida (TOBr) telah digunakan sebagai bahan pengisi nano dan ditambah ke dalam matrik PVDF untuk mengurangkan permukaan hidrofobik melalui sifat antikotoran oleh membran nanokomposit PVDF/TOPBr. Proses fasa sonsangan digunakan untuk fabrikasi membran yang mencirikan kandungan air dan keliangan membran nanoomposit PVDF/TOPBr dan untuk menentukan prestasi membran dari segi penyerapan air tulen, pemisahan protein dan parameter pengotoran. Keputusan menunjukkan kenaikan dos TOPBr meningkatkan kandungan air dan keliangan, serta meningkatkan </w:t>
      </w:r>
      <w:r w:rsidRPr="009C561E">
        <w:rPr>
          <w:sz w:val="18"/>
          <w:szCs w:val="18"/>
          <w:lang w:val="ms-MY"/>
        </w:rPr>
        <w:lastRenderedPageBreak/>
        <w:t>struktur keliangan membran nanokomposit PVDF/TOPBr berbanding dengan membran PVDF asal. Ujian prestasi pemisahan protein menunjukkan bahawa selepas penambahan TOPBr, fluks meningkat dari 2.06 L/m</w:t>
      </w:r>
      <w:r w:rsidRPr="009C561E">
        <w:rPr>
          <w:sz w:val="18"/>
          <w:szCs w:val="18"/>
          <w:vertAlign w:val="superscript"/>
          <w:lang w:val="ms-MY"/>
        </w:rPr>
        <w:t>2</w:t>
      </w:r>
      <w:r w:rsidRPr="009C561E">
        <w:rPr>
          <w:sz w:val="18"/>
          <w:szCs w:val="18"/>
          <w:lang w:val="ms-MY"/>
        </w:rPr>
        <w:t>.h kepada 20.22 L/m</w:t>
      </w:r>
      <w:r w:rsidRPr="009C561E">
        <w:rPr>
          <w:sz w:val="18"/>
          <w:szCs w:val="18"/>
          <w:vertAlign w:val="superscript"/>
          <w:lang w:val="ms-MY"/>
        </w:rPr>
        <w:t>2</w:t>
      </w:r>
      <w:r w:rsidRPr="009C561E">
        <w:rPr>
          <w:sz w:val="18"/>
          <w:szCs w:val="18"/>
          <w:lang w:val="ms-MY"/>
        </w:rPr>
        <w:t>.h dengan kenaikan 1.0 wt.% dalam pemisahan protein akibat daripada peningkatan hidrofilik membran dan keliangan membran nanokomposit. Selain itu, nanokomposit PVDF/TOPBr1.0 menunjukkan sifat antikotoran yang tertinggi dan pemulihan fluks pada 93% berbanding dengan PVDF /TOPBr yang lain serta membran PVDF asli.</w:t>
      </w:r>
    </w:p>
    <w:p w:rsidR="004B02E3" w:rsidRPr="009C561E" w:rsidRDefault="004B02E3" w:rsidP="004B02E3">
      <w:pPr>
        <w:pStyle w:val="BodyText"/>
        <w:rPr>
          <w:sz w:val="18"/>
          <w:szCs w:val="18"/>
          <w:lang w:val="ms-MY" w:eastAsia="en-MY"/>
        </w:rPr>
      </w:pPr>
      <w:r w:rsidRPr="009C561E">
        <w:rPr>
          <w:sz w:val="18"/>
          <w:szCs w:val="18"/>
          <w:lang w:val="ms-MY" w:eastAsia="en-MY"/>
        </w:rPr>
        <w:t xml:space="preserve"> </w:t>
      </w:r>
    </w:p>
    <w:p w:rsidR="004B02E3" w:rsidRPr="009C561E" w:rsidRDefault="004B02E3" w:rsidP="004B02E3">
      <w:pPr>
        <w:pStyle w:val="keywords"/>
        <w:spacing w:before="0" w:after="0"/>
        <w:jc w:val="both"/>
        <w:rPr>
          <w:b w:val="0"/>
          <w:sz w:val="18"/>
          <w:szCs w:val="18"/>
          <w:lang w:val="ms-MY"/>
        </w:rPr>
      </w:pPr>
      <w:r w:rsidRPr="009C561E">
        <w:rPr>
          <w:i w:val="0"/>
          <w:sz w:val="18"/>
          <w:szCs w:val="18"/>
          <w:lang w:val="ms-MY"/>
        </w:rPr>
        <w:t>Kata kunci:</w:t>
      </w:r>
      <w:r>
        <w:rPr>
          <w:i w:val="0"/>
          <w:sz w:val="18"/>
          <w:szCs w:val="18"/>
          <w:lang w:val="ms-MY"/>
        </w:rPr>
        <w:t xml:space="preserve"> </w:t>
      </w:r>
      <w:r w:rsidRPr="009C561E">
        <w:rPr>
          <w:sz w:val="18"/>
          <w:szCs w:val="18"/>
          <w:lang w:val="ms-MY"/>
        </w:rPr>
        <w:t xml:space="preserve"> </w:t>
      </w:r>
      <w:r w:rsidRPr="009C561E">
        <w:rPr>
          <w:b w:val="0"/>
          <w:i w:val="0"/>
          <w:sz w:val="18"/>
          <w:szCs w:val="18"/>
          <w:lang w:val="ms-MY"/>
        </w:rPr>
        <w:t>ultraturasan</w:t>
      </w:r>
      <w:r w:rsidRPr="009C561E">
        <w:rPr>
          <w:i w:val="0"/>
          <w:sz w:val="18"/>
          <w:szCs w:val="18"/>
          <w:lang w:val="ms-MY"/>
        </w:rPr>
        <w:t xml:space="preserve">, </w:t>
      </w:r>
      <w:r w:rsidRPr="009C561E">
        <w:rPr>
          <w:b w:val="0"/>
          <w:i w:val="0"/>
          <w:sz w:val="18"/>
          <w:szCs w:val="18"/>
          <w:lang w:val="ms-MY"/>
        </w:rPr>
        <w:t>membran nanokomposit, polivinilidena fluorida, tanah liat</w:t>
      </w:r>
    </w:p>
    <w:bookmarkEnd w:id="0"/>
    <w:p w:rsidR="006768E9" w:rsidRPr="004B02E3" w:rsidRDefault="006768E9" w:rsidP="00F447A7">
      <w:pPr>
        <w:spacing w:after="0" w:line="240" w:lineRule="auto"/>
        <w:jc w:val="center"/>
        <w:rPr>
          <w:rFonts w:ascii="Times New Roman" w:hAnsi="Times New Roman"/>
          <w:noProof/>
          <w:sz w:val="20"/>
          <w:szCs w:val="20"/>
          <w:lang w:val="ms-MY"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9318D" w:rsidRPr="00C9318D" w:rsidRDefault="00C9318D" w:rsidP="00C9318D">
      <w:pPr>
        <w:snapToGrid w:val="0"/>
        <w:spacing w:after="0" w:line="240" w:lineRule="auto"/>
        <w:jc w:val="both"/>
        <w:rPr>
          <w:rFonts w:ascii="Times New Roman" w:hAnsi="Times New Roman"/>
          <w:sz w:val="20"/>
          <w:szCs w:val="20"/>
        </w:rPr>
      </w:pPr>
      <w:r w:rsidRPr="00C9318D">
        <w:rPr>
          <w:rFonts w:ascii="Times New Roman" w:hAnsi="Times New Roman"/>
          <w:sz w:val="20"/>
          <w:szCs w:val="20"/>
        </w:rPr>
        <w:t xml:space="preserve">Membrane technology has provided a good opportunity and presents an interesting approach to study separation processes in numerous applications, such as in water and wastewater treatment, gas purification, food processing, pharmaceutical industries and bio separation areas [1]. In recent years, the application of UF membrane in protein separation is growing rapidly as it is easy to operate, incurs </w:t>
      </w:r>
      <w:r w:rsidRPr="00C9318D">
        <w:rPr>
          <w:rFonts w:ascii="Times New Roman" w:hAnsi="Times New Roman"/>
          <w:noProof/>
          <w:sz w:val="20"/>
          <w:szCs w:val="20"/>
        </w:rPr>
        <w:t>a low</w:t>
      </w:r>
      <w:r w:rsidRPr="00C9318D">
        <w:rPr>
          <w:rFonts w:ascii="Times New Roman" w:hAnsi="Times New Roman"/>
          <w:sz w:val="20"/>
          <w:szCs w:val="20"/>
        </w:rPr>
        <w:t xml:space="preserve"> operating cost and does not involve any phase change. In this light, producing membranes with better separation characteristics </w:t>
      </w:r>
      <w:r w:rsidRPr="00C9318D">
        <w:rPr>
          <w:rFonts w:ascii="Times New Roman" w:hAnsi="Times New Roman"/>
          <w:noProof/>
          <w:sz w:val="20"/>
          <w:szCs w:val="20"/>
        </w:rPr>
        <w:t>is</w:t>
      </w:r>
      <w:r w:rsidRPr="00C9318D">
        <w:rPr>
          <w:rFonts w:ascii="Times New Roman" w:hAnsi="Times New Roman"/>
          <w:sz w:val="20"/>
          <w:szCs w:val="20"/>
        </w:rPr>
        <w:t xml:space="preserve"> important to the continued development </w:t>
      </w:r>
      <w:r w:rsidRPr="00C9318D">
        <w:rPr>
          <w:rFonts w:ascii="Times New Roman" w:hAnsi="Times New Roman"/>
          <w:noProof/>
          <w:sz w:val="20"/>
          <w:szCs w:val="20"/>
        </w:rPr>
        <w:t>of</w:t>
      </w:r>
      <w:r w:rsidRPr="00C9318D">
        <w:rPr>
          <w:rFonts w:ascii="Times New Roman" w:hAnsi="Times New Roman"/>
          <w:sz w:val="20"/>
          <w:szCs w:val="20"/>
        </w:rPr>
        <w:t xml:space="preserve"> this technology. Most of the membranes used commercially based on polymeric materials and made from hydrophobic polymers such as polysulfone (PS), polyether sulfone (PES), polypropylene (PP), </w:t>
      </w:r>
      <w:r w:rsidRPr="00C9318D">
        <w:rPr>
          <w:rFonts w:ascii="Times New Roman" w:hAnsi="Times New Roman"/>
          <w:noProof/>
          <w:sz w:val="20"/>
          <w:szCs w:val="20"/>
        </w:rPr>
        <w:t>polyethylene</w:t>
      </w:r>
      <w:r w:rsidRPr="00C9318D">
        <w:rPr>
          <w:rFonts w:ascii="Times New Roman" w:hAnsi="Times New Roman"/>
          <w:sz w:val="20"/>
          <w:szCs w:val="20"/>
        </w:rPr>
        <w:t xml:space="preserve"> (PE), and polyvinylidene fluoride (PVDF). Among of these various polymers, PVDF is a well-known polymeric membrane that has broadly been used in UF membrane separation process.</w:t>
      </w:r>
    </w:p>
    <w:p w:rsidR="00C9318D" w:rsidRPr="00C9318D" w:rsidRDefault="00C9318D" w:rsidP="00C9318D">
      <w:pPr>
        <w:snapToGrid w:val="0"/>
        <w:spacing w:after="0" w:line="240" w:lineRule="auto"/>
        <w:jc w:val="both"/>
        <w:rPr>
          <w:rFonts w:ascii="Times New Roman" w:hAnsi="Times New Roman"/>
          <w:sz w:val="20"/>
          <w:szCs w:val="20"/>
        </w:rPr>
      </w:pPr>
    </w:p>
    <w:p w:rsidR="00C9318D" w:rsidRPr="00C9318D" w:rsidRDefault="00C9318D" w:rsidP="00C9318D">
      <w:pPr>
        <w:snapToGrid w:val="0"/>
        <w:spacing w:after="0" w:line="240" w:lineRule="auto"/>
        <w:jc w:val="both"/>
        <w:rPr>
          <w:rFonts w:ascii="Times New Roman" w:hAnsi="Times New Roman"/>
          <w:sz w:val="20"/>
          <w:szCs w:val="20"/>
        </w:rPr>
      </w:pPr>
      <w:r w:rsidRPr="00C9318D">
        <w:rPr>
          <w:rFonts w:ascii="Times New Roman" w:hAnsi="Times New Roman"/>
          <w:sz w:val="20"/>
          <w:szCs w:val="20"/>
        </w:rPr>
        <w:t xml:space="preserve">PVDF has been used in various applications, particularly in ultrafiltration processes due to its excellent chemical resistance, thermal stability and mechanical properties. However, PVDF membrane has a highly hydrophobic nature which leads to the deposition of solute or particle on a membrane surface or in membrane pores, causing serious fouling and a rapid decline in permeation flux [2]. The hydrophobicity of PVDF membrane has limited the application of the commercial PVDF membrane. </w:t>
      </w:r>
      <w:r w:rsidRPr="00C9318D">
        <w:rPr>
          <w:rFonts w:ascii="Times New Roman" w:hAnsi="Times New Roman"/>
          <w:sz w:val="20"/>
          <w:szCs w:val="20"/>
          <w:lang w:val="de-DE"/>
        </w:rPr>
        <w:t xml:space="preserve">Thus, it is necessary to improve the hydrophilicity of PVDF membrane through chemical or physical modifications,surface grafting polymerization, coating, or blending with </w:t>
      </w:r>
      <w:r w:rsidRPr="00C9318D">
        <w:rPr>
          <w:rFonts w:ascii="Times New Roman" w:hAnsi="Times New Roman"/>
          <w:noProof/>
          <w:sz w:val="20"/>
          <w:szCs w:val="20"/>
          <w:lang w:val="de-DE"/>
        </w:rPr>
        <w:t>a hydrophilic</w:t>
      </w:r>
      <w:r w:rsidRPr="00C9318D">
        <w:rPr>
          <w:rFonts w:ascii="Times New Roman" w:hAnsi="Times New Roman"/>
          <w:sz w:val="20"/>
          <w:szCs w:val="20"/>
          <w:lang w:val="de-DE"/>
        </w:rPr>
        <w:t xml:space="preserve"> polymer [3]. Among these methods, blending with inorganic materials, especially nanoparticles has attracted much interest due to its simple operation and efficiency in enhancing the performance of the hydrophobic membranes in designing new materials [4]. In this regard, montmorillonite is one of the most familiar natural clay used in the preparation of polymer clay </w:t>
      </w:r>
      <w:r w:rsidRPr="00C9318D">
        <w:rPr>
          <w:rFonts w:ascii="Times New Roman" w:hAnsi="Times New Roman"/>
          <w:noProof/>
          <w:sz w:val="20"/>
          <w:szCs w:val="20"/>
          <w:lang w:val="de-DE"/>
        </w:rPr>
        <w:t>nanocomposite</w:t>
      </w:r>
      <w:r w:rsidRPr="00C9318D">
        <w:rPr>
          <w:rFonts w:ascii="Times New Roman" w:hAnsi="Times New Roman"/>
          <w:sz w:val="20"/>
          <w:szCs w:val="20"/>
          <w:lang w:val="de-DE"/>
        </w:rPr>
        <w:t xml:space="preserve"> membrane because of its ability to be dispersed in the polymeric matrices at nanoscopic level [5] and only a small amount of this material is needed in the fabrication of nanocomposite membrane [6].</w:t>
      </w:r>
      <w:r w:rsidRPr="00C9318D">
        <w:rPr>
          <w:rFonts w:ascii="Times New Roman" w:hAnsi="Times New Roman"/>
          <w:sz w:val="20"/>
          <w:szCs w:val="20"/>
        </w:rPr>
        <w:t xml:space="preserve"> Thus, this study investigated the preparation of PVDF/</w:t>
      </w:r>
      <w:r w:rsidRPr="00C9318D">
        <w:rPr>
          <w:rFonts w:ascii="Times New Roman" w:hAnsi="Times New Roman"/>
          <w:sz w:val="20"/>
          <w:szCs w:val="20"/>
          <w:lang w:val="de-DE"/>
        </w:rPr>
        <w:t>Montmorillonite</w:t>
      </w:r>
      <w:r w:rsidRPr="00C9318D">
        <w:rPr>
          <w:rFonts w:ascii="Times New Roman" w:hAnsi="Times New Roman"/>
          <w:sz w:val="20"/>
          <w:szCs w:val="20"/>
        </w:rPr>
        <w:t xml:space="preserve"> </w:t>
      </w:r>
      <w:r w:rsidRPr="00C9318D">
        <w:rPr>
          <w:rFonts w:ascii="Times New Roman" w:hAnsi="Times New Roman"/>
          <w:noProof/>
          <w:sz w:val="20"/>
          <w:szCs w:val="20"/>
        </w:rPr>
        <w:t>nanocomposite</w:t>
      </w:r>
      <w:r w:rsidRPr="00C9318D">
        <w:rPr>
          <w:rFonts w:ascii="Times New Roman" w:hAnsi="Times New Roman"/>
          <w:sz w:val="20"/>
          <w:szCs w:val="20"/>
        </w:rPr>
        <w:t xml:space="preserve"> membrane using organically modified clay, </w:t>
      </w:r>
      <w:r w:rsidRPr="00C9318D">
        <w:rPr>
          <w:rFonts w:ascii="Times New Roman" w:hAnsi="Times New Roman"/>
          <w:noProof/>
          <w:sz w:val="20"/>
          <w:szCs w:val="20"/>
        </w:rPr>
        <w:t>tetraoctyl</w:t>
      </w:r>
      <w:r w:rsidRPr="00C9318D">
        <w:rPr>
          <w:rFonts w:ascii="Times New Roman" w:hAnsi="Times New Roman"/>
          <w:sz w:val="20"/>
          <w:szCs w:val="20"/>
        </w:rPr>
        <w:t xml:space="preserve"> phosphonium bromide (TOPBr) by using the blending method. </w:t>
      </w:r>
    </w:p>
    <w:p w:rsidR="00C9318D" w:rsidRPr="00C9318D" w:rsidRDefault="00C9318D" w:rsidP="00C9318D">
      <w:pPr>
        <w:snapToGrid w:val="0"/>
        <w:spacing w:after="0" w:line="240" w:lineRule="auto"/>
        <w:jc w:val="both"/>
        <w:rPr>
          <w:rFonts w:ascii="Times New Roman" w:hAnsi="Times New Roman"/>
          <w:sz w:val="20"/>
          <w:szCs w:val="20"/>
        </w:rPr>
      </w:pPr>
    </w:p>
    <w:p w:rsidR="00C9318D" w:rsidRPr="00C9318D" w:rsidRDefault="00C9318D" w:rsidP="00C9318D">
      <w:pPr>
        <w:snapToGrid w:val="0"/>
        <w:spacing w:after="0" w:line="240" w:lineRule="auto"/>
        <w:jc w:val="both"/>
        <w:rPr>
          <w:rFonts w:ascii="Times New Roman" w:hAnsi="Times New Roman"/>
          <w:sz w:val="20"/>
          <w:szCs w:val="20"/>
        </w:rPr>
      </w:pPr>
      <w:r w:rsidRPr="00C9318D">
        <w:rPr>
          <w:rFonts w:ascii="Times New Roman" w:hAnsi="Times New Roman"/>
          <w:sz w:val="20"/>
          <w:szCs w:val="20"/>
        </w:rPr>
        <w:t>To the best of our knowledge, there is no research conducted that focused on the use of clay materials in the nanocomposite membrane. The purpose of this research is to prepare flat sheet PVDF/TOPBr nanocomposite UF membranes by phase inversion method and to characterize its characteristics and performance by investigating the effect of clay dosage on water permeation and protein separation in detail.</w:t>
      </w:r>
    </w:p>
    <w:p w:rsidR="00C9318D" w:rsidRPr="00C9318D" w:rsidRDefault="00C9318D" w:rsidP="00C9318D">
      <w:pPr>
        <w:snapToGrid w:val="0"/>
        <w:spacing w:after="0" w:line="240" w:lineRule="auto"/>
        <w:jc w:val="center"/>
        <w:rPr>
          <w:rFonts w:ascii="Times New Roman" w:hAnsi="Times New Roman"/>
          <w:sz w:val="20"/>
          <w:szCs w:val="20"/>
        </w:rPr>
      </w:pPr>
    </w:p>
    <w:p w:rsidR="00C9318D" w:rsidRPr="00C9318D" w:rsidRDefault="00C9318D" w:rsidP="00C9318D">
      <w:pPr>
        <w:pStyle w:val="Heading1"/>
        <w:snapToGrid w:val="0"/>
        <w:spacing w:before="0" w:line="240" w:lineRule="auto"/>
        <w:contextualSpacing w:val="0"/>
        <w:jc w:val="center"/>
        <w:rPr>
          <w:rFonts w:ascii="Times New Roman" w:hAnsi="Times New Roman"/>
          <w:b/>
          <w:smallCaps w:val="0"/>
          <w:sz w:val="20"/>
          <w:szCs w:val="20"/>
        </w:rPr>
      </w:pPr>
      <w:r w:rsidRPr="00C9318D">
        <w:rPr>
          <w:rFonts w:ascii="Times New Roman" w:hAnsi="Times New Roman"/>
          <w:b/>
          <w:smallCaps w:val="0"/>
          <w:sz w:val="20"/>
          <w:szCs w:val="20"/>
        </w:rPr>
        <w:t>Materials and Methods</w:t>
      </w:r>
    </w:p>
    <w:p w:rsidR="00C9318D" w:rsidRPr="00C9318D" w:rsidRDefault="00C9318D" w:rsidP="00C9318D">
      <w:pPr>
        <w:snapToGrid w:val="0"/>
        <w:spacing w:after="0" w:line="240" w:lineRule="auto"/>
        <w:jc w:val="lowKashida"/>
        <w:rPr>
          <w:rFonts w:ascii="Times New Roman" w:hAnsi="Times New Roman"/>
          <w:bCs/>
          <w:sz w:val="20"/>
          <w:szCs w:val="20"/>
          <w:lang w:val="en-AU"/>
        </w:rPr>
      </w:pPr>
      <w:r w:rsidRPr="00C9318D">
        <w:rPr>
          <w:rFonts w:ascii="Times New Roman" w:hAnsi="Times New Roman"/>
          <w:b/>
          <w:bCs/>
          <w:sz w:val="20"/>
          <w:szCs w:val="20"/>
          <w:lang w:val="en-AU"/>
        </w:rPr>
        <w:t>Materials</w:t>
      </w:r>
      <w:r w:rsidRPr="00C9318D">
        <w:rPr>
          <w:rFonts w:ascii="Times New Roman" w:hAnsi="Times New Roman"/>
          <w:bCs/>
          <w:sz w:val="20"/>
          <w:szCs w:val="20"/>
          <w:lang w:val="en-AU"/>
        </w:rPr>
        <w:t xml:space="preserve"> </w:t>
      </w:r>
    </w:p>
    <w:p w:rsidR="00C9318D" w:rsidRPr="00C9318D" w:rsidRDefault="00C9318D" w:rsidP="00C9318D">
      <w:pPr>
        <w:snapToGrid w:val="0"/>
        <w:spacing w:after="0" w:line="240" w:lineRule="auto"/>
        <w:jc w:val="lowKashida"/>
        <w:rPr>
          <w:rFonts w:ascii="Times New Roman" w:hAnsi="Times New Roman"/>
          <w:bCs/>
          <w:sz w:val="20"/>
          <w:szCs w:val="20"/>
          <w:lang w:val="en-AU"/>
        </w:rPr>
      </w:pPr>
      <w:r w:rsidRPr="00C9318D">
        <w:rPr>
          <w:rFonts w:ascii="Times New Roman" w:hAnsi="Times New Roman"/>
          <w:bCs/>
          <w:sz w:val="20"/>
          <w:szCs w:val="20"/>
          <w:lang w:val="en-AU"/>
        </w:rPr>
        <w:t xml:space="preserve">All materials used were of analytical grade. The membranes were fabricated from the dope solution of polyvinylidene fluoride (PVDF) as the base polymer, </w:t>
      </w:r>
      <w:r w:rsidRPr="00C9318D">
        <w:rPr>
          <w:rFonts w:ascii="Times New Roman" w:hAnsi="Times New Roman"/>
          <w:bCs/>
          <w:noProof/>
          <w:sz w:val="20"/>
          <w:szCs w:val="20"/>
          <w:lang w:val="en-AU"/>
        </w:rPr>
        <w:t>t</w:t>
      </w:r>
      <w:r w:rsidRPr="00C9318D">
        <w:rPr>
          <w:rFonts w:ascii="Times New Roman" w:hAnsi="Times New Roman"/>
          <w:noProof/>
          <w:sz w:val="20"/>
          <w:szCs w:val="20"/>
        </w:rPr>
        <w:t>etraoctyl</w:t>
      </w:r>
      <w:r w:rsidRPr="00C9318D">
        <w:rPr>
          <w:rFonts w:ascii="Times New Roman" w:hAnsi="Times New Roman"/>
          <w:sz w:val="20"/>
          <w:szCs w:val="20"/>
        </w:rPr>
        <w:t xml:space="preserve"> phosphonium bromide (TOPBr) clay, </w:t>
      </w:r>
      <w:r w:rsidRPr="00C9318D">
        <w:rPr>
          <w:rFonts w:ascii="Times New Roman" w:hAnsi="Times New Roman"/>
          <w:bCs/>
          <w:sz w:val="20"/>
          <w:szCs w:val="20"/>
          <w:lang w:val="en-AU"/>
        </w:rPr>
        <w:t>and N-methyl-2-pyrrolidone (NMP) as a solvent. All of these materials were supplied by Merck. The TOPBr clay was prepared via cation ion exchange between sodium ions of Na</w:t>
      </w:r>
      <w:r w:rsidRPr="00C9318D">
        <w:rPr>
          <w:rFonts w:ascii="Times New Roman" w:hAnsi="Times New Roman"/>
          <w:bCs/>
          <w:sz w:val="20"/>
          <w:szCs w:val="20"/>
          <w:vertAlign w:val="superscript"/>
          <w:lang w:val="en-AU"/>
        </w:rPr>
        <w:t>+</w:t>
      </w:r>
      <w:r w:rsidRPr="00C9318D">
        <w:rPr>
          <w:rFonts w:ascii="Times New Roman" w:hAnsi="Times New Roman"/>
          <w:bCs/>
          <w:sz w:val="20"/>
          <w:szCs w:val="20"/>
          <w:lang w:val="en-AU"/>
        </w:rPr>
        <w:t xml:space="preserve"> MMT clay and </w:t>
      </w:r>
      <w:r w:rsidRPr="00C9318D">
        <w:rPr>
          <w:rFonts w:ascii="Times New Roman" w:hAnsi="Times New Roman"/>
          <w:bCs/>
          <w:noProof/>
          <w:sz w:val="20"/>
          <w:szCs w:val="20"/>
          <w:lang w:val="en-AU"/>
        </w:rPr>
        <w:t>tetraoctylphosphonium</w:t>
      </w:r>
      <w:r w:rsidRPr="00C9318D">
        <w:rPr>
          <w:rFonts w:ascii="Times New Roman" w:hAnsi="Times New Roman"/>
          <w:bCs/>
          <w:sz w:val="20"/>
          <w:szCs w:val="20"/>
          <w:lang w:val="en-AU"/>
        </w:rPr>
        <w:t xml:space="preserve"> bromide (TOP-Br) surfactant ions. The modified clay was prepared according to Ali and his </w:t>
      </w:r>
      <w:r w:rsidRPr="00C9318D">
        <w:rPr>
          <w:rFonts w:ascii="Times New Roman" w:hAnsi="Times New Roman"/>
          <w:bCs/>
          <w:noProof/>
          <w:sz w:val="20"/>
          <w:szCs w:val="20"/>
          <w:lang w:val="en-AU"/>
        </w:rPr>
        <w:t>co-workers</w:t>
      </w:r>
      <w:r w:rsidRPr="00C9318D">
        <w:rPr>
          <w:rFonts w:ascii="Times New Roman" w:hAnsi="Times New Roman"/>
          <w:bCs/>
          <w:sz w:val="20"/>
          <w:szCs w:val="20"/>
          <w:lang w:val="en-AU"/>
        </w:rPr>
        <w:t xml:space="preserve"> [3]. Distilled water was used as a coagulation medium in coagulation bath and was used in pure water permeation experiment. Bovine serum albumin (BSA) (Mw = 66kDa) purchased from Sigma was used for the evaluation of the protein separation performance test.</w:t>
      </w:r>
    </w:p>
    <w:p w:rsidR="00C9318D" w:rsidRPr="00C9318D" w:rsidRDefault="00C9318D" w:rsidP="00C9318D">
      <w:pPr>
        <w:snapToGrid w:val="0"/>
        <w:spacing w:after="0" w:line="240" w:lineRule="auto"/>
        <w:jc w:val="lowKashida"/>
        <w:rPr>
          <w:rFonts w:ascii="Times New Roman" w:hAnsi="Times New Roman"/>
          <w:bCs/>
          <w:sz w:val="20"/>
          <w:szCs w:val="20"/>
          <w:lang w:val="en-AU"/>
        </w:rPr>
      </w:pPr>
    </w:p>
    <w:p w:rsidR="00C9318D" w:rsidRPr="00C9318D" w:rsidRDefault="00C9318D" w:rsidP="00C9318D">
      <w:pPr>
        <w:snapToGrid w:val="0"/>
        <w:spacing w:after="0" w:line="240" w:lineRule="auto"/>
        <w:jc w:val="lowKashida"/>
        <w:rPr>
          <w:rFonts w:ascii="Times New Roman" w:hAnsi="Times New Roman"/>
          <w:b/>
          <w:bCs/>
          <w:sz w:val="20"/>
          <w:szCs w:val="20"/>
        </w:rPr>
      </w:pPr>
      <w:r w:rsidRPr="00C9318D">
        <w:rPr>
          <w:rFonts w:ascii="Times New Roman" w:hAnsi="Times New Roman"/>
          <w:b/>
          <w:bCs/>
          <w:sz w:val="20"/>
          <w:szCs w:val="20"/>
        </w:rPr>
        <w:t>Membrane preparation</w:t>
      </w:r>
    </w:p>
    <w:p w:rsidR="00C9318D" w:rsidRPr="00C9318D" w:rsidRDefault="00C9318D" w:rsidP="00C9318D">
      <w:pPr>
        <w:snapToGrid w:val="0"/>
        <w:spacing w:after="0" w:line="240" w:lineRule="auto"/>
        <w:jc w:val="lowKashida"/>
        <w:rPr>
          <w:rFonts w:ascii="Times New Roman" w:hAnsi="Times New Roman"/>
          <w:bCs/>
          <w:sz w:val="20"/>
          <w:szCs w:val="20"/>
        </w:rPr>
      </w:pPr>
      <w:r w:rsidRPr="00C9318D">
        <w:rPr>
          <w:rFonts w:ascii="Times New Roman" w:hAnsi="Times New Roman"/>
          <w:bCs/>
          <w:sz w:val="20"/>
          <w:szCs w:val="20"/>
        </w:rPr>
        <w:t xml:space="preserve">The membranes were prepared using the phase inversion method. Different TOPBr clay content (0.2, 0.4, 0.6, 0.8 and 1.0 weight %) </w:t>
      </w:r>
      <w:r w:rsidRPr="00C9318D">
        <w:rPr>
          <w:rFonts w:ascii="Times New Roman" w:hAnsi="Times New Roman"/>
          <w:bCs/>
          <w:noProof/>
          <w:sz w:val="20"/>
          <w:szCs w:val="20"/>
        </w:rPr>
        <w:t>were</w:t>
      </w:r>
      <w:r w:rsidRPr="00C9318D">
        <w:rPr>
          <w:rFonts w:ascii="Times New Roman" w:hAnsi="Times New Roman"/>
          <w:bCs/>
          <w:sz w:val="20"/>
          <w:szCs w:val="20"/>
        </w:rPr>
        <w:t xml:space="preserve"> added into 17/83 wt.% of polymer/solvent solution and </w:t>
      </w:r>
      <w:r w:rsidRPr="00C9318D">
        <w:rPr>
          <w:rFonts w:ascii="Times New Roman" w:hAnsi="Times New Roman"/>
          <w:bCs/>
          <w:noProof/>
          <w:sz w:val="20"/>
          <w:szCs w:val="20"/>
        </w:rPr>
        <w:t>homogenous</w:t>
      </w:r>
      <w:r w:rsidRPr="00C9318D">
        <w:rPr>
          <w:rFonts w:ascii="Times New Roman" w:hAnsi="Times New Roman"/>
          <w:bCs/>
          <w:sz w:val="20"/>
          <w:szCs w:val="20"/>
        </w:rPr>
        <w:t xml:space="preserve"> dispersion solutions </w:t>
      </w:r>
      <w:r w:rsidRPr="00C9318D">
        <w:rPr>
          <w:rFonts w:ascii="Times New Roman" w:hAnsi="Times New Roman"/>
          <w:bCs/>
          <w:sz w:val="20"/>
          <w:szCs w:val="20"/>
        </w:rPr>
        <w:lastRenderedPageBreak/>
        <w:t xml:space="preserve">were prepared by mechanical stirring for 6 hours at 70 °C. The membranes </w:t>
      </w:r>
      <w:r w:rsidRPr="00C9318D">
        <w:rPr>
          <w:rFonts w:ascii="Times New Roman" w:hAnsi="Times New Roman"/>
          <w:bCs/>
          <w:noProof/>
          <w:sz w:val="20"/>
          <w:szCs w:val="20"/>
        </w:rPr>
        <w:t>were</w:t>
      </w:r>
      <w:r w:rsidRPr="00C9318D">
        <w:rPr>
          <w:rFonts w:ascii="Times New Roman" w:hAnsi="Times New Roman"/>
          <w:bCs/>
          <w:sz w:val="20"/>
          <w:szCs w:val="20"/>
        </w:rPr>
        <w:t xml:space="preserve"> fabricated </w:t>
      </w:r>
      <w:r w:rsidRPr="00C9318D">
        <w:rPr>
          <w:rFonts w:ascii="Times New Roman" w:hAnsi="Times New Roman"/>
          <w:bCs/>
          <w:i/>
          <w:sz w:val="20"/>
          <w:szCs w:val="20"/>
        </w:rPr>
        <w:t>via</w:t>
      </w:r>
      <w:r w:rsidRPr="00C9318D">
        <w:rPr>
          <w:rFonts w:ascii="Times New Roman" w:hAnsi="Times New Roman"/>
          <w:bCs/>
          <w:sz w:val="20"/>
          <w:szCs w:val="20"/>
        </w:rPr>
        <w:t xml:space="preserve"> phase inversion technique where the solution was cast on a glass plate with 150-µm thickness and immediately immersed into a coagulation bath. A flat sheet membrane was obtained and stored for 24 hours, in order to remove </w:t>
      </w:r>
      <w:r w:rsidRPr="00C9318D">
        <w:rPr>
          <w:rFonts w:ascii="Times New Roman" w:hAnsi="Times New Roman"/>
          <w:bCs/>
          <w:noProof/>
          <w:sz w:val="20"/>
          <w:szCs w:val="20"/>
        </w:rPr>
        <w:t>the excess</w:t>
      </w:r>
      <w:r w:rsidRPr="00C9318D">
        <w:rPr>
          <w:rFonts w:ascii="Times New Roman" w:hAnsi="Times New Roman"/>
          <w:bCs/>
          <w:sz w:val="20"/>
          <w:szCs w:val="20"/>
        </w:rPr>
        <w:t xml:space="preserve"> solvent in the fabricated membrane. The membranes </w:t>
      </w:r>
      <w:r w:rsidRPr="00C9318D">
        <w:rPr>
          <w:rFonts w:ascii="Times New Roman" w:hAnsi="Times New Roman"/>
          <w:bCs/>
          <w:noProof/>
          <w:sz w:val="20"/>
          <w:szCs w:val="20"/>
        </w:rPr>
        <w:t>were</w:t>
      </w:r>
      <w:r w:rsidRPr="00C9318D">
        <w:rPr>
          <w:rFonts w:ascii="Times New Roman" w:hAnsi="Times New Roman"/>
          <w:bCs/>
          <w:sz w:val="20"/>
          <w:szCs w:val="20"/>
        </w:rPr>
        <w:t xml:space="preserve"> stored in distilled water prior to usage.</w:t>
      </w:r>
    </w:p>
    <w:p w:rsidR="00C9318D" w:rsidRPr="00C9318D" w:rsidRDefault="00C9318D" w:rsidP="00C9318D">
      <w:pPr>
        <w:snapToGrid w:val="0"/>
        <w:spacing w:after="0" w:line="240" w:lineRule="auto"/>
        <w:jc w:val="lowKashida"/>
        <w:rPr>
          <w:rFonts w:ascii="Times New Roman" w:hAnsi="Times New Roman"/>
          <w:b/>
          <w:sz w:val="20"/>
          <w:szCs w:val="20"/>
        </w:rPr>
      </w:pPr>
    </w:p>
    <w:p w:rsidR="00C9318D" w:rsidRPr="00C9318D" w:rsidRDefault="00C9318D" w:rsidP="00C9318D">
      <w:pPr>
        <w:snapToGrid w:val="0"/>
        <w:spacing w:after="0" w:line="240" w:lineRule="auto"/>
        <w:jc w:val="lowKashida"/>
        <w:rPr>
          <w:rFonts w:ascii="Times New Roman" w:hAnsi="Times New Roman"/>
          <w:b/>
          <w:sz w:val="20"/>
          <w:szCs w:val="20"/>
        </w:rPr>
      </w:pPr>
      <w:r w:rsidRPr="00C9318D">
        <w:rPr>
          <w:rFonts w:ascii="Times New Roman" w:hAnsi="Times New Roman"/>
          <w:b/>
          <w:sz w:val="20"/>
          <w:szCs w:val="20"/>
        </w:rPr>
        <w:t>Membrane characterization: Water content</w:t>
      </w: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The water content of each</w:t>
      </w:r>
      <w:r w:rsidRPr="00C9318D">
        <w:rPr>
          <w:rFonts w:ascii="Times New Roman" w:hAnsi="Times New Roman"/>
          <w:b/>
          <w:sz w:val="20"/>
          <w:szCs w:val="20"/>
        </w:rPr>
        <w:t xml:space="preserve"> </w:t>
      </w:r>
      <w:r w:rsidRPr="00C9318D">
        <w:rPr>
          <w:rFonts w:ascii="Times New Roman" w:hAnsi="Times New Roman"/>
          <w:sz w:val="20"/>
          <w:szCs w:val="20"/>
        </w:rPr>
        <w:t>membrane</w:t>
      </w:r>
      <w:r w:rsidRPr="00C9318D" w:rsidDel="003A1610">
        <w:rPr>
          <w:rFonts w:ascii="Times New Roman" w:hAnsi="Times New Roman"/>
          <w:sz w:val="20"/>
          <w:szCs w:val="20"/>
        </w:rPr>
        <w:t xml:space="preserve"> </w:t>
      </w:r>
      <w:r w:rsidRPr="00C9318D">
        <w:rPr>
          <w:rFonts w:ascii="Times New Roman" w:hAnsi="Times New Roman"/>
          <w:sz w:val="20"/>
          <w:szCs w:val="20"/>
        </w:rPr>
        <w:t xml:space="preserve">was obtained </w:t>
      </w:r>
      <w:r w:rsidRPr="00C9318D">
        <w:rPr>
          <w:rFonts w:ascii="Times New Roman" w:hAnsi="Times New Roman"/>
          <w:noProof/>
          <w:sz w:val="20"/>
          <w:szCs w:val="20"/>
        </w:rPr>
        <w:t>after</w:t>
      </w:r>
      <w:r w:rsidRPr="00C9318D">
        <w:rPr>
          <w:rFonts w:ascii="Times New Roman" w:hAnsi="Times New Roman"/>
          <w:sz w:val="20"/>
          <w:szCs w:val="20"/>
        </w:rPr>
        <w:t xml:space="preserve"> soaking the membranes in water for 24 hours at room temperature. The membranes were then dried in a vacuum drier at 75 °C for 48 </w:t>
      </w:r>
      <w:r w:rsidRPr="00C9318D">
        <w:rPr>
          <w:rFonts w:ascii="Times New Roman" w:hAnsi="Times New Roman"/>
          <w:noProof/>
          <w:sz w:val="20"/>
          <w:szCs w:val="20"/>
        </w:rPr>
        <w:t>hour</w:t>
      </w:r>
      <w:r w:rsidRPr="00C9318D">
        <w:rPr>
          <w:rFonts w:ascii="Times New Roman" w:hAnsi="Times New Roman"/>
          <w:sz w:val="20"/>
          <w:szCs w:val="20"/>
        </w:rPr>
        <w:t xml:space="preserve">s </w:t>
      </w:r>
      <w:r w:rsidRPr="00C9318D">
        <w:rPr>
          <w:rFonts w:ascii="Times New Roman" w:hAnsi="Times New Roman"/>
          <w:noProof/>
          <w:sz w:val="20"/>
          <w:szCs w:val="20"/>
        </w:rPr>
        <w:t>befire</w:t>
      </w:r>
      <w:r w:rsidRPr="00C9318D">
        <w:rPr>
          <w:rFonts w:ascii="Times New Roman" w:hAnsi="Times New Roman"/>
          <w:sz w:val="20"/>
          <w:szCs w:val="20"/>
        </w:rPr>
        <w:t xml:space="preserve"> the weight of each membrane </w:t>
      </w:r>
      <w:r w:rsidRPr="00C9318D">
        <w:rPr>
          <w:rFonts w:ascii="Times New Roman" w:hAnsi="Times New Roman"/>
          <w:noProof/>
          <w:sz w:val="20"/>
          <w:szCs w:val="20"/>
        </w:rPr>
        <w:t>was</w:t>
      </w:r>
      <w:r w:rsidRPr="00C9318D">
        <w:rPr>
          <w:rFonts w:ascii="Times New Roman" w:hAnsi="Times New Roman"/>
          <w:sz w:val="20"/>
          <w:szCs w:val="20"/>
        </w:rPr>
        <w:t xml:space="preserve"> determined. The percentage of water content </w:t>
      </w:r>
      <w:r w:rsidRPr="00C9318D">
        <w:rPr>
          <w:rFonts w:ascii="Times New Roman" w:hAnsi="Times New Roman"/>
          <w:noProof/>
          <w:sz w:val="20"/>
          <w:szCs w:val="20"/>
        </w:rPr>
        <w:t>was</w:t>
      </w:r>
      <w:r w:rsidRPr="00C9318D">
        <w:rPr>
          <w:rFonts w:ascii="Times New Roman" w:hAnsi="Times New Roman"/>
          <w:sz w:val="20"/>
          <w:szCs w:val="20"/>
        </w:rPr>
        <w:t xml:space="preserve"> calculated using </w:t>
      </w:r>
      <w:r w:rsidRPr="00C9318D">
        <w:rPr>
          <w:rFonts w:ascii="Times New Roman" w:hAnsi="Times New Roman"/>
          <w:noProof/>
          <w:sz w:val="20"/>
          <w:szCs w:val="20"/>
        </w:rPr>
        <w:t>equation 1</w:t>
      </w:r>
      <w:r w:rsidRPr="00C9318D">
        <w:rPr>
          <w:rFonts w:ascii="Times New Roman" w:hAnsi="Times New Roman"/>
          <w:sz w:val="20"/>
          <w:szCs w:val="20"/>
        </w:rPr>
        <w:t>:</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ind w:firstLine="720"/>
        <w:jc w:val="both"/>
        <w:rPr>
          <w:rFonts w:ascii="Times New Roman" w:hAnsi="Times New Roman"/>
          <w:sz w:val="20"/>
          <w:szCs w:val="20"/>
        </w:rPr>
      </w:pPr>
      <m:oMath>
        <m:r>
          <w:rPr>
            <w:rFonts w:ascii="Cambria Math" w:hAnsi="Cambria Math"/>
            <w:sz w:val="20"/>
            <w:szCs w:val="20"/>
          </w:rPr>
          <m:t>% Water content=</m:t>
        </m:r>
        <m:f>
          <m:fPr>
            <m:ctrlPr>
              <w:rPr>
                <w:rFonts w:ascii="Cambria Math" w:hAnsi="Cambria Math"/>
                <w:i/>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wet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dry</m:t>
                    </m:r>
                  </m:sub>
                </m:sSub>
              </m:e>
            </m:d>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wet</m:t>
                </m:r>
              </m:sub>
            </m:sSub>
          </m:den>
        </m:f>
        <m:r>
          <w:rPr>
            <w:rFonts w:ascii="Cambria Math" w:hAnsi="Cambria Math"/>
            <w:sz w:val="20"/>
            <w:szCs w:val="20"/>
          </w:rPr>
          <m:t>×100</m:t>
        </m:r>
      </m:oMath>
      <w:r w:rsidRPr="00C9318D">
        <w:rPr>
          <w:rFonts w:ascii="Times New Roman" w:hAnsi="Times New Roman"/>
          <w:sz w:val="20"/>
          <w:szCs w:val="20"/>
        </w:rPr>
        <w:t xml:space="preserve"> </w:t>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t xml:space="preserve">  </w:t>
      </w:r>
      <w:r>
        <w:rPr>
          <w:rFonts w:ascii="Times New Roman" w:hAnsi="Times New Roman"/>
          <w:sz w:val="20"/>
          <w:szCs w:val="20"/>
        </w:rPr>
        <w:t xml:space="preserve">      </w:t>
      </w:r>
      <w:r w:rsidRPr="00C9318D">
        <w:rPr>
          <w:rFonts w:ascii="Times New Roman" w:hAnsi="Times New Roman"/>
          <w:sz w:val="20"/>
          <w:szCs w:val="20"/>
        </w:rPr>
        <w:t xml:space="preserve"> (1)</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wet</m:t>
            </m:r>
          </m:sub>
        </m:sSub>
        <m:r>
          <w:rPr>
            <w:rFonts w:ascii="Cambria Math" w:hAnsi="Cambria Math"/>
            <w:sz w:val="20"/>
            <w:szCs w:val="20"/>
          </w:rPr>
          <m:t xml:space="preserve"> </m:t>
        </m:r>
      </m:oMath>
      <w:r w:rsidRPr="00C9318D">
        <w:rPr>
          <w:rFonts w:ascii="Times New Roman" w:hAnsi="Times New Roman"/>
          <w:sz w:val="20"/>
          <w:szCs w:val="20"/>
        </w:rPr>
        <w:t xml:space="preserve">is define as weight of is wet membrane (mg) and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dry</m:t>
            </m:r>
          </m:sub>
        </m:sSub>
      </m:oMath>
      <w:r w:rsidRPr="00C9318D">
        <w:rPr>
          <w:rFonts w:ascii="Times New Roman" w:hAnsi="Times New Roman"/>
          <w:sz w:val="20"/>
          <w:szCs w:val="20"/>
        </w:rPr>
        <w:t xml:space="preserve"> is a weight of dry membrane (mg).</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b/>
          <w:sz w:val="20"/>
          <w:szCs w:val="20"/>
        </w:rPr>
        <w:t>Porosity</w:t>
      </w: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The porosity of each membrane was assessed by their holding ability for water absorption and was determined using the equation 2 below:</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ind w:firstLine="720"/>
        <w:jc w:val="lowKashida"/>
        <w:rPr>
          <w:rFonts w:ascii="Times New Roman" w:hAnsi="Times New Roman"/>
          <w:sz w:val="20"/>
          <w:szCs w:val="20"/>
        </w:rPr>
      </w:pPr>
      <m:oMath>
        <m:r>
          <w:rPr>
            <w:rFonts w:ascii="Cambria Math" w:hAnsi="Cambria Math"/>
            <w:sz w:val="20"/>
            <w:szCs w:val="20"/>
          </w:rPr>
          <m:t>Porosi</m:t>
        </m:r>
        <m:r>
          <w:rPr>
            <w:rFonts w:ascii="Cambria Math" w:hAnsi="Cambria Math"/>
            <w:sz w:val="20"/>
            <w:szCs w:val="20"/>
          </w:rPr>
          <m:t>ty=</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r>
              <w:rPr>
                <w:rFonts w:ascii="Cambria Math" w:hAnsi="Cambria Math"/>
                <w:sz w:val="20"/>
                <w:szCs w:val="20"/>
              </w:rPr>
              <m:t>-</m:t>
            </m:r>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water</m:t>
                    </m:r>
                  </m:sub>
                </m:sSub>
              </m:den>
            </m:f>
            <m:r>
              <w:rPr>
                <w:rFonts w:ascii="Cambria Math" w:hAnsi="Cambria Math"/>
                <w:sz w:val="20"/>
                <w:szCs w:val="20"/>
              </w:rPr>
              <m:t>)</m:t>
            </m:r>
          </m:num>
          <m:den>
            <m:r>
              <w:rPr>
                <w:rFonts w:ascii="Cambria Math" w:hAnsi="Cambria Math"/>
                <w:sz w:val="20"/>
                <w:szCs w:val="20"/>
              </w:rPr>
              <m:t>V</m:t>
            </m:r>
          </m:den>
        </m:f>
        <m:r>
          <w:rPr>
            <w:rFonts w:ascii="Cambria Math" w:hAnsi="Cambria Math"/>
            <w:sz w:val="20"/>
            <w:szCs w:val="20"/>
          </w:rPr>
          <m:t>×100</m:t>
        </m:r>
      </m:oMath>
      <w:r w:rsidRPr="00C9318D">
        <w:rPr>
          <w:rFonts w:ascii="Times New Roman" w:hAnsi="Times New Roman"/>
          <w:sz w:val="20"/>
          <w:szCs w:val="20"/>
        </w:rPr>
        <w:t xml:space="preserve"> </w:t>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t xml:space="preserve">  </w:t>
      </w:r>
      <w:r>
        <w:rPr>
          <w:rFonts w:ascii="Times New Roman" w:hAnsi="Times New Roman"/>
          <w:sz w:val="20"/>
          <w:szCs w:val="20"/>
        </w:rPr>
        <w:t xml:space="preserve">      </w:t>
      </w:r>
      <w:r w:rsidRPr="00C9318D">
        <w:rPr>
          <w:rFonts w:ascii="Times New Roman" w:hAnsi="Times New Roman"/>
          <w:sz w:val="20"/>
          <w:szCs w:val="20"/>
        </w:rPr>
        <w:t xml:space="preserve"> (2)</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oMath>
      <w:r w:rsidRPr="00C9318D">
        <w:rPr>
          <w:rFonts w:ascii="Times New Roman" w:hAnsi="Times New Roman"/>
          <w:sz w:val="20"/>
          <w:szCs w:val="20"/>
        </w:rPr>
        <w:t xml:space="preserve">and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oMath>
      <w:r w:rsidRPr="00C9318D">
        <w:rPr>
          <w:rFonts w:ascii="Times New Roman" w:hAnsi="Times New Roman"/>
          <w:sz w:val="20"/>
          <w:szCs w:val="20"/>
        </w:rPr>
        <w:t xml:space="preserve"> are the mass of membrane in wet and dry states (mg),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water</m:t>
            </m:r>
          </m:sub>
        </m:sSub>
      </m:oMath>
      <w:r w:rsidRPr="00C9318D">
        <w:rPr>
          <w:rFonts w:ascii="Times New Roman" w:hAnsi="Times New Roman"/>
          <w:sz w:val="20"/>
          <w:szCs w:val="20"/>
        </w:rPr>
        <w:t xml:space="preserve"> is the density of water at room temperature (ml/mg) and </w:t>
      </w:r>
      <m:oMath>
        <m:r>
          <w:rPr>
            <w:rFonts w:ascii="Cambria Math" w:hAnsi="Cambria Math"/>
            <w:sz w:val="20"/>
            <w:szCs w:val="20"/>
          </w:rPr>
          <m:t>V</m:t>
        </m:r>
      </m:oMath>
      <w:r w:rsidRPr="00C9318D">
        <w:rPr>
          <w:rFonts w:ascii="Times New Roman" w:hAnsi="Times New Roman"/>
          <w:sz w:val="20"/>
          <w:szCs w:val="20"/>
        </w:rPr>
        <w:t xml:space="preserve"> is the volume of the membrane in wet state (ml).</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b/>
          <w:sz w:val="20"/>
          <w:szCs w:val="20"/>
        </w:rPr>
      </w:pPr>
      <w:r w:rsidRPr="00C9318D">
        <w:rPr>
          <w:rFonts w:ascii="Times New Roman" w:hAnsi="Times New Roman"/>
          <w:b/>
          <w:sz w:val="20"/>
          <w:szCs w:val="20"/>
        </w:rPr>
        <w:t>Pure water permeation</w:t>
      </w: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All of the permeation tests were carried out at room temperature using dead end permeation cell with the feed volume of 300 ml and area of membrane filtration was set at 14.6 cm</w:t>
      </w:r>
      <w:r w:rsidRPr="00C9318D">
        <w:rPr>
          <w:rFonts w:ascii="Times New Roman" w:hAnsi="Times New Roman"/>
          <w:sz w:val="20"/>
          <w:szCs w:val="20"/>
          <w:vertAlign w:val="superscript"/>
        </w:rPr>
        <w:t>2</w:t>
      </w:r>
      <w:r w:rsidRPr="00C9318D">
        <w:rPr>
          <w:rFonts w:ascii="Times New Roman" w:hAnsi="Times New Roman"/>
          <w:sz w:val="20"/>
          <w:szCs w:val="20"/>
        </w:rPr>
        <w:t xml:space="preserve">. Distilled water was used for the feed solution in this experiment to earn pure water permeability and achieve membrane stability. Compaction tests </w:t>
      </w:r>
      <w:r w:rsidRPr="00C9318D">
        <w:rPr>
          <w:rFonts w:ascii="Times New Roman" w:hAnsi="Times New Roman"/>
          <w:noProof/>
          <w:sz w:val="20"/>
          <w:szCs w:val="20"/>
        </w:rPr>
        <w:t>were</w:t>
      </w:r>
      <w:r w:rsidRPr="00C9318D">
        <w:rPr>
          <w:rFonts w:ascii="Times New Roman" w:hAnsi="Times New Roman"/>
          <w:sz w:val="20"/>
          <w:szCs w:val="20"/>
        </w:rPr>
        <w:t xml:space="preserve"> performed for each </w:t>
      </w:r>
      <w:r w:rsidRPr="00C9318D">
        <w:rPr>
          <w:rFonts w:ascii="Times New Roman" w:hAnsi="Times New Roman"/>
          <w:noProof/>
          <w:sz w:val="20"/>
          <w:szCs w:val="20"/>
        </w:rPr>
        <w:t>membrane</w:t>
      </w:r>
      <w:r w:rsidRPr="00C9318D">
        <w:rPr>
          <w:rFonts w:ascii="Times New Roman" w:hAnsi="Times New Roman"/>
          <w:sz w:val="20"/>
          <w:szCs w:val="20"/>
        </w:rPr>
        <w:t>, first at 5 bar between 30 minutes to 1 hour or until the pure water flux attained a steady state.</w:t>
      </w:r>
      <w:r w:rsidRPr="00C9318D">
        <w:rPr>
          <w:rFonts w:ascii="Times New Roman" w:eastAsiaTheme="minorHAnsi" w:hAnsi="Times New Roman"/>
          <w:sz w:val="20"/>
          <w:szCs w:val="20"/>
        </w:rPr>
        <w:t xml:space="preserve"> </w:t>
      </w:r>
      <w:r w:rsidRPr="00C9318D">
        <w:rPr>
          <w:rFonts w:ascii="Times New Roman" w:hAnsi="Times New Roman"/>
          <w:sz w:val="20"/>
          <w:szCs w:val="20"/>
        </w:rPr>
        <w:t>After the compaction process, the distilled water was drawn through the membrane using compressed nitrogen gas with the operating pressure ranging from 1 to 5 bar. The equation 3 below was used to calculate pure water flux:</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ind w:firstLine="720"/>
        <w:jc w:val="lowKashida"/>
        <w:rPr>
          <w:rFonts w:ascii="Times New Roman" w:hAnsi="Times New Roman"/>
          <w:sz w:val="20"/>
          <w:szCs w:val="20"/>
        </w:rPr>
      </w:pPr>
      <m:oMath>
        <m:r>
          <w:rPr>
            <w:rFonts w:ascii="Cambria Math" w:hAnsi="Cambria Math"/>
            <w:sz w:val="20"/>
            <w:szCs w:val="20"/>
          </w:rPr>
          <m:t>PWP(L/m².h)=</m:t>
        </m:r>
        <m:f>
          <m:fPr>
            <m:ctrlPr>
              <w:rPr>
                <w:rFonts w:ascii="Cambria Math" w:hAnsi="Cambria Math"/>
                <w:i/>
                <w:sz w:val="20"/>
                <w:szCs w:val="20"/>
              </w:rPr>
            </m:ctrlPr>
          </m:fPr>
          <m:num>
            <m:r>
              <w:rPr>
                <w:rFonts w:ascii="Cambria Math" w:hAnsi="Cambria Math"/>
                <w:sz w:val="20"/>
                <w:szCs w:val="20"/>
              </w:rPr>
              <m:t xml:space="preserve">Q </m:t>
            </m:r>
          </m:num>
          <m:den>
            <m:r>
              <w:rPr>
                <w:rFonts w:ascii="Cambria Math" w:hAnsi="Cambria Math"/>
                <w:sz w:val="20"/>
                <w:szCs w:val="20"/>
              </w:rPr>
              <m:t>A ∆T</m:t>
            </m:r>
          </m:den>
        </m:f>
      </m:oMath>
      <w:r w:rsidRPr="00C9318D">
        <w:rPr>
          <w:rFonts w:ascii="Times New Roman" w:hAnsi="Times New Roman"/>
          <w:sz w:val="20"/>
          <w:szCs w:val="20"/>
        </w:rPr>
        <w:t xml:space="preserve"> </w:t>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t xml:space="preserve">   </w:t>
      </w:r>
      <w:r>
        <w:rPr>
          <w:rFonts w:ascii="Times New Roman" w:hAnsi="Times New Roman"/>
          <w:sz w:val="20"/>
          <w:szCs w:val="20"/>
        </w:rPr>
        <w:t xml:space="preserve">      </w:t>
      </w:r>
      <w:r w:rsidRPr="00C9318D">
        <w:rPr>
          <w:rFonts w:ascii="Times New Roman" w:hAnsi="Times New Roman"/>
          <w:sz w:val="20"/>
          <w:szCs w:val="20"/>
        </w:rPr>
        <w:t>(3)</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where </w:t>
      </w:r>
      <m:oMath>
        <m:r>
          <w:rPr>
            <w:rFonts w:ascii="Cambria Math" w:hAnsi="Cambria Math"/>
            <w:sz w:val="20"/>
            <w:szCs w:val="20"/>
          </w:rPr>
          <m:t>Q</m:t>
        </m:r>
      </m:oMath>
      <w:r w:rsidRPr="00C9318D">
        <w:rPr>
          <w:rFonts w:ascii="Times New Roman" w:hAnsi="Times New Roman"/>
          <w:sz w:val="20"/>
          <w:szCs w:val="20"/>
        </w:rPr>
        <w:t xml:space="preserve"> is a permeate collection quantity (L), </w:t>
      </w:r>
      <m:oMath>
        <m:r>
          <w:rPr>
            <w:rFonts w:ascii="Cambria Math" w:hAnsi="Cambria Math"/>
            <w:sz w:val="20"/>
            <w:szCs w:val="20"/>
          </w:rPr>
          <m:t xml:space="preserve">A </m:t>
        </m:r>
      </m:oMath>
      <w:r w:rsidRPr="00C9318D">
        <w:rPr>
          <w:rFonts w:ascii="Times New Roman" w:hAnsi="Times New Roman"/>
          <w:sz w:val="20"/>
          <w:szCs w:val="20"/>
        </w:rPr>
        <w:t>is area of the membrane (m</w:t>
      </w:r>
      <w:r w:rsidRPr="00C9318D">
        <w:rPr>
          <w:rFonts w:ascii="Times New Roman" w:hAnsi="Times New Roman"/>
          <w:sz w:val="20"/>
          <w:szCs w:val="20"/>
          <w:vertAlign w:val="superscript"/>
        </w:rPr>
        <w:t>2</w:t>
      </w:r>
      <w:r w:rsidRPr="00C9318D">
        <w:rPr>
          <w:rFonts w:ascii="Times New Roman" w:hAnsi="Times New Roman"/>
          <w:sz w:val="20"/>
          <w:szCs w:val="20"/>
        </w:rPr>
        <w:t xml:space="preserve">) and </w:t>
      </w:r>
      <m:oMath>
        <m:r>
          <w:rPr>
            <w:rFonts w:ascii="Cambria Math" w:hAnsi="Cambria Math"/>
            <w:sz w:val="20"/>
            <w:szCs w:val="20"/>
          </w:rPr>
          <m:t>∆T</m:t>
        </m:r>
      </m:oMath>
      <w:r w:rsidRPr="00C9318D">
        <w:rPr>
          <w:rFonts w:ascii="Times New Roman" w:hAnsi="Times New Roman"/>
          <w:sz w:val="20"/>
          <w:szCs w:val="20"/>
        </w:rPr>
        <w:t xml:space="preserve"> time of sampling (hour).</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b/>
          <w:sz w:val="20"/>
          <w:szCs w:val="20"/>
        </w:rPr>
      </w:pPr>
      <w:r w:rsidRPr="00C9318D">
        <w:rPr>
          <w:rFonts w:ascii="Times New Roman" w:hAnsi="Times New Roman"/>
          <w:b/>
          <w:sz w:val="20"/>
          <w:szCs w:val="20"/>
        </w:rPr>
        <w:t>Separation performance</w:t>
      </w: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For the BSA permeation, 0.1 mg/ml BSA solution </w:t>
      </w:r>
      <w:r w:rsidRPr="00C9318D">
        <w:rPr>
          <w:rFonts w:ascii="Times New Roman" w:hAnsi="Times New Roman"/>
          <w:noProof/>
          <w:sz w:val="20"/>
          <w:szCs w:val="20"/>
        </w:rPr>
        <w:t>were</w:t>
      </w:r>
      <w:r w:rsidRPr="00C9318D">
        <w:rPr>
          <w:rFonts w:ascii="Times New Roman" w:hAnsi="Times New Roman"/>
          <w:sz w:val="20"/>
          <w:szCs w:val="20"/>
        </w:rPr>
        <w:t xml:space="preserve"> prepared in phosphate buffer at room temperature. The permeate solutions of the corresponding membranes </w:t>
      </w:r>
      <w:r w:rsidRPr="00C9318D">
        <w:rPr>
          <w:rFonts w:ascii="Times New Roman" w:hAnsi="Times New Roman"/>
          <w:noProof/>
          <w:sz w:val="20"/>
          <w:szCs w:val="20"/>
        </w:rPr>
        <w:t>were</w:t>
      </w:r>
      <w:r w:rsidRPr="00C9318D">
        <w:rPr>
          <w:rFonts w:ascii="Times New Roman" w:hAnsi="Times New Roman"/>
          <w:sz w:val="20"/>
          <w:szCs w:val="20"/>
        </w:rPr>
        <w:t xml:space="preserve"> evaluated by using UV-Vis spectrophotometer at wavelength 280 nm. The value obtained </w:t>
      </w:r>
      <w:r w:rsidRPr="00C9318D">
        <w:rPr>
          <w:rFonts w:ascii="Times New Roman" w:hAnsi="Times New Roman"/>
          <w:noProof/>
          <w:sz w:val="20"/>
          <w:szCs w:val="20"/>
        </w:rPr>
        <w:t>from</w:t>
      </w:r>
      <w:r w:rsidRPr="00C9318D">
        <w:rPr>
          <w:rFonts w:ascii="Times New Roman" w:hAnsi="Times New Roman"/>
          <w:sz w:val="20"/>
          <w:szCs w:val="20"/>
        </w:rPr>
        <w:t xml:space="preserve"> the absorbance of feed and concentration of permeate can be used to calculate the rejection percentage using the equation 4 below:</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ind w:firstLine="720"/>
        <w:jc w:val="lowKashida"/>
        <w:rPr>
          <w:rFonts w:ascii="Times New Roman" w:hAnsi="Times New Roman"/>
          <w:sz w:val="20"/>
          <w:szCs w:val="20"/>
        </w:rPr>
      </w:pPr>
      <m:oMath>
        <m:r>
          <w:rPr>
            <w:rFonts w:ascii="Cambria Math" w:hAnsi="Cambria Math"/>
            <w:sz w:val="20"/>
            <w:szCs w:val="20"/>
          </w:rPr>
          <m:t xml:space="preserve">R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f</m:t>
                    </m:r>
                  </m:sub>
                </m:sSub>
              </m:den>
            </m:f>
          </m:e>
        </m:d>
        <m:r>
          <w:rPr>
            <w:rFonts w:ascii="Cambria Math" w:hAnsi="Cambria Math"/>
            <w:sz w:val="20"/>
            <w:szCs w:val="20"/>
          </w:rPr>
          <m:t xml:space="preserve"> ×100</m:t>
        </m:r>
      </m:oMath>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t xml:space="preserve">  </w:t>
      </w:r>
      <w:r>
        <w:rPr>
          <w:rFonts w:ascii="Times New Roman" w:hAnsi="Times New Roman"/>
          <w:sz w:val="20"/>
          <w:szCs w:val="20"/>
        </w:rPr>
        <w:t xml:space="preserve">      </w:t>
      </w:r>
      <w:r w:rsidRPr="00C9318D">
        <w:rPr>
          <w:rFonts w:ascii="Times New Roman" w:hAnsi="Times New Roman"/>
          <w:sz w:val="20"/>
          <w:szCs w:val="20"/>
        </w:rPr>
        <w:t xml:space="preserve"> (4)</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oMath>
      <w:r w:rsidRPr="00C9318D">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f</m:t>
            </m:r>
          </m:sub>
        </m:sSub>
      </m:oMath>
      <w:r w:rsidRPr="00C9318D">
        <w:rPr>
          <w:rFonts w:ascii="Times New Roman" w:hAnsi="Times New Roman"/>
          <w:sz w:val="20"/>
          <w:szCs w:val="20"/>
        </w:rPr>
        <w:t xml:space="preserve"> were concentrations of protein in the permeate and in the feed, respectively. </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b/>
          <w:sz w:val="20"/>
          <w:szCs w:val="20"/>
        </w:rPr>
      </w:pPr>
      <w:r w:rsidRPr="00C9318D">
        <w:rPr>
          <w:rFonts w:ascii="Times New Roman" w:hAnsi="Times New Roman"/>
          <w:b/>
          <w:sz w:val="20"/>
          <w:szCs w:val="20"/>
        </w:rPr>
        <w:t>Fouling analysis test</w:t>
      </w: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Fouling can be measured by the resistance that occurred during the process of filtration and cleaning can be determined by the </w:t>
      </w:r>
      <w:r w:rsidRPr="00C9318D">
        <w:rPr>
          <w:rFonts w:ascii="Times New Roman" w:hAnsi="Times New Roman"/>
          <w:noProof/>
          <w:sz w:val="20"/>
          <w:szCs w:val="20"/>
        </w:rPr>
        <w:t>elimination</w:t>
      </w:r>
      <w:r w:rsidRPr="00C9318D">
        <w:rPr>
          <w:rFonts w:ascii="Times New Roman" w:hAnsi="Times New Roman"/>
          <w:sz w:val="20"/>
          <w:szCs w:val="20"/>
        </w:rPr>
        <w:t xml:space="preserve"> of resistance. Pure water permeation was operated in pressure constant of 3 bars. The volume of permeated water was collected within 30 minutes and assumed as a pure water flux (J</w:t>
      </w:r>
      <w:r w:rsidRPr="00C9318D">
        <w:rPr>
          <w:rFonts w:ascii="Times New Roman" w:hAnsi="Times New Roman"/>
          <w:sz w:val="20"/>
          <w:szCs w:val="20"/>
          <w:vertAlign w:val="subscript"/>
        </w:rPr>
        <w:t>0</w:t>
      </w:r>
      <w:r w:rsidRPr="00C9318D">
        <w:rPr>
          <w:rFonts w:ascii="Times New Roman" w:hAnsi="Times New Roman"/>
          <w:sz w:val="20"/>
          <w:szCs w:val="20"/>
        </w:rPr>
        <w:t xml:space="preserve">). It can be </w:t>
      </w:r>
      <w:r w:rsidRPr="00C9318D">
        <w:rPr>
          <w:rFonts w:ascii="Times New Roman" w:hAnsi="Times New Roman"/>
          <w:sz w:val="20"/>
          <w:szCs w:val="20"/>
        </w:rPr>
        <w:lastRenderedPageBreak/>
        <w:t>calculated using equation (3). After measuring the water flux (J</w:t>
      </w:r>
      <w:r w:rsidRPr="00C9318D">
        <w:rPr>
          <w:rFonts w:ascii="Times New Roman" w:hAnsi="Times New Roman"/>
          <w:sz w:val="20"/>
          <w:szCs w:val="20"/>
          <w:vertAlign w:val="subscript"/>
        </w:rPr>
        <w:t>0</w:t>
      </w:r>
      <w:r w:rsidRPr="00C9318D">
        <w:rPr>
          <w:rFonts w:ascii="Times New Roman" w:hAnsi="Times New Roman"/>
          <w:sz w:val="20"/>
          <w:szCs w:val="20"/>
        </w:rPr>
        <w:t>), the cell was unloaded and refilled with BSA solution. After 3 hour filtration, the permeate flux of BSA solution (J</w:t>
      </w:r>
      <w:r w:rsidRPr="00C9318D">
        <w:rPr>
          <w:rFonts w:ascii="Times New Roman" w:hAnsi="Times New Roman"/>
          <w:sz w:val="20"/>
          <w:szCs w:val="20"/>
          <w:vertAlign w:val="subscript"/>
        </w:rPr>
        <w:t>BSA</w:t>
      </w:r>
      <w:r w:rsidRPr="00C9318D">
        <w:rPr>
          <w:rFonts w:ascii="Times New Roman" w:hAnsi="Times New Roman"/>
          <w:sz w:val="20"/>
          <w:szCs w:val="20"/>
        </w:rPr>
        <w:t>) was recorded and the membranes were cleaned by shaking in pure water for 30 minutes. The pure water flux (J</w:t>
      </w:r>
      <w:r w:rsidRPr="00C9318D">
        <w:rPr>
          <w:rFonts w:ascii="Times New Roman" w:hAnsi="Times New Roman"/>
          <w:sz w:val="20"/>
          <w:szCs w:val="20"/>
          <w:vertAlign w:val="subscript"/>
        </w:rPr>
        <w:t>1</w:t>
      </w:r>
      <w:r w:rsidRPr="00C9318D">
        <w:rPr>
          <w:rFonts w:ascii="Times New Roman" w:hAnsi="Times New Roman"/>
          <w:sz w:val="20"/>
          <w:szCs w:val="20"/>
        </w:rPr>
        <w:t xml:space="preserve">) after cleaning was measured in </w:t>
      </w:r>
      <w:r w:rsidRPr="00C9318D">
        <w:rPr>
          <w:rFonts w:ascii="Times New Roman" w:hAnsi="Times New Roman"/>
          <w:noProof/>
          <w:sz w:val="20"/>
          <w:szCs w:val="20"/>
        </w:rPr>
        <w:t>a similar way</w:t>
      </w:r>
      <w:r w:rsidRPr="00C9318D">
        <w:rPr>
          <w:rFonts w:ascii="Times New Roman" w:hAnsi="Times New Roman"/>
          <w:sz w:val="20"/>
          <w:szCs w:val="20"/>
        </w:rPr>
        <w:t xml:space="preserve"> as J</w:t>
      </w:r>
      <w:r w:rsidRPr="00C9318D">
        <w:rPr>
          <w:rFonts w:ascii="Times New Roman" w:hAnsi="Times New Roman"/>
          <w:sz w:val="20"/>
          <w:szCs w:val="20"/>
          <w:vertAlign w:val="subscript"/>
        </w:rPr>
        <w:t>0</w:t>
      </w:r>
      <w:r w:rsidRPr="00C9318D">
        <w:rPr>
          <w:rFonts w:ascii="Times New Roman" w:hAnsi="Times New Roman"/>
          <w:sz w:val="20"/>
          <w:szCs w:val="20"/>
        </w:rPr>
        <w:t>. By comparing the value of J</w:t>
      </w:r>
      <w:r w:rsidRPr="00C9318D">
        <w:rPr>
          <w:rFonts w:ascii="Times New Roman" w:hAnsi="Times New Roman"/>
          <w:sz w:val="20"/>
          <w:szCs w:val="20"/>
          <w:vertAlign w:val="subscript"/>
        </w:rPr>
        <w:t xml:space="preserve">0 </w:t>
      </w:r>
      <w:r w:rsidRPr="00C9318D">
        <w:rPr>
          <w:rFonts w:ascii="Times New Roman" w:hAnsi="Times New Roman"/>
          <w:sz w:val="20"/>
          <w:szCs w:val="20"/>
        </w:rPr>
        <w:t>and J</w:t>
      </w:r>
      <w:r w:rsidRPr="00C9318D">
        <w:rPr>
          <w:rFonts w:ascii="Times New Roman" w:hAnsi="Times New Roman"/>
          <w:sz w:val="20"/>
          <w:szCs w:val="20"/>
          <w:vertAlign w:val="subscript"/>
        </w:rPr>
        <w:t>1</w:t>
      </w:r>
      <w:r w:rsidRPr="00C9318D">
        <w:rPr>
          <w:rFonts w:ascii="Times New Roman" w:hAnsi="Times New Roman"/>
          <w:sz w:val="20"/>
          <w:szCs w:val="20"/>
        </w:rPr>
        <w:t xml:space="preserve">, flux recovery ratio (FRR) can be determined using equation 5 below: </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ind w:firstLine="720"/>
        <w:jc w:val="lowKashida"/>
        <w:rPr>
          <w:rFonts w:ascii="Times New Roman" w:hAnsi="Times New Roman"/>
          <w:sz w:val="20"/>
          <w:szCs w:val="20"/>
        </w:rPr>
      </w:pPr>
      <m:oMath>
        <m:r>
          <w:rPr>
            <w:rFonts w:ascii="Cambria Math" w:hAnsi="Cambria Math"/>
            <w:sz w:val="20"/>
            <w:szCs w:val="20"/>
          </w:rPr>
          <m:t>FRR (%)=</m:t>
        </m:r>
        <m:d>
          <m:dPr>
            <m:ctrlPr>
              <w:rPr>
                <w:rFonts w:ascii="Cambria Math" w:hAnsi="Cambria Math"/>
                <w:i/>
                <w:sz w:val="20"/>
                <w:szCs w:val="20"/>
              </w:rPr>
            </m:ctrlPr>
          </m:dPr>
          <m:e>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0</m:t>
                    </m:r>
                  </m:sub>
                </m:sSub>
              </m:den>
            </m:f>
            <m:r>
              <w:rPr>
                <w:rFonts w:ascii="Cambria Math" w:hAnsi="Cambria Math"/>
                <w:sz w:val="20"/>
                <w:szCs w:val="20"/>
              </w:rPr>
              <m:t xml:space="preserve"> </m:t>
            </m:r>
          </m:e>
        </m:d>
        <m:r>
          <w:rPr>
            <w:rFonts w:ascii="Cambria Math" w:hAnsi="Cambria Math"/>
            <w:sz w:val="20"/>
            <w:szCs w:val="20"/>
          </w:rPr>
          <m:t>×100</m:t>
        </m:r>
      </m:oMath>
      <w:r w:rsidRPr="00C9318D">
        <w:rPr>
          <w:rFonts w:ascii="Times New Roman" w:hAnsi="Times New Roman"/>
          <w:sz w:val="20"/>
          <w:szCs w:val="20"/>
        </w:rPr>
        <w:t xml:space="preserve"> </w:t>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r>
      <w:r w:rsidRPr="00C9318D">
        <w:rPr>
          <w:rFonts w:ascii="Times New Roman" w:hAnsi="Times New Roman"/>
          <w:sz w:val="20"/>
          <w:szCs w:val="20"/>
        </w:rPr>
        <w:tab/>
        <w:t xml:space="preserve">   </w:t>
      </w:r>
      <w:r w:rsidRPr="00C9318D">
        <w:rPr>
          <w:rFonts w:ascii="Times New Roman" w:hAnsi="Times New Roman"/>
          <w:sz w:val="20"/>
          <w:szCs w:val="20"/>
        </w:rPr>
        <w:tab/>
        <w:t xml:space="preserve"> </w:t>
      </w:r>
      <w:r>
        <w:rPr>
          <w:rFonts w:ascii="Times New Roman" w:hAnsi="Times New Roman"/>
          <w:sz w:val="20"/>
          <w:szCs w:val="20"/>
        </w:rPr>
        <w:t xml:space="preserve">       </w:t>
      </w:r>
      <w:r w:rsidRPr="00C9318D">
        <w:rPr>
          <w:rFonts w:ascii="Times New Roman" w:hAnsi="Times New Roman"/>
          <w:sz w:val="20"/>
          <w:szCs w:val="20"/>
        </w:rPr>
        <w:t xml:space="preserve"> (5)</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The reversible fouling ratio (RRF) and irreversible fouling ratio (RIRF) were obtained by using the following equations:</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A92DA6" w:rsidP="00C9318D">
      <w:pPr>
        <w:snapToGrid w:val="0"/>
        <w:spacing w:after="0" w:line="240" w:lineRule="auto"/>
        <w:ind w:firstLine="720"/>
        <w:jc w:val="lowKashida"/>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RF </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BSA</m:t>
                    </m:r>
                  </m:sub>
                </m:sSub>
              </m:num>
              <m:den>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0</m:t>
                    </m:r>
                  </m:sub>
                </m:sSub>
              </m:den>
            </m:f>
          </m:e>
        </m:d>
        <m:r>
          <w:rPr>
            <w:rFonts w:ascii="Cambria Math" w:hAnsi="Cambria Math"/>
            <w:sz w:val="20"/>
            <w:szCs w:val="20"/>
          </w:rPr>
          <m:t xml:space="preserve"> ×100</m:t>
        </m:r>
      </m:oMath>
      <w:r w:rsidR="00C9318D" w:rsidRPr="00C9318D">
        <w:rPr>
          <w:rFonts w:ascii="Times New Roman" w:hAnsi="Times New Roman"/>
          <w:sz w:val="20"/>
          <w:szCs w:val="20"/>
        </w:rPr>
        <w:t xml:space="preserve"> </w:t>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t xml:space="preserve">   </w:t>
      </w:r>
      <w:r w:rsidR="00C9318D">
        <w:rPr>
          <w:rFonts w:ascii="Times New Roman" w:hAnsi="Times New Roman"/>
          <w:sz w:val="20"/>
          <w:szCs w:val="20"/>
        </w:rPr>
        <w:t xml:space="preserve">      </w:t>
      </w:r>
      <w:r w:rsidR="00C9318D" w:rsidRPr="00C9318D">
        <w:rPr>
          <w:rFonts w:ascii="Times New Roman" w:hAnsi="Times New Roman"/>
          <w:sz w:val="20"/>
          <w:szCs w:val="20"/>
        </w:rPr>
        <w:t>(6)</w:t>
      </w:r>
    </w:p>
    <w:p w:rsidR="00C9318D" w:rsidRPr="00C9318D" w:rsidRDefault="00A92DA6" w:rsidP="00C9318D">
      <w:pPr>
        <w:snapToGrid w:val="0"/>
        <w:spacing w:after="0" w:line="240" w:lineRule="auto"/>
        <w:ind w:firstLine="720"/>
        <w:jc w:val="lowKashida"/>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IRF</m:t>
            </m:r>
          </m:sub>
        </m:sSub>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0</m:t>
                    </m:r>
                  </m:sub>
                </m:sSub>
              </m:den>
            </m:f>
          </m:e>
        </m:d>
        <m:r>
          <w:rPr>
            <w:rFonts w:ascii="Cambria Math" w:hAnsi="Cambria Math"/>
            <w:sz w:val="20"/>
            <w:szCs w:val="20"/>
          </w:rPr>
          <m:t>×100</m:t>
        </m:r>
      </m:oMath>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r>
      <w:r w:rsidR="00C9318D" w:rsidRPr="00C9318D">
        <w:rPr>
          <w:rFonts w:ascii="Times New Roman" w:hAnsi="Times New Roman"/>
          <w:sz w:val="20"/>
          <w:szCs w:val="20"/>
        </w:rPr>
        <w:tab/>
        <w:t>`</w:t>
      </w:r>
      <w:r w:rsidR="00C9318D" w:rsidRPr="00C9318D">
        <w:rPr>
          <w:rFonts w:ascii="Times New Roman" w:hAnsi="Times New Roman"/>
          <w:sz w:val="20"/>
          <w:szCs w:val="20"/>
        </w:rPr>
        <w:tab/>
        <w:t xml:space="preserve">  </w:t>
      </w:r>
      <w:r w:rsidR="00C9318D">
        <w:rPr>
          <w:rFonts w:ascii="Times New Roman" w:hAnsi="Times New Roman"/>
          <w:sz w:val="20"/>
          <w:szCs w:val="20"/>
        </w:rPr>
        <w:t xml:space="preserve">       </w:t>
      </w:r>
      <w:r w:rsidR="00C9318D" w:rsidRPr="00C9318D">
        <w:rPr>
          <w:rFonts w:ascii="Times New Roman" w:hAnsi="Times New Roman"/>
          <w:sz w:val="20"/>
          <w:szCs w:val="20"/>
        </w:rPr>
        <w:t>(7)</w:t>
      </w:r>
    </w:p>
    <w:p w:rsidR="00C9318D" w:rsidRPr="00C9318D" w:rsidRDefault="00C9318D" w:rsidP="00C9318D">
      <w:pPr>
        <w:snapToGrid w:val="0"/>
        <w:spacing w:after="0" w:line="240" w:lineRule="auto"/>
        <w:jc w:val="lowKashida"/>
        <w:rPr>
          <w:rFonts w:ascii="Times New Roman" w:hAnsi="Times New Roman"/>
          <w:sz w:val="20"/>
          <w:szCs w:val="20"/>
        </w:rPr>
      </w:pPr>
    </w:p>
    <w:p w:rsidR="00C9318D" w:rsidRPr="00C9318D" w:rsidRDefault="00C9318D" w:rsidP="00C9318D">
      <w:pPr>
        <w:snapToGrid w:val="0"/>
        <w:spacing w:after="0" w:line="240" w:lineRule="auto"/>
        <w:jc w:val="lowKashida"/>
        <w:rPr>
          <w:rFonts w:ascii="Times New Roman" w:hAnsi="Times New Roman"/>
          <w:sz w:val="20"/>
          <w:szCs w:val="20"/>
        </w:rPr>
      </w:pPr>
      <w:r w:rsidRPr="00C9318D">
        <w:rPr>
          <w:rFonts w:ascii="Times New Roman"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o</m:t>
            </m:r>
          </m:sub>
        </m:sSub>
      </m:oMath>
      <w:r w:rsidRPr="00C9318D">
        <w:rPr>
          <w:rFonts w:ascii="Times New Roman" w:hAnsi="Times New Roman"/>
          <w:sz w:val="20"/>
          <w:szCs w:val="20"/>
        </w:rPr>
        <w:t xml:space="preserve"> is define as the pure water flux before the BSA solution filtration, </w:t>
      </w: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oMath>
      <w:r w:rsidRPr="00C9318D">
        <w:rPr>
          <w:rFonts w:ascii="Times New Roman" w:hAnsi="Times New Roman"/>
          <w:sz w:val="20"/>
          <w:szCs w:val="20"/>
        </w:rPr>
        <w:t xml:space="preserve"> is the pure water flux after cleaning and </w:t>
      </w: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BSA</m:t>
            </m:r>
          </m:sub>
        </m:sSub>
      </m:oMath>
      <w:r w:rsidRPr="00C9318D">
        <w:rPr>
          <w:rFonts w:ascii="Times New Roman" w:hAnsi="Times New Roman"/>
          <w:sz w:val="20"/>
          <w:szCs w:val="20"/>
        </w:rPr>
        <w:t xml:space="preserve"> is the BSA solution flux after 3 hour of protein filtration.</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9318D" w:rsidRPr="00C9318D" w:rsidRDefault="00C9318D" w:rsidP="00C9318D">
      <w:pPr>
        <w:pStyle w:val="BodyText"/>
        <w:snapToGrid w:val="0"/>
        <w:rPr>
          <w:bCs/>
          <w:sz w:val="20"/>
          <w:lang w:val="en-US"/>
        </w:rPr>
      </w:pPr>
      <w:r w:rsidRPr="00C9318D">
        <w:rPr>
          <w:b/>
          <w:bCs/>
          <w:sz w:val="20"/>
          <w:lang w:val="en-US"/>
        </w:rPr>
        <w:t>Water content and porosity</w:t>
      </w:r>
    </w:p>
    <w:p w:rsidR="00C9318D" w:rsidRPr="00C9318D" w:rsidRDefault="00C9318D" w:rsidP="00C9318D">
      <w:pPr>
        <w:pStyle w:val="BodyText"/>
        <w:snapToGrid w:val="0"/>
        <w:rPr>
          <w:bCs/>
          <w:sz w:val="20"/>
          <w:lang w:val="en-US"/>
        </w:rPr>
      </w:pPr>
      <w:r w:rsidRPr="00C9318D">
        <w:rPr>
          <w:bCs/>
          <w:sz w:val="20"/>
          <w:lang w:val="en-US"/>
        </w:rPr>
        <w:t xml:space="preserve">Water content and porosity are two membrane characteristics which are </w:t>
      </w:r>
      <w:r w:rsidRPr="00C9318D">
        <w:rPr>
          <w:bCs/>
          <w:noProof/>
          <w:sz w:val="20"/>
          <w:lang w:val="en-US"/>
        </w:rPr>
        <w:t>indirect</w:t>
      </w:r>
      <w:r w:rsidRPr="00C9318D">
        <w:rPr>
          <w:bCs/>
          <w:sz w:val="20"/>
          <w:lang w:val="en-US"/>
        </w:rPr>
        <w:t xml:space="preserve">ly linked to the hydrophilicity properties of the </w:t>
      </w:r>
      <w:r w:rsidRPr="00C9318D">
        <w:rPr>
          <w:bCs/>
          <w:noProof/>
          <w:sz w:val="20"/>
          <w:lang w:val="en-US"/>
        </w:rPr>
        <w:t>membrane</w:t>
      </w:r>
      <w:r w:rsidRPr="00C9318D">
        <w:rPr>
          <w:bCs/>
          <w:sz w:val="20"/>
          <w:lang w:val="en-US"/>
        </w:rPr>
        <w:t xml:space="preserve">. These two important parameters are involved in the membrane permeation and separation process and are </w:t>
      </w:r>
      <w:r w:rsidRPr="00C9318D">
        <w:rPr>
          <w:bCs/>
          <w:noProof/>
          <w:sz w:val="20"/>
          <w:lang w:val="en-US"/>
        </w:rPr>
        <w:t>closely</w:t>
      </w:r>
      <w:r w:rsidRPr="00C9318D">
        <w:rPr>
          <w:bCs/>
          <w:sz w:val="20"/>
          <w:lang w:val="en-US"/>
        </w:rPr>
        <w:t xml:space="preserve"> linked to membranes morphology. The results of water content and membrane porosity with different clay contents are shown in Figure 1.</w:t>
      </w:r>
    </w:p>
    <w:p w:rsidR="00C9318D" w:rsidRPr="00C9318D" w:rsidRDefault="00C9318D" w:rsidP="00C9318D">
      <w:pPr>
        <w:pStyle w:val="BodyText"/>
        <w:snapToGrid w:val="0"/>
        <w:spacing w:after="120"/>
        <w:rPr>
          <w:sz w:val="20"/>
        </w:rPr>
      </w:pPr>
    </w:p>
    <w:p w:rsidR="00C9318D" w:rsidRPr="00C9318D" w:rsidRDefault="00C9318D" w:rsidP="00C9318D">
      <w:pPr>
        <w:pStyle w:val="BodyText"/>
        <w:snapToGrid w:val="0"/>
        <w:jc w:val="center"/>
        <w:rPr>
          <w:sz w:val="20"/>
          <w14:textOutline w14:w="9525" w14:cap="rnd" w14:cmpd="sng" w14:algn="ctr">
            <w14:solidFill>
              <w14:srgbClr w14:val="000000"/>
            </w14:solidFill>
            <w14:prstDash w14:val="solid"/>
            <w14:bevel/>
          </w14:textOutline>
        </w:rPr>
      </w:pPr>
      <w:r w:rsidRPr="00C9318D">
        <w:rPr>
          <w:noProof/>
          <w:sz w:val="20"/>
          <w:lang w:eastAsia="ko-KR"/>
        </w:rPr>
        <w:drawing>
          <wp:inline distT="0" distB="0" distL="0" distR="0" wp14:anchorId="02863BFA" wp14:editId="72B78D4E">
            <wp:extent cx="3420000" cy="2194560"/>
            <wp:effectExtent l="57150" t="0" r="47625" b="1104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318D" w:rsidRPr="00C9318D" w:rsidRDefault="00C9318D" w:rsidP="00C9318D">
      <w:pPr>
        <w:snapToGrid w:val="0"/>
        <w:spacing w:after="0" w:line="240" w:lineRule="auto"/>
        <w:ind w:left="810" w:hanging="810"/>
        <w:jc w:val="both"/>
        <w:rPr>
          <w:rFonts w:ascii="Times New Roman" w:hAnsi="Times New Roman"/>
          <w:sz w:val="20"/>
          <w:szCs w:val="20"/>
        </w:rPr>
      </w:pPr>
      <w:r w:rsidRPr="00C9318D">
        <w:rPr>
          <w:rFonts w:ascii="Times New Roman" w:hAnsi="Times New Roman"/>
          <w:sz w:val="20"/>
          <w:szCs w:val="20"/>
        </w:rPr>
        <w:t xml:space="preserve">Figure 1. </w:t>
      </w:r>
      <w:r>
        <w:rPr>
          <w:rFonts w:ascii="Times New Roman" w:hAnsi="Times New Roman"/>
          <w:sz w:val="20"/>
          <w:szCs w:val="20"/>
        </w:rPr>
        <w:tab/>
      </w:r>
      <w:r w:rsidRPr="00C9318D">
        <w:rPr>
          <w:rFonts w:ascii="Times New Roman" w:hAnsi="Times New Roman"/>
          <w:sz w:val="20"/>
          <w:szCs w:val="20"/>
        </w:rPr>
        <w:t>Water content and porosity of native PVDF membrane and PVDF/TOPBr nanocomposite membranes with different TOP-Br contents</w:t>
      </w:r>
    </w:p>
    <w:p w:rsidR="00C9318D" w:rsidRPr="00C9318D" w:rsidRDefault="00C9318D" w:rsidP="00CB36F1">
      <w:pPr>
        <w:snapToGrid w:val="0"/>
        <w:spacing w:after="120" w:line="240" w:lineRule="auto"/>
        <w:jc w:val="both"/>
        <w:rPr>
          <w:rFonts w:ascii="Times New Roman" w:hAnsi="Times New Roman"/>
          <w:sz w:val="20"/>
          <w:szCs w:val="20"/>
        </w:rPr>
      </w:pPr>
    </w:p>
    <w:p w:rsidR="00C9318D" w:rsidRDefault="00C9318D" w:rsidP="00C9318D">
      <w:pPr>
        <w:snapToGrid w:val="0"/>
        <w:spacing w:after="0" w:line="240" w:lineRule="auto"/>
        <w:jc w:val="both"/>
        <w:rPr>
          <w:rFonts w:ascii="Times New Roman" w:hAnsi="Times New Roman"/>
          <w:bCs/>
          <w:sz w:val="20"/>
          <w:szCs w:val="20"/>
        </w:rPr>
      </w:pPr>
      <w:r w:rsidRPr="00C9318D">
        <w:rPr>
          <w:rFonts w:ascii="Times New Roman" w:hAnsi="Times New Roman"/>
          <w:bCs/>
          <w:sz w:val="20"/>
          <w:szCs w:val="20"/>
        </w:rPr>
        <w:t xml:space="preserve">It could be observed that the increase in water content is directly proportional to the </w:t>
      </w:r>
      <w:r w:rsidRPr="00C9318D">
        <w:rPr>
          <w:rFonts w:ascii="Times New Roman" w:hAnsi="Times New Roman"/>
          <w:bCs/>
          <w:noProof/>
          <w:sz w:val="20"/>
          <w:szCs w:val="20"/>
        </w:rPr>
        <w:t>increase</w:t>
      </w:r>
      <w:r w:rsidRPr="00C9318D">
        <w:rPr>
          <w:rFonts w:ascii="Times New Roman" w:hAnsi="Times New Roman"/>
          <w:bCs/>
          <w:sz w:val="20"/>
          <w:szCs w:val="20"/>
        </w:rPr>
        <w:t xml:space="preserve"> in clay content. The water content of native membrane was 63% and increased to 68% after 0.2% of TOPBr clay </w:t>
      </w:r>
      <w:r w:rsidRPr="00C9318D">
        <w:rPr>
          <w:rFonts w:ascii="Times New Roman" w:hAnsi="Times New Roman"/>
          <w:bCs/>
          <w:noProof/>
          <w:sz w:val="20"/>
          <w:szCs w:val="20"/>
        </w:rPr>
        <w:t>were</w:t>
      </w:r>
      <w:r w:rsidRPr="00C9318D">
        <w:rPr>
          <w:rFonts w:ascii="Times New Roman" w:hAnsi="Times New Roman"/>
          <w:bCs/>
          <w:sz w:val="20"/>
          <w:szCs w:val="20"/>
        </w:rPr>
        <w:t xml:space="preserve"> added. Meanwhile, for PVDF/TOPBr1.0, which contains 1wt.% of TOPBr clay, further addition of TOPBr clay in the PVDF/TOPBr </w:t>
      </w:r>
      <w:r w:rsidRPr="00C9318D">
        <w:rPr>
          <w:rFonts w:ascii="Times New Roman" w:hAnsi="Times New Roman"/>
          <w:bCs/>
          <w:noProof/>
          <w:sz w:val="20"/>
          <w:szCs w:val="20"/>
        </w:rPr>
        <w:t>nanocomposite</w:t>
      </w:r>
      <w:r w:rsidRPr="00C9318D">
        <w:rPr>
          <w:rFonts w:ascii="Times New Roman" w:hAnsi="Times New Roman"/>
          <w:bCs/>
          <w:sz w:val="20"/>
          <w:szCs w:val="20"/>
        </w:rPr>
        <w:t xml:space="preserve"> membrane further increased the water content up to 85%. The increase in water content is due to the increment in void volume resulting in the formation of bigger pore size structure that consequently, increases the water uptake in the pores [7, 8].</w:t>
      </w:r>
    </w:p>
    <w:p w:rsidR="00CB36F1" w:rsidRPr="00C9318D" w:rsidRDefault="00CB36F1" w:rsidP="00C9318D">
      <w:pPr>
        <w:snapToGrid w:val="0"/>
        <w:spacing w:after="0" w:line="240" w:lineRule="auto"/>
        <w:jc w:val="both"/>
        <w:rPr>
          <w:rFonts w:ascii="Times New Roman" w:hAnsi="Times New Roman"/>
          <w:bCs/>
          <w:sz w:val="20"/>
          <w:szCs w:val="20"/>
        </w:rPr>
      </w:pPr>
    </w:p>
    <w:p w:rsidR="00C9318D" w:rsidRPr="00C9318D" w:rsidRDefault="00C9318D" w:rsidP="00C9318D">
      <w:pPr>
        <w:snapToGrid w:val="0"/>
        <w:spacing w:after="0" w:line="240" w:lineRule="auto"/>
        <w:jc w:val="both"/>
        <w:rPr>
          <w:rFonts w:ascii="Times New Roman" w:hAnsi="Times New Roman"/>
          <w:bCs/>
          <w:sz w:val="20"/>
          <w:szCs w:val="20"/>
        </w:rPr>
      </w:pPr>
      <w:r w:rsidRPr="00C9318D">
        <w:rPr>
          <w:rFonts w:ascii="Times New Roman" w:hAnsi="Times New Roman"/>
          <w:bCs/>
          <w:noProof/>
          <w:sz w:val="20"/>
          <w:szCs w:val="20"/>
        </w:rPr>
        <w:lastRenderedPageBreak/>
        <w:t>A similar</w:t>
      </w:r>
      <w:r w:rsidRPr="00C9318D">
        <w:rPr>
          <w:rFonts w:ascii="Times New Roman" w:hAnsi="Times New Roman"/>
          <w:bCs/>
          <w:sz w:val="20"/>
          <w:szCs w:val="20"/>
        </w:rPr>
        <w:t xml:space="preserve"> trend was observed on the porosity of PVDF/TOP-Br membranes. The increase in the clay content has increased the porosity of membranes where the hydrophilicity of the TOP-Br clay causes the increase in the exchanges of solvent and non-solvent that occur during the phase inversion process. This leads to the higher porosity in the membrane cross sectional area and </w:t>
      </w:r>
      <w:r w:rsidRPr="00C9318D">
        <w:rPr>
          <w:rFonts w:ascii="Times New Roman" w:hAnsi="Times New Roman"/>
          <w:bCs/>
          <w:noProof/>
          <w:sz w:val="20"/>
          <w:szCs w:val="20"/>
        </w:rPr>
        <w:t>the increase</w:t>
      </w:r>
      <w:r w:rsidRPr="00C9318D">
        <w:rPr>
          <w:rFonts w:ascii="Times New Roman" w:hAnsi="Times New Roman"/>
          <w:bCs/>
          <w:sz w:val="20"/>
          <w:szCs w:val="20"/>
        </w:rPr>
        <w:t xml:space="preserve"> </w:t>
      </w:r>
      <w:r w:rsidRPr="00C9318D">
        <w:rPr>
          <w:rFonts w:ascii="Times New Roman" w:hAnsi="Times New Roman"/>
          <w:bCs/>
          <w:noProof/>
          <w:sz w:val="20"/>
          <w:szCs w:val="20"/>
        </w:rPr>
        <w:t xml:space="preserve">in </w:t>
      </w:r>
      <w:r w:rsidRPr="00C9318D">
        <w:rPr>
          <w:rFonts w:ascii="Times New Roman" w:hAnsi="Times New Roman"/>
          <w:bCs/>
          <w:sz w:val="20"/>
          <w:szCs w:val="20"/>
        </w:rPr>
        <w:t xml:space="preserve">the water uptake in the pores [7, 9]. Due to the low PVDF concentration of 17 wt.%, the compositions </w:t>
      </w:r>
      <w:r w:rsidRPr="00C9318D">
        <w:rPr>
          <w:rFonts w:ascii="Times New Roman" w:hAnsi="Times New Roman"/>
          <w:bCs/>
          <w:noProof/>
          <w:sz w:val="20"/>
          <w:szCs w:val="20"/>
        </w:rPr>
        <w:t>of the nanoclays</w:t>
      </w:r>
      <w:r w:rsidRPr="00C9318D">
        <w:rPr>
          <w:rFonts w:ascii="Times New Roman" w:hAnsi="Times New Roman"/>
          <w:bCs/>
          <w:sz w:val="20"/>
          <w:szCs w:val="20"/>
        </w:rPr>
        <w:t xml:space="preserve"> </w:t>
      </w:r>
      <w:r w:rsidRPr="00C9318D">
        <w:rPr>
          <w:rFonts w:ascii="Times New Roman" w:hAnsi="Times New Roman"/>
          <w:bCs/>
          <w:noProof/>
          <w:sz w:val="20"/>
          <w:szCs w:val="20"/>
        </w:rPr>
        <w:t>were</w:t>
      </w:r>
      <w:r w:rsidRPr="00C9318D">
        <w:rPr>
          <w:rFonts w:ascii="Times New Roman" w:hAnsi="Times New Roman"/>
          <w:bCs/>
          <w:sz w:val="20"/>
          <w:szCs w:val="20"/>
        </w:rPr>
        <w:t xml:space="preserve"> varied from 0.2-1.0 wt.% to overcome high dope viscosity and avoid the aggregation of </w:t>
      </w:r>
      <w:r w:rsidRPr="00C9318D">
        <w:rPr>
          <w:rFonts w:ascii="Times New Roman" w:hAnsi="Times New Roman"/>
          <w:bCs/>
          <w:noProof/>
          <w:sz w:val="20"/>
          <w:szCs w:val="20"/>
        </w:rPr>
        <w:t>nanoclays</w:t>
      </w:r>
      <w:r w:rsidRPr="00C9318D">
        <w:rPr>
          <w:rFonts w:ascii="Times New Roman" w:hAnsi="Times New Roman"/>
          <w:bCs/>
          <w:sz w:val="20"/>
          <w:szCs w:val="20"/>
        </w:rPr>
        <w:t xml:space="preserve"> on the membrane surface. According to Ahmad et al. [10], the most suitable addition of nanoparticles into low polymer concentration in the range 15-17 wt.% is lower than 2.0 wt.% which consequently produces a product with low aggregation tendencies without blocking the membrane pores. This promises excellent final membrane hydrophilicity properties in terms of water content, porosity, permeability, as well as antifouling properties compared to the </w:t>
      </w:r>
      <w:r w:rsidRPr="00C9318D">
        <w:rPr>
          <w:rFonts w:ascii="Times New Roman" w:hAnsi="Times New Roman"/>
          <w:bCs/>
          <w:noProof/>
          <w:sz w:val="20"/>
          <w:szCs w:val="20"/>
        </w:rPr>
        <w:t>pure</w:t>
      </w:r>
      <w:r w:rsidRPr="00C9318D">
        <w:rPr>
          <w:rFonts w:ascii="Times New Roman" w:hAnsi="Times New Roman"/>
          <w:bCs/>
          <w:sz w:val="20"/>
          <w:szCs w:val="20"/>
        </w:rPr>
        <w:t xml:space="preserve"> membranes.</w:t>
      </w:r>
    </w:p>
    <w:p w:rsidR="00C9318D" w:rsidRPr="00C9318D" w:rsidRDefault="00C9318D" w:rsidP="00C9318D">
      <w:pPr>
        <w:snapToGrid w:val="0"/>
        <w:spacing w:after="0" w:line="240" w:lineRule="auto"/>
        <w:jc w:val="both"/>
        <w:rPr>
          <w:rFonts w:ascii="Times New Roman" w:hAnsi="Times New Roman"/>
          <w:sz w:val="20"/>
          <w:szCs w:val="20"/>
        </w:rPr>
      </w:pPr>
    </w:p>
    <w:p w:rsidR="00C9318D" w:rsidRPr="00C9318D" w:rsidRDefault="00C9318D" w:rsidP="00C9318D">
      <w:pPr>
        <w:snapToGrid w:val="0"/>
        <w:spacing w:after="0" w:line="240" w:lineRule="auto"/>
        <w:jc w:val="both"/>
        <w:rPr>
          <w:rFonts w:ascii="Times New Roman" w:hAnsi="Times New Roman"/>
          <w:b/>
          <w:sz w:val="20"/>
          <w:szCs w:val="20"/>
        </w:rPr>
      </w:pPr>
      <w:r w:rsidRPr="00C9318D">
        <w:rPr>
          <w:rFonts w:ascii="Times New Roman" w:hAnsi="Times New Roman"/>
          <w:b/>
          <w:sz w:val="20"/>
          <w:szCs w:val="20"/>
        </w:rPr>
        <w:t>Pure water permeation</w:t>
      </w:r>
    </w:p>
    <w:p w:rsidR="00C9318D" w:rsidRPr="00C9318D" w:rsidRDefault="00C9318D" w:rsidP="00C9318D">
      <w:pPr>
        <w:snapToGrid w:val="0"/>
        <w:spacing w:after="0" w:line="240" w:lineRule="auto"/>
        <w:jc w:val="both"/>
        <w:rPr>
          <w:rFonts w:ascii="Times New Roman" w:hAnsi="Times New Roman"/>
          <w:bCs/>
          <w:sz w:val="20"/>
          <w:szCs w:val="20"/>
        </w:rPr>
      </w:pPr>
      <w:r w:rsidRPr="00C9318D">
        <w:rPr>
          <w:rFonts w:ascii="Times New Roman" w:hAnsi="Times New Roman"/>
          <w:sz w:val="20"/>
          <w:szCs w:val="20"/>
        </w:rPr>
        <w:t xml:space="preserve">In order to obtain the membrane permeability coefficient and membrane stability, all fabricated membranes </w:t>
      </w:r>
      <w:r w:rsidRPr="00C9318D">
        <w:rPr>
          <w:rFonts w:ascii="Times New Roman" w:hAnsi="Times New Roman"/>
          <w:noProof/>
          <w:sz w:val="20"/>
          <w:szCs w:val="20"/>
        </w:rPr>
        <w:t>were</w:t>
      </w:r>
      <w:r w:rsidRPr="00C9318D">
        <w:rPr>
          <w:rFonts w:ascii="Times New Roman" w:hAnsi="Times New Roman"/>
          <w:sz w:val="20"/>
          <w:szCs w:val="20"/>
        </w:rPr>
        <w:t xml:space="preserve"> subjected to the pure water permeation process. The graph of pure water flux versus pressure is shown in Figure 2</w:t>
      </w:r>
      <w:r w:rsidRPr="00C9318D">
        <w:rPr>
          <w:rFonts w:ascii="Times New Roman" w:hAnsi="Times New Roman"/>
          <w:noProof/>
          <w:sz w:val="20"/>
          <w:szCs w:val="20"/>
        </w:rPr>
        <w:t>. All of the samples were</w:t>
      </w:r>
      <w:r w:rsidRPr="00C9318D">
        <w:rPr>
          <w:rFonts w:ascii="Times New Roman" w:hAnsi="Times New Roman"/>
          <w:sz w:val="20"/>
          <w:szCs w:val="20"/>
        </w:rPr>
        <w:t xml:space="preserve"> measured at five different pressures </w:t>
      </w:r>
      <w:r w:rsidRPr="00C9318D">
        <w:rPr>
          <w:rFonts w:ascii="Times New Roman" w:hAnsi="Times New Roman"/>
          <w:noProof/>
          <w:sz w:val="20"/>
          <w:szCs w:val="20"/>
        </w:rPr>
        <w:t>ra</w:t>
      </w:r>
      <w:r w:rsidRPr="00C9318D">
        <w:rPr>
          <w:rFonts w:ascii="Times New Roman" w:hAnsi="Times New Roman"/>
          <w:sz w:val="20"/>
          <w:szCs w:val="20"/>
        </w:rPr>
        <w:t xml:space="preserve">nging from 1 to 5 bar. It was observed that the pure water flux of all membranes increased linearly with the increase in the operating pressure. </w:t>
      </w:r>
      <w:r w:rsidRPr="00C9318D">
        <w:rPr>
          <w:rFonts w:ascii="Times New Roman" w:hAnsi="Times New Roman"/>
          <w:noProof/>
          <w:sz w:val="20"/>
          <w:szCs w:val="20"/>
        </w:rPr>
        <w:t>The native</w:t>
      </w:r>
      <w:r w:rsidRPr="00C9318D">
        <w:rPr>
          <w:rFonts w:ascii="Times New Roman" w:hAnsi="Times New Roman"/>
          <w:sz w:val="20"/>
          <w:szCs w:val="20"/>
        </w:rPr>
        <w:t xml:space="preserve"> membrane recorded the lowest value of pure water flux which might be due to the hydrophobicity of the polymer itself. An increase of 0.2 % to 1.0% of TOPBr clay content has </w:t>
      </w:r>
      <w:r w:rsidRPr="00C9318D">
        <w:rPr>
          <w:rFonts w:ascii="Times New Roman" w:hAnsi="Times New Roman"/>
          <w:noProof/>
          <w:sz w:val="20"/>
          <w:szCs w:val="20"/>
        </w:rPr>
        <w:t>made</w:t>
      </w:r>
      <w:r w:rsidRPr="00C9318D">
        <w:rPr>
          <w:rFonts w:ascii="Times New Roman" w:hAnsi="Times New Roman"/>
          <w:sz w:val="20"/>
          <w:szCs w:val="20"/>
        </w:rPr>
        <w:t xml:space="preserve"> the PVDF membranes to become more hydrophilic. PVDF/TOPBr1.0 showed the highest pure water flux compared to the other </w:t>
      </w:r>
      <w:r w:rsidRPr="00C9318D">
        <w:rPr>
          <w:rFonts w:ascii="Times New Roman" w:hAnsi="Times New Roman"/>
          <w:bCs/>
          <w:sz w:val="20"/>
          <w:szCs w:val="20"/>
        </w:rPr>
        <w:t>PVDF/TOPBr nanocomposite membranes. The increase of membrane porosity and hydrophilicity with the increase in the content of TOPBr clay can attract more water molecules inside the membrane matrix and promote the water molecules to pass through the membrane and enhance their permeability. This is due to the exchange process between the non-solvent in coagulation bath and solvent in the polymer dope that enhances the pore size of the membrane and increases the filtration area [9, 11, 12].</w:t>
      </w:r>
    </w:p>
    <w:p w:rsidR="00C9318D" w:rsidRPr="00C9318D" w:rsidRDefault="00C9318D" w:rsidP="00CB36F1">
      <w:pPr>
        <w:snapToGrid w:val="0"/>
        <w:spacing w:after="120" w:line="240" w:lineRule="auto"/>
        <w:jc w:val="both"/>
        <w:rPr>
          <w:rFonts w:ascii="Times New Roman" w:hAnsi="Times New Roman"/>
          <w:bCs/>
          <w:sz w:val="20"/>
          <w:szCs w:val="20"/>
        </w:rPr>
      </w:pPr>
    </w:p>
    <w:p w:rsidR="00C9318D" w:rsidRPr="00CB36F1" w:rsidRDefault="00C9318D" w:rsidP="00CB36F1">
      <w:pPr>
        <w:snapToGrid w:val="0"/>
        <w:spacing w:after="120" w:line="240" w:lineRule="auto"/>
        <w:jc w:val="center"/>
        <w:rPr>
          <w:rFonts w:ascii="Times New Roman" w:hAnsi="Times New Roman"/>
          <w:b/>
          <w:sz w:val="20"/>
          <w:szCs w:val="20"/>
        </w:rPr>
      </w:pPr>
      <w:r w:rsidRPr="00C9318D">
        <w:rPr>
          <w:rFonts w:ascii="Times New Roman" w:hAnsi="Times New Roman"/>
          <w:noProof/>
          <w:sz w:val="20"/>
          <w:szCs w:val="20"/>
          <w:lang w:val="en-GB" w:eastAsia="ko-KR" w:bidi="ar-SA"/>
        </w:rPr>
        <w:drawing>
          <wp:inline distT="0" distB="0" distL="0" distR="0" wp14:anchorId="1AEE274B" wp14:editId="3D663A5E">
            <wp:extent cx="4556097" cy="2194560"/>
            <wp:effectExtent l="0" t="0" r="1651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318D" w:rsidRPr="00C9318D" w:rsidRDefault="00C9318D" w:rsidP="00CB36F1">
      <w:pPr>
        <w:snapToGrid w:val="0"/>
        <w:spacing w:after="0" w:line="240" w:lineRule="auto"/>
        <w:ind w:left="900" w:hanging="900"/>
        <w:jc w:val="both"/>
        <w:rPr>
          <w:rFonts w:ascii="Times New Roman" w:hAnsi="Times New Roman"/>
          <w:sz w:val="20"/>
          <w:szCs w:val="20"/>
        </w:rPr>
      </w:pPr>
      <w:r w:rsidRPr="00C9318D">
        <w:rPr>
          <w:rFonts w:ascii="Times New Roman" w:hAnsi="Times New Roman"/>
          <w:sz w:val="20"/>
          <w:szCs w:val="20"/>
        </w:rPr>
        <w:t xml:space="preserve">Figure 2.  </w:t>
      </w:r>
      <w:r w:rsidR="00CB36F1">
        <w:rPr>
          <w:rFonts w:ascii="Times New Roman" w:hAnsi="Times New Roman"/>
          <w:sz w:val="20"/>
          <w:szCs w:val="20"/>
        </w:rPr>
        <w:tab/>
      </w:r>
      <w:r w:rsidRPr="00C9318D">
        <w:rPr>
          <w:rFonts w:ascii="Times New Roman" w:hAnsi="Times New Roman"/>
          <w:sz w:val="20"/>
          <w:szCs w:val="20"/>
        </w:rPr>
        <w:t>Pure water permeation (PWP) for native PVDF membrane and PVDF/TOPBr nanocomposite membranes with different TOP-Br contents</w:t>
      </w:r>
    </w:p>
    <w:p w:rsidR="00C9318D" w:rsidRPr="00C9318D" w:rsidRDefault="00C9318D" w:rsidP="00CB36F1">
      <w:pPr>
        <w:snapToGrid w:val="0"/>
        <w:spacing w:after="120" w:line="240" w:lineRule="auto"/>
        <w:jc w:val="both"/>
        <w:rPr>
          <w:rFonts w:ascii="Times New Roman" w:hAnsi="Times New Roman"/>
          <w:bCs/>
          <w:sz w:val="20"/>
          <w:szCs w:val="20"/>
        </w:rPr>
      </w:pPr>
    </w:p>
    <w:p w:rsidR="00C9318D" w:rsidRPr="00C9318D" w:rsidRDefault="00C9318D" w:rsidP="00C9318D">
      <w:pPr>
        <w:snapToGrid w:val="0"/>
        <w:spacing w:after="0" w:line="240" w:lineRule="auto"/>
        <w:jc w:val="both"/>
        <w:rPr>
          <w:rFonts w:ascii="Times New Roman" w:hAnsi="Times New Roman"/>
          <w:bCs/>
          <w:sz w:val="20"/>
          <w:szCs w:val="20"/>
        </w:rPr>
      </w:pPr>
      <w:r w:rsidRPr="00C9318D">
        <w:rPr>
          <w:rFonts w:ascii="Times New Roman" w:hAnsi="Times New Roman"/>
          <w:bCs/>
          <w:sz w:val="20"/>
          <w:szCs w:val="20"/>
        </w:rPr>
        <w:t xml:space="preserve">Table 1 shows the permeability and regression coefficient of native PVDF and PVDF/TOPBr nanocomposite membranes. Permeability coefficient also </w:t>
      </w:r>
      <w:r w:rsidRPr="00C9318D">
        <w:rPr>
          <w:rFonts w:ascii="Times New Roman" w:hAnsi="Times New Roman"/>
          <w:bCs/>
          <w:noProof/>
          <w:sz w:val="20"/>
          <w:szCs w:val="20"/>
        </w:rPr>
        <w:t>represents</w:t>
      </w:r>
      <w:r w:rsidRPr="00C9318D">
        <w:rPr>
          <w:rFonts w:ascii="Times New Roman" w:hAnsi="Times New Roman"/>
          <w:bCs/>
          <w:sz w:val="20"/>
          <w:szCs w:val="20"/>
        </w:rPr>
        <w:t xml:space="preserve"> the porosity and as an indicator </w:t>
      </w:r>
      <w:r w:rsidRPr="00C9318D">
        <w:rPr>
          <w:rFonts w:ascii="Times New Roman" w:hAnsi="Times New Roman"/>
          <w:bCs/>
          <w:noProof/>
          <w:sz w:val="20"/>
          <w:szCs w:val="20"/>
        </w:rPr>
        <w:t>of</w:t>
      </w:r>
      <w:r w:rsidRPr="00C9318D">
        <w:rPr>
          <w:rFonts w:ascii="Times New Roman" w:hAnsi="Times New Roman"/>
          <w:bCs/>
          <w:sz w:val="20"/>
          <w:szCs w:val="20"/>
        </w:rPr>
        <w:t xml:space="preserve"> its hydraulic resistance of UF membranes. The native PVDF membrane showed the lowest permeability coefficient while PVDF/TOPBr1.0 showed the highest permeability coefficient. This means that the lower permeability coefficient, the higher the membrane hydraulic resistance which represent membranes that are as less porous and dense. Table 1 clearly </w:t>
      </w:r>
      <w:r w:rsidRPr="00C9318D">
        <w:rPr>
          <w:rFonts w:ascii="Times New Roman" w:hAnsi="Times New Roman"/>
          <w:bCs/>
          <w:noProof/>
          <w:sz w:val="20"/>
          <w:szCs w:val="20"/>
        </w:rPr>
        <w:t>depicts</w:t>
      </w:r>
      <w:r w:rsidRPr="00C9318D">
        <w:rPr>
          <w:rFonts w:ascii="Times New Roman" w:hAnsi="Times New Roman"/>
          <w:bCs/>
          <w:sz w:val="20"/>
          <w:szCs w:val="20"/>
        </w:rPr>
        <w:t xml:space="preserve"> that as the TOPBr clay content increases, the permeability coefficient also increase.</w:t>
      </w:r>
    </w:p>
    <w:p w:rsidR="00C9318D" w:rsidRPr="00C9318D" w:rsidRDefault="00C9318D" w:rsidP="00C9318D">
      <w:pPr>
        <w:snapToGrid w:val="0"/>
        <w:spacing w:after="0" w:line="240" w:lineRule="auto"/>
        <w:jc w:val="both"/>
        <w:rPr>
          <w:rFonts w:ascii="Times New Roman" w:hAnsi="Times New Roman"/>
          <w:sz w:val="20"/>
          <w:szCs w:val="20"/>
        </w:rPr>
      </w:pPr>
    </w:p>
    <w:p w:rsidR="00C9318D" w:rsidRPr="00C9318D" w:rsidRDefault="00C9318D" w:rsidP="00CB36F1">
      <w:pPr>
        <w:snapToGrid w:val="0"/>
        <w:spacing w:after="120" w:line="240" w:lineRule="auto"/>
        <w:jc w:val="center"/>
        <w:rPr>
          <w:rFonts w:ascii="Times New Roman" w:hAnsi="Times New Roman"/>
          <w:sz w:val="20"/>
          <w:szCs w:val="20"/>
        </w:rPr>
      </w:pPr>
      <w:r w:rsidRPr="00C9318D">
        <w:rPr>
          <w:rFonts w:ascii="Times New Roman" w:hAnsi="Times New Roman"/>
          <w:sz w:val="20"/>
          <w:szCs w:val="20"/>
        </w:rPr>
        <w:lastRenderedPageBreak/>
        <w:t xml:space="preserve">Table 1. </w:t>
      </w:r>
      <w:r w:rsidR="00CB36F1">
        <w:rPr>
          <w:rFonts w:ascii="Times New Roman" w:hAnsi="Times New Roman"/>
          <w:sz w:val="20"/>
          <w:szCs w:val="20"/>
        </w:rPr>
        <w:t xml:space="preserve"> </w:t>
      </w:r>
      <w:r w:rsidRPr="00C9318D">
        <w:rPr>
          <w:rFonts w:ascii="Times New Roman" w:hAnsi="Times New Roman"/>
          <w:sz w:val="20"/>
          <w:szCs w:val="20"/>
        </w:rPr>
        <w:t>Permeability coefficient and regression coefficient for nati</w:t>
      </w:r>
      <w:r w:rsidR="00CB36F1">
        <w:rPr>
          <w:rFonts w:ascii="Times New Roman" w:hAnsi="Times New Roman"/>
          <w:sz w:val="20"/>
          <w:szCs w:val="20"/>
        </w:rPr>
        <w:t>ve PVDF membrane and PVDF/TOPBr na</w:t>
      </w:r>
      <w:r w:rsidRPr="00C9318D">
        <w:rPr>
          <w:rFonts w:ascii="Times New Roman" w:hAnsi="Times New Roman"/>
          <w:noProof/>
          <w:sz w:val="20"/>
          <w:szCs w:val="20"/>
        </w:rPr>
        <w:t>nocomposite</w:t>
      </w:r>
      <w:r w:rsidRPr="00C9318D">
        <w:rPr>
          <w:rFonts w:ascii="Times New Roman" w:hAnsi="Times New Roman"/>
          <w:sz w:val="20"/>
          <w:szCs w:val="20"/>
        </w:rPr>
        <w:t xml:space="preserve"> membrane with different clay composition</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2299"/>
        <w:gridCol w:w="2133"/>
      </w:tblGrid>
      <w:tr w:rsidR="00C9318D" w:rsidRPr="00C9318D" w:rsidTr="00CB36F1">
        <w:trPr>
          <w:jc w:val="center"/>
        </w:trPr>
        <w:tc>
          <w:tcPr>
            <w:tcW w:w="0" w:type="auto"/>
            <w:tcBorders>
              <w:top w:val="single" w:sz="4" w:space="0" w:color="auto"/>
              <w:bottom w:val="single" w:sz="4" w:space="0" w:color="auto"/>
            </w:tcBorders>
          </w:tcPr>
          <w:p w:rsidR="00C9318D" w:rsidRPr="00C9318D" w:rsidRDefault="00C9318D" w:rsidP="00CB36F1">
            <w:pPr>
              <w:snapToGrid w:val="0"/>
              <w:spacing w:before="60" w:after="0" w:line="240" w:lineRule="auto"/>
              <w:rPr>
                <w:rFonts w:ascii="Times New Roman" w:hAnsi="Times New Roman" w:cs="Times New Roman"/>
                <w:b/>
                <w:sz w:val="20"/>
                <w:szCs w:val="20"/>
              </w:rPr>
            </w:pPr>
            <w:r w:rsidRPr="00C9318D">
              <w:rPr>
                <w:rFonts w:ascii="Times New Roman" w:hAnsi="Times New Roman" w:cs="Times New Roman"/>
                <w:b/>
                <w:sz w:val="20"/>
                <w:szCs w:val="20"/>
              </w:rPr>
              <w:t>Membrane</w:t>
            </w:r>
          </w:p>
        </w:tc>
        <w:tc>
          <w:tcPr>
            <w:tcW w:w="0" w:type="auto"/>
            <w:tcBorders>
              <w:top w:val="single" w:sz="4" w:space="0" w:color="auto"/>
              <w:bottom w:val="single" w:sz="4" w:space="0" w:color="auto"/>
            </w:tcBorders>
          </w:tcPr>
          <w:p w:rsidR="00C9318D" w:rsidRPr="00C9318D" w:rsidRDefault="00C9318D" w:rsidP="00CB36F1">
            <w:pPr>
              <w:snapToGrid w:val="0"/>
              <w:spacing w:before="60" w:after="0" w:line="240" w:lineRule="auto"/>
              <w:jc w:val="center"/>
              <w:rPr>
                <w:rFonts w:ascii="Times New Roman" w:hAnsi="Times New Roman" w:cs="Times New Roman"/>
                <w:b/>
                <w:sz w:val="20"/>
                <w:szCs w:val="20"/>
              </w:rPr>
            </w:pPr>
            <w:r w:rsidRPr="00C9318D">
              <w:rPr>
                <w:rFonts w:ascii="Times New Roman" w:hAnsi="Times New Roman" w:cs="Times New Roman"/>
                <w:b/>
                <w:sz w:val="20"/>
                <w:szCs w:val="20"/>
              </w:rPr>
              <w:t>Permeability Coefficient</w:t>
            </w:r>
          </w:p>
          <w:p w:rsidR="00C9318D" w:rsidRPr="00C9318D" w:rsidRDefault="00C9318D" w:rsidP="00FF1C1D">
            <w:pPr>
              <w:snapToGrid w:val="0"/>
              <w:spacing w:after="0" w:line="240" w:lineRule="auto"/>
              <w:jc w:val="center"/>
              <w:rPr>
                <w:rFonts w:ascii="Times New Roman" w:hAnsi="Times New Roman" w:cs="Times New Roman"/>
                <w:b/>
                <w:sz w:val="20"/>
                <w:szCs w:val="20"/>
              </w:rPr>
            </w:pPr>
            <w:r w:rsidRPr="00C9318D">
              <w:rPr>
                <w:rFonts w:ascii="Times New Roman" w:hAnsi="Times New Roman" w:cs="Times New Roman"/>
                <w:b/>
                <w:sz w:val="20"/>
                <w:szCs w:val="20"/>
              </w:rPr>
              <w:t>(L/m².h.bar)</w:t>
            </w:r>
          </w:p>
        </w:tc>
        <w:tc>
          <w:tcPr>
            <w:tcW w:w="0" w:type="auto"/>
            <w:tcBorders>
              <w:top w:val="single" w:sz="4" w:space="0" w:color="auto"/>
              <w:bottom w:val="single" w:sz="4" w:space="0" w:color="auto"/>
            </w:tcBorders>
          </w:tcPr>
          <w:p w:rsidR="00C9318D" w:rsidRPr="00C9318D" w:rsidRDefault="00C9318D" w:rsidP="00CB36F1">
            <w:pPr>
              <w:snapToGrid w:val="0"/>
              <w:spacing w:before="60" w:after="0" w:line="240" w:lineRule="auto"/>
              <w:jc w:val="center"/>
              <w:rPr>
                <w:rFonts w:ascii="Times New Roman" w:hAnsi="Times New Roman" w:cs="Times New Roman"/>
                <w:b/>
                <w:sz w:val="20"/>
                <w:szCs w:val="20"/>
              </w:rPr>
            </w:pPr>
            <w:r w:rsidRPr="00C9318D">
              <w:rPr>
                <w:rFonts w:ascii="Times New Roman" w:hAnsi="Times New Roman" w:cs="Times New Roman"/>
                <w:b/>
                <w:sz w:val="20"/>
                <w:szCs w:val="20"/>
              </w:rPr>
              <w:t>Regression Coefficient</w:t>
            </w:r>
          </w:p>
          <w:p w:rsidR="00C9318D" w:rsidRPr="00C9318D" w:rsidRDefault="00C9318D" w:rsidP="00CB36F1">
            <w:pPr>
              <w:snapToGrid w:val="0"/>
              <w:spacing w:after="60" w:line="240" w:lineRule="auto"/>
              <w:jc w:val="center"/>
              <w:rPr>
                <w:rFonts w:ascii="Times New Roman" w:hAnsi="Times New Roman" w:cs="Times New Roman"/>
                <w:b/>
                <w:sz w:val="20"/>
                <w:szCs w:val="20"/>
              </w:rPr>
            </w:pPr>
            <w:r w:rsidRPr="00C9318D">
              <w:rPr>
                <w:rFonts w:ascii="Times New Roman" w:hAnsi="Times New Roman" w:cs="Times New Roman"/>
                <w:b/>
                <w:sz w:val="20"/>
                <w:szCs w:val="20"/>
              </w:rPr>
              <w:t>(R²)</w:t>
            </w:r>
          </w:p>
        </w:tc>
      </w:tr>
      <w:tr w:rsidR="00C9318D" w:rsidRPr="00C9318D" w:rsidTr="00CB36F1">
        <w:trPr>
          <w:jc w:val="center"/>
        </w:trPr>
        <w:tc>
          <w:tcPr>
            <w:tcW w:w="0" w:type="auto"/>
            <w:tcBorders>
              <w:top w:val="single" w:sz="4" w:space="0" w:color="auto"/>
            </w:tcBorders>
          </w:tcPr>
          <w:p w:rsidR="00C9318D" w:rsidRPr="00C9318D" w:rsidRDefault="00C9318D" w:rsidP="00CB36F1">
            <w:pPr>
              <w:snapToGrid w:val="0"/>
              <w:spacing w:before="60" w:after="0" w:line="240" w:lineRule="auto"/>
              <w:rPr>
                <w:rFonts w:ascii="Times New Roman" w:hAnsi="Times New Roman" w:cs="Times New Roman"/>
                <w:sz w:val="20"/>
                <w:szCs w:val="20"/>
              </w:rPr>
            </w:pPr>
            <w:r w:rsidRPr="00C9318D">
              <w:rPr>
                <w:rFonts w:ascii="Times New Roman" w:hAnsi="Times New Roman" w:cs="Times New Roman"/>
                <w:sz w:val="20"/>
                <w:szCs w:val="20"/>
              </w:rPr>
              <w:t>Native</w:t>
            </w:r>
          </w:p>
        </w:tc>
        <w:tc>
          <w:tcPr>
            <w:tcW w:w="0" w:type="auto"/>
            <w:tcBorders>
              <w:top w:val="single" w:sz="4" w:space="0" w:color="auto"/>
            </w:tcBorders>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4.3996</w:t>
            </w:r>
          </w:p>
        </w:tc>
        <w:tc>
          <w:tcPr>
            <w:tcW w:w="0" w:type="auto"/>
            <w:tcBorders>
              <w:top w:val="single" w:sz="4" w:space="0" w:color="auto"/>
            </w:tcBorders>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0.9835</w:t>
            </w:r>
          </w:p>
        </w:tc>
      </w:tr>
      <w:tr w:rsidR="00C9318D" w:rsidRPr="00C9318D" w:rsidTr="00FF1C1D">
        <w:trPr>
          <w:jc w:val="center"/>
        </w:trPr>
        <w:tc>
          <w:tcPr>
            <w:tcW w:w="0" w:type="auto"/>
          </w:tcPr>
          <w:p w:rsidR="00C9318D" w:rsidRPr="00C9318D" w:rsidRDefault="00C9318D" w:rsidP="00CB36F1">
            <w:pPr>
              <w:snapToGrid w:val="0"/>
              <w:spacing w:before="60" w:after="0" w:line="240" w:lineRule="auto"/>
              <w:rPr>
                <w:rFonts w:ascii="Times New Roman" w:hAnsi="Times New Roman" w:cs="Times New Roman"/>
                <w:sz w:val="20"/>
                <w:szCs w:val="20"/>
              </w:rPr>
            </w:pPr>
            <w:r w:rsidRPr="00C9318D">
              <w:rPr>
                <w:rFonts w:ascii="Times New Roman" w:hAnsi="Times New Roman" w:cs="Times New Roman"/>
                <w:sz w:val="20"/>
                <w:szCs w:val="20"/>
              </w:rPr>
              <w:t>PVDF/TOPBr0.2</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6.5985</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0.9801</w:t>
            </w:r>
          </w:p>
        </w:tc>
      </w:tr>
      <w:tr w:rsidR="00C9318D" w:rsidRPr="00C9318D" w:rsidTr="00FF1C1D">
        <w:trPr>
          <w:jc w:val="center"/>
        </w:trPr>
        <w:tc>
          <w:tcPr>
            <w:tcW w:w="0" w:type="auto"/>
          </w:tcPr>
          <w:p w:rsidR="00C9318D" w:rsidRPr="00C9318D" w:rsidRDefault="00C9318D" w:rsidP="00CB36F1">
            <w:pPr>
              <w:snapToGrid w:val="0"/>
              <w:spacing w:before="60" w:after="0" w:line="240" w:lineRule="auto"/>
              <w:rPr>
                <w:rFonts w:ascii="Times New Roman" w:hAnsi="Times New Roman" w:cs="Times New Roman"/>
                <w:sz w:val="20"/>
                <w:szCs w:val="20"/>
              </w:rPr>
            </w:pPr>
            <w:r w:rsidRPr="00C9318D">
              <w:rPr>
                <w:rFonts w:ascii="Times New Roman" w:hAnsi="Times New Roman" w:cs="Times New Roman"/>
                <w:sz w:val="20"/>
                <w:szCs w:val="20"/>
              </w:rPr>
              <w:t>PVDF/TOPBr0.4</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8.0997</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0.9889</w:t>
            </w:r>
          </w:p>
        </w:tc>
      </w:tr>
      <w:tr w:rsidR="00C9318D" w:rsidRPr="00C9318D" w:rsidTr="00FF1C1D">
        <w:trPr>
          <w:jc w:val="center"/>
        </w:trPr>
        <w:tc>
          <w:tcPr>
            <w:tcW w:w="0" w:type="auto"/>
          </w:tcPr>
          <w:p w:rsidR="00C9318D" w:rsidRPr="00C9318D" w:rsidRDefault="00C9318D" w:rsidP="00CB36F1">
            <w:pPr>
              <w:snapToGrid w:val="0"/>
              <w:spacing w:before="60" w:after="0" w:line="240" w:lineRule="auto"/>
              <w:rPr>
                <w:rFonts w:ascii="Times New Roman" w:hAnsi="Times New Roman" w:cs="Times New Roman"/>
                <w:sz w:val="20"/>
                <w:szCs w:val="20"/>
              </w:rPr>
            </w:pPr>
            <w:r w:rsidRPr="00C9318D">
              <w:rPr>
                <w:rFonts w:ascii="Times New Roman" w:hAnsi="Times New Roman" w:cs="Times New Roman"/>
                <w:sz w:val="20"/>
                <w:szCs w:val="20"/>
              </w:rPr>
              <w:t>PVDF/TOPBr0.6</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8.8646</w:t>
            </w:r>
          </w:p>
        </w:tc>
        <w:tc>
          <w:tcPr>
            <w:tcW w:w="0" w:type="auto"/>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0.9919</w:t>
            </w:r>
          </w:p>
        </w:tc>
      </w:tr>
      <w:tr w:rsidR="00C9318D" w:rsidRPr="00C9318D" w:rsidTr="00CB36F1">
        <w:trPr>
          <w:jc w:val="center"/>
        </w:trPr>
        <w:tc>
          <w:tcPr>
            <w:tcW w:w="0" w:type="auto"/>
            <w:tcBorders>
              <w:bottom w:val="nil"/>
            </w:tcBorders>
          </w:tcPr>
          <w:p w:rsidR="00C9318D" w:rsidRPr="00C9318D" w:rsidRDefault="00C9318D" w:rsidP="00CB36F1">
            <w:pPr>
              <w:snapToGrid w:val="0"/>
              <w:spacing w:before="60" w:after="0" w:line="240" w:lineRule="auto"/>
              <w:rPr>
                <w:rFonts w:ascii="Times New Roman" w:hAnsi="Times New Roman" w:cs="Times New Roman"/>
                <w:sz w:val="20"/>
                <w:szCs w:val="20"/>
              </w:rPr>
            </w:pPr>
            <w:r w:rsidRPr="00C9318D">
              <w:rPr>
                <w:rFonts w:ascii="Times New Roman" w:hAnsi="Times New Roman" w:cs="Times New Roman"/>
                <w:sz w:val="20"/>
                <w:szCs w:val="20"/>
              </w:rPr>
              <w:t>PVDF/TOPBr0.8</w:t>
            </w:r>
          </w:p>
        </w:tc>
        <w:tc>
          <w:tcPr>
            <w:tcW w:w="0" w:type="auto"/>
            <w:tcBorders>
              <w:bottom w:val="nil"/>
            </w:tcBorders>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9.8673</w:t>
            </w:r>
          </w:p>
        </w:tc>
        <w:tc>
          <w:tcPr>
            <w:tcW w:w="0" w:type="auto"/>
            <w:tcBorders>
              <w:bottom w:val="nil"/>
            </w:tcBorders>
          </w:tcPr>
          <w:p w:rsidR="00C9318D" w:rsidRPr="00C9318D" w:rsidRDefault="00C9318D" w:rsidP="00CB36F1">
            <w:pPr>
              <w:snapToGrid w:val="0"/>
              <w:spacing w:before="60" w:after="0" w:line="240" w:lineRule="auto"/>
              <w:jc w:val="center"/>
              <w:rPr>
                <w:rFonts w:ascii="Times New Roman" w:hAnsi="Times New Roman" w:cs="Times New Roman"/>
                <w:sz w:val="20"/>
                <w:szCs w:val="20"/>
              </w:rPr>
            </w:pPr>
            <w:r w:rsidRPr="00C9318D">
              <w:rPr>
                <w:rFonts w:ascii="Times New Roman" w:hAnsi="Times New Roman" w:cs="Times New Roman"/>
                <w:sz w:val="20"/>
                <w:szCs w:val="20"/>
              </w:rPr>
              <w:t>0.9942</w:t>
            </w:r>
          </w:p>
        </w:tc>
      </w:tr>
      <w:tr w:rsidR="00C9318D" w:rsidRPr="00C9318D" w:rsidTr="00CB36F1">
        <w:trPr>
          <w:jc w:val="center"/>
        </w:trPr>
        <w:tc>
          <w:tcPr>
            <w:tcW w:w="0" w:type="auto"/>
            <w:tcBorders>
              <w:bottom w:val="single" w:sz="4" w:space="0" w:color="auto"/>
            </w:tcBorders>
          </w:tcPr>
          <w:p w:rsidR="00C9318D" w:rsidRPr="00C9318D" w:rsidRDefault="00C9318D" w:rsidP="00CB36F1">
            <w:pPr>
              <w:snapToGrid w:val="0"/>
              <w:spacing w:before="60" w:after="60" w:line="240" w:lineRule="auto"/>
              <w:rPr>
                <w:rFonts w:ascii="Times New Roman" w:hAnsi="Times New Roman" w:cs="Times New Roman"/>
                <w:sz w:val="20"/>
                <w:szCs w:val="20"/>
              </w:rPr>
            </w:pPr>
            <w:r w:rsidRPr="00C9318D">
              <w:rPr>
                <w:rFonts w:ascii="Times New Roman" w:hAnsi="Times New Roman" w:cs="Times New Roman"/>
                <w:sz w:val="20"/>
                <w:szCs w:val="20"/>
              </w:rPr>
              <w:t>PVDF/TOPBr1.0</w:t>
            </w:r>
          </w:p>
        </w:tc>
        <w:tc>
          <w:tcPr>
            <w:tcW w:w="0" w:type="auto"/>
            <w:tcBorders>
              <w:bottom w:val="single" w:sz="4" w:space="0" w:color="auto"/>
            </w:tcBorders>
          </w:tcPr>
          <w:p w:rsidR="00C9318D" w:rsidRPr="00C9318D" w:rsidRDefault="00C9318D" w:rsidP="00CB36F1">
            <w:pPr>
              <w:snapToGrid w:val="0"/>
              <w:spacing w:before="60" w:after="60" w:line="240" w:lineRule="auto"/>
              <w:jc w:val="center"/>
              <w:rPr>
                <w:rFonts w:ascii="Times New Roman" w:hAnsi="Times New Roman" w:cs="Times New Roman"/>
                <w:sz w:val="20"/>
                <w:szCs w:val="20"/>
              </w:rPr>
            </w:pPr>
            <w:r w:rsidRPr="00C9318D">
              <w:rPr>
                <w:rFonts w:ascii="Times New Roman" w:hAnsi="Times New Roman" w:cs="Times New Roman"/>
                <w:sz w:val="20"/>
                <w:szCs w:val="20"/>
              </w:rPr>
              <w:t>11.5060</w:t>
            </w:r>
          </w:p>
        </w:tc>
        <w:tc>
          <w:tcPr>
            <w:tcW w:w="0" w:type="auto"/>
            <w:tcBorders>
              <w:bottom w:val="single" w:sz="4" w:space="0" w:color="auto"/>
            </w:tcBorders>
          </w:tcPr>
          <w:p w:rsidR="00C9318D" w:rsidRPr="00C9318D" w:rsidRDefault="00C9318D" w:rsidP="00CB36F1">
            <w:pPr>
              <w:snapToGrid w:val="0"/>
              <w:spacing w:before="60" w:after="60" w:line="240" w:lineRule="auto"/>
              <w:jc w:val="center"/>
              <w:rPr>
                <w:rFonts w:ascii="Times New Roman" w:hAnsi="Times New Roman" w:cs="Times New Roman"/>
                <w:sz w:val="20"/>
                <w:szCs w:val="20"/>
              </w:rPr>
            </w:pPr>
            <w:r w:rsidRPr="00C9318D">
              <w:rPr>
                <w:rFonts w:ascii="Times New Roman" w:hAnsi="Times New Roman" w:cs="Times New Roman"/>
                <w:sz w:val="20"/>
                <w:szCs w:val="20"/>
              </w:rPr>
              <w:t>0.9816</w:t>
            </w:r>
          </w:p>
        </w:tc>
      </w:tr>
    </w:tbl>
    <w:p w:rsidR="00C9318D" w:rsidRPr="00C9318D" w:rsidRDefault="00C9318D" w:rsidP="00CB36F1">
      <w:pPr>
        <w:snapToGrid w:val="0"/>
        <w:spacing w:after="120" w:line="240" w:lineRule="auto"/>
        <w:jc w:val="both"/>
        <w:rPr>
          <w:rFonts w:ascii="Times New Roman" w:hAnsi="Times New Roman"/>
          <w:sz w:val="20"/>
          <w:szCs w:val="20"/>
        </w:rPr>
      </w:pPr>
    </w:p>
    <w:p w:rsidR="00C9318D" w:rsidRPr="00C9318D" w:rsidRDefault="00C9318D" w:rsidP="00C9318D">
      <w:pPr>
        <w:snapToGrid w:val="0"/>
        <w:spacing w:after="0" w:line="240" w:lineRule="auto"/>
        <w:jc w:val="both"/>
        <w:rPr>
          <w:rFonts w:ascii="Times New Roman" w:hAnsi="Times New Roman"/>
          <w:b/>
          <w:sz w:val="20"/>
          <w:szCs w:val="20"/>
        </w:rPr>
      </w:pPr>
      <w:r w:rsidRPr="00C9318D">
        <w:rPr>
          <w:rFonts w:ascii="Times New Roman" w:hAnsi="Times New Roman"/>
          <w:b/>
          <w:sz w:val="20"/>
          <w:szCs w:val="20"/>
        </w:rPr>
        <w:t>Protein separation performance</w:t>
      </w:r>
    </w:p>
    <w:p w:rsidR="00C9318D" w:rsidRPr="00C9318D" w:rsidRDefault="00C9318D" w:rsidP="00C9318D">
      <w:pPr>
        <w:snapToGrid w:val="0"/>
        <w:spacing w:after="0" w:line="240" w:lineRule="auto"/>
        <w:jc w:val="both"/>
        <w:rPr>
          <w:rFonts w:ascii="Times New Roman" w:hAnsi="Times New Roman"/>
          <w:sz w:val="20"/>
          <w:szCs w:val="20"/>
        </w:rPr>
      </w:pPr>
      <w:r w:rsidRPr="00C9318D">
        <w:rPr>
          <w:rFonts w:ascii="Times New Roman" w:hAnsi="Times New Roman"/>
          <w:sz w:val="20"/>
          <w:szCs w:val="20"/>
        </w:rPr>
        <w:t xml:space="preserve">The prepared membranes were further evaluated by applying the separation of BSA solution. Figure 3 displays the graph of the permeate flux and solute rejection through PVDF/TOPBr </w:t>
      </w:r>
      <w:r w:rsidRPr="00C9318D">
        <w:rPr>
          <w:rFonts w:ascii="Times New Roman" w:hAnsi="Times New Roman"/>
          <w:noProof/>
          <w:sz w:val="20"/>
          <w:szCs w:val="20"/>
        </w:rPr>
        <w:t>nanocomposite</w:t>
      </w:r>
      <w:r w:rsidRPr="00C9318D">
        <w:rPr>
          <w:rFonts w:ascii="Times New Roman" w:hAnsi="Times New Roman"/>
          <w:sz w:val="20"/>
          <w:szCs w:val="20"/>
        </w:rPr>
        <w:t xml:space="preserve"> membranes of </w:t>
      </w:r>
      <w:r w:rsidRPr="00C9318D">
        <w:rPr>
          <w:rFonts w:ascii="Times New Roman" w:hAnsi="Times New Roman"/>
          <w:noProof/>
          <w:sz w:val="20"/>
          <w:szCs w:val="20"/>
        </w:rPr>
        <w:t>different</w:t>
      </w:r>
      <w:r w:rsidRPr="00C9318D">
        <w:rPr>
          <w:rFonts w:ascii="Times New Roman" w:hAnsi="Times New Roman"/>
          <w:sz w:val="20"/>
          <w:szCs w:val="20"/>
        </w:rPr>
        <w:t xml:space="preserve"> dosages of clay at the </w:t>
      </w:r>
      <w:r w:rsidRPr="00C9318D">
        <w:rPr>
          <w:rFonts w:ascii="Times New Roman" w:hAnsi="Times New Roman"/>
          <w:noProof/>
          <w:sz w:val="20"/>
          <w:szCs w:val="20"/>
        </w:rPr>
        <w:t>pressure</w:t>
      </w:r>
      <w:r w:rsidRPr="00C9318D">
        <w:rPr>
          <w:rFonts w:ascii="Times New Roman" w:hAnsi="Times New Roman"/>
          <w:sz w:val="20"/>
          <w:szCs w:val="20"/>
        </w:rPr>
        <w:t xml:space="preserve"> level of 3 bar. It can be </w:t>
      </w:r>
      <w:r w:rsidRPr="00C9318D">
        <w:rPr>
          <w:rFonts w:ascii="Times New Roman" w:hAnsi="Times New Roman"/>
          <w:noProof/>
          <w:sz w:val="20"/>
          <w:szCs w:val="20"/>
        </w:rPr>
        <w:t>observed</w:t>
      </w:r>
      <w:r w:rsidRPr="00C9318D">
        <w:rPr>
          <w:rFonts w:ascii="Times New Roman" w:hAnsi="Times New Roman"/>
          <w:sz w:val="20"/>
          <w:szCs w:val="20"/>
        </w:rPr>
        <w:t xml:space="preserve"> that the permeate flux has increased while the BSA rejection showed a fluctuated trend with the increase of the clay dosage. Only a slight increase of rejection was observed for the dosages of TOPBr clay ranging from 0.6% until 1.0%.The increase in the rejection values is due to the negative charges which are inherent in the silicate structure due to the homogeneity between the TOPBr clay in the polymer solution. Ali et al. [13] explained that the pore size on the membrane surface </w:t>
      </w:r>
      <w:r w:rsidRPr="00C9318D">
        <w:rPr>
          <w:rFonts w:ascii="Times New Roman" w:hAnsi="Times New Roman"/>
          <w:noProof/>
          <w:sz w:val="20"/>
          <w:szCs w:val="20"/>
        </w:rPr>
        <w:t>becomes</w:t>
      </w:r>
      <w:r w:rsidRPr="00C9318D">
        <w:rPr>
          <w:rFonts w:ascii="Times New Roman" w:hAnsi="Times New Roman"/>
          <w:sz w:val="20"/>
          <w:szCs w:val="20"/>
        </w:rPr>
        <w:t xml:space="preserve"> smaller due to the </w:t>
      </w:r>
      <w:r w:rsidRPr="00C9318D">
        <w:rPr>
          <w:rFonts w:ascii="Times New Roman" w:hAnsi="Times New Roman"/>
          <w:noProof/>
          <w:sz w:val="20"/>
          <w:szCs w:val="20"/>
        </w:rPr>
        <w:t>close</w:t>
      </w:r>
      <w:r w:rsidRPr="00C9318D">
        <w:rPr>
          <w:rFonts w:ascii="Times New Roman" w:hAnsi="Times New Roman"/>
          <w:sz w:val="20"/>
          <w:szCs w:val="20"/>
        </w:rPr>
        <w:t xml:space="preserve"> segmental gap between polymer chains for blend polymer membrane and consequently increased the protein rejection. A further increase of flux from 2.06 L/m</w:t>
      </w:r>
      <w:r w:rsidRPr="00C9318D">
        <w:rPr>
          <w:rFonts w:ascii="Times New Roman" w:hAnsi="Times New Roman"/>
          <w:sz w:val="20"/>
          <w:szCs w:val="20"/>
          <w:vertAlign w:val="superscript"/>
        </w:rPr>
        <w:t>2</w:t>
      </w:r>
      <w:r w:rsidRPr="00C9318D">
        <w:rPr>
          <w:rFonts w:ascii="Times New Roman" w:hAnsi="Times New Roman"/>
          <w:sz w:val="20"/>
          <w:szCs w:val="20"/>
        </w:rPr>
        <w:t>.h to 20.22 L/m</w:t>
      </w:r>
      <w:r w:rsidRPr="00C9318D">
        <w:rPr>
          <w:rFonts w:ascii="Times New Roman" w:hAnsi="Times New Roman"/>
          <w:sz w:val="20"/>
          <w:szCs w:val="20"/>
          <w:vertAlign w:val="superscript"/>
        </w:rPr>
        <w:t>2</w:t>
      </w:r>
      <w:r w:rsidRPr="00C9318D">
        <w:rPr>
          <w:rFonts w:ascii="Times New Roman" w:hAnsi="Times New Roman"/>
          <w:sz w:val="20"/>
          <w:szCs w:val="20"/>
        </w:rPr>
        <w:t xml:space="preserve">.h was observed when the dosage </w:t>
      </w:r>
      <w:r w:rsidRPr="00C9318D">
        <w:rPr>
          <w:rFonts w:ascii="Times New Roman" w:hAnsi="Times New Roman"/>
          <w:noProof/>
          <w:sz w:val="20"/>
          <w:szCs w:val="20"/>
        </w:rPr>
        <w:t xml:space="preserve">of </w:t>
      </w:r>
      <w:r w:rsidRPr="00C9318D">
        <w:rPr>
          <w:rFonts w:ascii="Times New Roman" w:hAnsi="Times New Roman"/>
          <w:sz w:val="20"/>
          <w:szCs w:val="20"/>
        </w:rPr>
        <w:t xml:space="preserve">TOPBr is at 1.0%. This may be due to the increase in porosity and the </w:t>
      </w:r>
      <w:r w:rsidRPr="00C9318D">
        <w:rPr>
          <w:rFonts w:ascii="Times New Roman" w:hAnsi="Times New Roman"/>
          <w:noProof/>
          <w:sz w:val="20"/>
          <w:szCs w:val="20"/>
        </w:rPr>
        <w:t>hydrophilicy</w:t>
      </w:r>
      <w:r w:rsidRPr="00C9318D">
        <w:rPr>
          <w:rFonts w:ascii="Times New Roman" w:hAnsi="Times New Roman"/>
          <w:sz w:val="20"/>
          <w:szCs w:val="20"/>
        </w:rPr>
        <w:t xml:space="preserve"> of the membrane. In this light, membrane performance depends on the porosity, thickness, as well as the </w:t>
      </w:r>
      <w:r w:rsidRPr="00C9318D">
        <w:rPr>
          <w:rFonts w:ascii="Times New Roman" w:hAnsi="Times New Roman"/>
          <w:noProof/>
          <w:sz w:val="20"/>
          <w:szCs w:val="20"/>
        </w:rPr>
        <w:t>hydophilicy of</w:t>
      </w:r>
      <w:r w:rsidRPr="00C9318D">
        <w:rPr>
          <w:rFonts w:ascii="Times New Roman" w:hAnsi="Times New Roman"/>
          <w:sz w:val="20"/>
          <w:szCs w:val="20"/>
        </w:rPr>
        <w:t xml:space="preserve"> the membrane. These properties improve the membrane resistance to fouling and allow better stability of the permeate flux [14].</w:t>
      </w:r>
    </w:p>
    <w:p w:rsidR="00C9318D" w:rsidRPr="00C9318D" w:rsidRDefault="00C9318D" w:rsidP="00CB36F1">
      <w:pPr>
        <w:snapToGrid w:val="0"/>
        <w:spacing w:after="120" w:line="240" w:lineRule="auto"/>
        <w:jc w:val="both"/>
        <w:rPr>
          <w:rFonts w:ascii="Times New Roman" w:hAnsi="Times New Roman"/>
          <w:sz w:val="20"/>
          <w:szCs w:val="20"/>
        </w:rPr>
      </w:pPr>
    </w:p>
    <w:p w:rsidR="00C9318D" w:rsidRPr="00C9318D" w:rsidRDefault="00C9318D" w:rsidP="00CB36F1">
      <w:pPr>
        <w:snapToGrid w:val="0"/>
        <w:spacing w:after="120" w:line="240" w:lineRule="auto"/>
        <w:jc w:val="center"/>
        <w:rPr>
          <w:rFonts w:ascii="Times New Roman" w:hAnsi="Times New Roman"/>
          <w:sz w:val="20"/>
          <w:szCs w:val="20"/>
        </w:rPr>
      </w:pPr>
      <w:r w:rsidRPr="00C9318D">
        <w:rPr>
          <w:rFonts w:ascii="Times New Roman" w:hAnsi="Times New Roman"/>
          <w:noProof/>
          <w:sz w:val="20"/>
          <w:szCs w:val="20"/>
          <w:lang w:val="en-GB" w:eastAsia="ko-KR" w:bidi="ar-SA"/>
        </w:rPr>
        <w:drawing>
          <wp:inline distT="0" distB="0" distL="0" distR="0" wp14:anchorId="7FB96F53" wp14:editId="07F0AF34">
            <wp:extent cx="3420000" cy="2194560"/>
            <wp:effectExtent l="0" t="0" r="952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9318D">
        <w:rPr>
          <w:rFonts w:ascii="Times New Roman" w:hAnsi="Times New Roman"/>
          <w:sz w:val="20"/>
          <w:szCs w:val="20"/>
        </w:rPr>
        <w:t xml:space="preserve"> </w:t>
      </w:r>
    </w:p>
    <w:p w:rsidR="00C9318D" w:rsidRPr="00C9318D" w:rsidRDefault="00C9318D" w:rsidP="00C9318D">
      <w:pPr>
        <w:snapToGrid w:val="0"/>
        <w:spacing w:after="0" w:line="240" w:lineRule="auto"/>
        <w:ind w:left="851" w:hanging="851"/>
        <w:jc w:val="both"/>
        <w:rPr>
          <w:rFonts w:ascii="Times New Roman" w:hAnsi="Times New Roman"/>
          <w:sz w:val="20"/>
          <w:szCs w:val="20"/>
        </w:rPr>
      </w:pPr>
      <w:r w:rsidRPr="00C9318D">
        <w:rPr>
          <w:rFonts w:ascii="Times New Roman" w:hAnsi="Times New Roman"/>
          <w:sz w:val="20"/>
          <w:szCs w:val="20"/>
        </w:rPr>
        <w:t xml:space="preserve">Figure 3. </w:t>
      </w:r>
      <w:r w:rsidR="00CB36F1">
        <w:rPr>
          <w:rFonts w:ascii="Times New Roman" w:hAnsi="Times New Roman"/>
          <w:sz w:val="20"/>
          <w:szCs w:val="20"/>
        </w:rPr>
        <w:tab/>
      </w:r>
      <w:r w:rsidRPr="00C9318D">
        <w:rPr>
          <w:rFonts w:ascii="Times New Roman" w:hAnsi="Times New Roman"/>
          <w:sz w:val="20"/>
          <w:szCs w:val="20"/>
        </w:rPr>
        <w:t xml:space="preserve">Permeate flux and solute rejection for native membrane and PVDF/TOPBr </w:t>
      </w:r>
      <w:r w:rsidRPr="00C9318D">
        <w:rPr>
          <w:rFonts w:ascii="Times New Roman" w:hAnsi="Times New Roman"/>
          <w:noProof/>
          <w:sz w:val="20"/>
          <w:szCs w:val="20"/>
        </w:rPr>
        <w:t>nanocomposite</w:t>
      </w:r>
      <w:r w:rsidRPr="00C9318D">
        <w:rPr>
          <w:rFonts w:ascii="Times New Roman" w:hAnsi="Times New Roman"/>
          <w:sz w:val="20"/>
          <w:szCs w:val="20"/>
        </w:rPr>
        <w:t xml:space="preserve"> membrane with different dosage of clay</w:t>
      </w:r>
    </w:p>
    <w:p w:rsidR="00C9318D" w:rsidRPr="00C9318D" w:rsidRDefault="00C9318D" w:rsidP="00CB36F1">
      <w:pPr>
        <w:pStyle w:val="BodyText"/>
        <w:snapToGrid w:val="0"/>
        <w:spacing w:after="120"/>
        <w:rPr>
          <w:sz w:val="20"/>
        </w:rPr>
      </w:pPr>
    </w:p>
    <w:p w:rsidR="00C9318D" w:rsidRPr="00C9318D" w:rsidRDefault="00C9318D" w:rsidP="00C9318D">
      <w:pPr>
        <w:pStyle w:val="BodyText"/>
        <w:snapToGrid w:val="0"/>
        <w:rPr>
          <w:b/>
          <w:sz w:val="20"/>
        </w:rPr>
      </w:pPr>
      <w:r w:rsidRPr="00C9318D">
        <w:rPr>
          <w:b/>
          <w:sz w:val="20"/>
        </w:rPr>
        <w:t>Fouling Analysis Test</w:t>
      </w:r>
    </w:p>
    <w:p w:rsidR="00C9318D" w:rsidRPr="00C9318D" w:rsidRDefault="00C9318D" w:rsidP="00C9318D">
      <w:pPr>
        <w:pStyle w:val="BodyText"/>
        <w:snapToGrid w:val="0"/>
        <w:rPr>
          <w:sz w:val="20"/>
        </w:rPr>
      </w:pPr>
      <w:r w:rsidRPr="00C9318D">
        <w:rPr>
          <w:sz w:val="20"/>
        </w:rPr>
        <w:t>The results of fouling analysis tests are shown in Figure 4. Theoretically,</w:t>
      </w:r>
      <w:r w:rsidRPr="00C9318D">
        <w:rPr>
          <w:noProof/>
          <w:sz w:val="20"/>
        </w:rPr>
        <w:t xml:space="preserve"> a better antifouling property</w:t>
      </w:r>
      <w:r w:rsidRPr="00C9318D">
        <w:rPr>
          <w:sz w:val="20"/>
        </w:rPr>
        <w:t xml:space="preserve"> in the membrane is related to the higher fouling ratio. Membrane fouling is associated with the adsorption of BSA protein on the surface of </w:t>
      </w:r>
      <w:r w:rsidRPr="00C9318D">
        <w:rPr>
          <w:noProof/>
          <w:sz w:val="20"/>
        </w:rPr>
        <w:t>the membranes</w:t>
      </w:r>
      <w:r w:rsidRPr="00C9318D">
        <w:rPr>
          <w:sz w:val="20"/>
        </w:rPr>
        <w:t xml:space="preserve"> or inside the membrane pores which consist of reversible and irreversible fouling. Reversible fouling occurs from the building up of protein solutes on the membrane surface which can be easily </w:t>
      </w:r>
      <w:r w:rsidRPr="00C9318D">
        <w:rPr>
          <w:sz w:val="20"/>
        </w:rPr>
        <w:lastRenderedPageBreak/>
        <w:t xml:space="preserve">removed by simple hydraulic cleaning while irreversible fouling </w:t>
      </w:r>
      <w:r w:rsidRPr="00C9318D">
        <w:rPr>
          <w:noProof/>
          <w:sz w:val="20"/>
        </w:rPr>
        <w:t>is caused by the strong</w:t>
      </w:r>
      <w:r w:rsidRPr="00C9318D">
        <w:rPr>
          <w:sz w:val="20"/>
        </w:rPr>
        <w:t xml:space="preserve"> deposition of protein molecules attached </w:t>
      </w:r>
      <w:r w:rsidRPr="00C9318D">
        <w:rPr>
          <w:noProof/>
          <w:sz w:val="20"/>
        </w:rPr>
        <w:t xml:space="preserve">to </w:t>
      </w:r>
      <w:r w:rsidRPr="00C9318D">
        <w:rPr>
          <w:sz w:val="20"/>
        </w:rPr>
        <w:t xml:space="preserve">the surface and the entrapment of protein molecules into the pores. </w:t>
      </w:r>
      <w:r w:rsidRPr="00C9318D">
        <w:rPr>
          <w:noProof/>
          <w:sz w:val="20"/>
        </w:rPr>
        <w:t>These protein molecules</w:t>
      </w:r>
      <w:r w:rsidRPr="00C9318D">
        <w:rPr>
          <w:sz w:val="20"/>
        </w:rPr>
        <w:t xml:space="preserve"> remained and only a few would be removed even after the </w:t>
      </w:r>
      <w:r w:rsidRPr="00C9318D">
        <w:rPr>
          <w:noProof/>
          <w:sz w:val="20"/>
        </w:rPr>
        <w:t>membranes were cleaned</w:t>
      </w:r>
      <w:r w:rsidRPr="00C9318D">
        <w:rPr>
          <w:sz w:val="20"/>
        </w:rPr>
        <w:t xml:space="preserve"> [15]. It can be observed that </w:t>
      </w:r>
      <w:r w:rsidRPr="00C9318D">
        <w:rPr>
          <w:bCs/>
          <w:sz w:val="20"/>
        </w:rPr>
        <w:t xml:space="preserve">PVDF/TOPBr1.0 </w:t>
      </w:r>
      <w:r w:rsidRPr="00C9318D">
        <w:rPr>
          <w:bCs/>
          <w:noProof/>
          <w:sz w:val="20"/>
        </w:rPr>
        <w:t>nanocomposite</w:t>
      </w:r>
      <w:r w:rsidRPr="00C9318D">
        <w:rPr>
          <w:bCs/>
          <w:sz w:val="20"/>
        </w:rPr>
        <w:t xml:space="preserve"> membrane shows the highest flux recovery ratio (FRR) value with 93% followed by </w:t>
      </w:r>
      <w:r w:rsidRPr="00C9318D">
        <w:rPr>
          <w:sz w:val="20"/>
        </w:rPr>
        <w:t xml:space="preserve">PVDF/TOPBr0.8 with 88%. This result might be </w:t>
      </w:r>
      <w:r w:rsidRPr="00C9318D">
        <w:rPr>
          <w:noProof/>
          <w:sz w:val="20"/>
        </w:rPr>
        <w:t>linked to</w:t>
      </w:r>
      <w:r w:rsidRPr="00C9318D">
        <w:rPr>
          <w:sz w:val="20"/>
        </w:rPr>
        <w:t xml:space="preserve"> the high porosity of both membranes which prevent the </w:t>
      </w:r>
      <w:r w:rsidRPr="00C9318D">
        <w:rPr>
          <w:noProof/>
          <w:sz w:val="20"/>
        </w:rPr>
        <w:t>extensive</w:t>
      </w:r>
      <w:r w:rsidRPr="00C9318D">
        <w:rPr>
          <w:sz w:val="20"/>
        </w:rPr>
        <w:t xml:space="preserve"> accumulation of BSA on the membrane surface and membrane pores. A flux reduction will still </w:t>
      </w:r>
      <w:r w:rsidRPr="00C9318D">
        <w:rPr>
          <w:noProof/>
          <w:sz w:val="20"/>
        </w:rPr>
        <w:t>appear</w:t>
      </w:r>
      <w:r w:rsidRPr="00C9318D">
        <w:rPr>
          <w:sz w:val="20"/>
        </w:rPr>
        <w:t xml:space="preserve"> due to the slightly irreversible fouling ratio (RIFR). </w:t>
      </w:r>
    </w:p>
    <w:p w:rsidR="00C9318D" w:rsidRPr="00C9318D" w:rsidRDefault="00C9318D" w:rsidP="00CB36F1">
      <w:pPr>
        <w:pStyle w:val="BodyText"/>
        <w:snapToGrid w:val="0"/>
        <w:spacing w:after="120"/>
        <w:rPr>
          <w:sz w:val="20"/>
        </w:rPr>
      </w:pPr>
    </w:p>
    <w:p w:rsidR="00C9318D" w:rsidRPr="00C9318D" w:rsidRDefault="00C9318D" w:rsidP="0037234D">
      <w:pPr>
        <w:pStyle w:val="BodyText"/>
        <w:snapToGrid w:val="0"/>
        <w:spacing w:after="120"/>
        <w:jc w:val="center"/>
        <w:rPr>
          <w:sz w:val="20"/>
        </w:rPr>
      </w:pPr>
      <w:r w:rsidRPr="00C9318D">
        <w:rPr>
          <w:noProof/>
          <w:sz w:val="20"/>
          <w:lang w:eastAsia="ko-KR"/>
        </w:rPr>
        <w:drawing>
          <wp:inline distT="0" distB="0" distL="0" distR="0" wp14:anchorId="518A0057" wp14:editId="363BE4DE">
            <wp:extent cx="4325509" cy="2194560"/>
            <wp:effectExtent l="0" t="0" r="18415"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318D" w:rsidRPr="00C9318D" w:rsidRDefault="0037234D" w:rsidP="00C9318D">
      <w:pPr>
        <w:pStyle w:val="BodyText"/>
        <w:snapToGrid w:val="0"/>
        <w:ind w:left="851" w:hanging="851"/>
        <w:rPr>
          <w:sz w:val="20"/>
        </w:rPr>
      </w:pPr>
      <w:r>
        <w:rPr>
          <w:sz w:val="20"/>
        </w:rPr>
        <w:t>Figure 4.</w:t>
      </w:r>
      <w:r>
        <w:rPr>
          <w:sz w:val="20"/>
        </w:rPr>
        <w:tab/>
      </w:r>
      <w:r w:rsidR="00C9318D" w:rsidRPr="00C9318D">
        <w:rPr>
          <w:sz w:val="20"/>
        </w:rPr>
        <w:t>Flux recovery ratio (FRR), reversible fouling ratio (RRF) and irreversible fouling ratio (RIFR) of membranes</w:t>
      </w:r>
    </w:p>
    <w:p w:rsidR="00C9318D" w:rsidRPr="00C9318D" w:rsidRDefault="00C9318D" w:rsidP="0037234D">
      <w:pPr>
        <w:pStyle w:val="BodyText"/>
        <w:snapToGrid w:val="0"/>
        <w:spacing w:after="120"/>
        <w:rPr>
          <w:sz w:val="20"/>
        </w:rPr>
      </w:pPr>
    </w:p>
    <w:p w:rsidR="00C9318D" w:rsidRPr="00C9318D" w:rsidRDefault="00C9318D" w:rsidP="00C9318D">
      <w:pPr>
        <w:pStyle w:val="BodyText"/>
        <w:snapToGrid w:val="0"/>
        <w:rPr>
          <w:sz w:val="20"/>
        </w:rPr>
      </w:pPr>
      <w:r w:rsidRPr="00C9318D">
        <w:rPr>
          <w:sz w:val="20"/>
        </w:rPr>
        <w:t xml:space="preserve">It was observed that native PVDF has </w:t>
      </w:r>
      <w:r w:rsidRPr="00C9318D">
        <w:rPr>
          <w:noProof/>
          <w:sz w:val="20"/>
        </w:rPr>
        <w:t>the lowest</w:t>
      </w:r>
      <w:r w:rsidRPr="00C9318D">
        <w:rPr>
          <w:sz w:val="20"/>
        </w:rPr>
        <w:t xml:space="preserve"> value of flux recovery ratio with just 38% and a reduction of flux occurred when the irreversible fouling ratio is at highest value (63%). The fast blocking of membrane pores was caused by the low membrane porosity that occurred during the initial filtration stage since the cleaning membrane cleaning did not </w:t>
      </w:r>
      <w:r w:rsidRPr="00C9318D">
        <w:rPr>
          <w:noProof/>
          <w:sz w:val="20"/>
        </w:rPr>
        <w:t>improve</w:t>
      </w:r>
      <w:r w:rsidRPr="00C9318D">
        <w:rPr>
          <w:sz w:val="20"/>
        </w:rPr>
        <w:t xml:space="preserve"> the membrane flux. The growth of cake layer on the membrane surface will </w:t>
      </w:r>
      <w:r w:rsidRPr="00C9318D">
        <w:rPr>
          <w:noProof/>
          <w:sz w:val="20"/>
        </w:rPr>
        <w:t>form</w:t>
      </w:r>
      <w:r w:rsidRPr="00C9318D">
        <w:rPr>
          <w:sz w:val="20"/>
        </w:rPr>
        <w:t xml:space="preserve"> and reduce the flux permeation and consequently, decrease the value of FRR. This can be considered as the impact of membrane fouling which leads to an increase in hydraulic resistance and reduction of filtration efficiency [16-18].</w:t>
      </w:r>
    </w:p>
    <w:p w:rsidR="006768E9" w:rsidRPr="00C9318D" w:rsidRDefault="006768E9" w:rsidP="00F447A7">
      <w:pPr>
        <w:spacing w:after="0" w:line="240" w:lineRule="auto"/>
        <w:jc w:val="center"/>
        <w:rPr>
          <w:rFonts w:ascii="Times New Roman" w:hAnsi="Times New Roman"/>
          <w:noProof/>
          <w:sz w:val="20"/>
          <w:szCs w:val="20"/>
          <w:lang w:val="en-GB"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7234D" w:rsidRPr="009C561E" w:rsidRDefault="0037234D" w:rsidP="0037234D">
      <w:pPr>
        <w:pStyle w:val="BodyText"/>
        <w:rPr>
          <w:sz w:val="20"/>
        </w:rPr>
      </w:pPr>
      <w:r w:rsidRPr="009C561E">
        <w:rPr>
          <w:sz w:val="20"/>
        </w:rPr>
        <w:t xml:space="preserve">This study has investigated the effect of the presence of TOPBr clay at different weight compositions on the properties of PVDF/TOPBr </w:t>
      </w:r>
      <w:r w:rsidRPr="009C561E">
        <w:rPr>
          <w:noProof/>
          <w:sz w:val="20"/>
        </w:rPr>
        <w:t>nanocomposite</w:t>
      </w:r>
      <w:r w:rsidRPr="009C561E">
        <w:rPr>
          <w:sz w:val="20"/>
        </w:rPr>
        <w:t xml:space="preserve"> membrane focusing on its characteristics, pure water permeation, protein separation tests and fouling parameters. The results showed that varying the TOPBr clay composition in the PVDF polymer will </w:t>
      </w:r>
      <w:r w:rsidRPr="009C561E">
        <w:rPr>
          <w:noProof/>
          <w:sz w:val="20"/>
        </w:rPr>
        <w:t>produce</w:t>
      </w:r>
      <w:r w:rsidRPr="009C561E">
        <w:rPr>
          <w:sz w:val="20"/>
        </w:rPr>
        <w:t xml:space="preserve"> </w:t>
      </w:r>
      <w:r w:rsidRPr="009C561E">
        <w:rPr>
          <w:noProof/>
          <w:sz w:val="20"/>
        </w:rPr>
        <w:t>membranes</w:t>
      </w:r>
      <w:r w:rsidRPr="009C561E">
        <w:rPr>
          <w:sz w:val="20"/>
        </w:rPr>
        <w:t xml:space="preserve"> with different characteristics and performance. In this light, the presence of higher composition TOPBr clay in </w:t>
      </w:r>
      <w:r w:rsidRPr="009C561E">
        <w:rPr>
          <w:noProof/>
          <w:sz w:val="20"/>
        </w:rPr>
        <w:t>the nanocomposite</w:t>
      </w:r>
      <w:r w:rsidRPr="009C561E">
        <w:rPr>
          <w:sz w:val="20"/>
        </w:rPr>
        <w:t xml:space="preserve"> membrane increased water content and porosity of PVDF/TOPBr nanocomposite membrane. The protein separation performance test revealed that after the addition of TOPBr, the flux increased from 2.06 L/m</w:t>
      </w:r>
      <w:r w:rsidRPr="009C561E">
        <w:rPr>
          <w:sz w:val="20"/>
          <w:vertAlign w:val="superscript"/>
        </w:rPr>
        <w:t>2</w:t>
      </w:r>
      <w:r w:rsidRPr="009C561E">
        <w:rPr>
          <w:sz w:val="20"/>
        </w:rPr>
        <w:t>.h to 20.22 L/m</w:t>
      </w:r>
      <w:r w:rsidRPr="009C561E">
        <w:rPr>
          <w:sz w:val="20"/>
          <w:vertAlign w:val="superscript"/>
        </w:rPr>
        <w:t>2</w:t>
      </w:r>
      <w:r w:rsidRPr="009C561E">
        <w:rPr>
          <w:sz w:val="20"/>
        </w:rPr>
        <w:t xml:space="preserve">.h with a 1.0 wt.% increase in protein separation as a result of the increase  in the membrane hydrophilicity and porosity of the </w:t>
      </w:r>
      <w:r w:rsidRPr="009C561E">
        <w:rPr>
          <w:noProof/>
          <w:sz w:val="20"/>
        </w:rPr>
        <w:t>nanocomposite</w:t>
      </w:r>
      <w:r w:rsidRPr="009C561E">
        <w:rPr>
          <w:sz w:val="20"/>
        </w:rPr>
        <w:t xml:space="preserve"> membrane. Moreover, </w:t>
      </w:r>
      <w:r w:rsidRPr="009C561E">
        <w:rPr>
          <w:bCs/>
          <w:sz w:val="20"/>
        </w:rPr>
        <w:t xml:space="preserve">PVDF/TOPBr1.0 </w:t>
      </w:r>
      <w:r w:rsidRPr="009C561E">
        <w:rPr>
          <w:sz w:val="20"/>
        </w:rPr>
        <w:t xml:space="preserve">nanocomposite showed the highest antifouling properties and flux recovery at 93% compared to other PVDF/TOPBr, as well as the native PVDF membrane. The addition of TOPBr clay showed </w:t>
      </w:r>
      <w:r w:rsidRPr="009C561E">
        <w:rPr>
          <w:noProof/>
          <w:sz w:val="20"/>
        </w:rPr>
        <w:t>a positive</w:t>
      </w:r>
      <w:r w:rsidRPr="009C561E">
        <w:rPr>
          <w:sz w:val="20"/>
        </w:rPr>
        <w:t xml:space="preserve"> effect on membrane flux and hydrophilicity and has improved the membrane’s surface resistance against protein fouling. Lastly, flux recovery and antifouling of all PVDF/TOPBr </w:t>
      </w:r>
      <w:r w:rsidRPr="009C561E">
        <w:rPr>
          <w:noProof/>
          <w:sz w:val="20"/>
        </w:rPr>
        <w:t>nanocomposite</w:t>
      </w:r>
      <w:r w:rsidRPr="009C561E">
        <w:rPr>
          <w:sz w:val="20"/>
        </w:rPr>
        <w:t xml:space="preserve"> membranes </w:t>
      </w:r>
      <w:r w:rsidRPr="009C561E">
        <w:rPr>
          <w:noProof/>
          <w:sz w:val="20"/>
        </w:rPr>
        <w:t>have</w:t>
      </w:r>
      <w:r w:rsidRPr="009C561E">
        <w:rPr>
          <w:sz w:val="20"/>
        </w:rPr>
        <w:t xml:space="preserve"> improved after TOPBr clay </w:t>
      </w:r>
      <w:r w:rsidRPr="009C561E">
        <w:rPr>
          <w:noProof/>
          <w:sz w:val="20"/>
        </w:rPr>
        <w:t>was blended</w:t>
      </w:r>
      <w:r w:rsidRPr="009C561E">
        <w:rPr>
          <w:sz w:val="20"/>
        </w:rPr>
        <w:t xml:space="preserve"> into the membrane matrix.</w:t>
      </w:r>
    </w:p>
    <w:p w:rsidR="006768E9" w:rsidRPr="0037234D" w:rsidRDefault="006768E9" w:rsidP="0037234D">
      <w:pPr>
        <w:spacing w:after="0" w:line="240" w:lineRule="auto"/>
        <w:jc w:val="center"/>
        <w:rPr>
          <w:rFonts w:ascii="Times New Roman" w:hAnsi="Times New Roman"/>
          <w:noProof/>
          <w:sz w:val="20"/>
          <w:szCs w:val="20"/>
          <w:lang w:val="en-GB"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37234D" w:rsidP="0037234D">
      <w:pPr>
        <w:spacing w:after="0" w:line="240" w:lineRule="auto"/>
        <w:ind w:right="86"/>
        <w:jc w:val="both"/>
        <w:rPr>
          <w:rFonts w:ascii="Times New Roman" w:hAnsi="Times New Roman"/>
          <w:sz w:val="20"/>
          <w:szCs w:val="20"/>
        </w:rPr>
      </w:pPr>
      <w:r w:rsidRPr="0037234D">
        <w:rPr>
          <w:rFonts w:ascii="Times New Roman" w:hAnsi="Times New Roman"/>
          <w:sz w:val="20"/>
          <w:szCs w:val="20"/>
        </w:rPr>
        <w:t xml:space="preserve">The authors are grateful for research financial support by the </w:t>
      </w:r>
      <w:r w:rsidRPr="0037234D">
        <w:rPr>
          <w:rStyle w:val="interref"/>
          <w:rFonts w:ascii="Times New Roman" w:hAnsi="Times New Roman"/>
          <w:sz w:val="20"/>
          <w:szCs w:val="20"/>
        </w:rPr>
        <w:t>Ministry of Higher Education, Malaysia</w:t>
      </w:r>
      <w:r w:rsidRPr="0037234D">
        <w:rPr>
          <w:rFonts w:ascii="Times New Roman" w:hAnsi="Times New Roman"/>
          <w:sz w:val="20"/>
          <w:szCs w:val="20"/>
        </w:rPr>
        <w:t xml:space="preserve"> under Fundamental Research Grant Scheme (FRGS) (Grant no.59351).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Kang, G. and Cao, Y. (2014). Application and modification of polyvinylidene </w:t>
      </w:r>
      <w:r w:rsidRPr="0037234D">
        <w:rPr>
          <w:rFonts w:ascii="Times New Roman" w:hAnsi="Times New Roman"/>
          <w:noProof/>
          <w:sz w:val="20"/>
          <w:szCs w:val="20"/>
        </w:rPr>
        <w:t>flouride</w:t>
      </w:r>
      <w:r w:rsidRPr="0037234D">
        <w:rPr>
          <w:rFonts w:ascii="Times New Roman" w:hAnsi="Times New Roman"/>
          <w:sz w:val="20"/>
          <w:szCs w:val="20"/>
        </w:rPr>
        <w:t xml:space="preserve"> (PVDF) membranes – A review. </w:t>
      </w:r>
      <w:r w:rsidRPr="0037234D">
        <w:rPr>
          <w:rFonts w:ascii="Times New Roman" w:hAnsi="Times New Roman"/>
          <w:i/>
          <w:sz w:val="20"/>
          <w:szCs w:val="20"/>
        </w:rPr>
        <w:t>Journal of Membrane Science,</w:t>
      </w:r>
      <w:r w:rsidRPr="0037234D">
        <w:rPr>
          <w:rFonts w:ascii="Times New Roman" w:hAnsi="Times New Roman"/>
          <w:sz w:val="20"/>
          <w:szCs w:val="20"/>
        </w:rPr>
        <w:t xml:space="preserve"> </w:t>
      </w:r>
      <w:r w:rsidRPr="0037234D">
        <w:rPr>
          <w:rFonts w:ascii="Times New Roman" w:hAnsi="Times New Roman"/>
          <w:iCs/>
          <w:sz w:val="20"/>
          <w:szCs w:val="20"/>
        </w:rPr>
        <w:t>463</w:t>
      </w:r>
      <w:r w:rsidRPr="0037234D">
        <w:rPr>
          <w:rFonts w:ascii="Times New Roman" w:hAnsi="Times New Roman"/>
          <w:sz w:val="20"/>
          <w:szCs w:val="20"/>
        </w:rPr>
        <w:t xml:space="preserve">: 145-165. </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Rajabi, H., Ghaemi, N., Madaeni, S. S., Daraei, P., Ali, M. and Falsafi, M. (2014). Nanoclay embedded mixed matrix PVDF nanocomposite membrane: preparation, characterization and biofouling resistance. </w:t>
      </w:r>
      <w:r w:rsidRPr="0037234D">
        <w:rPr>
          <w:rFonts w:ascii="Times New Roman" w:hAnsi="Times New Roman"/>
          <w:i/>
          <w:iCs/>
          <w:sz w:val="20"/>
          <w:szCs w:val="20"/>
        </w:rPr>
        <w:t>Applied Surface Science,</w:t>
      </w:r>
      <w:r w:rsidRPr="0037234D">
        <w:rPr>
          <w:rFonts w:ascii="Times New Roman" w:hAnsi="Times New Roman"/>
          <w:sz w:val="20"/>
          <w:szCs w:val="20"/>
        </w:rPr>
        <w:t xml:space="preserve"> </w:t>
      </w:r>
      <w:r w:rsidRPr="0037234D">
        <w:rPr>
          <w:rFonts w:ascii="Times New Roman" w:hAnsi="Times New Roman"/>
          <w:iCs/>
          <w:sz w:val="20"/>
          <w:szCs w:val="20"/>
        </w:rPr>
        <w:t>313</w:t>
      </w:r>
      <w:r w:rsidRPr="0037234D">
        <w:rPr>
          <w:rFonts w:ascii="Times New Roman" w:hAnsi="Times New Roman"/>
          <w:sz w:val="20"/>
          <w:szCs w:val="20"/>
        </w:rPr>
        <w:t>: 207-214.</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Ismail, N. M., Ismail, A. F. and Mustaffa, A. (2014). Characterization of polyethersulfone/cloisite 15A mixed matrix membrane for CO</w:t>
      </w:r>
      <w:r w:rsidRPr="0037234D">
        <w:rPr>
          <w:rFonts w:ascii="Times New Roman" w:hAnsi="Times New Roman"/>
          <w:sz w:val="20"/>
          <w:szCs w:val="20"/>
          <w:vertAlign w:val="subscript"/>
        </w:rPr>
        <w:t>2</w:t>
      </w:r>
      <w:r w:rsidRPr="0037234D">
        <w:rPr>
          <w:rFonts w:ascii="Times New Roman" w:hAnsi="Times New Roman"/>
          <w:sz w:val="20"/>
          <w:szCs w:val="20"/>
        </w:rPr>
        <w:t>/CH</w:t>
      </w:r>
      <w:r w:rsidRPr="0037234D">
        <w:rPr>
          <w:rFonts w:ascii="Times New Roman" w:hAnsi="Times New Roman"/>
          <w:sz w:val="20"/>
          <w:szCs w:val="20"/>
          <w:vertAlign w:val="subscript"/>
        </w:rPr>
        <w:t>4</w:t>
      </w:r>
      <w:r w:rsidRPr="0037234D">
        <w:rPr>
          <w:rFonts w:ascii="Times New Roman" w:hAnsi="Times New Roman"/>
          <w:sz w:val="20"/>
          <w:szCs w:val="20"/>
        </w:rPr>
        <w:t xml:space="preserve"> separation. </w:t>
      </w:r>
      <w:r w:rsidRPr="0037234D">
        <w:rPr>
          <w:rFonts w:ascii="Times New Roman" w:hAnsi="Times New Roman"/>
          <w:i/>
          <w:sz w:val="20"/>
          <w:szCs w:val="20"/>
        </w:rPr>
        <w:t>Jurnal Teknologi</w:t>
      </w:r>
      <w:r w:rsidRPr="0037234D">
        <w:rPr>
          <w:rFonts w:ascii="Times New Roman" w:hAnsi="Times New Roman"/>
          <w:sz w:val="20"/>
          <w:szCs w:val="20"/>
        </w:rPr>
        <w:t>, 9: 83-87.</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Wu, </w:t>
      </w:r>
      <w:r w:rsidRPr="0037234D">
        <w:rPr>
          <w:rFonts w:ascii="Times New Roman" w:hAnsi="Times New Roman"/>
          <w:bCs/>
          <w:sz w:val="20"/>
          <w:szCs w:val="20"/>
        </w:rPr>
        <w:t>G., Gan, S., Cui, L. and Xu, Y. (2008). Preparation and characterization of PES/TiO</w:t>
      </w:r>
      <w:r w:rsidRPr="0037234D">
        <w:rPr>
          <w:rFonts w:ascii="Times New Roman" w:hAnsi="Times New Roman"/>
          <w:bCs/>
          <w:sz w:val="20"/>
          <w:szCs w:val="20"/>
          <w:vertAlign w:val="subscript"/>
        </w:rPr>
        <w:t>2</w:t>
      </w:r>
      <w:r w:rsidRPr="0037234D">
        <w:rPr>
          <w:rFonts w:ascii="Times New Roman" w:hAnsi="Times New Roman"/>
          <w:bCs/>
          <w:sz w:val="20"/>
          <w:szCs w:val="20"/>
        </w:rPr>
        <w:t xml:space="preserve"> composite membranes. </w:t>
      </w:r>
      <w:r w:rsidRPr="0037234D">
        <w:rPr>
          <w:rFonts w:ascii="Times New Roman" w:hAnsi="Times New Roman"/>
          <w:bCs/>
          <w:i/>
          <w:sz w:val="20"/>
          <w:szCs w:val="20"/>
        </w:rPr>
        <w:t>Applied Surface Science,</w:t>
      </w:r>
      <w:r w:rsidRPr="0037234D">
        <w:rPr>
          <w:rFonts w:ascii="Times New Roman" w:hAnsi="Times New Roman"/>
          <w:bCs/>
          <w:sz w:val="20"/>
          <w:szCs w:val="20"/>
        </w:rPr>
        <w:t xml:space="preserve"> </w:t>
      </w:r>
      <w:r w:rsidRPr="0037234D">
        <w:rPr>
          <w:rFonts w:ascii="Times New Roman" w:hAnsi="Times New Roman"/>
          <w:bCs/>
          <w:iCs/>
          <w:sz w:val="20"/>
          <w:szCs w:val="20"/>
        </w:rPr>
        <w:t>254(21)</w:t>
      </w:r>
      <w:r w:rsidRPr="0037234D">
        <w:rPr>
          <w:rFonts w:ascii="Times New Roman" w:hAnsi="Times New Roman"/>
          <w:bCs/>
          <w:sz w:val="20"/>
          <w:szCs w:val="20"/>
        </w:rPr>
        <w:t>: 7080-7086.</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Zulhairun, A. K., Ismail, A. F., Matsuura, T., Abdullah, M. S. and Mustafa, A. (2014). Asymmetric mixed matrix membrane incorporating organically modified clay particle for gas separation.</w:t>
      </w:r>
      <w:r w:rsidRPr="0037234D">
        <w:rPr>
          <w:rFonts w:ascii="Times New Roman" w:hAnsi="Times New Roman"/>
          <w:bCs/>
          <w:i/>
          <w:sz w:val="20"/>
          <w:szCs w:val="20"/>
        </w:rPr>
        <w:t xml:space="preserve"> </w:t>
      </w:r>
      <w:r w:rsidRPr="0037234D">
        <w:rPr>
          <w:rFonts w:ascii="Times New Roman" w:hAnsi="Times New Roman"/>
          <w:bCs/>
          <w:i/>
          <w:iCs/>
          <w:sz w:val="20"/>
          <w:szCs w:val="20"/>
        </w:rPr>
        <w:t>Chemical Engineering Journal,</w:t>
      </w:r>
      <w:r w:rsidRPr="0037234D">
        <w:rPr>
          <w:rFonts w:ascii="Times New Roman" w:hAnsi="Times New Roman"/>
          <w:bCs/>
          <w:i/>
          <w:sz w:val="20"/>
          <w:szCs w:val="20"/>
        </w:rPr>
        <w:t xml:space="preserve"> </w:t>
      </w:r>
      <w:r w:rsidRPr="0037234D">
        <w:rPr>
          <w:rFonts w:ascii="Times New Roman" w:hAnsi="Times New Roman"/>
          <w:bCs/>
          <w:iCs/>
          <w:sz w:val="20"/>
          <w:szCs w:val="20"/>
        </w:rPr>
        <w:t>241:</w:t>
      </w:r>
      <w:r w:rsidRPr="0037234D">
        <w:rPr>
          <w:rFonts w:ascii="Times New Roman" w:hAnsi="Times New Roman"/>
          <w:bCs/>
          <w:sz w:val="20"/>
          <w:szCs w:val="20"/>
        </w:rPr>
        <w:t xml:space="preserve"> 495-503.</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Ali, A., Mohamed, N. S., Awang, M. and Mohd Sani, N. A. (2016). Preparation and characterization of alkylphosphonium modified montmorillonite. </w:t>
      </w:r>
      <w:r w:rsidRPr="0037234D">
        <w:rPr>
          <w:rFonts w:ascii="Times New Roman" w:hAnsi="Times New Roman"/>
          <w:i/>
          <w:sz w:val="20"/>
          <w:szCs w:val="20"/>
          <w:lang w:val="en-MY"/>
        </w:rPr>
        <w:t>International Journal of Applied Chemistry</w:t>
      </w:r>
      <w:r w:rsidRPr="0037234D">
        <w:rPr>
          <w:rFonts w:ascii="Times New Roman" w:hAnsi="Times New Roman"/>
          <w:sz w:val="20"/>
          <w:szCs w:val="20"/>
          <w:lang w:val="en-MY"/>
        </w:rPr>
        <w:t>, 12(1): 93-98.</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Yunus, R. M., Awang, M., Johari, A. and Mat, R. (2014). Effect of cellulose acetate phthalate (CAP) on characterics and morphology of polysulfone/cellulose acetate phthalate (Psf/CAP) blend membranes. </w:t>
      </w:r>
      <w:r w:rsidRPr="0037234D">
        <w:rPr>
          <w:rFonts w:ascii="Times New Roman" w:hAnsi="Times New Roman"/>
          <w:i/>
          <w:sz w:val="20"/>
          <w:szCs w:val="20"/>
          <w:lang w:val="en-MY"/>
        </w:rPr>
        <w:t>Applied Mechanics and Materials,</w:t>
      </w:r>
      <w:r w:rsidRPr="0037234D">
        <w:rPr>
          <w:rFonts w:ascii="Times New Roman" w:hAnsi="Times New Roman"/>
          <w:sz w:val="20"/>
          <w:szCs w:val="20"/>
          <w:lang w:val="en-MY"/>
        </w:rPr>
        <w:t xml:space="preserve"> 493: 640-644.</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Ameduri, B. (2009). From vinylidene fluoride (PVDF) to the applications of VDF-containing polymers and copolymers: recent developments and future trends. </w:t>
      </w:r>
      <w:r w:rsidRPr="0037234D">
        <w:rPr>
          <w:rFonts w:ascii="Times New Roman" w:hAnsi="Times New Roman"/>
          <w:bCs/>
          <w:i/>
          <w:sz w:val="20"/>
          <w:szCs w:val="20"/>
        </w:rPr>
        <w:t>Chemical Reviews,</w:t>
      </w:r>
      <w:r w:rsidRPr="0037234D">
        <w:rPr>
          <w:rFonts w:ascii="Times New Roman" w:hAnsi="Times New Roman"/>
          <w:bCs/>
          <w:sz w:val="20"/>
          <w:szCs w:val="20"/>
        </w:rPr>
        <w:t xml:space="preserve"> 109(12): 6632-6686.</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Awang, M., Mat, R., Johari, A., Kamaruddin, M. J. and Sulaiman, W. R. W. (2014). Influence of hydrophilic polymer on pure water flux, permeability coefficient, and porosity of polysulfone blend membranes. </w:t>
      </w:r>
      <w:r w:rsidRPr="0037234D">
        <w:rPr>
          <w:rFonts w:ascii="Times New Roman" w:hAnsi="Times New Roman"/>
          <w:i/>
          <w:iCs/>
          <w:sz w:val="20"/>
          <w:szCs w:val="20"/>
          <w:lang w:val="en-MY"/>
        </w:rPr>
        <w:t xml:space="preserve">Advanced Materials Research, </w:t>
      </w:r>
      <w:r w:rsidRPr="0037234D">
        <w:rPr>
          <w:rFonts w:ascii="Times New Roman" w:hAnsi="Times New Roman"/>
          <w:sz w:val="20"/>
          <w:szCs w:val="20"/>
          <w:lang w:val="en-MY"/>
        </w:rPr>
        <w:t>931–932: 168–172.</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Ahmad, A. L., Abdulkarim, A. A., Ooi, B. S. and Ismail, S. (2013). Recent development in additives modifications of polyethersulfone membrane for flux enhancement. </w:t>
      </w:r>
      <w:r w:rsidRPr="0037234D">
        <w:rPr>
          <w:rFonts w:ascii="Times New Roman" w:hAnsi="Times New Roman"/>
          <w:bCs/>
          <w:i/>
          <w:sz w:val="20"/>
          <w:szCs w:val="20"/>
        </w:rPr>
        <w:t>Chemical Engineering Journal,</w:t>
      </w:r>
      <w:r w:rsidRPr="0037234D">
        <w:rPr>
          <w:rFonts w:ascii="Times New Roman" w:hAnsi="Times New Roman"/>
          <w:bCs/>
          <w:sz w:val="20"/>
          <w:szCs w:val="20"/>
        </w:rPr>
        <w:t xml:space="preserve"> 223: 246–267.</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Arthanareeswaran, A., Devi, T. K. S. and Raaajenthiren, M. (2008). Effect of silica particles on cellulose acetate blend ultrafiltration membranes: Part 1. </w:t>
      </w:r>
      <w:r w:rsidRPr="0037234D">
        <w:rPr>
          <w:rFonts w:ascii="Times New Roman" w:hAnsi="Times New Roman"/>
          <w:bCs/>
          <w:i/>
          <w:iCs/>
          <w:sz w:val="20"/>
          <w:szCs w:val="20"/>
        </w:rPr>
        <w:t>Separation and Purification Technology</w:t>
      </w:r>
      <w:r w:rsidRPr="0037234D">
        <w:rPr>
          <w:rFonts w:ascii="Times New Roman" w:hAnsi="Times New Roman"/>
          <w:bCs/>
          <w:i/>
          <w:sz w:val="20"/>
          <w:szCs w:val="20"/>
        </w:rPr>
        <w:t>,</w:t>
      </w:r>
      <w:r w:rsidRPr="0037234D">
        <w:rPr>
          <w:rFonts w:ascii="Times New Roman" w:hAnsi="Times New Roman"/>
          <w:bCs/>
          <w:sz w:val="20"/>
          <w:szCs w:val="20"/>
        </w:rPr>
        <w:t xml:space="preserve"> </w:t>
      </w:r>
      <w:r w:rsidRPr="0037234D">
        <w:rPr>
          <w:rFonts w:ascii="Times New Roman" w:hAnsi="Times New Roman"/>
          <w:bCs/>
          <w:iCs/>
          <w:sz w:val="20"/>
          <w:szCs w:val="20"/>
        </w:rPr>
        <w:t xml:space="preserve">64 (1): </w:t>
      </w:r>
      <w:r w:rsidRPr="0037234D">
        <w:rPr>
          <w:rFonts w:ascii="Times New Roman" w:hAnsi="Times New Roman"/>
          <w:bCs/>
          <w:sz w:val="20"/>
          <w:szCs w:val="20"/>
        </w:rPr>
        <w:t>38–47.</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Arthanareeswaran, A. and Thanikaivelan, P. (2010). Fabrication of cellulose acetate-zirconia hybrid membranes for ultrafiltration applications: Performance, structure and fouling analysis. </w:t>
      </w:r>
      <w:r w:rsidRPr="0037234D">
        <w:rPr>
          <w:rFonts w:ascii="Times New Roman" w:hAnsi="Times New Roman"/>
          <w:bCs/>
          <w:i/>
          <w:iCs/>
          <w:sz w:val="20"/>
          <w:szCs w:val="20"/>
        </w:rPr>
        <w:t>Separation and Purification Technology,</w:t>
      </w:r>
      <w:r w:rsidRPr="0037234D">
        <w:rPr>
          <w:rFonts w:ascii="Times New Roman" w:hAnsi="Times New Roman"/>
          <w:bCs/>
          <w:sz w:val="20"/>
          <w:szCs w:val="20"/>
        </w:rPr>
        <w:t xml:space="preserve"> </w:t>
      </w:r>
      <w:r w:rsidRPr="0037234D">
        <w:rPr>
          <w:rFonts w:ascii="Times New Roman" w:hAnsi="Times New Roman"/>
          <w:bCs/>
          <w:iCs/>
          <w:sz w:val="20"/>
          <w:szCs w:val="20"/>
        </w:rPr>
        <w:t>74(2): 230</w:t>
      </w:r>
      <w:r w:rsidRPr="0037234D">
        <w:rPr>
          <w:rFonts w:ascii="Times New Roman" w:hAnsi="Times New Roman"/>
          <w:bCs/>
          <w:sz w:val="20"/>
          <w:szCs w:val="20"/>
        </w:rPr>
        <w:t>-235.</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Yunus, M. R., Awang, M. and Yunus, C. M. A. (2015). Influence of hydrophilic polymer on proteins separation, molecular weight cut-off (MWCO) and average pore size of polysulfone blend Membrane. </w:t>
      </w:r>
      <w:r w:rsidRPr="0037234D">
        <w:rPr>
          <w:rFonts w:ascii="Times New Roman" w:hAnsi="Times New Roman"/>
          <w:i/>
          <w:sz w:val="20"/>
          <w:szCs w:val="20"/>
          <w:lang w:val="en-MY"/>
        </w:rPr>
        <w:t>Jurnal Teknologi,</w:t>
      </w:r>
      <w:r w:rsidRPr="0037234D">
        <w:rPr>
          <w:rFonts w:ascii="Times New Roman" w:hAnsi="Times New Roman"/>
          <w:sz w:val="20"/>
          <w:szCs w:val="20"/>
          <w:lang w:val="en-MY"/>
        </w:rPr>
        <w:t xml:space="preserve"> 74(7): 53-56.</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Anadão, P., Sato, L. F., Montes, R. R. and Santis, H. S. De. (2014). Polysulphone/montmorillonite nanocomposite membranes: Effect of clay addition and polysulphone molecular weight on the membrane properties. </w:t>
      </w:r>
      <w:r w:rsidRPr="0037234D">
        <w:rPr>
          <w:rFonts w:ascii="Times New Roman" w:hAnsi="Times New Roman"/>
          <w:bCs/>
          <w:i/>
          <w:iCs/>
          <w:sz w:val="20"/>
          <w:szCs w:val="20"/>
        </w:rPr>
        <w:t>Journal of Membrane Science</w:t>
      </w:r>
      <w:r w:rsidRPr="0037234D">
        <w:rPr>
          <w:rFonts w:ascii="Times New Roman" w:hAnsi="Times New Roman"/>
          <w:bCs/>
          <w:i/>
          <w:sz w:val="20"/>
          <w:szCs w:val="20"/>
        </w:rPr>
        <w:t xml:space="preserve">, </w:t>
      </w:r>
      <w:r w:rsidRPr="0037234D">
        <w:rPr>
          <w:rFonts w:ascii="Times New Roman" w:hAnsi="Times New Roman"/>
          <w:bCs/>
          <w:iCs/>
          <w:sz w:val="20"/>
          <w:szCs w:val="20"/>
        </w:rPr>
        <w:t>455:</w:t>
      </w:r>
      <w:r w:rsidRPr="0037234D">
        <w:rPr>
          <w:rFonts w:ascii="Times New Roman" w:hAnsi="Times New Roman"/>
          <w:bCs/>
          <w:sz w:val="20"/>
          <w:szCs w:val="20"/>
        </w:rPr>
        <w:t xml:space="preserve"> 187-199. </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Monticelli, O., Bottino, A., Scandale, I., Capannelli, G. and Russo, S. (2006). Preparation and properties of polysulfone – clay composite membranes. </w:t>
      </w:r>
      <w:r w:rsidRPr="0037234D">
        <w:rPr>
          <w:rFonts w:ascii="Times New Roman" w:hAnsi="Times New Roman"/>
          <w:bCs/>
          <w:i/>
          <w:iCs/>
          <w:sz w:val="20"/>
          <w:szCs w:val="20"/>
        </w:rPr>
        <w:t>Journal of Applied Science</w:t>
      </w:r>
      <w:r w:rsidRPr="0037234D">
        <w:rPr>
          <w:rFonts w:ascii="Times New Roman" w:hAnsi="Times New Roman"/>
          <w:bCs/>
          <w:sz w:val="20"/>
          <w:szCs w:val="20"/>
        </w:rPr>
        <w:t xml:space="preserve">, </w:t>
      </w:r>
      <w:r w:rsidRPr="0037234D">
        <w:rPr>
          <w:rFonts w:ascii="Times New Roman" w:hAnsi="Times New Roman"/>
          <w:bCs/>
          <w:iCs/>
          <w:sz w:val="20"/>
          <w:szCs w:val="20"/>
        </w:rPr>
        <w:t>103(6)</w:t>
      </w:r>
      <w:r w:rsidRPr="0037234D">
        <w:rPr>
          <w:rFonts w:ascii="Times New Roman" w:hAnsi="Times New Roman"/>
          <w:bCs/>
          <w:sz w:val="20"/>
          <w:szCs w:val="20"/>
        </w:rPr>
        <w:t>: 3637-3644.</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Daraei, P., Madaeni, S. S., Ghaemi, N., Khadivi, M. A., Astinchap, B. and Moradian, R. (2013). Enhancing antifouling capability of PES membrane via mixing with various type of polymer modified multi-walled carbon nanotube. </w:t>
      </w:r>
      <w:r w:rsidRPr="0037234D">
        <w:rPr>
          <w:rFonts w:ascii="Times New Roman" w:hAnsi="Times New Roman"/>
          <w:bCs/>
          <w:i/>
          <w:sz w:val="20"/>
          <w:szCs w:val="20"/>
        </w:rPr>
        <w:t>Journal of Membrane Science,</w:t>
      </w:r>
      <w:r w:rsidRPr="0037234D">
        <w:rPr>
          <w:rFonts w:ascii="Times New Roman" w:hAnsi="Times New Roman"/>
          <w:bCs/>
          <w:sz w:val="20"/>
          <w:szCs w:val="20"/>
        </w:rPr>
        <w:t xml:space="preserve"> 444: 184-191.</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Zularisam, A. W., Ismail, A. F., Salim, M. R., Sakinah, M. and Ozaki, H. (2007) The effects of natural organic matter (NOM) fractions on fouling characteristics and flux recovery of ultrafiltration membranes. </w:t>
      </w:r>
      <w:r w:rsidRPr="0037234D">
        <w:rPr>
          <w:rFonts w:ascii="Times New Roman" w:hAnsi="Times New Roman"/>
          <w:bCs/>
          <w:i/>
          <w:sz w:val="20"/>
          <w:szCs w:val="20"/>
        </w:rPr>
        <w:t>Desalination</w:t>
      </w:r>
      <w:r w:rsidRPr="0037234D">
        <w:rPr>
          <w:rFonts w:ascii="Times New Roman" w:hAnsi="Times New Roman"/>
          <w:bCs/>
          <w:sz w:val="20"/>
          <w:szCs w:val="20"/>
        </w:rPr>
        <w:t>: 212(1-3): 191-208.</w:t>
      </w:r>
    </w:p>
    <w:p w:rsidR="0037234D" w:rsidRPr="0037234D" w:rsidRDefault="0037234D" w:rsidP="0037234D">
      <w:pPr>
        <w:pStyle w:val="ListParagraph"/>
        <w:numPr>
          <w:ilvl w:val="0"/>
          <w:numId w:val="14"/>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Zulkali, M. M. D., Ahmad, A. L. and Derek, C. J. C. (2005). Membrane application in proteomic studies: preliminary studies on the effect of pH, ionic strength and pressure on protein fractionation. </w:t>
      </w:r>
      <w:r w:rsidRPr="0037234D">
        <w:rPr>
          <w:rFonts w:ascii="Times New Roman" w:hAnsi="Times New Roman"/>
          <w:bCs/>
          <w:i/>
          <w:sz w:val="20"/>
          <w:szCs w:val="20"/>
        </w:rPr>
        <w:t>Desalination</w:t>
      </w:r>
      <w:r w:rsidRPr="0037234D">
        <w:rPr>
          <w:rFonts w:ascii="Times New Roman" w:hAnsi="Times New Roman"/>
          <w:bCs/>
          <w:sz w:val="20"/>
          <w:szCs w:val="20"/>
        </w:rPr>
        <w:t xml:space="preserve">: 179(1-3): 381-390. </w:t>
      </w:r>
    </w:p>
    <w:p w:rsidR="00E31A5C" w:rsidRDefault="00E31A5C" w:rsidP="0037234D">
      <w:pPr>
        <w:spacing w:after="0" w:line="240" w:lineRule="auto"/>
        <w:jc w:val="both"/>
        <w:rPr>
          <w:rFonts w:ascii="Times New Roman" w:hAnsi="Times New Roman"/>
          <w:noProof/>
          <w:sz w:val="20"/>
          <w:szCs w:val="20"/>
          <w:lang w:bidi="ar-SA"/>
        </w:rPr>
      </w:pPr>
    </w:p>
    <w:sectPr w:rsidR="00E31A5C" w:rsidSect="00A92DA6">
      <w:headerReference w:type="even" r:id="rId15"/>
      <w:headerReference w:type="default" r:id="rId16"/>
      <w:footerReference w:type="even" r:id="rId17"/>
      <w:footerReference w:type="default" r:id="rId18"/>
      <w:pgSz w:w="12240" w:h="15840" w:code="1"/>
      <w:pgMar w:top="1800" w:right="1469" w:bottom="1699" w:left="1440" w:header="706" w:footer="706" w:gutter="0"/>
      <w:pgNumType w:start="5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92DA6">
          <w:rPr>
            <w:rFonts w:ascii="Times New Roman" w:hAnsi="Times New Roman"/>
            <w:noProof/>
          </w:rPr>
          <w:t>514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92DA6">
          <w:rPr>
            <w:rFonts w:ascii="Times New Roman" w:hAnsi="Times New Roman"/>
            <w:noProof/>
          </w:rPr>
          <w:t>521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A92DA6">
      <w:rPr>
        <w:rFonts w:ascii="Times New Roman" w:hAnsi="Times New Roman"/>
        <w:i/>
        <w:lang w:val="en-US"/>
      </w:rPr>
      <w:t>514</w:t>
    </w:r>
    <w:r w:rsidR="004B43FF">
      <w:rPr>
        <w:rFonts w:ascii="Times New Roman" w:hAnsi="Times New Roman"/>
        <w:i/>
        <w:lang w:val="en-US"/>
      </w:rPr>
      <w:t xml:space="preserve"> </w:t>
    </w:r>
    <w:r w:rsidR="00583C85">
      <w:rPr>
        <w:rFonts w:ascii="Times New Roman" w:hAnsi="Times New Roman"/>
        <w:i/>
        <w:lang w:val="en-US"/>
      </w:rPr>
      <w:t>-</w:t>
    </w:r>
    <w:r w:rsidR="00A92DA6">
      <w:rPr>
        <w:rFonts w:ascii="Times New Roman" w:hAnsi="Times New Roman"/>
        <w:i/>
        <w:lang w:val="en-US"/>
      </w:rPr>
      <w:t xml:space="preserve"> 521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A92DA6">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C9318D" w:rsidRDefault="00C9318D" w:rsidP="00C9318D">
    <w:pPr>
      <w:spacing w:after="0" w:line="240" w:lineRule="auto"/>
      <w:ind w:left="1260" w:hanging="1260"/>
      <w:rPr>
        <w:rFonts w:ascii="Times New Roman" w:hAnsi="Times New Roman"/>
        <w:sz w:val="20"/>
        <w:szCs w:val="28"/>
      </w:rPr>
    </w:pPr>
    <w:r>
      <w:rPr>
        <w:rFonts w:ascii="Times New Roman" w:hAnsi="Times New Roman"/>
        <w:sz w:val="20"/>
        <w:szCs w:val="20"/>
      </w:rPr>
      <w:t xml:space="preserve">Asmadi et al:  </w:t>
    </w:r>
    <w:r>
      <w:rPr>
        <w:rFonts w:ascii="Times New Roman" w:hAnsi="Times New Roman"/>
        <w:sz w:val="20"/>
        <w:szCs w:val="20"/>
      </w:rPr>
      <w:tab/>
    </w:r>
    <w:r w:rsidRPr="00C9318D">
      <w:rPr>
        <w:rFonts w:ascii="Times New Roman" w:hAnsi="Times New Roman"/>
        <w:sz w:val="20"/>
        <w:szCs w:val="20"/>
      </w:rPr>
      <w:t>PREPARATION, CHARACTERIZATION</w:t>
    </w:r>
    <w:r w:rsidRPr="009C561E">
      <w:rPr>
        <w:rFonts w:ascii="Times New Roman" w:hAnsi="Times New Roman"/>
        <w:sz w:val="28"/>
        <w:szCs w:val="28"/>
      </w:rPr>
      <w:t xml:space="preserve"> </w:t>
    </w:r>
    <w:r w:rsidRPr="00C9318D">
      <w:rPr>
        <w:rFonts w:ascii="Times New Roman" w:hAnsi="Times New Roman"/>
        <w:sz w:val="20"/>
        <w:szCs w:val="28"/>
      </w:rPr>
      <w:t>AND PERFORMANCE OF POLYVINYLIDENE FLUORIDE/TETRAOCTYL PHOSPHONIUM BROMIDE NANOCOMPOSITE ULTRAFILTRATION MEMBRANE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48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nsid w:val="1402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8E6FC8"/>
    <w:multiLevelType w:val="singleLevel"/>
    <w:tmpl w:val="0409000F"/>
    <w:lvl w:ilvl="0">
      <w:start w:val="1"/>
      <w:numFmt w:val="decimal"/>
      <w:lvlText w:val="%1."/>
      <w:lvlJc w:val="left"/>
      <w:pPr>
        <w:tabs>
          <w:tab w:val="num" w:pos="360"/>
        </w:tabs>
        <w:ind w:left="360" w:hanging="360"/>
      </w:pPr>
    </w:lvl>
  </w:abstractNum>
  <w:abstractNum w:abstractNumId="3">
    <w:nsid w:val="26037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2F09EE"/>
    <w:multiLevelType w:val="hybridMultilevel"/>
    <w:tmpl w:val="4C84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84783"/>
    <w:multiLevelType w:val="hybridMultilevel"/>
    <w:tmpl w:val="3D1C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B03B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D1B40CF"/>
    <w:multiLevelType w:val="hybridMultilevel"/>
    <w:tmpl w:val="F4341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AD1801"/>
    <w:multiLevelType w:val="singleLevel"/>
    <w:tmpl w:val="0409000F"/>
    <w:lvl w:ilvl="0">
      <w:start w:val="1"/>
      <w:numFmt w:val="decimal"/>
      <w:lvlText w:val="%1."/>
      <w:lvlJc w:val="left"/>
      <w:pPr>
        <w:tabs>
          <w:tab w:val="num" w:pos="360"/>
        </w:tabs>
        <w:ind w:left="360" w:hanging="360"/>
      </w:pPr>
    </w:lvl>
  </w:abstractNum>
  <w:abstractNum w:abstractNumId="11">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2">
    <w:nsid w:val="76903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1F7482"/>
    <w:multiLevelType w:val="singleLevel"/>
    <w:tmpl w:val="0409000F"/>
    <w:lvl w:ilvl="0">
      <w:start w:val="1"/>
      <w:numFmt w:val="decimal"/>
      <w:lvlText w:val="%1."/>
      <w:lvlJc w:val="left"/>
      <w:pPr>
        <w:tabs>
          <w:tab w:val="num" w:pos="360"/>
        </w:tabs>
        <w:ind w:left="36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0"/>
  </w:num>
  <w:num w:numId="5">
    <w:abstractNumId w:val="1"/>
  </w:num>
  <w:num w:numId="6">
    <w:abstractNumId w:val="8"/>
  </w:num>
  <w:num w:numId="7">
    <w:abstractNumId w:val="12"/>
  </w:num>
  <w:num w:numId="8">
    <w:abstractNumId w:val="3"/>
  </w:num>
  <w:num w:numId="9">
    <w:abstractNumId w:val="0"/>
  </w:num>
  <w:num w:numId="10">
    <w:abstractNumId w:val="2"/>
  </w:num>
  <w:num w:numId="11">
    <w:abstractNumId w:val="13"/>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324EC"/>
    <w:rsid w:val="00361BAF"/>
    <w:rsid w:val="00367D1F"/>
    <w:rsid w:val="0037234D"/>
    <w:rsid w:val="00373A9B"/>
    <w:rsid w:val="00383F26"/>
    <w:rsid w:val="003D585B"/>
    <w:rsid w:val="003E7DA6"/>
    <w:rsid w:val="003F12FF"/>
    <w:rsid w:val="004760D4"/>
    <w:rsid w:val="00494C46"/>
    <w:rsid w:val="004B02E3"/>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92DA6"/>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318D"/>
    <w:rsid w:val="00C94D92"/>
    <w:rsid w:val="00C97340"/>
    <w:rsid w:val="00CA513F"/>
    <w:rsid w:val="00CB36F1"/>
    <w:rsid w:val="00CF05FF"/>
    <w:rsid w:val="00D17644"/>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E6A37"/>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uthors0">
    <w:name w:val="authors"/>
    <w:basedOn w:val="Normal"/>
    <w:rsid w:val="003324EC"/>
    <w:pPr>
      <w:spacing w:after="240" w:line="240" w:lineRule="auto"/>
      <w:jc w:val="center"/>
    </w:pPr>
    <w:rPr>
      <w:rFonts w:ascii="Times New Roman" w:hAnsi="Times New Roman"/>
      <w:szCs w:val="20"/>
      <w:lang w:val="en-GB" w:eastAsia="fr-FR" w:bidi="ar-SA"/>
    </w:rPr>
  </w:style>
  <w:style w:type="paragraph" w:customStyle="1" w:styleId="address">
    <w:name w:val="address"/>
    <w:basedOn w:val="Normal"/>
    <w:rsid w:val="003324EC"/>
    <w:pPr>
      <w:spacing w:after="0" w:line="240" w:lineRule="auto"/>
      <w:jc w:val="center"/>
    </w:pPr>
    <w:rPr>
      <w:rFonts w:ascii="Times New Roman" w:hAnsi="Times New Roman"/>
      <w:i/>
      <w:sz w:val="20"/>
      <w:szCs w:val="20"/>
      <w:lang w:val="en-GB" w:eastAsia="fr-FR" w:bidi="ar-SA"/>
    </w:rPr>
  </w:style>
  <w:style w:type="paragraph" w:styleId="BodyText">
    <w:name w:val="Body Text"/>
    <w:basedOn w:val="Normal"/>
    <w:link w:val="BodyTextChar"/>
    <w:rsid w:val="003324EC"/>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24EC"/>
    <w:rPr>
      <w:rFonts w:ascii="Times New Roman" w:eastAsia="Times New Roman" w:hAnsi="Times New Roman"/>
      <w:sz w:val="22"/>
      <w:lang w:val="en-GB" w:eastAsia="fr-FR"/>
    </w:rPr>
  </w:style>
  <w:style w:type="paragraph" w:customStyle="1" w:styleId="tablehead">
    <w:name w:val="tablehead"/>
    <w:basedOn w:val="BodyText"/>
    <w:rsid w:val="003324EC"/>
    <w:pPr>
      <w:spacing w:before="240" w:after="60"/>
      <w:jc w:val="center"/>
    </w:pPr>
  </w:style>
  <w:style w:type="paragraph" w:customStyle="1" w:styleId="figcaps">
    <w:name w:val="figcaps"/>
    <w:basedOn w:val="BodyText"/>
    <w:rsid w:val="003324EC"/>
    <w:pPr>
      <w:spacing w:before="60" w:after="240"/>
      <w:jc w:val="center"/>
    </w:pPr>
  </w:style>
  <w:style w:type="paragraph" w:customStyle="1" w:styleId="reference">
    <w:name w:val="reference"/>
    <w:basedOn w:val="BodyText"/>
    <w:rsid w:val="003324EC"/>
    <w:pPr>
      <w:ind w:left="284" w:hanging="284"/>
    </w:pPr>
  </w:style>
  <w:style w:type="paragraph" w:styleId="BodyTextIndent">
    <w:name w:val="Body Text Indent"/>
    <w:basedOn w:val="Normal"/>
    <w:link w:val="BodyTextIndentChar"/>
    <w:rsid w:val="003324EC"/>
    <w:pPr>
      <w:spacing w:after="0" w:line="240" w:lineRule="auto"/>
      <w:ind w:left="720"/>
    </w:pPr>
    <w:rPr>
      <w:rFonts w:ascii="Times New Roman" w:hAnsi="Times New Roman"/>
      <w:szCs w:val="20"/>
      <w:lang w:eastAsia="fr-FR" w:bidi="ar-SA"/>
    </w:rPr>
  </w:style>
  <w:style w:type="character" w:customStyle="1" w:styleId="BodyTextIndentChar">
    <w:name w:val="Body Text Indent Char"/>
    <w:basedOn w:val="DefaultParagraphFont"/>
    <w:link w:val="BodyTextIndent"/>
    <w:rsid w:val="003324EC"/>
    <w:rPr>
      <w:rFonts w:ascii="Times New Roman" w:eastAsia="Times New Roman" w:hAnsi="Times New Roman"/>
      <w:sz w:val="22"/>
      <w:lang w:eastAsia="fr-FR"/>
    </w:rPr>
  </w:style>
  <w:style w:type="paragraph" w:styleId="BodyTextIndent2">
    <w:name w:val="Body Text Indent 2"/>
    <w:basedOn w:val="Normal"/>
    <w:link w:val="BodyTextIndent2Char"/>
    <w:rsid w:val="003324EC"/>
    <w:pPr>
      <w:spacing w:after="0" w:line="240" w:lineRule="auto"/>
      <w:ind w:left="810"/>
    </w:pPr>
    <w:rPr>
      <w:rFonts w:ascii="Times New Roman" w:hAnsi="Times New Roman"/>
      <w:szCs w:val="20"/>
      <w:lang w:eastAsia="fr-FR" w:bidi="ar-SA"/>
    </w:rPr>
  </w:style>
  <w:style w:type="character" w:customStyle="1" w:styleId="BodyTextIndent2Char">
    <w:name w:val="Body Text Indent 2 Char"/>
    <w:basedOn w:val="DefaultParagraphFont"/>
    <w:link w:val="BodyTextIndent2"/>
    <w:rsid w:val="003324EC"/>
    <w:rPr>
      <w:rFonts w:ascii="Times New Roman" w:eastAsia="Times New Roman" w:hAnsi="Times New Roman"/>
      <w:sz w:val="22"/>
      <w:lang w:eastAsia="fr-FR"/>
    </w:rPr>
  </w:style>
  <w:style w:type="character" w:styleId="FollowedHyperlink">
    <w:name w:val="FollowedHyperlink"/>
    <w:rsid w:val="003324EC"/>
    <w:rPr>
      <w:color w:val="800080"/>
      <w:u w:val="single"/>
    </w:rPr>
  </w:style>
  <w:style w:type="paragraph" w:customStyle="1" w:styleId="Heading">
    <w:name w:val="Heading"/>
    <w:basedOn w:val="Normal"/>
    <w:next w:val="Normal"/>
    <w:link w:val="HeadingCar"/>
    <w:rsid w:val="003324EC"/>
    <w:pPr>
      <w:tabs>
        <w:tab w:val="center" w:pos="3969"/>
        <w:tab w:val="right" w:pos="7938"/>
      </w:tabs>
      <w:spacing w:before="240" w:after="240" w:line="240" w:lineRule="auto"/>
      <w:ind w:firstLine="284"/>
      <w:jc w:val="both"/>
    </w:pPr>
    <w:rPr>
      <w:rFonts w:ascii="Times New Roman" w:hAnsi="Times New Roman"/>
      <w:b/>
      <w:szCs w:val="24"/>
      <w:lang w:val="en-GB" w:eastAsia="it-IT" w:bidi="ar-SA"/>
    </w:rPr>
  </w:style>
  <w:style w:type="character" w:customStyle="1" w:styleId="italic">
    <w:name w:val="italic"/>
    <w:rsid w:val="003324EC"/>
  </w:style>
  <w:style w:type="paragraph" w:customStyle="1" w:styleId="Default">
    <w:name w:val="Default"/>
    <w:rsid w:val="003324EC"/>
    <w:pPr>
      <w:autoSpaceDE w:val="0"/>
      <w:autoSpaceDN w:val="0"/>
      <w:adjustRightInd w:val="0"/>
    </w:pPr>
    <w:rPr>
      <w:rFonts w:ascii="Times New Roman" w:eastAsia="MS Mincho" w:hAnsi="Times New Roman"/>
      <w:color w:val="000000"/>
      <w:sz w:val="24"/>
      <w:szCs w:val="24"/>
      <w:lang w:val="fr-FR" w:eastAsia="ja-JP"/>
    </w:rPr>
  </w:style>
  <w:style w:type="character" w:styleId="CommentReference">
    <w:name w:val="annotation reference"/>
    <w:semiHidden/>
    <w:rsid w:val="003324EC"/>
    <w:rPr>
      <w:sz w:val="16"/>
      <w:szCs w:val="16"/>
    </w:rPr>
  </w:style>
  <w:style w:type="paragraph" w:styleId="CommentText">
    <w:name w:val="annotation text"/>
    <w:basedOn w:val="Normal"/>
    <w:link w:val="CommentTextChar"/>
    <w:semiHidden/>
    <w:rsid w:val="003324EC"/>
    <w:pPr>
      <w:spacing w:after="0" w:line="240" w:lineRule="auto"/>
    </w:pPr>
    <w:rPr>
      <w:rFonts w:ascii="Times New Roman" w:hAnsi="Times New Roman"/>
      <w:sz w:val="20"/>
      <w:szCs w:val="20"/>
      <w:lang w:val="en-GB" w:eastAsia="fr-FR" w:bidi="ar-SA"/>
    </w:rPr>
  </w:style>
  <w:style w:type="character" w:customStyle="1" w:styleId="CommentTextChar">
    <w:name w:val="Comment Text Char"/>
    <w:basedOn w:val="DefaultParagraphFont"/>
    <w:link w:val="CommentText"/>
    <w:semiHidden/>
    <w:rsid w:val="003324EC"/>
    <w:rPr>
      <w:rFonts w:ascii="Times New Roman" w:eastAsia="Times New Roman" w:hAnsi="Times New Roman"/>
      <w:lang w:val="en-GB" w:eastAsia="fr-FR"/>
    </w:rPr>
  </w:style>
  <w:style w:type="paragraph" w:styleId="CommentSubject">
    <w:name w:val="annotation subject"/>
    <w:basedOn w:val="CommentText"/>
    <w:next w:val="CommentText"/>
    <w:link w:val="CommentSubjectChar"/>
    <w:semiHidden/>
    <w:rsid w:val="003324EC"/>
    <w:rPr>
      <w:b/>
      <w:bCs/>
    </w:rPr>
  </w:style>
  <w:style w:type="character" w:customStyle="1" w:styleId="CommentSubjectChar">
    <w:name w:val="Comment Subject Char"/>
    <w:basedOn w:val="CommentTextChar"/>
    <w:link w:val="CommentSubject"/>
    <w:semiHidden/>
    <w:rsid w:val="003324EC"/>
    <w:rPr>
      <w:rFonts w:ascii="Times New Roman" w:eastAsia="Times New Roman" w:hAnsi="Times New Roman"/>
      <w:b/>
      <w:bCs/>
      <w:lang w:val="en-GB" w:eastAsia="fr-FR"/>
    </w:rPr>
  </w:style>
  <w:style w:type="paragraph" w:customStyle="1" w:styleId="StyleCorpsdetexte10pt">
    <w:name w:val="Style Corps de texte + 10 pt"/>
    <w:basedOn w:val="BodyText"/>
    <w:rsid w:val="003324EC"/>
    <w:pPr>
      <w:spacing w:after="120"/>
    </w:pPr>
    <w:rPr>
      <w:sz w:val="20"/>
    </w:rPr>
  </w:style>
  <w:style w:type="paragraph" w:customStyle="1" w:styleId="highlights">
    <w:name w:val="highlights"/>
    <w:basedOn w:val="BodyText"/>
    <w:link w:val="highlightsCar"/>
    <w:rsid w:val="003324EC"/>
    <w:pPr>
      <w:spacing w:before="720"/>
    </w:pPr>
  </w:style>
  <w:style w:type="character" w:customStyle="1" w:styleId="highlightsCar">
    <w:name w:val="highlights Car"/>
    <w:basedOn w:val="BodyTextChar"/>
    <w:link w:val="highlights"/>
    <w:rsid w:val="003324EC"/>
    <w:rPr>
      <w:rFonts w:ascii="Times New Roman" w:eastAsia="Times New Roman" w:hAnsi="Times New Roman"/>
      <w:sz w:val="22"/>
      <w:lang w:val="en-GB" w:eastAsia="fr-FR"/>
    </w:rPr>
  </w:style>
  <w:style w:type="paragraph" w:customStyle="1" w:styleId="StylehighlightsGras">
    <w:name w:val="Style highlights + Gras"/>
    <w:basedOn w:val="highlights"/>
    <w:link w:val="StylehighlightsGrasCar"/>
    <w:rsid w:val="003324EC"/>
    <w:rPr>
      <w:b/>
      <w:bCs/>
    </w:rPr>
  </w:style>
  <w:style w:type="character" w:customStyle="1" w:styleId="StylehighlightsGrasCar">
    <w:name w:val="Style highlights + Gras Car"/>
    <w:link w:val="StylehighlightsGras"/>
    <w:rsid w:val="003324EC"/>
    <w:rPr>
      <w:rFonts w:ascii="Times New Roman" w:eastAsia="Times New Roman" w:hAnsi="Times New Roman"/>
      <w:b/>
      <w:bCs/>
      <w:sz w:val="22"/>
      <w:lang w:val="en-GB" w:eastAsia="fr-FR"/>
    </w:rPr>
  </w:style>
  <w:style w:type="paragraph" w:customStyle="1" w:styleId="keywords">
    <w:name w:val="keywords"/>
    <w:basedOn w:val="Heading"/>
    <w:link w:val="keywordsCar"/>
    <w:rsid w:val="003324EC"/>
    <w:pPr>
      <w:spacing w:before="360" w:after="360"/>
      <w:ind w:right="720" w:firstLine="0"/>
      <w:jc w:val="left"/>
    </w:pPr>
    <w:rPr>
      <w:i/>
      <w:lang w:val="en-US"/>
    </w:rPr>
  </w:style>
  <w:style w:type="character" w:customStyle="1" w:styleId="HeadingCar">
    <w:name w:val="Heading Car"/>
    <w:link w:val="Heading"/>
    <w:rsid w:val="003324EC"/>
    <w:rPr>
      <w:rFonts w:ascii="Times New Roman" w:eastAsia="Times New Roman" w:hAnsi="Times New Roman"/>
      <w:b/>
      <w:sz w:val="22"/>
      <w:szCs w:val="24"/>
      <w:lang w:val="en-GB" w:eastAsia="it-IT"/>
    </w:rPr>
  </w:style>
  <w:style w:type="character" w:customStyle="1" w:styleId="keywordsCar">
    <w:name w:val="keywords Car"/>
    <w:link w:val="keywords"/>
    <w:rsid w:val="003324EC"/>
    <w:rPr>
      <w:rFonts w:ascii="Times New Roman" w:eastAsia="Times New Roman" w:hAnsi="Times New Roman"/>
      <w:b/>
      <w:i/>
      <w:sz w:val="22"/>
      <w:szCs w:val="24"/>
      <w:lang w:eastAsia="it-IT"/>
    </w:rPr>
  </w:style>
  <w:style w:type="paragraph" w:customStyle="1" w:styleId="BCAuthorAddress">
    <w:name w:val="BC_Author_Address"/>
    <w:basedOn w:val="Normal"/>
    <w:next w:val="Normal"/>
    <w:rsid w:val="003324EC"/>
    <w:pPr>
      <w:spacing w:before="80" w:after="0" w:line="200" w:lineRule="exact"/>
      <w:ind w:left="706" w:right="706"/>
      <w:jc w:val="center"/>
    </w:pPr>
    <w:rPr>
      <w:rFonts w:ascii="Times" w:hAnsi="Times"/>
      <w:i/>
      <w:sz w:val="18"/>
      <w:szCs w:val="20"/>
      <w:lang w:bidi="ar-SA"/>
    </w:rPr>
  </w:style>
  <w:style w:type="paragraph" w:customStyle="1" w:styleId="BIEmailAddress">
    <w:name w:val="BI_Email_Address"/>
    <w:next w:val="Normal"/>
    <w:rsid w:val="003324EC"/>
    <w:pPr>
      <w:spacing w:after="180" w:line="280" w:lineRule="exact"/>
      <w:jc w:val="center"/>
    </w:pPr>
    <w:rPr>
      <w:rFonts w:ascii="Helvetica" w:eastAsia="Times New Roman" w:hAnsi="Helvetica"/>
      <w:sz w:val="15"/>
    </w:rPr>
  </w:style>
  <w:style w:type="character" w:customStyle="1" w:styleId="apple-converted-space">
    <w:name w:val="apple-converted-space"/>
    <w:rsid w:val="003324EC"/>
  </w:style>
  <w:style w:type="table" w:styleId="TableGrid">
    <w:name w:val="Table Grid"/>
    <w:basedOn w:val="TableNormal"/>
    <w:uiPriority w:val="59"/>
    <w:rsid w:val="003324EC"/>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24EC"/>
    <w:pPr>
      <w:spacing w:before="100" w:beforeAutospacing="1" w:after="100" w:afterAutospacing="1" w:line="240" w:lineRule="auto"/>
    </w:pPr>
    <w:rPr>
      <w:rFonts w:ascii="Times New Roman" w:hAnsi="Times New Roman"/>
      <w:sz w:val="24"/>
      <w:szCs w:val="24"/>
      <w:lang w:bidi="ar-SA"/>
    </w:rPr>
  </w:style>
  <w:style w:type="character" w:customStyle="1" w:styleId="interref">
    <w:name w:val="interref"/>
    <w:basedOn w:val="DefaultParagraphFont"/>
    <w:rsid w:val="003324EC"/>
  </w:style>
  <w:style w:type="paragraph" w:styleId="Revision">
    <w:name w:val="Revision"/>
    <w:hidden/>
    <w:uiPriority w:val="99"/>
    <w:semiHidden/>
    <w:rsid w:val="003324EC"/>
    <w:rPr>
      <w:rFonts w:ascii="Times New Roman" w:eastAsia="Times New Roman" w:hAnsi="Times New Roman"/>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uthors0">
    <w:name w:val="authors"/>
    <w:basedOn w:val="Normal"/>
    <w:rsid w:val="003324EC"/>
    <w:pPr>
      <w:spacing w:after="240" w:line="240" w:lineRule="auto"/>
      <w:jc w:val="center"/>
    </w:pPr>
    <w:rPr>
      <w:rFonts w:ascii="Times New Roman" w:hAnsi="Times New Roman"/>
      <w:szCs w:val="20"/>
      <w:lang w:val="en-GB" w:eastAsia="fr-FR" w:bidi="ar-SA"/>
    </w:rPr>
  </w:style>
  <w:style w:type="paragraph" w:customStyle="1" w:styleId="address">
    <w:name w:val="address"/>
    <w:basedOn w:val="Normal"/>
    <w:rsid w:val="003324EC"/>
    <w:pPr>
      <w:spacing w:after="0" w:line="240" w:lineRule="auto"/>
      <w:jc w:val="center"/>
    </w:pPr>
    <w:rPr>
      <w:rFonts w:ascii="Times New Roman" w:hAnsi="Times New Roman"/>
      <w:i/>
      <w:sz w:val="20"/>
      <w:szCs w:val="20"/>
      <w:lang w:val="en-GB" w:eastAsia="fr-FR" w:bidi="ar-SA"/>
    </w:rPr>
  </w:style>
  <w:style w:type="paragraph" w:styleId="BodyText">
    <w:name w:val="Body Text"/>
    <w:basedOn w:val="Normal"/>
    <w:link w:val="BodyTextChar"/>
    <w:rsid w:val="003324EC"/>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24EC"/>
    <w:rPr>
      <w:rFonts w:ascii="Times New Roman" w:eastAsia="Times New Roman" w:hAnsi="Times New Roman"/>
      <w:sz w:val="22"/>
      <w:lang w:val="en-GB" w:eastAsia="fr-FR"/>
    </w:rPr>
  </w:style>
  <w:style w:type="paragraph" w:customStyle="1" w:styleId="tablehead">
    <w:name w:val="tablehead"/>
    <w:basedOn w:val="BodyText"/>
    <w:rsid w:val="003324EC"/>
    <w:pPr>
      <w:spacing w:before="240" w:after="60"/>
      <w:jc w:val="center"/>
    </w:pPr>
  </w:style>
  <w:style w:type="paragraph" w:customStyle="1" w:styleId="figcaps">
    <w:name w:val="figcaps"/>
    <w:basedOn w:val="BodyText"/>
    <w:rsid w:val="003324EC"/>
    <w:pPr>
      <w:spacing w:before="60" w:after="240"/>
      <w:jc w:val="center"/>
    </w:pPr>
  </w:style>
  <w:style w:type="paragraph" w:customStyle="1" w:styleId="reference">
    <w:name w:val="reference"/>
    <w:basedOn w:val="BodyText"/>
    <w:rsid w:val="003324EC"/>
    <w:pPr>
      <w:ind w:left="284" w:hanging="284"/>
    </w:pPr>
  </w:style>
  <w:style w:type="paragraph" w:styleId="BodyTextIndent">
    <w:name w:val="Body Text Indent"/>
    <w:basedOn w:val="Normal"/>
    <w:link w:val="BodyTextIndentChar"/>
    <w:rsid w:val="003324EC"/>
    <w:pPr>
      <w:spacing w:after="0" w:line="240" w:lineRule="auto"/>
      <w:ind w:left="720"/>
    </w:pPr>
    <w:rPr>
      <w:rFonts w:ascii="Times New Roman" w:hAnsi="Times New Roman"/>
      <w:szCs w:val="20"/>
      <w:lang w:eastAsia="fr-FR" w:bidi="ar-SA"/>
    </w:rPr>
  </w:style>
  <w:style w:type="character" w:customStyle="1" w:styleId="BodyTextIndentChar">
    <w:name w:val="Body Text Indent Char"/>
    <w:basedOn w:val="DefaultParagraphFont"/>
    <w:link w:val="BodyTextIndent"/>
    <w:rsid w:val="003324EC"/>
    <w:rPr>
      <w:rFonts w:ascii="Times New Roman" w:eastAsia="Times New Roman" w:hAnsi="Times New Roman"/>
      <w:sz w:val="22"/>
      <w:lang w:eastAsia="fr-FR"/>
    </w:rPr>
  </w:style>
  <w:style w:type="paragraph" w:styleId="BodyTextIndent2">
    <w:name w:val="Body Text Indent 2"/>
    <w:basedOn w:val="Normal"/>
    <w:link w:val="BodyTextIndent2Char"/>
    <w:rsid w:val="003324EC"/>
    <w:pPr>
      <w:spacing w:after="0" w:line="240" w:lineRule="auto"/>
      <w:ind w:left="810"/>
    </w:pPr>
    <w:rPr>
      <w:rFonts w:ascii="Times New Roman" w:hAnsi="Times New Roman"/>
      <w:szCs w:val="20"/>
      <w:lang w:eastAsia="fr-FR" w:bidi="ar-SA"/>
    </w:rPr>
  </w:style>
  <w:style w:type="character" w:customStyle="1" w:styleId="BodyTextIndent2Char">
    <w:name w:val="Body Text Indent 2 Char"/>
    <w:basedOn w:val="DefaultParagraphFont"/>
    <w:link w:val="BodyTextIndent2"/>
    <w:rsid w:val="003324EC"/>
    <w:rPr>
      <w:rFonts w:ascii="Times New Roman" w:eastAsia="Times New Roman" w:hAnsi="Times New Roman"/>
      <w:sz w:val="22"/>
      <w:lang w:eastAsia="fr-FR"/>
    </w:rPr>
  </w:style>
  <w:style w:type="character" w:styleId="FollowedHyperlink">
    <w:name w:val="FollowedHyperlink"/>
    <w:rsid w:val="003324EC"/>
    <w:rPr>
      <w:color w:val="800080"/>
      <w:u w:val="single"/>
    </w:rPr>
  </w:style>
  <w:style w:type="paragraph" w:customStyle="1" w:styleId="Heading">
    <w:name w:val="Heading"/>
    <w:basedOn w:val="Normal"/>
    <w:next w:val="Normal"/>
    <w:link w:val="HeadingCar"/>
    <w:rsid w:val="003324EC"/>
    <w:pPr>
      <w:tabs>
        <w:tab w:val="center" w:pos="3969"/>
        <w:tab w:val="right" w:pos="7938"/>
      </w:tabs>
      <w:spacing w:before="240" w:after="240" w:line="240" w:lineRule="auto"/>
      <w:ind w:firstLine="284"/>
      <w:jc w:val="both"/>
    </w:pPr>
    <w:rPr>
      <w:rFonts w:ascii="Times New Roman" w:hAnsi="Times New Roman"/>
      <w:b/>
      <w:szCs w:val="24"/>
      <w:lang w:val="en-GB" w:eastAsia="it-IT" w:bidi="ar-SA"/>
    </w:rPr>
  </w:style>
  <w:style w:type="character" w:customStyle="1" w:styleId="italic">
    <w:name w:val="italic"/>
    <w:rsid w:val="003324EC"/>
  </w:style>
  <w:style w:type="paragraph" w:customStyle="1" w:styleId="Default">
    <w:name w:val="Default"/>
    <w:rsid w:val="003324EC"/>
    <w:pPr>
      <w:autoSpaceDE w:val="0"/>
      <w:autoSpaceDN w:val="0"/>
      <w:adjustRightInd w:val="0"/>
    </w:pPr>
    <w:rPr>
      <w:rFonts w:ascii="Times New Roman" w:eastAsia="MS Mincho" w:hAnsi="Times New Roman"/>
      <w:color w:val="000000"/>
      <w:sz w:val="24"/>
      <w:szCs w:val="24"/>
      <w:lang w:val="fr-FR" w:eastAsia="ja-JP"/>
    </w:rPr>
  </w:style>
  <w:style w:type="character" w:styleId="CommentReference">
    <w:name w:val="annotation reference"/>
    <w:semiHidden/>
    <w:rsid w:val="003324EC"/>
    <w:rPr>
      <w:sz w:val="16"/>
      <w:szCs w:val="16"/>
    </w:rPr>
  </w:style>
  <w:style w:type="paragraph" w:styleId="CommentText">
    <w:name w:val="annotation text"/>
    <w:basedOn w:val="Normal"/>
    <w:link w:val="CommentTextChar"/>
    <w:semiHidden/>
    <w:rsid w:val="003324EC"/>
    <w:pPr>
      <w:spacing w:after="0" w:line="240" w:lineRule="auto"/>
    </w:pPr>
    <w:rPr>
      <w:rFonts w:ascii="Times New Roman" w:hAnsi="Times New Roman"/>
      <w:sz w:val="20"/>
      <w:szCs w:val="20"/>
      <w:lang w:val="en-GB" w:eastAsia="fr-FR" w:bidi="ar-SA"/>
    </w:rPr>
  </w:style>
  <w:style w:type="character" w:customStyle="1" w:styleId="CommentTextChar">
    <w:name w:val="Comment Text Char"/>
    <w:basedOn w:val="DefaultParagraphFont"/>
    <w:link w:val="CommentText"/>
    <w:semiHidden/>
    <w:rsid w:val="003324EC"/>
    <w:rPr>
      <w:rFonts w:ascii="Times New Roman" w:eastAsia="Times New Roman" w:hAnsi="Times New Roman"/>
      <w:lang w:val="en-GB" w:eastAsia="fr-FR"/>
    </w:rPr>
  </w:style>
  <w:style w:type="paragraph" w:styleId="CommentSubject">
    <w:name w:val="annotation subject"/>
    <w:basedOn w:val="CommentText"/>
    <w:next w:val="CommentText"/>
    <w:link w:val="CommentSubjectChar"/>
    <w:semiHidden/>
    <w:rsid w:val="003324EC"/>
    <w:rPr>
      <w:b/>
      <w:bCs/>
    </w:rPr>
  </w:style>
  <w:style w:type="character" w:customStyle="1" w:styleId="CommentSubjectChar">
    <w:name w:val="Comment Subject Char"/>
    <w:basedOn w:val="CommentTextChar"/>
    <w:link w:val="CommentSubject"/>
    <w:semiHidden/>
    <w:rsid w:val="003324EC"/>
    <w:rPr>
      <w:rFonts w:ascii="Times New Roman" w:eastAsia="Times New Roman" w:hAnsi="Times New Roman"/>
      <w:b/>
      <w:bCs/>
      <w:lang w:val="en-GB" w:eastAsia="fr-FR"/>
    </w:rPr>
  </w:style>
  <w:style w:type="paragraph" w:customStyle="1" w:styleId="StyleCorpsdetexte10pt">
    <w:name w:val="Style Corps de texte + 10 pt"/>
    <w:basedOn w:val="BodyText"/>
    <w:rsid w:val="003324EC"/>
    <w:pPr>
      <w:spacing w:after="120"/>
    </w:pPr>
    <w:rPr>
      <w:sz w:val="20"/>
    </w:rPr>
  </w:style>
  <w:style w:type="paragraph" w:customStyle="1" w:styleId="highlights">
    <w:name w:val="highlights"/>
    <w:basedOn w:val="BodyText"/>
    <w:link w:val="highlightsCar"/>
    <w:rsid w:val="003324EC"/>
    <w:pPr>
      <w:spacing w:before="720"/>
    </w:pPr>
  </w:style>
  <w:style w:type="character" w:customStyle="1" w:styleId="highlightsCar">
    <w:name w:val="highlights Car"/>
    <w:basedOn w:val="BodyTextChar"/>
    <w:link w:val="highlights"/>
    <w:rsid w:val="003324EC"/>
    <w:rPr>
      <w:rFonts w:ascii="Times New Roman" w:eastAsia="Times New Roman" w:hAnsi="Times New Roman"/>
      <w:sz w:val="22"/>
      <w:lang w:val="en-GB" w:eastAsia="fr-FR"/>
    </w:rPr>
  </w:style>
  <w:style w:type="paragraph" w:customStyle="1" w:styleId="StylehighlightsGras">
    <w:name w:val="Style highlights + Gras"/>
    <w:basedOn w:val="highlights"/>
    <w:link w:val="StylehighlightsGrasCar"/>
    <w:rsid w:val="003324EC"/>
    <w:rPr>
      <w:b/>
      <w:bCs/>
    </w:rPr>
  </w:style>
  <w:style w:type="character" w:customStyle="1" w:styleId="StylehighlightsGrasCar">
    <w:name w:val="Style highlights + Gras Car"/>
    <w:link w:val="StylehighlightsGras"/>
    <w:rsid w:val="003324EC"/>
    <w:rPr>
      <w:rFonts w:ascii="Times New Roman" w:eastAsia="Times New Roman" w:hAnsi="Times New Roman"/>
      <w:b/>
      <w:bCs/>
      <w:sz w:val="22"/>
      <w:lang w:val="en-GB" w:eastAsia="fr-FR"/>
    </w:rPr>
  </w:style>
  <w:style w:type="paragraph" w:customStyle="1" w:styleId="keywords">
    <w:name w:val="keywords"/>
    <w:basedOn w:val="Heading"/>
    <w:link w:val="keywordsCar"/>
    <w:rsid w:val="003324EC"/>
    <w:pPr>
      <w:spacing w:before="360" w:after="360"/>
      <w:ind w:right="720" w:firstLine="0"/>
      <w:jc w:val="left"/>
    </w:pPr>
    <w:rPr>
      <w:i/>
      <w:lang w:val="en-US"/>
    </w:rPr>
  </w:style>
  <w:style w:type="character" w:customStyle="1" w:styleId="HeadingCar">
    <w:name w:val="Heading Car"/>
    <w:link w:val="Heading"/>
    <w:rsid w:val="003324EC"/>
    <w:rPr>
      <w:rFonts w:ascii="Times New Roman" w:eastAsia="Times New Roman" w:hAnsi="Times New Roman"/>
      <w:b/>
      <w:sz w:val="22"/>
      <w:szCs w:val="24"/>
      <w:lang w:val="en-GB" w:eastAsia="it-IT"/>
    </w:rPr>
  </w:style>
  <w:style w:type="character" w:customStyle="1" w:styleId="keywordsCar">
    <w:name w:val="keywords Car"/>
    <w:link w:val="keywords"/>
    <w:rsid w:val="003324EC"/>
    <w:rPr>
      <w:rFonts w:ascii="Times New Roman" w:eastAsia="Times New Roman" w:hAnsi="Times New Roman"/>
      <w:b/>
      <w:i/>
      <w:sz w:val="22"/>
      <w:szCs w:val="24"/>
      <w:lang w:eastAsia="it-IT"/>
    </w:rPr>
  </w:style>
  <w:style w:type="paragraph" w:customStyle="1" w:styleId="BCAuthorAddress">
    <w:name w:val="BC_Author_Address"/>
    <w:basedOn w:val="Normal"/>
    <w:next w:val="Normal"/>
    <w:rsid w:val="003324EC"/>
    <w:pPr>
      <w:spacing w:before="80" w:after="0" w:line="200" w:lineRule="exact"/>
      <w:ind w:left="706" w:right="706"/>
      <w:jc w:val="center"/>
    </w:pPr>
    <w:rPr>
      <w:rFonts w:ascii="Times" w:hAnsi="Times"/>
      <w:i/>
      <w:sz w:val="18"/>
      <w:szCs w:val="20"/>
      <w:lang w:bidi="ar-SA"/>
    </w:rPr>
  </w:style>
  <w:style w:type="paragraph" w:customStyle="1" w:styleId="BIEmailAddress">
    <w:name w:val="BI_Email_Address"/>
    <w:next w:val="Normal"/>
    <w:rsid w:val="003324EC"/>
    <w:pPr>
      <w:spacing w:after="180" w:line="280" w:lineRule="exact"/>
      <w:jc w:val="center"/>
    </w:pPr>
    <w:rPr>
      <w:rFonts w:ascii="Helvetica" w:eastAsia="Times New Roman" w:hAnsi="Helvetica"/>
      <w:sz w:val="15"/>
    </w:rPr>
  </w:style>
  <w:style w:type="character" w:customStyle="1" w:styleId="apple-converted-space">
    <w:name w:val="apple-converted-space"/>
    <w:rsid w:val="003324EC"/>
  </w:style>
  <w:style w:type="table" w:styleId="TableGrid">
    <w:name w:val="Table Grid"/>
    <w:basedOn w:val="TableNormal"/>
    <w:uiPriority w:val="59"/>
    <w:rsid w:val="003324EC"/>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24EC"/>
    <w:pPr>
      <w:spacing w:before="100" w:beforeAutospacing="1" w:after="100" w:afterAutospacing="1" w:line="240" w:lineRule="auto"/>
    </w:pPr>
    <w:rPr>
      <w:rFonts w:ascii="Times New Roman" w:hAnsi="Times New Roman"/>
      <w:sz w:val="24"/>
      <w:szCs w:val="24"/>
      <w:lang w:bidi="ar-SA"/>
    </w:rPr>
  </w:style>
  <w:style w:type="character" w:customStyle="1" w:styleId="interref">
    <w:name w:val="interref"/>
    <w:basedOn w:val="DefaultParagraphFont"/>
    <w:rsid w:val="003324EC"/>
  </w:style>
  <w:style w:type="paragraph" w:styleId="Revision">
    <w:name w:val="Revision"/>
    <w:hidden/>
    <w:uiPriority w:val="99"/>
    <w:semiHidden/>
    <w:rsid w:val="003324EC"/>
    <w:rPr>
      <w:rFonts w:ascii="Times New Roman" w:eastAsia="Times New Roman" w:hAnsi="Times New Roman"/>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GSK%202272\result%20PVDF%20TOP%20Bromide\Water%20content,%20porosity%20TOP%20Bromid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GSK%202272\result%20PVDF%20TOP%20Bromide\PWP,%20rejection,%20fouling%20TOP%20Bromi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65103589854408"/>
          <c:y val="5.0925925925925923E-2"/>
          <c:w val="0.73341819507846895"/>
          <c:h val="0.74350320793234181"/>
        </c:manualLayout>
      </c:layout>
      <c:lineChart>
        <c:grouping val="standard"/>
        <c:varyColors val="0"/>
        <c:ser>
          <c:idx val="0"/>
          <c:order val="0"/>
          <c:tx>
            <c:strRef>
              <c:f>Sheet1!$E$22</c:f>
              <c:strCache>
                <c:ptCount val="1"/>
                <c:pt idx="0">
                  <c:v>water content </c:v>
                </c:pt>
              </c:strCache>
            </c:strRef>
          </c:tx>
          <c:spPr>
            <a:ln w="22225" cap="rnd">
              <a:solidFill>
                <a:srgbClr val="0046D2">
                  <a:alpha val="98000"/>
                </a:srgbClr>
              </a:solidFill>
              <a:round/>
            </a:ln>
            <a:effectLst/>
          </c:spPr>
          <c:marker>
            <c:symbol val="circle"/>
            <c:size val="7"/>
            <c:spPr>
              <a:noFill/>
              <a:ln w="15875">
                <a:solidFill>
                  <a:srgbClr val="0046D2"/>
                </a:solidFill>
              </a:ln>
              <a:effectLst/>
            </c:spPr>
          </c:marker>
          <c:cat>
            <c:numRef>
              <c:f>Sheet1!$B$23:$B$28</c:f>
              <c:numCache>
                <c:formatCode>General</c:formatCode>
                <c:ptCount val="6"/>
                <c:pt idx="0">
                  <c:v>0</c:v>
                </c:pt>
                <c:pt idx="1">
                  <c:v>0.2</c:v>
                </c:pt>
                <c:pt idx="2">
                  <c:v>0.4</c:v>
                </c:pt>
                <c:pt idx="3">
                  <c:v>0.6</c:v>
                </c:pt>
                <c:pt idx="4">
                  <c:v>0.8</c:v>
                </c:pt>
                <c:pt idx="5">
                  <c:v>1</c:v>
                </c:pt>
              </c:numCache>
            </c:numRef>
          </c:cat>
          <c:val>
            <c:numRef>
              <c:f>Sheet1!$E$23:$E$28</c:f>
              <c:numCache>
                <c:formatCode>0</c:formatCode>
                <c:ptCount val="6"/>
                <c:pt idx="0">
                  <c:v>63.186318631863195</c:v>
                </c:pt>
                <c:pt idx="1">
                  <c:v>68.44</c:v>
                </c:pt>
                <c:pt idx="2">
                  <c:v>73.8874586244943</c:v>
                </c:pt>
                <c:pt idx="3">
                  <c:v>77.339732601988359</c:v>
                </c:pt>
                <c:pt idx="4">
                  <c:v>83.786376718899888</c:v>
                </c:pt>
                <c:pt idx="5">
                  <c:v>85.381750465549359</c:v>
                </c:pt>
              </c:numCache>
            </c:numRef>
          </c:val>
          <c:smooth val="0"/>
          <c:extLst xmlns:c16r2="http://schemas.microsoft.com/office/drawing/2015/06/chart">
            <c:ext xmlns:c16="http://schemas.microsoft.com/office/drawing/2014/chart" uri="{C3380CC4-5D6E-409C-BE32-E72D297353CC}">
              <c16:uniqueId val="{00000000-0235-4E08-9BE1-21D751393EC2}"/>
            </c:ext>
          </c:extLst>
        </c:ser>
        <c:dLbls>
          <c:showLegendKey val="0"/>
          <c:showVal val="0"/>
          <c:showCatName val="0"/>
          <c:showSerName val="0"/>
          <c:showPercent val="0"/>
          <c:showBubbleSize val="0"/>
        </c:dLbls>
        <c:marker val="1"/>
        <c:smooth val="0"/>
        <c:axId val="49922816"/>
        <c:axId val="49925120"/>
      </c:lineChart>
      <c:lineChart>
        <c:grouping val="standard"/>
        <c:varyColors val="0"/>
        <c:ser>
          <c:idx val="1"/>
          <c:order val="1"/>
          <c:tx>
            <c:strRef>
              <c:f>Sheet1!$F$22</c:f>
              <c:strCache>
                <c:ptCount val="1"/>
                <c:pt idx="0">
                  <c:v>porosity </c:v>
                </c:pt>
              </c:strCache>
            </c:strRef>
          </c:tx>
          <c:spPr>
            <a:ln w="22225" cap="rnd">
              <a:solidFill>
                <a:srgbClr val="FF0000"/>
              </a:solidFill>
              <a:round/>
            </a:ln>
            <a:effectLst/>
          </c:spPr>
          <c:marker>
            <c:symbol val="square"/>
            <c:size val="6"/>
            <c:spPr>
              <a:noFill/>
              <a:ln w="15875">
                <a:solidFill>
                  <a:srgbClr val="FF0000"/>
                </a:solidFill>
              </a:ln>
              <a:effectLst/>
            </c:spPr>
          </c:marker>
          <c:cat>
            <c:numRef>
              <c:f>Sheet1!$B$23:$B$28</c:f>
              <c:numCache>
                <c:formatCode>General</c:formatCode>
                <c:ptCount val="6"/>
                <c:pt idx="0">
                  <c:v>0</c:v>
                </c:pt>
                <c:pt idx="1">
                  <c:v>0.2</c:v>
                </c:pt>
                <c:pt idx="2">
                  <c:v>0.4</c:v>
                </c:pt>
                <c:pt idx="3">
                  <c:v>0.6</c:v>
                </c:pt>
                <c:pt idx="4">
                  <c:v>0.8</c:v>
                </c:pt>
                <c:pt idx="5">
                  <c:v>1</c:v>
                </c:pt>
              </c:numCache>
            </c:numRef>
          </c:cat>
          <c:val>
            <c:numRef>
              <c:f>Sheet1!$F$23:$F$28</c:f>
              <c:numCache>
                <c:formatCode>0.00</c:formatCode>
                <c:ptCount val="6"/>
                <c:pt idx="0">
                  <c:v>9.6164383561643856</c:v>
                </c:pt>
                <c:pt idx="1">
                  <c:v>11.719178082191782</c:v>
                </c:pt>
                <c:pt idx="2">
                  <c:v>13.760273972602739</c:v>
                </c:pt>
                <c:pt idx="3">
                  <c:v>15.452054794520551</c:v>
                </c:pt>
                <c:pt idx="4">
                  <c:v>17.945205479452053</c:v>
                </c:pt>
                <c:pt idx="5">
                  <c:v>18.842465753424658</c:v>
                </c:pt>
              </c:numCache>
            </c:numRef>
          </c:val>
          <c:smooth val="0"/>
          <c:extLst xmlns:c16r2="http://schemas.microsoft.com/office/drawing/2015/06/chart">
            <c:ext xmlns:c16="http://schemas.microsoft.com/office/drawing/2014/chart" uri="{C3380CC4-5D6E-409C-BE32-E72D297353CC}">
              <c16:uniqueId val="{00000001-0235-4E08-9BE1-21D751393EC2}"/>
            </c:ext>
          </c:extLst>
        </c:ser>
        <c:dLbls>
          <c:showLegendKey val="0"/>
          <c:showVal val="0"/>
          <c:showCatName val="0"/>
          <c:showSerName val="0"/>
          <c:showPercent val="0"/>
          <c:showBubbleSize val="0"/>
        </c:dLbls>
        <c:marker val="1"/>
        <c:smooth val="0"/>
        <c:axId val="70458368"/>
        <c:axId val="70456448"/>
      </c:lineChart>
      <c:catAx>
        <c:axId val="4992281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 TOPBr composition </a:t>
                </a:r>
              </a:p>
            </c:rich>
          </c:tx>
          <c:layout/>
          <c:overlay val="0"/>
          <c:spPr>
            <a:noFill/>
            <a:ln>
              <a:noFill/>
            </a:ln>
            <a:effectLst/>
          </c:sp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25120"/>
        <c:crosses val="autoZero"/>
        <c:auto val="1"/>
        <c:lblAlgn val="ctr"/>
        <c:lblOffset val="100"/>
        <c:noMultiLvlLbl val="0"/>
      </c:catAx>
      <c:valAx>
        <c:axId val="49925120"/>
        <c:scaling>
          <c:orientation val="minMax"/>
          <c:max val="9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Water Content </a:t>
                </a:r>
              </a:p>
            </c:rich>
          </c:tx>
          <c:layout/>
          <c:overlay val="0"/>
          <c:spPr>
            <a:noFill/>
            <a:ln>
              <a:noFill/>
            </a:ln>
            <a:effectLst/>
          </c:spPr>
        </c:title>
        <c:numFmt formatCode="0"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922816"/>
        <c:crosses val="autoZero"/>
        <c:crossBetween val="between"/>
      </c:valAx>
      <c:valAx>
        <c:axId val="70456448"/>
        <c:scaling>
          <c:orientation val="minMax"/>
          <c:min val="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Porosity</a:t>
                </a:r>
              </a:p>
            </c:rich>
          </c:tx>
          <c:layout/>
          <c:overlay val="0"/>
          <c:spPr>
            <a:noFill/>
            <a:ln>
              <a:noFill/>
            </a:ln>
            <a:effectLst/>
          </c:spPr>
        </c:title>
        <c:numFmt formatCode="0_);[Red]\(0\)" sourceLinked="0"/>
        <c:majorTickMark val="out"/>
        <c:minorTickMark val="none"/>
        <c:tickLblPos val="nextTo"/>
        <c:spPr>
          <a:noFill/>
          <a:ln w="9525"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58368"/>
        <c:crosses val="max"/>
        <c:crossBetween val="between"/>
      </c:valAx>
      <c:catAx>
        <c:axId val="70458368"/>
        <c:scaling>
          <c:orientation val="minMax"/>
        </c:scaling>
        <c:delete val="1"/>
        <c:axPos val="b"/>
        <c:numFmt formatCode="General" sourceLinked="1"/>
        <c:majorTickMark val="out"/>
        <c:minorTickMark val="none"/>
        <c:tickLblPos val="nextTo"/>
        <c:crossAx val="70456448"/>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ayout>
        <c:manualLayout>
          <c:xMode val="edge"/>
          <c:yMode val="edge"/>
          <c:x val="0.58220734908136473"/>
          <c:y val="0.56539297171186931"/>
          <c:w val="0.25112598425196853"/>
          <c:h val="0.15625109361329836"/>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prstDash val="solid"/>
      <a:miter lim="800000"/>
    </a:ln>
    <a:effectLst>
      <a:outerShdw blurRad="50800" dist="50800" dir="5400000" algn="ctr" rotWithShape="0">
        <a:sysClr val="window" lastClr="FFFFFF"/>
      </a:outerShdw>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78018372703412"/>
          <c:y val="0.14090523840769903"/>
          <c:w val="0.57749111511604678"/>
          <c:h val="0.67145076917468649"/>
        </c:manualLayout>
      </c:layout>
      <c:scatterChart>
        <c:scatterStyle val="lineMarker"/>
        <c:varyColors val="0"/>
        <c:ser>
          <c:idx val="0"/>
          <c:order val="0"/>
          <c:tx>
            <c:strRef>
              <c:f>pwp!$C$3</c:f>
              <c:strCache>
                <c:ptCount val="1"/>
                <c:pt idx="0">
                  <c:v>PVDF</c:v>
                </c:pt>
              </c:strCache>
            </c:strRef>
          </c:tx>
          <c:spPr>
            <a:ln w="25400" cap="rnd">
              <a:noFill/>
              <a:round/>
            </a:ln>
            <a:effectLst/>
          </c:spPr>
          <c:marker>
            <c:symbol val="circle"/>
            <c:size val="5"/>
            <c:spPr>
              <a:noFill/>
              <a:ln w="15875">
                <a:solidFill>
                  <a:srgbClr val="FF0000"/>
                </a:solidFill>
              </a:ln>
              <a:effectLst/>
            </c:spPr>
          </c:marker>
          <c:trendline>
            <c:spPr>
              <a:ln w="22225" cap="rnd">
                <a:solidFill>
                  <a:srgbClr val="FF00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pwp!$C$4:$C$9</c:f>
              <c:numCache>
                <c:formatCode>0.000</c:formatCode>
                <c:ptCount val="6"/>
                <c:pt idx="0" formatCode="General">
                  <c:v>0</c:v>
                </c:pt>
                <c:pt idx="1">
                  <c:v>5.5913000000000004</c:v>
                </c:pt>
                <c:pt idx="2">
                  <c:v>8.4733999999999998</c:v>
                </c:pt>
                <c:pt idx="3">
                  <c:v>12.016299999999999</c:v>
                </c:pt>
                <c:pt idx="4">
                  <c:v>16.660499999999999</c:v>
                </c:pt>
                <c:pt idx="5">
                  <c:v>23.349900000000002</c:v>
                </c:pt>
              </c:numCache>
            </c:numRef>
          </c:yVal>
          <c:smooth val="0"/>
          <c:extLst xmlns:c16r2="http://schemas.microsoft.com/office/drawing/2015/06/chart">
            <c:ext xmlns:c16="http://schemas.microsoft.com/office/drawing/2014/chart" uri="{C3380CC4-5D6E-409C-BE32-E72D297353CC}">
              <c16:uniqueId val="{00000000-AD26-4A57-A59B-4B53EE142517}"/>
            </c:ext>
          </c:extLst>
        </c:ser>
        <c:ser>
          <c:idx val="1"/>
          <c:order val="1"/>
          <c:tx>
            <c:strRef>
              <c:f>pwp!$D$3</c:f>
              <c:strCache>
                <c:ptCount val="1"/>
                <c:pt idx="0">
                  <c:v>PVDF/TOPBr0.2</c:v>
                </c:pt>
              </c:strCache>
            </c:strRef>
          </c:tx>
          <c:spPr>
            <a:ln w="25400" cap="rnd">
              <a:noFill/>
              <a:round/>
            </a:ln>
            <a:effectLst/>
          </c:spPr>
          <c:marker>
            <c:symbol val="diamond"/>
            <c:size val="7"/>
            <c:spPr>
              <a:noFill/>
              <a:ln w="15875">
                <a:solidFill>
                  <a:schemeClr val="accent2"/>
                </a:solidFill>
              </a:ln>
              <a:effectLst/>
            </c:spPr>
          </c:marker>
          <c:trendline>
            <c:spPr>
              <a:ln w="22225" cap="rnd">
                <a:solidFill>
                  <a:schemeClr val="accent2"/>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pwp!$D$4:$D$9</c:f>
              <c:numCache>
                <c:formatCode>0.000</c:formatCode>
                <c:ptCount val="6"/>
                <c:pt idx="0" formatCode="General">
                  <c:v>0</c:v>
                </c:pt>
                <c:pt idx="1">
                  <c:v>7.0609999999999999</c:v>
                </c:pt>
                <c:pt idx="2">
                  <c:v>12.159000000000001</c:v>
                </c:pt>
                <c:pt idx="3">
                  <c:v>17.266999999999999</c:v>
                </c:pt>
                <c:pt idx="4">
                  <c:v>25.263999999999999</c:v>
                </c:pt>
                <c:pt idx="5">
                  <c:v>35.735999999999997</c:v>
                </c:pt>
              </c:numCache>
            </c:numRef>
          </c:yVal>
          <c:smooth val="0"/>
          <c:extLst xmlns:c16r2="http://schemas.microsoft.com/office/drawing/2015/06/chart">
            <c:ext xmlns:c16="http://schemas.microsoft.com/office/drawing/2014/chart" uri="{C3380CC4-5D6E-409C-BE32-E72D297353CC}">
              <c16:uniqueId val="{00000001-AD26-4A57-A59B-4B53EE142517}"/>
            </c:ext>
          </c:extLst>
        </c:ser>
        <c:ser>
          <c:idx val="2"/>
          <c:order val="2"/>
          <c:tx>
            <c:strRef>
              <c:f>pwp!$E$3</c:f>
              <c:strCache>
                <c:ptCount val="1"/>
                <c:pt idx="0">
                  <c:v>PVDF/TOPBr0.4</c:v>
                </c:pt>
              </c:strCache>
            </c:strRef>
          </c:tx>
          <c:spPr>
            <a:ln w="25400" cap="rnd">
              <a:noFill/>
              <a:round/>
            </a:ln>
            <a:effectLst/>
          </c:spPr>
          <c:marker>
            <c:symbol val="star"/>
            <c:size val="7"/>
            <c:spPr>
              <a:noFill/>
              <a:ln w="15875">
                <a:solidFill>
                  <a:srgbClr val="0000FF"/>
                </a:solidFill>
              </a:ln>
              <a:effectLst/>
            </c:spPr>
          </c:marker>
          <c:trendline>
            <c:spPr>
              <a:ln w="22225" cap="rnd">
                <a:solidFill>
                  <a:srgbClr val="0000FF"/>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pwp!$E$4:$E$9</c:f>
              <c:numCache>
                <c:formatCode>0.000</c:formatCode>
                <c:ptCount val="6"/>
                <c:pt idx="0" formatCode="General">
                  <c:v>0</c:v>
                </c:pt>
                <c:pt idx="1">
                  <c:v>11.332000000000001</c:v>
                </c:pt>
                <c:pt idx="2">
                  <c:v>16.888999999999999</c:v>
                </c:pt>
                <c:pt idx="3">
                  <c:v>24.268999999999998</c:v>
                </c:pt>
                <c:pt idx="4">
                  <c:v>31.693000000000001</c:v>
                </c:pt>
                <c:pt idx="5">
                  <c:v>40.158999999999999</c:v>
                </c:pt>
              </c:numCache>
            </c:numRef>
          </c:yVal>
          <c:smooth val="0"/>
          <c:extLst xmlns:c16r2="http://schemas.microsoft.com/office/drawing/2015/06/chart">
            <c:ext xmlns:c16="http://schemas.microsoft.com/office/drawing/2014/chart" uri="{C3380CC4-5D6E-409C-BE32-E72D297353CC}">
              <c16:uniqueId val="{00000002-AD26-4A57-A59B-4B53EE142517}"/>
            </c:ext>
          </c:extLst>
        </c:ser>
        <c:ser>
          <c:idx val="3"/>
          <c:order val="3"/>
          <c:tx>
            <c:strRef>
              <c:f>pwp!$F$3</c:f>
              <c:strCache>
                <c:ptCount val="1"/>
                <c:pt idx="0">
                  <c:v>PVDF/TOPBr0.6</c:v>
                </c:pt>
              </c:strCache>
            </c:strRef>
          </c:tx>
          <c:spPr>
            <a:ln w="25400" cap="rnd">
              <a:noFill/>
              <a:round/>
            </a:ln>
            <a:effectLst/>
          </c:spPr>
          <c:marker>
            <c:symbol val="triangle"/>
            <c:size val="7"/>
            <c:spPr>
              <a:noFill/>
              <a:ln w="15875">
                <a:solidFill>
                  <a:srgbClr val="00CC00"/>
                </a:solidFill>
              </a:ln>
              <a:effectLst/>
            </c:spPr>
          </c:marker>
          <c:trendline>
            <c:spPr>
              <a:ln w="22225" cap="rnd">
                <a:solidFill>
                  <a:srgbClr val="00CC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pwp!$F$4:$F$9</c:f>
              <c:numCache>
                <c:formatCode>0.000</c:formatCode>
                <c:ptCount val="6"/>
                <c:pt idx="0" formatCode="General">
                  <c:v>0</c:v>
                </c:pt>
                <c:pt idx="1">
                  <c:v>12.292</c:v>
                </c:pt>
                <c:pt idx="2">
                  <c:v>18.539000000000001</c:v>
                </c:pt>
                <c:pt idx="3">
                  <c:v>28.539000000000001</c:v>
                </c:pt>
                <c:pt idx="4">
                  <c:v>34.631</c:v>
                </c:pt>
                <c:pt idx="5">
                  <c:v>42.808</c:v>
                </c:pt>
              </c:numCache>
            </c:numRef>
          </c:yVal>
          <c:smooth val="0"/>
          <c:extLst xmlns:c16r2="http://schemas.microsoft.com/office/drawing/2015/06/chart">
            <c:ext xmlns:c16="http://schemas.microsoft.com/office/drawing/2014/chart" uri="{C3380CC4-5D6E-409C-BE32-E72D297353CC}">
              <c16:uniqueId val="{00000003-AD26-4A57-A59B-4B53EE142517}"/>
            </c:ext>
          </c:extLst>
        </c:ser>
        <c:ser>
          <c:idx val="4"/>
          <c:order val="4"/>
          <c:tx>
            <c:strRef>
              <c:f>pwp!$G$3</c:f>
              <c:strCache>
                <c:ptCount val="1"/>
                <c:pt idx="0">
                  <c:v>PVDF/TOPBr0.8</c:v>
                </c:pt>
              </c:strCache>
            </c:strRef>
          </c:tx>
          <c:spPr>
            <a:ln w="25400" cap="rnd">
              <a:noFill/>
              <a:round/>
            </a:ln>
            <a:effectLst/>
          </c:spPr>
          <c:marker>
            <c:symbol val="square"/>
            <c:size val="5"/>
            <c:spPr>
              <a:noFill/>
              <a:ln w="15875">
                <a:solidFill>
                  <a:srgbClr val="990099"/>
                </a:solidFill>
              </a:ln>
              <a:effectLst/>
            </c:spPr>
          </c:marker>
          <c:trendline>
            <c:spPr>
              <a:ln w="22225" cap="rnd">
                <a:solidFill>
                  <a:srgbClr val="990099"/>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pwp!$G$4:$G$9</c:f>
              <c:numCache>
                <c:formatCode>0.000</c:formatCode>
                <c:ptCount val="6"/>
                <c:pt idx="0" formatCode="General">
                  <c:v>0</c:v>
                </c:pt>
                <c:pt idx="1">
                  <c:v>12.366</c:v>
                </c:pt>
                <c:pt idx="2">
                  <c:v>20.686</c:v>
                </c:pt>
                <c:pt idx="3">
                  <c:v>28.277000000000001</c:v>
                </c:pt>
                <c:pt idx="4">
                  <c:v>38.892000000000003</c:v>
                </c:pt>
                <c:pt idx="5">
                  <c:v>49.713000000000001</c:v>
                </c:pt>
              </c:numCache>
            </c:numRef>
          </c:yVal>
          <c:smooth val="0"/>
          <c:extLst xmlns:c16r2="http://schemas.microsoft.com/office/drawing/2015/06/chart">
            <c:ext xmlns:c16="http://schemas.microsoft.com/office/drawing/2014/chart" uri="{C3380CC4-5D6E-409C-BE32-E72D297353CC}">
              <c16:uniqueId val="{00000004-AD26-4A57-A59B-4B53EE142517}"/>
            </c:ext>
          </c:extLst>
        </c:ser>
        <c:ser>
          <c:idx val="5"/>
          <c:order val="5"/>
          <c:tx>
            <c:strRef>
              <c:f>pwp!$H$3</c:f>
              <c:strCache>
                <c:ptCount val="1"/>
                <c:pt idx="0">
                  <c:v>PVDF/TOPBr1.0</c:v>
                </c:pt>
              </c:strCache>
            </c:strRef>
          </c:tx>
          <c:spPr>
            <a:ln w="25400" cap="rnd">
              <a:noFill/>
              <a:round/>
            </a:ln>
            <a:effectLst/>
          </c:spPr>
          <c:marker>
            <c:symbol val="plus"/>
            <c:size val="7"/>
            <c:spPr>
              <a:noFill/>
              <a:ln w="15875">
                <a:solidFill>
                  <a:srgbClr val="FFC000"/>
                </a:solidFill>
              </a:ln>
              <a:effectLst/>
            </c:spPr>
          </c:marker>
          <c:trendline>
            <c:spPr>
              <a:ln w="22225" cap="rnd">
                <a:solidFill>
                  <a:srgbClr val="FFC0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pwp!$H$4:$H$9</c:f>
              <c:numCache>
                <c:formatCode>0.000</c:formatCode>
                <c:ptCount val="6"/>
                <c:pt idx="0" formatCode="General">
                  <c:v>0</c:v>
                </c:pt>
                <c:pt idx="1">
                  <c:v>16.158000000000001</c:v>
                </c:pt>
                <c:pt idx="2">
                  <c:v>26.231000000000002</c:v>
                </c:pt>
                <c:pt idx="3">
                  <c:v>35.326000000000001</c:v>
                </c:pt>
                <c:pt idx="4">
                  <c:v>44.508000000000003</c:v>
                </c:pt>
                <c:pt idx="5">
                  <c:v>56.04</c:v>
                </c:pt>
              </c:numCache>
            </c:numRef>
          </c:yVal>
          <c:smooth val="0"/>
          <c:extLst xmlns:c16r2="http://schemas.microsoft.com/office/drawing/2015/06/chart">
            <c:ext xmlns:c16="http://schemas.microsoft.com/office/drawing/2014/chart" uri="{C3380CC4-5D6E-409C-BE32-E72D297353CC}">
              <c16:uniqueId val="{00000005-AD26-4A57-A59B-4B53EE142517}"/>
            </c:ext>
          </c:extLst>
        </c:ser>
        <c:dLbls>
          <c:showLegendKey val="0"/>
          <c:showVal val="0"/>
          <c:showCatName val="0"/>
          <c:showSerName val="0"/>
          <c:showPercent val="0"/>
          <c:showBubbleSize val="0"/>
        </c:dLbls>
        <c:axId val="76891264"/>
        <c:axId val="76893184"/>
      </c:scatterChart>
      <c:valAx>
        <c:axId val="76891264"/>
        <c:scaling>
          <c:orientation val="minMax"/>
          <c:max val="5"/>
        </c:scaling>
        <c:delete val="0"/>
        <c:axPos val="b"/>
        <c:title>
          <c:tx>
            <c:rich>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r>
                  <a:rPr lang="en-US" sz="900" baseline="0">
                    <a:ln>
                      <a:noFill/>
                    </a:ln>
                    <a:solidFill>
                      <a:sysClr val="windowText" lastClr="000000"/>
                    </a:solidFill>
                    <a:latin typeface="Times New Roman" panose="02020603050405020304" pitchFamily="18" charset="0"/>
                  </a:rPr>
                  <a:t>Pressure (bar)</a:t>
                </a:r>
              </a:p>
            </c:rich>
          </c:tx>
          <c:layout>
            <c:manualLayout>
              <c:xMode val="edge"/>
              <c:yMode val="edge"/>
              <c:x val="0.3226898512685914"/>
              <c:y val="0.88366404199475068"/>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893184"/>
        <c:crosses val="autoZero"/>
        <c:crossBetween val="midCat"/>
        <c:majorUnit val="1"/>
      </c:valAx>
      <c:valAx>
        <c:axId val="7689318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latin typeface="Times New Roman" panose="02020603050405020304" pitchFamily="18" charset="0"/>
                    <a:cs typeface="Times New Roman" panose="02020603050405020304" pitchFamily="18" charset="0"/>
                  </a:rPr>
                  <a:t>Pure water flux (L/m².h)</a:t>
                </a:r>
              </a:p>
            </c:rich>
          </c:tx>
          <c:layout>
            <c:manualLayout>
              <c:xMode val="edge"/>
              <c:yMode val="edge"/>
              <c:x val="1.0629702537182853E-2"/>
              <c:y val="0.150834791484397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89126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71019341497841071"/>
          <c:y val="6.1963673811606869E-2"/>
          <c:w val="0.26229604279671337"/>
          <c:h val="0.675136245990084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2614279738916"/>
          <c:y val="9.2359361880772456E-2"/>
          <c:w val="0.74126629972296154"/>
          <c:h val="0.67105786839617343"/>
        </c:manualLayout>
      </c:layout>
      <c:scatterChart>
        <c:scatterStyle val="lineMarker"/>
        <c:varyColors val="0"/>
        <c:ser>
          <c:idx val="0"/>
          <c:order val="0"/>
          <c:tx>
            <c:v>Pemeate flux</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'C:\Users\Shalihan\thesis master\result2\[protein rejection.xlsx]Sheet1'!$A$12:$A$17</c:f>
              <c:numCache>
                <c:formatCode>General</c:formatCode>
                <c:ptCount val="6"/>
                <c:pt idx="0">
                  <c:v>0</c:v>
                </c:pt>
                <c:pt idx="1">
                  <c:v>0.2</c:v>
                </c:pt>
                <c:pt idx="2">
                  <c:v>0.4</c:v>
                </c:pt>
                <c:pt idx="3">
                  <c:v>0.6</c:v>
                </c:pt>
                <c:pt idx="4">
                  <c:v>0.8</c:v>
                </c:pt>
                <c:pt idx="5">
                  <c:v>1</c:v>
                </c:pt>
              </c:numCache>
            </c:numRef>
          </c:xVal>
          <c:yVal>
            <c:numRef>
              <c:f>Sheet1!$C$2:$C$7</c:f>
              <c:numCache>
                <c:formatCode>General</c:formatCode>
                <c:ptCount val="6"/>
                <c:pt idx="0">
                  <c:v>2.0611999999999999</c:v>
                </c:pt>
                <c:pt idx="1">
                  <c:v>4.1096000000000004</c:v>
                </c:pt>
                <c:pt idx="2">
                  <c:v>5.8708</c:v>
                </c:pt>
                <c:pt idx="3">
                  <c:v>7.5019999999999998</c:v>
                </c:pt>
                <c:pt idx="4">
                  <c:v>12.6449</c:v>
                </c:pt>
                <c:pt idx="5">
                  <c:v>20.224399999999999</c:v>
                </c:pt>
              </c:numCache>
            </c:numRef>
          </c:yVal>
          <c:smooth val="0"/>
          <c:extLst xmlns:c16r2="http://schemas.microsoft.com/office/drawing/2015/06/chart">
            <c:ext xmlns:c16="http://schemas.microsoft.com/office/drawing/2014/chart" uri="{C3380CC4-5D6E-409C-BE32-E72D297353CC}">
              <c16:uniqueId val="{00000000-CF71-4BD0-AD61-6EB26F4B6EE5}"/>
            </c:ext>
          </c:extLst>
        </c:ser>
        <c:dLbls>
          <c:showLegendKey val="0"/>
          <c:showVal val="0"/>
          <c:showCatName val="0"/>
          <c:showSerName val="0"/>
          <c:showPercent val="0"/>
          <c:showBubbleSize val="0"/>
        </c:dLbls>
        <c:axId val="76944896"/>
        <c:axId val="76951552"/>
      </c:scatterChart>
      <c:scatterChart>
        <c:scatterStyle val="lineMarker"/>
        <c:varyColors val="0"/>
        <c:ser>
          <c:idx val="1"/>
          <c:order val="1"/>
          <c:tx>
            <c:v>Rejection</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'C:\Users\Shalihan\thesis master\result2\[protein rejection.xlsx]Sheet1'!$A$12:$A$17</c:f>
              <c:numCache>
                <c:formatCode>General</c:formatCode>
                <c:ptCount val="6"/>
                <c:pt idx="0">
                  <c:v>0</c:v>
                </c:pt>
                <c:pt idx="1">
                  <c:v>0.2</c:v>
                </c:pt>
                <c:pt idx="2">
                  <c:v>0.4</c:v>
                </c:pt>
                <c:pt idx="3">
                  <c:v>0.6</c:v>
                </c:pt>
                <c:pt idx="4">
                  <c:v>0.8</c:v>
                </c:pt>
                <c:pt idx="5">
                  <c:v>1</c:v>
                </c:pt>
              </c:numCache>
            </c:numRef>
          </c:xVal>
          <c:yVal>
            <c:numRef>
              <c:f>Sheet1!$B$2:$B$7</c:f>
              <c:numCache>
                <c:formatCode>General</c:formatCode>
                <c:ptCount val="6"/>
                <c:pt idx="0">
                  <c:v>85.852699999999999</c:v>
                </c:pt>
                <c:pt idx="1">
                  <c:v>83.139499999999998</c:v>
                </c:pt>
                <c:pt idx="2">
                  <c:v>87.403099999999995</c:v>
                </c:pt>
                <c:pt idx="3">
                  <c:v>85.273099999999999</c:v>
                </c:pt>
                <c:pt idx="4">
                  <c:v>87.790700000000001</c:v>
                </c:pt>
                <c:pt idx="5">
                  <c:v>87.984499999999997</c:v>
                </c:pt>
              </c:numCache>
            </c:numRef>
          </c:yVal>
          <c:smooth val="0"/>
          <c:extLst xmlns:c16r2="http://schemas.microsoft.com/office/drawing/2015/06/chart">
            <c:ext xmlns:c16="http://schemas.microsoft.com/office/drawing/2014/chart" uri="{C3380CC4-5D6E-409C-BE32-E72D297353CC}">
              <c16:uniqueId val="{00000001-CF71-4BD0-AD61-6EB26F4B6EE5}"/>
            </c:ext>
          </c:extLst>
        </c:ser>
        <c:dLbls>
          <c:showLegendKey val="0"/>
          <c:showVal val="0"/>
          <c:showCatName val="0"/>
          <c:showSerName val="0"/>
          <c:showPercent val="0"/>
          <c:showBubbleSize val="0"/>
        </c:dLbls>
        <c:axId val="76955648"/>
        <c:axId val="76953472"/>
      </c:scatterChart>
      <c:valAx>
        <c:axId val="76944896"/>
        <c:scaling>
          <c:orientation val="minMax"/>
          <c:max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(%)TOPBr composition </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951552"/>
        <c:crosses val="autoZero"/>
        <c:crossBetween val="midCat"/>
      </c:valAx>
      <c:valAx>
        <c:axId val="7695155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Flux (L/m².hr)</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944896"/>
        <c:crosses val="autoZero"/>
        <c:crossBetween val="midCat"/>
        <c:majorUnit val="4"/>
        <c:minorUnit val="1"/>
      </c:valAx>
      <c:valAx>
        <c:axId val="76953472"/>
        <c:scaling>
          <c:orientation val="minMax"/>
          <c:min val="0"/>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Rejection(%)</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955648"/>
        <c:crosses val="max"/>
        <c:crossBetween val="midCat"/>
        <c:majorUnit val="20"/>
      </c:valAx>
      <c:valAx>
        <c:axId val="76955648"/>
        <c:scaling>
          <c:orientation val="minMax"/>
        </c:scaling>
        <c:delete val="1"/>
        <c:axPos val="b"/>
        <c:numFmt formatCode="General" sourceLinked="1"/>
        <c:majorTickMark val="out"/>
        <c:minorTickMark val="none"/>
        <c:tickLblPos val="nextTo"/>
        <c:crossAx val="76953472"/>
        <c:crosses val="autoZero"/>
        <c:crossBetween val="midCat"/>
      </c:valAx>
      <c:spPr>
        <a:noFill/>
        <a:ln>
          <a:noFill/>
        </a:ln>
        <a:effectLst/>
      </c:spPr>
    </c:plotArea>
    <c:legend>
      <c:legendPos val="b"/>
      <c:layout>
        <c:manualLayout>
          <c:xMode val="edge"/>
          <c:yMode val="edge"/>
          <c:x val="0.14821134823328141"/>
          <c:y val="0.31103865923009621"/>
          <c:w val="0.32644163212189004"/>
          <c:h val="0.190762613006707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fouling!$E$2</c:f>
              <c:strCache>
                <c:ptCount val="1"/>
                <c:pt idx="0">
                  <c:v>FRR %</c:v>
                </c:pt>
              </c:strCache>
            </c:strRef>
          </c:tx>
          <c:spPr>
            <a:pattFill prst="pct25">
              <a:fgClr>
                <a:srgbClr val="FF0000"/>
              </a:fgClr>
              <a:bgClr>
                <a:schemeClr val="bg1"/>
              </a:bgClr>
            </a:pattFill>
            <a:ln w="12700">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fouling!$E$3:$E$8</c:f>
              <c:numCache>
                <c:formatCode>0</c:formatCode>
                <c:ptCount val="6"/>
                <c:pt idx="0">
                  <c:v>37.5</c:v>
                </c:pt>
                <c:pt idx="1">
                  <c:v>60.465116279069761</c:v>
                </c:pt>
                <c:pt idx="2">
                  <c:v>64.705882352941174</c:v>
                </c:pt>
                <c:pt idx="3">
                  <c:v>60.526315789473685</c:v>
                </c:pt>
                <c:pt idx="4">
                  <c:v>88.172043010752688</c:v>
                </c:pt>
                <c:pt idx="5">
                  <c:v>93.055555555555571</c:v>
                </c:pt>
              </c:numCache>
            </c:numRef>
          </c:val>
          <c:extLst xmlns:c16r2="http://schemas.microsoft.com/office/drawing/2015/06/chart">
            <c:ext xmlns:c16="http://schemas.microsoft.com/office/drawing/2014/chart" uri="{C3380CC4-5D6E-409C-BE32-E72D297353CC}">
              <c16:uniqueId val="{00000000-F9C6-422D-A5FE-EA1DFA430925}"/>
            </c:ext>
          </c:extLst>
        </c:ser>
        <c:ser>
          <c:idx val="1"/>
          <c:order val="1"/>
          <c:tx>
            <c:strRef>
              <c:f>fouling!$F$2</c:f>
              <c:strCache>
                <c:ptCount val="1"/>
                <c:pt idx="0">
                  <c:v>RRF %</c:v>
                </c:pt>
              </c:strCache>
            </c:strRef>
          </c:tx>
          <c:spPr>
            <a:pattFill prst="diagBrick">
              <a:fgClr>
                <a:srgbClr val="0000FF"/>
              </a:fgClr>
              <a:bgClr>
                <a:schemeClr val="bg1"/>
              </a:bgClr>
            </a:pattFill>
            <a:ln w="12700">
              <a:solidFill>
                <a:srgbClr val="0000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fouling!$F$3:$F$8</c:f>
              <c:numCache>
                <c:formatCode>0</c:formatCode>
                <c:ptCount val="6"/>
                <c:pt idx="0">
                  <c:v>33.44</c:v>
                </c:pt>
                <c:pt idx="1">
                  <c:v>52.403100775193799</c:v>
                </c:pt>
                <c:pt idx="2">
                  <c:v>54.771241830065364</c:v>
                </c:pt>
                <c:pt idx="3">
                  <c:v>49.824561403508767</c:v>
                </c:pt>
                <c:pt idx="4">
                  <c:v>68.100358422939067</c:v>
                </c:pt>
                <c:pt idx="5">
                  <c:v>77.037037037037052</c:v>
                </c:pt>
              </c:numCache>
            </c:numRef>
          </c:val>
          <c:extLst xmlns:c16r2="http://schemas.microsoft.com/office/drawing/2015/06/chart">
            <c:ext xmlns:c16="http://schemas.microsoft.com/office/drawing/2014/chart" uri="{C3380CC4-5D6E-409C-BE32-E72D297353CC}">
              <c16:uniqueId val="{00000001-F9C6-422D-A5FE-EA1DFA430925}"/>
            </c:ext>
          </c:extLst>
        </c:ser>
        <c:ser>
          <c:idx val="2"/>
          <c:order val="2"/>
          <c:tx>
            <c:strRef>
              <c:f>fouling!$G$2</c:f>
              <c:strCache>
                <c:ptCount val="1"/>
                <c:pt idx="0">
                  <c:v>RIFR %</c:v>
                </c:pt>
              </c:strCache>
            </c:strRef>
          </c:tx>
          <c:spPr>
            <a:pattFill prst="dkHorz">
              <a:fgClr>
                <a:srgbClr val="00B050"/>
              </a:fgClr>
              <a:bgClr>
                <a:schemeClr val="bg1"/>
              </a:bgClr>
            </a:pattFill>
            <a:ln w="127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fouling!$G$3:$G$8</c:f>
              <c:numCache>
                <c:formatCode>0</c:formatCode>
                <c:ptCount val="6"/>
                <c:pt idx="0">
                  <c:v>62.5</c:v>
                </c:pt>
                <c:pt idx="1">
                  <c:v>39.534883720930239</c:v>
                </c:pt>
                <c:pt idx="2">
                  <c:v>35.294117647058826</c:v>
                </c:pt>
                <c:pt idx="3">
                  <c:v>39.473684210526315</c:v>
                </c:pt>
                <c:pt idx="4">
                  <c:v>11.82795698924731</c:v>
                </c:pt>
                <c:pt idx="5">
                  <c:v>6.9444444444444349</c:v>
                </c:pt>
              </c:numCache>
            </c:numRef>
          </c:val>
          <c:extLst xmlns:c16r2="http://schemas.microsoft.com/office/drawing/2015/06/chart">
            <c:ext xmlns:c16="http://schemas.microsoft.com/office/drawing/2014/chart" uri="{C3380CC4-5D6E-409C-BE32-E72D297353CC}">
              <c16:uniqueId val="{00000002-F9C6-422D-A5FE-EA1DFA430925}"/>
            </c:ext>
          </c:extLst>
        </c:ser>
        <c:dLbls>
          <c:showLegendKey val="0"/>
          <c:showVal val="0"/>
          <c:showCatName val="0"/>
          <c:showSerName val="0"/>
          <c:showPercent val="0"/>
          <c:showBubbleSize val="0"/>
        </c:dLbls>
        <c:gapWidth val="150"/>
        <c:axId val="76987776"/>
        <c:axId val="77002240"/>
      </c:barChart>
      <c:catAx>
        <c:axId val="769877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(%)TOPBr composition</a:t>
                </a:r>
              </a:p>
            </c:rich>
          </c:tx>
          <c:layout/>
          <c:overlay val="0"/>
          <c:spPr>
            <a:noFill/>
            <a:ln>
              <a:noFill/>
            </a:ln>
            <a:effectLst/>
          </c:spPr>
        </c:title>
        <c:numFmt formatCode="General"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002240"/>
        <c:crosses val="autoZero"/>
        <c:auto val="1"/>
        <c:lblAlgn val="ctr"/>
        <c:lblOffset val="100"/>
        <c:noMultiLvlLbl val="0"/>
      </c:catAx>
      <c:valAx>
        <c:axId val="770022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FRR,</a:t>
                </a:r>
                <a:r>
                  <a:rPr lang="en-US" sz="900" baseline="0"/>
                  <a:t> RFF and RIFR (%)</a:t>
                </a:r>
                <a:endParaRPr lang="en-US" sz="900"/>
              </a:p>
            </c:rich>
          </c:tx>
          <c:layout/>
          <c:overlay val="0"/>
          <c:spPr>
            <a:noFill/>
            <a:ln>
              <a:noFill/>
            </a:ln>
            <a:effectLst/>
          </c:spPr>
        </c:title>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987776"/>
        <c:crosses val="autoZero"/>
        <c:crossBetween val="between"/>
      </c:valAx>
      <c:spPr>
        <a:noFill/>
        <a:ln>
          <a:noFill/>
        </a:ln>
        <a:effectLst/>
      </c:spPr>
    </c:plotArea>
    <c:legend>
      <c:legendPos val="r"/>
      <c:layout>
        <c:manualLayout>
          <c:xMode val="edge"/>
          <c:yMode val="edge"/>
          <c:x val="0.86521484342759047"/>
          <c:y val="0.28835165135608049"/>
          <c:w val="0.12179818914145166"/>
          <c:h val="0.284860746573344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CAFD3-8689-4E12-8CF5-73AC5C75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8</cp:revision>
  <dcterms:created xsi:type="dcterms:W3CDTF">2018-06-16T01:31:00Z</dcterms:created>
  <dcterms:modified xsi:type="dcterms:W3CDTF">2018-06-16T06:48:00Z</dcterms:modified>
</cp:coreProperties>
</file>