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94C17" w:rsidRDefault="00D94C17" w:rsidP="00D94C17">
      <w:pPr>
        <w:spacing w:after="0" w:line="240" w:lineRule="auto"/>
        <w:jc w:val="center"/>
        <w:rPr>
          <w:rFonts w:ascii="Times New Roman" w:hAnsi="Times New Roman"/>
          <w:sz w:val="28"/>
          <w:szCs w:val="24"/>
        </w:rPr>
      </w:pPr>
      <w:r w:rsidRPr="007032F0">
        <w:rPr>
          <w:rFonts w:ascii="Times New Roman" w:hAnsi="Times New Roman"/>
          <w:sz w:val="28"/>
          <w:szCs w:val="24"/>
        </w:rPr>
        <w:t>APPLICATION OF PROTEOLYTIC ENZYME IN HIGH AMMONIATED NATURAL RUBBER LATEX</w:t>
      </w:r>
    </w:p>
    <w:p w:rsidR="00D94C17" w:rsidRPr="00D94C17" w:rsidRDefault="00D94C17" w:rsidP="00D94C17">
      <w:pPr>
        <w:spacing w:after="0" w:line="240" w:lineRule="auto"/>
        <w:jc w:val="center"/>
        <w:rPr>
          <w:rFonts w:ascii="Times New Roman" w:hAnsi="Times New Roman"/>
          <w:sz w:val="24"/>
          <w:szCs w:val="24"/>
        </w:rPr>
      </w:pPr>
    </w:p>
    <w:p w:rsidR="00D94C17" w:rsidRDefault="00D94C17" w:rsidP="00D94C17">
      <w:pPr>
        <w:spacing w:after="0" w:line="240" w:lineRule="auto"/>
        <w:jc w:val="center"/>
        <w:outlineLvl w:val="0"/>
        <w:rPr>
          <w:rFonts w:ascii="Times New Roman" w:hAnsi="Times New Roman"/>
          <w:sz w:val="24"/>
        </w:rPr>
      </w:pPr>
      <w:r>
        <w:rPr>
          <w:rFonts w:ascii="Times New Roman" w:hAnsi="Times New Roman"/>
          <w:sz w:val="24"/>
        </w:rPr>
        <w:t>(Aplikasi Enzim Proteolitik dalam Lateks Getah Asli Berammonia Tinggi)</w:t>
      </w:r>
    </w:p>
    <w:p w:rsidR="00D94C17" w:rsidRPr="00D94C17" w:rsidRDefault="00D94C17" w:rsidP="00D94C17">
      <w:pPr>
        <w:spacing w:after="0" w:line="240" w:lineRule="auto"/>
        <w:jc w:val="center"/>
        <w:outlineLvl w:val="0"/>
        <w:rPr>
          <w:rFonts w:ascii="Times New Roman" w:hAnsi="Times New Roman"/>
          <w:sz w:val="20"/>
          <w:szCs w:val="20"/>
        </w:rPr>
      </w:pPr>
    </w:p>
    <w:p w:rsidR="00D94C17" w:rsidRPr="00001D81" w:rsidRDefault="00D94C17" w:rsidP="00D94C17">
      <w:pPr>
        <w:spacing w:after="0" w:line="240" w:lineRule="auto"/>
        <w:jc w:val="center"/>
        <w:outlineLvl w:val="0"/>
        <w:rPr>
          <w:rFonts w:ascii="Times New Roman" w:hAnsi="Times New Roman"/>
          <w:b/>
          <w:color w:val="548DD4" w:themeColor="text2" w:themeTint="99"/>
          <w:sz w:val="24"/>
        </w:rPr>
      </w:pPr>
      <w:r w:rsidRPr="007032F0">
        <w:rPr>
          <w:rFonts w:ascii="Times New Roman" w:hAnsi="Times New Roman"/>
          <w:sz w:val="20"/>
          <w:szCs w:val="24"/>
        </w:rPr>
        <w:t>Aziana Abu Hassan</w:t>
      </w:r>
      <w:r w:rsidRPr="007032F0">
        <w:rPr>
          <w:rFonts w:ascii="Times New Roman" w:hAnsi="Times New Roman"/>
          <w:sz w:val="20"/>
          <w:szCs w:val="24"/>
          <w:vertAlign w:val="superscript"/>
        </w:rPr>
        <w:t>1</w:t>
      </w:r>
      <w:r w:rsidRPr="00D94C17">
        <w:rPr>
          <w:rFonts w:ascii="Times New Roman" w:hAnsi="Times New Roman"/>
          <w:sz w:val="20"/>
          <w:szCs w:val="24"/>
        </w:rPr>
        <w:t>*</w:t>
      </w:r>
      <w:r w:rsidRPr="007032F0">
        <w:rPr>
          <w:rFonts w:ascii="Times New Roman" w:hAnsi="Times New Roman"/>
          <w:sz w:val="20"/>
          <w:szCs w:val="24"/>
        </w:rPr>
        <w:t>,</w:t>
      </w:r>
      <w:r w:rsidRPr="00371890">
        <w:rPr>
          <w:rFonts w:ascii="Times New Roman" w:hAnsi="Times New Roman"/>
          <w:sz w:val="20"/>
          <w:szCs w:val="24"/>
        </w:rPr>
        <w:t xml:space="preserve"> Norazreen Abd Rahman</w:t>
      </w:r>
      <w:r w:rsidRPr="00371890">
        <w:rPr>
          <w:rFonts w:ascii="Times New Roman" w:hAnsi="Times New Roman"/>
          <w:sz w:val="20"/>
          <w:szCs w:val="24"/>
          <w:vertAlign w:val="superscript"/>
        </w:rPr>
        <w:t>2</w:t>
      </w:r>
      <w:r w:rsidRPr="00371890">
        <w:rPr>
          <w:rFonts w:ascii="Times New Roman" w:hAnsi="Times New Roman"/>
          <w:sz w:val="20"/>
          <w:szCs w:val="24"/>
        </w:rPr>
        <w:t>, Nurulhuda Abdullah</w:t>
      </w:r>
      <w:r w:rsidRPr="00371890">
        <w:rPr>
          <w:rFonts w:ascii="Times New Roman" w:hAnsi="Times New Roman"/>
          <w:sz w:val="20"/>
          <w:szCs w:val="24"/>
          <w:vertAlign w:val="superscript"/>
        </w:rPr>
        <w:t>1</w:t>
      </w:r>
      <w:r w:rsidRPr="00371890">
        <w:rPr>
          <w:rFonts w:ascii="Times New Roman" w:hAnsi="Times New Roman"/>
          <w:sz w:val="20"/>
          <w:szCs w:val="24"/>
        </w:rPr>
        <w:t>,</w:t>
      </w:r>
      <w:r w:rsidRPr="00371890">
        <w:rPr>
          <w:rFonts w:ascii="Times New Roman" w:hAnsi="Times New Roman"/>
          <w:sz w:val="20"/>
          <w:szCs w:val="24"/>
          <w:vertAlign w:val="superscript"/>
        </w:rPr>
        <w:t xml:space="preserve"> </w:t>
      </w:r>
      <w:r w:rsidRPr="00371890">
        <w:rPr>
          <w:rFonts w:ascii="Times New Roman" w:hAnsi="Times New Roman"/>
          <w:sz w:val="20"/>
          <w:szCs w:val="24"/>
        </w:rPr>
        <w:t>Roslinda Sajari</w:t>
      </w:r>
      <w:r w:rsidRPr="00371890">
        <w:rPr>
          <w:rFonts w:ascii="Times New Roman" w:hAnsi="Times New Roman"/>
          <w:sz w:val="20"/>
          <w:szCs w:val="24"/>
          <w:vertAlign w:val="superscript"/>
        </w:rPr>
        <w:t>3</w:t>
      </w:r>
      <w:r>
        <w:rPr>
          <w:rFonts w:ascii="Times New Roman" w:hAnsi="Times New Roman"/>
          <w:sz w:val="20"/>
          <w:szCs w:val="24"/>
        </w:rPr>
        <w:t xml:space="preserve">, </w:t>
      </w:r>
      <w:r w:rsidRPr="00371890">
        <w:rPr>
          <w:rFonts w:ascii="Times New Roman" w:hAnsi="Times New Roman"/>
          <w:sz w:val="20"/>
          <w:szCs w:val="24"/>
        </w:rPr>
        <w:t>Mok Kok Lang</w:t>
      </w:r>
      <w:r w:rsidRPr="00371890">
        <w:rPr>
          <w:rFonts w:ascii="Times New Roman" w:hAnsi="Times New Roman"/>
          <w:sz w:val="20"/>
          <w:szCs w:val="24"/>
          <w:vertAlign w:val="superscript"/>
        </w:rPr>
        <w:t>1</w:t>
      </w:r>
      <w:r w:rsidRPr="00371890">
        <w:rPr>
          <w:rFonts w:ascii="Times New Roman" w:hAnsi="Times New Roman"/>
          <w:sz w:val="20"/>
          <w:szCs w:val="24"/>
        </w:rPr>
        <w:t xml:space="preserve"> </w:t>
      </w:r>
    </w:p>
    <w:p w:rsidR="00D94C17" w:rsidRPr="00D94C17" w:rsidRDefault="00D94C17" w:rsidP="00D94C17">
      <w:pPr>
        <w:spacing w:after="0" w:line="240" w:lineRule="auto"/>
        <w:jc w:val="center"/>
        <w:outlineLvl w:val="0"/>
        <w:rPr>
          <w:rFonts w:ascii="Times New Roman" w:hAnsi="Times New Roman"/>
          <w:b/>
          <w:color w:val="FF0000"/>
          <w:sz w:val="18"/>
          <w:szCs w:val="18"/>
        </w:rPr>
      </w:pPr>
    </w:p>
    <w:p w:rsidR="00D94C17" w:rsidRPr="00995D76" w:rsidRDefault="00D94C17" w:rsidP="00D94C17">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1</w:t>
      </w:r>
      <w:r w:rsidRPr="007032F0">
        <w:rPr>
          <w:rFonts w:ascii="Times New Roman" w:hAnsi="Times New Roman"/>
          <w:i/>
          <w:sz w:val="18"/>
          <w:szCs w:val="18"/>
        </w:rPr>
        <w:t>Techn</w:t>
      </w:r>
      <w:r>
        <w:rPr>
          <w:rFonts w:ascii="Times New Roman" w:hAnsi="Times New Roman"/>
          <w:i/>
          <w:sz w:val="18"/>
          <w:szCs w:val="18"/>
        </w:rPr>
        <w:t>ology and Engineering Division</w:t>
      </w:r>
    </w:p>
    <w:p w:rsidR="00D94C17" w:rsidRPr="00995D76" w:rsidRDefault="00D94C17" w:rsidP="00D94C17">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2</w:t>
      </w:r>
      <w:r w:rsidRPr="007032F0">
        <w:rPr>
          <w:rFonts w:ascii="Times New Roman" w:hAnsi="Times New Roman"/>
          <w:i/>
          <w:sz w:val="18"/>
          <w:szCs w:val="18"/>
        </w:rPr>
        <w:t>P</w:t>
      </w:r>
      <w:r>
        <w:rPr>
          <w:rFonts w:ascii="Times New Roman" w:hAnsi="Times New Roman"/>
          <w:i/>
          <w:sz w:val="18"/>
          <w:szCs w:val="18"/>
        </w:rPr>
        <w:t>roduction Development Division</w:t>
      </w:r>
    </w:p>
    <w:p w:rsidR="00D94C17" w:rsidRDefault="00D94C17" w:rsidP="00D94C17">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3</w:t>
      </w:r>
      <w:r w:rsidRPr="007032F0">
        <w:rPr>
          <w:rFonts w:ascii="Times New Roman" w:hAnsi="Times New Roman"/>
          <w:i/>
          <w:sz w:val="18"/>
          <w:szCs w:val="18"/>
        </w:rPr>
        <w:t>Geno</w:t>
      </w:r>
      <w:r>
        <w:rPr>
          <w:rFonts w:ascii="Times New Roman" w:hAnsi="Times New Roman"/>
          <w:i/>
          <w:sz w:val="18"/>
          <w:szCs w:val="18"/>
        </w:rPr>
        <w:t>mics and Bioinformatics Centre</w:t>
      </w:r>
    </w:p>
    <w:p w:rsidR="00D94C17" w:rsidRDefault="00D94C17" w:rsidP="00D94C17">
      <w:pPr>
        <w:spacing w:after="0" w:line="240" w:lineRule="auto"/>
        <w:jc w:val="center"/>
        <w:rPr>
          <w:rFonts w:ascii="Times New Roman" w:hAnsi="Times New Roman"/>
          <w:i/>
          <w:sz w:val="18"/>
          <w:szCs w:val="18"/>
        </w:rPr>
      </w:pPr>
      <w:r>
        <w:rPr>
          <w:rFonts w:ascii="Times New Roman" w:hAnsi="Times New Roman"/>
          <w:i/>
          <w:sz w:val="18"/>
          <w:szCs w:val="18"/>
        </w:rPr>
        <w:t>Malaysian Rubber Board, 47000</w:t>
      </w:r>
      <w:r w:rsidRPr="007032F0">
        <w:rPr>
          <w:rFonts w:ascii="Times New Roman" w:hAnsi="Times New Roman"/>
          <w:i/>
          <w:sz w:val="18"/>
          <w:szCs w:val="18"/>
        </w:rPr>
        <w:t xml:space="preserve"> Sg. Buloh, Selangor, Malaysia</w:t>
      </w:r>
    </w:p>
    <w:p w:rsidR="00D94C17" w:rsidRDefault="00D94C17" w:rsidP="00D94C17">
      <w:pPr>
        <w:spacing w:after="0" w:line="240" w:lineRule="auto"/>
        <w:jc w:val="center"/>
        <w:rPr>
          <w:rFonts w:ascii="Times New Roman" w:hAnsi="Times New Roman"/>
          <w:i/>
          <w:sz w:val="18"/>
          <w:szCs w:val="18"/>
        </w:rPr>
      </w:pPr>
    </w:p>
    <w:p w:rsidR="00D94C17" w:rsidRDefault="00D94C17" w:rsidP="00D94C17">
      <w:pPr>
        <w:spacing w:after="0" w:line="240" w:lineRule="auto"/>
        <w:jc w:val="center"/>
        <w:outlineLvl w:val="0"/>
        <w:rPr>
          <w:rFonts w:ascii="Times New Roman" w:hAnsi="Times New Roman"/>
          <w:i/>
          <w:color w:val="548DD4" w:themeColor="text2" w:themeTint="99"/>
          <w:sz w:val="18"/>
        </w:rPr>
      </w:pPr>
      <w:r w:rsidRPr="00D94C17">
        <w:rPr>
          <w:rFonts w:ascii="Times New Roman" w:hAnsi="Times New Roman"/>
          <w:i/>
          <w:sz w:val="18"/>
        </w:rPr>
        <w:t>*</w:t>
      </w:r>
      <w:r w:rsidRPr="00747021">
        <w:rPr>
          <w:rFonts w:ascii="Times New Roman" w:hAnsi="Times New Roman"/>
          <w:i/>
          <w:sz w:val="18"/>
        </w:rPr>
        <w:t xml:space="preserve">Corresponding author: </w:t>
      </w:r>
      <w:r>
        <w:rPr>
          <w:rFonts w:ascii="Times New Roman" w:hAnsi="Times New Roman"/>
          <w:i/>
          <w:sz w:val="18"/>
        </w:rPr>
        <w:t xml:space="preserve"> </w:t>
      </w:r>
      <w:r w:rsidRPr="00995D76">
        <w:rPr>
          <w:rFonts w:ascii="Times New Roman" w:hAnsi="Times New Roman"/>
          <w:i/>
          <w:sz w:val="18"/>
          <w:szCs w:val="18"/>
        </w:rPr>
        <w:t>aziana@lgm.gov.my</w:t>
      </w:r>
      <w:r w:rsidRPr="00747021">
        <w:rPr>
          <w:rFonts w:ascii="Times New Roman" w:hAnsi="Times New Roman"/>
          <w:i/>
          <w:color w:val="548DD4" w:themeColor="text2" w:themeTint="99"/>
          <w:sz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27549">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C27549">
        <w:rPr>
          <w:rFonts w:ascii="Times New Roman" w:hAnsi="Times New Roman"/>
          <w:noProof/>
          <w:sz w:val="18"/>
          <w:szCs w:val="18"/>
          <w:lang w:bidi="ar-SA"/>
        </w:rPr>
        <w:t>1 December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94C17" w:rsidRPr="00EE6104" w:rsidRDefault="00D94C17" w:rsidP="00D94C17">
      <w:pPr>
        <w:spacing w:after="0" w:line="240" w:lineRule="auto"/>
        <w:ind w:right="27"/>
        <w:jc w:val="both"/>
        <w:rPr>
          <w:rFonts w:ascii="Times New Roman" w:hAnsi="Times New Roman"/>
          <w:sz w:val="18"/>
          <w:szCs w:val="18"/>
          <w:lang w:eastAsia="en-MY"/>
        </w:rPr>
      </w:pPr>
      <w:r w:rsidRPr="00EE6104">
        <w:rPr>
          <w:rFonts w:ascii="Times New Roman" w:hAnsi="Times New Roman"/>
          <w:sz w:val="18"/>
          <w:szCs w:val="18"/>
        </w:rPr>
        <w:t xml:space="preserve">Natural rubber latex (NRL) </w:t>
      </w:r>
      <w:r w:rsidRPr="00EE6104">
        <w:rPr>
          <w:rFonts w:ascii="Times New Roman" w:hAnsi="Times New Roman"/>
          <w:sz w:val="18"/>
          <w:szCs w:val="18"/>
          <w:lang w:eastAsia="en-MY"/>
        </w:rPr>
        <w:t xml:space="preserve">with ‘low protein content’ is regarded as alternative raw material for less allergenic latex. However, these ‘low protein latexes’ have been reported to give uncertain and at times poorer mechanical properties in which could be due to its method of preparation. Therefore this study was conducted to strengthen the fundamental approach of making ‘low protein latex’ via enzymatic treatment. Proteolytic enzymes were employed to digest the proteins and inactivate some of the proteins function. The aim was to study the effect of enzymatic treatment towards the nitrogen content in </w:t>
      </w:r>
      <w:r w:rsidRPr="00EE6104">
        <w:rPr>
          <w:rFonts w:ascii="Times New Roman" w:hAnsi="Times New Roman"/>
          <w:sz w:val="18"/>
          <w:szCs w:val="18"/>
        </w:rPr>
        <w:t xml:space="preserve">NRL </w:t>
      </w:r>
      <w:r w:rsidRPr="00EE6104">
        <w:rPr>
          <w:rFonts w:ascii="Times New Roman" w:hAnsi="Times New Roman"/>
          <w:sz w:val="18"/>
          <w:szCs w:val="18"/>
          <w:lang w:eastAsia="en-MY"/>
        </w:rPr>
        <w:t xml:space="preserve">that is mainly contributed by the presence of proteins. </w:t>
      </w:r>
      <w:r w:rsidRPr="00EE6104">
        <w:rPr>
          <w:rFonts w:ascii="Times New Roman" w:hAnsi="Times New Roman"/>
          <w:iCs/>
          <w:sz w:val="18"/>
          <w:szCs w:val="18"/>
          <w:lang w:eastAsia="en-MY"/>
        </w:rPr>
        <w:t>Impact on the mechanical properties due to changes in the native proteins was also evaluated.</w:t>
      </w:r>
      <w:r w:rsidRPr="00EE6104">
        <w:rPr>
          <w:rFonts w:ascii="Times New Roman" w:hAnsi="Times New Roman"/>
          <w:sz w:val="18"/>
          <w:szCs w:val="18"/>
          <w:lang w:eastAsia="en-MY"/>
        </w:rPr>
        <w:t xml:space="preserve"> Results show that proteolytic enzyme at low concentration effectively hydrolysed the protein molecules. However, nitrogen content in NRL serum was simultaneously increased with increasing enzyme concentration.  This could be due to the tendency of enzyme to form new peptides bonds known also as aminolysis</w:t>
      </w:r>
      <w:r w:rsidRPr="00EE6104">
        <w:rPr>
          <w:rFonts w:ascii="Times New Roman" w:hAnsi="Times New Roman"/>
          <w:sz w:val="18"/>
          <w:szCs w:val="18"/>
        </w:rPr>
        <w:t xml:space="preserve">. </w:t>
      </w:r>
      <w:r w:rsidRPr="00EE6104">
        <w:rPr>
          <w:rFonts w:ascii="Times New Roman" w:hAnsi="Times New Roman"/>
          <w:sz w:val="18"/>
          <w:szCs w:val="18"/>
          <w:lang w:eastAsia="en-MY"/>
        </w:rPr>
        <w:t>Interestingly, the amount of allergenic proteins was observed to decrease proportionally with the upsurge of enzyme concentration, suggesting deactivation of allergenicity by the enzyme. These preliminary results indicate a potential approach to produce low allergenic risk NRL products.</w:t>
      </w:r>
    </w:p>
    <w:p w:rsidR="00D94C17" w:rsidRPr="00EE6104" w:rsidRDefault="00D94C17" w:rsidP="00D94C17">
      <w:pPr>
        <w:spacing w:after="0" w:line="240" w:lineRule="auto"/>
        <w:ind w:right="27"/>
        <w:jc w:val="both"/>
        <w:rPr>
          <w:rFonts w:ascii="Times New Roman" w:hAnsi="Times New Roman"/>
          <w:sz w:val="18"/>
          <w:szCs w:val="18"/>
          <w:lang w:eastAsia="en-MY"/>
        </w:rPr>
      </w:pPr>
    </w:p>
    <w:p w:rsidR="00D94C17" w:rsidRDefault="00D94C17" w:rsidP="00D94C17">
      <w:pPr>
        <w:pStyle w:val="Abstract"/>
        <w:spacing w:before="0"/>
        <w:ind w:left="0" w:right="27"/>
        <w:rPr>
          <w:rFonts w:cs="Times New Roman"/>
          <w:szCs w:val="18"/>
        </w:rPr>
      </w:pPr>
      <w:r w:rsidRPr="00EE6104">
        <w:rPr>
          <w:rFonts w:cs="Times New Roman"/>
          <w:b/>
          <w:szCs w:val="18"/>
        </w:rPr>
        <w:t>Keywords</w:t>
      </w:r>
      <w:r w:rsidRPr="00EE6104">
        <w:rPr>
          <w:rFonts w:cs="Times New Roman"/>
          <w:szCs w:val="18"/>
        </w:rPr>
        <w:t xml:space="preserve">: </w:t>
      </w:r>
      <w:r>
        <w:rPr>
          <w:rFonts w:cs="Times New Roman"/>
          <w:szCs w:val="18"/>
        </w:rPr>
        <w:t xml:space="preserve"> </w:t>
      </w:r>
      <w:r w:rsidRPr="00EE6104">
        <w:rPr>
          <w:rFonts w:cs="Times New Roman"/>
          <w:szCs w:val="18"/>
        </w:rPr>
        <w:t>low protein latex, proteolytic enzyme, protein allergy, mechanical properties</w:t>
      </w:r>
    </w:p>
    <w:p w:rsidR="00D94C17" w:rsidRDefault="00D94C17" w:rsidP="00D94C17">
      <w:pPr>
        <w:pStyle w:val="Abstract"/>
        <w:spacing w:before="0"/>
        <w:ind w:left="0" w:right="27"/>
        <w:jc w:val="center"/>
        <w:rPr>
          <w:rFonts w:cs="Times New Roman"/>
          <w:szCs w:val="18"/>
        </w:rPr>
      </w:pPr>
    </w:p>
    <w:p w:rsidR="00D94C17" w:rsidRPr="00BB6D19" w:rsidRDefault="00D94C17" w:rsidP="00D94C17">
      <w:pPr>
        <w:pStyle w:val="Abstract"/>
        <w:spacing w:before="0"/>
        <w:ind w:left="0" w:right="0"/>
        <w:jc w:val="center"/>
        <w:rPr>
          <w:rFonts w:cs="Times New Roman"/>
          <w:b/>
          <w:szCs w:val="18"/>
          <w:lang w:val="ms-MY"/>
        </w:rPr>
      </w:pPr>
      <w:r w:rsidRPr="00BB6D19">
        <w:rPr>
          <w:rFonts w:cs="Times New Roman"/>
          <w:b/>
          <w:szCs w:val="18"/>
          <w:lang w:val="ms-MY"/>
        </w:rPr>
        <w:t>Abstrak</w:t>
      </w:r>
    </w:p>
    <w:p w:rsidR="00D94C17" w:rsidRPr="00BB6D19" w:rsidRDefault="00D94C17" w:rsidP="00D94C17">
      <w:pPr>
        <w:pStyle w:val="Abstract"/>
        <w:spacing w:before="0"/>
        <w:ind w:left="0" w:right="27"/>
        <w:rPr>
          <w:rFonts w:cs="Times New Roman"/>
          <w:szCs w:val="18"/>
          <w:lang w:val="ms-MY"/>
        </w:rPr>
      </w:pPr>
      <w:r w:rsidRPr="00BB6D19">
        <w:rPr>
          <w:rFonts w:cs="Times New Roman"/>
          <w:szCs w:val="18"/>
          <w:lang w:val="ms-MY"/>
        </w:rPr>
        <w:t>Latek</w:t>
      </w:r>
      <w:r>
        <w:rPr>
          <w:rFonts w:cs="Times New Roman"/>
          <w:szCs w:val="18"/>
          <w:lang w:val="ms-MY"/>
        </w:rPr>
        <w:t>s</w:t>
      </w:r>
      <w:r w:rsidRPr="00BB6D19">
        <w:rPr>
          <w:rFonts w:cs="Times New Roman"/>
          <w:szCs w:val="18"/>
          <w:lang w:val="ms-MY"/>
        </w:rPr>
        <w:t xml:space="preserve"> </w:t>
      </w:r>
      <w:r>
        <w:rPr>
          <w:rFonts w:cs="Times New Roman"/>
          <w:szCs w:val="18"/>
          <w:lang w:val="ms-MY"/>
        </w:rPr>
        <w:t>g</w:t>
      </w:r>
      <w:r w:rsidRPr="00BB6D19">
        <w:rPr>
          <w:rFonts w:cs="Times New Roman"/>
          <w:szCs w:val="18"/>
          <w:lang w:val="ms-MY"/>
        </w:rPr>
        <w:t xml:space="preserve">etah </w:t>
      </w:r>
      <w:r>
        <w:rPr>
          <w:rFonts w:cs="Times New Roman"/>
          <w:szCs w:val="18"/>
          <w:lang w:val="ms-MY"/>
        </w:rPr>
        <w:t>a</w:t>
      </w:r>
      <w:r w:rsidRPr="00BB6D19">
        <w:rPr>
          <w:rFonts w:cs="Times New Roman"/>
          <w:szCs w:val="18"/>
          <w:lang w:val="ms-MY"/>
        </w:rPr>
        <w:t>sli (LGA) dengan 'kandungan protein rendah' dianggap sebagai bahan mentah alternatif untuk mengurangkan risiko alahan terhadap protein LGA. Walau bagaimanapun, 'latek</w:t>
      </w:r>
      <w:r>
        <w:rPr>
          <w:rFonts w:cs="Times New Roman"/>
          <w:szCs w:val="18"/>
          <w:lang w:val="ms-MY"/>
        </w:rPr>
        <w:t>s</w:t>
      </w:r>
      <w:r w:rsidRPr="00BB6D19">
        <w:rPr>
          <w:rFonts w:cs="Times New Roman"/>
          <w:szCs w:val="18"/>
          <w:lang w:val="ms-MY"/>
        </w:rPr>
        <w:t xml:space="preserve"> protein rendah' menyebabkan sifat mekanikal latek</w:t>
      </w:r>
      <w:r>
        <w:rPr>
          <w:rFonts w:cs="Times New Roman"/>
          <w:szCs w:val="18"/>
          <w:lang w:val="ms-MY"/>
        </w:rPr>
        <w:t>s</w:t>
      </w:r>
      <w:r w:rsidRPr="00BB6D19">
        <w:rPr>
          <w:rFonts w:cs="Times New Roman"/>
          <w:szCs w:val="18"/>
          <w:lang w:val="ms-MY"/>
        </w:rPr>
        <w:t xml:space="preserve"> tersebut terjejas dan bergantung juga kepada kaedah penyediaannya. Oleh itu kajian ini dijalankan untuk mengukuhkan pendekatan asas dalam membuat 'latek</w:t>
      </w:r>
      <w:r>
        <w:rPr>
          <w:rFonts w:cs="Times New Roman"/>
          <w:szCs w:val="18"/>
          <w:lang w:val="ms-MY"/>
        </w:rPr>
        <w:t>s</w:t>
      </w:r>
      <w:r w:rsidRPr="00BB6D19">
        <w:rPr>
          <w:rFonts w:cs="Times New Roman"/>
          <w:szCs w:val="18"/>
          <w:lang w:val="ms-MY"/>
        </w:rPr>
        <w:t xml:space="preserve"> protein rendah' melalui rawatan enzimatik. Enzim proteolitik digunakan untuk mencerna protein dan menyahaktifkan beberapa fungsi protein. Tujuannya adalah untuk mengkaji kesan rawatan enzimatik ke atas kandungan nitrogen dalam LGA yang secara tidak langsung dapat mengesan kehadiran protein. Perubahan secara mekanikal akibat perubahan protein juga dinilai. Keputusan menunjukkan bahawa enzim proteolitik pada kepekatan rendah berupaya menghidrolisis molekul protein. Walau bagaimanapun, kandungan nitrogen dalam serum LGA meningkat dengan peningkatan kepekatan enzim. Ini mungkin disebabkan oleh kecenderungan enzim untuk membentuk jaringan peptida baru yang dikenali juga sebagai aminol</w:t>
      </w:r>
      <w:r>
        <w:rPr>
          <w:rFonts w:cs="Times New Roman"/>
          <w:szCs w:val="18"/>
          <w:lang w:val="ms-MY"/>
        </w:rPr>
        <w:t>i</w:t>
      </w:r>
      <w:r w:rsidRPr="00BB6D19">
        <w:rPr>
          <w:rFonts w:cs="Times New Roman"/>
          <w:szCs w:val="18"/>
          <w:lang w:val="ms-MY"/>
        </w:rPr>
        <w:t>sis. Menariknya, jumlah protein penyebab alahan berkurangan secara berkadar dengan peningkatan kepekatan enzim. Ini menunjukkan rawatan enzim berkemungkinan berupaya untuk menyahaktifan aktiviti protein penyebab alahan tersebut. Keputusan awal ini menunjukkan pendekatan berpotensi untuk menghasilkan produk LGA dengan risiko alahan yang rendah.</w:t>
      </w:r>
    </w:p>
    <w:p w:rsidR="00D94C17" w:rsidRDefault="00D94C17" w:rsidP="00D94C17">
      <w:pPr>
        <w:pStyle w:val="HTMLPreformatted"/>
        <w:shd w:val="clear" w:color="auto" w:fill="FFFFFF"/>
        <w:jc w:val="both"/>
        <w:rPr>
          <w:rFonts w:ascii="Times New Roman" w:hAnsi="Times New Roman" w:cs="Times New Roman"/>
          <w:b/>
          <w:sz w:val="18"/>
          <w:szCs w:val="18"/>
        </w:rPr>
      </w:pPr>
    </w:p>
    <w:p w:rsidR="00AC0033" w:rsidRDefault="00D94C17" w:rsidP="00D94C17">
      <w:pPr>
        <w:spacing w:after="0" w:line="240" w:lineRule="auto"/>
        <w:jc w:val="both"/>
        <w:rPr>
          <w:rFonts w:ascii="Times New Roman" w:hAnsi="Times New Roman"/>
          <w:noProof/>
          <w:sz w:val="20"/>
          <w:szCs w:val="20"/>
          <w:lang w:bidi="ar-SA"/>
        </w:rPr>
      </w:pPr>
      <w:r w:rsidRPr="00F957BC">
        <w:rPr>
          <w:rFonts w:ascii="Times New Roman" w:hAnsi="Times New Roman"/>
          <w:b/>
          <w:sz w:val="18"/>
          <w:szCs w:val="18"/>
        </w:rPr>
        <w:t xml:space="preserve">Kata kunci: </w:t>
      </w:r>
      <w:r>
        <w:rPr>
          <w:rFonts w:ascii="Times New Roman" w:hAnsi="Times New Roman"/>
          <w:sz w:val="18"/>
          <w:szCs w:val="18"/>
          <w:lang w:val="ms-MY"/>
        </w:rPr>
        <w:t xml:space="preserve"> l</w:t>
      </w:r>
      <w:r w:rsidRPr="00F957BC">
        <w:rPr>
          <w:rFonts w:ascii="Times New Roman" w:hAnsi="Times New Roman"/>
          <w:sz w:val="18"/>
          <w:szCs w:val="18"/>
          <w:lang w:val="ms-MY"/>
        </w:rPr>
        <w:t>ateks protein rendah, enzim proteolitik, alahan protein, sifat mekanikal</w:t>
      </w:r>
    </w:p>
    <w:p w:rsidR="00AC0033" w:rsidRDefault="00AC0033" w:rsidP="00AC0033">
      <w:pPr>
        <w:spacing w:after="0" w:line="240" w:lineRule="auto"/>
        <w:jc w:val="center"/>
        <w:rPr>
          <w:rFonts w:ascii="Times New Roman" w:hAnsi="Times New Roman"/>
          <w:noProof/>
          <w:sz w:val="20"/>
          <w:szCs w:val="20"/>
          <w:lang w:bidi="ar-SA"/>
        </w:rPr>
      </w:pPr>
    </w:p>
    <w:p w:rsidR="00D94C17" w:rsidRPr="00BE7C30" w:rsidRDefault="00D94C17"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D94C17" w:rsidRPr="00D94C17" w:rsidRDefault="00D94C17" w:rsidP="00D94C17">
      <w:pPr>
        <w:spacing w:after="0" w:line="240" w:lineRule="auto"/>
        <w:jc w:val="both"/>
        <w:rPr>
          <w:rFonts w:ascii="Times New Roman" w:hAnsi="Times New Roman"/>
          <w:sz w:val="20"/>
          <w:szCs w:val="20"/>
        </w:rPr>
      </w:pPr>
      <w:r w:rsidRPr="00D94C17">
        <w:rPr>
          <w:rFonts w:ascii="Times New Roman" w:hAnsi="Times New Roman"/>
          <w:sz w:val="20"/>
          <w:szCs w:val="20"/>
        </w:rPr>
        <w:t>Natural rubber latex (NRL) is a stable dispersion of cis-1,4-polyisoprene rubber encapsulated in mostly spherical particles with average size of 0.15 µm to 3 µm, in an aqueous phase [1].</w:t>
      </w:r>
      <w:r w:rsidRPr="00D94C17">
        <w:rPr>
          <w:rFonts w:ascii="Times New Roman" w:hAnsi="Times New Roman"/>
          <w:b/>
          <w:color w:val="FF0000"/>
          <w:sz w:val="20"/>
          <w:szCs w:val="20"/>
        </w:rPr>
        <w:t xml:space="preserve"> </w:t>
      </w:r>
      <w:r w:rsidRPr="00D94C17">
        <w:rPr>
          <w:rFonts w:ascii="Times New Roman" w:hAnsi="Times New Roman"/>
          <w:sz w:val="20"/>
          <w:szCs w:val="20"/>
        </w:rPr>
        <w:t xml:space="preserve">The dispersed phase of NRL is mainly rubber hydrocarbon and the dispersion medium is water. Freshly-tapped NRL as obtained from the tree is a whitish fluid of density 0.975 - 0.980 g/ml and with a pH from 6.0 - 7.0 [2]. Being a natural product, its composition varies between a wide range. Typically NRL consists of 36% of total solid content including dry rubber content of 33%, proteinaceous substances about 1%, resinous substances 1-2.5%, ash and sugar 1% respectively, and 60% content of water [3]. </w:t>
      </w:r>
    </w:p>
    <w:p w:rsidR="00D94C17" w:rsidRPr="00D94C17" w:rsidRDefault="00D94C17" w:rsidP="00D94C17">
      <w:pPr>
        <w:tabs>
          <w:tab w:val="left" w:pos="360"/>
        </w:tabs>
        <w:spacing w:after="0" w:line="240" w:lineRule="auto"/>
        <w:jc w:val="both"/>
        <w:rPr>
          <w:rFonts w:ascii="Times New Roman" w:hAnsi="Times New Roman"/>
          <w:sz w:val="20"/>
          <w:szCs w:val="20"/>
        </w:rPr>
      </w:pPr>
      <w:r>
        <w:rPr>
          <w:rFonts w:ascii="Times New Roman" w:hAnsi="Times New Roman"/>
          <w:sz w:val="20"/>
          <w:szCs w:val="20"/>
        </w:rPr>
        <w:t xml:space="preserve"> </w:t>
      </w:r>
    </w:p>
    <w:p w:rsidR="00D94C17" w:rsidRPr="00D94C17" w:rsidRDefault="00D94C17" w:rsidP="00D94C17">
      <w:pPr>
        <w:tabs>
          <w:tab w:val="left" w:pos="360"/>
        </w:tabs>
        <w:spacing w:after="0" w:line="240" w:lineRule="auto"/>
        <w:jc w:val="both"/>
        <w:rPr>
          <w:rFonts w:ascii="Times New Roman" w:hAnsi="Times New Roman"/>
          <w:sz w:val="20"/>
          <w:szCs w:val="20"/>
        </w:rPr>
      </w:pPr>
      <w:r w:rsidRPr="00D94C17">
        <w:rPr>
          <w:rFonts w:ascii="Times New Roman" w:hAnsi="Times New Roman"/>
          <w:sz w:val="20"/>
          <w:szCs w:val="20"/>
        </w:rPr>
        <w:t xml:space="preserve">These substances are distributed between three principal phases namely, rubber particles (35% of latex by weight), the aqueous phase (55%) and the remaining lutoid phase (10%) [4]. The aqueous non-rubber phase is made up of carbohydrates (quebrachitol, sucrose, glucose, fructose and raffinose), proteins and amino acids (α-globulin and hevein) and other serum constituents (free nitrogenous bases, lipids, organic acids, inorganic anions and metallic ions) and a range of enzymes [5]. According to Tata, fresh NRL contains 0.95% proteins of which 27.2% is in the rubber fraction, 47.5% in the serum fraction and 25.3% on the bottom fraction. Technically, about 60% of the protein content is dissolved in the aqueous phase, approximately 20% is adsorbed on the surface of rubber particles and the remaining 20% is associated with the larger particulate bodies such as lutoids and Frey-Wyssling particles [6]. </w:t>
      </w:r>
    </w:p>
    <w:p w:rsidR="00D94C17" w:rsidRPr="00D94C17" w:rsidRDefault="00D94C17" w:rsidP="00D94C17">
      <w:pPr>
        <w:tabs>
          <w:tab w:val="left" w:pos="360"/>
        </w:tabs>
        <w:spacing w:after="0" w:line="240" w:lineRule="auto"/>
        <w:jc w:val="both"/>
        <w:rPr>
          <w:rFonts w:ascii="Times New Roman" w:hAnsi="Times New Roman"/>
          <w:sz w:val="20"/>
          <w:szCs w:val="20"/>
        </w:rPr>
      </w:pPr>
    </w:p>
    <w:p w:rsidR="00D94C17" w:rsidRPr="00D94C17" w:rsidRDefault="00D94C17" w:rsidP="00D94C17">
      <w:pPr>
        <w:tabs>
          <w:tab w:val="left" w:pos="360"/>
        </w:tabs>
        <w:spacing w:after="0" w:line="240" w:lineRule="auto"/>
        <w:jc w:val="both"/>
        <w:rPr>
          <w:rFonts w:ascii="Times New Roman" w:hAnsi="Times New Roman"/>
          <w:sz w:val="20"/>
          <w:szCs w:val="20"/>
        </w:rPr>
      </w:pPr>
      <w:r w:rsidRPr="00D94C17">
        <w:rPr>
          <w:rFonts w:ascii="Times New Roman" w:hAnsi="Times New Roman"/>
          <w:sz w:val="20"/>
          <w:szCs w:val="20"/>
        </w:rPr>
        <w:t xml:space="preserve">NRL proteins are commonly related to allergenic issues associated with the usage of latex-based products. In 1986, researches had revealed that the allergic reactions to latex products were instead IgE-mediated and that the allergens were latex proteins which still remained in the finished products [7, 8]. Since then, most of research studies were conducted as precaution measures to minimize the latex proteins allergenic risk. Currently, low protein latexes are widely available in the market with various methods employed to deplete the proteins. Generally, low protein latex can be prepared via few approaches namely mechanical, chemical or biological treatment [9, 10, 11]. The mechanical process usually involves multiple centrifugation or membrane filtration of diluted latex. In chemical treatment, chemicals such as urea are used to remove proteins while biological approach usually involves combination of proteolytic enzymes. </w:t>
      </w:r>
    </w:p>
    <w:p w:rsidR="00D94C17" w:rsidRPr="00D94C17" w:rsidRDefault="00D94C17" w:rsidP="00D94C17">
      <w:pPr>
        <w:tabs>
          <w:tab w:val="left" w:pos="360"/>
        </w:tabs>
        <w:spacing w:after="0" w:line="240" w:lineRule="auto"/>
        <w:jc w:val="both"/>
        <w:rPr>
          <w:rFonts w:ascii="Times New Roman" w:hAnsi="Times New Roman"/>
          <w:sz w:val="20"/>
          <w:szCs w:val="20"/>
        </w:rPr>
      </w:pPr>
    </w:p>
    <w:p w:rsidR="00D94C17" w:rsidRPr="00D94C17" w:rsidRDefault="00D94C17" w:rsidP="00D94C17">
      <w:pPr>
        <w:tabs>
          <w:tab w:val="left" w:pos="360"/>
        </w:tabs>
        <w:spacing w:after="0" w:line="240" w:lineRule="auto"/>
        <w:jc w:val="both"/>
        <w:rPr>
          <w:rFonts w:ascii="Times New Roman" w:hAnsi="Times New Roman"/>
          <w:sz w:val="20"/>
          <w:szCs w:val="20"/>
        </w:rPr>
      </w:pPr>
      <w:r w:rsidRPr="00D94C17">
        <w:rPr>
          <w:rFonts w:ascii="Times New Roman" w:hAnsi="Times New Roman"/>
          <w:sz w:val="20"/>
          <w:szCs w:val="20"/>
        </w:rPr>
        <w:t>Non-rubber components especially proteins are important in maintaining latex colloidal stability. Due to their solubility behaviour, proteins are found abundantly in the serum fraction upon centrifugation while the rest are surface-bound to rubber particles. Additionally, the process of concentrating the latex to about 60% rubber content also significantly reduces the protein content. In the technological aspect, proteins are regarded as an essential component that any alteration towards its composition can implicate on the products’ properties [12, 13]. A study by Gazeley had shown that overall rate of crosslink insertion during prevulcanization reaction is reduced for low protein NRL [14]. This finding was also supported by Yatim [15]</w:t>
      </w:r>
      <w:r w:rsidRPr="00D94C17">
        <w:rPr>
          <w:rFonts w:ascii="Times New Roman" w:hAnsi="Times New Roman"/>
          <w:b/>
          <w:color w:val="FF0000"/>
          <w:sz w:val="20"/>
          <w:szCs w:val="20"/>
        </w:rPr>
        <w:t xml:space="preserve"> </w:t>
      </w:r>
      <w:r w:rsidRPr="00D94C17">
        <w:rPr>
          <w:rFonts w:ascii="Times New Roman" w:hAnsi="Times New Roman"/>
          <w:sz w:val="20"/>
          <w:szCs w:val="20"/>
        </w:rPr>
        <w:t>that claimed the presence of non-rubbers accelerates prevulcanization rate during latex stage. However until now, it is unclear which non-rubber substituents are important in determining the rate at which the reaction occurs. The rate of prevulcanization could be a consequence of synergism between the non-rubber substances in NRL [12].</w:t>
      </w:r>
    </w:p>
    <w:p w:rsidR="00D94C17" w:rsidRPr="00D94C17" w:rsidRDefault="00D94C17" w:rsidP="00D94C17">
      <w:pPr>
        <w:tabs>
          <w:tab w:val="left" w:pos="360"/>
        </w:tabs>
        <w:autoSpaceDE w:val="0"/>
        <w:autoSpaceDN w:val="0"/>
        <w:spacing w:after="0" w:line="240" w:lineRule="auto"/>
        <w:jc w:val="both"/>
        <w:rPr>
          <w:rFonts w:ascii="Times New Roman" w:hAnsi="Times New Roman"/>
          <w:sz w:val="20"/>
          <w:szCs w:val="20"/>
        </w:rPr>
      </w:pPr>
      <w:r w:rsidRPr="00D94C17">
        <w:rPr>
          <w:rFonts w:ascii="Times New Roman" w:hAnsi="Times New Roman"/>
          <w:sz w:val="20"/>
          <w:szCs w:val="20"/>
        </w:rPr>
        <w:tab/>
      </w:r>
    </w:p>
    <w:p w:rsidR="00D94C17" w:rsidRPr="00D94C17" w:rsidRDefault="00D94C17" w:rsidP="00D94C17">
      <w:pPr>
        <w:tabs>
          <w:tab w:val="left" w:pos="360"/>
        </w:tabs>
        <w:autoSpaceDE w:val="0"/>
        <w:autoSpaceDN w:val="0"/>
        <w:spacing w:after="0" w:line="240" w:lineRule="auto"/>
        <w:jc w:val="both"/>
        <w:rPr>
          <w:rFonts w:ascii="Times New Roman" w:hAnsi="Times New Roman"/>
          <w:sz w:val="20"/>
          <w:szCs w:val="20"/>
        </w:rPr>
      </w:pPr>
      <w:r w:rsidRPr="00D94C17">
        <w:rPr>
          <w:rFonts w:ascii="Times New Roman" w:hAnsi="Times New Roman"/>
          <w:sz w:val="20"/>
          <w:szCs w:val="20"/>
        </w:rPr>
        <w:t xml:space="preserve">In this study, high ammoniated NRL (HA-NRL) was treated with a proteolytic enzyme known as alcalase in order to determine its digestive effects on the native proteins. To investigate this, HA-NRL was mixed with alcalase in various concentrations from 1% to 4% and incubated for two hours. Changes on the native proteins in HA-NRL were determined by measurement of total protein content (N%) and </w:t>
      </w:r>
      <w:r w:rsidRPr="00D94C17">
        <w:rPr>
          <w:rFonts w:ascii="Times New Roman" w:hAnsi="Times New Roman"/>
          <w:bCs/>
          <w:sz w:val="20"/>
          <w:szCs w:val="20"/>
        </w:rPr>
        <w:t xml:space="preserve">protein molecular weight using </w:t>
      </w:r>
      <w:r w:rsidRPr="00D94C17">
        <w:rPr>
          <w:rFonts w:ascii="Times New Roman" w:hAnsi="Times New Roman"/>
          <w:sz w:val="20"/>
          <w:szCs w:val="20"/>
        </w:rPr>
        <w:t>SDS - Polyacrylamide Gel Electrophoresis (SDS-PAGE). Presence of allergenic protein and colloidal stability of the mixture were also evaluated.</w:t>
      </w:r>
    </w:p>
    <w:p w:rsidR="00D94C17" w:rsidRPr="00D94C17" w:rsidRDefault="00D94C17" w:rsidP="00D94C17">
      <w:pPr>
        <w:tabs>
          <w:tab w:val="left" w:pos="360"/>
        </w:tabs>
        <w:autoSpaceDE w:val="0"/>
        <w:autoSpaceDN w:val="0"/>
        <w:spacing w:after="0" w:line="240" w:lineRule="auto"/>
        <w:jc w:val="center"/>
        <w:rPr>
          <w:rFonts w:ascii="Times New Roman" w:hAnsi="Times New Roman"/>
          <w:sz w:val="20"/>
          <w:szCs w:val="20"/>
        </w:rPr>
      </w:pPr>
    </w:p>
    <w:p w:rsidR="00D94C17" w:rsidRPr="00D94C17" w:rsidRDefault="00D94C17" w:rsidP="00D94C17">
      <w:pPr>
        <w:spacing w:after="0" w:line="240" w:lineRule="auto"/>
        <w:jc w:val="center"/>
        <w:rPr>
          <w:rFonts w:ascii="Times New Roman" w:hAnsi="Times New Roman"/>
          <w:b/>
          <w:sz w:val="20"/>
          <w:szCs w:val="20"/>
        </w:rPr>
      </w:pPr>
      <w:r w:rsidRPr="00D94C17">
        <w:rPr>
          <w:rFonts w:ascii="Times New Roman" w:hAnsi="Times New Roman"/>
          <w:b/>
          <w:sz w:val="20"/>
          <w:szCs w:val="20"/>
        </w:rPr>
        <w:t>Materials and Methods</w:t>
      </w:r>
    </w:p>
    <w:p w:rsidR="00D94C17" w:rsidRPr="00D94C17" w:rsidRDefault="00D94C17" w:rsidP="00D94C17">
      <w:pPr>
        <w:spacing w:after="0" w:line="240" w:lineRule="auto"/>
        <w:jc w:val="both"/>
        <w:rPr>
          <w:rFonts w:ascii="Times New Roman" w:hAnsi="Times New Roman"/>
          <w:b/>
          <w:strike/>
          <w:sz w:val="20"/>
          <w:szCs w:val="20"/>
        </w:rPr>
      </w:pPr>
      <w:r w:rsidRPr="00D94C17">
        <w:rPr>
          <w:rFonts w:ascii="Times New Roman" w:hAnsi="Times New Roman"/>
          <w:b/>
          <w:sz w:val="20"/>
          <w:szCs w:val="20"/>
        </w:rPr>
        <w:t xml:space="preserve">High ammoniated latex </w:t>
      </w:r>
    </w:p>
    <w:p w:rsidR="00D94C17" w:rsidRPr="00D94C17" w:rsidRDefault="00D94C17" w:rsidP="00D94C17">
      <w:pPr>
        <w:pStyle w:val="ListParagraph"/>
        <w:spacing w:after="0" w:line="240" w:lineRule="auto"/>
        <w:ind w:left="0"/>
        <w:contextualSpacing w:val="0"/>
        <w:jc w:val="both"/>
        <w:rPr>
          <w:rFonts w:ascii="Times New Roman" w:hAnsi="Times New Roman"/>
          <w:sz w:val="20"/>
          <w:szCs w:val="20"/>
        </w:rPr>
      </w:pPr>
      <w:r w:rsidRPr="00D94C17">
        <w:rPr>
          <w:rFonts w:ascii="Times New Roman" w:hAnsi="Times New Roman"/>
          <w:sz w:val="20"/>
          <w:szCs w:val="20"/>
        </w:rPr>
        <w:t>High ammoniated natural rubber latex (HA-NRL) preserved with 0.7% ammonia was obtained from a local supplier. The dry rubber content (DRC) of HA-NRL was 60%.</w:t>
      </w:r>
    </w:p>
    <w:p w:rsidR="00D94C17" w:rsidRDefault="00D94C17" w:rsidP="00D94C17">
      <w:pPr>
        <w:spacing w:after="0" w:line="240" w:lineRule="auto"/>
        <w:jc w:val="both"/>
        <w:rPr>
          <w:rFonts w:ascii="Times New Roman" w:hAnsi="Times New Roman"/>
          <w:b/>
          <w:sz w:val="20"/>
          <w:szCs w:val="20"/>
        </w:rPr>
      </w:pPr>
    </w:p>
    <w:p w:rsidR="00D94C17" w:rsidRPr="00D94C17" w:rsidRDefault="00D94C17" w:rsidP="00D94C17">
      <w:pPr>
        <w:spacing w:after="0" w:line="240" w:lineRule="auto"/>
        <w:jc w:val="both"/>
        <w:rPr>
          <w:rFonts w:ascii="Times New Roman" w:hAnsi="Times New Roman"/>
          <w:b/>
          <w:sz w:val="20"/>
          <w:szCs w:val="20"/>
        </w:rPr>
      </w:pPr>
    </w:p>
    <w:p w:rsidR="00D94C17" w:rsidRPr="00D94C17" w:rsidRDefault="00D94C17" w:rsidP="00D94C17">
      <w:pPr>
        <w:spacing w:after="0" w:line="240" w:lineRule="auto"/>
        <w:jc w:val="both"/>
        <w:rPr>
          <w:rFonts w:ascii="Times New Roman" w:hAnsi="Times New Roman"/>
          <w:b/>
          <w:sz w:val="20"/>
          <w:szCs w:val="20"/>
        </w:rPr>
      </w:pPr>
      <w:r w:rsidRPr="00D94C17">
        <w:rPr>
          <w:rFonts w:ascii="Times New Roman" w:hAnsi="Times New Roman"/>
          <w:b/>
          <w:sz w:val="20"/>
          <w:szCs w:val="20"/>
        </w:rPr>
        <w:lastRenderedPageBreak/>
        <w:t>Alcalase</w:t>
      </w:r>
    </w:p>
    <w:p w:rsidR="00D94C17" w:rsidRPr="00D94C17" w:rsidRDefault="00D94C17" w:rsidP="00D94C17">
      <w:pPr>
        <w:spacing w:after="0" w:line="240" w:lineRule="auto"/>
        <w:jc w:val="both"/>
        <w:rPr>
          <w:rFonts w:ascii="Times New Roman" w:hAnsi="Times New Roman"/>
          <w:sz w:val="20"/>
          <w:szCs w:val="20"/>
        </w:rPr>
      </w:pPr>
      <w:r w:rsidRPr="00D94C17">
        <w:rPr>
          <w:rFonts w:ascii="Times New Roman" w:hAnsi="Times New Roman"/>
          <w:sz w:val="20"/>
          <w:szCs w:val="20"/>
        </w:rPr>
        <w:t>Alcalase was obtained from Novozyme Sdn Bhd. The alcalase solution was diluted to several concentrations in the range of 2% to 8% to get the final concentration of 1-4% when mixed with HA-NRL.</w:t>
      </w:r>
    </w:p>
    <w:p w:rsidR="00D94C17" w:rsidRPr="00D94C17" w:rsidRDefault="00D94C17" w:rsidP="00D94C17">
      <w:pPr>
        <w:spacing w:after="0" w:line="240" w:lineRule="auto"/>
        <w:jc w:val="both"/>
        <w:rPr>
          <w:rFonts w:ascii="Times New Roman" w:hAnsi="Times New Roman"/>
          <w:b/>
          <w:sz w:val="20"/>
          <w:szCs w:val="20"/>
        </w:rPr>
      </w:pPr>
    </w:p>
    <w:p w:rsidR="00D94C17" w:rsidRPr="00D94C17" w:rsidRDefault="00D94C17" w:rsidP="00D94C17">
      <w:pPr>
        <w:spacing w:after="0" w:line="240" w:lineRule="auto"/>
        <w:jc w:val="both"/>
        <w:rPr>
          <w:rFonts w:ascii="Times New Roman" w:hAnsi="Times New Roman"/>
          <w:b/>
          <w:sz w:val="20"/>
          <w:szCs w:val="20"/>
        </w:rPr>
      </w:pPr>
      <w:r w:rsidRPr="00D94C17">
        <w:rPr>
          <w:rFonts w:ascii="Times New Roman" w:hAnsi="Times New Roman"/>
          <w:b/>
          <w:sz w:val="20"/>
          <w:szCs w:val="20"/>
        </w:rPr>
        <w:t>Preparation of high ammoniated natural rubber latex with alcalase</w:t>
      </w:r>
    </w:p>
    <w:p w:rsidR="00D94C17" w:rsidRPr="00D94C17" w:rsidRDefault="00D94C17" w:rsidP="00D94C17">
      <w:pPr>
        <w:spacing w:after="0" w:line="240" w:lineRule="auto"/>
        <w:jc w:val="both"/>
        <w:rPr>
          <w:rFonts w:ascii="Times New Roman" w:hAnsi="Times New Roman"/>
          <w:sz w:val="20"/>
          <w:szCs w:val="20"/>
        </w:rPr>
      </w:pPr>
      <w:r w:rsidRPr="00D94C17">
        <w:rPr>
          <w:rFonts w:ascii="Times New Roman" w:hAnsi="Times New Roman"/>
          <w:sz w:val="20"/>
          <w:szCs w:val="20"/>
        </w:rPr>
        <w:t>The initial concentration of 300 mL HA-NRL was diluted to 30% DRC after it was mixed with alcalase in different concentrations from 1% to 4%. The mixture was stirred continuously for two hours at 100 rpm at ambient temperature.</w:t>
      </w:r>
    </w:p>
    <w:p w:rsidR="00D94C17" w:rsidRPr="00D94C17" w:rsidRDefault="00D94C17" w:rsidP="00D94C17">
      <w:pPr>
        <w:spacing w:after="0" w:line="240" w:lineRule="auto"/>
        <w:jc w:val="both"/>
        <w:rPr>
          <w:rFonts w:ascii="Times New Roman" w:hAnsi="Times New Roman"/>
          <w:b/>
          <w:sz w:val="20"/>
          <w:szCs w:val="20"/>
        </w:rPr>
      </w:pPr>
    </w:p>
    <w:p w:rsidR="00D94C17" w:rsidRPr="00D94C17" w:rsidRDefault="00D94C17" w:rsidP="00D94C17">
      <w:pPr>
        <w:spacing w:after="0" w:line="240" w:lineRule="auto"/>
        <w:jc w:val="both"/>
        <w:rPr>
          <w:rFonts w:ascii="Times New Roman" w:hAnsi="Times New Roman"/>
          <w:b/>
          <w:sz w:val="20"/>
          <w:szCs w:val="20"/>
        </w:rPr>
      </w:pPr>
      <w:r w:rsidRPr="00D94C17">
        <w:rPr>
          <w:rFonts w:ascii="Times New Roman" w:hAnsi="Times New Roman"/>
          <w:b/>
          <w:sz w:val="20"/>
          <w:szCs w:val="20"/>
        </w:rPr>
        <w:t>Measurement of total protein content</w:t>
      </w:r>
    </w:p>
    <w:p w:rsidR="00D94C17" w:rsidRPr="00D94C17" w:rsidRDefault="00D94C17" w:rsidP="00D94C17">
      <w:pPr>
        <w:pStyle w:val="ListParagraph"/>
        <w:spacing w:after="0" w:line="240" w:lineRule="auto"/>
        <w:ind w:left="0"/>
        <w:contextualSpacing w:val="0"/>
        <w:jc w:val="both"/>
        <w:rPr>
          <w:rFonts w:ascii="Times New Roman" w:hAnsi="Times New Roman"/>
          <w:sz w:val="20"/>
          <w:szCs w:val="20"/>
          <w:vertAlign w:val="superscript"/>
        </w:rPr>
      </w:pPr>
      <w:r w:rsidRPr="00D94C17">
        <w:rPr>
          <w:rFonts w:ascii="Times New Roman" w:hAnsi="Times New Roman"/>
          <w:sz w:val="20"/>
          <w:szCs w:val="20"/>
        </w:rPr>
        <w:t xml:space="preserve">Samples of unleached and leached latex films were prepared by casting the treated HA-NRL on glass plates. For leaching, latex films from each treatment were immersed in water bath at 60 </w:t>
      </w:r>
      <w:r w:rsidRPr="00D94C17">
        <w:rPr>
          <w:rFonts w:ascii="Times New Roman" w:hAnsi="Times New Roman"/>
          <w:sz w:val="20"/>
          <w:szCs w:val="20"/>
          <w:vertAlign w:val="superscript"/>
        </w:rPr>
        <w:t>o</w:t>
      </w:r>
      <w:r w:rsidRPr="00D94C17">
        <w:rPr>
          <w:rFonts w:ascii="Times New Roman" w:hAnsi="Times New Roman"/>
          <w:sz w:val="20"/>
          <w:szCs w:val="20"/>
        </w:rPr>
        <w:t xml:space="preserve">C for 5 minutes. Rubber phase from the latex was obtained by centrifugation (Beckman Coulter Optima L-100K Ultracentrifuge) at 30,000 </w:t>
      </w:r>
      <w:r w:rsidRPr="00D94C17">
        <w:rPr>
          <w:rFonts w:ascii="Times New Roman" w:hAnsi="Times New Roman"/>
          <w:i/>
          <w:sz w:val="20"/>
          <w:szCs w:val="20"/>
        </w:rPr>
        <w:t>x g</w:t>
      </w:r>
      <w:r w:rsidRPr="00D94C17">
        <w:rPr>
          <w:rFonts w:ascii="Times New Roman" w:hAnsi="Times New Roman"/>
          <w:sz w:val="20"/>
          <w:szCs w:val="20"/>
        </w:rPr>
        <w:t xml:space="preserve"> for 1 hour to separate the rubber from the serum phase. The total protein content in the rubber phase as well as the leached and unleached latex films were determined by measuring their nitrogen contents (N %) using the Kjedhal method based on AOAC International [16]. </w:t>
      </w:r>
    </w:p>
    <w:p w:rsidR="00D94C17" w:rsidRPr="00D94C17" w:rsidRDefault="00D94C17" w:rsidP="00D94C17">
      <w:pPr>
        <w:autoSpaceDE w:val="0"/>
        <w:autoSpaceDN w:val="0"/>
        <w:spacing w:after="0" w:line="240" w:lineRule="auto"/>
        <w:jc w:val="both"/>
        <w:rPr>
          <w:rFonts w:ascii="Times New Roman" w:hAnsi="Times New Roman"/>
          <w:b/>
          <w:bCs/>
          <w:sz w:val="20"/>
          <w:szCs w:val="20"/>
        </w:rPr>
      </w:pPr>
    </w:p>
    <w:p w:rsidR="00D94C17" w:rsidRPr="00D94C17" w:rsidRDefault="00D94C17" w:rsidP="00D94C17">
      <w:pPr>
        <w:autoSpaceDE w:val="0"/>
        <w:autoSpaceDN w:val="0"/>
        <w:spacing w:after="0" w:line="240" w:lineRule="auto"/>
        <w:jc w:val="both"/>
        <w:rPr>
          <w:rFonts w:ascii="Times New Roman" w:hAnsi="Times New Roman"/>
          <w:sz w:val="20"/>
          <w:szCs w:val="20"/>
        </w:rPr>
      </w:pPr>
      <w:r w:rsidRPr="00D94C17">
        <w:rPr>
          <w:rFonts w:ascii="Times New Roman" w:hAnsi="Times New Roman"/>
          <w:b/>
          <w:bCs/>
          <w:sz w:val="20"/>
          <w:szCs w:val="20"/>
        </w:rPr>
        <w:t>Determination of protein molecular weight and detection of allergenic proteins</w:t>
      </w:r>
    </w:p>
    <w:p w:rsidR="00D94C17" w:rsidRPr="00D94C17" w:rsidRDefault="00D94C17" w:rsidP="00D94C17">
      <w:pPr>
        <w:pStyle w:val="ListParagraph"/>
        <w:spacing w:after="0" w:line="240" w:lineRule="auto"/>
        <w:ind w:left="0"/>
        <w:contextualSpacing w:val="0"/>
        <w:jc w:val="both"/>
        <w:rPr>
          <w:rFonts w:ascii="Times New Roman" w:hAnsi="Times New Roman"/>
          <w:sz w:val="20"/>
          <w:szCs w:val="20"/>
          <w:lang w:val="en-MY"/>
        </w:rPr>
      </w:pPr>
      <w:r w:rsidRPr="00D94C17">
        <w:rPr>
          <w:rFonts w:ascii="Times New Roman" w:hAnsi="Times New Roman"/>
          <w:sz w:val="20"/>
          <w:szCs w:val="20"/>
          <w:lang w:val="en-MY"/>
        </w:rPr>
        <w:t xml:space="preserve">The treated latex was firstly centrifuged at </w:t>
      </w:r>
      <w:r w:rsidRPr="00D94C17">
        <w:rPr>
          <w:rFonts w:ascii="Times New Roman" w:hAnsi="Times New Roman"/>
          <w:sz w:val="20"/>
          <w:szCs w:val="20"/>
        </w:rPr>
        <w:t xml:space="preserve">30,000 </w:t>
      </w:r>
      <w:r w:rsidRPr="00D94C17">
        <w:rPr>
          <w:rFonts w:ascii="Times New Roman" w:hAnsi="Times New Roman"/>
          <w:i/>
          <w:sz w:val="20"/>
          <w:szCs w:val="20"/>
        </w:rPr>
        <w:t>x g</w:t>
      </w:r>
      <w:r w:rsidRPr="00D94C17">
        <w:rPr>
          <w:rFonts w:ascii="Times New Roman" w:hAnsi="Times New Roman"/>
          <w:sz w:val="20"/>
          <w:szCs w:val="20"/>
          <w:lang w:val="en-MY"/>
        </w:rPr>
        <w:t xml:space="preserve"> for 1 hr (T=5</w:t>
      </w:r>
      <w:r w:rsidRPr="00D94C17">
        <w:rPr>
          <w:rFonts w:ascii="Times New Roman" w:hAnsi="Times New Roman"/>
          <w:sz w:val="20"/>
          <w:szCs w:val="20"/>
          <w:vertAlign w:val="superscript"/>
          <w:lang w:val="en-MY"/>
        </w:rPr>
        <w:t>o</w:t>
      </w:r>
      <w:r w:rsidRPr="00D94C17">
        <w:rPr>
          <w:rFonts w:ascii="Times New Roman" w:hAnsi="Times New Roman"/>
          <w:sz w:val="20"/>
          <w:szCs w:val="20"/>
          <w:lang w:val="en-MY"/>
        </w:rPr>
        <w:t>C) to obtain a clear serum fraction. The serum fraction was then subjected to SDS - Polyacrylamide Gel Electrophoresis (SDS-PAGE). The SDS-PAGE analysis was conducted at a constant current of 0.25A for 1 hour. The reference marker was run concurrently in all experiments. The SDS-PAGE gels were stained with silver staining method followed by destained in destaining solution. Meanwhile, presences of allergenic proteins in the serum and rubber samples were detected by using Latex-T Test Kit.</w:t>
      </w:r>
    </w:p>
    <w:p w:rsidR="00D94C17" w:rsidRPr="00D94C17" w:rsidRDefault="00D94C17" w:rsidP="00D94C17">
      <w:pPr>
        <w:spacing w:after="0" w:line="240" w:lineRule="auto"/>
        <w:jc w:val="both"/>
        <w:rPr>
          <w:rFonts w:ascii="Times New Roman" w:hAnsi="Times New Roman"/>
          <w:color w:val="000000"/>
          <w:sz w:val="20"/>
          <w:szCs w:val="20"/>
        </w:rPr>
      </w:pPr>
    </w:p>
    <w:p w:rsidR="00D94C17" w:rsidRPr="00D94C17" w:rsidRDefault="00D94C17" w:rsidP="00D94C17">
      <w:pPr>
        <w:spacing w:after="0" w:line="240" w:lineRule="auto"/>
        <w:jc w:val="both"/>
        <w:rPr>
          <w:rFonts w:ascii="Times New Roman" w:hAnsi="Times New Roman"/>
          <w:b/>
          <w:color w:val="000000"/>
          <w:sz w:val="20"/>
          <w:szCs w:val="20"/>
        </w:rPr>
      </w:pPr>
      <w:r w:rsidRPr="00D94C17">
        <w:rPr>
          <w:rFonts w:ascii="Times New Roman" w:hAnsi="Times New Roman"/>
          <w:b/>
          <w:color w:val="000000"/>
          <w:sz w:val="20"/>
          <w:szCs w:val="20"/>
        </w:rPr>
        <w:t>Zeta potential analysis</w:t>
      </w:r>
    </w:p>
    <w:p w:rsidR="00D94C17" w:rsidRPr="00D94C17" w:rsidRDefault="00D94C17" w:rsidP="00D94C17">
      <w:pPr>
        <w:spacing w:after="0" w:line="240" w:lineRule="auto"/>
        <w:jc w:val="both"/>
        <w:rPr>
          <w:rFonts w:ascii="Times New Roman" w:hAnsi="Times New Roman"/>
          <w:color w:val="000000"/>
          <w:spacing w:val="-2"/>
          <w:sz w:val="20"/>
          <w:szCs w:val="20"/>
        </w:rPr>
      </w:pPr>
      <w:r w:rsidRPr="00D94C17">
        <w:rPr>
          <w:rStyle w:val="A0"/>
          <w:rFonts w:ascii="Times New Roman" w:hAnsi="Times New Roman" w:cs="Times New Roman"/>
          <w:sz w:val="20"/>
          <w:szCs w:val="20"/>
        </w:rPr>
        <w:t xml:space="preserve">The zeta potential of the alcalase treated </w:t>
      </w:r>
      <w:r w:rsidRPr="00D94C17">
        <w:rPr>
          <w:rFonts w:ascii="Times New Roman" w:hAnsi="Times New Roman"/>
          <w:sz w:val="20"/>
          <w:szCs w:val="20"/>
        </w:rPr>
        <w:t>HA-NRL</w:t>
      </w:r>
      <w:r w:rsidRPr="00D94C17">
        <w:rPr>
          <w:rFonts w:ascii="Times New Roman" w:hAnsi="Times New Roman"/>
          <w:color w:val="000000"/>
          <w:sz w:val="20"/>
          <w:szCs w:val="20"/>
        </w:rPr>
        <w:t xml:space="preserve"> </w:t>
      </w:r>
      <w:r w:rsidRPr="00D94C17">
        <w:rPr>
          <w:rStyle w:val="A0"/>
          <w:rFonts w:ascii="Times New Roman" w:hAnsi="Times New Roman" w:cs="Times New Roman"/>
          <w:sz w:val="20"/>
          <w:szCs w:val="20"/>
        </w:rPr>
        <w:t xml:space="preserve">was measured using the </w:t>
      </w:r>
      <w:r w:rsidRPr="00D94C17">
        <w:rPr>
          <w:rFonts w:ascii="Times New Roman" w:hAnsi="Times New Roman"/>
          <w:color w:val="000000"/>
          <w:spacing w:val="-2"/>
          <w:sz w:val="20"/>
          <w:szCs w:val="20"/>
        </w:rPr>
        <w:t>90Plus/BI-</w:t>
      </w:r>
      <w:smartTag w:uri="urn:schemas-microsoft-com:office:smarttags" w:element="stockticker">
        <w:r w:rsidRPr="00D94C17">
          <w:rPr>
            <w:rFonts w:ascii="Times New Roman" w:hAnsi="Times New Roman"/>
            <w:color w:val="000000"/>
            <w:spacing w:val="-2"/>
            <w:sz w:val="20"/>
            <w:szCs w:val="20"/>
          </w:rPr>
          <w:t>MAS</w:t>
        </w:r>
      </w:smartTag>
      <w:r w:rsidRPr="00D94C17">
        <w:rPr>
          <w:rFonts w:ascii="Times New Roman" w:hAnsi="Times New Roman"/>
          <w:color w:val="000000"/>
          <w:spacing w:val="-2"/>
          <w:sz w:val="20"/>
          <w:szCs w:val="20"/>
        </w:rPr>
        <w:t xml:space="preserve"> and ZetaPlus from Brookhaven Instrument Corporation</w:t>
      </w:r>
      <w:r w:rsidRPr="00D94C17">
        <w:rPr>
          <w:rStyle w:val="A0"/>
          <w:rFonts w:ascii="Times New Roman" w:hAnsi="Times New Roman" w:cs="Times New Roman"/>
          <w:sz w:val="20"/>
          <w:szCs w:val="20"/>
        </w:rPr>
        <w:t xml:space="preserve">. </w:t>
      </w:r>
      <w:r w:rsidRPr="00D94C17">
        <w:rPr>
          <w:rFonts w:ascii="Times New Roman" w:hAnsi="Times New Roman"/>
          <w:color w:val="000000"/>
          <w:spacing w:val="-2"/>
          <w:sz w:val="20"/>
          <w:szCs w:val="20"/>
        </w:rPr>
        <w:t>Sample was diluted to 0.01 wt% with distilled water and pH of the sample in a range from 2 to 12 was adjusted with 0.1M H</w:t>
      </w:r>
      <w:r w:rsidRPr="00D94C17">
        <w:rPr>
          <w:rFonts w:ascii="Times New Roman" w:hAnsi="Times New Roman"/>
          <w:color w:val="000000"/>
          <w:spacing w:val="-2"/>
          <w:sz w:val="20"/>
          <w:szCs w:val="20"/>
          <w:vertAlign w:val="subscript"/>
        </w:rPr>
        <w:t>2</w:t>
      </w:r>
      <w:r w:rsidRPr="00D94C17">
        <w:rPr>
          <w:rFonts w:ascii="Times New Roman" w:hAnsi="Times New Roman"/>
          <w:color w:val="000000"/>
          <w:spacing w:val="-2"/>
          <w:sz w:val="20"/>
          <w:szCs w:val="20"/>
        </w:rPr>
        <w:t>SO</w:t>
      </w:r>
      <w:r w:rsidRPr="00D94C17">
        <w:rPr>
          <w:rFonts w:ascii="Times New Roman" w:hAnsi="Times New Roman"/>
          <w:color w:val="000000"/>
          <w:spacing w:val="-2"/>
          <w:sz w:val="20"/>
          <w:szCs w:val="20"/>
          <w:vertAlign w:val="subscript"/>
        </w:rPr>
        <w:t>4</w:t>
      </w:r>
      <w:r w:rsidRPr="00D94C17">
        <w:rPr>
          <w:rFonts w:ascii="Times New Roman" w:hAnsi="Times New Roman"/>
          <w:color w:val="000000"/>
          <w:spacing w:val="-2"/>
          <w:sz w:val="20"/>
          <w:szCs w:val="20"/>
        </w:rPr>
        <w:t xml:space="preserve"> and 0.1M KOH prior to the test. </w:t>
      </w:r>
    </w:p>
    <w:p w:rsidR="00D94C17" w:rsidRPr="00D94C17" w:rsidRDefault="00D94C17" w:rsidP="00D94C17">
      <w:pPr>
        <w:spacing w:after="0" w:line="240" w:lineRule="auto"/>
        <w:jc w:val="both"/>
        <w:rPr>
          <w:rFonts w:ascii="Times New Roman" w:hAnsi="Times New Roman"/>
          <w:color w:val="000000"/>
          <w:spacing w:val="-2"/>
          <w:sz w:val="20"/>
          <w:szCs w:val="20"/>
        </w:rPr>
      </w:pPr>
    </w:p>
    <w:p w:rsidR="00D94C17" w:rsidRPr="00D94C17" w:rsidRDefault="00D94C17" w:rsidP="00D94C17">
      <w:pPr>
        <w:spacing w:after="0" w:line="240" w:lineRule="auto"/>
        <w:jc w:val="both"/>
        <w:rPr>
          <w:rFonts w:ascii="Times New Roman" w:hAnsi="Times New Roman"/>
          <w:b/>
          <w:color w:val="000000"/>
          <w:sz w:val="20"/>
          <w:szCs w:val="20"/>
        </w:rPr>
      </w:pPr>
      <w:r w:rsidRPr="00D94C17">
        <w:rPr>
          <w:rFonts w:ascii="Times New Roman" w:hAnsi="Times New Roman"/>
          <w:b/>
          <w:sz w:val="20"/>
          <w:szCs w:val="20"/>
        </w:rPr>
        <w:t>Statistical analysis</w:t>
      </w:r>
    </w:p>
    <w:p w:rsidR="00D94C17" w:rsidRPr="00995D76" w:rsidRDefault="00D94C17" w:rsidP="00D94C17">
      <w:pPr>
        <w:adjustRightInd w:val="0"/>
        <w:snapToGrid w:val="0"/>
        <w:spacing w:after="0" w:line="240" w:lineRule="auto"/>
        <w:jc w:val="both"/>
        <w:rPr>
          <w:rFonts w:ascii="Times New Roman" w:hAnsi="Times New Roman"/>
          <w:sz w:val="20"/>
          <w:szCs w:val="20"/>
        </w:rPr>
      </w:pPr>
      <w:r w:rsidRPr="00D94C17">
        <w:rPr>
          <w:rFonts w:ascii="Times New Roman" w:hAnsi="Times New Roman"/>
          <w:sz w:val="20"/>
          <w:szCs w:val="20"/>
        </w:rPr>
        <w:t>The data obtained was analyzed by using IBM SPSS Statistic 20, subjected to Compare Means procedure using one way ANOVA.</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94C17" w:rsidRPr="005F731B" w:rsidRDefault="00D94C17" w:rsidP="00D94C17">
      <w:pPr>
        <w:autoSpaceDE w:val="0"/>
        <w:autoSpaceDN w:val="0"/>
        <w:adjustRightInd w:val="0"/>
        <w:spacing w:after="0" w:line="240" w:lineRule="auto"/>
        <w:jc w:val="both"/>
        <w:rPr>
          <w:rFonts w:ascii="Times New Roman" w:hAnsi="Times New Roman"/>
          <w:b/>
          <w:sz w:val="20"/>
          <w:szCs w:val="20"/>
          <w:lang w:eastAsia="en-MY"/>
        </w:rPr>
      </w:pPr>
      <w:r w:rsidRPr="005F731B">
        <w:rPr>
          <w:rFonts w:ascii="Times New Roman" w:hAnsi="Times New Roman"/>
          <w:b/>
          <w:sz w:val="20"/>
          <w:szCs w:val="20"/>
          <w:lang w:eastAsia="en-MY"/>
        </w:rPr>
        <w:t>Effect of alcalase on protein content of high ammoniated–natural rubber latex</w:t>
      </w:r>
    </w:p>
    <w:p w:rsidR="00D94C17" w:rsidRPr="005F731B" w:rsidRDefault="00D94C17" w:rsidP="00D94C17">
      <w:pPr>
        <w:autoSpaceDE w:val="0"/>
        <w:autoSpaceDN w:val="0"/>
        <w:adjustRightInd w:val="0"/>
        <w:spacing w:after="0" w:line="240" w:lineRule="auto"/>
        <w:jc w:val="both"/>
        <w:rPr>
          <w:rFonts w:ascii="Times New Roman" w:hAnsi="Times New Roman"/>
          <w:b/>
          <w:sz w:val="20"/>
          <w:szCs w:val="20"/>
          <w:lang w:eastAsia="en-MY"/>
        </w:rPr>
      </w:pPr>
      <w:r w:rsidRPr="00995D76">
        <w:rPr>
          <w:rFonts w:ascii="Times New Roman" w:hAnsi="Times New Roman"/>
          <w:sz w:val="20"/>
          <w:szCs w:val="20"/>
        </w:rPr>
        <w:t xml:space="preserve">Leaching process removes water soluble proteins from the latex. Latex is an emulsion that comprises a stable dispersion of rubber particles in an aqueous phase </w:t>
      </w:r>
      <w:r>
        <w:rPr>
          <w:rFonts w:ascii="Times New Roman" w:hAnsi="Times New Roman"/>
          <w:sz w:val="20"/>
          <w:szCs w:val="20"/>
        </w:rPr>
        <w:t>[12]</w:t>
      </w:r>
      <w:r w:rsidRPr="00995D76">
        <w:rPr>
          <w:rFonts w:ascii="Times New Roman" w:hAnsi="Times New Roman"/>
          <w:sz w:val="20"/>
          <w:szCs w:val="20"/>
        </w:rPr>
        <w:t xml:space="preserve">. The aqueous phase is made up of water, non-rubber compounds such as carbohydrates (quebrachitol, sucrose, glucose, fructose and raffinose), proteins and amino acids (α-globulin and hevein), other serum constituents (free nitrogenous bases, lipids, organic acids, inorganic anions and metallic ions) and a range of enzymes </w:t>
      </w:r>
      <w:r>
        <w:rPr>
          <w:rFonts w:ascii="Times New Roman" w:hAnsi="Times New Roman"/>
          <w:sz w:val="20"/>
          <w:szCs w:val="20"/>
        </w:rPr>
        <w:t>[5]</w:t>
      </w:r>
      <w:r w:rsidRPr="00995D76">
        <w:rPr>
          <w:rFonts w:ascii="Times New Roman" w:hAnsi="Times New Roman"/>
          <w:sz w:val="20"/>
          <w:szCs w:val="20"/>
        </w:rPr>
        <w:t>.  These constituents including proteins that dissolved in the aqueous phase are commonly water soluble and can be removed by washing with water.</w:t>
      </w:r>
    </w:p>
    <w:p w:rsidR="00D94C17" w:rsidRDefault="00D94C17" w:rsidP="00D94C17">
      <w:pPr>
        <w:tabs>
          <w:tab w:val="left" w:pos="360"/>
        </w:tabs>
        <w:autoSpaceDE w:val="0"/>
        <w:autoSpaceDN w:val="0"/>
        <w:adjustRightInd w:val="0"/>
        <w:spacing w:after="0" w:line="240" w:lineRule="auto"/>
        <w:jc w:val="both"/>
        <w:rPr>
          <w:rFonts w:ascii="Times New Roman" w:hAnsi="Times New Roman"/>
          <w:sz w:val="20"/>
          <w:szCs w:val="20"/>
        </w:rPr>
      </w:pPr>
    </w:p>
    <w:p w:rsidR="00D94C17" w:rsidRDefault="00D94C17" w:rsidP="00D94C17">
      <w:pPr>
        <w:tabs>
          <w:tab w:val="left" w:pos="360"/>
        </w:tabs>
        <w:autoSpaceDE w:val="0"/>
        <w:autoSpaceDN w:val="0"/>
        <w:adjustRightInd w:val="0"/>
        <w:spacing w:after="0" w:line="240" w:lineRule="auto"/>
        <w:jc w:val="both"/>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ure</w:t>
      </w:r>
      <w:r w:rsidRPr="00995D76">
        <w:rPr>
          <w:rFonts w:ascii="Times New Roman" w:hAnsi="Times New Roman"/>
          <w:sz w:val="20"/>
          <w:szCs w:val="20"/>
        </w:rPr>
        <w:t xml:space="preserve"> 1 shows the effect of leaching on films prepared from HA-NRL treated with varying concentrations of alcalase. </w:t>
      </w:r>
      <w:r w:rsidRPr="00995D76">
        <w:rPr>
          <w:rFonts w:ascii="Times New Roman" w:hAnsi="Times New Roman"/>
          <w:sz w:val="20"/>
          <w:szCs w:val="20"/>
          <w:lang w:eastAsia="en-MY"/>
        </w:rPr>
        <w:t xml:space="preserve">The nitrogen content (N%) </w:t>
      </w:r>
      <w:r w:rsidRPr="00995D76">
        <w:rPr>
          <w:rFonts w:ascii="Times New Roman" w:hAnsi="Times New Roman"/>
          <w:sz w:val="20"/>
          <w:szCs w:val="20"/>
        </w:rPr>
        <w:t xml:space="preserve">of unleached latex film in the absence of alcalase was referred as the initial </w:t>
      </w:r>
      <w:r w:rsidRPr="00995D76">
        <w:rPr>
          <w:rFonts w:ascii="Times New Roman" w:hAnsi="Times New Roman"/>
          <w:sz w:val="20"/>
          <w:szCs w:val="20"/>
          <w:lang w:eastAsia="en-MY"/>
        </w:rPr>
        <w:t xml:space="preserve">protein content in the </w:t>
      </w:r>
      <w:r w:rsidRPr="00995D76">
        <w:rPr>
          <w:rFonts w:ascii="Times New Roman" w:hAnsi="Times New Roman"/>
          <w:sz w:val="20"/>
          <w:szCs w:val="20"/>
        </w:rPr>
        <w:t>HA-NRL. After two hours incubation time, protein content in the unleached latex films increased proportionally with increasing alcalase concentration. This shows that the total protein content in the treated HA-NRL was influenced by the presence of alcalase.</w:t>
      </w:r>
      <w:r>
        <w:rPr>
          <w:rFonts w:ascii="Times New Roman" w:hAnsi="Times New Roman"/>
          <w:sz w:val="20"/>
          <w:szCs w:val="20"/>
        </w:rPr>
        <w:t xml:space="preserve"> </w:t>
      </w:r>
    </w:p>
    <w:p w:rsidR="00D94C17" w:rsidRDefault="00D94C17" w:rsidP="00D94C17">
      <w:pPr>
        <w:tabs>
          <w:tab w:val="left" w:pos="360"/>
        </w:tabs>
        <w:autoSpaceDE w:val="0"/>
        <w:autoSpaceDN w:val="0"/>
        <w:adjustRightInd w:val="0"/>
        <w:spacing w:after="0" w:line="240" w:lineRule="auto"/>
        <w:jc w:val="both"/>
        <w:rPr>
          <w:rFonts w:ascii="Times New Roman" w:hAnsi="Times New Roman"/>
          <w:sz w:val="20"/>
          <w:szCs w:val="20"/>
        </w:rPr>
      </w:pPr>
    </w:p>
    <w:p w:rsidR="00D94C17" w:rsidRPr="00995D76" w:rsidRDefault="00D94C17" w:rsidP="00D94C17">
      <w:pPr>
        <w:autoSpaceDE w:val="0"/>
        <w:autoSpaceDN w:val="0"/>
        <w:adjustRightInd w:val="0"/>
        <w:spacing w:after="120" w:line="240" w:lineRule="auto"/>
        <w:jc w:val="center"/>
        <w:rPr>
          <w:rFonts w:ascii="Times New Roman" w:hAnsi="Times New Roman"/>
          <w:sz w:val="20"/>
          <w:szCs w:val="20"/>
        </w:rPr>
      </w:pPr>
      <w:r w:rsidRPr="00995D76">
        <w:rPr>
          <w:rFonts w:ascii="Times New Roman" w:hAnsi="Times New Roman"/>
          <w:noProof/>
          <w:sz w:val="20"/>
          <w:szCs w:val="20"/>
          <w:lang w:bidi="ar-SA"/>
        </w:rPr>
        <w:lastRenderedPageBreak/>
        <w:drawing>
          <wp:inline distT="0" distB="0" distL="0" distR="0" wp14:anchorId="45A2D7BB" wp14:editId="133AEEA3">
            <wp:extent cx="3128400" cy="2131200"/>
            <wp:effectExtent l="19050" t="19050" r="15240" b="215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461" t="8482" r="20733" b="4233"/>
                    <a:stretch/>
                  </pic:blipFill>
                  <pic:spPr bwMode="auto">
                    <a:xfrm>
                      <a:off x="0" y="0"/>
                      <a:ext cx="3128400" cy="21312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D94C17" w:rsidRPr="00995D76" w:rsidRDefault="00D94C17" w:rsidP="00D94C17">
      <w:pPr>
        <w:spacing w:after="0" w:line="240" w:lineRule="auto"/>
        <w:jc w:val="center"/>
        <w:rPr>
          <w:rFonts w:ascii="Times New Roman" w:hAnsi="Times New Roman"/>
          <w:sz w:val="20"/>
          <w:szCs w:val="20"/>
        </w:rPr>
      </w:pPr>
      <w:r w:rsidRPr="005F731B">
        <w:rPr>
          <w:rFonts w:ascii="Times New Roman" w:hAnsi="Times New Roman"/>
          <w:sz w:val="20"/>
          <w:szCs w:val="20"/>
        </w:rPr>
        <w:t>Figure 1.</w:t>
      </w:r>
      <w:r>
        <w:rPr>
          <w:rFonts w:ascii="Times New Roman" w:hAnsi="Times New Roman"/>
          <w:b/>
          <w:sz w:val="20"/>
          <w:szCs w:val="20"/>
        </w:rPr>
        <w:t xml:space="preserve">  </w:t>
      </w:r>
      <w:r w:rsidRPr="00995D76">
        <w:rPr>
          <w:rFonts w:ascii="Times New Roman" w:hAnsi="Times New Roman"/>
          <w:sz w:val="20"/>
          <w:szCs w:val="20"/>
        </w:rPr>
        <w:t>Total nitrogen content of the unleached and leached HA-NRL films in the presence of alcalase</w:t>
      </w:r>
    </w:p>
    <w:p w:rsidR="00D94C17" w:rsidRDefault="00D94C17" w:rsidP="00D94C17">
      <w:pPr>
        <w:tabs>
          <w:tab w:val="left" w:pos="3819"/>
        </w:tabs>
        <w:spacing w:after="120" w:line="240" w:lineRule="auto"/>
        <w:jc w:val="both"/>
        <w:rPr>
          <w:rFonts w:ascii="Times New Roman" w:hAnsi="Times New Roman"/>
          <w:sz w:val="20"/>
          <w:szCs w:val="20"/>
        </w:rPr>
      </w:pPr>
    </w:p>
    <w:p w:rsidR="00D94C17" w:rsidRDefault="00D94C17" w:rsidP="00D94C17">
      <w:pPr>
        <w:tabs>
          <w:tab w:val="left" w:pos="360"/>
        </w:tabs>
        <w:spacing w:after="0" w:line="240" w:lineRule="auto"/>
        <w:jc w:val="both"/>
        <w:rPr>
          <w:rFonts w:ascii="Times New Roman" w:hAnsi="Times New Roman"/>
          <w:sz w:val="20"/>
          <w:szCs w:val="20"/>
          <w:lang w:val="ms-MY" w:eastAsia="en-MY"/>
        </w:rPr>
      </w:pPr>
      <w:r w:rsidRPr="00995D76">
        <w:rPr>
          <w:rFonts w:ascii="Times New Roman" w:hAnsi="Times New Roman"/>
          <w:sz w:val="20"/>
          <w:szCs w:val="20"/>
        </w:rPr>
        <w:t>The extent of protein removal from HA-NRL in the presence of alcalase showed two different trends. In the first trend, the amount of N% in leached films was not significantly different than the unleached films in the presence of low concentration of alcalase (1% and 2%). Contrary in the second trend, when alcalase concentration was increased to 3% and 4%, the total amount of proteins in leached HA-NRL film was significantly lower than the unleached film. At this condition, it is possible that most of the accumulated proteins on the latex film surface have been extracted into the leaching water and hence the nitrogen content dropped significantly. Therefore, more water soluble proteins were removed from HA-NRL in the presence of alcalase above 3% with two hours incubation time.</w:t>
      </w:r>
      <w:r w:rsidRPr="00995D76">
        <w:rPr>
          <w:rFonts w:ascii="Times New Roman" w:hAnsi="Times New Roman"/>
          <w:sz w:val="20"/>
          <w:szCs w:val="20"/>
          <w:lang w:val="ms-MY" w:eastAsia="en-MY"/>
        </w:rPr>
        <w:t xml:space="preserve"> </w:t>
      </w:r>
    </w:p>
    <w:p w:rsidR="00D94C17" w:rsidRPr="00995D76" w:rsidRDefault="00D94C17" w:rsidP="00D94C17">
      <w:pPr>
        <w:tabs>
          <w:tab w:val="left" w:pos="360"/>
        </w:tabs>
        <w:spacing w:after="0" w:line="240" w:lineRule="auto"/>
        <w:jc w:val="both"/>
        <w:rPr>
          <w:rFonts w:ascii="Times New Roman" w:hAnsi="Times New Roman"/>
          <w:sz w:val="20"/>
          <w:szCs w:val="20"/>
          <w:lang w:val="ms-MY" w:eastAsia="en-MY"/>
        </w:rPr>
      </w:pPr>
    </w:p>
    <w:p w:rsidR="00D94C17" w:rsidRDefault="00D94C17" w:rsidP="00D94C17">
      <w:pPr>
        <w:tabs>
          <w:tab w:val="left" w:pos="360"/>
        </w:tabs>
        <w:spacing w:after="0" w:line="240" w:lineRule="auto"/>
        <w:jc w:val="both"/>
        <w:rPr>
          <w:rFonts w:ascii="Times New Roman" w:hAnsi="Times New Roman"/>
          <w:sz w:val="20"/>
          <w:szCs w:val="20"/>
          <w:lang w:val="ms-MY" w:eastAsia="en-MY"/>
        </w:rPr>
      </w:pPr>
      <w:r w:rsidRPr="00995D76">
        <w:rPr>
          <w:rFonts w:ascii="Times New Roman" w:hAnsi="Times New Roman"/>
          <w:sz w:val="20"/>
          <w:szCs w:val="20"/>
          <w:lang w:val="ms-MY" w:eastAsia="en-MY"/>
        </w:rPr>
        <w:t>When the treated HA-NRL was casted on glass plates to make films, drying process of the latex caused water inside the serum to evaporate, along which the non-rubbers components especially proteins, would be drawn to the surface of the latex film eventually. Alcalase is a proteolytic enzyme under the group of</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 xml:space="preserve">serine proteases which belong to subtilases. Subtilisin is a non-specific protease that was  initially obtained from </w:t>
      </w:r>
      <w:r w:rsidRPr="00995D76">
        <w:rPr>
          <w:rFonts w:ascii="Times New Roman" w:hAnsi="Times New Roman"/>
          <w:sz w:val="20"/>
          <w:szCs w:val="20"/>
          <w:lang w:eastAsia="en-MY"/>
        </w:rPr>
        <w:t xml:space="preserve">certain types of soil bacteria such as </w:t>
      </w:r>
      <w:r>
        <w:rPr>
          <w:rFonts w:ascii="Times New Roman" w:hAnsi="Times New Roman"/>
          <w:i/>
          <w:iCs/>
          <w:sz w:val="20"/>
          <w:szCs w:val="20"/>
        </w:rPr>
        <w:t xml:space="preserve">Bacillus amyloliquefaciens </w:t>
      </w:r>
      <w:r>
        <w:rPr>
          <w:rFonts w:ascii="Times New Roman" w:hAnsi="Times New Roman"/>
          <w:iCs/>
          <w:sz w:val="20"/>
          <w:szCs w:val="20"/>
        </w:rPr>
        <w:t>[3, 16]</w:t>
      </w:r>
      <w:r w:rsidRPr="00995D76">
        <w:rPr>
          <w:rFonts w:ascii="Times New Roman" w:hAnsi="Times New Roman"/>
          <w:sz w:val="20"/>
          <w:szCs w:val="20"/>
          <w:lang w:val="ms-MY" w:eastAsia="en-MY"/>
        </w:rPr>
        <w:t xml:space="preserve">. This protein-digestive enzyme attacks the peptide bonds that covalently link the amino acids through a serine residue at the active site of the enzyme. Treating the </w:t>
      </w:r>
      <w:r w:rsidRPr="00995D76">
        <w:rPr>
          <w:rFonts w:ascii="Times New Roman" w:hAnsi="Times New Roman"/>
          <w:sz w:val="20"/>
          <w:szCs w:val="20"/>
        </w:rPr>
        <w:t xml:space="preserve">HA-NRL </w:t>
      </w:r>
      <w:r w:rsidRPr="00995D76">
        <w:rPr>
          <w:rFonts w:ascii="Times New Roman" w:hAnsi="Times New Roman"/>
          <w:sz w:val="20"/>
          <w:szCs w:val="20"/>
          <w:lang w:val="ms-MY" w:eastAsia="en-MY"/>
        </w:rPr>
        <w:t xml:space="preserve">with alcalase causes  proteins digestion or hydrolysis whereby the proteins molecules are cleaved into more smaller sizes. At higher concentration of alcalase, more proteins are truncated by the enzyme. The truncated proteins </w:t>
      </w:r>
      <w:r w:rsidRPr="00847B3B">
        <w:rPr>
          <w:rFonts w:ascii="Times New Roman" w:hAnsi="Times New Roman"/>
          <w:sz w:val="20"/>
          <w:szCs w:val="20"/>
          <w:lang w:val="ms-MY" w:eastAsia="en-MY"/>
        </w:rPr>
        <w:t>being of smaller molecular fragments, would be easily moved to the film surface during the drying process. When the films were leached in water subsequently, these proteins would be easily solubilized in water.</w:t>
      </w:r>
    </w:p>
    <w:p w:rsidR="00D94C17" w:rsidRDefault="00D94C17" w:rsidP="00D94C17">
      <w:pPr>
        <w:tabs>
          <w:tab w:val="left" w:pos="360"/>
        </w:tabs>
        <w:spacing w:after="0" w:line="240" w:lineRule="auto"/>
        <w:jc w:val="both"/>
        <w:rPr>
          <w:rFonts w:ascii="Times New Roman" w:hAnsi="Times New Roman"/>
          <w:sz w:val="20"/>
          <w:szCs w:val="20"/>
          <w:lang w:val="ms-MY" w:eastAsia="en-MY"/>
        </w:rPr>
      </w:pPr>
    </w:p>
    <w:p w:rsidR="00D94C17" w:rsidRDefault="00D94C17" w:rsidP="00D94C17">
      <w:pPr>
        <w:tabs>
          <w:tab w:val="left" w:pos="360"/>
        </w:tabs>
        <w:spacing w:after="0" w:line="240" w:lineRule="auto"/>
        <w:jc w:val="both"/>
        <w:rPr>
          <w:rFonts w:ascii="Times New Roman" w:hAnsi="Times New Roman"/>
          <w:sz w:val="20"/>
          <w:szCs w:val="20"/>
          <w:lang w:val="ms-MY" w:eastAsia="ms-MY"/>
        </w:rPr>
      </w:pPr>
      <w:r w:rsidRPr="00995D76">
        <w:rPr>
          <w:rFonts w:ascii="Times New Roman" w:hAnsi="Times New Roman"/>
          <w:sz w:val="20"/>
          <w:szCs w:val="20"/>
        </w:rPr>
        <w:t xml:space="preserve">The degree of protein hydrolysis by proteolytic enzyme is influenced by the enzyme and substrates concentration </w:t>
      </w:r>
      <w:r w:rsidRPr="0080594F">
        <w:rPr>
          <w:rFonts w:ascii="Times New Roman" w:hAnsi="Times New Roman"/>
          <w:sz w:val="20"/>
          <w:szCs w:val="20"/>
        </w:rPr>
        <w:t>[17].</w:t>
      </w:r>
      <w:r w:rsidRPr="00995D76">
        <w:rPr>
          <w:rFonts w:ascii="Times New Roman" w:hAnsi="Times New Roman"/>
          <w:sz w:val="20"/>
          <w:szCs w:val="20"/>
        </w:rPr>
        <w:t xml:space="preserve">  As described by </w:t>
      </w:r>
      <w:r w:rsidRPr="00995D76">
        <w:rPr>
          <w:rFonts w:ascii="Times New Roman" w:hAnsi="Times New Roman"/>
          <w:sz w:val="20"/>
          <w:szCs w:val="20"/>
          <w:lang w:val="ms-MY" w:eastAsia="ms-MY"/>
        </w:rPr>
        <w:t>James et al.</w:t>
      </w:r>
      <w:r>
        <w:rPr>
          <w:rFonts w:ascii="Times New Roman" w:hAnsi="Times New Roman"/>
          <w:sz w:val="20"/>
          <w:szCs w:val="20"/>
          <w:lang w:val="ms-MY" w:eastAsia="ms-MY"/>
        </w:rPr>
        <w:t xml:space="preserve"> [18]</w:t>
      </w:r>
      <w:r w:rsidRPr="00995D76">
        <w:rPr>
          <w:rFonts w:ascii="Times New Roman" w:hAnsi="Times New Roman"/>
          <w:sz w:val="20"/>
          <w:szCs w:val="20"/>
          <w:lang w:val="ms-MY" w:eastAsia="ms-MY"/>
        </w:rPr>
        <w:t xml:space="preserve"> enzyme concentration generally had a greater effect on accelerating hydrolysis reaction thus able to shorten the reaction time when compared with temperature increment. Generally, the rate of reaction is simultaneuosly increased when more enzyme is added, provided that the substrate concentration is high and kept at constant rate. On the other hand, there is usually a hyperbolic relation between the rate of reaction and the concentration of substrate. The rate of reaction is increased with increasing substrate concentration until a point is reached whereby the active sites of the enzyme molecules are saturated with substrates. As a consequence, any further increment in substrate concentration will not have any affect to the reaction rate. </w:t>
      </w:r>
    </w:p>
    <w:p w:rsidR="00592A0A" w:rsidRDefault="00592A0A" w:rsidP="00D94C17">
      <w:pPr>
        <w:tabs>
          <w:tab w:val="left" w:pos="360"/>
        </w:tabs>
        <w:spacing w:after="0" w:line="240" w:lineRule="auto"/>
        <w:jc w:val="both"/>
        <w:rPr>
          <w:rFonts w:ascii="Times New Roman" w:hAnsi="Times New Roman"/>
          <w:sz w:val="20"/>
          <w:szCs w:val="20"/>
        </w:rPr>
      </w:pPr>
    </w:p>
    <w:p w:rsidR="00D94C17" w:rsidRPr="004B08A7" w:rsidRDefault="00D94C17" w:rsidP="00D94C17">
      <w:pPr>
        <w:tabs>
          <w:tab w:val="left" w:pos="360"/>
        </w:tabs>
        <w:spacing w:after="0" w:line="240" w:lineRule="auto"/>
        <w:jc w:val="both"/>
        <w:rPr>
          <w:rFonts w:ascii="Times New Roman" w:hAnsi="Times New Roman"/>
          <w:sz w:val="20"/>
          <w:szCs w:val="20"/>
        </w:rPr>
      </w:pPr>
      <w:r w:rsidRPr="00995D76">
        <w:rPr>
          <w:rFonts w:ascii="Times New Roman" w:hAnsi="Times New Roman"/>
          <w:sz w:val="20"/>
          <w:szCs w:val="20"/>
          <w:lang w:eastAsia="en-MY"/>
        </w:rPr>
        <w:t>In this study, the rate of reaction or the degree of protein hydrolysis in the treated HA-NRL could be visualized by looking at the fractionation of proteins in HA-NRL serum based on the difference in molecular weights as shown in Fig</w:t>
      </w:r>
      <w:r>
        <w:rPr>
          <w:rFonts w:ascii="Times New Roman" w:hAnsi="Times New Roman"/>
          <w:sz w:val="20"/>
          <w:szCs w:val="20"/>
          <w:lang w:eastAsia="en-MY"/>
        </w:rPr>
        <w:t xml:space="preserve">ure </w:t>
      </w:r>
      <w:r w:rsidRPr="00995D76">
        <w:rPr>
          <w:rFonts w:ascii="Times New Roman" w:hAnsi="Times New Roman"/>
          <w:sz w:val="20"/>
          <w:szCs w:val="20"/>
          <w:lang w:eastAsia="en-MY"/>
        </w:rPr>
        <w:t xml:space="preserve">2. </w:t>
      </w:r>
      <w:r w:rsidRPr="00995D76">
        <w:rPr>
          <w:rFonts w:ascii="Times New Roman" w:hAnsi="Times New Roman"/>
          <w:sz w:val="20"/>
          <w:szCs w:val="20"/>
          <w:lang w:val="ms-MY" w:eastAsia="en-MY"/>
        </w:rPr>
        <w:t>Results from SDS-PAGE also confirmed that more proteins were being digested at high concentration of alcalase (4%). Based on Fig</w:t>
      </w:r>
      <w:r>
        <w:rPr>
          <w:rFonts w:ascii="Times New Roman" w:hAnsi="Times New Roman"/>
          <w:sz w:val="20"/>
          <w:szCs w:val="20"/>
          <w:lang w:val="ms-MY" w:eastAsia="en-MY"/>
        </w:rPr>
        <w:t>ure</w:t>
      </w:r>
      <w:r w:rsidRPr="00995D76">
        <w:rPr>
          <w:rFonts w:ascii="Times New Roman" w:hAnsi="Times New Roman"/>
          <w:sz w:val="20"/>
          <w:szCs w:val="20"/>
          <w:lang w:val="ms-MY" w:eastAsia="en-MY"/>
        </w:rPr>
        <w:t xml:space="preserve"> 2, faint bands were observed at the higher molecular weight region, indicating that most of the proteins have been degraded into small molecular weights. As the alcalase concentration increased, there was increased bands at the lower molecular weight region, suggesting that the innate high molecular weight proteins were digested by alcalase into smaller molecular weight protein fragments.  </w:t>
      </w:r>
    </w:p>
    <w:p w:rsidR="00D94C17" w:rsidRPr="00995D76" w:rsidRDefault="00D94C17" w:rsidP="00592A0A">
      <w:pPr>
        <w:autoSpaceDE w:val="0"/>
        <w:autoSpaceDN w:val="0"/>
        <w:adjustRightInd w:val="0"/>
        <w:spacing w:after="120" w:line="240" w:lineRule="auto"/>
        <w:jc w:val="center"/>
        <w:rPr>
          <w:rFonts w:ascii="Times New Roman" w:hAnsi="Times New Roman"/>
          <w:b/>
          <w:sz w:val="20"/>
          <w:szCs w:val="20"/>
          <w:lang w:eastAsia="en-MY"/>
        </w:rPr>
      </w:pPr>
      <w:r w:rsidRPr="00995D76">
        <w:rPr>
          <w:rFonts w:ascii="Times New Roman" w:hAnsi="Times New Roman"/>
          <w:b/>
          <w:noProof/>
          <w:sz w:val="20"/>
          <w:szCs w:val="20"/>
          <w:lang w:bidi="ar-SA"/>
        </w:rPr>
        <w:lastRenderedPageBreak/>
        <w:drawing>
          <wp:inline distT="0" distB="0" distL="0" distR="0" wp14:anchorId="72AB1E2C" wp14:editId="29B18109">
            <wp:extent cx="3135618" cy="2152650"/>
            <wp:effectExtent l="19050" t="19050" r="27305" b="19050"/>
            <wp:docPr id="7" name="Picture 7" descr="C:\Users\aziana\Documents\2016\JRR 2016\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iana\Documents\2016\JRR 2016\Figure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9774" cy="2182964"/>
                    </a:xfrm>
                    <a:prstGeom prst="rect">
                      <a:avLst/>
                    </a:prstGeom>
                    <a:noFill/>
                    <a:ln>
                      <a:solidFill>
                        <a:schemeClr val="tx1"/>
                      </a:solidFill>
                    </a:ln>
                  </pic:spPr>
                </pic:pic>
              </a:graphicData>
            </a:graphic>
          </wp:inline>
        </w:drawing>
      </w:r>
    </w:p>
    <w:p w:rsidR="00D94C17" w:rsidRDefault="00D94C17" w:rsidP="00D94C17">
      <w:pPr>
        <w:autoSpaceDE w:val="0"/>
        <w:autoSpaceDN w:val="0"/>
        <w:adjustRightInd w:val="0"/>
        <w:spacing w:after="0" w:line="240" w:lineRule="auto"/>
        <w:ind w:left="851" w:hanging="851"/>
        <w:jc w:val="both"/>
        <w:rPr>
          <w:rFonts w:ascii="Times New Roman" w:hAnsi="Times New Roman"/>
          <w:sz w:val="20"/>
          <w:szCs w:val="20"/>
          <w:lang w:eastAsia="en-MY"/>
        </w:rPr>
      </w:pPr>
      <w:r w:rsidRPr="00995D76">
        <w:rPr>
          <w:rFonts w:ascii="Times New Roman" w:hAnsi="Times New Roman"/>
          <w:sz w:val="20"/>
          <w:szCs w:val="20"/>
          <w:lang w:eastAsia="en-MY"/>
        </w:rPr>
        <w:t>Fig</w:t>
      </w:r>
      <w:r>
        <w:rPr>
          <w:rFonts w:ascii="Times New Roman" w:hAnsi="Times New Roman"/>
          <w:sz w:val="20"/>
          <w:szCs w:val="20"/>
          <w:lang w:eastAsia="en-MY"/>
        </w:rPr>
        <w:t xml:space="preserve">ure </w:t>
      </w:r>
      <w:r w:rsidRPr="00995D76">
        <w:rPr>
          <w:rFonts w:ascii="Times New Roman" w:hAnsi="Times New Roman"/>
          <w:sz w:val="20"/>
          <w:szCs w:val="20"/>
          <w:lang w:eastAsia="en-MY"/>
        </w:rPr>
        <w:t xml:space="preserve">2. </w:t>
      </w:r>
      <w:r w:rsidR="00592A0A">
        <w:rPr>
          <w:rFonts w:ascii="Times New Roman" w:hAnsi="Times New Roman"/>
          <w:sz w:val="20"/>
          <w:szCs w:val="20"/>
          <w:lang w:eastAsia="en-MY"/>
        </w:rPr>
        <w:tab/>
      </w:r>
      <w:r w:rsidRPr="00995D76">
        <w:rPr>
          <w:rFonts w:ascii="Times New Roman" w:hAnsi="Times New Roman"/>
          <w:sz w:val="20"/>
          <w:szCs w:val="20"/>
          <w:lang w:eastAsia="en-MY"/>
        </w:rPr>
        <w:t xml:space="preserve">SDS-PAGE of HA-NRL serum after 2-hour incubation with enzymatic treatment; M; </w:t>
      </w:r>
      <w:r>
        <w:rPr>
          <w:rFonts w:ascii="Times New Roman" w:hAnsi="Times New Roman"/>
          <w:sz w:val="20"/>
          <w:szCs w:val="20"/>
          <w:lang w:eastAsia="en-MY"/>
        </w:rPr>
        <w:t>p</w:t>
      </w:r>
      <w:r w:rsidRPr="00995D76">
        <w:rPr>
          <w:rFonts w:ascii="Times New Roman" w:hAnsi="Times New Roman"/>
          <w:sz w:val="20"/>
          <w:szCs w:val="20"/>
          <w:lang w:eastAsia="en-MY"/>
        </w:rPr>
        <w:t xml:space="preserve">rotein marker, HA; </w:t>
      </w:r>
      <w:r>
        <w:rPr>
          <w:rFonts w:ascii="Times New Roman" w:hAnsi="Times New Roman"/>
          <w:sz w:val="20"/>
          <w:szCs w:val="20"/>
          <w:lang w:eastAsia="en-MY"/>
        </w:rPr>
        <w:t>c</w:t>
      </w:r>
      <w:r w:rsidRPr="00995D76">
        <w:rPr>
          <w:rFonts w:ascii="Times New Roman" w:hAnsi="Times New Roman"/>
          <w:sz w:val="20"/>
          <w:szCs w:val="20"/>
          <w:lang w:eastAsia="en-MY"/>
        </w:rPr>
        <w:t xml:space="preserve">ontrol (HA-NRL without alcalase), AL; </w:t>
      </w:r>
      <w:r>
        <w:rPr>
          <w:rFonts w:ascii="Times New Roman" w:hAnsi="Times New Roman"/>
          <w:sz w:val="20"/>
          <w:szCs w:val="20"/>
          <w:lang w:eastAsia="en-MY"/>
        </w:rPr>
        <w:t>c</w:t>
      </w:r>
      <w:r w:rsidRPr="00995D76">
        <w:rPr>
          <w:rFonts w:ascii="Times New Roman" w:hAnsi="Times New Roman"/>
          <w:sz w:val="20"/>
          <w:szCs w:val="20"/>
          <w:lang w:eastAsia="en-MY"/>
        </w:rPr>
        <w:t>ontrol (alcalase blank), HA-ALx (x-alcalase</w:t>
      </w:r>
      <w:r>
        <w:rPr>
          <w:rFonts w:ascii="Times New Roman" w:hAnsi="Times New Roman"/>
          <w:sz w:val="20"/>
          <w:szCs w:val="20"/>
          <w:lang w:eastAsia="en-MY"/>
        </w:rPr>
        <w:t xml:space="preserve"> </w:t>
      </w:r>
      <w:r w:rsidRPr="00995D76">
        <w:rPr>
          <w:rFonts w:ascii="Times New Roman" w:hAnsi="Times New Roman"/>
          <w:sz w:val="20"/>
          <w:szCs w:val="20"/>
          <w:lang w:eastAsia="en-MY"/>
        </w:rPr>
        <w:t>concentration of 1%, 2%, 3% and 4%)</w:t>
      </w:r>
    </w:p>
    <w:p w:rsidR="00D94C17" w:rsidRPr="005F731B" w:rsidRDefault="00D94C17" w:rsidP="00592A0A">
      <w:pPr>
        <w:autoSpaceDE w:val="0"/>
        <w:autoSpaceDN w:val="0"/>
        <w:adjustRightInd w:val="0"/>
        <w:spacing w:after="120" w:line="240" w:lineRule="auto"/>
        <w:ind w:left="850" w:hanging="850"/>
        <w:jc w:val="both"/>
        <w:rPr>
          <w:rFonts w:ascii="Times New Roman" w:hAnsi="Times New Roman"/>
          <w:sz w:val="20"/>
          <w:szCs w:val="20"/>
          <w:lang w:eastAsia="en-MY"/>
        </w:rPr>
      </w:pPr>
    </w:p>
    <w:p w:rsidR="00D94C17" w:rsidRPr="005F731B" w:rsidRDefault="00D94C17" w:rsidP="00D94C17">
      <w:pPr>
        <w:autoSpaceDE w:val="0"/>
        <w:autoSpaceDN w:val="0"/>
        <w:adjustRightInd w:val="0"/>
        <w:spacing w:after="0" w:line="240" w:lineRule="auto"/>
        <w:jc w:val="both"/>
        <w:rPr>
          <w:rFonts w:ascii="Times New Roman" w:hAnsi="Times New Roman"/>
          <w:b/>
          <w:sz w:val="20"/>
          <w:szCs w:val="20"/>
          <w:lang w:eastAsia="en-MY"/>
        </w:rPr>
      </w:pPr>
      <w:r w:rsidRPr="005F731B">
        <w:rPr>
          <w:rFonts w:ascii="Times New Roman" w:hAnsi="Times New Roman"/>
          <w:b/>
          <w:sz w:val="20"/>
          <w:szCs w:val="20"/>
          <w:lang w:eastAsia="en-MY"/>
        </w:rPr>
        <w:t xml:space="preserve">Effect of alcalase on protein content in </w:t>
      </w:r>
      <w:r w:rsidRPr="005F731B">
        <w:rPr>
          <w:rFonts w:ascii="Times New Roman" w:hAnsi="Times New Roman"/>
          <w:b/>
          <w:sz w:val="20"/>
          <w:szCs w:val="20"/>
        </w:rPr>
        <w:t>white rubber phase of high</w:t>
      </w:r>
      <w:r w:rsidRPr="005F731B">
        <w:rPr>
          <w:rFonts w:ascii="Times New Roman" w:hAnsi="Times New Roman"/>
          <w:b/>
          <w:sz w:val="20"/>
          <w:szCs w:val="20"/>
          <w:lang w:eastAsia="en-MY"/>
        </w:rPr>
        <w:t xml:space="preserve"> ammoniated–natural rubber latex </w:t>
      </w:r>
    </w:p>
    <w:p w:rsidR="00D94C17" w:rsidRDefault="00D94C17" w:rsidP="00D94C17">
      <w:pPr>
        <w:spacing w:after="0" w:line="240" w:lineRule="auto"/>
        <w:jc w:val="both"/>
        <w:rPr>
          <w:rFonts w:ascii="Times New Roman" w:hAnsi="Times New Roman"/>
          <w:sz w:val="20"/>
          <w:szCs w:val="20"/>
        </w:rPr>
      </w:pPr>
      <w:r w:rsidRPr="00995D76">
        <w:rPr>
          <w:rFonts w:ascii="Times New Roman" w:hAnsi="Times New Roman"/>
          <w:sz w:val="20"/>
          <w:szCs w:val="20"/>
        </w:rPr>
        <w:t>In this experiment, the HA-NRL was subjected to high speed centrifugation in order to purify the rubber phase from proteins and other non-rubber substances. Presence of nitrogen (N) in the white rubber phase after this process would measure the efficiency of the enzyme in removing the non-rubber substances from the rubber particles surfaces. As discussed earlier in this study, more proteins were digested at higher enzyme concentration. Presumably, after centrifugation process the amount of proteins in the white rubber phase from HA-NRL with high alcalase concentration should as well being reduced. This is due to gravitational forces that would have separated and removed the small protein peptides during centrifugation process.</w:t>
      </w:r>
    </w:p>
    <w:p w:rsidR="00D94C17" w:rsidRDefault="00D94C17" w:rsidP="00D94C17">
      <w:pPr>
        <w:spacing w:after="0" w:line="240" w:lineRule="auto"/>
        <w:jc w:val="both"/>
        <w:rPr>
          <w:rFonts w:ascii="Times New Roman" w:hAnsi="Times New Roman"/>
          <w:sz w:val="20"/>
          <w:szCs w:val="20"/>
        </w:rPr>
      </w:pPr>
    </w:p>
    <w:p w:rsidR="00D94C17" w:rsidRDefault="00D94C17" w:rsidP="00D94C17">
      <w:pPr>
        <w:spacing w:after="0" w:line="240" w:lineRule="auto"/>
        <w:jc w:val="both"/>
        <w:rPr>
          <w:rFonts w:ascii="Times New Roman" w:hAnsi="Times New Roman"/>
          <w:sz w:val="20"/>
          <w:szCs w:val="20"/>
        </w:rPr>
      </w:pPr>
      <w:r w:rsidRPr="00995D76">
        <w:rPr>
          <w:rFonts w:ascii="Times New Roman" w:hAnsi="Times New Roman"/>
          <w:sz w:val="20"/>
          <w:szCs w:val="20"/>
        </w:rPr>
        <w:t>The relationship between N% and alcalase concentration in white rubber phase could be interpreted by dividing the graph into three different parts as shown in Fig</w:t>
      </w:r>
      <w:r>
        <w:rPr>
          <w:rFonts w:ascii="Times New Roman" w:hAnsi="Times New Roman"/>
          <w:sz w:val="20"/>
          <w:szCs w:val="20"/>
        </w:rPr>
        <w:t xml:space="preserve">ure </w:t>
      </w:r>
      <w:r w:rsidRPr="00995D76">
        <w:rPr>
          <w:rFonts w:ascii="Times New Roman" w:hAnsi="Times New Roman"/>
          <w:sz w:val="20"/>
          <w:szCs w:val="20"/>
        </w:rPr>
        <w:t>3. In the absence of alcalase, the level of protein content in the white rubber phase of HA-NRL was recorded at 0.07%, which was higher than that of treated HA-NRL. This might be attributed to proteins that were tightly bound to the rubber particles. Interestingly, the protein content in white rubber phase from HA-NRL treated with 1% of alcalase showed significant reduction of 91%, decreasing from 0.07% to 0.006% (Part a). These findings showed that proteins were hydrolysed and cleaved into smaller molecules. The cleaved and lighter molecular weight proteins then entered into the latex serum hence reducing the amount of proteins still locked on to the rubber particle surfaces. The serum proteins were subsequently removed upon centrifugation.</w:t>
      </w:r>
    </w:p>
    <w:p w:rsidR="00D94C17" w:rsidRDefault="00D94C17" w:rsidP="00D94C17">
      <w:pPr>
        <w:tabs>
          <w:tab w:val="left" w:pos="360"/>
        </w:tabs>
        <w:spacing w:after="0" w:line="240" w:lineRule="auto"/>
        <w:jc w:val="both"/>
        <w:rPr>
          <w:rFonts w:ascii="Times New Roman" w:hAnsi="Times New Roman"/>
          <w:sz w:val="20"/>
          <w:szCs w:val="20"/>
        </w:rPr>
      </w:pPr>
    </w:p>
    <w:p w:rsidR="00592A0A" w:rsidRDefault="00592A0A" w:rsidP="00592A0A">
      <w:pPr>
        <w:spacing w:after="0" w:line="240" w:lineRule="auto"/>
        <w:jc w:val="both"/>
        <w:rPr>
          <w:rFonts w:ascii="Times New Roman" w:hAnsi="Times New Roman"/>
          <w:sz w:val="20"/>
          <w:szCs w:val="20"/>
          <w:lang w:val="ms-MY" w:eastAsia="en-MY"/>
        </w:rPr>
      </w:pPr>
      <w:r w:rsidRPr="00995D76">
        <w:rPr>
          <w:rFonts w:ascii="Times New Roman" w:hAnsi="Times New Roman"/>
          <w:sz w:val="20"/>
          <w:szCs w:val="20"/>
        </w:rPr>
        <w:t xml:space="preserve">However, as concentration of alcalase was increased (Part b), the amount of proteins in the white rubber phase was proportionally increased up to 3% of alcalase. This shows that the total protein content in the treated HA-NRL was influenced by the presence of alcalase. </w:t>
      </w:r>
      <w:r w:rsidRPr="00995D76">
        <w:rPr>
          <w:rFonts w:ascii="Times New Roman" w:hAnsi="Times New Roman"/>
          <w:sz w:val="20"/>
          <w:szCs w:val="20"/>
          <w:lang w:val="ms-MY" w:eastAsia="en-MY"/>
        </w:rPr>
        <w:t xml:space="preserve">Alcalase which is a proteolytic enzyme, digested the native proteins in the latex by cutting the peptide bonds </w:t>
      </w:r>
      <w:r w:rsidRPr="00995D76">
        <w:rPr>
          <w:rFonts w:ascii="Times New Roman" w:hAnsi="Times New Roman"/>
          <w:sz w:val="20"/>
          <w:szCs w:val="20"/>
          <w:lang w:eastAsia="en-MY"/>
        </w:rPr>
        <w:t>that covalently linked the amino acids, turning the proteins into low molecular weight molecules. Consequently, the proteins could be easily removed by centrifugation or solubilisation with water. However</w:t>
      </w:r>
      <w:r w:rsidRPr="00995D76">
        <w:rPr>
          <w:rFonts w:ascii="Times New Roman" w:hAnsi="Times New Roman"/>
          <w:sz w:val="20"/>
          <w:szCs w:val="20"/>
          <w:lang w:val="ms-MY" w:eastAsia="en-MY"/>
        </w:rPr>
        <w:t>, alcalase itself is a long polypeptide chain of proteins. Therefore, increment of protein content in the white rubber phase of the treated HA-NRL was probably contributed by the peptide chains of alcalase. Meanwhile, in the third part (Part c), no significant changes in protein content was observed.</w:t>
      </w:r>
    </w:p>
    <w:p w:rsidR="00592A0A" w:rsidRPr="00995D76" w:rsidRDefault="00592A0A" w:rsidP="00592A0A">
      <w:pPr>
        <w:tabs>
          <w:tab w:val="left" w:pos="360"/>
        </w:tabs>
        <w:spacing w:after="0" w:line="240" w:lineRule="auto"/>
        <w:rPr>
          <w:rFonts w:ascii="Times New Roman" w:hAnsi="Times New Roman"/>
          <w:sz w:val="20"/>
          <w:szCs w:val="20"/>
        </w:rPr>
      </w:pPr>
    </w:p>
    <w:p w:rsidR="00D94C17" w:rsidRPr="00995D76" w:rsidRDefault="00D94C17" w:rsidP="00592A0A">
      <w:pPr>
        <w:spacing w:after="120" w:line="240" w:lineRule="auto"/>
        <w:jc w:val="center"/>
        <w:rPr>
          <w:rFonts w:ascii="Times New Roman" w:hAnsi="Times New Roman"/>
          <w:sz w:val="20"/>
          <w:szCs w:val="20"/>
        </w:rPr>
      </w:pPr>
      <w:r w:rsidRPr="00995D76">
        <w:rPr>
          <w:rFonts w:ascii="Times New Roman" w:hAnsi="Times New Roman"/>
          <w:noProof/>
          <w:sz w:val="20"/>
          <w:szCs w:val="20"/>
          <w:lang w:bidi="ar-SA"/>
        </w:rPr>
        <w:lastRenderedPageBreak/>
        <w:drawing>
          <wp:inline distT="0" distB="0" distL="0" distR="0" wp14:anchorId="2D26109F" wp14:editId="28586A92">
            <wp:extent cx="2968907" cy="2087394"/>
            <wp:effectExtent l="19050" t="19050" r="22225" b="273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7154" cy="2093192"/>
                    </a:xfrm>
                    <a:prstGeom prst="rect">
                      <a:avLst/>
                    </a:prstGeom>
                    <a:noFill/>
                    <a:ln>
                      <a:solidFill>
                        <a:schemeClr val="tx1"/>
                      </a:solidFill>
                    </a:ln>
                  </pic:spPr>
                </pic:pic>
              </a:graphicData>
            </a:graphic>
          </wp:inline>
        </w:drawing>
      </w:r>
    </w:p>
    <w:p w:rsidR="00D94C17" w:rsidRPr="00995D76" w:rsidRDefault="00D94C17" w:rsidP="00D94C17">
      <w:pPr>
        <w:spacing w:after="0" w:line="240" w:lineRule="auto"/>
        <w:ind w:left="851" w:hanging="851"/>
        <w:jc w:val="both"/>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 xml:space="preserve">ure </w:t>
      </w:r>
      <w:r w:rsidRPr="00995D76">
        <w:rPr>
          <w:rFonts w:ascii="Times New Roman" w:hAnsi="Times New Roman"/>
          <w:sz w:val="20"/>
          <w:szCs w:val="20"/>
        </w:rPr>
        <w:t xml:space="preserve">3. </w:t>
      </w:r>
      <w:r w:rsidR="00592A0A">
        <w:rPr>
          <w:rFonts w:ascii="Times New Roman" w:hAnsi="Times New Roman"/>
          <w:sz w:val="20"/>
          <w:szCs w:val="20"/>
        </w:rPr>
        <w:tab/>
      </w:r>
      <w:r w:rsidRPr="00995D76">
        <w:rPr>
          <w:rFonts w:ascii="Times New Roman" w:hAnsi="Times New Roman"/>
          <w:sz w:val="20"/>
          <w:szCs w:val="20"/>
        </w:rPr>
        <w:t>Total nitrogen content from white rubber phase of HA-NRL after centrifugation in different concentration of alcalase</w:t>
      </w:r>
    </w:p>
    <w:p w:rsidR="00D94C17" w:rsidRDefault="00D94C17" w:rsidP="00592A0A">
      <w:pPr>
        <w:spacing w:after="120" w:line="240" w:lineRule="auto"/>
        <w:jc w:val="both"/>
        <w:rPr>
          <w:rFonts w:ascii="Times New Roman" w:hAnsi="Times New Roman"/>
          <w:sz w:val="20"/>
          <w:szCs w:val="20"/>
          <w:lang w:val="ms-MY" w:eastAsia="en-MY"/>
        </w:rPr>
      </w:pPr>
    </w:p>
    <w:p w:rsidR="00D94C17" w:rsidRDefault="00D94C17" w:rsidP="00D94C17">
      <w:pPr>
        <w:tabs>
          <w:tab w:val="left" w:pos="360"/>
        </w:tabs>
        <w:spacing w:after="0" w:line="240" w:lineRule="auto"/>
        <w:jc w:val="both"/>
        <w:rPr>
          <w:rFonts w:ascii="Times New Roman" w:hAnsi="Times New Roman"/>
          <w:sz w:val="20"/>
          <w:szCs w:val="20"/>
          <w:lang w:val="ms-MY" w:eastAsia="en-MY"/>
        </w:rPr>
      </w:pPr>
      <w:r w:rsidRPr="00995D76">
        <w:rPr>
          <w:rFonts w:ascii="Times New Roman" w:hAnsi="Times New Roman"/>
          <w:sz w:val="20"/>
          <w:szCs w:val="20"/>
          <w:lang w:val="ms-MY" w:eastAsia="en-MY"/>
        </w:rPr>
        <w:t xml:space="preserve">Based on the findings above, there are two hypothetical theories that could likely explain the increase in N% content in the white rubber phase of HA-NRL in the presence of alcalase </w:t>
      </w:r>
      <w:r w:rsidRPr="00995D76">
        <w:rPr>
          <w:rFonts w:ascii="Times New Roman" w:hAnsi="Times New Roman"/>
          <w:sz w:val="20"/>
          <w:szCs w:val="20"/>
        </w:rPr>
        <w:t>after centrifugation process</w:t>
      </w:r>
      <w:r w:rsidRPr="00995D76">
        <w:rPr>
          <w:rFonts w:ascii="Times New Roman" w:hAnsi="Times New Roman"/>
          <w:sz w:val="20"/>
          <w:szCs w:val="20"/>
          <w:lang w:val="ms-MY" w:eastAsia="en-MY"/>
        </w:rPr>
        <w:t xml:space="preserve">. The first theory is the occurence of adsorption and desorption of protein molecules on the surface of rubber particles. The absorption of other protein peptides on the rubber particles surface could be due to ionic (elecrostatic) bonding or hydrophobic interaction </w:t>
      </w:r>
      <w:r>
        <w:rPr>
          <w:rFonts w:ascii="Times New Roman" w:hAnsi="Times New Roman"/>
          <w:sz w:val="20"/>
          <w:szCs w:val="20"/>
          <w:lang w:val="ms-MY" w:eastAsia="en-MY"/>
        </w:rPr>
        <w:t>[19]</w:t>
      </w:r>
      <w:r w:rsidRPr="00995D76">
        <w:rPr>
          <w:rFonts w:ascii="Times New Roman" w:hAnsi="Times New Roman"/>
          <w:sz w:val="20"/>
          <w:szCs w:val="20"/>
          <w:lang w:val="ms-MY" w:eastAsia="en-MY"/>
        </w:rPr>
        <w:t xml:space="preserve">. As described previously by </w:t>
      </w:r>
      <w:r>
        <w:rPr>
          <w:rFonts w:ascii="Times New Roman" w:hAnsi="Times New Roman"/>
          <w:sz w:val="20"/>
          <w:szCs w:val="20"/>
          <w:lang w:val="ms-MY" w:eastAsia="en-MY"/>
        </w:rPr>
        <w:t>Stoker [20]</w:t>
      </w:r>
      <w:r w:rsidRPr="00995D76">
        <w:rPr>
          <w:rFonts w:ascii="Times New Roman" w:hAnsi="Times New Roman"/>
          <w:sz w:val="20"/>
          <w:szCs w:val="20"/>
          <w:lang w:val="ms-MY" w:eastAsia="en-MY"/>
        </w:rPr>
        <w:t>, electrostatic interaction can occur with small peptides and amino acids. Commonly, alcalase consists of a single peptide chain with 274 amino acid residues in the absence of disulfide bonds</w:t>
      </w:r>
      <w:r>
        <w:rPr>
          <w:rFonts w:ascii="Times New Roman" w:hAnsi="Times New Roman"/>
          <w:sz w:val="20"/>
          <w:szCs w:val="20"/>
          <w:lang w:val="ms-MY" w:eastAsia="en-MY"/>
        </w:rPr>
        <w:t xml:space="preserve"> </w:t>
      </w:r>
      <w:r w:rsidRPr="0080594F">
        <w:rPr>
          <w:rFonts w:ascii="Times New Roman" w:hAnsi="Times New Roman"/>
          <w:sz w:val="20"/>
          <w:szCs w:val="20"/>
          <w:lang w:val="ms-MY" w:eastAsia="en-MY"/>
        </w:rPr>
        <w:t>[21].</w:t>
      </w:r>
      <w:r w:rsidRPr="00995D76">
        <w:rPr>
          <w:rFonts w:ascii="Times New Roman" w:hAnsi="Times New Roman"/>
          <w:sz w:val="20"/>
          <w:szCs w:val="20"/>
          <w:lang w:val="ms-MY" w:eastAsia="en-MY"/>
        </w:rPr>
        <w:t xml:space="preserve"> A study by </w:t>
      </w:r>
      <w:r>
        <w:rPr>
          <w:rFonts w:ascii="Times New Roman" w:hAnsi="Times New Roman"/>
          <w:sz w:val="20"/>
          <w:szCs w:val="20"/>
          <w:lang w:val="ms-MY" w:eastAsia="en-MY"/>
        </w:rPr>
        <w:t>Tangboriboonrat et al. [22]</w:t>
      </w:r>
      <w:r w:rsidRPr="00995D76">
        <w:rPr>
          <w:rFonts w:ascii="Times New Roman" w:hAnsi="Times New Roman"/>
          <w:sz w:val="20"/>
          <w:szCs w:val="20"/>
          <w:lang w:eastAsia="en-MY"/>
        </w:rPr>
        <w:t xml:space="preserve"> implied that certain </w:t>
      </w:r>
      <w:r w:rsidRPr="00995D76">
        <w:rPr>
          <w:rFonts w:ascii="Times New Roman" w:hAnsi="Times New Roman"/>
          <w:sz w:val="20"/>
          <w:szCs w:val="20"/>
        </w:rPr>
        <w:t xml:space="preserve">proteins and other non-rubber substances still have the possibilities to remain intact on the rubber particle surfaces after deprotenization process. </w:t>
      </w:r>
      <w:r w:rsidRPr="00995D76">
        <w:rPr>
          <w:rFonts w:ascii="Times New Roman" w:hAnsi="Times New Roman"/>
          <w:sz w:val="20"/>
          <w:szCs w:val="20"/>
          <w:lang w:val="ms-MY" w:eastAsia="en-MY"/>
        </w:rPr>
        <w:t>The small peptides resulted from hydrolysed proteins in HA-NRL that might still be bound on the rubber particles surface could electrostatically interact with amino acids derived from the alcalase. Subsequently,  amide bond between amine and carboxylic acid functional groups in the small peptide and the amino acids would be formed and resulted in new chains of amino acids.</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An empty space left by the digested protein might be replaced by the free floating protein peptides of alcalase.</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 xml:space="preserve">The weakly modified rubber particle surface due to reduction in negatively charged protein provides a hydrophobic surface that other protein molecules could adsorb to. Concentration gradient is one of the factors that influences the transport of proteins to a solid surface </w:t>
      </w:r>
      <w:r w:rsidRPr="0080594F">
        <w:rPr>
          <w:rFonts w:ascii="Times New Roman" w:hAnsi="Times New Roman"/>
          <w:sz w:val="20"/>
          <w:szCs w:val="20"/>
          <w:lang w:val="ms-MY" w:eastAsia="en-MY"/>
        </w:rPr>
        <w:t>[23]</w:t>
      </w:r>
      <w:r w:rsidRPr="00995D76">
        <w:rPr>
          <w:rFonts w:ascii="Times New Roman" w:hAnsi="Times New Roman"/>
          <w:sz w:val="20"/>
          <w:szCs w:val="20"/>
          <w:lang w:val="ms-MY" w:eastAsia="en-MY"/>
        </w:rPr>
        <w:t xml:space="preserve">. Therefore, the tendancy of non-polar hydrophobic region in alcalase to interact with the rubber particles surface will eventually increase when the  concentration of alcalase is  increased. </w:t>
      </w:r>
    </w:p>
    <w:p w:rsidR="00D94C17" w:rsidRPr="00995D76" w:rsidRDefault="00D94C17" w:rsidP="00D94C17">
      <w:pPr>
        <w:tabs>
          <w:tab w:val="left" w:pos="360"/>
        </w:tabs>
        <w:spacing w:after="0" w:line="240" w:lineRule="auto"/>
        <w:jc w:val="both"/>
        <w:rPr>
          <w:rFonts w:ascii="Times New Roman" w:hAnsi="Times New Roman"/>
          <w:noProof/>
          <w:sz w:val="20"/>
          <w:szCs w:val="20"/>
          <w:lang w:val="ms-MY" w:eastAsia="en-MY"/>
        </w:rPr>
      </w:pPr>
    </w:p>
    <w:p w:rsidR="00D94C17" w:rsidRDefault="00D94C17" w:rsidP="00D94C17">
      <w:pPr>
        <w:tabs>
          <w:tab w:val="left" w:pos="360"/>
        </w:tabs>
        <w:spacing w:after="0" w:line="240" w:lineRule="auto"/>
        <w:jc w:val="both"/>
        <w:rPr>
          <w:rFonts w:ascii="Times New Roman" w:hAnsi="Times New Roman"/>
          <w:sz w:val="20"/>
          <w:szCs w:val="20"/>
          <w:lang w:eastAsia="en-MY"/>
        </w:rPr>
      </w:pPr>
      <w:r w:rsidRPr="00995D76">
        <w:rPr>
          <w:rFonts w:ascii="Times New Roman" w:hAnsi="Times New Roman"/>
          <w:sz w:val="20"/>
          <w:szCs w:val="20"/>
          <w:lang w:val="ms-MY" w:eastAsia="en-MY"/>
        </w:rPr>
        <w:t xml:space="preserve">Meanwhile in the second theory, increment or reduction of proteins in the white rubber phase might be influenced by the rate of hydrolysis and aminolysis reaction. </w:t>
      </w:r>
      <w:r w:rsidRPr="00995D76">
        <w:rPr>
          <w:rFonts w:ascii="Times New Roman" w:hAnsi="Times New Roman"/>
          <w:sz w:val="20"/>
          <w:szCs w:val="20"/>
          <w:lang w:eastAsia="en-MY"/>
        </w:rPr>
        <w:t>In the presence of large amount of substrates and limited amount of water, there is a tendency of the proteolytic enzyme to act in the opposite direction, leading to the formation of new peptides bonds also known as aminolysis</w:t>
      </w:r>
      <w:r w:rsidRPr="00995D76">
        <w:rPr>
          <w:rFonts w:ascii="Times New Roman" w:hAnsi="Times New Roman"/>
          <w:sz w:val="20"/>
          <w:szCs w:val="20"/>
          <w:vertAlign w:val="superscript"/>
          <w:lang w:eastAsia="en-MY"/>
        </w:rPr>
        <w:t xml:space="preserve"> </w:t>
      </w:r>
      <w:r>
        <w:rPr>
          <w:rFonts w:ascii="Times New Roman" w:hAnsi="Times New Roman"/>
          <w:sz w:val="20"/>
          <w:szCs w:val="20"/>
          <w:lang w:eastAsia="en-MY"/>
        </w:rPr>
        <w:t>[24]</w:t>
      </w:r>
      <w:r w:rsidRPr="00995D76">
        <w:rPr>
          <w:rFonts w:ascii="Times New Roman" w:hAnsi="Times New Roman"/>
          <w:sz w:val="20"/>
          <w:szCs w:val="20"/>
          <w:lang w:eastAsia="en-MY"/>
        </w:rPr>
        <w:t>.</w:t>
      </w:r>
      <w:r>
        <w:rPr>
          <w:rFonts w:ascii="Times New Roman" w:hAnsi="Times New Roman"/>
          <w:sz w:val="20"/>
          <w:szCs w:val="20"/>
          <w:lang w:val="ms-MY" w:eastAsia="en-MY"/>
        </w:rPr>
        <w:t xml:space="preserve"> </w:t>
      </w:r>
      <w:r w:rsidRPr="00995D76">
        <w:rPr>
          <w:rFonts w:ascii="Times New Roman" w:hAnsi="Times New Roman"/>
          <w:sz w:val="20"/>
          <w:szCs w:val="20"/>
          <w:lang w:val="ms-MY" w:eastAsia="en-MY"/>
        </w:rPr>
        <w:t xml:space="preserve">As enzyme concentration increases, competition between hydrolysis and aminolysis reaction might occur. </w:t>
      </w:r>
      <w:r w:rsidRPr="00995D76">
        <w:rPr>
          <w:rFonts w:ascii="Times New Roman" w:hAnsi="Times New Roman"/>
          <w:sz w:val="20"/>
          <w:szCs w:val="20"/>
          <w:lang w:eastAsia="en-MY"/>
        </w:rPr>
        <w:t xml:space="preserve">Thus, under this circumstance the </w:t>
      </w:r>
      <w:r w:rsidRPr="00995D76">
        <w:rPr>
          <w:rFonts w:ascii="Times New Roman" w:hAnsi="Times New Roman"/>
          <w:sz w:val="20"/>
          <w:szCs w:val="20"/>
        </w:rPr>
        <w:t xml:space="preserve">carboxy terminal modified amino acid ethyl ester of the protein from the substrate </w:t>
      </w:r>
      <w:r w:rsidRPr="00995D76">
        <w:rPr>
          <w:rFonts w:ascii="Times New Roman" w:hAnsi="Times New Roman"/>
          <w:sz w:val="20"/>
          <w:szCs w:val="20"/>
          <w:lang w:eastAsia="en-MY"/>
        </w:rPr>
        <w:t xml:space="preserve">will act as nucleophile and binds to the active site of the proteolytic enzyme to initiate chain length propagation </w:t>
      </w:r>
      <w:r w:rsidRPr="0080594F">
        <w:rPr>
          <w:rFonts w:ascii="Times New Roman" w:hAnsi="Times New Roman"/>
          <w:sz w:val="20"/>
          <w:szCs w:val="20"/>
          <w:lang w:eastAsia="en-MY"/>
        </w:rPr>
        <w:t>[25].</w:t>
      </w:r>
      <w:r w:rsidRPr="00995D76">
        <w:rPr>
          <w:rFonts w:ascii="Times New Roman" w:hAnsi="Times New Roman"/>
          <w:sz w:val="20"/>
          <w:szCs w:val="20"/>
          <w:lang w:eastAsia="en-MY"/>
        </w:rPr>
        <w:t xml:space="preserve"> This reaction could happen on rubber part</w:t>
      </w:r>
      <w:r>
        <w:rPr>
          <w:rFonts w:ascii="Times New Roman" w:hAnsi="Times New Roman"/>
          <w:sz w:val="20"/>
          <w:szCs w:val="20"/>
          <w:lang w:eastAsia="en-MY"/>
        </w:rPr>
        <w:t xml:space="preserve">icles surface as shown in Figure </w:t>
      </w:r>
      <w:r w:rsidRPr="00995D76">
        <w:rPr>
          <w:rFonts w:ascii="Times New Roman" w:hAnsi="Times New Roman"/>
          <w:sz w:val="20"/>
          <w:szCs w:val="20"/>
          <w:lang w:eastAsia="en-MY"/>
        </w:rPr>
        <w:t xml:space="preserve">4. As a result, the total nitrogen content on the rubber particles increased as indicated by the total nitrogen content in the white rubber phase of treated HA-NRL. </w:t>
      </w:r>
    </w:p>
    <w:p w:rsidR="00592A0A" w:rsidRDefault="00592A0A" w:rsidP="00D94C17">
      <w:pPr>
        <w:tabs>
          <w:tab w:val="left" w:pos="360"/>
        </w:tabs>
        <w:spacing w:after="0" w:line="240" w:lineRule="auto"/>
        <w:jc w:val="both"/>
        <w:rPr>
          <w:rFonts w:ascii="Times New Roman" w:hAnsi="Times New Roman"/>
          <w:sz w:val="20"/>
          <w:szCs w:val="20"/>
          <w:lang w:eastAsia="en-MY"/>
        </w:rPr>
      </w:pPr>
    </w:p>
    <w:p w:rsidR="00592A0A" w:rsidRPr="00995D76" w:rsidRDefault="00592A0A" w:rsidP="00592A0A">
      <w:pPr>
        <w:spacing w:after="0" w:line="240" w:lineRule="auto"/>
        <w:jc w:val="both"/>
        <w:rPr>
          <w:rFonts w:ascii="Times New Roman" w:hAnsi="Times New Roman"/>
          <w:sz w:val="20"/>
          <w:szCs w:val="20"/>
          <w:lang w:eastAsia="en-MY"/>
        </w:rPr>
      </w:pPr>
      <w:r w:rsidRPr="00995D76">
        <w:rPr>
          <w:rFonts w:ascii="Times New Roman" w:hAnsi="Times New Roman"/>
          <w:sz w:val="20"/>
          <w:szCs w:val="20"/>
          <w:lang w:eastAsia="en-MY"/>
        </w:rPr>
        <w:t xml:space="preserve">Study by </w:t>
      </w:r>
      <w:r>
        <w:rPr>
          <w:rFonts w:ascii="Times New Roman" w:hAnsi="Times New Roman"/>
          <w:sz w:val="20"/>
          <w:szCs w:val="20"/>
          <w:lang w:eastAsia="en-MY"/>
        </w:rPr>
        <w:t>Tangpakdee and Tanaka [26]</w:t>
      </w:r>
      <w:r w:rsidRPr="00995D76">
        <w:rPr>
          <w:rFonts w:ascii="Times New Roman" w:hAnsi="Times New Roman"/>
          <w:sz w:val="20"/>
          <w:szCs w:val="20"/>
          <w:lang w:eastAsia="en-MY"/>
        </w:rPr>
        <w:t xml:space="preserve"> found that insignificant change in the molecular weight of rubber was observed which showed proteolytic enzyme broke down proteins selectively at certain sites of the amino acids chain and remained as oligopeptide groups that form branched molecules.</w:t>
      </w:r>
      <w:r>
        <w:rPr>
          <w:rFonts w:ascii="Times New Roman" w:hAnsi="Times New Roman"/>
          <w:sz w:val="20"/>
          <w:szCs w:val="20"/>
          <w:lang w:eastAsia="en-MY"/>
        </w:rPr>
        <w:t xml:space="preserve"> </w:t>
      </w:r>
      <w:r w:rsidRPr="00995D76">
        <w:rPr>
          <w:rFonts w:ascii="Times New Roman" w:hAnsi="Times New Roman"/>
          <w:sz w:val="20"/>
          <w:szCs w:val="20"/>
          <w:lang w:eastAsia="en-MY"/>
        </w:rPr>
        <w:t xml:space="preserve">Furthermore, enzymatic treatment in latex could not remove the free fatty acid components although there was reduction in the amount of phosphorus after the treatment. The remaining free fatty acid components after proteolysis reaction were believed to be derived from phospholipids, a main component that could also form branched molecules </w:t>
      </w:r>
      <w:r>
        <w:rPr>
          <w:rFonts w:ascii="Times New Roman" w:hAnsi="Times New Roman"/>
          <w:sz w:val="20"/>
          <w:szCs w:val="20"/>
          <w:lang w:eastAsia="en-MY"/>
        </w:rPr>
        <w:t>[27]</w:t>
      </w:r>
      <w:r w:rsidRPr="00995D76">
        <w:rPr>
          <w:rFonts w:ascii="Times New Roman" w:hAnsi="Times New Roman"/>
          <w:sz w:val="20"/>
          <w:szCs w:val="20"/>
          <w:lang w:eastAsia="en-MY"/>
        </w:rPr>
        <w:t xml:space="preserve">. </w:t>
      </w:r>
    </w:p>
    <w:p w:rsidR="00592A0A" w:rsidRPr="00995D76" w:rsidRDefault="00592A0A" w:rsidP="00D94C17">
      <w:pPr>
        <w:tabs>
          <w:tab w:val="left" w:pos="360"/>
        </w:tabs>
        <w:spacing w:after="0" w:line="240" w:lineRule="auto"/>
        <w:jc w:val="both"/>
        <w:rPr>
          <w:rFonts w:ascii="Times New Roman" w:hAnsi="Times New Roman"/>
          <w:sz w:val="20"/>
          <w:szCs w:val="20"/>
          <w:lang w:eastAsia="en-MY"/>
        </w:rPr>
      </w:pPr>
    </w:p>
    <w:p w:rsidR="00D94C17" w:rsidRPr="00995D76" w:rsidRDefault="00D94C17" w:rsidP="00592A0A">
      <w:pPr>
        <w:spacing w:after="120" w:line="240" w:lineRule="auto"/>
        <w:jc w:val="center"/>
        <w:rPr>
          <w:rFonts w:ascii="Times New Roman" w:hAnsi="Times New Roman"/>
          <w:sz w:val="20"/>
          <w:szCs w:val="20"/>
          <w:lang w:eastAsia="en-MY"/>
        </w:rPr>
      </w:pPr>
      <w:r w:rsidRPr="00995D76">
        <w:rPr>
          <w:rFonts w:ascii="Times New Roman" w:hAnsi="Times New Roman"/>
          <w:noProof/>
          <w:sz w:val="20"/>
          <w:szCs w:val="20"/>
          <w:lang w:bidi="ar-SA"/>
        </w:rPr>
        <w:lastRenderedPageBreak/>
        <w:drawing>
          <wp:inline distT="0" distB="0" distL="0" distR="0" wp14:anchorId="62FD2F77" wp14:editId="2612CC90">
            <wp:extent cx="3269848" cy="2298680"/>
            <wp:effectExtent l="19050" t="19050" r="26035" b="2603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3290373" cy="2313109"/>
                    </a:xfrm>
                    <a:prstGeom prst="rect">
                      <a:avLst/>
                    </a:prstGeom>
                    <a:noFill/>
                    <a:ln w="9525">
                      <a:solidFill>
                        <a:schemeClr val="tx1"/>
                      </a:solidFill>
                      <a:miter lim="800000"/>
                      <a:headEnd/>
                      <a:tailEnd/>
                    </a:ln>
                  </pic:spPr>
                </pic:pic>
              </a:graphicData>
            </a:graphic>
          </wp:inline>
        </w:drawing>
      </w:r>
    </w:p>
    <w:p w:rsidR="00D94C17" w:rsidRPr="00995D76" w:rsidRDefault="00D94C17" w:rsidP="00592A0A">
      <w:pPr>
        <w:spacing w:after="0" w:line="240" w:lineRule="auto"/>
        <w:jc w:val="center"/>
        <w:rPr>
          <w:rFonts w:ascii="Times New Roman" w:hAnsi="Times New Roman"/>
          <w:sz w:val="20"/>
          <w:szCs w:val="20"/>
        </w:rPr>
      </w:pPr>
      <w:r>
        <w:rPr>
          <w:rFonts w:ascii="Times New Roman" w:hAnsi="Times New Roman"/>
          <w:sz w:val="20"/>
          <w:szCs w:val="20"/>
          <w:lang w:eastAsia="en-MY"/>
        </w:rPr>
        <w:t xml:space="preserve">Figure </w:t>
      </w:r>
      <w:r w:rsidRPr="00995D76">
        <w:rPr>
          <w:rFonts w:ascii="Times New Roman" w:hAnsi="Times New Roman"/>
          <w:sz w:val="20"/>
          <w:szCs w:val="20"/>
          <w:lang w:eastAsia="en-MY"/>
        </w:rPr>
        <w:t xml:space="preserve">4. </w:t>
      </w:r>
      <w:r w:rsidR="00592A0A">
        <w:rPr>
          <w:rFonts w:ascii="Times New Roman" w:hAnsi="Times New Roman"/>
          <w:sz w:val="20"/>
          <w:szCs w:val="20"/>
          <w:lang w:eastAsia="en-MY"/>
        </w:rPr>
        <w:t xml:space="preserve"> </w:t>
      </w:r>
      <w:r w:rsidRPr="00995D76">
        <w:rPr>
          <w:rFonts w:ascii="Times New Roman" w:hAnsi="Times New Roman"/>
          <w:sz w:val="20"/>
          <w:szCs w:val="20"/>
        </w:rPr>
        <w:t>Schematic representation of hypothesize aminolysis reaction on the rubber particle surfaces</w:t>
      </w:r>
    </w:p>
    <w:p w:rsidR="00D94C17" w:rsidRPr="00995D76" w:rsidRDefault="00D94C17" w:rsidP="00592A0A">
      <w:pPr>
        <w:spacing w:after="120" w:line="240" w:lineRule="auto"/>
        <w:jc w:val="both"/>
        <w:rPr>
          <w:rFonts w:ascii="Times New Roman" w:hAnsi="Times New Roman"/>
          <w:sz w:val="20"/>
          <w:szCs w:val="20"/>
          <w:lang w:eastAsia="en-MY"/>
        </w:rPr>
      </w:pPr>
    </w:p>
    <w:p w:rsidR="00D94C17" w:rsidRPr="005F731B" w:rsidRDefault="00D94C17" w:rsidP="00D94C17">
      <w:pPr>
        <w:autoSpaceDE w:val="0"/>
        <w:autoSpaceDN w:val="0"/>
        <w:adjustRightInd w:val="0"/>
        <w:spacing w:after="0" w:line="240" w:lineRule="auto"/>
        <w:jc w:val="both"/>
        <w:rPr>
          <w:rFonts w:ascii="Times New Roman" w:hAnsi="Times New Roman"/>
          <w:b/>
          <w:sz w:val="20"/>
          <w:szCs w:val="20"/>
          <w:lang w:eastAsia="en-MY"/>
        </w:rPr>
      </w:pPr>
      <w:r w:rsidRPr="005F731B">
        <w:rPr>
          <w:rFonts w:ascii="Times New Roman" w:hAnsi="Times New Roman"/>
          <w:b/>
          <w:sz w:val="20"/>
          <w:szCs w:val="20"/>
          <w:lang w:eastAsia="en-MY"/>
        </w:rPr>
        <w:t xml:space="preserve">Effect of alcalase on allergenic protein in </w:t>
      </w:r>
      <w:r w:rsidRPr="005F731B">
        <w:rPr>
          <w:rFonts w:ascii="Times New Roman" w:hAnsi="Times New Roman"/>
          <w:b/>
          <w:sz w:val="20"/>
          <w:szCs w:val="20"/>
        </w:rPr>
        <w:t>high</w:t>
      </w:r>
      <w:r w:rsidRPr="005F731B">
        <w:rPr>
          <w:rFonts w:ascii="Times New Roman" w:hAnsi="Times New Roman"/>
          <w:b/>
          <w:sz w:val="20"/>
          <w:szCs w:val="20"/>
          <w:lang w:eastAsia="en-MY"/>
        </w:rPr>
        <w:t xml:space="preserve"> ammoniated–natural rubber latex </w:t>
      </w:r>
    </w:p>
    <w:p w:rsidR="00D94C17" w:rsidRDefault="00D94C17" w:rsidP="00D94C17">
      <w:pPr>
        <w:spacing w:after="0" w:line="240" w:lineRule="auto"/>
        <w:jc w:val="both"/>
        <w:rPr>
          <w:rFonts w:ascii="Times New Roman" w:hAnsi="Times New Roman"/>
          <w:sz w:val="20"/>
          <w:szCs w:val="20"/>
        </w:rPr>
      </w:pPr>
      <w:r w:rsidRPr="00995D76">
        <w:rPr>
          <w:rFonts w:ascii="Times New Roman" w:hAnsi="Times New Roman"/>
          <w:sz w:val="20"/>
          <w:szCs w:val="20"/>
        </w:rPr>
        <w:t xml:space="preserve">The Latex-T Diagnostic Kit detected the presence of two major types of allergenic proteins that represented as Blue allergen and Red allergen. In the absence of alcalase the concentration of </w:t>
      </w:r>
      <w:r>
        <w:rPr>
          <w:rFonts w:ascii="Times New Roman" w:hAnsi="Times New Roman"/>
          <w:sz w:val="20"/>
          <w:szCs w:val="20"/>
        </w:rPr>
        <w:t>Red</w:t>
      </w:r>
      <w:r w:rsidRPr="00995D76">
        <w:rPr>
          <w:rFonts w:ascii="Times New Roman" w:hAnsi="Times New Roman"/>
          <w:sz w:val="20"/>
          <w:szCs w:val="20"/>
        </w:rPr>
        <w:t xml:space="preserve"> allergen was significantly higher than </w:t>
      </w:r>
      <w:r>
        <w:rPr>
          <w:rFonts w:ascii="Times New Roman" w:hAnsi="Times New Roman"/>
          <w:sz w:val="20"/>
          <w:szCs w:val="20"/>
        </w:rPr>
        <w:t>Blue</w:t>
      </w:r>
      <w:r w:rsidRPr="00995D76">
        <w:rPr>
          <w:rFonts w:ascii="Times New Roman" w:hAnsi="Times New Roman"/>
          <w:sz w:val="20"/>
          <w:szCs w:val="20"/>
        </w:rPr>
        <w:t xml:space="preserve"> allergen</w:t>
      </w:r>
      <w:r>
        <w:rPr>
          <w:rFonts w:ascii="Times New Roman" w:hAnsi="Times New Roman"/>
          <w:sz w:val="20"/>
          <w:szCs w:val="20"/>
        </w:rPr>
        <w:t xml:space="preserve"> (Figure </w:t>
      </w:r>
      <w:r w:rsidRPr="00995D76">
        <w:rPr>
          <w:rFonts w:ascii="Times New Roman" w:hAnsi="Times New Roman"/>
          <w:sz w:val="20"/>
          <w:szCs w:val="20"/>
        </w:rPr>
        <w:t xml:space="preserve">5). Interestingly, the concentration of </w:t>
      </w:r>
      <w:r>
        <w:rPr>
          <w:rFonts w:ascii="Times New Roman" w:hAnsi="Times New Roman"/>
          <w:sz w:val="20"/>
          <w:szCs w:val="20"/>
        </w:rPr>
        <w:t>Red</w:t>
      </w:r>
      <w:r w:rsidRPr="00995D76">
        <w:rPr>
          <w:rFonts w:ascii="Times New Roman" w:hAnsi="Times New Roman"/>
          <w:sz w:val="20"/>
          <w:szCs w:val="20"/>
        </w:rPr>
        <w:t xml:space="preserve"> allergen in HA-NRL treated with 1% of alcalase was significantly reduced and continue to drop until at 4% alcalase concentration. In the contrary, insignificant changes of </w:t>
      </w:r>
      <w:r>
        <w:rPr>
          <w:rFonts w:ascii="Times New Roman" w:hAnsi="Times New Roman"/>
          <w:sz w:val="20"/>
          <w:szCs w:val="20"/>
        </w:rPr>
        <w:t>Blue</w:t>
      </w:r>
      <w:r w:rsidRPr="00995D76">
        <w:rPr>
          <w:rFonts w:ascii="Times New Roman" w:hAnsi="Times New Roman"/>
          <w:sz w:val="20"/>
          <w:szCs w:val="20"/>
        </w:rPr>
        <w:t xml:space="preserve"> allergen in the treated HA-NRL was observed. The results indicated that the proteolytic enzyme is effectively reduce the amount of </w:t>
      </w:r>
      <w:r>
        <w:rPr>
          <w:rFonts w:ascii="Times New Roman" w:hAnsi="Times New Roman"/>
          <w:sz w:val="20"/>
          <w:szCs w:val="20"/>
        </w:rPr>
        <w:t>Red</w:t>
      </w:r>
      <w:r w:rsidRPr="00995D76">
        <w:rPr>
          <w:rFonts w:ascii="Times New Roman" w:hAnsi="Times New Roman"/>
          <w:sz w:val="20"/>
          <w:szCs w:val="20"/>
        </w:rPr>
        <w:t xml:space="preserve"> allergen compared to </w:t>
      </w:r>
      <w:r>
        <w:rPr>
          <w:rFonts w:ascii="Times New Roman" w:hAnsi="Times New Roman"/>
          <w:sz w:val="20"/>
          <w:szCs w:val="20"/>
        </w:rPr>
        <w:t>Blue</w:t>
      </w:r>
      <w:r w:rsidRPr="00995D76">
        <w:rPr>
          <w:rFonts w:ascii="Times New Roman" w:hAnsi="Times New Roman"/>
          <w:sz w:val="20"/>
          <w:szCs w:val="20"/>
        </w:rPr>
        <w:t xml:space="preserve"> allergen. Therefore, the proteolytic enzyme has the potential to act as deproteinizing agent that could assist in reducing the allergenic risk from NRL. </w:t>
      </w:r>
    </w:p>
    <w:p w:rsidR="00D94C17" w:rsidRPr="00995D76" w:rsidRDefault="00D94C17" w:rsidP="00592A0A">
      <w:pPr>
        <w:spacing w:after="120" w:line="240" w:lineRule="auto"/>
        <w:jc w:val="both"/>
        <w:rPr>
          <w:rFonts w:ascii="Times New Roman" w:hAnsi="Times New Roman"/>
          <w:sz w:val="20"/>
          <w:szCs w:val="20"/>
        </w:rPr>
      </w:pPr>
    </w:p>
    <w:p w:rsidR="00D94C17" w:rsidRPr="00995D76" w:rsidRDefault="00592A0A" w:rsidP="00D94C17">
      <w:pPr>
        <w:spacing w:after="0" w:line="240" w:lineRule="auto"/>
        <w:jc w:val="both"/>
        <w:rPr>
          <w:rFonts w:ascii="Times New Roman" w:hAnsi="Times New Roman"/>
          <w:b/>
          <w:sz w:val="20"/>
          <w:szCs w:val="20"/>
        </w:rPr>
      </w:pPr>
      <w:r>
        <w:rPr>
          <w:rFonts w:ascii="Times New Roman" w:hAnsi="Times New Roman"/>
          <w:b/>
          <w:sz w:val="20"/>
          <w:szCs w:val="20"/>
        </w:rPr>
        <w:t xml:space="preserve">                                       </w:t>
      </w:r>
      <w:r w:rsidR="00D94C17">
        <w:rPr>
          <w:noProof/>
          <w:lang w:bidi="ar-SA"/>
        </w:rPr>
        <w:drawing>
          <wp:inline distT="0" distB="0" distL="0" distR="0" wp14:anchorId="3A3E6C1B" wp14:editId="07C61FB4">
            <wp:extent cx="3501342" cy="2071611"/>
            <wp:effectExtent l="0" t="0" r="4445"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4C17" w:rsidRPr="00995D76" w:rsidRDefault="00D94C17" w:rsidP="00592A0A">
      <w:pPr>
        <w:spacing w:before="120" w:after="0" w:line="240" w:lineRule="auto"/>
        <w:jc w:val="center"/>
        <w:rPr>
          <w:rFonts w:ascii="Times New Roman" w:hAnsi="Times New Roman"/>
          <w:sz w:val="20"/>
          <w:szCs w:val="20"/>
        </w:rPr>
      </w:pPr>
      <w:r>
        <w:rPr>
          <w:rFonts w:ascii="Times New Roman" w:hAnsi="Times New Roman"/>
          <w:sz w:val="20"/>
          <w:szCs w:val="20"/>
        </w:rPr>
        <w:t xml:space="preserve">Figure </w:t>
      </w:r>
      <w:r w:rsidRPr="00995D76">
        <w:rPr>
          <w:rFonts w:ascii="Times New Roman" w:hAnsi="Times New Roman"/>
          <w:sz w:val="20"/>
          <w:szCs w:val="20"/>
        </w:rPr>
        <w:t>5</w:t>
      </w:r>
      <w:r>
        <w:rPr>
          <w:rFonts w:ascii="Times New Roman" w:hAnsi="Times New Roman"/>
          <w:sz w:val="20"/>
          <w:szCs w:val="20"/>
        </w:rPr>
        <w:t xml:space="preserve">. </w:t>
      </w:r>
      <w:r w:rsidR="00592A0A">
        <w:rPr>
          <w:rFonts w:ascii="Times New Roman" w:hAnsi="Times New Roman"/>
          <w:sz w:val="20"/>
          <w:szCs w:val="20"/>
        </w:rPr>
        <w:t xml:space="preserve"> </w:t>
      </w:r>
      <w:r w:rsidRPr="00995D76">
        <w:rPr>
          <w:rFonts w:ascii="Times New Roman" w:hAnsi="Times New Roman"/>
          <w:sz w:val="20"/>
          <w:szCs w:val="20"/>
        </w:rPr>
        <w:t>Concentration of major allergenic proteins in HA-NRL in different concentration of alcalase</w:t>
      </w:r>
    </w:p>
    <w:p w:rsidR="00D94C17" w:rsidRPr="00995D76" w:rsidRDefault="00D94C17" w:rsidP="00592A0A">
      <w:pPr>
        <w:spacing w:after="120" w:line="240" w:lineRule="auto"/>
        <w:jc w:val="both"/>
        <w:rPr>
          <w:rFonts w:ascii="Times New Roman" w:hAnsi="Times New Roman"/>
          <w:sz w:val="20"/>
          <w:szCs w:val="20"/>
        </w:rPr>
      </w:pPr>
    </w:p>
    <w:p w:rsidR="00D94C17" w:rsidRPr="0020397B" w:rsidRDefault="00D94C17" w:rsidP="00D94C17">
      <w:pPr>
        <w:autoSpaceDE w:val="0"/>
        <w:autoSpaceDN w:val="0"/>
        <w:adjustRightInd w:val="0"/>
        <w:spacing w:after="0" w:line="240" w:lineRule="auto"/>
        <w:jc w:val="both"/>
        <w:rPr>
          <w:rFonts w:ascii="Times New Roman" w:hAnsi="Times New Roman"/>
          <w:b/>
          <w:sz w:val="20"/>
          <w:szCs w:val="20"/>
          <w:lang w:eastAsia="en-MY"/>
        </w:rPr>
      </w:pPr>
      <w:r w:rsidRPr="0020397B">
        <w:rPr>
          <w:rFonts w:ascii="Times New Roman" w:hAnsi="Times New Roman"/>
          <w:b/>
          <w:sz w:val="20"/>
          <w:szCs w:val="20"/>
          <w:lang w:eastAsia="en-MY"/>
        </w:rPr>
        <w:t>Effect of alcalase on the colloidal stability</w:t>
      </w:r>
      <w:r w:rsidRPr="0020397B">
        <w:rPr>
          <w:rFonts w:ascii="Times New Roman" w:hAnsi="Times New Roman"/>
          <w:b/>
          <w:sz w:val="20"/>
          <w:szCs w:val="20"/>
        </w:rPr>
        <w:t xml:space="preserve"> of high</w:t>
      </w:r>
      <w:r w:rsidRPr="0020397B">
        <w:rPr>
          <w:rFonts w:ascii="Times New Roman" w:hAnsi="Times New Roman"/>
          <w:b/>
          <w:sz w:val="20"/>
          <w:szCs w:val="20"/>
          <w:lang w:eastAsia="en-MY"/>
        </w:rPr>
        <w:t xml:space="preserve"> ammoniated–natural rubber latex </w:t>
      </w:r>
    </w:p>
    <w:p w:rsidR="00D94C17" w:rsidRPr="00995D76" w:rsidRDefault="00D94C17" w:rsidP="00D94C17">
      <w:pPr>
        <w:spacing w:after="0" w:line="240" w:lineRule="auto"/>
        <w:jc w:val="both"/>
        <w:rPr>
          <w:rFonts w:ascii="Times New Roman" w:hAnsi="Times New Roman"/>
          <w:sz w:val="20"/>
          <w:szCs w:val="20"/>
        </w:rPr>
      </w:pPr>
      <w:r w:rsidRPr="00995D76">
        <w:rPr>
          <w:rFonts w:ascii="Times New Roman" w:hAnsi="Times New Roman"/>
          <w:sz w:val="20"/>
          <w:szCs w:val="20"/>
        </w:rPr>
        <w:t>According to</w:t>
      </w:r>
      <w:r>
        <w:rPr>
          <w:rFonts w:ascii="Times New Roman" w:hAnsi="Times New Roman"/>
          <w:sz w:val="20"/>
          <w:szCs w:val="20"/>
        </w:rPr>
        <w:t xml:space="preserve"> Salopek et al. [28]</w:t>
      </w:r>
      <w:r w:rsidRPr="00995D76">
        <w:rPr>
          <w:rFonts w:ascii="Times New Roman" w:hAnsi="Times New Roman"/>
          <w:sz w:val="20"/>
          <w:szCs w:val="20"/>
        </w:rPr>
        <w:t xml:space="preserve"> zeta potential or also known as electrokinetic is used to observe the behaviour of dispersive systems in liquids. The potential stability of a colloidal system can be represented by the magnitude of the zeta potential. Whenever a particle is disperses in a liquid medium, it will forms an interfacial region on the particle surface. The interfacial region consists of ions of opposite charge to that of particle that closely located to the particle surface (Stern layer), and counter ions that loosely associated with the particle (diffuse layer). These </w:t>
      </w:r>
      <w:r w:rsidRPr="00995D76">
        <w:rPr>
          <w:rFonts w:ascii="Times New Roman" w:hAnsi="Times New Roman"/>
          <w:sz w:val="20"/>
          <w:szCs w:val="20"/>
        </w:rPr>
        <w:lastRenderedPageBreak/>
        <w:t xml:space="preserve">layers are referred as the electrical double layer. The potential magnitude of zeta potential is measured at the boundary of the diffuse layer that adjacent to the bulk dispersant or known as surface of hydrodynamic shear </w:t>
      </w:r>
      <w:r>
        <w:rPr>
          <w:rFonts w:ascii="Times New Roman" w:hAnsi="Times New Roman"/>
          <w:sz w:val="20"/>
          <w:szCs w:val="20"/>
        </w:rPr>
        <w:t>[29]</w:t>
      </w:r>
      <w:r w:rsidRPr="00995D76">
        <w:rPr>
          <w:rFonts w:ascii="Times New Roman" w:hAnsi="Times New Roman"/>
          <w:sz w:val="20"/>
          <w:szCs w:val="20"/>
        </w:rPr>
        <w:t>.</w:t>
      </w:r>
    </w:p>
    <w:p w:rsidR="00D94C17" w:rsidRDefault="00D94C17" w:rsidP="00D94C17">
      <w:pPr>
        <w:tabs>
          <w:tab w:val="left" w:pos="360"/>
        </w:tabs>
        <w:spacing w:after="0" w:line="240" w:lineRule="auto"/>
        <w:jc w:val="both"/>
        <w:rPr>
          <w:rFonts w:ascii="Times New Roman" w:hAnsi="Times New Roman"/>
          <w:sz w:val="20"/>
          <w:szCs w:val="20"/>
        </w:rPr>
      </w:pPr>
    </w:p>
    <w:p w:rsidR="00D94C17" w:rsidRDefault="00D94C17" w:rsidP="00D94C17">
      <w:pPr>
        <w:tabs>
          <w:tab w:val="left" w:pos="360"/>
        </w:tabs>
        <w:spacing w:after="0" w:line="240" w:lineRule="auto"/>
        <w:jc w:val="both"/>
        <w:rPr>
          <w:rFonts w:ascii="Times New Roman" w:hAnsi="Times New Roman"/>
          <w:sz w:val="20"/>
          <w:szCs w:val="20"/>
        </w:rPr>
      </w:pPr>
      <w:r w:rsidRPr="00995D76">
        <w:rPr>
          <w:rFonts w:ascii="Times New Roman" w:hAnsi="Times New Roman"/>
          <w:sz w:val="20"/>
          <w:szCs w:val="20"/>
        </w:rPr>
        <w:t xml:space="preserve">The potential stability of the colloidal systems as indicated by the zeta potential is depending on the concentration of ions. High concentration of ions with positive or negative charges will resulted in stable colloidal systems in which coagulation between the particles will be absence. Charges on the particles also contribute to the electrostatic repulsion that caused the particles to repel from each other. Absence of any positive or negative ion charges will reduce the electrostatic repulsion and thus there will be no force to prevent the particles coming together and agglomerate. Changes on the concentration of ions on the particles surface that influence the stability of a suspension can be observed from a graph plotted with zeta potential (mV) versus pH. In aqueous media, the pH of the sample is one of the most important factors that affect zeta potential of the particles </w:t>
      </w:r>
      <w:r>
        <w:rPr>
          <w:rFonts w:ascii="Times New Roman" w:hAnsi="Times New Roman"/>
          <w:sz w:val="20"/>
          <w:szCs w:val="20"/>
        </w:rPr>
        <w:t>[30]</w:t>
      </w:r>
      <w:r w:rsidRPr="00995D76">
        <w:rPr>
          <w:rFonts w:ascii="Times New Roman" w:hAnsi="Times New Roman"/>
          <w:sz w:val="20"/>
          <w:szCs w:val="20"/>
        </w:rPr>
        <w:t xml:space="preserve">. Balance between the positive and negative charges presence in a suspension is influence by the pH. At a specific pH the positive and negative charges will be equal and the net charge will be zero. The pH where a colloidal system reaches its neutralization state is called the isoelectric point (IEP). At this point the suspension is at the least stable condition due to absence of inter-particle repulsive forces. As a rule of thumb, stability of the particles in a colloidal system is generally taken at either above +30 or -30 mV </w:t>
      </w:r>
      <w:r>
        <w:rPr>
          <w:rFonts w:ascii="Times New Roman" w:hAnsi="Times New Roman"/>
          <w:sz w:val="20"/>
          <w:szCs w:val="20"/>
        </w:rPr>
        <w:t>[31]</w:t>
      </w:r>
      <w:r w:rsidRPr="00995D76">
        <w:rPr>
          <w:rFonts w:ascii="Times New Roman" w:hAnsi="Times New Roman"/>
          <w:sz w:val="20"/>
          <w:szCs w:val="20"/>
        </w:rPr>
        <w:t>.</w:t>
      </w:r>
    </w:p>
    <w:p w:rsidR="00D94C17" w:rsidRPr="00995D76" w:rsidRDefault="00D94C17" w:rsidP="00D94C17">
      <w:pPr>
        <w:tabs>
          <w:tab w:val="left" w:pos="360"/>
        </w:tabs>
        <w:spacing w:after="0" w:line="240" w:lineRule="auto"/>
        <w:jc w:val="both"/>
        <w:rPr>
          <w:rFonts w:ascii="Times New Roman" w:hAnsi="Times New Roman"/>
          <w:sz w:val="20"/>
          <w:szCs w:val="20"/>
        </w:rPr>
      </w:pPr>
    </w:p>
    <w:p w:rsidR="00D94C17" w:rsidRDefault="00D94C17" w:rsidP="00D94C17">
      <w:pPr>
        <w:tabs>
          <w:tab w:val="left" w:pos="360"/>
        </w:tabs>
        <w:spacing w:after="0" w:line="240" w:lineRule="auto"/>
        <w:jc w:val="both"/>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 xml:space="preserve">ure </w:t>
      </w:r>
      <w:r w:rsidRPr="00995D76">
        <w:rPr>
          <w:rFonts w:ascii="Times New Roman" w:hAnsi="Times New Roman"/>
          <w:sz w:val="20"/>
          <w:szCs w:val="20"/>
        </w:rPr>
        <w:t>6 shows the zeta potential analysis for treated HA-NRL samples recorded over pH range from pH 2 to pH 10. Based on the graph, the IEP for all samples were below than pH4. HA-NRL consists of latex particles with more negative charges as shown by the IEP value. As pH decreases, abundant presence of  H</w:t>
      </w:r>
      <w:r w:rsidRPr="00995D76">
        <w:rPr>
          <w:rFonts w:ascii="Times New Roman" w:hAnsi="Times New Roman"/>
          <w:sz w:val="20"/>
          <w:szCs w:val="20"/>
          <w:vertAlign w:val="superscript"/>
        </w:rPr>
        <w:t>+</w:t>
      </w:r>
      <w:r w:rsidRPr="00995D76">
        <w:rPr>
          <w:rFonts w:ascii="Times New Roman" w:hAnsi="Times New Roman"/>
          <w:sz w:val="20"/>
          <w:szCs w:val="20"/>
        </w:rPr>
        <w:t xml:space="preserve"> ions caused the latex particles to lose their negative charges until they reach the neutralization state at pH 2 and eventually became more stable as the pH increased (above pH 4). However, the HA-NRL treated samples showed a different trend in which more OH</w:t>
      </w:r>
      <w:r w:rsidRPr="00995D76">
        <w:rPr>
          <w:rFonts w:ascii="Times New Roman" w:hAnsi="Times New Roman"/>
          <w:sz w:val="20"/>
          <w:szCs w:val="20"/>
          <w:vertAlign w:val="superscript"/>
        </w:rPr>
        <w:t xml:space="preserve">-   </w:t>
      </w:r>
      <w:r w:rsidRPr="00995D76">
        <w:rPr>
          <w:rFonts w:ascii="Times New Roman" w:hAnsi="Times New Roman"/>
          <w:sz w:val="20"/>
          <w:szCs w:val="20"/>
        </w:rPr>
        <w:t xml:space="preserve">were needed in order to reach the IE point as shown by the increasing in pH (above pH 2). Thus indicate that the latex particles in the treated HA-NRL were having less negative ions concentration when compared with HA-NRL in the absence of alcalase. This result could be implied with previous finding by </w:t>
      </w:r>
      <w:r>
        <w:rPr>
          <w:rFonts w:ascii="Times New Roman" w:hAnsi="Times New Roman"/>
          <w:sz w:val="20"/>
          <w:szCs w:val="20"/>
        </w:rPr>
        <w:t>Salgin et al. [32]</w:t>
      </w:r>
      <w:r w:rsidRPr="00995D76">
        <w:rPr>
          <w:rFonts w:ascii="Times New Roman" w:hAnsi="Times New Roman"/>
          <w:sz w:val="20"/>
          <w:szCs w:val="20"/>
        </w:rPr>
        <w:t xml:space="preserve"> mentioned that, the difference in the IEP can be due to different in ionic environment such as ionic strength, pH and ion type. Different in ions concentration could possibly influence by the presence of alcalase that also carried charges proteins. The isoelectric point for alcalase is 9.4 which is near to 12. Protein with isoelectric point of 12 or more, are most likely having side chains of amino acid that positively charges </w:t>
      </w:r>
      <w:r>
        <w:rPr>
          <w:rFonts w:ascii="Times New Roman" w:hAnsi="Times New Roman"/>
          <w:sz w:val="20"/>
          <w:szCs w:val="20"/>
        </w:rPr>
        <w:t>[33]</w:t>
      </w:r>
      <w:r w:rsidRPr="00995D76">
        <w:rPr>
          <w:rFonts w:ascii="Times New Roman" w:hAnsi="Times New Roman"/>
          <w:sz w:val="20"/>
          <w:szCs w:val="20"/>
        </w:rPr>
        <w:t xml:space="preserve">.   </w:t>
      </w:r>
    </w:p>
    <w:p w:rsidR="00592A0A" w:rsidRPr="00995D76" w:rsidRDefault="00592A0A" w:rsidP="00592A0A">
      <w:pPr>
        <w:tabs>
          <w:tab w:val="left" w:pos="360"/>
        </w:tabs>
        <w:spacing w:after="120" w:line="240" w:lineRule="auto"/>
        <w:jc w:val="both"/>
        <w:rPr>
          <w:rFonts w:ascii="Times New Roman" w:hAnsi="Times New Roman"/>
          <w:sz w:val="20"/>
          <w:szCs w:val="20"/>
        </w:rPr>
      </w:pPr>
    </w:p>
    <w:p w:rsidR="00D94C17" w:rsidRPr="00995D76" w:rsidRDefault="00D94C17" w:rsidP="00592A0A">
      <w:pPr>
        <w:spacing w:after="120" w:line="240" w:lineRule="auto"/>
        <w:jc w:val="center"/>
        <w:rPr>
          <w:rFonts w:ascii="Times New Roman" w:hAnsi="Times New Roman"/>
          <w:sz w:val="20"/>
          <w:szCs w:val="20"/>
        </w:rPr>
      </w:pPr>
      <w:r w:rsidRPr="00995D76">
        <w:rPr>
          <w:rFonts w:ascii="Times New Roman" w:hAnsi="Times New Roman"/>
          <w:noProof/>
          <w:sz w:val="20"/>
          <w:szCs w:val="20"/>
          <w:lang w:bidi="ar-SA"/>
        </w:rPr>
        <w:drawing>
          <wp:inline distT="0" distB="0" distL="0" distR="0" wp14:anchorId="56BAF257" wp14:editId="5CEFC50D">
            <wp:extent cx="2998841" cy="2470343"/>
            <wp:effectExtent l="19050" t="19050" r="11430"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0793"/>
                    <a:stretch/>
                  </pic:blipFill>
                  <pic:spPr bwMode="auto">
                    <a:xfrm>
                      <a:off x="0" y="0"/>
                      <a:ext cx="3022581" cy="248989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D94C17" w:rsidRPr="00995D76" w:rsidRDefault="00D94C17" w:rsidP="00592A0A">
      <w:pPr>
        <w:spacing w:after="0" w:line="240" w:lineRule="auto"/>
        <w:jc w:val="center"/>
        <w:rPr>
          <w:rFonts w:ascii="Times New Roman" w:hAnsi="Times New Roman"/>
          <w:sz w:val="20"/>
          <w:szCs w:val="20"/>
        </w:rPr>
      </w:pPr>
      <w:r w:rsidRPr="00995D76">
        <w:rPr>
          <w:rFonts w:ascii="Times New Roman" w:hAnsi="Times New Roman"/>
          <w:sz w:val="20"/>
          <w:szCs w:val="20"/>
        </w:rPr>
        <w:t>Fig</w:t>
      </w:r>
      <w:r>
        <w:rPr>
          <w:rFonts w:ascii="Times New Roman" w:hAnsi="Times New Roman"/>
          <w:sz w:val="20"/>
          <w:szCs w:val="20"/>
        </w:rPr>
        <w:t xml:space="preserve">ure </w:t>
      </w:r>
      <w:r w:rsidRPr="00995D76">
        <w:rPr>
          <w:rFonts w:ascii="Times New Roman" w:hAnsi="Times New Roman"/>
          <w:sz w:val="20"/>
          <w:szCs w:val="20"/>
        </w:rPr>
        <w:t>6</w:t>
      </w:r>
      <w:r>
        <w:rPr>
          <w:rFonts w:ascii="Times New Roman" w:hAnsi="Times New Roman"/>
          <w:sz w:val="20"/>
          <w:szCs w:val="20"/>
        </w:rPr>
        <w:t xml:space="preserve">. </w:t>
      </w:r>
      <w:r w:rsidR="00592A0A">
        <w:rPr>
          <w:rFonts w:ascii="Times New Roman" w:hAnsi="Times New Roman"/>
          <w:sz w:val="20"/>
          <w:szCs w:val="20"/>
        </w:rPr>
        <w:t xml:space="preserve"> </w:t>
      </w:r>
      <w:r w:rsidRPr="00995D76">
        <w:rPr>
          <w:rFonts w:ascii="Times New Roman" w:hAnsi="Times New Roman"/>
          <w:sz w:val="20"/>
          <w:szCs w:val="20"/>
        </w:rPr>
        <w:t>Zeta potential behaviour in a function of pH</w:t>
      </w:r>
    </w:p>
    <w:p w:rsidR="00AC0033" w:rsidRDefault="00AC0033" w:rsidP="00AC0033">
      <w:pPr>
        <w:spacing w:after="0" w:line="240" w:lineRule="auto"/>
        <w:jc w:val="center"/>
        <w:rPr>
          <w:rFonts w:ascii="Times New Roman" w:hAnsi="Times New Roman"/>
          <w:noProof/>
          <w:sz w:val="20"/>
          <w:szCs w:val="20"/>
          <w:lang w:bidi="ar-SA"/>
        </w:rPr>
      </w:pPr>
    </w:p>
    <w:p w:rsidR="00592A0A" w:rsidRDefault="00592A0A" w:rsidP="00AC0033">
      <w:pPr>
        <w:spacing w:after="0" w:line="240" w:lineRule="auto"/>
        <w:jc w:val="center"/>
        <w:rPr>
          <w:rFonts w:ascii="Times New Roman" w:hAnsi="Times New Roman"/>
          <w:noProof/>
          <w:sz w:val="20"/>
          <w:szCs w:val="20"/>
          <w:lang w:bidi="ar-SA"/>
        </w:rPr>
      </w:pPr>
    </w:p>
    <w:p w:rsidR="00592A0A" w:rsidRDefault="00592A0A" w:rsidP="00AC0033">
      <w:pPr>
        <w:spacing w:after="0" w:line="240" w:lineRule="auto"/>
        <w:jc w:val="center"/>
        <w:rPr>
          <w:rFonts w:ascii="Times New Roman" w:hAnsi="Times New Roman"/>
          <w:noProof/>
          <w:sz w:val="20"/>
          <w:szCs w:val="20"/>
          <w:lang w:bidi="ar-SA"/>
        </w:rPr>
      </w:pPr>
    </w:p>
    <w:p w:rsidR="00592A0A" w:rsidRPr="00F447A7" w:rsidRDefault="00592A0A"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592A0A" w:rsidRDefault="00592A0A" w:rsidP="00592A0A">
      <w:pPr>
        <w:spacing w:after="0" w:line="240" w:lineRule="auto"/>
        <w:jc w:val="both"/>
        <w:rPr>
          <w:rFonts w:ascii="Times New Roman" w:hAnsi="Times New Roman"/>
          <w:sz w:val="20"/>
          <w:szCs w:val="20"/>
          <w:lang w:eastAsia="en-MY"/>
        </w:rPr>
      </w:pPr>
      <w:r w:rsidRPr="00995D76">
        <w:rPr>
          <w:rFonts w:ascii="Times New Roman" w:hAnsi="Times New Roman"/>
          <w:sz w:val="20"/>
          <w:szCs w:val="20"/>
          <w:lang w:eastAsia="en-MY"/>
        </w:rPr>
        <w:t>Enzymatic treatment of HA-NRL effectively hydrolysed the protein molecules in the serum and increased the amount of water-soluble proteins in which could be removed easily by water leaching process. Hydrolysis reaction in the serum increased steadily proportional to the increment in proteolytic enzyme concentration. This finding was also supported by the results from SDS-PAGE analysis which showed most of the protein bands were located at the low molecular weight region in the presence of 4% alcalase concentration. Nevertheless, instead of reducing the protein content in the white rubber phase of HA-NRL, different proteolytic enzyme concentrations triggered different reactions. The ratio of enzyme and substrate (</w:t>
      </w:r>
      <w:r w:rsidRPr="00995D76">
        <w:rPr>
          <w:rFonts w:ascii="Times New Roman" w:hAnsi="Times New Roman"/>
          <w:i/>
          <w:sz w:val="20"/>
          <w:szCs w:val="20"/>
          <w:lang w:eastAsia="en-MY"/>
        </w:rPr>
        <w:t xml:space="preserve">i.e. </w:t>
      </w:r>
      <w:r w:rsidRPr="00995D76">
        <w:rPr>
          <w:rFonts w:ascii="Times New Roman" w:hAnsi="Times New Roman"/>
          <w:sz w:val="20"/>
          <w:szCs w:val="20"/>
          <w:lang w:eastAsia="en-MY"/>
        </w:rPr>
        <w:t xml:space="preserve">latex in this study) concentration significantly influenced the proteolytic enzyme activity. It was found that at 1% of alcalase concentration, drastic reduction of N% in white rubber phase was observed. Further investigation is needed on the effect of proteolytic enzyme on mechanical and colloidal stability of treated HA-NRL. Nevertheless, results from this study indicates that low concentration of alcalase is sufficient to reduce the protein content with the possibility to produce HA-NRL that has low allergenicity risk. </w:t>
      </w:r>
    </w:p>
    <w:p w:rsidR="00592A0A" w:rsidRPr="0020397B" w:rsidRDefault="00592A0A" w:rsidP="00592A0A">
      <w:pPr>
        <w:spacing w:after="0" w:line="240" w:lineRule="auto"/>
        <w:jc w:val="center"/>
        <w:rPr>
          <w:rFonts w:ascii="Times New Roman" w:hAnsi="Times New Roman"/>
          <w:b/>
          <w:sz w:val="20"/>
          <w:szCs w:val="20"/>
        </w:rPr>
      </w:pPr>
    </w:p>
    <w:p w:rsidR="00592A0A" w:rsidRPr="00995D76" w:rsidRDefault="00592A0A" w:rsidP="00592A0A">
      <w:pPr>
        <w:spacing w:after="0" w:line="240" w:lineRule="auto"/>
        <w:ind w:left="567" w:hanging="567"/>
        <w:jc w:val="center"/>
        <w:rPr>
          <w:rFonts w:ascii="Times New Roman" w:hAnsi="Times New Roman"/>
          <w:b/>
          <w:sz w:val="20"/>
          <w:szCs w:val="20"/>
          <w:lang w:eastAsia="en-GB"/>
        </w:rPr>
      </w:pPr>
      <w:r w:rsidRPr="00995D76">
        <w:rPr>
          <w:rFonts w:ascii="Times New Roman" w:hAnsi="Times New Roman"/>
          <w:b/>
          <w:bCs/>
          <w:sz w:val="20"/>
          <w:szCs w:val="20"/>
          <w:lang w:eastAsia="en-GB"/>
        </w:rPr>
        <w:t>Acknowledgements</w:t>
      </w:r>
    </w:p>
    <w:p w:rsidR="00AC0033" w:rsidRPr="00094133" w:rsidRDefault="00592A0A" w:rsidP="00094133">
      <w:pPr>
        <w:autoSpaceDE w:val="0"/>
        <w:autoSpaceDN w:val="0"/>
        <w:adjustRightInd w:val="0"/>
        <w:spacing w:after="0" w:line="240" w:lineRule="auto"/>
        <w:jc w:val="both"/>
        <w:rPr>
          <w:rFonts w:ascii="Times New Roman" w:eastAsia="Calibri" w:hAnsi="Times New Roman"/>
          <w:color w:val="000000"/>
          <w:sz w:val="20"/>
          <w:szCs w:val="20"/>
          <w:lang w:bidi="ar-SA"/>
        </w:rPr>
      </w:pPr>
      <w:r w:rsidRPr="00094133">
        <w:rPr>
          <w:rFonts w:ascii="Times New Roman" w:eastAsia="Arial Unicode MS" w:hAnsi="Times New Roman"/>
          <w:sz w:val="20"/>
          <w:szCs w:val="20"/>
        </w:rPr>
        <w:t xml:space="preserve">The authors wish to </w:t>
      </w:r>
      <w:r w:rsidR="00094133" w:rsidRPr="00094133">
        <w:rPr>
          <w:rFonts w:ascii="Times New Roman" w:eastAsia="Calibri" w:hAnsi="Times New Roman"/>
          <w:color w:val="000000"/>
          <w:sz w:val="20"/>
          <w:szCs w:val="20"/>
          <w:lang w:bidi="ar-SA"/>
        </w:rPr>
        <w:t>thank the Director General of the Malaysian Rubber Board for the</w:t>
      </w:r>
      <w:r w:rsidR="00094133">
        <w:rPr>
          <w:rFonts w:ascii="Times New Roman" w:eastAsia="Calibri" w:hAnsi="Times New Roman"/>
          <w:color w:val="000000"/>
          <w:sz w:val="20"/>
          <w:szCs w:val="20"/>
          <w:lang w:bidi="ar-SA"/>
        </w:rPr>
        <w:t xml:space="preserve"> </w:t>
      </w:r>
      <w:r w:rsidR="00094133" w:rsidRPr="00094133">
        <w:rPr>
          <w:rFonts w:ascii="Times New Roman" w:eastAsia="Calibri" w:hAnsi="Times New Roman"/>
          <w:color w:val="000000"/>
          <w:sz w:val="20"/>
          <w:szCs w:val="20"/>
          <w:lang w:bidi="ar-SA"/>
        </w:rPr>
        <w:t>permission to publish this paper and</w:t>
      </w:r>
      <w:r w:rsidRPr="00094133">
        <w:rPr>
          <w:rFonts w:ascii="Times New Roman" w:eastAsia="Arial Unicode MS" w:hAnsi="Times New Roman"/>
          <w:sz w:val="20"/>
          <w:szCs w:val="20"/>
        </w:rPr>
        <w:t xml:space="preserve"> </w:t>
      </w:r>
      <w:r w:rsidR="00094133">
        <w:rPr>
          <w:rFonts w:ascii="Times New Roman" w:eastAsia="Arial Unicode MS" w:hAnsi="Times New Roman"/>
          <w:sz w:val="20"/>
          <w:szCs w:val="20"/>
        </w:rPr>
        <w:t xml:space="preserve">the </w:t>
      </w:r>
      <w:r w:rsidRPr="00094133">
        <w:rPr>
          <w:rFonts w:ascii="Times New Roman" w:eastAsia="Arial Unicode MS" w:hAnsi="Times New Roman"/>
          <w:sz w:val="20"/>
          <w:szCs w:val="20"/>
        </w:rPr>
        <w:t>support given for technical and financial assistances for the project. We appreciate the advices and comments made by the Panel of the Scientific Economic and Advisory Committee (SEAC) during the proposal and monitoring stage of the study. Not to be forgotten are the capable technical work and support rendered by Mr. Hanipiah Basri.</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sz w:val="20"/>
          <w:szCs w:val="20"/>
          <w:u w:color="000000"/>
        </w:rPr>
        <w:fldChar w:fldCharType="begin" w:fldLock="1"/>
      </w:r>
      <w:r w:rsidRPr="00592A0A">
        <w:rPr>
          <w:rFonts w:ascii="Times New Roman" w:hAnsi="Times New Roman"/>
          <w:sz w:val="20"/>
          <w:szCs w:val="20"/>
        </w:rPr>
        <w:instrText xml:space="preserve">ADDIN Mendeley Bibliography CSL_BIBLIOGRAPHY </w:instrText>
      </w:r>
      <w:r w:rsidRPr="00592A0A">
        <w:rPr>
          <w:rFonts w:ascii="Times New Roman" w:hAnsi="Times New Roman"/>
          <w:sz w:val="20"/>
          <w:szCs w:val="20"/>
          <w:u w:color="000000"/>
        </w:rPr>
        <w:fldChar w:fldCharType="separate"/>
      </w:r>
      <w:r w:rsidRPr="00592A0A">
        <w:rPr>
          <w:rFonts w:ascii="Times New Roman" w:hAnsi="Times New Roman"/>
          <w:noProof/>
          <w:sz w:val="20"/>
          <w:szCs w:val="20"/>
        </w:rPr>
        <w:t xml:space="preserve">Kroschwitz, J. (1990). Concise encyclopedia of polymer science and engineering. </w:t>
      </w:r>
      <w:r w:rsidRPr="00592A0A">
        <w:rPr>
          <w:rFonts w:ascii="Times New Roman" w:hAnsi="Times New Roman"/>
          <w:iCs/>
          <w:noProof/>
          <w:sz w:val="20"/>
          <w:szCs w:val="20"/>
        </w:rPr>
        <w:t xml:space="preserve">Wiley InterScience of John Wiley &amp; Sons, Inc., Hoboken, pp. </w:t>
      </w:r>
      <w:r w:rsidRPr="00592A0A">
        <w:rPr>
          <w:rFonts w:ascii="Times New Roman" w:hAnsi="Times New Roman"/>
          <w:bCs/>
          <w:noProof/>
          <w:sz w:val="20"/>
          <w:szCs w:val="20"/>
        </w:rPr>
        <w:t>24-</w:t>
      </w:r>
      <w:r w:rsidRPr="00592A0A">
        <w:rPr>
          <w:rFonts w:ascii="Times New Roman" w:hAnsi="Times New Roman"/>
          <w:noProof/>
          <w:sz w:val="20"/>
          <w:szCs w:val="20"/>
        </w:rPr>
        <w:t>64.</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Blomfield, G. F. (1951). The rubber hydrocarbon in freshly tapped Hevea latex. </w:t>
      </w:r>
      <w:r w:rsidRPr="00592A0A">
        <w:rPr>
          <w:rFonts w:ascii="Times New Roman" w:hAnsi="Times New Roman"/>
          <w:i/>
          <w:iCs/>
          <w:noProof/>
          <w:sz w:val="20"/>
          <w:szCs w:val="20"/>
        </w:rPr>
        <w:t>Rubber Chemistry and Technology.</w:t>
      </w:r>
      <w:r w:rsidRPr="00592A0A">
        <w:rPr>
          <w:rFonts w:ascii="Times New Roman" w:hAnsi="Times New Roman"/>
          <w:noProof/>
          <w:sz w:val="20"/>
          <w:szCs w:val="20"/>
        </w:rPr>
        <w:t xml:space="preserve"> </w:t>
      </w:r>
      <w:r w:rsidRPr="00592A0A">
        <w:rPr>
          <w:rFonts w:ascii="Times New Roman" w:hAnsi="Times New Roman"/>
          <w:bCs/>
          <w:noProof/>
          <w:sz w:val="20"/>
          <w:szCs w:val="20"/>
        </w:rPr>
        <w:t>24(4):</w:t>
      </w:r>
      <w:r w:rsidRPr="00592A0A">
        <w:rPr>
          <w:rFonts w:ascii="Times New Roman" w:hAnsi="Times New Roman"/>
          <w:noProof/>
          <w:sz w:val="20"/>
          <w:szCs w:val="20"/>
        </w:rPr>
        <w:t xml:space="preserve"> 737–749.</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Blackley, D. C. (1997). </w:t>
      </w:r>
      <w:r w:rsidRPr="00592A0A">
        <w:rPr>
          <w:rFonts w:ascii="Times New Roman" w:hAnsi="Times New Roman"/>
          <w:iCs/>
          <w:noProof/>
          <w:sz w:val="20"/>
          <w:szCs w:val="20"/>
        </w:rPr>
        <w:t>Types of latices</w:t>
      </w:r>
      <w:r w:rsidRPr="00592A0A">
        <w:rPr>
          <w:rFonts w:ascii="Times New Roman" w:hAnsi="Times New Roman"/>
          <w:i/>
          <w:iCs/>
          <w:noProof/>
          <w:sz w:val="20"/>
          <w:szCs w:val="20"/>
        </w:rPr>
        <w:t xml:space="preserve">. </w:t>
      </w:r>
      <w:r w:rsidRPr="00592A0A">
        <w:rPr>
          <w:rFonts w:ascii="Times New Roman" w:hAnsi="Times New Roman"/>
          <w:iCs/>
          <w:noProof/>
          <w:sz w:val="20"/>
          <w:szCs w:val="20"/>
        </w:rPr>
        <w:t>Polymer latices: Science and technology Volume 2:</w:t>
      </w:r>
      <w:r w:rsidRPr="00592A0A">
        <w:rPr>
          <w:rFonts w:ascii="Times New Roman" w:hAnsi="Times New Roman"/>
          <w:noProof/>
          <w:sz w:val="20"/>
          <w:szCs w:val="20"/>
        </w:rPr>
        <w:t xml:space="preserve"> Springer Science and Business Media.</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Angrove, S. N. (1964). Preservation of NR latex concentrate; Part I—method of evaluation and evaluation of existing preservative systems. </w:t>
      </w:r>
      <w:r w:rsidRPr="00592A0A">
        <w:rPr>
          <w:rFonts w:ascii="Times New Roman" w:hAnsi="Times New Roman"/>
          <w:i/>
          <w:iCs/>
          <w:noProof/>
          <w:sz w:val="20"/>
          <w:szCs w:val="20"/>
        </w:rPr>
        <w:t xml:space="preserve">Transactions of the Institution of the Rubber </w:t>
      </w:r>
      <w:r w:rsidRPr="00592A0A">
        <w:rPr>
          <w:rFonts w:ascii="Times New Roman" w:hAnsi="Times New Roman"/>
          <w:iCs/>
          <w:noProof/>
          <w:sz w:val="20"/>
          <w:szCs w:val="20"/>
        </w:rPr>
        <w:t xml:space="preserve">Industry: </w:t>
      </w:r>
      <w:r w:rsidRPr="00592A0A">
        <w:rPr>
          <w:rFonts w:ascii="Times New Roman" w:hAnsi="Times New Roman"/>
          <w:bCs/>
          <w:noProof/>
          <w:sz w:val="20"/>
          <w:szCs w:val="20"/>
        </w:rPr>
        <w:t>40.</w:t>
      </w:r>
      <w:r w:rsidRPr="00592A0A">
        <w:rPr>
          <w:rFonts w:ascii="Times New Roman" w:hAnsi="Times New Roman"/>
          <w:noProof/>
          <w:sz w:val="20"/>
          <w:szCs w:val="20"/>
        </w:rPr>
        <w:t xml:space="preserve"> </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Hasma, H. and Subramaniam, A. (1986). Composition of lipids in latex of Hevea brasiliensis clone RRIM 501 [Malaysia]. </w:t>
      </w:r>
      <w:r w:rsidRPr="00592A0A">
        <w:rPr>
          <w:rFonts w:ascii="Times New Roman" w:hAnsi="Times New Roman"/>
          <w:i/>
          <w:iCs/>
          <w:noProof/>
          <w:sz w:val="20"/>
          <w:szCs w:val="20"/>
        </w:rPr>
        <w:t>Journal of  Natural Rubber Research,</w:t>
      </w:r>
      <w:r w:rsidRPr="00592A0A">
        <w:rPr>
          <w:rFonts w:ascii="Times New Roman" w:hAnsi="Times New Roman"/>
          <w:noProof/>
          <w:sz w:val="20"/>
          <w:szCs w:val="20"/>
        </w:rPr>
        <w:t xml:space="preserve"> </w:t>
      </w:r>
      <w:r w:rsidRPr="00592A0A">
        <w:rPr>
          <w:rFonts w:ascii="Times New Roman" w:hAnsi="Times New Roman"/>
          <w:bCs/>
          <w:noProof/>
          <w:sz w:val="20"/>
          <w:szCs w:val="20"/>
        </w:rPr>
        <w:t>1:</w:t>
      </w:r>
      <w:r w:rsidRPr="00592A0A">
        <w:rPr>
          <w:rFonts w:ascii="Times New Roman" w:hAnsi="Times New Roman"/>
          <w:noProof/>
          <w:sz w:val="20"/>
          <w:szCs w:val="20"/>
        </w:rPr>
        <w:t xml:space="preserve"> 30–40.</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Tata, S. J. (1980). Distribution of proteins between the fractions of Hevea latex separated by ultracentrifugation.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28:</w:t>
      </w:r>
      <w:r w:rsidRPr="00592A0A">
        <w:rPr>
          <w:rFonts w:ascii="Times New Roman" w:hAnsi="Times New Roman"/>
          <w:noProof/>
          <w:sz w:val="20"/>
          <w:szCs w:val="20"/>
        </w:rPr>
        <w:t xml:space="preserve"> 77–85.</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Archer, B. L., Barnard, E.G., Cockbain, J.W., Cornforth, R.H. and Popjak, G. (1966). The stereochemistry of rubber biosynthesis. </w:t>
      </w:r>
      <w:r w:rsidRPr="00592A0A">
        <w:rPr>
          <w:rFonts w:ascii="Times New Roman" w:hAnsi="Times New Roman"/>
          <w:i/>
          <w:iCs/>
          <w:noProof/>
          <w:sz w:val="20"/>
          <w:szCs w:val="20"/>
        </w:rPr>
        <w:t xml:space="preserve">Proceedings of the Royal Society B: Biological Sciences, </w:t>
      </w:r>
      <w:r w:rsidRPr="00592A0A">
        <w:rPr>
          <w:rFonts w:ascii="Times New Roman" w:hAnsi="Times New Roman"/>
          <w:bCs/>
          <w:noProof/>
          <w:sz w:val="20"/>
          <w:szCs w:val="20"/>
        </w:rPr>
        <w:t>163:</w:t>
      </w:r>
      <w:r w:rsidRPr="00592A0A">
        <w:rPr>
          <w:rFonts w:ascii="Times New Roman" w:hAnsi="Times New Roman"/>
          <w:noProof/>
          <w:sz w:val="20"/>
          <w:szCs w:val="20"/>
        </w:rPr>
        <w:t xml:space="preserve"> 519–523.</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Yeang, H. Y., Arif, S. A. M., Yusof, F. and Sunderasan, E. (2002). Allergenic proteins of natural rubber latex. </w:t>
      </w:r>
      <w:r w:rsidRPr="00592A0A">
        <w:rPr>
          <w:rFonts w:ascii="Times New Roman" w:hAnsi="Times New Roman"/>
          <w:i/>
          <w:iCs/>
          <w:noProof/>
          <w:sz w:val="20"/>
          <w:szCs w:val="20"/>
        </w:rPr>
        <w:t>Methods,</w:t>
      </w:r>
      <w:r w:rsidRPr="00592A0A">
        <w:rPr>
          <w:rFonts w:ascii="Times New Roman" w:hAnsi="Times New Roman"/>
          <w:noProof/>
          <w:sz w:val="20"/>
          <w:szCs w:val="20"/>
        </w:rPr>
        <w:t xml:space="preserve"> </w:t>
      </w:r>
      <w:r w:rsidRPr="00592A0A">
        <w:rPr>
          <w:rFonts w:ascii="Times New Roman" w:hAnsi="Times New Roman"/>
          <w:bCs/>
          <w:noProof/>
          <w:sz w:val="20"/>
          <w:szCs w:val="20"/>
        </w:rPr>
        <w:t>27:</w:t>
      </w:r>
      <w:r w:rsidRPr="00592A0A">
        <w:rPr>
          <w:rFonts w:ascii="Times New Roman" w:hAnsi="Times New Roman"/>
          <w:noProof/>
          <w:sz w:val="20"/>
          <w:szCs w:val="20"/>
        </w:rPr>
        <w:t xml:space="preserve"> 32–45.</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Sussman, G. L., Beezhold, D. H. and Kurup, V. P. (2002). Allergens and natural rubber proteins. </w:t>
      </w:r>
      <w:r w:rsidRPr="00592A0A">
        <w:rPr>
          <w:rFonts w:ascii="Times New Roman" w:hAnsi="Times New Roman"/>
          <w:i/>
          <w:iCs/>
          <w:noProof/>
          <w:sz w:val="20"/>
          <w:szCs w:val="20"/>
        </w:rPr>
        <w:t>Journal of Allergy and Clinical Immunology,</w:t>
      </w:r>
      <w:r w:rsidRPr="00592A0A">
        <w:rPr>
          <w:rFonts w:ascii="Times New Roman" w:hAnsi="Times New Roman"/>
          <w:noProof/>
          <w:sz w:val="20"/>
          <w:szCs w:val="20"/>
        </w:rPr>
        <w:t xml:space="preserve"> </w:t>
      </w:r>
      <w:r w:rsidRPr="00592A0A">
        <w:rPr>
          <w:rFonts w:ascii="Times New Roman" w:hAnsi="Times New Roman"/>
          <w:bCs/>
          <w:noProof/>
          <w:sz w:val="20"/>
          <w:szCs w:val="20"/>
        </w:rPr>
        <w:t>110:</w:t>
      </w:r>
      <w:r w:rsidRPr="00592A0A">
        <w:rPr>
          <w:rFonts w:ascii="Times New Roman" w:hAnsi="Times New Roman"/>
          <w:noProof/>
          <w:sz w:val="20"/>
          <w:szCs w:val="20"/>
        </w:rPr>
        <w:t xml:space="preserve"> S33–S39.</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Aprem A. B. and Satyendra N. P. (2002). Latex allergy and recent developments in deproteinisation of natural rubber latex.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5:</w:t>
      </w:r>
      <w:r w:rsidRPr="00592A0A">
        <w:rPr>
          <w:rFonts w:ascii="Times New Roman" w:hAnsi="Times New Roman"/>
          <w:noProof/>
          <w:sz w:val="20"/>
          <w:szCs w:val="20"/>
        </w:rPr>
        <w:t xml:space="preserve"> 94–134 </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Perrella, F. W. and Gaspari, A. A. (2002). Natural rubber latex protein reduction with an emphasis on enzyme treatment. </w:t>
      </w:r>
      <w:r w:rsidRPr="00592A0A">
        <w:rPr>
          <w:rFonts w:ascii="Times New Roman" w:hAnsi="Times New Roman"/>
          <w:i/>
          <w:iCs/>
          <w:noProof/>
          <w:sz w:val="20"/>
          <w:szCs w:val="20"/>
        </w:rPr>
        <w:t>Methods</w:t>
      </w:r>
      <w:r w:rsidRPr="00592A0A">
        <w:rPr>
          <w:rFonts w:ascii="Times New Roman" w:hAnsi="Times New Roman"/>
          <w:noProof/>
          <w:sz w:val="20"/>
          <w:szCs w:val="20"/>
        </w:rPr>
        <w:t xml:space="preserve">, </w:t>
      </w:r>
      <w:r w:rsidRPr="00592A0A">
        <w:rPr>
          <w:rFonts w:ascii="Times New Roman" w:hAnsi="Times New Roman"/>
          <w:bCs/>
          <w:noProof/>
          <w:sz w:val="20"/>
          <w:szCs w:val="20"/>
        </w:rPr>
        <w:t>27:</w:t>
      </w:r>
      <w:r w:rsidRPr="00592A0A">
        <w:rPr>
          <w:rFonts w:ascii="Times New Roman" w:hAnsi="Times New Roman"/>
          <w:noProof/>
          <w:sz w:val="20"/>
          <w:szCs w:val="20"/>
        </w:rPr>
        <w:t xml:space="preserve"> 77–86.</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Manroshan, S., Asrul Mustafa, Mok, K. L., Kawahara, S., Amir-Hashim M. Y. and Booten, K. (2009). Comparison between sodium dodecyl sulfate and polyfructose surfactant systems in urea deproteinisation of natural rubber latex.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12:</w:t>
      </w:r>
      <w:r w:rsidRPr="00592A0A">
        <w:rPr>
          <w:rFonts w:ascii="Times New Roman" w:hAnsi="Times New Roman"/>
          <w:noProof/>
          <w:sz w:val="20"/>
          <w:szCs w:val="20"/>
        </w:rPr>
        <w:t xml:space="preserve"> 1–11.</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Gazeley, K. F., Gorton, A. D. T. and Pendle, T. D. (1988). Natural rubber science and technology in ed. by A. D. Roberts (England: Oxford University Press): 63–98.</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Yatim, A. H. M. (1997). Effect of natural latex non-rubbers on the vulcanisation and physical behaviour of natural rubber latex films. PhD Dissertation. University of North London, England.</w:t>
      </w:r>
    </w:p>
    <w:p w:rsid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AOAC (2000). </w:t>
      </w:r>
      <w:r w:rsidRPr="00592A0A">
        <w:rPr>
          <w:rFonts w:ascii="Times New Roman" w:hAnsi="Times New Roman"/>
          <w:iCs/>
          <w:noProof/>
          <w:sz w:val="20"/>
          <w:szCs w:val="20"/>
        </w:rPr>
        <w:t>Official</w:t>
      </w:r>
      <w:r w:rsidRPr="00592A0A">
        <w:rPr>
          <w:rFonts w:ascii="Times New Roman" w:hAnsi="Times New Roman"/>
          <w:i/>
          <w:iCs/>
          <w:noProof/>
          <w:sz w:val="20"/>
          <w:szCs w:val="20"/>
        </w:rPr>
        <w:t xml:space="preserve"> </w:t>
      </w:r>
      <w:r w:rsidRPr="00592A0A">
        <w:rPr>
          <w:rFonts w:ascii="Times New Roman" w:hAnsi="Times New Roman"/>
          <w:iCs/>
          <w:noProof/>
          <w:sz w:val="20"/>
          <w:szCs w:val="20"/>
        </w:rPr>
        <w:t>methods of analysis</w:t>
      </w:r>
      <w:r w:rsidRPr="00592A0A">
        <w:rPr>
          <w:rFonts w:ascii="Times New Roman" w:hAnsi="Times New Roman"/>
          <w:noProof/>
          <w:sz w:val="20"/>
          <w:szCs w:val="20"/>
        </w:rPr>
        <w:t>. AOAC International.</w:t>
      </w:r>
    </w:p>
    <w:p w:rsidR="00094133" w:rsidRPr="00592A0A" w:rsidRDefault="00094133" w:rsidP="00094133">
      <w:pPr>
        <w:pStyle w:val="ListParagraph"/>
        <w:widowControl w:val="0"/>
        <w:autoSpaceDE w:val="0"/>
        <w:autoSpaceDN w:val="0"/>
        <w:adjustRightInd w:val="0"/>
        <w:spacing w:after="0" w:line="240" w:lineRule="auto"/>
        <w:ind w:left="360"/>
        <w:contextualSpacing w:val="0"/>
        <w:jc w:val="both"/>
        <w:rPr>
          <w:rFonts w:ascii="Times New Roman" w:hAnsi="Times New Roman"/>
          <w:noProof/>
          <w:sz w:val="20"/>
          <w:szCs w:val="20"/>
        </w:rPr>
      </w:pPr>
      <w:bookmarkStart w:id="0" w:name="_GoBack"/>
      <w:bookmarkEnd w:id="0"/>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lastRenderedPageBreak/>
        <w:t xml:space="preserve">Priest, F. G., Goodfellow, M., Shute, L. A. and Berkeley, R. C. W. (1987). </w:t>
      </w:r>
      <w:r w:rsidRPr="00592A0A">
        <w:rPr>
          <w:rFonts w:ascii="Times New Roman" w:hAnsi="Times New Roman"/>
          <w:i/>
          <w:noProof/>
          <w:sz w:val="20"/>
          <w:szCs w:val="20"/>
        </w:rPr>
        <w:t>Bacillus amyloliquefaciens</w:t>
      </w:r>
      <w:r w:rsidRPr="00592A0A">
        <w:rPr>
          <w:rFonts w:ascii="Times New Roman" w:hAnsi="Times New Roman"/>
          <w:noProof/>
          <w:sz w:val="20"/>
          <w:szCs w:val="20"/>
        </w:rPr>
        <w:t xml:space="preserve"> sp. nov., nom. rev. </w:t>
      </w:r>
      <w:r w:rsidRPr="00592A0A">
        <w:rPr>
          <w:rFonts w:ascii="Times New Roman" w:hAnsi="Times New Roman"/>
          <w:i/>
          <w:iCs/>
          <w:noProof/>
          <w:sz w:val="20"/>
          <w:szCs w:val="20"/>
        </w:rPr>
        <w:t>International Journal of Systematic Bacteriology,</w:t>
      </w:r>
      <w:r w:rsidRPr="00592A0A">
        <w:rPr>
          <w:rFonts w:ascii="Times New Roman" w:hAnsi="Times New Roman"/>
          <w:noProof/>
          <w:sz w:val="20"/>
          <w:szCs w:val="20"/>
        </w:rPr>
        <w:t xml:space="preserve"> </w:t>
      </w:r>
      <w:r w:rsidRPr="00592A0A">
        <w:rPr>
          <w:rFonts w:ascii="Times New Roman" w:hAnsi="Times New Roman"/>
          <w:bCs/>
          <w:noProof/>
          <w:sz w:val="20"/>
          <w:szCs w:val="20"/>
        </w:rPr>
        <w:t>37:</w:t>
      </w:r>
      <w:r w:rsidRPr="00592A0A">
        <w:rPr>
          <w:rFonts w:ascii="Times New Roman" w:hAnsi="Times New Roman"/>
          <w:noProof/>
          <w:sz w:val="20"/>
          <w:szCs w:val="20"/>
        </w:rPr>
        <w:t xml:space="preserve"> 69–71.</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Salwanee, S., Wan Aida, W. M., Mamot, S., Askat, M. Y. M. and Im, S. I. (2013). Effects of enzyme concentration, temperature, pH and time on the degree of hydrolysis of protein extract from viscera of tuna (Euthynnus affinis) by using alcalase. </w:t>
      </w:r>
      <w:r w:rsidRPr="00592A0A">
        <w:rPr>
          <w:rFonts w:ascii="Times New Roman" w:hAnsi="Times New Roman"/>
          <w:i/>
          <w:iCs/>
          <w:noProof/>
          <w:sz w:val="20"/>
          <w:szCs w:val="20"/>
        </w:rPr>
        <w:t>Sains Malaysiana,</w:t>
      </w:r>
      <w:r w:rsidRPr="00592A0A">
        <w:rPr>
          <w:rFonts w:ascii="Times New Roman" w:hAnsi="Times New Roman"/>
          <w:noProof/>
          <w:sz w:val="20"/>
          <w:szCs w:val="20"/>
        </w:rPr>
        <w:t xml:space="preserve"> </w:t>
      </w:r>
      <w:r w:rsidRPr="00592A0A">
        <w:rPr>
          <w:rFonts w:ascii="Times New Roman" w:hAnsi="Times New Roman"/>
          <w:bCs/>
          <w:noProof/>
          <w:sz w:val="20"/>
          <w:szCs w:val="20"/>
        </w:rPr>
        <w:t>42:</w:t>
      </w:r>
      <w:r w:rsidRPr="00592A0A">
        <w:rPr>
          <w:rFonts w:ascii="Times New Roman" w:hAnsi="Times New Roman"/>
          <w:noProof/>
          <w:sz w:val="20"/>
          <w:szCs w:val="20"/>
        </w:rPr>
        <w:t xml:space="preserve"> 279–287.</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James, I. T., Philip, B. G. and Sheila, A. B. (2005). Optimization of conditions for the enzymatic hydrolysis of phytoestrogen conjugates in urine and plasma. </w:t>
      </w:r>
      <w:r w:rsidRPr="00592A0A">
        <w:rPr>
          <w:rFonts w:ascii="Times New Roman" w:hAnsi="Times New Roman"/>
          <w:i/>
          <w:iCs/>
          <w:noProof/>
          <w:sz w:val="20"/>
          <w:szCs w:val="20"/>
        </w:rPr>
        <w:t>Analytical Biochemistry,</w:t>
      </w:r>
      <w:r w:rsidRPr="00592A0A">
        <w:rPr>
          <w:rFonts w:ascii="Times New Roman" w:hAnsi="Times New Roman"/>
          <w:noProof/>
          <w:sz w:val="20"/>
          <w:szCs w:val="20"/>
        </w:rPr>
        <w:t xml:space="preserve"> </w:t>
      </w:r>
      <w:r w:rsidRPr="00592A0A">
        <w:rPr>
          <w:rFonts w:ascii="Times New Roman" w:hAnsi="Times New Roman"/>
          <w:bCs/>
          <w:noProof/>
          <w:sz w:val="20"/>
          <w:szCs w:val="20"/>
        </w:rPr>
        <w:t>341(2): 220-229</w:t>
      </w:r>
      <w:r w:rsidRPr="00592A0A">
        <w:rPr>
          <w:rFonts w:ascii="Times New Roman" w:hAnsi="Times New Roman"/>
          <w:noProof/>
          <w:sz w:val="20"/>
          <w:szCs w:val="20"/>
        </w:rPr>
        <w:t xml:space="preserve"> </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Kim, J. (2002). Protein adsorption on polymer particles. </w:t>
      </w:r>
      <w:r w:rsidRPr="00592A0A">
        <w:rPr>
          <w:rFonts w:ascii="Times New Roman" w:hAnsi="Times New Roman"/>
          <w:i/>
          <w:iCs/>
          <w:noProof/>
          <w:sz w:val="20"/>
          <w:szCs w:val="20"/>
        </w:rPr>
        <w:t>Journal of Biomedical Materials Research,</w:t>
      </w:r>
      <w:r w:rsidRPr="00592A0A">
        <w:rPr>
          <w:rFonts w:ascii="Times New Roman" w:hAnsi="Times New Roman"/>
          <w:noProof/>
          <w:sz w:val="20"/>
          <w:szCs w:val="20"/>
        </w:rPr>
        <w:t xml:space="preserve"> </w:t>
      </w:r>
      <w:r w:rsidRPr="00592A0A">
        <w:rPr>
          <w:rFonts w:ascii="Times New Roman" w:hAnsi="Times New Roman"/>
          <w:bCs/>
          <w:noProof/>
          <w:sz w:val="20"/>
          <w:szCs w:val="20"/>
        </w:rPr>
        <w:t>21:</w:t>
      </w:r>
      <w:r w:rsidRPr="00592A0A">
        <w:rPr>
          <w:rFonts w:ascii="Times New Roman" w:hAnsi="Times New Roman"/>
          <w:noProof/>
          <w:sz w:val="20"/>
          <w:szCs w:val="20"/>
        </w:rPr>
        <w:t xml:space="preserve"> 4373–4381.</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Stoker, H. S. (2015). </w:t>
      </w:r>
      <w:r w:rsidRPr="00592A0A">
        <w:rPr>
          <w:rFonts w:ascii="Times New Roman" w:hAnsi="Times New Roman"/>
          <w:i/>
          <w:iCs/>
          <w:noProof/>
          <w:sz w:val="20"/>
          <w:szCs w:val="20"/>
        </w:rPr>
        <w:t>General, Organic, and Biological Chemistry</w:t>
      </w:r>
      <w:r w:rsidRPr="00592A0A">
        <w:rPr>
          <w:rFonts w:ascii="Times New Roman" w:hAnsi="Times New Roman"/>
          <w:noProof/>
          <w:sz w:val="20"/>
          <w:szCs w:val="20"/>
        </w:rPr>
        <w:t>. Cengage Learning.</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Cowan, D., Daniel, R. and Morgan, H. (1985). Thermophilic proteases: Properties and potential applications. </w:t>
      </w:r>
      <w:r w:rsidRPr="00592A0A">
        <w:rPr>
          <w:rFonts w:ascii="Times New Roman" w:hAnsi="Times New Roman"/>
          <w:i/>
          <w:iCs/>
          <w:noProof/>
          <w:sz w:val="20"/>
          <w:szCs w:val="20"/>
        </w:rPr>
        <w:t xml:space="preserve">Trends in Biotechnology, </w:t>
      </w:r>
      <w:r w:rsidRPr="00592A0A">
        <w:rPr>
          <w:rFonts w:ascii="Times New Roman" w:hAnsi="Times New Roman"/>
          <w:bCs/>
          <w:noProof/>
          <w:sz w:val="20"/>
          <w:szCs w:val="20"/>
        </w:rPr>
        <w:t>3:</w:t>
      </w:r>
      <w:r w:rsidRPr="00592A0A">
        <w:rPr>
          <w:rFonts w:ascii="Times New Roman" w:hAnsi="Times New Roman"/>
          <w:noProof/>
          <w:sz w:val="20"/>
          <w:szCs w:val="20"/>
        </w:rPr>
        <w:t xml:space="preserve"> 68–72.</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Tangboriboonrat, P., Tiyapiboonchaiya, C. and Lerthititrakul, C. (1998). New evidence of the surface morphology of deproteinized natural rubber particles. </w:t>
      </w:r>
      <w:r w:rsidRPr="00592A0A">
        <w:rPr>
          <w:rFonts w:ascii="Times New Roman" w:hAnsi="Times New Roman"/>
          <w:i/>
          <w:iCs/>
          <w:noProof/>
          <w:sz w:val="20"/>
          <w:szCs w:val="20"/>
        </w:rPr>
        <w:t xml:space="preserve">Polymer Bulletin, </w:t>
      </w:r>
      <w:r w:rsidRPr="00592A0A">
        <w:rPr>
          <w:rFonts w:ascii="Times New Roman" w:hAnsi="Times New Roman"/>
          <w:bCs/>
          <w:noProof/>
          <w:sz w:val="20"/>
          <w:szCs w:val="20"/>
        </w:rPr>
        <w:t>41:</w:t>
      </w:r>
      <w:r w:rsidRPr="00592A0A">
        <w:rPr>
          <w:rFonts w:ascii="Times New Roman" w:hAnsi="Times New Roman"/>
          <w:noProof/>
          <w:sz w:val="20"/>
          <w:szCs w:val="20"/>
        </w:rPr>
        <w:t xml:space="preserve"> 601–608.</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Dee, K. C., Puleo, D. A. and Bizios, R. (2003). </w:t>
      </w:r>
      <w:r w:rsidRPr="00592A0A">
        <w:rPr>
          <w:rFonts w:ascii="Times New Roman" w:hAnsi="Times New Roman"/>
          <w:iCs/>
          <w:noProof/>
          <w:sz w:val="20"/>
          <w:szCs w:val="20"/>
        </w:rPr>
        <w:t>An introduction to tissue-biomaterial interactions</w:t>
      </w:r>
      <w:r w:rsidRPr="00592A0A">
        <w:rPr>
          <w:rFonts w:ascii="Times New Roman" w:hAnsi="Times New Roman"/>
          <w:noProof/>
          <w:sz w:val="20"/>
          <w:szCs w:val="20"/>
        </w:rPr>
        <w:t>. John Wiley &amp; Sons.</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Yazawa, K. and Numata, K. (2014). Recent advances in chemoenzymatic peptide syntheses. </w:t>
      </w:r>
      <w:r w:rsidRPr="00592A0A">
        <w:rPr>
          <w:rFonts w:ascii="Times New Roman" w:hAnsi="Times New Roman"/>
          <w:i/>
          <w:iCs/>
          <w:noProof/>
          <w:sz w:val="20"/>
          <w:szCs w:val="20"/>
        </w:rPr>
        <w:t>Molecules,</w:t>
      </w:r>
      <w:r w:rsidRPr="00592A0A">
        <w:rPr>
          <w:rFonts w:ascii="Times New Roman" w:hAnsi="Times New Roman"/>
          <w:noProof/>
          <w:sz w:val="20"/>
          <w:szCs w:val="20"/>
        </w:rPr>
        <w:t xml:space="preserve"> </w:t>
      </w:r>
      <w:r w:rsidRPr="00592A0A">
        <w:rPr>
          <w:rFonts w:ascii="Times New Roman" w:hAnsi="Times New Roman"/>
          <w:bCs/>
          <w:noProof/>
          <w:sz w:val="20"/>
          <w:szCs w:val="20"/>
        </w:rPr>
        <w:t>19:</w:t>
      </w:r>
      <w:r w:rsidRPr="00592A0A">
        <w:rPr>
          <w:rFonts w:ascii="Times New Roman" w:hAnsi="Times New Roman"/>
          <w:noProof/>
          <w:sz w:val="20"/>
          <w:szCs w:val="20"/>
        </w:rPr>
        <w:t xml:space="preserve"> 13755–74.</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Baker, P. J., Patwardhan, S. V and Numata, K. (2014). Synthesis of homopolypeptides by aminolysis mediated by proteases encapsulated in silica nanospheres. </w:t>
      </w:r>
      <w:r w:rsidRPr="00592A0A">
        <w:rPr>
          <w:rFonts w:ascii="Times New Roman" w:hAnsi="Times New Roman"/>
          <w:i/>
          <w:iCs/>
          <w:noProof/>
          <w:sz w:val="20"/>
          <w:szCs w:val="20"/>
        </w:rPr>
        <w:t>Macromolecular Bioscience,</w:t>
      </w:r>
      <w:r w:rsidRPr="00592A0A">
        <w:rPr>
          <w:rFonts w:ascii="Times New Roman" w:hAnsi="Times New Roman"/>
          <w:noProof/>
          <w:sz w:val="20"/>
          <w:szCs w:val="20"/>
        </w:rPr>
        <w:t xml:space="preserve"> </w:t>
      </w:r>
      <w:r w:rsidRPr="00592A0A">
        <w:rPr>
          <w:rFonts w:ascii="Times New Roman" w:hAnsi="Times New Roman"/>
          <w:bCs/>
          <w:noProof/>
          <w:sz w:val="20"/>
          <w:szCs w:val="20"/>
        </w:rPr>
        <w:t>14:</w:t>
      </w:r>
      <w:r w:rsidRPr="00592A0A">
        <w:rPr>
          <w:rFonts w:ascii="Times New Roman" w:hAnsi="Times New Roman"/>
          <w:noProof/>
          <w:sz w:val="20"/>
          <w:szCs w:val="20"/>
        </w:rPr>
        <w:t xml:space="preserve"> 1619–1626.</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Tangpakdee, J. and Tanaka, Y. (1997). Characterization of sol and gel in hevea natural rubber. </w:t>
      </w:r>
      <w:r w:rsidRPr="00592A0A">
        <w:rPr>
          <w:rFonts w:ascii="Times New Roman" w:hAnsi="Times New Roman"/>
          <w:i/>
          <w:iCs/>
          <w:noProof/>
          <w:sz w:val="20"/>
          <w:szCs w:val="20"/>
        </w:rPr>
        <w:t xml:space="preserve">Rubber Chemistry and Technology, </w:t>
      </w:r>
      <w:r w:rsidRPr="00592A0A">
        <w:rPr>
          <w:rFonts w:ascii="Times New Roman" w:hAnsi="Times New Roman"/>
          <w:bCs/>
          <w:noProof/>
          <w:sz w:val="20"/>
          <w:szCs w:val="20"/>
        </w:rPr>
        <w:t>70:</w:t>
      </w:r>
      <w:r w:rsidRPr="00592A0A">
        <w:rPr>
          <w:rFonts w:ascii="Times New Roman" w:hAnsi="Times New Roman"/>
          <w:noProof/>
          <w:sz w:val="20"/>
          <w:szCs w:val="20"/>
        </w:rPr>
        <w:t xml:space="preserve"> 707–713.</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Sakdapipanich, J. T. (2007). Structural characterization of natural rubber based on recent evidence from selective enzymatic treatments. </w:t>
      </w:r>
      <w:r w:rsidRPr="00592A0A">
        <w:rPr>
          <w:rFonts w:ascii="Times New Roman" w:hAnsi="Times New Roman"/>
          <w:i/>
          <w:iCs/>
          <w:noProof/>
          <w:sz w:val="20"/>
          <w:szCs w:val="20"/>
        </w:rPr>
        <w:t>Journal of Bioscience and Bioengineering,</w:t>
      </w:r>
      <w:r w:rsidRPr="00592A0A">
        <w:rPr>
          <w:rFonts w:ascii="Times New Roman" w:hAnsi="Times New Roman"/>
          <w:noProof/>
          <w:sz w:val="20"/>
          <w:szCs w:val="20"/>
        </w:rPr>
        <w:t xml:space="preserve"> </w:t>
      </w:r>
      <w:r w:rsidRPr="00592A0A">
        <w:rPr>
          <w:rFonts w:ascii="Times New Roman" w:hAnsi="Times New Roman"/>
          <w:bCs/>
          <w:noProof/>
          <w:sz w:val="20"/>
          <w:szCs w:val="20"/>
        </w:rPr>
        <w:t>103:</w:t>
      </w:r>
      <w:r w:rsidRPr="00592A0A">
        <w:rPr>
          <w:rFonts w:ascii="Times New Roman" w:hAnsi="Times New Roman"/>
          <w:noProof/>
          <w:sz w:val="20"/>
          <w:szCs w:val="20"/>
        </w:rPr>
        <w:t xml:space="preserve"> 287–292.</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Salopek, B., Krasic, D. and Filipovic, S. (1992). Measurement and application of zeta-potential. </w:t>
      </w:r>
      <w:r w:rsidRPr="00592A0A">
        <w:rPr>
          <w:rFonts w:ascii="Times New Roman" w:hAnsi="Times New Roman"/>
          <w:i/>
          <w:iCs/>
          <w:noProof/>
          <w:sz w:val="20"/>
          <w:szCs w:val="20"/>
        </w:rPr>
        <w:t xml:space="preserve">Rudarsko-geoloiko-naftni zbornik, </w:t>
      </w:r>
      <w:r w:rsidRPr="00592A0A">
        <w:rPr>
          <w:rFonts w:ascii="Times New Roman" w:hAnsi="Times New Roman"/>
          <w:noProof/>
          <w:sz w:val="20"/>
          <w:szCs w:val="20"/>
        </w:rPr>
        <w:t xml:space="preserve"> </w:t>
      </w:r>
      <w:r w:rsidRPr="00592A0A">
        <w:rPr>
          <w:rFonts w:ascii="Times New Roman" w:hAnsi="Times New Roman"/>
          <w:bCs/>
          <w:noProof/>
          <w:sz w:val="20"/>
          <w:szCs w:val="20"/>
        </w:rPr>
        <w:t>4:</w:t>
      </w:r>
      <w:r w:rsidRPr="00592A0A">
        <w:rPr>
          <w:rFonts w:ascii="Times New Roman" w:hAnsi="Times New Roman"/>
          <w:noProof/>
          <w:sz w:val="20"/>
          <w:szCs w:val="20"/>
        </w:rPr>
        <w:t xml:space="preserve"> 147–151.</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Kaszuba, M., Corbett, J., Watson, F. M.and Jones, A. (2010). High-concentration zeta potential measurements using light-scattering techniques. </w:t>
      </w:r>
      <w:r w:rsidRPr="00592A0A">
        <w:rPr>
          <w:rFonts w:ascii="Times New Roman" w:hAnsi="Times New Roman"/>
          <w:i/>
          <w:iCs/>
          <w:noProof/>
          <w:sz w:val="20"/>
          <w:szCs w:val="20"/>
        </w:rPr>
        <w:t>Philosophical Transactions of The Royal Society A Mathematical Physical and Engineering Sciences,</w:t>
      </w:r>
      <w:r w:rsidRPr="00592A0A">
        <w:rPr>
          <w:rFonts w:ascii="Times New Roman" w:hAnsi="Times New Roman"/>
          <w:noProof/>
          <w:sz w:val="20"/>
          <w:szCs w:val="20"/>
        </w:rPr>
        <w:t xml:space="preserve"> </w:t>
      </w:r>
      <w:r w:rsidRPr="00592A0A">
        <w:rPr>
          <w:rFonts w:ascii="Times New Roman" w:hAnsi="Times New Roman"/>
          <w:bCs/>
          <w:noProof/>
          <w:sz w:val="20"/>
          <w:szCs w:val="20"/>
        </w:rPr>
        <w:t>368:</w:t>
      </w:r>
      <w:r w:rsidRPr="00592A0A">
        <w:rPr>
          <w:rFonts w:ascii="Times New Roman" w:hAnsi="Times New Roman"/>
          <w:noProof/>
          <w:sz w:val="20"/>
          <w:szCs w:val="20"/>
        </w:rPr>
        <w:t xml:space="preserve"> 4439–4451.</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Prabhu, S. and Murugan, K. (2015). Zeta potential measurements in colloidal suspensions. </w:t>
      </w:r>
      <w:r w:rsidRPr="00592A0A">
        <w:rPr>
          <w:rFonts w:ascii="Times New Roman" w:hAnsi="Times New Roman"/>
          <w:i/>
          <w:iCs/>
          <w:noProof/>
          <w:sz w:val="20"/>
          <w:szCs w:val="20"/>
        </w:rPr>
        <w:t>International Conference on Systems, Science, Control, Communication, Engineering and Technology</w:t>
      </w:r>
      <w:r w:rsidRPr="00592A0A">
        <w:rPr>
          <w:rFonts w:ascii="Times New Roman" w:hAnsi="Times New Roman"/>
          <w:iCs/>
          <w:noProof/>
          <w:sz w:val="20"/>
          <w:szCs w:val="20"/>
        </w:rPr>
        <w:t>:</w:t>
      </w:r>
      <w:r w:rsidRPr="00592A0A">
        <w:rPr>
          <w:rFonts w:ascii="Times New Roman" w:hAnsi="Times New Roman"/>
          <w:noProof/>
          <w:sz w:val="20"/>
          <w:szCs w:val="20"/>
        </w:rPr>
        <w:t xml:space="preserve"> pp. 221–224.</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Honary, S. and Zahir, F. (2013). Effect of zeta potential on the properties of nano-drug delivery systems -A review (Part 2). </w:t>
      </w:r>
      <w:r w:rsidRPr="00592A0A">
        <w:rPr>
          <w:rFonts w:ascii="Times New Roman" w:hAnsi="Times New Roman"/>
          <w:i/>
          <w:iCs/>
          <w:noProof/>
          <w:sz w:val="20"/>
          <w:szCs w:val="20"/>
        </w:rPr>
        <w:t xml:space="preserve">Tropical Journal of Pharmaceutical Research, </w:t>
      </w:r>
      <w:r w:rsidRPr="00592A0A">
        <w:rPr>
          <w:rFonts w:ascii="Times New Roman" w:hAnsi="Times New Roman"/>
          <w:bCs/>
          <w:noProof/>
          <w:sz w:val="20"/>
          <w:szCs w:val="20"/>
        </w:rPr>
        <w:t>12(2):</w:t>
      </w:r>
      <w:r w:rsidRPr="00592A0A">
        <w:rPr>
          <w:rFonts w:ascii="Times New Roman" w:hAnsi="Times New Roman"/>
          <w:noProof/>
          <w:sz w:val="20"/>
          <w:szCs w:val="20"/>
        </w:rPr>
        <w:t xml:space="preserve"> 265–265.</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Salgın, S., Salgın, U. and Bahadır, S. (2012). Zeta potentials and isoelectric points of biomolecules: the effects of ion types and ionic strengths. </w:t>
      </w:r>
      <w:r w:rsidRPr="00592A0A">
        <w:rPr>
          <w:rFonts w:ascii="Times New Roman" w:hAnsi="Times New Roman"/>
          <w:i/>
          <w:iCs/>
          <w:noProof/>
          <w:sz w:val="20"/>
          <w:szCs w:val="20"/>
        </w:rPr>
        <w:t>International Journal of Electrochemical Science,</w:t>
      </w:r>
      <w:r w:rsidRPr="00592A0A">
        <w:rPr>
          <w:rFonts w:ascii="Times New Roman" w:hAnsi="Times New Roman"/>
          <w:noProof/>
          <w:sz w:val="20"/>
          <w:szCs w:val="20"/>
        </w:rPr>
        <w:t xml:space="preserve"> </w:t>
      </w:r>
      <w:r w:rsidRPr="00592A0A">
        <w:rPr>
          <w:rFonts w:ascii="Times New Roman" w:hAnsi="Times New Roman"/>
          <w:bCs/>
          <w:noProof/>
          <w:sz w:val="20"/>
          <w:szCs w:val="20"/>
        </w:rPr>
        <w:t>7:</w:t>
      </w:r>
      <w:r w:rsidRPr="00592A0A">
        <w:rPr>
          <w:rFonts w:ascii="Times New Roman" w:hAnsi="Times New Roman"/>
          <w:noProof/>
          <w:sz w:val="20"/>
          <w:szCs w:val="20"/>
        </w:rPr>
        <w:t xml:space="preserve"> 12404–12414.</w:t>
      </w:r>
    </w:p>
    <w:p w:rsidR="00592A0A" w:rsidRPr="00592A0A" w:rsidRDefault="00592A0A" w:rsidP="00592A0A">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Gençkal, H. (2004). Studies on alkaline protease production from </w:t>
      </w:r>
      <w:r w:rsidRPr="00592A0A">
        <w:rPr>
          <w:rFonts w:ascii="Times New Roman" w:hAnsi="Times New Roman"/>
          <w:i/>
          <w:noProof/>
          <w:sz w:val="20"/>
          <w:szCs w:val="20"/>
        </w:rPr>
        <w:t>Bacillus</w:t>
      </w:r>
      <w:r w:rsidRPr="00592A0A">
        <w:rPr>
          <w:rFonts w:ascii="Times New Roman" w:hAnsi="Times New Roman"/>
          <w:noProof/>
          <w:sz w:val="20"/>
          <w:szCs w:val="20"/>
        </w:rPr>
        <w:t xml:space="preserve"> sp. Master Dissertation. </w:t>
      </w:r>
      <w:r w:rsidRPr="00592A0A">
        <w:rPr>
          <w:rFonts w:ascii="Times New Roman" w:hAnsi="Times New Roman"/>
          <w:sz w:val="20"/>
          <w:szCs w:val="20"/>
        </w:rPr>
        <w:t>Izmir Institute of Technology, Turkey.</w:t>
      </w:r>
    </w:p>
    <w:p w:rsidR="00AC0033" w:rsidRPr="00592A0A" w:rsidRDefault="00592A0A" w:rsidP="00592A0A">
      <w:pPr>
        <w:spacing w:after="0" w:line="240" w:lineRule="auto"/>
        <w:ind w:left="360" w:hanging="360"/>
        <w:jc w:val="both"/>
        <w:rPr>
          <w:rFonts w:ascii="Times New Roman" w:hAnsi="Times New Roman"/>
          <w:sz w:val="20"/>
          <w:szCs w:val="20"/>
        </w:rPr>
      </w:pPr>
      <w:r w:rsidRPr="00592A0A">
        <w:rPr>
          <w:rFonts w:ascii="Times New Roman" w:hAnsi="Times New Roman"/>
          <w:sz w:val="20"/>
          <w:szCs w:val="20"/>
        </w:rPr>
        <w:fldChar w:fldCharType="end"/>
      </w:r>
    </w:p>
    <w:sectPr w:rsidR="00AC0033" w:rsidRPr="00592A0A" w:rsidSect="0032182A">
      <w:headerReference w:type="even" r:id="rId17"/>
      <w:headerReference w:type="default" r:id="rId18"/>
      <w:footerReference w:type="even" r:id="rId19"/>
      <w:footerReference w:type="default" r:id="rId20"/>
      <w:pgSz w:w="12240" w:h="15840" w:code="1"/>
      <w:pgMar w:top="1800" w:right="1469" w:bottom="1699" w:left="1440" w:header="706" w:footer="706"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A1"/>
    <w:family w:val="roman"/>
    <w:notTrueType/>
    <w:pitch w:val="default"/>
    <w:sig w:usb0="00000001"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35ED8">
      <w:rPr>
        <w:rFonts w:ascii="Times New Roman" w:hAnsi="Times New Roman"/>
        <w:noProof/>
      </w:rPr>
      <w:t>304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35ED8">
      <w:rPr>
        <w:rFonts w:ascii="Times New Roman" w:hAnsi="Times New Roman"/>
        <w:noProof/>
      </w:rPr>
      <w:t>303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C17" w:rsidRPr="00D94C17" w:rsidRDefault="00D94C17" w:rsidP="00D94C17">
    <w:pPr>
      <w:spacing w:after="0" w:line="240" w:lineRule="auto"/>
      <w:ind w:left="1170" w:hanging="1170"/>
      <w:rPr>
        <w:rFonts w:ascii="Times New Roman" w:hAnsi="Times New Roman"/>
        <w:sz w:val="20"/>
        <w:szCs w:val="20"/>
      </w:rPr>
    </w:pPr>
    <w:r>
      <w:rPr>
        <w:rFonts w:ascii="Times New Roman" w:hAnsi="Times New Roman"/>
        <w:sz w:val="20"/>
        <w:szCs w:val="20"/>
      </w:rPr>
      <w:t>Aziana et al</w:t>
    </w:r>
    <w:r w:rsidR="006B72B0" w:rsidRPr="00D94C17">
      <w:rPr>
        <w:rFonts w:ascii="Times New Roman" w:hAnsi="Times New Roman"/>
        <w:sz w:val="20"/>
        <w:szCs w:val="20"/>
      </w:rPr>
      <w:t xml:space="preserve">: </w:t>
    </w:r>
    <w:r w:rsidR="00070F31" w:rsidRPr="00D94C17">
      <w:rPr>
        <w:rFonts w:ascii="Times New Roman" w:hAnsi="Times New Roman"/>
        <w:sz w:val="20"/>
        <w:szCs w:val="20"/>
      </w:rPr>
      <w:t xml:space="preserve"> </w:t>
    </w:r>
    <w:r w:rsidRPr="00D94C17">
      <w:rPr>
        <w:rFonts w:ascii="Times New Roman" w:hAnsi="Times New Roman"/>
        <w:sz w:val="20"/>
        <w:szCs w:val="20"/>
      </w:rPr>
      <w:t xml:space="preserve"> APPLICATION OF PROTEOLYTIC ENZYME IN HIGH AMMONIATED NATURAL RUBBER LATEX</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32182A">
      <w:rPr>
        <w:rFonts w:ascii="Times New Roman" w:hAnsi="Times New Roman"/>
        <w:i/>
        <w:lang w:val="en-US"/>
      </w:rPr>
      <w:t>295</w:t>
    </w:r>
    <w:r>
      <w:rPr>
        <w:rFonts w:ascii="Times New Roman" w:hAnsi="Times New Roman"/>
        <w:i/>
        <w:lang w:val="en-US"/>
      </w:rPr>
      <w:t xml:space="preserve"> </w:t>
    </w:r>
    <w:r w:rsidR="007A0583">
      <w:rPr>
        <w:rFonts w:ascii="Times New Roman" w:hAnsi="Times New Roman"/>
        <w:i/>
        <w:lang w:val="en-US"/>
      </w:rPr>
      <w:t>-</w:t>
    </w:r>
    <w:r w:rsidR="0032182A">
      <w:rPr>
        <w:rFonts w:ascii="Times New Roman" w:hAnsi="Times New Roman"/>
        <w:i/>
        <w:lang w:val="en-US"/>
      </w:rPr>
      <w:t xml:space="preserve"> 304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32182A">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0F3122"/>
    <w:multiLevelType w:val="hybridMultilevel"/>
    <w:tmpl w:val="58A0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94133"/>
    <w:rsid w:val="000C49FF"/>
    <w:rsid w:val="000D16A1"/>
    <w:rsid w:val="000D2B0C"/>
    <w:rsid w:val="000F77DA"/>
    <w:rsid w:val="001068E8"/>
    <w:rsid w:val="001106D8"/>
    <w:rsid w:val="00117BCD"/>
    <w:rsid w:val="001D035A"/>
    <w:rsid w:val="001D3855"/>
    <w:rsid w:val="001D6F2C"/>
    <w:rsid w:val="002147F9"/>
    <w:rsid w:val="00235ED8"/>
    <w:rsid w:val="00277498"/>
    <w:rsid w:val="0028007D"/>
    <w:rsid w:val="002860B7"/>
    <w:rsid w:val="00290F4D"/>
    <w:rsid w:val="002A2FC0"/>
    <w:rsid w:val="002B188F"/>
    <w:rsid w:val="002B3BD8"/>
    <w:rsid w:val="002F3F91"/>
    <w:rsid w:val="00304767"/>
    <w:rsid w:val="00304B34"/>
    <w:rsid w:val="0032182A"/>
    <w:rsid w:val="00361BAF"/>
    <w:rsid w:val="00362FCE"/>
    <w:rsid w:val="00367D1F"/>
    <w:rsid w:val="003B6019"/>
    <w:rsid w:val="003D4CDD"/>
    <w:rsid w:val="003D585B"/>
    <w:rsid w:val="003E7DA6"/>
    <w:rsid w:val="003F12FF"/>
    <w:rsid w:val="00401EB9"/>
    <w:rsid w:val="004204EF"/>
    <w:rsid w:val="0047088F"/>
    <w:rsid w:val="004760D4"/>
    <w:rsid w:val="00494C46"/>
    <w:rsid w:val="004B43FF"/>
    <w:rsid w:val="004D7E25"/>
    <w:rsid w:val="00502641"/>
    <w:rsid w:val="00592A0A"/>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35BBF"/>
    <w:rsid w:val="00B75BF6"/>
    <w:rsid w:val="00B7735A"/>
    <w:rsid w:val="00B91DE7"/>
    <w:rsid w:val="00BA1595"/>
    <w:rsid w:val="00BA1F7B"/>
    <w:rsid w:val="00BB58AF"/>
    <w:rsid w:val="00BE7C30"/>
    <w:rsid w:val="00C055BF"/>
    <w:rsid w:val="00C2226A"/>
    <w:rsid w:val="00C234BA"/>
    <w:rsid w:val="00C27549"/>
    <w:rsid w:val="00C94D92"/>
    <w:rsid w:val="00C97340"/>
    <w:rsid w:val="00CA513F"/>
    <w:rsid w:val="00CB3AA6"/>
    <w:rsid w:val="00CC20C2"/>
    <w:rsid w:val="00CF05FF"/>
    <w:rsid w:val="00D340BB"/>
    <w:rsid w:val="00D505D5"/>
    <w:rsid w:val="00D75B35"/>
    <w:rsid w:val="00D76E09"/>
    <w:rsid w:val="00D94C17"/>
    <w:rsid w:val="00D9736F"/>
    <w:rsid w:val="00D9792A"/>
    <w:rsid w:val="00DD377F"/>
    <w:rsid w:val="00E16130"/>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basedOn w:val="Normal"/>
    <w:qFormat/>
    <w:rsid w:val="002147F9"/>
    <w:pPr>
      <w:spacing w:before="400" w:after="0" w:line="240" w:lineRule="auto"/>
      <w:ind w:left="720" w:right="749"/>
      <w:jc w:val="both"/>
    </w:pPr>
    <w:rPr>
      <w:rFonts w:ascii="Times New Roman" w:eastAsiaTheme="minorEastAsia" w:hAnsi="Times New Roman" w:cstheme="minorBidi"/>
      <w:sz w:val="18"/>
      <w:szCs w:val="20"/>
      <w:lang w:bidi="ar-SA"/>
    </w:rPr>
  </w:style>
  <w:style w:type="character" w:customStyle="1" w:styleId="A0">
    <w:name w:val="A0"/>
    <w:uiPriority w:val="99"/>
    <w:rsid w:val="002147F9"/>
    <w:rPr>
      <w:rFonts w:cs="TimesNewRomanPS"/>
      <w:color w:val="000000"/>
      <w:sz w:val="21"/>
      <w:szCs w:val="21"/>
    </w:rPr>
  </w:style>
  <w:style w:type="character" w:customStyle="1" w:styleId="ListParagraphChar">
    <w:name w:val="List Paragraph Char"/>
    <w:link w:val="ListParagraph"/>
    <w:uiPriority w:val="34"/>
    <w:rsid w:val="002147F9"/>
    <w:rPr>
      <w:rFonts w:eastAsia="Times New Roman"/>
      <w:sz w:val="22"/>
      <w:szCs w:val="22"/>
      <w:lang w:bidi="en-US"/>
    </w:rPr>
  </w:style>
  <w:style w:type="paragraph" w:styleId="HTMLPreformatted">
    <w:name w:val="HTML Preformatted"/>
    <w:basedOn w:val="Normal"/>
    <w:link w:val="HTMLPreformattedChar"/>
    <w:uiPriority w:val="99"/>
    <w:unhideWhenUsed/>
    <w:rsid w:val="0021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AU" w:eastAsia="en-AU" w:bidi="ar-SA"/>
    </w:rPr>
  </w:style>
  <w:style w:type="character" w:customStyle="1" w:styleId="HTMLPreformattedChar">
    <w:name w:val="HTML Preformatted Char"/>
    <w:basedOn w:val="DefaultParagraphFont"/>
    <w:link w:val="HTMLPreformatted"/>
    <w:uiPriority w:val="99"/>
    <w:rsid w:val="002147F9"/>
    <w:rPr>
      <w:rFonts w:ascii="Courier New" w:eastAsia="Times New Roman" w:hAnsi="Courier New" w:cs="Courier New"/>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basedOn w:val="Normal"/>
    <w:qFormat/>
    <w:rsid w:val="002147F9"/>
    <w:pPr>
      <w:spacing w:before="400" w:after="0" w:line="240" w:lineRule="auto"/>
      <w:ind w:left="720" w:right="749"/>
      <w:jc w:val="both"/>
    </w:pPr>
    <w:rPr>
      <w:rFonts w:ascii="Times New Roman" w:eastAsiaTheme="minorEastAsia" w:hAnsi="Times New Roman" w:cstheme="minorBidi"/>
      <w:sz w:val="18"/>
      <w:szCs w:val="20"/>
      <w:lang w:bidi="ar-SA"/>
    </w:rPr>
  </w:style>
  <w:style w:type="character" w:customStyle="1" w:styleId="A0">
    <w:name w:val="A0"/>
    <w:uiPriority w:val="99"/>
    <w:rsid w:val="002147F9"/>
    <w:rPr>
      <w:rFonts w:cs="TimesNewRomanPS"/>
      <w:color w:val="000000"/>
      <w:sz w:val="21"/>
      <w:szCs w:val="21"/>
    </w:rPr>
  </w:style>
  <w:style w:type="character" w:customStyle="1" w:styleId="ListParagraphChar">
    <w:name w:val="List Paragraph Char"/>
    <w:link w:val="ListParagraph"/>
    <w:uiPriority w:val="34"/>
    <w:rsid w:val="002147F9"/>
    <w:rPr>
      <w:rFonts w:eastAsia="Times New Roman"/>
      <w:sz w:val="22"/>
      <w:szCs w:val="22"/>
      <w:lang w:bidi="en-US"/>
    </w:rPr>
  </w:style>
  <w:style w:type="paragraph" w:styleId="HTMLPreformatted">
    <w:name w:val="HTML Preformatted"/>
    <w:basedOn w:val="Normal"/>
    <w:link w:val="HTMLPreformattedChar"/>
    <w:uiPriority w:val="99"/>
    <w:unhideWhenUsed/>
    <w:rsid w:val="0021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AU" w:eastAsia="en-AU" w:bidi="ar-SA"/>
    </w:rPr>
  </w:style>
  <w:style w:type="character" w:customStyle="1" w:styleId="HTMLPreformattedChar">
    <w:name w:val="HTML Preformatted Char"/>
    <w:basedOn w:val="DefaultParagraphFont"/>
    <w:link w:val="HTMLPreformatted"/>
    <w:uiPriority w:val="99"/>
    <w:rsid w:val="002147F9"/>
    <w:rPr>
      <w:rFonts w:ascii="Courier New" w:eastAsia="Times New Roman" w:hAnsi="Courier New" w:cs="Courier New"/>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9693192158594"/>
          <c:y val="4.6194218084325445E-2"/>
          <c:w val="0.71313419489898444"/>
          <c:h val="0.7580921822175819"/>
        </c:manualLayout>
      </c:layout>
      <c:barChart>
        <c:barDir val="col"/>
        <c:grouping val="clustered"/>
        <c:varyColors val="0"/>
        <c:ser>
          <c:idx val="0"/>
          <c:order val="0"/>
          <c:tx>
            <c:strRef>
              <c:f>Sheet1!$N$9</c:f>
              <c:strCache>
                <c:ptCount val="1"/>
                <c:pt idx="0">
                  <c:v>Red Allergen</c:v>
                </c:pt>
              </c:strCache>
            </c:strRef>
          </c:tx>
          <c:spPr>
            <a:pattFill prst="pct25">
              <a:fgClr>
                <a:schemeClr val="tx1"/>
              </a:fgClr>
              <a:bgClr>
                <a:schemeClr val="bg1"/>
              </a:bgClr>
            </a:pattFill>
            <a:ln>
              <a:solidFill>
                <a:schemeClr val="tx1"/>
              </a:solidFill>
            </a:ln>
            <a:effectLst/>
          </c:spPr>
          <c:invertIfNegative val="0"/>
          <c:cat>
            <c:strRef>
              <c:f>Sheet1!$N$10:$N$14</c:f>
              <c:strCache>
                <c:ptCount val="5"/>
                <c:pt idx="0">
                  <c:v>HA</c:v>
                </c:pt>
                <c:pt idx="1">
                  <c:v>HA-AL1</c:v>
                </c:pt>
                <c:pt idx="2">
                  <c:v>HA-AL2</c:v>
                </c:pt>
                <c:pt idx="3">
                  <c:v>HA-AL3</c:v>
                </c:pt>
                <c:pt idx="4">
                  <c:v>HA-AL4</c:v>
                </c:pt>
              </c:strCache>
            </c:strRef>
          </c:cat>
          <c:val>
            <c:numRef>
              <c:f>Sheet1!$O$10:$O$14</c:f>
              <c:numCache>
                <c:formatCode>General</c:formatCode>
                <c:ptCount val="5"/>
                <c:pt idx="0">
                  <c:v>6641</c:v>
                </c:pt>
                <c:pt idx="1">
                  <c:v>2265</c:v>
                </c:pt>
                <c:pt idx="2">
                  <c:v>1305.5</c:v>
                </c:pt>
                <c:pt idx="3">
                  <c:v>994.5</c:v>
                </c:pt>
                <c:pt idx="4">
                  <c:v>845.5</c:v>
                </c:pt>
              </c:numCache>
            </c:numRef>
          </c:val>
          <c:extLst xmlns:c16r2="http://schemas.microsoft.com/office/drawing/2015/06/chart">
            <c:ext xmlns:c16="http://schemas.microsoft.com/office/drawing/2014/chart" uri="{C3380CC4-5D6E-409C-BE32-E72D297353CC}">
              <c16:uniqueId val="{00000000-53E0-4673-B532-CF9F8D914E3D}"/>
            </c:ext>
          </c:extLst>
        </c:ser>
        <c:ser>
          <c:idx val="1"/>
          <c:order val="1"/>
          <c:tx>
            <c:strRef>
              <c:f>Sheet1!$N$8</c:f>
              <c:strCache>
                <c:ptCount val="1"/>
                <c:pt idx="0">
                  <c:v>Blue Allergen</c:v>
                </c:pt>
              </c:strCache>
            </c:strRef>
          </c:tx>
          <c:spPr>
            <a:pattFill prst="pct75">
              <a:fgClr>
                <a:schemeClr val="tx1"/>
              </a:fgClr>
              <a:bgClr>
                <a:schemeClr val="bg1"/>
              </a:bgClr>
            </a:pattFill>
            <a:ln>
              <a:solidFill>
                <a:schemeClr val="tx1"/>
              </a:solidFill>
            </a:ln>
            <a:effectLst/>
          </c:spPr>
          <c:invertIfNegative val="0"/>
          <c:cat>
            <c:strRef>
              <c:f>Sheet1!$N$10:$N$14</c:f>
              <c:strCache>
                <c:ptCount val="5"/>
                <c:pt idx="0">
                  <c:v>HA</c:v>
                </c:pt>
                <c:pt idx="1">
                  <c:v>HA-AL1</c:v>
                </c:pt>
                <c:pt idx="2">
                  <c:v>HA-AL2</c:v>
                </c:pt>
                <c:pt idx="3">
                  <c:v>HA-AL3</c:v>
                </c:pt>
                <c:pt idx="4">
                  <c:v>HA-AL4</c:v>
                </c:pt>
              </c:strCache>
            </c:strRef>
          </c:cat>
          <c:val>
            <c:numRef>
              <c:f>Sheet1!$P$10:$P$14</c:f>
              <c:numCache>
                <c:formatCode>General</c:formatCode>
                <c:ptCount val="5"/>
                <c:pt idx="0">
                  <c:v>351</c:v>
                </c:pt>
                <c:pt idx="1">
                  <c:v>263.5</c:v>
                </c:pt>
                <c:pt idx="2">
                  <c:v>481.5</c:v>
                </c:pt>
                <c:pt idx="3">
                  <c:v>163.5</c:v>
                </c:pt>
                <c:pt idx="4">
                  <c:v>161</c:v>
                </c:pt>
              </c:numCache>
            </c:numRef>
          </c:val>
          <c:extLst xmlns:c16r2="http://schemas.microsoft.com/office/drawing/2015/06/chart">
            <c:ext xmlns:c16="http://schemas.microsoft.com/office/drawing/2014/chart" uri="{C3380CC4-5D6E-409C-BE32-E72D297353CC}">
              <c16:uniqueId val="{00000001-53E0-4673-B532-CF9F8D914E3D}"/>
            </c:ext>
          </c:extLst>
        </c:ser>
        <c:dLbls>
          <c:showLegendKey val="0"/>
          <c:showVal val="0"/>
          <c:showCatName val="0"/>
          <c:showSerName val="0"/>
          <c:showPercent val="0"/>
          <c:showBubbleSize val="0"/>
        </c:dLbls>
        <c:gapWidth val="300"/>
        <c:axId val="68953600"/>
        <c:axId val="77478528"/>
      </c:barChart>
      <c:catAx>
        <c:axId val="689536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Alcalase Concentrations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478528"/>
        <c:crosses val="autoZero"/>
        <c:auto val="1"/>
        <c:lblAlgn val="ctr"/>
        <c:lblOffset val="100"/>
        <c:noMultiLvlLbl val="0"/>
      </c:catAx>
      <c:valAx>
        <c:axId val="7747852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Concentration (ng/mL)</a:t>
                </a:r>
              </a:p>
            </c:rich>
          </c:tx>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953600"/>
        <c:crosses val="autoZero"/>
        <c:crossBetween val="between"/>
      </c:valAx>
      <c:spPr>
        <a:noFill/>
        <a:ln w="25400">
          <a:noFill/>
        </a:ln>
        <a:effectLst/>
      </c:spPr>
    </c:plotArea>
    <c:legend>
      <c:legendPos val="r"/>
      <c:layout>
        <c:manualLayout>
          <c:xMode val="edge"/>
          <c:yMode val="edge"/>
          <c:x val="0.69329945104259028"/>
          <c:y val="0.19400377372183317"/>
          <c:w val="0.2647191047359298"/>
          <c:h val="0.33343825973366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8C49-B9D7-488E-B5EC-33F0AC4B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5133</Words>
  <Characters>28725</Characters>
  <Application>Microsoft Office Word</Application>
  <DocSecurity>0</DocSecurity>
  <Lines>415</Lines>
  <Paragraphs>103</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33816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10</cp:revision>
  <cp:lastPrinted>2018-04-25T02:47:00Z</cp:lastPrinted>
  <dcterms:created xsi:type="dcterms:W3CDTF">2018-04-15T14:13:00Z</dcterms:created>
  <dcterms:modified xsi:type="dcterms:W3CDTF">2018-04-25T02:47:00Z</dcterms:modified>
</cp:coreProperties>
</file>