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22" w:rsidRDefault="00897722" w:rsidP="00897722">
      <w:pPr>
        <w:widowControl w:val="0"/>
        <w:autoSpaceDE w:val="0"/>
        <w:autoSpaceDN w:val="0"/>
        <w:spacing w:after="0" w:line="240" w:lineRule="auto"/>
        <w:outlineLvl w:val="0"/>
        <w:rPr>
          <w:rFonts w:ascii="Times New Roman" w:eastAsia="SimSun" w:hAnsi="Times New Roman"/>
          <w:kern w:val="2"/>
          <w:sz w:val="24"/>
          <w:szCs w:val="24"/>
          <w:lang w:eastAsia="ko-KR"/>
        </w:rPr>
      </w:pPr>
      <w:r>
        <w:rPr>
          <w:rFonts w:ascii="Times New Roman" w:eastAsia="SimSun" w:hAnsi="Times New Roman"/>
          <w:kern w:val="2"/>
          <w:sz w:val="24"/>
          <w:szCs w:val="24"/>
          <w:lang w:eastAsia="ko-KR"/>
        </w:rPr>
        <w:t>Malaysian Journal of Analytical Sciences Vol 22 No 1 (2018): 54 - 63</w:t>
      </w:r>
    </w:p>
    <w:p w:rsidR="00897722" w:rsidRDefault="00897722" w:rsidP="00897722">
      <w:pPr>
        <w:widowControl w:val="0"/>
        <w:autoSpaceDE w:val="0"/>
        <w:autoSpaceDN w:val="0"/>
        <w:spacing w:after="0" w:line="240" w:lineRule="auto"/>
        <w:outlineLvl w:val="0"/>
        <w:rPr>
          <w:rFonts w:ascii="Times New Roman" w:eastAsia="SimSun" w:hAnsi="Times New Roman"/>
          <w:kern w:val="2"/>
          <w:sz w:val="24"/>
          <w:szCs w:val="24"/>
          <w:lang w:eastAsia="ko-KR"/>
        </w:rPr>
      </w:pPr>
    </w:p>
    <w:p w:rsidR="00897722" w:rsidRDefault="00897722" w:rsidP="00897722">
      <w:pPr>
        <w:widowControl w:val="0"/>
        <w:autoSpaceDE w:val="0"/>
        <w:autoSpaceDN w:val="0"/>
        <w:spacing w:after="0" w:line="240" w:lineRule="auto"/>
        <w:outlineLvl w:val="0"/>
        <w:rPr>
          <w:rFonts w:ascii="Times New Roman" w:eastAsia="SimSun" w:hAnsi="Times New Roman"/>
          <w:kern w:val="2"/>
          <w:sz w:val="24"/>
          <w:szCs w:val="24"/>
          <w:lang w:eastAsia="ko-KR"/>
        </w:rPr>
      </w:pPr>
    </w:p>
    <w:p w:rsidR="00897722" w:rsidRPr="00897722" w:rsidRDefault="00897722" w:rsidP="00897722">
      <w:pPr>
        <w:widowControl w:val="0"/>
        <w:autoSpaceDE w:val="0"/>
        <w:autoSpaceDN w:val="0"/>
        <w:spacing w:after="0" w:line="240" w:lineRule="auto"/>
        <w:outlineLvl w:val="0"/>
        <w:rPr>
          <w:rFonts w:ascii="Times New Roman" w:eastAsia="SimSun" w:hAnsi="Times New Roman"/>
          <w:kern w:val="2"/>
          <w:sz w:val="24"/>
          <w:szCs w:val="24"/>
          <w:lang w:eastAsia="ko-KR"/>
        </w:rPr>
      </w:pPr>
    </w:p>
    <w:p w:rsidR="00897722" w:rsidRPr="00623FEB" w:rsidRDefault="00897722" w:rsidP="00897722">
      <w:pPr>
        <w:widowControl w:val="0"/>
        <w:autoSpaceDE w:val="0"/>
        <w:autoSpaceDN w:val="0"/>
        <w:spacing w:after="0" w:line="240" w:lineRule="auto"/>
        <w:jc w:val="center"/>
        <w:outlineLvl w:val="0"/>
        <w:rPr>
          <w:rFonts w:ascii="Times New Roman" w:eastAsia="SimSun" w:hAnsi="Times New Roman"/>
          <w:kern w:val="2"/>
          <w:sz w:val="28"/>
          <w:szCs w:val="28"/>
          <w:lang w:eastAsia="ko-KR"/>
        </w:rPr>
      </w:pPr>
      <w:r w:rsidRPr="00623FEB">
        <w:rPr>
          <w:rFonts w:ascii="Times New Roman" w:eastAsia="SimSun" w:hAnsi="Times New Roman"/>
          <w:kern w:val="2"/>
          <w:sz w:val="28"/>
          <w:szCs w:val="28"/>
          <w:lang w:eastAsia="ko-KR"/>
        </w:rPr>
        <w:t>MICROEMULSION ELECTROKINETIC CHROMATOGRAPH</w:t>
      </w:r>
      <w:r>
        <w:rPr>
          <w:rFonts w:ascii="Times New Roman" w:eastAsia="SimSun" w:hAnsi="Times New Roman"/>
          <w:kern w:val="2"/>
          <w:sz w:val="28"/>
          <w:szCs w:val="28"/>
          <w:lang w:eastAsia="ko-KR"/>
        </w:rPr>
        <w:t>Y COUPLED WITH DISPERSIVE MICRO-</w:t>
      </w:r>
      <w:r w:rsidRPr="00623FEB">
        <w:rPr>
          <w:rFonts w:ascii="Times New Roman" w:eastAsia="SimSun" w:hAnsi="Times New Roman"/>
          <w:kern w:val="2"/>
          <w:sz w:val="28"/>
          <w:szCs w:val="28"/>
          <w:lang w:eastAsia="ko-KR"/>
        </w:rPr>
        <w:t xml:space="preserve">SOLID PHASE EXTRACTION FOR DETERMINATION OF ISOFLAVONES IN SOYBEAN PRODUCTS </w:t>
      </w:r>
    </w:p>
    <w:p w:rsidR="00897722" w:rsidRPr="00485DC1" w:rsidRDefault="00897722" w:rsidP="00897722">
      <w:pPr>
        <w:widowControl w:val="0"/>
        <w:autoSpaceDE w:val="0"/>
        <w:autoSpaceDN w:val="0"/>
        <w:spacing w:after="0" w:line="240" w:lineRule="auto"/>
        <w:jc w:val="center"/>
        <w:outlineLvl w:val="0"/>
        <w:rPr>
          <w:rFonts w:ascii="Times New Roman" w:eastAsia="SimSun" w:hAnsi="Times New Roman"/>
          <w:b/>
          <w:color w:val="548DD4"/>
          <w:kern w:val="2"/>
          <w:sz w:val="24"/>
          <w:szCs w:val="24"/>
          <w:lang w:eastAsia="ko-KR"/>
        </w:rPr>
      </w:pPr>
    </w:p>
    <w:p w:rsidR="00897722" w:rsidRPr="008B16D1" w:rsidRDefault="00897722" w:rsidP="00897722">
      <w:pPr>
        <w:widowControl w:val="0"/>
        <w:autoSpaceDE w:val="0"/>
        <w:autoSpaceDN w:val="0"/>
        <w:spacing w:after="0" w:line="240" w:lineRule="auto"/>
        <w:jc w:val="center"/>
        <w:outlineLvl w:val="0"/>
        <w:rPr>
          <w:rFonts w:ascii="Times New Roman" w:eastAsia="SimSun" w:hAnsi="Times New Roman"/>
          <w:kern w:val="2"/>
          <w:sz w:val="24"/>
          <w:lang w:eastAsia="ko-KR"/>
        </w:rPr>
      </w:pPr>
      <w:r w:rsidRPr="008B16D1">
        <w:rPr>
          <w:rFonts w:ascii="Times New Roman" w:eastAsia="SimSun" w:hAnsi="Times New Roman"/>
          <w:kern w:val="2"/>
          <w:sz w:val="24"/>
          <w:lang w:eastAsia="ko-KR"/>
        </w:rPr>
        <w:t>(</w:t>
      </w:r>
      <w:r w:rsidRPr="003D2284">
        <w:rPr>
          <w:rFonts w:ascii="Times New Roman" w:eastAsia="SimSun" w:hAnsi="Times New Roman"/>
          <w:kern w:val="2"/>
          <w:sz w:val="24"/>
          <w:lang w:val="ms-MY" w:eastAsia="ko-KR"/>
        </w:rPr>
        <w:t>Kromatografi Elektrokinetik Mikro-Emulsi Berganding dengan Pengekstrakan Fasa Pepejal Mikro Serakan bagi Pengenalpastian Isoflavon di dalam Produk Kacang Soya</w:t>
      </w:r>
      <w:r w:rsidRPr="008B16D1">
        <w:rPr>
          <w:rFonts w:ascii="Times New Roman" w:eastAsia="SimSun" w:hAnsi="Times New Roman"/>
          <w:kern w:val="2"/>
          <w:sz w:val="24"/>
          <w:lang w:eastAsia="ko-KR"/>
        </w:rPr>
        <w:t>)</w:t>
      </w:r>
    </w:p>
    <w:p w:rsidR="00897722" w:rsidRPr="00623FEB" w:rsidRDefault="00897722" w:rsidP="00897722">
      <w:pPr>
        <w:widowControl w:val="0"/>
        <w:tabs>
          <w:tab w:val="left" w:pos="5175"/>
        </w:tabs>
        <w:autoSpaceDE w:val="0"/>
        <w:autoSpaceDN w:val="0"/>
        <w:spacing w:after="0" w:line="240" w:lineRule="auto"/>
        <w:jc w:val="center"/>
        <w:outlineLvl w:val="0"/>
        <w:rPr>
          <w:rFonts w:ascii="Times New Roman" w:eastAsia="SimSun" w:hAnsi="Times New Roman"/>
          <w:b/>
          <w:color w:val="548DD4"/>
          <w:kern w:val="2"/>
          <w:sz w:val="20"/>
          <w:szCs w:val="20"/>
          <w:lang w:eastAsia="ko-KR"/>
        </w:rPr>
      </w:pPr>
    </w:p>
    <w:p w:rsidR="00897722" w:rsidRPr="00623FEB" w:rsidRDefault="00897722" w:rsidP="00897722">
      <w:pPr>
        <w:widowControl w:val="0"/>
        <w:autoSpaceDE w:val="0"/>
        <w:autoSpaceDN w:val="0"/>
        <w:spacing w:after="0" w:line="240" w:lineRule="auto"/>
        <w:jc w:val="center"/>
        <w:outlineLvl w:val="0"/>
        <w:rPr>
          <w:rFonts w:ascii="Times New Roman" w:eastAsia="SimSun" w:hAnsi="Times New Roman"/>
          <w:kern w:val="2"/>
          <w:sz w:val="20"/>
          <w:szCs w:val="20"/>
          <w:lang w:eastAsia="ko-KR"/>
        </w:rPr>
      </w:pPr>
      <w:r w:rsidRPr="00623FEB">
        <w:rPr>
          <w:rFonts w:ascii="Times New Roman" w:eastAsia="SimSun" w:hAnsi="Times New Roman"/>
          <w:kern w:val="2"/>
          <w:sz w:val="20"/>
          <w:szCs w:val="20"/>
          <w:lang w:eastAsia="ko-KR"/>
        </w:rPr>
        <w:t>Khaulah Ab Rahim</w:t>
      </w:r>
      <w:r w:rsidRPr="00623FEB">
        <w:rPr>
          <w:rFonts w:ascii="Times New Roman" w:eastAsia="SimSun" w:hAnsi="Times New Roman"/>
          <w:kern w:val="2"/>
          <w:sz w:val="20"/>
          <w:szCs w:val="20"/>
          <w:vertAlign w:val="superscript"/>
          <w:lang w:eastAsia="ko-KR"/>
        </w:rPr>
        <w:t>1</w:t>
      </w:r>
      <w:r w:rsidRPr="00623FEB">
        <w:rPr>
          <w:rFonts w:ascii="Times New Roman" w:eastAsia="SimSun" w:hAnsi="Times New Roman"/>
          <w:kern w:val="2"/>
          <w:sz w:val="20"/>
          <w:szCs w:val="20"/>
          <w:lang w:eastAsia="ko-KR"/>
        </w:rPr>
        <w:t xml:space="preserve">, </w:t>
      </w:r>
      <w:r w:rsidRPr="00C17572">
        <w:rPr>
          <w:rFonts w:ascii="Times New Roman" w:eastAsia="SimSun" w:hAnsi="Times New Roman"/>
          <w:kern w:val="2"/>
          <w:sz w:val="20"/>
          <w:szCs w:val="20"/>
          <w:lang w:eastAsia="ko-KR"/>
        </w:rPr>
        <w:t>Mohd Marsin Sanagi</w:t>
      </w:r>
      <w:r>
        <w:rPr>
          <w:rFonts w:ascii="Times New Roman" w:eastAsia="SimSun" w:hAnsi="Times New Roman"/>
          <w:kern w:val="2"/>
          <w:sz w:val="20"/>
          <w:szCs w:val="20"/>
          <w:vertAlign w:val="superscript"/>
          <w:lang w:eastAsia="ko-KR"/>
        </w:rPr>
        <w:t>1,2</w:t>
      </w:r>
      <w:r w:rsidRPr="00485DC1">
        <w:rPr>
          <w:rFonts w:ascii="Times New Roman" w:eastAsia="SimSun" w:hAnsi="Times New Roman"/>
          <w:kern w:val="2"/>
          <w:sz w:val="20"/>
          <w:szCs w:val="20"/>
          <w:lang w:eastAsia="ko-KR"/>
        </w:rPr>
        <w:t>*</w:t>
      </w:r>
      <w:r w:rsidRPr="00623FEB">
        <w:rPr>
          <w:rFonts w:ascii="Times New Roman" w:eastAsia="SimSun" w:hAnsi="Times New Roman"/>
          <w:kern w:val="2"/>
          <w:sz w:val="20"/>
          <w:szCs w:val="20"/>
          <w:lang w:eastAsia="ko-KR"/>
        </w:rPr>
        <w:t>, Dadan Hermawan</w:t>
      </w:r>
      <w:r w:rsidRPr="00623FEB">
        <w:rPr>
          <w:rFonts w:ascii="Times New Roman" w:eastAsia="SimSun" w:hAnsi="Times New Roman"/>
          <w:kern w:val="2"/>
          <w:sz w:val="20"/>
          <w:szCs w:val="20"/>
          <w:vertAlign w:val="superscript"/>
          <w:lang w:eastAsia="ko-KR"/>
        </w:rPr>
        <w:t>3</w:t>
      </w:r>
      <w:r w:rsidRPr="00623FEB">
        <w:rPr>
          <w:rFonts w:ascii="Times New Roman" w:eastAsia="SimSun" w:hAnsi="Times New Roman"/>
          <w:kern w:val="2"/>
          <w:sz w:val="20"/>
          <w:szCs w:val="20"/>
          <w:lang w:eastAsia="ko-KR"/>
        </w:rPr>
        <w:t>, Wan Aini Wan Ibrahim</w:t>
      </w:r>
      <w:r w:rsidRPr="00623FEB">
        <w:rPr>
          <w:rFonts w:ascii="Times New Roman" w:eastAsia="SimSun" w:hAnsi="Times New Roman"/>
          <w:kern w:val="2"/>
          <w:sz w:val="20"/>
          <w:szCs w:val="20"/>
          <w:vertAlign w:val="superscript"/>
          <w:lang w:eastAsia="ko-KR"/>
        </w:rPr>
        <w:t>1,2</w:t>
      </w:r>
      <w:r w:rsidRPr="00623FEB">
        <w:rPr>
          <w:rFonts w:ascii="Times New Roman" w:eastAsia="SimSun" w:hAnsi="Times New Roman"/>
          <w:kern w:val="2"/>
          <w:sz w:val="20"/>
          <w:szCs w:val="20"/>
          <w:lang w:eastAsia="ko-KR"/>
        </w:rPr>
        <w:t xml:space="preserve">,  </w:t>
      </w:r>
    </w:p>
    <w:p w:rsidR="00897722" w:rsidRPr="00623FEB" w:rsidRDefault="00897722" w:rsidP="00897722">
      <w:pPr>
        <w:widowControl w:val="0"/>
        <w:autoSpaceDE w:val="0"/>
        <w:autoSpaceDN w:val="0"/>
        <w:spacing w:after="0" w:line="240" w:lineRule="auto"/>
        <w:jc w:val="center"/>
        <w:outlineLvl w:val="0"/>
        <w:rPr>
          <w:rFonts w:ascii="Times New Roman" w:eastAsia="SimSun" w:hAnsi="Times New Roman"/>
          <w:kern w:val="2"/>
          <w:sz w:val="20"/>
          <w:szCs w:val="20"/>
          <w:lang w:eastAsia="ko-KR"/>
        </w:rPr>
      </w:pPr>
      <w:r w:rsidRPr="00623FEB">
        <w:rPr>
          <w:rFonts w:ascii="Times New Roman" w:eastAsia="SimSun" w:hAnsi="Times New Roman"/>
          <w:kern w:val="2"/>
          <w:sz w:val="20"/>
          <w:szCs w:val="20"/>
          <w:lang w:eastAsia="ko-KR"/>
        </w:rPr>
        <w:t>Aemi Syazwani Abdul Keyon</w:t>
      </w:r>
      <w:r w:rsidRPr="00623FEB">
        <w:rPr>
          <w:rFonts w:ascii="Times New Roman" w:eastAsia="SimSun" w:hAnsi="Times New Roman"/>
          <w:kern w:val="2"/>
          <w:sz w:val="20"/>
          <w:szCs w:val="20"/>
          <w:vertAlign w:val="superscript"/>
          <w:lang w:eastAsia="ko-KR"/>
        </w:rPr>
        <w:t>1</w:t>
      </w:r>
    </w:p>
    <w:p w:rsidR="00897722" w:rsidRPr="00897722" w:rsidRDefault="00897722" w:rsidP="00897722">
      <w:pPr>
        <w:spacing w:after="0" w:line="240" w:lineRule="auto"/>
        <w:jc w:val="center"/>
        <w:rPr>
          <w:rFonts w:ascii="Times New Roman" w:hAnsi="Times New Roman"/>
          <w:noProof/>
          <w:sz w:val="20"/>
          <w:szCs w:val="20"/>
          <w:lang w:bidi="ar-SA"/>
        </w:rPr>
      </w:pPr>
    </w:p>
    <w:p w:rsidR="00897722" w:rsidRPr="00897722" w:rsidRDefault="00897722" w:rsidP="00897722">
      <w:pPr>
        <w:widowControl w:val="0"/>
        <w:autoSpaceDE w:val="0"/>
        <w:autoSpaceDN w:val="0"/>
        <w:spacing w:after="0" w:line="240" w:lineRule="atLeast"/>
        <w:jc w:val="center"/>
        <w:outlineLvl w:val="0"/>
        <w:rPr>
          <w:rFonts w:ascii="Times New Roman" w:eastAsia="SimSun" w:hAnsi="Times New Roman"/>
          <w:i/>
          <w:kern w:val="2"/>
          <w:sz w:val="20"/>
          <w:szCs w:val="20"/>
          <w:lang w:eastAsia="ko-KR"/>
        </w:rPr>
      </w:pPr>
      <w:r w:rsidRPr="00897722">
        <w:rPr>
          <w:rFonts w:ascii="Times New Roman" w:eastAsia="SimSun" w:hAnsi="Times New Roman"/>
          <w:i/>
          <w:kern w:val="2"/>
          <w:sz w:val="20"/>
          <w:szCs w:val="20"/>
          <w:vertAlign w:val="superscript"/>
          <w:lang w:eastAsia="ko-KR"/>
        </w:rPr>
        <w:t>1</w:t>
      </w:r>
      <w:r w:rsidRPr="00897722">
        <w:rPr>
          <w:rFonts w:ascii="Times New Roman" w:eastAsia="SimSun" w:hAnsi="Times New Roman"/>
          <w:i/>
          <w:kern w:val="2"/>
          <w:sz w:val="20"/>
          <w:szCs w:val="20"/>
          <w:lang w:eastAsia="ko-KR"/>
        </w:rPr>
        <w:t xml:space="preserve">Department of Chemistry, Faculty of Science </w:t>
      </w:r>
    </w:p>
    <w:p w:rsidR="00897722" w:rsidRPr="00897722" w:rsidRDefault="00897722" w:rsidP="00897722">
      <w:pPr>
        <w:widowControl w:val="0"/>
        <w:autoSpaceDE w:val="0"/>
        <w:autoSpaceDN w:val="0"/>
        <w:spacing w:after="0" w:line="240" w:lineRule="atLeast"/>
        <w:jc w:val="center"/>
        <w:outlineLvl w:val="0"/>
        <w:rPr>
          <w:rFonts w:ascii="Times New Roman" w:eastAsia="SimSun" w:hAnsi="Times New Roman"/>
          <w:i/>
          <w:kern w:val="2"/>
          <w:sz w:val="20"/>
          <w:szCs w:val="20"/>
          <w:lang w:eastAsia="ko-KR"/>
        </w:rPr>
      </w:pPr>
      <w:r w:rsidRPr="00897722">
        <w:rPr>
          <w:rFonts w:ascii="Times New Roman" w:eastAsia="SimSun" w:hAnsi="Times New Roman"/>
          <w:i/>
          <w:kern w:val="2"/>
          <w:sz w:val="20"/>
          <w:szCs w:val="20"/>
          <w:vertAlign w:val="superscript"/>
          <w:lang w:eastAsia="ko-KR"/>
        </w:rPr>
        <w:t>2</w:t>
      </w:r>
      <w:r w:rsidRPr="00897722">
        <w:rPr>
          <w:rFonts w:ascii="Times New Roman" w:eastAsia="SimSun" w:hAnsi="Times New Roman"/>
          <w:i/>
          <w:kern w:val="2"/>
          <w:sz w:val="20"/>
          <w:szCs w:val="20"/>
          <w:lang w:eastAsia="ko-KR"/>
        </w:rPr>
        <w:t>Centre for Sustainable Nanomaterials, Ibnu Sina Institute for Scientific and Industrial Research</w:t>
      </w:r>
    </w:p>
    <w:p w:rsidR="00897722" w:rsidRPr="00897722" w:rsidRDefault="00897722" w:rsidP="00897722">
      <w:pPr>
        <w:widowControl w:val="0"/>
        <w:autoSpaceDE w:val="0"/>
        <w:autoSpaceDN w:val="0"/>
        <w:spacing w:after="0" w:line="240" w:lineRule="atLeast"/>
        <w:jc w:val="center"/>
        <w:outlineLvl w:val="0"/>
        <w:rPr>
          <w:rFonts w:ascii="Times New Roman" w:eastAsia="SimSun" w:hAnsi="Times New Roman"/>
          <w:i/>
          <w:kern w:val="2"/>
          <w:sz w:val="20"/>
          <w:szCs w:val="20"/>
          <w:lang w:eastAsia="ko-KR"/>
        </w:rPr>
      </w:pPr>
      <w:r w:rsidRPr="00897722">
        <w:rPr>
          <w:rFonts w:ascii="Times New Roman" w:eastAsia="SimSun" w:hAnsi="Times New Roman"/>
          <w:i/>
          <w:kern w:val="2"/>
          <w:sz w:val="20"/>
          <w:szCs w:val="20"/>
          <w:lang w:eastAsia="ko-KR"/>
        </w:rPr>
        <w:t>Universiti Teknologi Malaysia, 81310 UTM Johor Bahru, Johor, Malaysia</w:t>
      </w:r>
    </w:p>
    <w:p w:rsidR="00897722" w:rsidRPr="00897722" w:rsidRDefault="00897722" w:rsidP="00897722">
      <w:pPr>
        <w:widowControl w:val="0"/>
        <w:autoSpaceDE w:val="0"/>
        <w:autoSpaceDN w:val="0"/>
        <w:spacing w:after="0" w:line="240" w:lineRule="atLeast"/>
        <w:jc w:val="center"/>
        <w:outlineLvl w:val="0"/>
        <w:rPr>
          <w:rFonts w:ascii="Times New Roman" w:eastAsia="SimSun" w:hAnsi="Times New Roman"/>
          <w:i/>
          <w:kern w:val="2"/>
          <w:sz w:val="20"/>
          <w:szCs w:val="20"/>
          <w:lang w:eastAsia="ko-KR"/>
        </w:rPr>
      </w:pPr>
      <w:r w:rsidRPr="00897722">
        <w:rPr>
          <w:rFonts w:ascii="Times New Roman" w:eastAsia="SimSun" w:hAnsi="Times New Roman"/>
          <w:i/>
          <w:kern w:val="2"/>
          <w:sz w:val="20"/>
          <w:szCs w:val="20"/>
          <w:vertAlign w:val="superscript"/>
          <w:lang w:eastAsia="ko-KR"/>
        </w:rPr>
        <w:t>3</w:t>
      </w:r>
      <w:r w:rsidRPr="00897722">
        <w:rPr>
          <w:rFonts w:ascii="Times New Roman" w:eastAsia="SimSun" w:hAnsi="Times New Roman"/>
          <w:i/>
          <w:kern w:val="2"/>
          <w:sz w:val="20"/>
          <w:szCs w:val="20"/>
          <w:lang w:eastAsia="ko-KR"/>
        </w:rPr>
        <w:t xml:space="preserve">Department of Chemistry, Faculty of Science and Engineering, </w:t>
      </w:r>
    </w:p>
    <w:p w:rsidR="00897722" w:rsidRPr="00897722" w:rsidRDefault="00897722" w:rsidP="00897722">
      <w:pPr>
        <w:widowControl w:val="0"/>
        <w:autoSpaceDE w:val="0"/>
        <w:autoSpaceDN w:val="0"/>
        <w:spacing w:after="0" w:line="240" w:lineRule="atLeast"/>
        <w:jc w:val="center"/>
        <w:outlineLvl w:val="0"/>
        <w:rPr>
          <w:rFonts w:ascii="Times New Roman" w:eastAsia="SimSun" w:hAnsi="Times New Roman"/>
          <w:i/>
          <w:kern w:val="2"/>
          <w:sz w:val="20"/>
          <w:szCs w:val="20"/>
          <w:lang w:eastAsia="ko-KR"/>
        </w:rPr>
      </w:pPr>
      <w:r w:rsidRPr="00897722">
        <w:rPr>
          <w:rFonts w:ascii="Times New Roman" w:eastAsia="SimSun" w:hAnsi="Times New Roman"/>
          <w:i/>
          <w:kern w:val="2"/>
          <w:sz w:val="20"/>
          <w:szCs w:val="20"/>
          <w:lang w:eastAsia="ko-KR"/>
        </w:rPr>
        <w:t xml:space="preserve">Universitas Jenderal Soedirman (UNSOED), Purwokerto, Indonesia </w:t>
      </w:r>
    </w:p>
    <w:p w:rsidR="00897722" w:rsidRPr="00897722" w:rsidRDefault="00897722" w:rsidP="00897722">
      <w:pPr>
        <w:widowControl w:val="0"/>
        <w:autoSpaceDE w:val="0"/>
        <w:autoSpaceDN w:val="0"/>
        <w:spacing w:after="0" w:line="240" w:lineRule="atLeast"/>
        <w:jc w:val="center"/>
        <w:outlineLvl w:val="0"/>
        <w:rPr>
          <w:rFonts w:ascii="Times New Roman" w:eastAsia="SimSun" w:hAnsi="Times New Roman"/>
          <w:kern w:val="2"/>
          <w:sz w:val="20"/>
          <w:szCs w:val="20"/>
          <w:lang w:eastAsia="ko-KR"/>
        </w:rPr>
      </w:pPr>
    </w:p>
    <w:p w:rsidR="00897722" w:rsidRPr="00897722" w:rsidRDefault="00897722" w:rsidP="00897722">
      <w:pPr>
        <w:widowControl w:val="0"/>
        <w:autoSpaceDE w:val="0"/>
        <w:autoSpaceDN w:val="0"/>
        <w:spacing w:after="0" w:line="240" w:lineRule="atLeast"/>
        <w:jc w:val="center"/>
        <w:outlineLvl w:val="0"/>
        <w:rPr>
          <w:rFonts w:ascii="Times New Roman" w:eastAsia="SimSun" w:hAnsi="Times New Roman"/>
          <w:i/>
          <w:color w:val="548DD4"/>
          <w:kern w:val="2"/>
          <w:sz w:val="20"/>
          <w:szCs w:val="20"/>
          <w:lang w:eastAsia="ko-KR"/>
        </w:rPr>
      </w:pPr>
      <w:r w:rsidRPr="00897722">
        <w:rPr>
          <w:rFonts w:ascii="Times New Roman" w:eastAsia="SimSun" w:hAnsi="Times New Roman"/>
          <w:i/>
          <w:kern w:val="2"/>
          <w:sz w:val="20"/>
          <w:szCs w:val="20"/>
          <w:lang w:eastAsia="ko-KR"/>
        </w:rPr>
        <w:t>*Corresponding author:  marsin@kimia.fs.utm.my</w:t>
      </w:r>
      <w:r w:rsidRPr="00897722">
        <w:rPr>
          <w:rFonts w:ascii="Times New Roman" w:eastAsia="SimSun" w:hAnsi="Times New Roman"/>
          <w:b/>
          <w:i/>
          <w:color w:val="548DD4"/>
          <w:kern w:val="2"/>
          <w:sz w:val="20"/>
          <w:szCs w:val="20"/>
          <w:lang w:eastAsia="ko-KR"/>
        </w:rPr>
        <w:t xml:space="preserve">  </w:t>
      </w:r>
    </w:p>
    <w:p w:rsidR="00897722" w:rsidRPr="00897722" w:rsidRDefault="00897722" w:rsidP="00897722">
      <w:pPr>
        <w:spacing w:after="0" w:line="240" w:lineRule="auto"/>
        <w:jc w:val="center"/>
        <w:rPr>
          <w:rFonts w:ascii="Times New Roman" w:hAnsi="Times New Roman"/>
          <w:noProof/>
          <w:sz w:val="20"/>
          <w:szCs w:val="20"/>
          <w:lang w:bidi="ar-SA"/>
        </w:rPr>
      </w:pPr>
    </w:p>
    <w:p w:rsidR="00897722" w:rsidRPr="00897722" w:rsidRDefault="00897722" w:rsidP="00897722">
      <w:pPr>
        <w:spacing w:after="0" w:line="240" w:lineRule="auto"/>
        <w:jc w:val="center"/>
        <w:rPr>
          <w:rFonts w:ascii="Times New Roman" w:hAnsi="Times New Roman"/>
          <w:noProof/>
          <w:sz w:val="20"/>
          <w:szCs w:val="20"/>
          <w:lang w:bidi="ar-SA"/>
        </w:rPr>
      </w:pPr>
    </w:p>
    <w:p w:rsidR="00897722" w:rsidRPr="00897722" w:rsidRDefault="00897722" w:rsidP="00897722">
      <w:pPr>
        <w:spacing w:after="0" w:line="240" w:lineRule="auto"/>
        <w:jc w:val="center"/>
        <w:rPr>
          <w:rFonts w:ascii="Times New Roman" w:hAnsi="Times New Roman"/>
          <w:noProof/>
          <w:sz w:val="20"/>
          <w:szCs w:val="20"/>
          <w:lang w:bidi="ar-SA"/>
        </w:rPr>
      </w:pPr>
      <w:r w:rsidRPr="00897722">
        <w:rPr>
          <w:rFonts w:ascii="Times New Roman" w:hAnsi="Times New Roman"/>
          <w:noProof/>
          <w:sz w:val="20"/>
          <w:szCs w:val="20"/>
          <w:lang w:bidi="ar-SA"/>
        </w:rPr>
        <w:t>Received: 26 August 2017; Accepted: 27 December 2017</w:t>
      </w:r>
    </w:p>
    <w:p w:rsidR="00897722" w:rsidRPr="00897722" w:rsidRDefault="00897722" w:rsidP="00897722">
      <w:pPr>
        <w:spacing w:after="0" w:line="240" w:lineRule="auto"/>
        <w:jc w:val="center"/>
        <w:rPr>
          <w:rFonts w:ascii="Times New Roman" w:hAnsi="Times New Roman"/>
          <w:noProof/>
          <w:sz w:val="20"/>
          <w:szCs w:val="20"/>
          <w:lang w:bidi="ar-SA"/>
        </w:rPr>
      </w:pPr>
    </w:p>
    <w:p w:rsidR="00897722" w:rsidRPr="00897722" w:rsidRDefault="00897722" w:rsidP="00897722">
      <w:pPr>
        <w:spacing w:after="0" w:line="240" w:lineRule="auto"/>
        <w:jc w:val="center"/>
        <w:rPr>
          <w:rFonts w:ascii="Times New Roman" w:hAnsi="Times New Roman"/>
          <w:noProof/>
          <w:sz w:val="20"/>
          <w:szCs w:val="20"/>
          <w:lang w:bidi="ar-SA"/>
        </w:rPr>
      </w:pPr>
    </w:p>
    <w:p w:rsidR="00897722" w:rsidRPr="00897722" w:rsidRDefault="00897722" w:rsidP="00897722">
      <w:pPr>
        <w:spacing w:after="0" w:line="240" w:lineRule="auto"/>
        <w:jc w:val="center"/>
        <w:rPr>
          <w:rFonts w:ascii="Times New Roman" w:hAnsi="Times New Roman"/>
          <w:b/>
          <w:noProof/>
          <w:sz w:val="20"/>
          <w:szCs w:val="20"/>
          <w:lang w:bidi="ar-SA"/>
        </w:rPr>
      </w:pPr>
      <w:r w:rsidRPr="00897722">
        <w:rPr>
          <w:rFonts w:ascii="Times New Roman" w:hAnsi="Times New Roman"/>
          <w:b/>
          <w:noProof/>
          <w:sz w:val="20"/>
          <w:szCs w:val="20"/>
          <w:lang w:bidi="ar-SA"/>
        </w:rPr>
        <w:t>Abstract</w:t>
      </w:r>
    </w:p>
    <w:p w:rsidR="00897722" w:rsidRPr="00897722" w:rsidRDefault="00897722" w:rsidP="00897722">
      <w:pPr>
        <w:widowControl w:val="0"/>
        <w:autoSpaceDE w:val="0"/>
        <w:autoSpaceDN w:val="0"/>
        <w:spacing w:after="0" w:line="240" w:lineRule="auto"/>
        <w:jc w:val="both"/>
        <w:outlineLvl w:val="0"/>
        <w:rPr>
          <w:rFonts w:ascii="Times New Roman" w:eastAsia="SimSun" w:hAnsi="Times New Roman"/>
          <w:kern w:val="2"/>
          <w:sz w:val="20"/>
          <w:szCs w:val="20"/>
          <w:lang w:eastAsia="ko-KR"/>
        </w:rPr>
      </w:pPr>
      <w:r w:rsidRPr="00897722">
        <w:rPr>
          <w:rFonts w:ascii="Times New Roman" w:eastAsia="SimSun" w:hAnsi="Times New Roman"/>
          <w:kern w:val="2"/>
          <w:sz w:val="20"/>
          <w:szCs w:val="20"/>
          <w:lang w:eastAsia="ko-KR"/>
        </w:rPr>
        <w:t>A new method based on microemulsion electrokinetic chromatography (MEEKC) coupled with dispersive micro solid phase extraction (D-µ-SPE) was developed for the determination of isoflavones in soy products. D-µ-SPEs of real samples were carried out using multi-walled carbon nanotubes (MWCNTs) as adsorbent prior to MEEKC. Separations of selected isoflavones namely daidzein, genistein and formononetin by MEEKC were carried out using fresh daily-prepared microemulsion background electrolyte (BGE). The optimized MEEKC conditions for the separation of isoflavones were 4 mM borate buffer pH 8.5, 6.6% (w/v) 1-butanol, 0.9% (w/v) sodium dodecyl sulphate, 0.75% (w/v) ethyl acetate, 3% (w/v) acetonitrile at 3 s injection time, 27 kV and 35 °C. Meanwhile, the optimum D-</w:t>
      </w:r>
      <w:r w:rsidRPr="00897722">
        <w:rPr>
          <w:rFonts w:ascii="Times New Roman" w:eastAsia="SimSun" w:hAnsi="Times New Roman"/>
          <w:kern w:val="2"/>
          <w:sz w:val="20"/>
          <w:szCs w:val="20"/>
          <w:lang w:eastAsia="ko-KR"/>
        </w:rPr>
        <w:sym w:font="Symbol" w:char="F06D"/>
      </w:r>
      <w:r w:rsidRPr="00897722">
        <w:rPr>
          <w:rFonts w:ascii="Times New Roman" w:eastAsia="SimSun" w:hAnsi="Times New Roman"/>
          <w:kern w:val="2"/>
          <w:sz w:val="20"/>
          <w:szCs w:val="20"/>
          <w:lang w:eastAsia="ko-KR"/>
        </w:rPr>
        <w:t>-SPE conditions were 5 mg of MWCNTs and 300 µL of methanol as desorption solvent. Under the optimized conditions, the developed D-µ-SPE-MEEKC method showed good linearity in the concentration range of 1-10 mg/L with coefficients of determination (</w:t>
      </w:r>
      <w:r w:rsidRPr="00897722">
        <w:rPr>
          <w:rFonts w:ascii="Times New Roman" w:eastAsia="SimSun" w:hAnsi="Times New Roman"/>
          <w:i/>
          <w:kern w:val="2"/>
          <w:sz w:val="20"/>
          <w:szCs w:val="20"/>
          <w:lang w:eastAsia="ko-KR"/>
        </w:rPr>
        <w:t>r</w:t>
      </w:r>
      <w:r w:rsidRPr="00897722">
        <w:rPr>
          <w:rFonts w:ascii="Times New Roman" w:eastAsia="SimSun" w:hAnsi="Times New Roman"/>
          <w:kern w:val="2"/>
          <w:sz w:val="20"/>
          <w:szCs w:val="20"/>
          <w:vertAlign w:val="superscript"/>
          <w:lang w:eastAsia="ko-KR"/>
        </w:rPr>
        <w:t>2</w:t>
      </w:r>
      <w:r w:rsidRPr="00897722">
        <w:rPr>
          <w:rFonts w:ascii="Times New Roman" w:eastAsia="SimSun" w:hAnsi="Times New Roman"/>
          <w:kern w:val="2"/>
          <w:sz w:val="20"/>
          <w:szCs w:val="20"/>
          <w:lang w:eastAsia="ko-KR"/>
        </w:rPr>
        <w:t>) &gt; 0.99 and limits of detection of 0.27-0.95 mg/L. The method was successfully applied to the determination of isoflavones in five soybean products namely soy supplement, tofu, tempeh, egg tofu and fujook and good recoveries were obtained in the range of 74.5-112.5% with RSDs of &lt; 3%. The method has proved to be simple and offers low consumption of organic solvent and relatively short analysis time, thus it is a potentially viable green alternative method for extraction and determination of isoflavones in soybean products.</w:t>
      </w:r>
    </w:p>
    <w:p w:rsidR="00897722" w:rsidRPr="00897722" w:rsidRDefault="00897722" w:rsidP="00897722">
      <w:pPr>
        <w:widowControl w:val="0"/>
        <w:autoSpaceDE w:val="0"/>
        <w:autoSpaceDN w:val="0"/>
        <w:spacing w:after="0" w:line="240" w:lineRule="auto"/>
        <w:jc w:val="both"/>
        <w:outlineLvl w:val="0"/>
        <w:rPr>
          <w:rFonts w:ascii="Times New Roman" w:eastAsia="SimSun" w:hAnsi="Times New Roman"/>
          <w:kern w:val="2"/>
          <w:sz w:val="20"/>
          <w:szCs w:val="20"/>
          <w:lang w:eastAsia="ko-KR"/>
        </w:rPr>
      </w:pPr>
    </w:p>
    <w:p w:rsidR="00897722" w:rsidRPr="00897722" w:rsidRDefault="00897722" w:rsidP="00897722">
      <w:pPr>
        <w:widowControl w:val="0"/>
        <w:autoSpaceDE w:val="0"/>
        <w:autoSpaceDN w:val="0"/>
        <w:spacing w:after="0" w:line="240" w:lineRule="auto"/>
        <w:ind w:left="993" w:hanging="993"/>
        <w:jc w:val="both"/>
        <w:outlineLvl w:val="0"/>
        <w:rPr>
          <w:rFonts w:ascii="Times New Roman" w:eastAsia="SimSun" w:hAnsi="Times New Roman"/>
          <w:color w:val="548DD4"/>
          <w:kern w:val="2"/>
          <w:sz w:val="20"/>
          <w:szCs w:val="20"/>
          <w:lang w:eastAsia="ko-KR"/>
        </w:rPr>
      </w:pPr>
      <w:r w:rsidRPr="00897722">
        <w:rPr>
          <w:rFonts w:ascii="Times New Roman" w:eastAsia="SimSun" w:hAnsi="Times New Roman"/>
          <w:b/>
          <w:kern w:val="2"/>
          <w:sz w:val="20"/>
          <w:szCs w:val="20"/>
          <w:lang w:eastAsia="ko-KR"/>
        </w:rPr>
        <w:t xml:space="preserve">Keywords: </w:t>
      </w:r>
      <w:r w:rsidRPr="00897722">
        <w:rPr>
          <w:rFonts w:ascii="Times New Roman" w:eastAsia="SimSun" w:hAnsi="Times New Roman"/>
          <w:b/>
          <w:kern w:val="2"/>
          <w:sz w:val="20"/>
          <w:szCs w:val="20"/>
          <w:lang w:eastAsia="ko-KR"/>
        </w:rPr>
        <w:tab/>
      </w:r>
      <w:r w:rsidRPr="00897722">
        <w:rPr>
          <w:rFonts w:ascii="Times New Roman" w:eastAsia="SimSun" w:hAnsi="Times New Roman"/>
          <w:kern w:val="2"/>
          <w:sz w:val="20"/>
          <w:szCs w:val="20"/>
          <w:lang w:eastAsia="ko-KR"/>
        </w:rPr>
        <w:t>microemulsion electrokinetic chromatography, background electrolyte, dispersive micro solid phase extraction, isoflavones, soybean products</w:t>
      </w:r>
    </w:p>
    <w:p w:rsidR="00897722" w:rsidRPr="00897722" w:rsidRDefault="00897722" w:rsidP="00897722">
      <w:pPr>
        <w:widowControl w:val="0"/>
        <w:autoSpaceDE w:val="0"/>
        <w:autoSpaceDN w:val="0"/>
        <w:spacing w:after="0" w:line="240" w:lineRule="auto"/>
        <w:jc w:val="center"/>
        <w:outlineLvl w:val="0"/>
        <w:rPr>
          <w:rFonts w:ascii="Times New Roman" w:eastAsia="SimSun" w:hAnsi="Times New Roman"/>
          <w:b/>
          <w:color w:val="548DD4"/>
          <w:kern w:val="2"/>
          <w:sz w:val="20"/>
          <w:szCs w:val="20"/>
          <w:lang w:eastAsia="ko-KR"/>
        </w:rPr>
      </w:pPr>
    </w:p>
    <w:p w:rsidR="00897722" w:rsidRPr="00897722" w:rsidRDefault="00897722" w:rsidP="00897722">
      <w:pPr>
        <w:widowControl w:val="0"/>
        <w:autoSpaceDE w:val="0"/>
        <w:autoSpaceDN w:val="0"/>
        <w:spacing w:after="0" w:line="240" w:lineRule="auto"/>
        <w:jc w:val="center"/>
        <w:outlineLvl w:val="0"/>
        <w:rPr>
          <w:rFonts w:ascii="Times New Roman" w:eastAsia="SimSun" w:hAnsi="Times New Roman"/>
          <w:b/>
          <w:kern w:val="2"/>
          <w:sz w:val="20"/>
          <w:szCs w:val="20"/>
          <w:lang w:val="ms-MY" w:eastAsia="ko-KR"/>
        </w:rPr>
      </w:pPr>
      <w:r w:rsidRPr="00897722">
        <w:rPr>
          <w:rFonts w:ascii="Times New Roman" w:eastAsia="SimSun" w:hAnsi="Times New Roman"/>
          <w:b/>
          <w:kern w:val="2"/>
          <w:sz w:val="20"/>
          <w:szCs w:val="20"/>
          <w:lang w:val="ms-MY" w:eastAsia="ko-KR"/>
        </w:rPr>
        <w:t>Abstrak</w:t>
      </w:r>
    </w:p>
    <w:p w:rsidR="00897722" w:rsidRPr="00897722" w:rsidRDefault="00897722" w:rsidP="00897722">
      <w:pPr>
        <w:widowControl w:val="0"/>
        <w:autoSpaceDE w:val="0"/>
        <w:autoSpaceDN w:val="0"/>
        <w:spacing w:after="0" w:line="240" w:lineRule="auto"/>
        <w:jc w:val="both"/>
        <w:outlineLvl w:val="0"/>
        <w:rPr>
          <w:rFonts w:ascii="Times New Roman" w:eastAsia="SimSun" w:hAnsi="Times New Roman"/>
          <w:kern w:val="2"/>
          <w:sz w:val="20"/>
          <w:szCs w:val="20"/>
          <w:lang w:val="ms-MY" w:eastAsia="ko-KR"/>
        </w:rPr>
      </w:pPr>
      <w:r w:rsidRPr="00897722">
        <w:rPr>
          <w:rFonts w:ascii="Times New Roman" w:eastAsia="SimSun" w:hAnsi="Times New Roman"/>
          <w:kern w:val="2"/>
          <w:sz w:val="20"/>
          <w:szCs w:val="20"/>
          <w:lang w:val="ms-MY" w:eastAsia="ko-KR"/>
        </w:rPr>
        <w:t xml:space="preserve">Satu kaedah baharu berasaskan kromatografi elektrokinetik mikroemulsi (MEEKC) berganding dengan pengekstrakan fasa pepejal mikro serakan (D-μ-SPE) telah dibangunkan bagi menentukan isoflavon di dalam produk kacang soya. D-μ-SPE sampel sebenar telah dijalankan menggunakan tiub nano karbon dinding berganda </w:t>
      </w:r>
      <w:r w:rsidRPr="00897722">
        <w:rPr>
          <w:rFonts w:ascii="Times New Roman" w:eastAsia="SimSun" w:hAnsi="Times New Roman"/>
          <w:kern w:val="2"/>
          <w:sz w:val="20"/>
          <w:szCs w:val="20"/>
          <w:lang w:val="ms-MY" w:eastAsia="ko-KR"/>
        </w:rPr>
        <w:lastRenderedPageBreak/>
        <w:t xml:space="preserve">(MWCNT) sebagai penjerap sebelum MEEKC. Pemisahan isoflavon terpilih iaitu daidzein, genistein dan formononetin dengan MEEKC telah dijalankan menggunakan mikroemulsi </w:t>
      </w:r>
      <w:r w:rsidRPr="00897722">
        <w:rPr>
          <w:rFonts w:ascii="Times New Roman" w:hAnsi="Times New Roman"/>
          <w:sz w:val="20"/>
          <w:szCs w:val="20"/>
          <w:lang w:val="ms-MY"/>
        </w:rPr>
        <w:t>elektrolit latar belakang (</w:t>
      </w:r>
      <w:r w:rsidRPr="00897722">
        <w:rPr>
          <w:rFonts w:ascii="Times New Roman" w:eastAsia="SimSun" w:hAnsi="Times New Roman"/>
          <w:kern w:val="2"/>
          <w:sz w:val="20"/>
          <w:szCs w:val="20"/>
          <w:lang w:val="ms-MY" w:eastAsia="ko-KR"/>
        </w:rPr>
        <w:t xml:space="preserve">BGE) baharu yang disediakan setiap hari. Keadaan optimum MEEKC untuk pemisahan isoflavon ialah 4 mM penimbal borat pH 8.5, 6.6% (w/v) 1-butanol, 0.9% (w/v) natrium dodekil sulfat, 0.75% (w/v) etil asetat, 3% (w/v) asetonitril pada masa suntikan 3 s, 27 kV dan  35°C. Sementara itu, keadaan optimum untuk pengekstrakan ialah 5 mg MWCNT dan 300 µL metanol sebagai pelarut penyaherapan. </w:t>
      </w:r>
      <w:r w:rsidRPr="00897722">
        <w:rPr>
          <w:rFonts w:ascii="Times New Roman" w:hAnsi="Times New Roman"/>
          <w:color w:val="000000"/>
          <w:sz w:val="20"/>
          <w:szCs w:val="20"/>
          <w:lang w:val="ms-MY"/>
        </w:rPr>
        <w:t xml:space="preserve">Di bawah keadaan optimum, kaedah </w:t>
      </w:r>
      <w:r w:rsidRPr="00897722">
        <w:rPr>
          <w:rFonts w:ascii="Times New Roman" w:eastAsia="SimSun" w:hAnsi="Times New Roman"/>
          <w:kern w:val="2"/>
          <w:sz w:val="20"/>
          <w:szCs w:val="20"/>
          <w:lang w:val="ms-MY" w:eastAsia="ko-KR"/>
        </w:rPr>
        <w:t>D-µ-SPE-MEEKC yang dibangunkan</w:t>
      </w:r>
      <w:r w:rsidRPr="00897722">
        <w:rPr>
          <w:rFonts w:ascii="Times New Roman" w:hAnsi="Times New Roman"/>
          <w:color w:val="000000"/>
          <w:sz w:val="20"/>
          <w:szCs w:val="20"/>
          <w:lang w:val="ms-MY"/>
        </w:rPr>
        <w:t xml:space="preserve"> menunjukkan kelinearan yang baik dalam julat 1-10 mg/L dengan pekali penentuan (</w:t>
      </w:r>
      <w:r w:rsidRPr="00897722">
        <w:rPr>
          <w:rFonts w:ascii="Times New Roman" w:hAnsi="Times New Roman"/>
          <w:i/>
          <w:color w:val="000000"/>
          <w:sz w:val="20"/>
          <w:szCs w:val="20"/>
          <w:lang w:val="ms-MY"/>
        </w:rPr>
        <w:t>r</w:t>
      </w:r>
      <w:r w:rsidRPr="00897722">
        <w:rPr>
          <w:rFonts w:ascii="Times New Roman" w:hAnsi="Times New Roman"/>
          <w:i/>
          <w:color w:val="000000"/>
          <w:sz w:val="20"/>
          <w:szCs w:val="20"/>
          <w:vertAlign w:val="superscript"/>
          <w:lang w:val="ms-MY"/>
        </w:rPr>
        <w:t>2</w:t>
      </w:r>
      <w:r w:rsidRPr="00897722">
        <w:rPr>
          <w:rFonts w:ascii="Times New Roman" w:hAnsi="Times New Roman"/>
          <w:color w:val="000000"/>
          <w:sz w:val="20"/>
          <w:szCs w:val="20"/>
          <w:lang w:val="ms-MY"/>
        </w:rPr>
        <w:t xml:space="preserve">) &gt; 0.99 dan had pengesanan 0.27-0.95 mg/L. Kaedah </w:t>
      </w:r>
      <w:r w:rsidRPr="00897722">
        <w:rPr>
          <w:rFonts w:ascii="Times New Roman" w:hAnsi="Times New Roman"/>
          <w:sz w:val="20"/>
          <w:szCs w:val="20"/>
          <w:lang w:val="ms-MY"/>
        </w:rPr>
        <w:t>D-µ-SPE-</w:t>
      </w:r>
      <w:r w:rsidRPr="00897722">
        <w:rPr>
          <w:rFonts w:ascii="Times New Roman" w:hAnsi="Times New Roman"/>
          <w:color w:val="000000"/>
          <w:sz w:val="20"/>
          <w:szCs w:val="20"/>
          <w:lang w:val="ms-MY"/>
        </w:rPr>
        <w:t>MEEKC</w:t>
      </w:r>
      <w:r w:rsidRPr="00897722">
        <w:rPr>
          <w:rFonts w:ascii="Times New Roman" w:hAnsi="Times New Roman"/>
          <w:color w:val="FF0000"/>
          <w:sz w:val="20"/>
          <w:szCs w:val="20"/>
          <w:lang w:val="ms-MY"/>
        </w:rPr>
        <w:t xml:space="preserve"> </w:t>
      </w:r>
      <w:r w:rsidRPr="00897722">
        <w:rPr>
          <w:rFonts w:ascii="Times New Roman" w:hAnsi="Times New Roman"/>
          <w:sz w:val="20"/>
          <w:szCs w:val="20"/>
          <w:lang w:val="ms-MY"/>
        </w:rPr>
        <w:t>telah</w:t>
      </w:r>
      <w:r w:rsidRPr="00897722">
        <w:rPr>
          <w:rFonts w:ascii="Times New Roman" w:hAnsi="Times New Roman"/>
          <w:color w:val="FF0000"/>
          <w:sz w:val="20"/>
          <w:szCs w:val="20"/>
          <w:lang w:val="ms-MY"/>
        </w:rPr>
        <w:t xml:space="preserve"> </w:t>
      </w:r>
      <w:r w:rsidRPr="00897722">
        <w:rPr>
          <w:rFonts w:ascii="Times New Roman" w:hAnsi="Times New Roman"/>
          <w:sz w:val="20"/>
          <w:szCs w:val="20"/>
          <w:lang w:val="ms-MY"/>
        </w:rPr>
        <w:t>berjaya digunakan dalam penentuan isoflavon di dalam lima produk soya iaitu makanan tambahan soya, tofu, tempe, tauhu telur dan kulit tauhu dengan  kadar pengembalian 74.5 – 112.5% dan sisihan piawai relatif (RSD) &lt; 3%.</w:t>
      </w:r>
      <w:r w:rsidRPr="00897722">
        <w:rPr>
          <w:rFonts w:ascii="Times New Roman" w:eastAsia="SimSun" w:hAnsi="Times New Roman"/>
          <w:kern w:val="2"/>
          <w:sz w:val="20"/>
          <w:szCs w:val="20"/>
          <w:lang w:val="ms-MY" w:eastAsia="ko-KR"/>
        </w:rPr>
        <w:t xml:space="preserve"> Kaedah ini terbukti mudah dan ia menggunakan pelarut organik yang sedikit dan memberi masa analisis yang cepat, justeru berpotensi sebagai kaedah hijau berdaya saing bagi pengekstrakan dan penentuan isoflavon di dalam produk kacang soya.</w:t>
      </w:r>
    </w:p>
    <w:p w:rsidR="00897722" w:rsidRPr="00897722" w:rsidRDefault="00897722" w:rsidP="00897722">
      <w:pPr>
        <w:widowControl w:val="0"/>
        <w:autoSpaceDE w:val="0"/>
        <w:autoSpaceDN w:val="0"/>
        <w:spacing w:after="0" w:line="240" w:lineRule="auto"/>
        <w:jc w:val="both"/>
        <w:outlineLvl w:val="0"/>
        <w:rPr>
          <w:rFonts w:ascii="Times New Roman" w:eastAsia="SimSun" w:hAnsi="Times New Roman"/>
          <w:kern w:val="2"/>
          <w:sz w:val="20"/>
          <w:szCs w:val="20"/>
          <w:lang w:val="ms-MY" w:eastAsia="ko-KR"/>
        </w:rPr>
      </w:pPr>
    </w:p>
    <w:p w:rsidR="005310DB" w:rsidRDefault="00897722" w:rsidP="00897722">
      <w:pPr>
        <w:widowControl w:val="0"/>
        <w:autoSpaceDE w:val="0"/>
        <w:autoSpaceDN w:val="0"/>
        <w:spacing w:after="0" w:line="240" w:lineRule="auto"/>
        <w:ind w:left="993" w:hanging="993"/>
        <w:jc w:val="both"/>
        <w:outlineLvl w:val="0"/>
        <w:rPr>
          <w:rFonts w:ascii="Times New Roman" w:eastAsia="SimSun" w:hAnsi="Times New Roman"/>
          <w:kern w:val="2"/>
          <w:sz w:val="20"/>
          <w:szCs w:val="20"/>
          <w:lang w:val="ms-MY" w:eastAsia="ko-KR"/>
        </w:rPr>
      </w:pPr>
      <w:r w:rsidRPr="00897722">
        <w:rPr>
          <w:rFonts w:ascii="Times New Roman" w:eastAsia="SimSun" w:hAnsi="Times New Roman"/>
          <w:b/>
          <w:kern w:val="2"/>
          <w:sz w:val="20"/>
          <w:szCs w:val="20"/>
          <w:lang w:val="ms-MY" w:eastAsia="ko-KR"/>
        </w:rPr>
        <w:t xml:space="preserve">Keywords: </w:t>
      </w:r>
      <w:r w:rsidRPr="00897722">
        <w:rPr>
          <w:rFonts w:ascii="Times New Roman" w:eastAsia="SimSun" w:hAnsi="Times New Roman"/>
          <w:b/>
          <w:kern w:val="2"/>
          <w:sz w:val="20"/>
          <w:szCs w:val="20"/>
          <w:lang w:val="ms-MY" w:eastAsia="ko-KR"/>
        </w:rPr>
        <w:tab/>
      </w:r>
      <w:r w:rsidRPr="00897722">
        <w:rPr>
          <w:rFonts w:ascii="Times New Roman" w:hAnsi="Times New Roman"/>
          <w:sz w:val="20"/>
          <w:szCs w:val="20"/>
          <w:lang w:val="ms-MY"/>
        </w:rPr>
        <w:t>Kromatografi elektrokinetik mikroemulsi, elektrolit latar belakang</w:t>
      </w:r>
      <w:r w:rsidRPr="00897722">
        <w:rPr>
          <w:rFonts w:ascii="Times New Roman" w:eastAsia="SimSun" w:hAnsi="Times New Roman"/>
          <w:kern w:val="2"/>
          <w:sz w:val="20"/>
          <w:szCs w:val="20"/>
          <w:lang w:val="ms-MY" w:eastAsia="ko-KR"/>
        </w:rPr>
        <w:t>, pengekstrakan fasa pepejal mikro serakan, isoflavon, produk kacang soya</w:t>
      </w:r>
    </w:p>
    <w:p w:rsidR="00897722" w:rsidRDefault="00897722" w:rsidP="00897722">
      <w:pPr>
        <w:widowControl w:val="0"/>
        <w:autoSpaceDE w:val="0"/>
        <w:autoSpaceDN w:val="0"/>
        <w:spacing w:after="0" w:line="240" w:lineRule="auto"/>
        <w:ind w:left="993" w:hanging="993"/>
        <w:jc w:val="both"/>
        <w:outlineLvl w:val="0"/>
        <w:rPr>
          <w:rFonts w:ascii="Times New Roman" w:eastAsia="SimSun" w:hAnsi="Times New Roman"/>
          <w:sz w:val="20"/>
          <w:szCs w:val="20"/>
          <w:lang w:val="ms-MY" w:eastAsia="ko-KR"/>
        </w:rPr>
      </w:pPr>
    </w:p>
    <w:p w:rsidR="00897722" w:rsidRPr="00F447A7" w:rsidRDefault="00897722" w:rsidP="0089772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AD7475">
        <w:rPr>
          <w:rFonts w:ascii="Times New Roman" w:hAnsi="Times New Roman"/>
          <w:sz w:val="20"/>
          <w:szCs w:val="20"/>
        </w:rPr>
        <w:t xml:space="preserve">Rangel, M. B., Zamarreno, M. M. D., Martinez, R. C. and Alvarez, J. D. (2012). Analysis of isoflavones in soy drink by capillary electrophoresis coupled with electrospray ionization mass spectrometry. </w:t>
      </w:r>
      <w:r w:rsidRPr="00AD7475">
        <w:rPr>
          <w:rFonts w:ascii="Times New Roman" w:hAnsi="Times New Roman"/>
          <w:i/>
          <w:sz w:val="20"/>
          <w:szCs w:val="20"/>
        </w:rPr>
        <w:t xml:space="preserve">Analytica Chimica Acta, </w:t>
      </w:r>
      <w:r w:rsidRPr="00AD7475">
        <w:rPr>
          <w:rFonts w:ascii="Times New Roman" w:hAnsi="Times New Roman"/>
          <w:sz w:val="20"/>
          <w:szCs w:val="20"/>
        </w:rPr>
        <w:t>709: 113 – 119.</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AD7475">
        <w:rPr>
          <w:rFonts w:ascii="Times New Roman" w:hAnsi="Times New Roman"/>
          <w:sz w:val="20"/>
          <w:szCs w:val="20"/>
        </w:rPr>
        <w:t xml:space="preserve">Achouri, A., Boye, J. I. and Belanger, D. (2005). Soybean </w:t>
      </w:r>
      <w:r>
        <w:rPr>
          <w:rFonts w:ascii="Times New Roman" w:hAnsi="Times New Roman"/>
          <w:sz w:val="20"/>
          <w:szCs w:val="20"/>
        </w:rPr>
        <w:t>isoflavones: E</w:t>
      </w:r>
      <w:r w:rsidRPr="00AD7475">
        <w:rPr>
          <w:rFonts w:ascii="Times New Roman" w:hAnsi="Times New Roman"/>
          <w:sz w:val="20"/>
          <w:szCs w:val="20"/>
        </w:rPr>
        <w:t xml:space="preserve">fficiency of extraction conditions and effect of food type on extractability. </w:t>
      </w:r>
      <w:r w:rsidRPr="00AD7475">
        <w:rPr>
          <w:rFonts w:ascii="Times New Roman" w:hAnsi="Times New Roman"/>
          <w:i/>
          <w:sz w:val="20"/>
          <w:szCs w:val="20"/>
        </w:rPr>
        <w:t>Food Research International</w:t>
      </w:r>
      <w:r w:rsidRPr="00AD7475">
        <w:rPr>
          <w:rFonts w:ascii="Times New Roman" w:hAnsi="Times New Roman"/>
          <w:sz w:val="20"/>
          <w:szCs w:val="20"/>
        </w:rPr>
        <w:t>, 38: 1199 – 1204.</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AD7475">
        <w:rPr>
          <w:rFonts w:ascii="Times New Roman" w:hAnsi="Times New Roman"/>
          <w:sz w:val="20"/>
          <w:szCs w:val="20"/>
        </w:rPr>
        <w:t xml:space="preserve">Sturtz, M., Lander, V., Schimd, W. and Winhalter, P. (2008). Quantitative determination of isoflavones in soy based nutritional supplements by high-performance liquid chromatography. </w:t>
      </w:r>
      <w:r w:rsidRPr="00AD7475">
        <w:rPr>
          <w:rFonts w:ascii="Times New Roman" w:hAnsi="Times New Roman"/>
          <w:i/>
          <w:sz w:val="20"/>
          <w:szCs w:val="20"/>
        </w:rPr>
        <w:t xml:space="preserve">Journal of Consumer Protection and Food Safety, </w:t>
      </w:r>
      <w:r w:rsidRPr="00AD7475">
        <w:rPr>
          <w:rFonts w:ascii="Times New Roman" w:hAnsi="Times New Roman"/>
          <w:sz w:val="20"/>
          <w:szCs w:val="20"/>
        </w:rPr>
        <w:t>3: 127 – 136.</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AD7475">
        <w:rPr>
          <w:rFonts w:ascii="Times New Roman" w:hAnsi="Times New Roman"/>
          <w:sz w:val="20"/>
          <w:szCs w:val="20"/>
        </w:rPr>
        <w:t xml:space="preserve">Taku, K., Melby, K. M., Takebayashi, J., Mizuno, S., Ishimi, Y., Omori. T. and Watanabe, S. (2010). Effect of soy isoflavone extract supplements on bone mineral density in menopausal women: meta-analysis of randomized controlled trials. </w:t>
      </w:r>
      <w:r w:rsidRPr="00AD7475">
        <w:rPr>
          <w:rFonts w:ascii="Times New Roman" w:hAnsi="Times New Roman"/>
          <w:i/>
          <w:sz w:val="20"/>
          <w:szCs w:val="20"/>
        </w:rPr>
        <w:t>Asia Pacific Journal of Clinical Nutrition,</w:t>
      </w:r>
      <w:r w:rsidRPr="00AD7475">
        <w:rPr>
          <w:rFonts w:ascii="Times New Roman" w:hAnsi="Times New Roman"/>
          <w:sz w:val="20"/>
          <w:szCs w:val="20"/>
        </w:rPr>
        <w:t xml:space="preserve"> 19: 33 – 42.</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Ming, S. J., Li, S. B., Rong, Y. S, Hua. Y. and Kikuchi, A. (2011). Rapid HPLC method for determination of 12 isoflavone components in soybean seeds. </w:t>
      </w:r>
      <w:r w:rsidRPr="00F53C30">
        <w:rPr>
          <w:rFonts w:ascii="Times New Roman" w:hAnsi="Times New Roman"/>
          <w:i/>
          <w:sz w:val="20"/>
          <w:szCs w:val="20"/>
        </w:rPr>
        <w:t xml:space="preserve">Agricultural Sciences in China, </w:t>
      </w:r>
      <w:r w:rsidRPr="00F53C30">
        <w:rPr>
          <w:rFonts w:ascii="Times New Roman" w:hAnsi="Times New Roman"/>
          <w:sz w:val="20"/>
          <w:szCs w:val="20"/>
        </w:rPr>
        <w:t>1: 70 – 77.</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Garc′ia, M. C., Marina, M. L. and Torre, M. (2000). Determination by perfusion reversed-phase high-performance liquid chromatography of the soybean protein content of commercial soybean products prepared directly from whole soybeans.  </w:t>
      </w:r>
      <w:r w:rsidRPr="00F53C30">
        <w:rPr>
          <w:rFonts w:ascii="Times New Roman" w:hAnsi="Times New Roman"/>
          <w:i/>
          <w:sz w:val="20"/>
          <w:szCs w:val="20"/>
        </w:rPr>
        <w:t>Journal of Chromatography A</w:t>
      </w:r>
      <w:r w:rsidRPr="00F53C30">
        <w:rPr>
          <w:rFonts w:ascii="Times New Roman" w:hAnsi="Times New Roman"/>
          <w:sz w:val="20"/>
          <w:szCs w:val="20"/>
        </w:rPr>
        <w:t>, 880: 37 – 46.</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Magiera, S., Uhlschmied, C., Rainerb, M., Huck, C. W., Baranowska, I. and Bonn, G. K. (2011). GC-MS method for the simultaneous determination of blockers, flavonoids, isoflavones and their metabolites in human urine. </w:t>
      </w:r>
      <w:r w:rsidRPr="00F53C30">
        <w:rPr>
          <w:rFonts w:ascii="Times New Roman" w:hAnsi="Times New Roman"/>
          <w:i/>
          <w:sz w:val="20"/>
          <w:szCs w:val="20"/>
        </w:rPr>
        <w:t>Journal of Pharmaceutical and Biomedical Analysis,</w:t>
      </w:r>
      <w:r w:rsidRPr="00F53C30">
        <w:rPr>
          <w:rFonts w:ascii="Times New Roman" w:hAnsi="Times New Roman"/>
          <w:sz w:val="20"/>
          <w:szCs w:val="20"/>
        </w:rPr>
        <w:t xml:space="preserve"> 56: 93 – 102. </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Xiao, M., Ye, J., Tang, X. and Huang, Y. (2011). Determination of soybean isoflavones in soybean meal and fermented soybean meal by micellar electrokinetic capillary chromatography. </w:t>
      </w:r>
      <w:r w:rsidRPr="00F53C30">
        <w:rPr>
          <w:rFonts w:ascii="Times New Roman" w:hAnsi="Times New Roman"/>
          <w:i/>
          <w:sz w:val="20"/>
          <w:szCs w:val="20"/>
        </w:rPr>
        <w:t>Food Chemistry,</w:t>
      </w:r>
      <w:r w:rsidRPr="00F53C30">
        <w:rPr>
          <w:rFonts w:ascii="Times New Roman" w:hAnsi="Times New Roman"/>
          <w:sz w:val="20"/>
          <w:szCs w:val="20"/>
        </w:rPr>
        <w:t xml:space="preserve"> 126: 1488 – 1492.</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Altria, K. D. (2000). Background theory and applications of microemulsion electrokinetic chromatography. </w:t>
      </w:r>
      <w:r w:rsidRPr="00F53C30">
        <w:rPr>
          <w:rFonts w:ascii="Times New Roman" w:hAnsi="Times New Roman"/>
          <w:i/>
          <w:sz w:val="20"/>
          <w:szCs w:val="20"/>
        </w:rPr>
        <w:t>Journal of Chromatography A,</w:t>
      </w:r>
      <w:r w:rsidRPr="00F53C30">
        <w:rPr>
          <w:rFonts w:ascii="Times New Roman" w:hAnsi="Times New Roman"/>
          <w:sz w:val="20"/>
          <w:szCs w:val="20"/>
        </w:rPr>
        <w:t xml:space="preserve"> 892: 171 – 186.</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Mahuzier, P. E., Aurora, M. S., Clark, B. J., Hackmann, E. R. M. and Altria, K. D. (2003). An introduction to the theory and application of microemulsion electrokinetic chromatography. </w:t>
      </w:r>
      <w:r>
        <w:rPr>
          <w:rFonts w:ascii="Times New Roman" w:hAnsi="Times New Roman"/>
          <w:i/>
          <w:sz w:val="20"/>
          <w:szCs w:val="20"/>
        </w:rPr>
        <w:t>LC-</w:t>
      </w:r>
      <w:r w:rsidRPr="00F53C30">
        <w:rPr>
          <w:rFonts w:ascii="Times New Roman" w:hAnsi="Times New Roman"/>
          <w:i/>
          <w:sz w:val="20"/>
          <w:szCs w:val="20"/>
        </w:rPr>
        <w:t>GC Europe,</w:t>
      </w:r>
      <w:r w:rsidRPr="00F53C30">
        <w:rPr>
          <w:rFonts w:ascii="Times New Roman" w:hAnsi="Times New Roman"/>
          <w:sz w:val="20"/>
          <w:szCs w:val="20"/>
        </w:rPr>
        <w:t xml:space="preserve"> 16(1): 22 – 29.</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Jandera, P., Fischer, J., Jebava, J. and Effenberger, H. (2001). Characterization of retention in micellar high performance liquid chromatography and in micellar electrokinetic chromatography with reduced flow. </w:t>
      </w:r>
      <w:r w:rsidRPr="00F53C30">
        <w:rPr>
          <w:rFonts w:ascii="Times New Roman" w:hAnsi="Times New Roman"/>
          <w:i/>
          <w:sz w:val="20"/>
          <w:szCs w:val="20"/>
        </w:rPr>
        <w:t>Journal of Chromatography,</w:t>
      </w:r>
      <w:r w:rsidRPr="00F53C30">
        <w:rPr>
          <w:rFonts w:ascii="Times New Roman" w:hAnsi="Times New Roman"/>
          <w:sz w:val="20"/>
          <w:szCs w:val="20"/>
        </w:rPr>
        <w:t xml:space="preserve"> 914: 233 – 244</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Nakamura, H., Sano, A. and Matsuura, K. (1998). Determination of micelle concentration of anionic surfactant by capillary electrophoresis using 2-naphthalenemethanol as a marker for micelle formation. </w:t>
      </w:r>
      <w:r w:rsidRPr="008C5974">
        <w:rPr>
          <w:rFonts w:ascii="Times New Roman" w:hAnsi="Times New Roman"/>
          <w:i/>
          <w:sz w:val="20"/>
          <w:szCs w:val="20"/>
        </w:rPr>
        <w:t>Journal of Analytical Science,</w:t>
      </w:r>
      <w:r w:rsidRPr="008C5974">
        <w:rPr>
          <w:rFonts w:ascii="Times New Roman" w:hAnsi="Times New Roman"/>
          <w:sz w:val="20"/>
          <w:szCs w:val="20"/>
        </w:rPr>
        <w:t xml:space="preserve"> 14, 379-372</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Puyana, M. C., Crego, A. L. and Marina, M. L. (2008). Recent advances in the analysis of antibiotics by CE and CEC. </w:t>
      </w:r>
      <w:r w:rsidRPr="008C5974">
        <w:rPr>
          <w:rFonts w:ascii="Times New Roman" w:hAnsi="Times New Roman"/>
          <w:i/>
          <w:sz w:val="20"/>
          <w:szCs w:val="20"/>
        </w:rPr>
        <w:t>Electrophoresis</w:t>
      </w:r>
      <w:r w:rsidRPr="008C5974">
        <w:rPr>
          <w:rFonts w:ascii="Times New Roman" w:hAnsi="Times New Roman"/>
          <w:sz w:val="20"/>
          <w:szCs w:val="20"/>
        </w:rPr>
        <w:t>, 29: 274 – 293.</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McEvoy, E., Marsh, A., Altria, K., Donegan, S. and Power, J. (2007). Recent advances in the development and application of microemulsion EKC. </w:t>
      </w:r>
      <w:r w:rsidRPr="008C5974">
        <w:rPr>
          <w:rFonts w:ascii="Times New Roman" w:hAnsi="Times New Roman"/>
          <w:i/>
          <w:sz w:val="20"/>
          <w:szCs w:val="20"/>
        </w:rPr>
        <w:t>Electrophoresis,</w:t>
      </w:r>
      <w:r w:rsidRPr="008C5974">
        <w:rPr>
          <w:rFonts w:ascii="Times New Roman" w:hAnsi="Times New Roman"/>
          <w:sz w:val="20"/>
          <w:szCs w:val="20"/>
        </w:rPr>
        <w:t xml:space="preserve"> 28: 193 – 207.</w:t>
      </w:r>
    </w:p>
    <w:p w:rsidR="00897722" w:rsidRPr="008C5974"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rPr>
        <w:t xml:space="preserve">Ryan, R., Altria, K.D., Donegan, S. and Power, J. (2013). Developments in the methodology and application of microemulsion electrokinetic chromatography. </w:t>
      </w:r>
      <w:r w:rsidRPr="008C5974">
        <w:rPr>
          <w:rFonts w:ascii="Times New Roman" w:hAnsi="Times New Roman"/>
          <w:bCs/>
          <w:i/>
          <w:sz w:val="20"/>
          <w:szCs w:val="20"/>
        </w:rPr>
        <w:t>Electrophoresis,</w:t>
      </w:r>
      <w:r w:rsidRPr="008C5974">
        <w:rPr>
          <w:rFonts w:ascii="Times New Roman" w:hAnsi="Times New Roman"/>
          <w:bCs/>
          <w:sz w:val="20"/>
          <w:szCs w:val="20"/>
        </w:rPr>
        <w:t xml:space="preserve"> 34: 154</w:t>
      </w:r>
      <w:r w:rsidRPr="008C5974">
        <w:rPr>
          <w:rFonts w:ascii="Times New Roman" w:hAnsi="Times New Roman"/>
          <w:sz w:val="20"/>
          <w:szCs w:val="20"/>
        </w:rPr>
        <w:t xml:space="preserve"> – </w:t>
      </w:r>
      <w:r w:rsidRPr="008C5974">
        <w:rPr>
          <w:rFonts w:ascii="Times New Roman" w:hAnsi="Times New Roman"/>
          <w:bCs/>
          <w:sz w:val="20"/>
          <w:szCs w:val="20"/>
        </w:rPr>
        <w:t>177.</w:t>
      </w:r>
    </w:p>
    <w:p w:rsidR="00897722" w:rsidRPr="008C5974"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rPr>
        <w:t xml:space="preserve">Chuerkaoui, S. and Veuthey, J. L. (2002). Micellar and microemulsion electrokinetic chromatography of selected anesthetic drugs. </w:t>
      </w:r>
      <w:r w:rsidRPr="008C5974">
        <w:rPr>
          <w:rFonts w:ascii="Times New Roman" w:hAnsi="Times New Roman"/>
          <w:bCs/>
          <w:i/>
          <w:sz w:val="20"/>
          <w:szCs w:val="20"/>
        </w:rPr>
        <w:t>Journal of Separation Science,</w:t>
      </w:r>
      <w:r w:rsidRPr="008C5974">
        <w:rPr>
          <w:rFonts w:ascii="Times New Roman" w:hAnsi="Times New Roman"/>
          <w:bCs/>
          <w:sz w:val="20"/>
          <w:szCs w:val="20"/>
        </w:rPr>
        <w:t xml:space="preserve"> 25: 1073</w:t>
      </w:r>
      <w:r w:rsidRPr="008C5974">
        <w:rPr>
          <w:rFonts w:ascii="Times New Roman" w:hAnsi="Times New Roman"/>
          <w:sz w:val="20"/>
          <w:szCs w:val="20"/>
        </w:rPr>
        <w:t xml:space="preserve"> – </w:t>
      </w:r>
      <w:r w:rsidRPr="008C5974">
        <w:rPr>
          <w:rFonts w:ascii="Times New Roman" w:hAnsi="Times New Roman"/>
          <w:bCs/>
          <w:sz w:val="20"/>
          <w:szCs w:val="20"/>
        </w:rPr>
        <w:t>1078.</w:t>
      </w:r>
    </w:p>
    <w:p w:rsidR="00897722" w:rsidRPr="008C5974"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rPr>
        <w:t xml:space="preserve">Huang, M. C., Chen, H. C., Fu, S. C. and Ding, W. H. (2013). Determination of volatile </w:t>
      </w:r>
      <w:r w:rsidRPr="008C5974">
        <w:rPr>
          <w:rFonts w:ascii="Times New Roman" w:hAnsi="Times New Roman"/>
          <w:bCs/>
          <w:i/>
          <w:sz w:val="20"/>
          <w:szCs w:val="20"/>
        </w:rPr>
        <w:t>n</w:t>
      </w:r>
      <w:r w:rsidRPr="008C5974">
        <w:rPr>
          <w:rFonts w:ascii="Times New Roman" w:hAnsi="Times New Roman"/>
          <w:bCs/>
          <w:sz w:val="20"/>
          <w:szCs w:val="20"/>
        </w:rPr>
        <w:t xml:space="preserve">-nitrosamines in meat products by microwave-assisted extraction coupled with dispersive micro solid-phase extraction and gas chromatography- chemical ionization mass spectrometry. </w:t>
      </w:r>
      <w:r w:rsidRPr="008C5974">
        <w:rPr>
          <w:rFonts w:ascii="Times New Roman" w:hAnsi="Times New Roman"/>
          <w:bCs/>
          <w:i/>
          <w:sz w:val="20"/>
          <w:szCs w:val="20"/>
        </w:rPr>
        <w:t>Food Chemistry,</w:t>
      </w:r>
      <w:r w:rsidRPr="008C5974">
        <w:rPr>
          <w:rFonts w:ascii="Times New Roman" w:hAnsi="Times New Roman"/>
          <w:bCs/>
          <w:sz w:val="20"/>
          <w:szCs w:val="20"/>
        </w:rPr>
        <w:t xml:space="preserve"> 138: 227</w:t>
      </w:r>
      <w:r w:rsidRPr="008C5974">
        <w:rPr>
          <w:rFonts w:ascii="Times New Roman" w:hAnsi="Times New Roman"/>
          <w:sz w:val="20"/>
          <w:szCs w:val="20"/>
        </w:rPr>
        <w:t xml:space="preserve"> – </w:t>
      </w:r>
      <w:r w:rsidRPr="008C5974">
        <w:rPr>
          <w:rFonts w:ascii="Times New Roman" w:hAnsi="Times New Roman"/>
          <w:bCs/>
          <w:sz w:val="20"/>
          <w:szCs w:val="20"/>
        </w:rPr>
        <w:t xml:space="preserve">233. </w:t>
      </w:r>
    </w:p>
    <w:p w:rsidR="00897722" w:rsidRPr="008C5974"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lang w:val="en-MY"/>
        </w:rPr>
        <w:t xml:space="preserve">Miola, F. M., Snowden, M. J. and Altria, K. D. (1998). The use of microemulsion electrokinetic chromatography in pharmaceutical analysis. </w:t>
      </w:r>
      <w:r w:rsidRPr="008C5974">
        <w:rPr>
          <w:rFonts w:ascii="Times New Roman" w:hAnsi="Times New Roman"/>
          <w:bCs/>
          <w:i/>
          <w:sz w:val="20"/>
          <w:szCs w:val="20"/>
          <w:lang w:val="en-MY"/>
        </w:rPr>
        <w:t>Journal of Pharmaceutical and Biomedical Analysis,</w:t>
      </w:r>
      <w:r w:rsidRPr="008C5974">
        <w:rPr>
          <w:rFonts w:ascii="Times New Roman" w:hAnsi="Times New Roman"/>
          <w:bCs/>
          <w:sz w:val="20"/>
          <w:szCs w:val="20"/>
          <w:lang w:val="en-MY"/>
        </w:rPr>
        <w:t xml:space="preserve"> 18: 785</w:t>
      </w:r>
      <w:r w:rsidRPr="008C5974">
        <w:rPr>
          <w:rFonts w:ascii="Times New Roman" w:hAnsi="Times New Roman"/>
          <w:sz w:val="20"/>
          <w:szCs w:val="20"/>
        </w:rPr>
        <w:t xml:space="preserve"> – </w:t>
      </w:r>
      <w:r w:rsidRPr="008C5974">
        <w:rPr>
          <w:rFonts w:ascii="Times New Roman" w:hAnsi="Times New Roman"/>
          <w:bCs/>
          <w:sz w:val="20"/>
          <w:szCs w:val="20"/>
          <w:lang w:val="en-MY"/>
        </w:rPr>
        <w:t>797.</w:t>
      </w:r>
    </w:p>
    <w:p w:rsidR="00897722" w:rsidRPr="008C5974"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lang w:val="en-MY"/>
        </w:rPr>
        <w:t>Himmelsbach, M., Haunschmidt,</w:t>
      </w:r>
      <w:r>
        <w:rPr>
          <w:rFonts w:ascii="Times New Roman" w:hAnsi="Times New Roman"/>
          <w:bCs/>
          <w:sz w:val="20"/>
          <w:szCs w:val="20"/>
          <w:lang w:val="en-MY"/>
        </w:rPr>
        <w:t xml:space="preserve"> M., Buchberger, W. and Klampfl,</w:t>
      </w:r>
      <w:r w:rsidRPr="008C5974">
        <w:rPr>
          <w:rFonts w:ascii="Times New Roman" w:hAnsi="Times New Roman"/>
          <w:bCs/>
          <w:sz w:val="20"/>
          <w:szCs w:val="20"/>
          <w:lang w:val="en-MY"/>
        </w:rPr>
        <w:t xml:space="preserve"> C. W. (2007). Microemulsion electrokinetic chromatography with on-line atmospheric pressure. </w:t>
      </w:r>
      <w:r w:rsidRPr="008C5974">
        <w:rPr>
          <w:rFonts w:ascii="Times New Roman" w:hAnsi="Times New Roman"/>
          <w:bCs/>
          <w:i/>
          <w:sz w:val="20"/>
          <w:szCs w:val="20"/>
          <w:lang w:val="en-MY"/>
        </w:rPr>
        <w:t>Analytical Chemistry,</w:t>
      </w:r>
      <w:r w:rsidRPr="008C5974">
        <w:rPr>
          <w:rFonts w:ascii="Times New Roman" w:hAnsi="Times New Roman"/>
          <w:bCs/>
          <w:sz w:val="20"/>
          <w:szCs w:val="20"/>
          <w:lang w:val="en-MY"/>
        </w:rPr>
        <w:t xml:space="preserve"> 79: 1564</w:t>
      </w:r>
      <w:r w:rsidRPr="008C5974">
        <w:rPr>
          <w:rFonts w:ascii="Times New Roman" w:hAnsi="Times New Roman"/>
          <w:sz w:val="20"/>
          <w:szCs w:val="20"/>
        </w:rPr>
        <w:t xml:space="preserve"> – </w:t>
      </w:r>
      <w:r w:rsidRPr="008C5974">
        <w:rPr>
          <w:rFonts w:ascii="Times New Roman" w:hAnsi="Times New Roman"/>
          <w:bCs/>
          <w:sz w:val="20"/>
          <w:szCs w:val="20"/>
          <w:lang w:val="en-MY"/>
        </w:rPr>
        <w:t>1568.</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rPr>
        <w:t>Soto, J. M. J., Cardenas, S. and Valcarcel, M. (2012). Dispersive micro solid-phase extraction of triazines from waters using oxidized single-walled carbon nanohorns as sorbent</w:t>
      </w:r>
      <w:r w:rsidRPr="008C5974">
        <w:rPr>
          <w:rFonts w:ascii="Times New Roman" w:hAnsi="Times New Roman"/>
          <w:bCs/>
          <w:i/>
          <w:sz w:val="20"/>
          <w:szCs w:val="20"/>
        </w:rPr>
        <w:t xml:space="preserve">. </w:t>
      </w:r>
      <w:r w:rsidRPr="008C5974">
        <w:rPr>
          <w:rFonts w:ascii="Times New Roman" w:hAnsi="Times New Roman"/>
          <w:i/>
          <w:sz w:val="20"/>
          <w:szCs w:val="20"/>
        </w:rPr>
        <w:t>Journal of Chromatography A,</w:t>
      </w:r>
      <w:r w:rsidRPr="008C5974">
        <w:rPr>
          <w:rFonts w:ascii="Times New Roman" w:hAnsi="Times New Roman"/>
          <w:sz w:val="20"/>
          <w:szCs w:val="20"/>
        </w:rPr>
        <w:t xml:space="preserve"> 1245: 17 – 23.</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Zhou, Y. G., Chen, X. H., Pan. S. D., Zhu, H. and Shen, H. Y. (2013). Simultaneous analysis of eight phenolic environmental estrogens in blood using dispersive micro-solid-phase extraction combined with ultra-fast liquid chromatography-tandem mass spectrometry. </w:t>
      </w:r>
      <w:r w:rsidRPr="008C5974">
        <w:rPr>
          <w:rFonts w:ascii="Times New Roman" w:hAnsi="Times New Roman"/>
          <w:i/>
          <w:sz w:val="20"/>
          <w:szCs w:val="20"/>
        </w:rPr>
        <w:t>Talanta</w:t>
      </w:r>
      <w:r w:rsidRPr="008C5974">
        <w:rPr>
          <w:rFonts w:ascii="Times New Roman" w:hAnsi="Times New Roman"/>
          <w:sz w:val="20"/>
          <w:szCs w:val="20"/>
        </w:rPr>
        <w:t>, 115: 787 – 797.</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Liao, Q. G.,  Zhou, Y. M., Luo L. G., Wang, L. B. and Feng, H. X. (2014). Determination of twelve herbicides in tobacco by a combination of solid–liquid–solid dispersive extraction using multi-walled carbon nanotubes, dispersive liquid-liquid micro-extraction, and detection by GC with triple quadrupole mass spectrometry. </w:t>
      </w:r>
      <w:r w:rsidRPr="008C5974">
        <w:rPr>
          <w:rFonts w:ascii="Times New Roman" w:hAnsi="Times New Roman"/>
          <w:i/>
          <w:sz w:val="20"/>
          <w:szCs w:val="20"/>
        </w:rPr>
        <w:t xml:space="preserve">Microchimica Acta, </w:t>
      </w:r>
      <w:r w:rsidRPr="008C5974">
        <w:rPr>
          <w:rFonts w:ascii="Times New Roman" w:hAnsi="Times New Roman"/>
          <w:sz w:val="20"/>
          <w:szCs w:val="20"/>
        </w:rPr>
        <w:t>181: 163 – 169.</w:t>
      </w:r>
    </w:p>
    <w:p w:rsidR="00897722" w:rsidRDefault="00897722" w:rsidP="00897722">
      <w:pPr>
        <w:pStyle w:val="ListParagraph"/>
        <w:numPr>
          <w:ilvl w:val="0"/>
          <w:numId w:val="1"/>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Murphy, P. A., Barua, K. and Hauck, C. C. (2002). Solvent extraction selection in the determination of isoflavones in soy foods. </w:t>
      </w:r>
      <w:r>
        <w:rPr>
          <w:rFonts w:ascii="Times New Roman" w:hAnsi="Times New Roman"/>
          <w:i/>
          <w:sz w:val="20"/>
          <w:szCs w:val="20"/>
        </w:rPr>
        <w:t xml:space="preserve">Journal of </w:t>
      </w:r>
      <w:r w:rsidRPr="008C5974">
        <w:rPr>
          <w:rFonts w:ascii="Times New Roman" w:hAnsi="Times New Roman"/>
          <w:i/>
          <w:sz w:val="20"/>
          <w:szCs w:val="20"/>
        </w:rPr>
        <w:t>Chromatography B</w:t>
      </w:r>
      <w:r w:rsidRPr="008C5974">
        <w:rPr>
          <w:rFonts w:ascii="Times New Roman" w:hAnsi="Times New Roman"/>
          <w:sz w:val="20"/>
          <w:szCs w:val="20"/>
        </w:rPr>
        <w:t>,</w:t>
      </w:r>
      <w:r>
        <w:rPr>
          <w:rFonts w:ascii="Times New Roman" w:hAnsi="Times New Roman"/>
          <w:sz w:val="20"/>
          <w:szCs w:val="20"/>
        </w:rPr>
        <w:t xml:space="preserve"> 777:</w:t>
      </w:r>
      <w:r w:rsidRPr="008C5974">
        <w:rPr>
          <w:rFonts w:ascii="Times New Roman" w:hAnsi="Times New Roman"/>
          <w:sz w:val="20"/>
          <w:szCs w:val="20"/>
        </w:rPr>
        <w:t xml:space="preserve"> 129</w:t>
      </w:r>
      <w:r>
        <w:rPr>
          <w:rFonts w:ascii="Times New Roman" w:hAnsi="Times New Roman"/>
          <w:sz w:val="20"/>
          <w:szCs w:val="20"/>
        </w:rPr>
        <w:t xml:space="preserve"> </w:t>
      </w:r>
      <w:r w:rsidRPr="008C5974">
        <w:rPr>
          <w:rFonts w:ascii="Times New Roman" w:hAnsi="Times New Roman"/>
          <w:sz w:val="20"/>
          <w:szCs w:val="20"/>
        </w:rPr>
        <w:t>–</w:t>
      </w:r>
      <w:r>
        <w:rPr>
          <w:rFonts w:ascii="Times New Roman" w:hAnsi="Times New Roman"/>
          <w:sz w:val="20"/>
          <w:szCs w:val="20"/>
        </w:rPr>
        <w:t xml:space="preserve"> </w:t>
      </w:r>
      <w:r w:rsidRPr="008C5974">
        <w:rPr>
          <w:rFonts w:ascii="Times New Roman" w:hAnsi="Times New Roman"/>
          <w:sz w:val="20"/>
          <w:szCs w:val="20"/>
        </w:rPr>
        <w:t>138.</w:t>
      </w:r>
    </w:p>
    <w:p w:rsidR="00897722" w:rsidRPr="00897722" w:rsidRDefault="00897722" w:rsidP="00897722">
      <w:pPr>
        <w:pStyle w:val="ListParagraph"/>
        <w:spacing w:after="0" w:line="240" w:lineRule="auto"/>
        <w:ind w:left="360"/>
        <w:contextualSpacing w:val="0"/>
        <w:jc w:val="both"/>
        <w:rPr>
          <w:rFonts w:ascii="Times New Roman" w:hAnsi="Times New Roman"/>
          <w:sz w:val="20"/>
          <w:szCs w:val="20"/>
        </w:rPr>
      </w:pPr>
      <w:bookmarkStart w:id="0" w:name="_GoBack"/>
      <w:bookmarkEnd w:id="0"/>
    </w:p>
    <w:sectPr w:rsidR="00897722" w:rsidRPr="00897722" w:rsidSect="0089772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7393D"/>
    <w:multiLevelType w:val="hybridMultilevel"/>
    <w:tmpl w:val="88BE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22"/>
    <w:rsid w:val="005310DB"/>
    <w:rsid w:val="0089772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7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1423</Words>
  <Characters>8200</Characters>
  <Application>Microsoft Office Word</Application>
  <DocSecurity>0</DocSecurity>
  <Lines>164</Lines>
  <Paragraphs>61</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Malaysian Journal of Analytical Sciences Vol 22 No 1 (2018): 54 - 63</vt:lpstr>
      <vt:lpstr/>
      <vt:lpstr/>
      <vt:lpstr/>
      <vt:lpstr>MICROEMULSION ELECTROKINETIC CHROMATOGRAPHY COUPLED WITH DISPERSIVE MICRO-SOLID </vt:lpstr>
      <vt:lpstr/>
      <vt:lpstr>(Kromatografi Elektrokinetik Mikro-Emulsi Berganding dengan Pengekstrakan Fasa P</vt:lpstr>
      <vt:lpstr/>
      <vt:lpstr>Khaulah Ab Rahim1, Mohd Marsin Sanagi1,2*, Dadan Hermawan3, Wan Aini Wan Ibrahim</vt:lpstr>
      <vt:lpstr>Aemi Syazwani Abdul Keyon1</vt:lpstr>
      <vt:lpstr>1Department of Chemistry, Faculty of Science </vt:lpstr>
      <vt:lpstr>2Centre for Sustainable Nanomaterials, Ibnu Sina Institute for Scientific and In</vt:lpstr>
      <vt:lpstr>Universiti Teknologi Malaysia, 81310 UTM Johor Bahru, Johor, Malaysia</vt:lpstr>
      <vt:lpstr>3Department of Chemistry, Faculty of Science and Engineering, </vt:lpstr>
      <vt:lpstr>Universitas Jenderal Soedirman (UNSOED), Purwokerto, Indonesia </vt:lpstr>
      <vt:lpstr/>
      <vt:lpstr>*Corresponding author:  marsin@kimia.fs.utm.my  </vt:lpstr>
      <vt:lpstr>A new method based on microemulsion electrokinetic chromatography (MEEKC) couple</vt:lpstr>
      <vt:lpstr/>
      <vt:lpstr>Keywords: 	microemulsion electrokinetic chromatography, background electrolyte, </vt:lpstr>
      <vt:lpstr/>
      <vt:lpstr>Abstrak</vt:lpstr>
      <vt:lpstr>Satu kaedah baharu berasaskan kromatografi elektrokinetik mikroemulsi (MEEKC) be</vt:lpstr>
      <vt:lpstr/>
      <vt:lpstr>Keywords: 	Kromatografi elektrokinetik mikroemulsi, elektrolit latar belakang, p</vt:lpstr>
      <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2018-01-18T01:29:00Z</dcterms:created>
  <dcterms:modified xsi:type="dcterms:W3CDTF">2018-01-18T01:31:00Z</dcterms:modified>
</cp:coreProperties>
</file>