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140" w:rsidRDefault="00940140" w:rsidP="00940140">
      <w:pPr>
        <w:spacing w:after="0" w:line="240" w:lineRule="auto"/>
        <w:rPr>
          <w:rFonts w:ascii="Times New Roman" w:hAnsi="Times New Roman"/>
          <w:sz w:val="24"/>
          <w:szCs w:val="24"/>
        </w:rPr>
      </w:pPr>
      <w:r>
        <w:rPr>
          <w:rFonts w:ascii="Times New Roman" w:hAnsi="Times New Roman"/>
          <w:sz w:val="24"/>
          <w:szCs w:val="24"/>
        </w:rPr>
        <w:t xml:space="preserve">Malaysian Journal of Analytical Sciences </w:t>
      </w:r>
      <w:proofErr w:type="spellStart"/>
      <w:r>
        <w:rPr>
          <w:rFonts w:ascii="Times New Roman" w:hAnsi="Times New Roman"/>
          <w:sz w:val="24"/>
          <w:szCs w:val="24"/>
        </w:rPr>
        <w:t>Vol</w:t>
      </w:r>
      <w:proofErr w:type="spellEnd"/>
      <w:r>
        <w:rPr>
          <w:rFonts w:ascii="Times New Roman" w:hAnsi="Times New Roman"/>
          <w:sz w:val="24"/>
          <w:szCs w:val="24"/>
        </w:rPr>
        <w:t xml:space="preserve"> 22 No 1 (2018): 45 - 53</w:t>
      </w:r>
    </w:p>
    <w:p w:rsidR="00940140" w:rsidRDefault="00940140" w:rsidP="00940140">
      <w:pPr>
        <w:spacing w:after="0" w:line="240" w:lineRule="auto"/>
        <w:rPr>
          <w:rFonts w:ascii="Times New Roman" w:hAnsi="Times New Roman"/>
          <w:sz w:val="24"/>
          <w:szCs w:val="24"/>
        </w:rPr>
      </w:pPr>
    </w:p>
    <w:p w:rsidR="00940140" w:rsidRDefault="00940140" w:rsidP="00940140">
      <w:pPr>
        <w:spacing w:after="0" w:line="240" w:lineRule="auto"/>
        <w:rPr>
          <w:rFonts w:ascii="Times New Roman" w:hAnsi="Times New Roman"/>
          <w:sz w:val="24"/>
          <w:szCs w:val="24"/>
        </w:rPr>
      </w:pPr>
    </w:p>
    <w:p w:rsidR="00940140" w:rsidRPr="00940140" w:rsidRDefault="00940140" w:rsidP="00940140">
      <w:pPr>
        <w:spacing w:after="0" w:line="240" w:lineRule="auto"/>
        <w:rPr>
          <w:rFonts w:ascii="Times New Roman" w:hAnsi="Times New Roman"/>
          <w:sz w:val="24"/>
          <w:szCs w:val="24"/>
        </w:rPr>
      </w:pPr>
    </w:p>
    <w:p w:rsidR="00940140" w:rsidRDefault="00940140" w:rsidP="00940140">
      <w:pPr>
        <w:spacing w:after="0" w:line="240" w:lineRule="auto"/>
        <w:jc w:val="center"/>
        <w:rPr>
          <w:rFonts w:ascii="Times New Roman" w:hAnsi="Times New Roman"/>
          <w:sz w:val="28"/>
          <w:szCs w:val="28"/>
        </w:rPr>
      </w:pPr>
      <w:r w:rsidRPr="00F13F41">
        <w:rPr>
          <w:rFonts w:ascii="Times New Roman" w:hAnsi="Times New Roman"/>
          <w:sz w:val="28"/>
          <w:szCs w:val="28"/>
        </w:rPr>
        <w:t xml:space="preserve">ASSESSING STIR BAR SORPTIVE EXTRACTION FOR </w:t>
      </w:r>
      <w:r>
        <w:rPr>
          <w:rFonts w:ascii="Times New Roman" w:hAnsi="Times New Roman"/>
          <w:sz w:val="28"/>
          <w:szCs w:val="28"/>
        </w:rPr>
        <w:t xml:space="preserve">TRIAZINE </w:t>
      </w:r>
      <w:r w:rsidRPr="00F13F41">
        <w:rPr>
          <w:rFonts w:ascii="Times New Roman" w:hAnsi="Times New Roman"/>
          <w:sz w:val="28"/>
          <w:szCs w:val="28"/>
        </w:rPr>
        <w:t xml:space="preserve">HERBICIDES EXTRACTION BY USING </w:t>
      </w:r>
      <w:r>
        <w:rPr>
          <w:rFonts w:ascii="Times New Roman" w:hAnsi="Times New Roman"/>
          <w:sz w:val="28"/>
          <w:szCs w:val="28"/>
        </w:rPr>
        <w:t xml:space="preserve">A CENTRAL </w:t>
      </w:r>
      <w:r w:rsidRPr="00F13F41">
        <w:rPr>
          <w:rFonts w:ascii="Times New Roman" w:hAnsi="Times New Roman"/>
          <w:sz w:val="28"/>
          <w:szCs w:val="28"/>
        </w:rPr>
        <w:t>COMPOSITE DESIGN APPROACH</w:t>
      </w:r>
    </w:p>
    <w:p w:rsidR="00940140" w:rsidRPr="009D20F9" w:rsidRDefault="00940140" w:rsidP="00940140">
      <w:pPr>
        <w:spacing w:after="0" w:line="240" w:lineRule="auto"/>
        <w:jc w:val="center"/>
        <w:rPr>
          <w:rFonts w:ascii="Times New Roman" w:hAnsi="Times New Roman"/>
          <w:sz w:val="24"/>
          <w:szCs w:val="24"/>
        </w:rPr>
      </w:pPr>
    </w:p>
    <w:p w:rsidR="00940140" w:rsidRDefault="00940140" w:rsidP="00940140">
      <w:pPr>
        <w:spacing w:after="0" w:line="240" w:lineRule="auto"/>
        <w:jc w:val="center"/>
        <w:rPr>
          <w:rFonts w:ascii="Times New Roman" w:hAnsi="Times New Roman"/>
          <w:sz w:val="24"/>
          <w:szCs w:val="24"/>
          <w:lang w:val="ms-MY"/>
        </w:rPr>
      </w:pPr>
      <w:r w:rsidRPr="00C3485E">
        <w:rPr>
          <w:rFonts w:ascii="Times New Roman" w:hAnsi="Times New Roman"/>
          <w:sz w:val="24"/>
          <w:szCs w:val="24"/>
          <w:lang w:val="ms-MY"/>
        </w:rPr>
        <w:t xml:space="preserve">(Penilaian Pengekstrakan Erapan Bar untuk Pengekstrakan Herbisid Triazin </w:t>
      </w:r>
      <w:r>
        <w:rPr>
          <w:rFonts w:ascii="Times New Roman" w:hAnsi="Times New Roman"/>
          <w:sz w:val="24"/>
          <w:szCs w:val="24"/>
          <w:lang w:val="ms-MY"/>
        </w:rPr>
        <w:t>M</w:t>
      </w:r>
      <w:r w:rsidRPr="00C3485E">
        <w:rPr>
          <w:rFonts w:ascii="Times New Roman" w:hAnsi="Times New Roman"/>
          <w:sz w:val="24"/>
          <w:szCs w:val="24"/>
          <w:lang w:val="ms-MY"/>
        </w:rPr>
        <w:t>enggunakan Pendekatan Reka Bentuk Komposit Berpusat)</w:t>
      </w:r>
    </w:p>
    <w:p w:rsidR="00940140" w:rsidRPr="009D20F9" w:rsidRDefault="00940140" w:rsidP="00940140">
      <w:pPr>
        <w:spacing w:after="0" w:line="240" w:lineRule="auto"/>
        <w:jc w:val="center"/>
        <w:rPr>
          <w:rFonts w:ascii="Times New Roman" w:hAnsi="Times New Roman"/>
          <w:sz w:val="20"/>
          <w:szCs w:val="20"/>
          <w:lang w:val="ms-MY"/>
        </w:rPr>
      </w:pPr>
    </w:p>
    <w:p w:rsidR="00940140" w:rsidRDefault="00940140" w:rsidP="00940140">
      <w:pPr>
        <w:spacing w:after="0" w:line="240" w:lineRule="auto"/>
        <w:jc w:val="center"/>
        <w:rPr>
          <w:rFonts w:ascii="Times New Roman" w:hAnsi="Times New Roman"/>
          <w:sz w:val="20"/>
          <w:szCs w:val="20"/>
        </w:rPr>
      </w:pPr>
      <w:proofErr w:type="spellStart"/>
      <w:r w:rsidRPr="008A6DDA">
        <w:rPr>
          <w:rFonts w:ascii="Times New Roman" w:hAnsi="Times New Roman"/>
          <w:sz w:val="20"/>
          <w:szCs w:val="20"/>
          <w:lang w:val="es-ES"/>
        </w:rPr>
        <w:t>Nurul</w:t>
      </w:r>
      <w:proofErr w:type="spellEnd"/>
      <w:r w:rsidRPr="008A6DDA">
        <w:rPr>
          <w:rFonts w:ascii="Times New Roman" w:hAnsi="Times New Roman"/>
          <w:sz w:val="20"/>
          <w:szCs w:val="20"/>
          <w:lang w:val="es-ES"/>
        </w:rPr>
        <w:t xml:space="preserve"> </w:t>
      </w:r>
      <w:proofErr w:type="spellStart"/>
      <w:r w:rsidRPr="008A6DDA">
        <w:rPr>
          <w:rFonts w:ascii="Times New Roman" w:hAnsi="Times New Roman"/>
          <w:sz w:val="20"/>
          <w:szCs w:val="20"/>
          <w:lang w:val="es-ES"/>
        </w:rPr>
        <w:t>Auni</w:t>
      </w:r>
      <w:proofErr w:type="spellEnd"/>
      <w:r w:rsidRPr="008A6DDA">
        <w:rPr>
          <w:rFonts w:ascii="Times New Roman" w:hAnsi="Times New Roman"/>
          <w:sz w:val="20"/>
          <w:szCs w:val="20"/>
          <w:lang w:val="es-ES"/>
        </w:rPr>
        <w:t xml:space="preserve"> </w:t>
      </w:r>
      <w:proofErr w:type="spellStart"/>
      <w:r w:rsidRPr="008A6DDA">
        <w:rPr>
          <w:rFonts w:ascii="Times New Roman" w:hAnsi="Times New Roman"/>
          <w:sz w:val="20"/>
          <w:szCs w:val="20"/>
          <w:lang w:val="es-ES"/>
        </w:rPr>
        <w:t>Zainal</w:t>
      </w:r>
      <w:proofErr w:type="spellEnd"/>
      <w:r w:rsidRPr="008A6DDA">
        <w:rPr>
          <w:rFonts w:ascii="Times New Roman" w:hAnsi="Times New Roman"/>
          <w:sz w:val="20"/>
          <w:szCs w:val="20"/>
          <w:lang w:val="es-ES"/>
        </w:rPr>
        <w:t xml:space="preserve"> Abidin</w:t>
      </w:r>
      <w:r w:rsidRPr="008A6DDA">
        <w:rPr>
          <w:rFonts w:ascii="Times New Roman" w:hAnsi="Times New Roman"/>
          <w:sz w:val="20"/>
          <w:szCs w:val="20"/>
          <w:vertAlign w:val="superscript"/>
          <w:lang w:val="es-ES"/>
        </w:rPr>
        <w:t>1, 2</w:t>
      </w:r>
      <w:r>
        <w:rPr>
          <w:rFonts w:ascii="Times New Roman" w:hAnsi="Times New Roman"/>
          <w:sz w:val="20"/>
          <w:szCs w:val="20"/>
          <w:lang w:val="es-ES"/>
        </w:rPr>
        <w:t>*</w:t>
      </w:r>
      <w:r w:rsidRPr="008A6DDA">
        <w:rPr>
          <w:rFonts w:ascii="Times New Roman" w:hAnsi="Times New Roman"/>
          <w:sz w:val="20"/>
          <w:szCs w:val="20"/>
          <w:lang w:val="es-ES"/>
        </w:rPr>
        <w:t xml:space="preserve">, Md </w:t>
      </w:r>
      <w:proofErr w:type="spellStart"/>
      <w:r w:rsidRPr="008A6DDA">
        <w:rPr>
          <w:rFonts w:ascii="Times New Roman" w:hAnsi="Times New Roman"/>
          <w:sz w:val="20"/>
          <w:szCs w:val="20"/>
          <w:lang w:val="es-ES"/>
        </w:rPr>
        <w:t>Pauzi</w:t>
      </w:r>
      <w:proofErr w:type="spellEnd"/>
      <w:r w:rsidRPr="008A6DDA">
        <w:rPr>
          <w:rFonts w:ascii="Times New Roman" w:hAnsi="Times New Roman"/>
          <w:sz w:val="20"/>
          <w:szCs w:val="20"/>
          <w:lang w:val="es-ES"/>
        </w:rPr>
        <w:t xml:space="preserve"> Abdullah</w:t>
      </w:r>
      <w:r w:rsidRPr="008A6DDA">
        <w:rPr>
          <w:rFonts w:ascii="Times New Roman" w:hAnsi="Times New Roman"/>
          <w:sz w:val="20"/>
          <w:szCs w:val="20"/>
          <w:vertAlign w:val="superscript"/>
          <w:lang w:val="es-ES"/>
        </w:rPr>
        <w:t>1,</w:t>
      </w:r>
      <w:r>
        <w:rPr>
          <w:rFonts w:ascii="Times New Roman" w:hAnsi="Times New Roman"/>
          <w:sz w:val="20"/>
          <w:szCs w:val="20"/>
          <w:vertAlign w:val="superscript"/>
          <w:lang w:val="es-ES"/>
        </w:rPr>
        <w:t xml:space="preserve"> </w:t>
      </w:r>
      <w:r w:rsidRPr="008A6DDA">
        <w:rPr>
          <w:rFonts w:ascii="Times New Roman" w:hAnsi="Times New Roman"/>
          <w:sz w:val="20"/>
          <w:szCs w:val="20"/>
          <w:vertAlign w:val="superscript"/>
          <w:lang w:val="es-ES"/>
        </w:rPr>
        <w:t>3</w:t>
      </w:r>
      <w:r w:rsidRPr="008A6DDA">
        <w:rPr>
          <w:rFonts w:ascii="Times New Roman" w:hAnsi="Times New Roman"/>
          <w:sz w:val="20"/>
          <w:szCs w:val="20"/>
          <w:lang w:val="es-ES"/>
        </w:rPr>
        <w:t xml:space="preserve">, </w:t>
      </w:r>
      <w:proofErr w:type="spellStart"/>
      <w:r w:rsidRPr="008A6DDA">
        <w:rPr>
          <w:rFonts w:ascii="Times New Roman" w:hAnsi="Times New Roman"/>
          <w:sz w:val="20"/>
          <w:szCs w:val="20"/>
          <w:lang w:val="es-ES"/>
        </w:rPr>
        <w:t>Fouad</w:t>
      </w:r>
      <w:proofErr w:type="spellEnd"/>
      <w:r w:rsidRPr="008A6DDA">
        <w:rPr>
          <w:rFonts w:ascii="Times New Roman" w:hAnsi="Times New Roman"/>
          <w:sz w:val="20"/>
          <w:szCs w:val="20"/>
          <w:lang w:val="es-ES"/>
        </w:rPr>
        <w:t xml:space="preserve"> </w:t>
      </w:r>
      <w:proofErr w:type="spellStart"/>
      <w:r w:rsidRPr="008A6DDA">
        <w:rPr>
          <w:rFonts w:ascii="Times New Roman" w:hAnsi="Times New Roman"/>
          <w:sz w:val="20"/>
          <w:szCs w:val="20"/>
          <w:lang w:val="es-ES"/>
        </w:rPr>
        <w:t>Fadhil</w:t>
      </w:r>
      <w:proofErr w:type="spellEnd"/>
      <w:r w:rsidRPr="008A6DDA">
        <w:rPr>
          <w:rFonts w:ascii="Times New Roman" w:hAnsi="Times New Roman"/>
          <w:sz w:val="20"/>
          <w:szCs w:val="20"/>
          <w:lang w:val="es-ES"/>
        </w:rPr>
        <w:t xml:space="preserve"> Al-Qaim</w:t>
      </w:r>
      <w:r w:rsidRPr="008A6DDA">
        <w:rPr>
          <w:rFonts w:ascii="Times New Roman" w:hAnsi="Times New Roman"/>
          <w:sz w:val="20"/>
          <w:szCs w:val="20"/>
          <w:vertAlign w:val="superscript"/>
          <w:lang w:val="es-ES"/>
        </w:rPr>
        <w:t>1,</w:t>
      </w:r>
      <w:r>
        <w:rPr>
          <w:rFonts w:ascii="Times New Roman" w:hAnsi="Times New Roman"/>
          <w:sz w:val="20"/>
          <w:szCs w:val="20"/>
          <w:vertAlign w:val="superscript"/>
          <w:lang w:val="es-ES"/>
        </w:rPr>
        <w:t xml:space="preserve"> </w:t>
      </w:r>
      <w:r w:rsidRPr="008A6DDA">
        <w:rPr>
          <w:rFonts w:ascii="Times New Roman" w:hAnsi="Times New Roman"/>
          <w:sz w:val="20"/>
          <w:szCs w:val="20"/>
          <w:vertAlign w:val="superscript"/>
          <w:lang w:val="es-ES"/>
        </w:rPr>
        <w:t>4,</w:t>
      </w:r>
      <w:r>
        <w:rPr>
          <w:rFonts w:ascii="Times New Roman" w:hAnsi="Times New Roman"/>
          <w:sz w:val="20"/>
          <w:szCs w:val="20"/>
          <w:vertAlign w:val="superscript"/>
          <w:lang w:val="es-ES"/>
        </w:rPr>
        <w:t xml:space="preserve"> </w:t>
      </w:r>
      <w:r w:rsidRPr="009D20F9">
        <w:rPr>
          <w:rFonts w:ascii="Times New Roman" w:hAnsi="Times New Roman"/>
          <w:sz w:val="20"/>
          <w:szCs w:val="20"/>
          <w:vertAlign w:val="superscript"/>
          <w:lang w:val="es-ES"/>
        </w:rPr>
        <w:t>5</w:t>
      </w:r>
      <w:r>
        <w:rPr>
          <w:rFonts w:ascii="Times New Roman" w:hAnsi="Times New Roman"/>
          <w:sz w:val="20"/>
          <w:szCs w:val="20"/>
        </w:rPr>
        <w:t xml:space="preserve">, </w:t>
      </w:r>
    </w:p>
    <w:p w:rsidR="00940140" w:rsidRPr="009D20F9" w:rsidRDefault="00940140" w:rsidP="00940140">
      <w:pPr>
        <w:spacing w:after="0" w:line="240" w:lineRule="auto"/>
        <w:jc w:val="center"/>
        <w:rPr>
          <w:rFonts w:ascii="Times New Roman" w:hAnsi="Times New Roman"/>
          <w:sz w:val="20"/>
          <w:szCs w:val="20"/>
          <w:vertAlign w:val="superscript"/>
          <w:lang w:val="es-ES"/>
        </w:rPr>
      </w:pPr>
      <w:r w:rsidRPr="009D20F9">
        <w:rPr>
          <w:rFonts w:ascii="Times New Roman" w:hAnsi="Times New Roman"/>
          <w:sz w:val="20"/>
          <w:szCs w:val="20"/>
        </w:rPr>
        <w:t>Wan</w:t>
      </w:r>
      <w:r w:rsidRPr="00F13F41">
        <w:rPr>
          <w:rFonts w:ascii="Times New Roman" w:hAnsi="Times New Roman"/>
          <w:sz w:val="20"/>
          <w:szCs w:val="20"/>
        </w:rPr>
        <w:t xml:space="preserve"> </w:t>
      </w:r>
      <w:proofErr w:type="spellStart"/>
      <w:r w:rsidRPr="00F13F41">
        <w:rPr>
          <w:rFonts w:ascii="Times New Roman" w:hAnsi="Times New Roman"/>
          <w:sz w:val="20"/>
          <w:szCs w:val="20"/>
        </w:rPr>
        <w:t>Mohd</w:t>
      </w:r>
      <w:proofErr w:type="spellEnd"/>
      <w:r w:rsidRPr="00F13F41">
        <w:rPr>
          <w:rFonts w:ascii="Times New Roman" w:hAnsi="Times New Roman"/>
          <w:sz w:val="20"/>
          <w:szCs w:val="20"/>
        </w:rPr>
        <w:t xml:space="preserve"> </w:t>
      </w:r>
      <w:proofErr w:type="spellStart"/>
      <w:r w:rsidRPr="00F13F41">
        <w:rPr>
          <w:rFonts w:ascii="Times New Roman" w:hAnsi="Times New Roman"/>
          <w:sz w:val="20"/>
          <w:szCs w:val="20"/>
        </w:rPr>
        <w:t>Afiq</w:t>
      </w:r>
      <w:proofErr w:type="spellEnd"/>
      <w:r w:rsidRPr="00F13F41">
        <w:rPr>
          <w:rFonts w:ascii="Times New Roman" w:hAnsi="Times New Roman"/>
          <w:sz w:val="20"/>
          <w:szCs w:val="20"/>
        </w:rPr>
        <w:t xml:space="preserve"> Wan </w:t>
      </w:r>
      <w:proofErr w:type="spellStart"/>
      <w:r w:rsidRPr="00F13F41">
        <w:rPr>
          <w:rFonts w:ascii="Times New Roman" w:hAnsi="Times New Roman"/>
          <w:sz w:val="20"/>
          <w:szCs w:val="20"/>
        </w:rPr>
        <w:t>Mohd</w:t>
      </w:r>
      <w:proofErr w:type="spellEnd"/>
      <w:r w:rsidRPr="00F13F41">
        <w:rPr>
          <w:rFonts w:ascii="Times New Roman" w:hAnsi="Times New Roman"/>
          <w:sz w:val="20"/>
          <w:szCs w:val="20"/>
        </w:rPr>
        <w:t xml:space="preserve"> </w:t>
      </w:r>
      <w:r w:rsidRPr="00C3485E">
        <w:rPr>
          <w:rFonts w:ascii="Times New Roman" w:hAnsi="Times New Roman"/>
          <w:sz w:val="20"/>
          <w:szCs w:val="20"/>
        </w:rPr>
        <w:t>Khalik</w:t>
      </w:r>
      <w:r>
        <w:rPr>
          <w:rFonts w:ascii="Times New Roman" w:hAnsi="Times New Roman"/>
          <w:sz w:val="20"/>
          <w:szCs w:val="20"/>
          <w:vertAlign w:val="superscript"/>
        </w:rPr>
        <w:t>3, 6</w:t>
      </w:r>
      <w:proofErr w:type="gramStart"/>
      <w:r w:rsidRPr="00F13F41">
        <w:rPr>
          <w:rFonts w:ascii="Times New Roman" w:hAnsi="Times New Roman"/>
          <w:sz w:val="20"/>
          <w:szCs w:val="20"/>
          <w:vertAlign w:val="subscript"/>
        </w:rPr>
        <w:t>,</w:t>
      </w:r>
      <w:r w:rsidRPr="00F13F41">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F13F41">
        <w:rPr>
          <w:rFonts w:ascii="Times New Roman" w:hAnsi="Times New Roman"/>
          <w:sz w:val="20"/>
          <w:szCs w:val="20"/>
        </w:rPr>
        <w:t>Mohamed</w:t>
      </w:r>
      <w:proofErr w:type="gramEnd"/>
      <w:r w:rsidRPr="00F13F41">
        <w:rPr>
          <w:rFonts w:ascii="Times New Roman" w:hAnsi="Times New Roman"/>
          <w:sz w:val="20"/>
          <w:szCs w:val="20"/>
        </w:rPr>
        <w:t xml:space="preserve"> </w:t>
      </w:r>
      <w:proofErr w:type="spellStart"/>
      <w:r w:rsidRPr="00F13F41">
        <w:rPr>
          <w:rFonts w:ascii="Times New Roman" w:hAnsi="Times New Roman"/>
          <w:sz w:val="20"/>
          <w:szCs w:val="20"/>
        </w:rPr>
        <w:t>Rozali</w:t>
      </w:r>
      <w:proofErr w:type="spellEnd"/>
      <w:r w:rsidRPr="00F13F41">
        <w:rPr>
          <w:rFonts w:ascii="Times New Roman" w:hAnsi="Times New Roman"/>
          <w:sz w:val="20"/>
          <w:szCs w:val="20"/>
        </w:rPr>
        <w:t xml:space="preserve"> Othman</w:t>
      </w:r>
      <w:r w:rsidRPr="00F13F41">
        <w:rPr>
          <w:rFonts w:ascii="Times New Roman" w:hAnsi="Times New Roman"/>
          <w:sz w:val="20"/>
          <w:szCs w:val="20"/>
          <w:vertAlign w:val="superscript"/>
        </w:rPr>
        <w:t>1,</w:t>
      </w:r>
      <w:r>
        <w:rPr>
          <w:rFonts w:ascii="Times New Roman" w:hAnsi="Times New Roman"/>
          <w:sz w:val="20"/>
          <w:szCs w:val="20"/>
          <w:vertAlign w:val="superscript"/>
        </w:rPr>
        <w:t xml:space="preserve"> </w:t>
      </w:r>
      <w:r w:rsidRPr="00F13F41">
        <w:rPr>
          <w:rFonts w:ascii="Times New Roman" w:hAnsi="Times New Roman"/>
          <w:sz w:val="20"/>
          <w:szCs w:val="20"/>
          <w:vertAlign w:val="superscript"/>
        </w:rPr>
        <w:t>3</w:t>
      </w:r>
    </w:p>
    <w:p w:rsidR="00940140" w:rsidRPr="00940140" w:rsidRDefault="00940140" w:rsidP="00940140">
      <w:pPr>
        <w:spacing w:after="0" w:line="240" w:lineRule="auto"/>
        <w:jc w:val="center"/>
        <w:rPr>
          <w:rFonts w:ascii="Times New Roman" w:hAnsi="Times New Roman"/>
          <w:b/>
          <w:sz w:val="20"/>
          <w:szCs w:val="20"/>
        </w:rPr>
      </w:pPr>
    </w:p>
    <w:p w:rsidR="00940140" w:rsidRPr="00940140" w:rsidRDefault="00940140" w:rsidP="00940140">
      <w:pPr>
        <w:pStyle w:val="AuthorAffiliation"/>
      </w:pPr>
      <w:r w:rsidRPr="00940140">
        <w:rPr>
          <w:iCs/>
          <w:vertAlign w:val="superscript"/>
        </w:rPr>
        <w:t>1</w:t>
      </w:r>
      <w:r w:rsidRPr="00940140">
        <w:t xml:space="preserve">School of Chemical Sciences and Food Technology, Faculty of Science and Technology, </w:t>
      </w:r>
    </w:p>
    <w:p w:rsidR="00940140" w:rsidRPr="00940140" w:rsidRDefault="00940140" w:rsidP="00940140">
      <w:pPr>
        <w:pStyle w:val="AuthorAffiliation"/>
      </w:pPr>
      <w:proofErr w:type="spellStart"/>
      <w:r w:rsidRPr="00940140">
        <w:t>Universiti</w:t>
      </w:r>
      <w:proofErr w:type="spellEnd"/>
      <w:r w:rsidRPr="00940140">
        <w:t xml:space="preserve"> </w:t>
      </w:r>
      <w:proofErr w:type="spellStart"/>
      <w:r w:rsidRPr="00940140">
        <w:t>Kebangsaan</w:t>
      </w:r>
      <w:proofErr w:type="spellEnd"/>
      <w:r w:rsidRPr="00940140">
        <w:t xml:space="preserve"> Malaysia, 43600 UKM </w:t>
      </w:r>
      <w:proofErr w:type="spellStart"/>
      <w:r w:rsidRPr="00940140">
        <w:t>Bangi</w:t>
      </w:r>
      <w:proofErr w:type="spellEnd"/>
      <w:r w:rsidRPr="00940140">
        <w:t>, Selangor, Malaysia</w:t>
      </w:r>
      <w:r w:rsidRPr="00940140">
        <w:br/>
      </w:r>
      <w:r w:rsidRPr="00940140">
        <w:rPr>
          <w:iCs/>
          <w:vertAlign w:val="superscript"/>
        </w:rPr>
        <w:t>2</w:t>
      </w:r>
      <w:r w:rsidRPr="00940140">
        <w:t xml:space="preserve">Faculty of Applied Sciences, </w:t>
      </w:r>
    </w:p>
    <w:p w:rsidR="00940140" w:rsidRPr="00940140" w:rsidRDefault="00940140" w:rsidP="00940140">
      <w:pPr>
        <w:pStyle w:val="AuthorAffiliation"/>
      </w:pPr>
      <w:proofErr w:type="spellStart"/>
      <w:r w:rsidRPr="00940140">
        <w:t>Universiti</w:t>
      </w:r>
      <w:proofErr w:type="spellEnd"/>
      <w:r w:rsidRPr="00940140">
        <w:t xml:space="preserve"> </w:t>
      </w:r>
      <w:proofErr w:type="spellStart"/>
      <w:r w:rsidRPr="00940140">
        <w:t>Teknologi</w:t>
      </w:r>
      <w:proofErr w:type="spellEnd"/>
      <w:r w:rsidRPr="00940140">
        <w:t xml:space="preserve"> MARA </w:t>
      </w:r>
      <w:proofErr w:type="spellStart"/>
      <w:r w:rsidRPr="00940140">
        <w:t>Negeri</w:t>
      </w:r>
      <w:proofErr w:type="spellEnd"/>
      <w:r w:rsidRPr="00940140">
        <w:t xml:space="preserve"> Sembilan, Kuala </w:t>
      </w:r>
      <w:proofErr w:type="spellStart"/>
      <w:r w:rsidRPr="00940140">
        <w:t>Pilah</w:t>
      </w:r>
      <w:proofErr w:type="spellEnd"/>
      <w:r w:rsidRPr="00940140">
        <w:t xml:space="preserve"> Campus, 72000 Kuala </w:t>
      </w:r>
      <w:proofErr w:type="spellStart"/>
      <w:r w:rsidRPr="00940140">
        <w:t>Pilah</w:t>
      </w:r>
      <w:proofErr w:type="spellEnd"/>
      <w:r w:rsidRPr="00940140">
        <w:t xml:space="preserve">, </w:t>
      </w:r>
      <w:proofErr w:type="spellStart"/>
      <w:r w:rsidRPr="00940140">
        <w:t>Negeri</w:t>
      </w:r>
      <w:proofErr w:type="spellEnd"/>
      <w:r w:rsidRPr="00940140">
        <w:t xml:space="preserve"> Sembilan, Malaysia </w:t>
      </w:r>
    </w:p>
    <w:p w:rsidR="00940140" w:rsidRPr="00940140" w:rsidRDefault="00940140" w:rsidP="00940140">
      <w:pPr>
        <w:pStyle w:val="AuthorAffiliation"/>
      </w:pPr>
      <w:r w:rsidRPr="00940140">
        <w:rPr>
          <w:vertAlign w:val="superscript"/>
        </w:rPr>
        <w:t>3</w:t>
      </w:r>
      <w:r w:rsidRPr="00940140">
        <w:t xml:space="preserve">Centre for Water Research and Analysis (ALIR), Faculty of Science and Technology, </w:t>
      </w:r>
    </w:p>
    <w:p w:rsidR="00940140" w:rsidRPr="00940140" w:rsidRDefault="00940140" w:rsidP="00940140">
      <w:pPr>
        <w:pStyle w:val="AuthorAffiliation"/>
      </w:pPr>
      <w:proofErr w:type="spellStart"/>
      <w:r w:rsidRPr="00940140">
        <w:t>Universiti</w:t>
      </w:r>
      <w:proofErr w:type="spellEnd"/>
      <w:r w:rsidRPr="00940140">
        <w:t xml:space="preserve"> </w:t>
      </w:r>
      <w:proofErr w:type="spellStart"/>
      <w:r w:rsidRPr="00940140">
        <w:t>Kebangsaan</w:t>
      </w:r>
      <w:proofErr w:type="spellEnd"/>
      <w:r w:rsidRPr="00940140">
        <w:t xml:space="preserve"> Malaysia, 43600 UKM </w:t>
      </w:r>
      <w:proofErr w:type="spellStart"/>
      <w:r w:rsidRPr="00940140">
        <w:t>Bangi</w:t>
      </w:r>
      <w:proofErr w:type="spellEnd"/>
      <w:r w:rsidRPr="00940140">
        <w:t>, Selangor, Malaysia</w:t>
      </w:r>
    </w:p>
    <w:p w:rsidR="00940140" w:rsidRPr="00940140" w:rsidRDefault="00940140" w:rsidP="00940140">
      <w:pPr>
        <w:pStyle w:val="AuthorAffiliation"/>
      </w:pPr>
      <w:r w:rsidRPr="00940140">
        <w:rPr>
          <w:vertAlign w:val="superscript"/>
        </w:rPr>
        <w:t>4</w:t>
      </w:r>
      <w:r w:rsidRPr="00940140">
        <w:t xml:space="preserve">Department of Chemistry, Faculty of Science for Women, </w:t>
      </w:r>
    </w:p>
    <w:p w:rsidR="00940140" w:rsidRPr="00940140" w:rsidRDefault="00940140" w:rsidP="00940140">
      <w:pPr>
        <w:pStyle w:val="AuthorAffiliation"/>
      </w:pPr>
      <w:r w:rsidRPr="00940140">
        <w:t xml:space="preserve">University of Babylon, PO Box 4, </w:t>
      </w:r>
      <w:proofErr w:type="spellStart"/>
      <w:r w:rsidRPr="00940140">
        <w:t>Hilla</w:t>
      </w:r>
      <w:proofErr w:type="spellEnd"/>
      <w:r w:rsidRPr="00940140">
        <w:t>, Iraq</w:t>
      </w:r>
    </w:p>
    <w:p w:rsidR="00940140" w:rsidRPr="00940140" w:rsidRDefault="00940140" w:rsidP="00940140">
      <w:pPr>
        <w:pStyle w:val="AuthorAffiliation"/>
      </w:pPr>
      <w:r w:rsidRPr="00940140">
        <w:rPr>
          <w:vertAlign w:val="superscript"/>
        </w:rPr>
        <w:t>5</w:t>
      </w:r>
      <w:r w:rsidRPr="00940140">
        <w:t xml:space="preserve">Department of Environmental Engineering and Green Technology, Malaysia–Japan International Institute of Technology, </w:t>
      </w:r>
    </w:p>
    <w:p w:rsidR="00940140" w:rsidRPr="00940140" w:rsidRDefault="00940140" w:rsidP="00940140">
      <w:pPr>
        <w:pStyle w:val="AuthorAffiliation"/>
      </w:pPr>
      <w:proofErr w:type="spellStart"/>
      <w:r w:rsidRPr="00940140">
        <w:t>Universiti</w:t>
      </w:r>
      <w:proofErr w:type="spellEnd"/>
      <w:r w:rsidRPr="00940140">
        <w:t xml:space="preserve"> </w:t>
      </w:r>
      <w:proofErr w:type="spellStart"/>
      <w:r w:rsidRPr="00940140">
        <w:t>Teknologi</w:t>
      </w:r>
      <w:proofErr w:type="spellEnd"/>
      <w:r w:rsidRPr="00940140">
        <w:t xml:space="preserve"> Malaysia, 54100 Kuala Lumpur, Malaysia.</w:t>
      </w:r>
    </w:p>
    <w:p w:rsidR="00940140" w:rsidRPr="00940140" w:rsidRDefault="00940140" w:rsidP="00940140">
      <w:pPr>
        <w:pStyle w:val="AuthorAffiliation"/>
      </w:pPr>
      <w:r w:rsidRPr="00940140">
        <w:rPr>
          <w:vertAlign w:val="superscript"/>
        </w:rPr>
        <w:t>6</w:t>
      </w:r>
      <w:r w:rsidRPr="00940140">
        <w:t xml:space="preserve">School of Marine and Environmental Sciences, </w:t>
      </w:r>
    </w:p>
    <w:p w:rsidR="00940140" w:rsidRPr="00940140" w:rsidRDefault="00940140" w:rsidP="00940140">
      <w:pPr>
        <w:pStyle w:val="AuthorAffiliation"/>
      </w:pPr>
      <w:proofErr w:type="spellStart"/>
      <w:r w:rsidRPr="00940140">
        <w:t>Universiti</w:t>
      </w:r>
      <w:proofErr w:type="spellEnd"/>
      <w:r w:rsidRPr="00940140">
        <w:t xml:space="preserve"> Malaysia Terengganu, 21030 Kuala </w:t>
      </w:r>
      <w:proofErr w:type="spellStart"/>
      <w:r w:rsidRPr="00940140">
        <w:t>Nerus</w:t>
      </w:r>
      <w:proofErr w:type="spellEnd"/>
      <w:r w:rsidRPr="00940140">
        <w:t>, Terengganu, Malaysia</w:t>
      </w:r>
    </w:p>
    <w:p w:rsidR="00940140" w:rsidRPr="00940140" w:rsidRDefault="00940140" w:rsidP="00940140">
      <w:pPr>
        <w:pStyle w:val="AuthorAffiliation"/>
      </w:pPr>
      <w:r w:rsidRPr="00940140">
        <w:br/>
      </w:r>
      <w:r w:rsidRPr="00940140">
        <w:rPr>
          <w:vertAlign w:val="superscript"/>
        </w:rPr>
        <w:t>*</w:t>
      </w:r>
      <w:r w:rsidRPr="00940140">
        <w:t>Corresponding author: nurulauni@ns.uitm.edu.my</w:t>
      </w:r>
    </w:p>
    <w:p w:rsidR="00940140" w:rsidRPr="00940140" w:rsidRDefault="00940140" w:rsidP="00940140">
      <w:pPr>
        <w:spacing w:after="0" w:line="240" w:lineRule="auto"/>
        <w:jc w:val="center"/>
        <w:rPr>
          <w:rFonts w:ascii="Times New Roman" w:hAnsi="Times New Roman"/>
          <w:noProof/>
          <w:sz w:val="20"/>
          <w:szCs w:val="20"/>
          <w:lang w:bidi="ar-SA"/>
        </w:rPr>
      </w:pPr>
    </w:p>
    <w:p w:rsidR="00940140" w:rsidRPr="00940140" w:rsidRDefault="00940140" w:rsidP="00940140">
      <w:pPr>
        <w:spacing w:after="0" w:line="240" w:lineRule="auto"/>
        <w:jc w:val="center"/>
        <w:rPr>
          <w:rFonts w:ascii="Times New Roman" w:hAnsi="Times New Roman"/>
          <w:noProof/>
          <w:sz w:val="20"/>
          <w:szCs w:val="20"/>
          <w:lang w:bidi="ar-SA"/>
        </w:rPr>
      </w:pPr>
    </w:p>
    <w:p w:rsidR="00940140" w:rsidRPr="00940140" w:rsidRDefault="00940140" w:rsidP="00940140">
      <w:pPr>
        <w:spacing w:after="0" w:line="240" w:lineRule="auto"/>
        <w:jc w:val="center"/>
        <w:rPr>
          <w:rFonts w:ascii="Times New Roman" w:hAnsi="Times New Roman"/>
          <w:noProof/>
          <w:sz w:val="20"/>
          <w:szCs w:val="20"/>
          <w:lang w:bidi="ar-SA"/>
        </w:rPr>
      </w:pPr>
      <w:r w:rsidRPr="00940140">
        <w:rPr>
          <w:rFonts w:ascii="Times New Roman" w:hAnsi="Times New Roman"/>
          <w:noProof/>
          <w:sz w:val="20"/>
          <w:szCs w:val="20"/>
          <w:lang w:bidi="ar-SA"/>
        </w:rPr>
        <w:t>Received: 24 October 2017; Accepted: 4 January 2018</w:t>
      </w:r>
    </w:p>
    <w:p w:rsidR="00940140" w:rsidRPr="00940140" w:rsidRDefault="00940140" w:rsidP="00940140">
      <w:pPr>
        <w:spacing w:after="0" w:line="240" w:lineRule="auto"/>
        <w:jc w:val="center"/>
        <w:rPr>
          <w:rFonts w:ascii="Times New Roman" w:hAnsi="Times New Roman"/>
          <w:noProof/>
          <w:sz w:val="20"/>
          <w:szCs w:val="20"/>
          <w:lang w:bidi="ar-SA"/>
        </w:rPr>
      </w:pPr>
    </w:p>
    <w:p w:rsidR="00940140" w:rsidRPr="00940140" w:rsidRDefault="00940140" w:rsidP="00940140">
      <w:pPr>
        <w:spacing w:after="0" w:line="240" w:lineRule="auto"/>
        <w:jc w:val="center"/>
        <w:rPr>
          <w:rFonts w:ascii="Times New Roman" w:hAnsi="Times New Roman"/>
          <w:noProof/>
          <w:sz w:val="20"/>
          <w:szCs w:val="20"/>
          <w:lang w:bidi="ar-SA"/>
        </w:rPr>
      </w:pPr>
    </w:p>
    <w:p w:rsidR="00940140" w:rsidRPr="00940140" w:rsidRDefault="00940140" w:rsidP="00940140">
      <w:pPr>
        <w:spacing w:after="0" w:line="240" w:lineRule="auto"/>
        <w:jc w:val="center"/>
        <w:rPr>
          <w:rFonts w:ascii="Times New Roman" w:hAnsi="Times New Roman"/>
          <w:b/>
          <w:noProof/>
          <w:sz w:val="20"/>
          <w:szCs w:val="20"/>
          <w:lang w:bidi="ar-SA"/>
        </w:rPr>
      </w:pPr>
      <w:r w:rsidRPr="00940140">
        <w:rPr>
          <w:rFonts w:ascii="Times New Roman" w:hAnsi="Times New Roman"/>
          <w:b/>
          <w:noProof/>
          <w:sz w:val="20"/>
          <w:szCs w:val="20"/>
          <w:lang w:bidi="ar-SA"/>
        </w:rPr>
        <w:t>Abstract</w:t>
      </w:r>
    </w:p>
    <w:p w:rsidR="00940140" w:rsidRPr="00940140" w:rsidRDefault="00940140" w:rsidP="000F7F0C">
      <w:pPr>
        <w:pStyle w:val="Abstract"/>
        <w:spacing w:before="0" w:after="0"/>
        <w:ind w:left="0" w:right="-25"/>
        <w:rPr>
          <w:sz w:val="20"/>
        </w:rPr>
      </w:pPr>
      <w:r w:rsidRPr="00940140">
        <w:rPr>
          <w:sz w:val="20"/>
        </w:rPr>
        <w:t xml:space="preserve">A (PDMS)-coated stir bar was prepared for a glass jacket-free stir bar </w:t>
      </w:r>
      <w:proofErr w:type="spellStart"/>
      <w:r w:rsidRPr="00940140">
        <w:rPr>
          <w:sz w:val="20"/>
        </w:rPr>
        <w:t>sorptive</w:t>
      </w:r>
      <w:proofErr w:type="spellEnd"/>
      <w:r w:rsidRPr="00940140">
        <w:rPr>
          <w:sz w:val="20"/>
        </w:rPr>
        <w:t xml:space="preserve"> extraction (SBSE) configuration by adhesion technique for the extraction of </w:t>
      </w:r>
      <w:proofErr w:type="spellStart"/>
      <w:r w:rsidRPr="00940140">
        <w:rPr>
          <w:sz w:val="20"/>
        </w:rPr>
        <w:t>triazine</w:t>
      </w:r>
      <w:proofErr w:type="spellEnd"/>
      <w:r w:rsidRPr="00940140">
        <w:rPr>
          <w:sz w:val="20"/>
        </w:rPr>
        <w:t xml:space="preserve"> herbicides prior to quantification using a gas chromatography-flame ionization detector (GC-FID). A central composite design (CCD) was used in the optimization of extraction and desorption conditions. At optimum conditions, values of factors were set as pH 8.5, with no addition of </w:t>
      </w:r>
      <w:proofErr w:type="spellStart"/>
      <w:r w:rsidRPr="00940140">
        <w:rPr>
          <w:sz w:val="20"/>
        </w:rPr>
        <w:t>NaCl</w:t>
      </w:r>
      <w:proofErr w:type="spellEnd"/>
      <w:r w:rsidRPr="00940140">
        <w:rPr>
          <w:sz w:val="20"/>
        </w:rPr>
        <w:t xml:space="preserve">, for 25 </w:t>
      </w:r>
      <w:bookmarkStart w:id="0" w:name="_GoBack"/>
      <w:bookmarkEnd w:id="0"/>
      <w:r w:rsidRPr="00940140">
        <w:rPr>
          <w:sz w:val="20"/>
        </w:rPr>
        <w:t>minutes of extraction time, and 24 minutes of desorption time. Under optimal experimental conditions, the proposed method has linear ranges at 0.1 – 100 µgL</w:t>
      </w:r>
      <w:r w:rsidRPr="00940140">
        <w:rPr>
          <w:sz w:val="20"/>
          <w:vertAlign w:val="superscript"/>
        </w:rPr>
        <w:t>-1</w:t>
      </w:r>
      <w:r w:rsidRPr="00940140">
        <w:rPr>
          <w:sz w:val="20"/>
        </w:rPr>
        <w:t xml:space="preserve"> with correlation of determination (R</w:t>
      </w:r>
      <w:r w:rsidRPr="00940140">
        <w:rPr>
          <w:sz w:val="20"/>
          <w:vertAlign w:val="superscript"/>
        </w:rPr>
        <w:t>2</w:t>
      </w:r>
      <w:r w:rsidRPr="00940140">
        <w:rPr>
          <w:sz w:val="20"/>
        </w:rPr>
        <w:t xml:space="preserve">), ranging from 0.9991 – 0.9995, respectively. The limit of detection (LODs) and limit of quantification (LOQs) of three </w:t>
      </w:r>
      <w:proofErr w:type="spellStart"/>
      <w:r w:rsidRPr="00940140">
        <w:rPr>
          <w:sz w:val="20"/>
        </w:rPr>
        <w:t>triazines</w:t>
      </w:r>
      <w:proofErr w:type="spellEnd"/>
      <w:r w:rsidRPr="00940140">
        <w:rPr>
          <w:sz w:val="20"/>
        </w:rPr>
        <w:t xml:space="preserve"> were found to be ranging from 0.015 – 0.023 µgL</w:t>
      </w:r>
      <w:r w:rsidRPr="00940140">
        <w:rPr>
          <w:sz w:val="20"/>
          <w:vertAlign w:val="superscript"/>
        </w:rPr>
        <w:t>-1</w:t>
      </w:r>
      <w:r w:rsidRPr="00940140">
        <w:rPr>
          <w:sz w:val="20"/>
        </w:rPr>
        <w:t xml:space="preserve"> and 0.047 – 0.060 µgL</w:t>
      </w:r>
      <w:r w:rsidRPr="00940140">
        <w:rPr>
          <w:sz w:val="20"/>
          <w:vertAlign w:val="superscript"/>
        </w:rPr>
        <w:t>-1</w:t>
      </w:r>
      <w:r w:rsidRPr="00940140">
        <w:rPr>
          <w:sz w:val="20"/>
        </w:rPr>
        <w:t>, respectively.</w:t>
      </w:r>
    </w:p>
    <w:p w:rsidR="00940140" w:rsidRPr="00940140" w:rsidRDefault="00940140" w:rsidP="00940140">
      <w:pPr>
        <w:pStyle w:val="Heading1"/>
        <w:spacing w:before="0"/>
        <w:rPr>
          <w:rFonts w:ascii="Times New Roman" w:hAnsi="Times New Roman"/>
          <w:sz w:val="20"/>
          <w:szCs w:val="20"/>
          <w:lang w:val="en-US"/>
        </w:rPr>
      </w:pPr>
    </w:p>
    <w:p w:rsidR="00940140" w:rsidRPr="00940140" w:rsidRDefault="00940140" w:rsidP="00940140">
      <w:pPr>
        <w:pStyle w:val="Heading1"/>
        <w:spacing w:before="0"/>
        <w:rPr>
          <w:rFonts w:ascii="Times New Roman" w:hAnsi="Times New Roman"/>
          <w:sz w:val="20"/>
          <w:szCs w:val="20"/>
          <w:lang w:val="en-US"/>
        </w:rPr>
      </w:pPr>
      <w:r w:rsidRPr="00940140">
        <w:rPr>
          <w:rFonts w:ascii="Times New Roman" w:hAnsi="Times New Roman"/>
          <w:b/>
          <w:smallCaps w:val="0"/>
          <w:sz w:val="20"/>
          <w:szCs w:val="20"/>
          <w:lang w:val="en-US"/>
        </w:rPr>
        <w:t>Keywords:</w:t>
      </w:r>
      <w:r w:rsidRPr="00940140">
        <w:rPr>
          <w:rFonts w:ascii="Times New Roman" w:hAnsi="Times New Roman"/>
          <w:b/>
          <w:sz w:val="20"/>
          <w:szCs w:val="20"/>
          <w:lang w:val="en-US"/>
        </w:rPr>
        <w:t xml:space="preserve">  </w:t>
      </w:r>
      <w:r w:rsidRPr="00940140">
        <w:rPr>
          <w:rFonts w:ascii="Times New Roman" w:hAnsi="Times New Roman"/>
          <w:smallCaps w:val="0"/>
          <w:sz w:val="20"/>
          <w:szCs w:val="20"/>
          <w:lang w:val="en-US"/>
        </w:rPr>
        <w:t xml:space="preserve">stir bar </w:t>
      </w:r>
      <w:proofErr w:type="spellStart"/>
      <w:r w:rsidRPr="00940140">
        <w:rPr>
          <w:rFonts w:ascii="Times New Roman" w:hAnsi="Times New Roman"/>
          <w:smallCaps w:val="0"/>
          <w:sz w:val="20"/>
          <w:szCs w:val="20"/>
          <w:lang w:val="en-US"/>
        </w:rPr>
        <w:t>sorptive</w:t>
      </w:r>
      <w:proofErr w:type="spellEnd"/>
      <w:r w:rsidRPr="00940140">
        <w:rPr>
          <w:rFonts w:ascii="Times New Roman" w:hAnsi="Times New Roman"/>
          <w:smallCaps w:val="0"/>
          <w:sz w:val="20"/>
          <w:szCs w:val="20"/>
          <w:lang w:val="en-US"/>
        </w:rPr>
        <w:t xml:space="preserve"> extraction, </w:t>
      </w:r>
      <w:proofErr w:type="spellStart"/>
      <w:r w:rsidRPr="00940140">
        <w:rPr>
          <w:rFonts w:ascii="Times New Roman" w:hAnsi="Times New Roman"/>
          <w:smallCaps w:val="0"/>
          <w:sz w:val="20"/>
          <w:szCs w:val="20"/>
          <w:lang w:val="en-US"/>
        </w:rPr>
        <w:t>triazine</w:t>
      </w:r>
      <w:proofErr w:type="spellEnd"/>
      <w:r w:rsidRPr="00940140">
        <w:rPr>
          <w:rFonts w:ascii="Times New Roman" w:hAnsi="Times New Roman"/>
          <w:smallCaps w:val="0"/>
          <w:sz w:val="20"/>
          <w:szCs w:val="20"/>
          <w:lang w:val="en-US"/>
        </w:rPr>
        <w:t xml:space="preserve"> herbicides, central composite design, partition coefficient</w:t>
      </w:r>
    </w:p>
    <w:p w:rsidR="00940140" w:rsidRPr="00940140" w:rsidRDefault="00940140" w:rsidP="00940140">
      <w:pPr>
        <w:pStyle w:val="Heading1"/>
        <w:spacing w:before="0"/>
        <w:rPr>
          <w:rFonts w:ascii="Times New Roman" w:hAnsi="Times New Roman"/>
          <w:b/>
          <w:sz w:val="20"/>
          <w:szCs w:val="20"/>
          <w:lang w:val="en-US"/>
        </w:rPr>
      </w:pPr>
    </w:p>
    <w:p w:rsidR="00940140" w:rsidRPr="00940140" w:rsidRDefault="00940140" w:rsidP="00940140">
      <w:pPr>
        <w:pStyle w:val="Heading1"/>
        <w:spacing w:before="0"/>
        <w:jc w:val="center"/>
        <w:rPr>
          <w:rFonts w:ascii="Times New Roman" w:hAnsi="Times New Roman"/>
          <w:smallCaps w:val="0"/>
          <w:sz w:val="20"/>
          <w:szCs w:val="20"/>
          <w:lang w:val="ms-MY"/>
        </w:rPr>
      </w:pPr>
      <w:r w:rsidRPr="00940140">
        <w:rPr>
          <w:rFonts w:ascii="Times New Roman" w:hAnsi="Times New Roman"/>
          <w:b/>
          <w:smallCaps w:val="0"/>
          <w:sz w:val="20"/>
          <w:szCs w:val="20"/>
          <w:lang w:val="ms-MY"/>
        </w:rPr>
        <w:t>Abstrak</w:t>
      </w:r>
    </w:p>
    <w:p w:rsidR="00940140" w:rsidRPr="00940140" w:rsidRDefault="00940140" w:rsidP="00940140">
      <w:pPr>
        <w:spacing w:after="0"/>
        <w:jc w:val="both"/>
        <w:rPr>
          <w:rFonts w:ascii="Times New Roman" w:hAnsi="Times New Roman"/>
          <w:sz w:val="20"/>
          <w:szCs w:val="20"/>
          <w:lang w:val="ms-MY"/>
        </w:rPr>
      </w:pPr>
      <w:r w:rsidRPr="00940140">
        <w:rPr>
          <w:rFonts w:ascii="Times New Roman" w:hAnsi="Times New Roman"/>
          <w:sz w:val="20"/>
          <w:szCs w:val="20"/>
          <w:lang w:val="ms-MY"/>
        </w:rPr>
        <w:t xml:space="preserve">Bar berputar yang disalut dengan polidimetilsiloksana (PDMS) telah disediakan untuk pengekstrakan erapan bar berputar (SBSE) tanpa jaket kaca melalui teknik lekatan untuk dianalisa sebelum kuantifikasi racun herbisid triazin dengan menggunakan kromatografi gas-pengesan ionisasi nyala (GC-FID). Reka bentuk komposit berpusat (CCD) </w:t>
      </w:r>
      <w:r w:rsidRPr="00940140">
        <w:rPr>
          <w:rFonts w:ascii="Times New Roman" w:hAnsi="Times New Roman"/>
          <w:sz w:val="20"/>
          <w:szCs w:val="20"/>
          <w:lang w:val="ms-MY"/>
        </w:rPr>
        <w:lastRenderedPageBreak/>
        <w:t>telah digunakan untuk proses pengoptimuman keadaan pengekstrakan dan nyahjerapan. Pada keadaan optimum, nilai faktor adalah pH 8.5, tanpa penambahan NaCl, 25 minit masa pengekstrakan, dan masa nyahjerapan 24 minit. Kajian berdasarkan julat kelinearan antara 0.1 – 100 µgL</w:t>
      </w:r>
      <w:r w:rsidRPr="00940140">
        <w:rPr>
          <w:rFonts w:ascii="Times New Roman" w:hAnsi="Times New Roman"/>
          <w:sz w:val="20"/>
          <w:szCs w:val="20"/>
          <w:vertAlign w:val="superscript"/>
          <w:lang w:val="ms-MY"/>
        </w:rPr>
        <w:t>-1</w:t>
      </w:r>
      <w:r w:rsidRPr="00940140">
        <w:rPr>
          <w:rFonts w:ascii="Times New Roman" w:hAnsi="Times New Roman"/>
          <w:sz w:val="20"/>
          <w:szCs w:val="20"/>
          <w:lang w:val="ms-MY"/>
        </w:rPr>
        <w:t xml:space="preserve"> telah mencapai kelinearan yang baik dengan pekali R</w:t>
      </w:r>
      <w:r w:rsidRPr="00940140">
        <w:rPr>
          <w:rFonts w:ascii="Times New Roman" w:hAnsi="Times New Roman"/>
          <w:sz w:val="20"/>
          <w:szCs w:val="20"/>
          <w:vertAlign w:val="superscript"/>
          <w:lang w:val="ms-MY"/>
        </w:rPr>
        <w:t>2</w:t>
      </w:r>
      <w:r w:rsidRPr="00940140">
        <w:rPr>
          <w:rFonts w:ascii="Times New Roman" w:hAnsi="Times New Roman"/>
          <w:sz w:val="20"/>
          <w:szCs w:val="20"/>
          <w:lang w:val="ms-MY"/>
        </w:rPr>
        <w:t xml:space="preserve"> di rekod antara 0.9991 – 0.9995. Had pengesanan (LODs) dan kuantifikasi (LOQs) bagi tiga jenis triazin tersebut masing- masing dihitung antara 0.015 – 0.023 µgL</w:t>
      </w:r>
      <w:r w:rsidRPr="00940140">
        <w:rPr>
          <w:rFonts w:ascii="Times New Roman" w:hAnsi="Times New Roman"/>
          <w:sz w:val="20"/>
          <w:szCs w:val="20"/>
          <w:vertAlign w:val="superscript"/>
          <w:lang w:val="ms-MY"/>
        </w:rPr>
        <w:t>-1</w:t>
      </w:r>
      <w:r w:rsidRPr="00940140">
        <w:rPr>
          <w:rFonts w:ascii="Times New Roman" w:hAnsi="Times New Roman"/>
          <w:sz w:val="20"/>
          <w:szCs w:val="20"/>
          <w:lang w:val="ms-MY"/>
        </w:rPr>
        <w:t xml:space="preserve"> dan 0.047 – 0.060 µgL</w:t>
      </w:r>
      <w:r w:rsidRPr="00940140">
        <w:rPr>
          <w:rFonts w:ascii="Times New Roman" w:hAnsi="Times New Roman"/>
          <w:sz w:val="20"/>
          <w:szCs w:val="20"/>
          <w:vertAlign w:val="superscript"/>
          <w:lang w:val="ms-MY"/>
        </w:rPr>
        <w:t>-1</w:t>
      </w:r>
      <w:r w:rsidRPr="00940140">
        <w:rPr>
          <w:rFonts w:ascii="Times New Roman" w:hAnsi="Times New Roman"/>
          <w:sz w:val="20"/>
          <w:szCs w:val="20"/>
          <w:lang w:val="ms-MY"/>
        </w:rPr>
        <w:t>.</w:t>
      </w:r>
    </w:p>
    <w:p w:rsidR="00940140" w:rsidRPr="00940140" w:rsidRDefault="00940140" w:rsidP="00940140">
      <w:pPr>
        <w:spacing w:after="0"/>
        <w:rPr>
          <w:rFonts w:ascii="Times New Roman" w:hAnsi="Times New Roman"/>
          <w:sz w:val="20"/>
          <w:szCs w:val="20"/>
          <w:lang w:val="ms-MY"/>
        </w:rPr>
      </w:pPr>
    </w:p>
    <w:p w:rsidR="00B5273B" w:rsidRDefault="00940140" w:rsidP="00940140">
      <w:pPr>
        <w:spacing w:after="0"/>
        <w:ind w:left="1260" w:hanging="1260"/>
        <w:jc w:val="both"/>
        <w:rPr>
          <w:rFonts w:ascii="Times New Roman" w:hAnsi="Times New Roman"/>
          <w:sz w:val="20"/>
          <w:szCs w:val="20"/>
          <w:lang w:val="ms-MY"/>
        </w:rPr>
      </w:pPr>
      <w:r w:rsidRPr="00940140">
        <w:rPr>
          <w:rFonts w:ascii="Times New Roman" w:hAnsi="Times New Roman"/>
          <w:b/>
          <w:sz w:val="20"/>
          <w:szCs w:val="20"/>
          <w:lang w:val="ms-MY"/>
        </w:rPr>
        <w:t>Kata kunci</w:t>
      </w:r>
      <w:r w:rsidRPr="00940140">
        <w:rPr>
          <w:rFonts w:ascii="Times New Roman" w:hAnsi="Times New Roman"/>
          <w:sz w:val="20"/>
          <w:szCs w:val="20"/>
          <w:lang w:val="ms-MY"/>
        </w:rPr>
        <w:t>:  pengekstrakan erapan bar berputar, herbisid triazin, reka bentuk komposit berpusat, pemalar pemisahan</w:t>
      </w:r>
    </w:p>
    <w:p w:rsidR="00940140" w:rsidRDefault="00940140" w:rsidP="00940140">
      <w:pPr>
        <w:spacing w:after="0"/>
        <w:ind w:left="1260" w:hanging="1260"/>
        <w:jc w:val="both"/>
        <w:rPr>
          <w:rFonts w:ascii="Times New Roman" w:hAnsi="Times New Roman"/>
          <w:sz w:val="20"/>
          <w:szCs w:val="20"/>
          <w:lang w:val="ms-MY"/>
        </w:rPr>
      </w:pPr>
    </w:p>
    <w:p w:rsidR="00940140" w:rsidRDefault="00940140" w:rsidP="0094014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Pan, C., </w:t>
      </w:r>
      <w:r w:rsidRPr="00CC3447">
        <w:rPr>
          <w:rFonts w:ascii="Times New Roman" w:hAnsi="Times New Roman"/>
          <w:sz w:val="20"/>
          <w:szCs w:val="20"/>
        </w:rPr>
        <w:fldChar w:fldCharType="begin" w:fldLock="1"/>
      </w:r>
      <w:r w:rsidRPr="00CC3447">
        <w:rPr>
          <w:rFonts w:ascii="Times New Roman" w:hAnsi="Times New Roman"/>
          <w:sz w:val="20"/>
          <w:szCs w:val="20"/>
        </w:rPr>
        <w:instrText xml:space="preserve">ADDIN Mendeley Bibliography CSL_BIBLIOGRAPHY </w:instrText>
      </w:r>
      <w:r w:rsidRPr="00CC3447">
        <w:rPr>
          <w:rFonts w:ascii="Times New Roman" w:hAnsi="Times New Roman"/>
          <w:sz w:val="20"/>
          <w:szCs w:val="20"/>
        </w:rPr>
        <w:fldChar w:fldCharType="separate"/>
      </w:r>
      <w:r w:rsidRPr="00CC3447">
        <w:rPr>
          <w:rFonts w:ascii="Times New Roman" w:hAnsi="Times New Roman"/>
          <w:sz w:val="20"/>
          <w:szCs w:val="20"/>
        </w:rPr>
        <w:t xml:space="preserve">Zou, N., Yuan, C., Liu, S., Han, Y., Li, Y. and Zhang, J. (2016). Coupling of multi-walled carbon nanotubes/polydimethylsiloxane coated stir bar sorptive extraction with pulse glow discharge-ion mobility spectrometry for analysis of triazine herbicides in water and soil samples. </w:t>
      </w:r>
      <w:r w:rsidRPr="00476D33">
        <w:rPr>
          <w:rFonts w:ascii="Times New Roman" w:hAnsi="Times New Roman"/>
          <w:i/>
          <w:sz w:val="20"/>
          <w:szCs w:val="20"/>
        </w:rPr>
        <w:t>Journal of Chromatography A</w:t>
      </w:r>
      <w:r w:rsidRPr="00CC3447">
        <w:rPr>
          <w:rFonts w:ascii="Times New Roman" w:hAnsi="Times New Roman"/>
          <w:sz w:val="20"/>
          <w:szCs w:val="20"/>
        </w:rPr>
        <w:t>, 1457: 14-21.</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Chen, L., Wen, Y., Chen, L., Li, J. and Liu, D. (2014). Recent advances in solid-phase sorbents for sample preparation prior to chromatographic analysis. </w:t>
      </w:r>
      <w:r w:rsidRPr="00476D33">
        <w:rPr>
          <w:rFonts w:ascii="Times New Roman" w:hAnsi="Times New Roman"/>
          <w:i/>
          <w:sz w:val="20"/>
          <w:szCs w:val="20"/>
        </w:rPr>
        <w:t>Trends in Analytical Chemistry</w:t>
      </w:r>
      <w:r w:rsidRPr="00CC3447">
        <w:rPr>
          <w:rFonts w:ascii="Times New Roman" w:hAnsi="Times New Roman"/>
          <w:sz w:val="20"/>
          <w:szCs w:val="20"/>
        </w:rPr>
        <w:t>, 59: 26-41.</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fldChar w:fldCharType="begin" w:fldLock="1"/>
      </w:r>
      <w:r w:rsidRPr="00CC3447">
        <w:rPr>
          <w:rFonts w:ascii="Times New Roman" w:hAnsi="Times New Roman"/>
          <w:sz w:val="20"/>
          <w:szCs w:val="20"/>
        </w:rPr>
        <w:instrText xml:space="preserve">ADDIN Mendeley Bibliography CSL_BIBLIOGRAPHY </w:instrText>
      </w:r>
      <w:r w:rsidRPr="00CC3447">
        <w:rPr>
          <w:rFonts w:ascii="Times New Roman" w:hAnsi="Times New Roman"/>
          <w:sz w:val="20"/>
          <w:szCs w:val="20"/>
        </w:rPr>
        <w:fldChar w:fldCharType="separate"/>
      </w:r>
      <w:r w:rsidRPr="00CC3447">
        <w:rPr>
          <w:rFonts w:ascii="Times New Roman" w:hAnsi="Times New Roman"/>
          <w:sz w:val="20"/>
          <w:szCs w:val="20"/>
        </w:rPr>
        <w:t xml:space="preserve">Sharif, M., Khodadoust, S., Mousavi, A. and Mahmoudi, R. (2017). Preconcentration of carbamate insecticides in water samples by using modified stir bar with ZnS nanoparticles loaded on activated carbon and their HPLC determination : Response surface methodology. </w:t>
      </w:r>
      <w:r w:rsidRPr="00476D33">
        <w:rPr>
          <w:rFonts w:ascii="Times New Roman" w:hAnsi="Times New Roman"/>
          <w:i/>
          <w:sz w:val="20"/>
          <w:szCs w:val="20"/>
        </w:rPr>
        <w:t>Microchemical Journal</w:t>
      </w:r>
      <w:r w:rsidRPr="00CC3447">
        <w:rPr>
          <w:rFonts w:ascii="Times New Roman" w:hAnsi="Times New Roman"/>
          <w:sz w:val="20"/>
          <w:szCs w:val="20"/>
        </w:rPr>
        <w:t>, 130: 64-70.</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Lei, Y., He, M., Chen, B. and Hu, B. (2016). Polyaniline / cyclodextrin composite coated stir bar sorptive extraction combined with high performance liquid chromatography-ultraviolet detection for the analysis of trace polychlorinated biphenyls in environmental waters.</w:t>
      </w:r>
      <w:r w:rsidRPr="00476D33">
        <w:rPr>
          <w:rFonts w:ascii="Times New Roman" w:hAnsi="Times New Roman"/>
          <w:i/>
          <w:sz w:val="20"/>
          <w:szCs w:val="20"/>
        </w:rPr>
        <w:t xml:space="preserve"> Talanta</w:t>
      </w:r>
      <w:r w:rsidRPr="00CC3447">
        <w:rPr>
          <w:rFonts w:ascii="Times New Roman" w:hAnsi="Times New Roman"/>
          <w:sz w:val="20"/>
          <w:szCs w:val="20"/>
        </w:rPr>
        <w:t>, 150: 310-318.</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Zhang, H., Low, W. P. and Lee, H. K. (2012). Evaluation of sulfonated graphene sheets as sorbent for micro-solid-phase extraction combined with gas chromatography–mass spectrometry.</w:t>
      </w:r>
      <w:r w:rsidRPr="00476D33">
        <w:rPr>
          <w:rFonts w:ascii="Times New Roman" w:hAnsi="Times New Roman"/>
          <w:i/>
          <w:sz w:val="20"/>
          <w:szCs w:val="20"/>
        </w:rPr>
        <w:t xml:space="preserve"> Journal of Chromatography A</w:t>
      </w:r>
      <w:r w:rsidRPr="00CC3447">
        <w:rPr>
          <w:rFonts w:ascii="Times New Roman" w:hAnsi="Times New Roman"/>
          <w:sz w:val="20"/>
          <w:szCs w:val="20"/>
        </w:rPr>
        <w:t>, 1233, 16-21.</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Baltussen, E., Sandra, P., David, F. and Cramers, C. (1999). Stir bar sorptive extraction (SBSE), a novel extraction technique for aqueous samples: Theory and principles. </w:t>
      </w:r>
      <w:r w:rsidRPr="00476D33">
        <w:rPr>
          <w:rFonts w:ascii="Times New Roman" w:hAnsi="Times New Roman"/>
          <w:i/>
          <w:sz w:val="20"/>
          <w:szCs w:val="20"/>
        </w:rPr>
        <w:t>Journal of Microcolumn Separations</w:t>
      </w:r>
      <w:r w:rsidRPr="00CC3447">
        <w:rPr>
          <w:rFonts w:ascii="Times New Roman" w:hAnsi="Times New Roman"/>
          <w:sz w:val="20"/>
          <w:szCs w:val="20"/>
        </w:rPr>
        <w:t>, 11(10): 737-747.</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Ayazi, Z. and Matin, A. A. (2016). Development of carbon nanotube–polyamide nanocomposite-based stir bar sorptive extraction coupled to HPLC-UV applying response surface methodology for the analysis of bisphenol a in aqueous samples. </w:t>
      </w:r>
      <w:r w:rsidRPr="00476D33">
        <w:rPr>
          <w:rFonts w:ascii="Times New Roman" w:hAnsi="Times New Roman"/>
          <w:i/>
          <w:sz w:val="20"/>
          <w:szCs w:val="20"/>
        </w:rPr>
        <w:t>Journal of Chromatographic Science</w:t>
      </w:r>
      <w:r w:rsidRPr="00476D33">
        <w:rPr>
          <w:rFonts w:ascii="Times New Roman" w:hAnsi="Times New Roman"/>
          <w:sz w:val="20"/>
          <w:szCs w:val="20"/>
        </w:rPr>
        <w:t>,</w:t>
      </w:r>
      <w:r w:rsidRPr="00CC3447">
        <w:rPr>
          <w:rFonts w:ascii="Times New Roman" w:hAnsi="Times New Roman"/>
          <w:sz w:val="20"/>
          <w:szCs w:val="20"/>
        </w:rPr>
        <w:t xml:space="preserve"> 4: 1-10.</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Manuel, J. and Nogueira, F. (2015). Stir-bar sorptive extraction : 15 years making sample preparation. </w:t>
      </w:r>
      <w:r w:rsidRPr="00476D33">
        <w:rPr>
          <w:rFonts w:ascii="Times New Roman" w:hAnsi="Times New Roman"/>
          <w:i/>
          <w:sz w:val="20"/>
          <w:szCs w:val="20"/>
        </w:rPr>
        <w:t>Trends in Analytical Chemistry</w:t>
      </w:r>
      <w:r w:rsidRPr="00CC3447">
        <w:rPr>
          <w:rFonts w:ascii="Times New Roman" w:hAnsi="Times New Roman"/>
          <w:sz w:val="20"/>
          <w:szCs w:val="20"/>
        </w:rPr>
        <w:t>, 71: 214-223.</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Blasco, C., Fernández, M., Picó, Y. and Font, G. (2004). Comparison of solid-phase microextraction and stir bar sorptive extraction for determining six organophosphorus insecticides in honey by liquid chromatography – mass spectrometry. </w:t>
      </w:r>
      <w:r w:rsidRPr="00476D33">
        <w:rPr>
          <w:rFonts w:ascii="Times New Roman" w:hAnsi="Times New Roman"/>
          <w:i/>
          <w:sz w:val="20"/>
          <w:szCs w:val="20"/>
        </w:rPr>
        <w:t>Journal of Chromatography A</w:t>
      </w:r>
      <w:r w:rsidRPr="00411252">
        <w:rPr>
          <w:rFonts w:ascii="Times New Roman" w:hAnsi="Times New Roman"/>
          <w:sz w:val="20"/>
          <w:szCs w:val="20"/>
        </w:rPr>
        <w:t>, 1030: 77-85.</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Lei, Y., Chen, B., You, L., He, M. and Hu, B. (2017). Polydimethylsiloxane / MIL-100 ( Fe ) coated stir bar sorptive extraction-high performance liquid chromatography for the determination of triazines in environmental water samples. </w:t>
      </w:r>
      <w:r w:rsidRPr="00476D33">
        <w:rPr>
          <w:rFonts w:ascii="Times New Roman" w:hAnsi="Times New Roman"/>
          <w:i/>
          <w:sz w:val="20"/>
          <w:szCs w:val="20"/>
        </w:rPr>
        <w:t>Talanta</w:t>
      </w:r>
      <w:r w:rsidRPr="00411252">
        <w:rPr>
          <w:rFonts w:ascii="Times New Roman" w:hAnsi="Times New Roman"/>
          <w:sz w:val="20"/>
          <w:szCs w:val="20"/>
        </w:rPr>
        <w:t>, 175: 158-167.</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Ayazi, Z. and Rafighi, P. (2015). Preparation and application of a carbon nanotube reinforced polyamide-based stir bar for sorptive extraction of naproxen from biological samples prior to its spectrofluorometric determination. </w:t>
      </w:r>
      <w:r w:rsidRPr="00476D33">
        <w:rPr>
          <w:rFonts w:ascii="Times New Roman" w:hAnsi="Times New Roman"/>
          <w:i/>
          <w:sz w:val="20"/>
          <w:szCs w:val="20"/>
        </w:rPr>
        <w:t>Analytical Methods</w:t>
      </w:r>
      <w:r w:rsidRPr="00411252">
        <w:rPr>
          <w:rFonts w:ascii="Times New Roman" w:hAnsi="Times New Roman"/>
          <w:sz w:val="20"/>
          <w:szCs w:val="20"/>
        </w:rPr>
        <w:t>, 7: 3200-3210.</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Wu, Q., Feng, C., Zhao, G., Wang, C. and Wang, Z. (2012). Graphene-coated fiber for solid-phase microextraction of triazine herbicides in water samples. </w:t>
      </w:r>
      <w:r w:rsidRPr="00476D33">
        <w:rPr>
          <w:rFonts w:ascii="Times New Roman" w:hAnsi="Times New Roman"/>
          <w:i/>
          <w:sz w:val="20"/>
          <w:szCs w:val="20"/>
        </w:rPr>
        <w:t>Journal of  Separation Sciences</w:t>
      </w:r>
      <w:r w:rsidRPr="00411252">
        <w:rPr>
          <w:rFonts w:ascii="Times New Roman" w:hAnsi="Times New Roman"/>
          <w:sz w:val="20"/>
          <w:szCs w:val="20"/>
        </w:rPr>
        <w:t>, 35: 193-199.</w:t>
      </w:r>
    </w:p>
    <w:p w:rsidR="00940140" w:rsidRDefault="00940140" w:rsidP="00940140">
      <w:pPr>
        <w:pStyle w:val="ListParagraph"/>
        <w:numPr>
          <w:ilvl w:val="0"/>
          <w:numId w:val="1"/>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Liu, D., Liu, X., Shen, Z., Wang, P., Liu, C. and Zhou, Z. (2014). Effervescence assisted on-site liquid phase microextraction for the determination of five triazine herbicides in water. </w:t>
      </w:r>
      <w:r w:rsidRPr="00476D33">
        <w:rPr>
          <w:rFonts w:ascii="Times New Roman" w:hAnsi="Times New Roman"/>
          <w:i/>
          <w:sz w:val="20"/>
          <w:szCs w:val="20"/>
        </w:rPr>
        <w:t>Journal of Chromatography A</w:t>
      </w:r>
      <w:r w:rsidRPr="00411252">
        <w:rPr>
          <w:rFonts w:ascii="Times New Roman" w:hAnsi="Times New Roman"/>
          <w:sz w:val="20"/>
          <w:szCs w:val="20"/>
        </w:rPr>
        <w:t>, 1371: 58-64.</w:t>
      </w:r>
    </w:p>
    <w:p w:rsidR="00940140" w:rsidRPr="00411252" w:rsidRDefault="00940140" w:rsidP="00940140">
      <w:pPr>
        <w:pStyle w:val="ListParagraph"/>
        <w:numPr>
          <w:ilvl w:val="0"/>
          <w:numId w:val="1"/>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Sanagi, M. M., See, H. H., Ibrahim, W. A.W. and Naim, A. A. (2010). Determination of triazine herbicides using membrane-protected carbon nanotubes solid phase membrane tip extraction prior to micro-liquid chromatography. </w:t>
      </w:r>
      <w:r w:rsidRPr="00476D33">
        <w:rPr>
          <w:rFonts w:ascii="Times New Roman" w:hAnsi="Times New Roman"/>
          <w:i/>
          <w:sz w:val="20"/>
          <w:szCs w:val="20"/>
        </w:rPr>
        <w:t>Journal of Chromatography A</w:t>
      </w:r>
      <w:r w:rsidRPr="00411252">
        <w:rPr>
          <w:rFonts w:ascii="Times New Roman" w:hAnsi="Times New Roman"/>
          <w:sz w:val="20"/>
          <w:szCs w:val="20"/>
        </w:rPr>
        <w:t>, 1217: 1767-1772.</w:t>
      </w:r>
    </w:p>
    <w:p w:rsidR="00940140" w:rsidRPr="00CC3447" w:rsidRDefault="00940140" w:rsidP="00940140">
      <w:pPr>
        <w:spacing w:after="0" w:line="240" w:lineRule="auto"/>
        <w:jc w:val="both"/>
        <w:rPr>
          <w:rFonts w:ascii="Times New Roman" w:hAnsi="Times New Roman"/>
          <w:sz w:val="20"/>
          <w:szCs w:val="20"/>
        </w:rPr>
        <w:sectPr w:rsidR="00940140" w:rsidRPr="00CC3447" w:rsidSect="00940140">
          <w:headerReference w:type="even" r:id="rId7"/>
          <w:headerReference w:type="default" r:id="rId8"/>
          <w:footerReference w:type="even" r:id="rId9"/>
          <w:footerReference w:type="default" r:id="rId10"/>
          <w:pgSz w:w="12240" w:h="15840" w:code="1"/>
          <w:pgMar w:top="1800" w:right="1469" w:bottom="1699" w:left="1440" w:header="706" w:footer="706" w:gutter="0"/>
          <w:pgNumType w:start="0"/>
          <w:cols w:space="708"/>
          <w:docGrid w:linePitch="360"/>
        </w:sectPr>
      </w:pPr>
      <w:r w:rsidRPr="00CC3447">
        <w:rPr>
          <w:rFonts w:ascii="Times New Roman" w:hAnsi="Times New Roman"/>
          <w:sz w:val="20"/>
          <w:szCs w:val="20"/>
        </w:rPr>
        <w:fldChar w:fldCharType="end"/>
      </w:r>
    </w:p>
    <w:p w:rsidR="00940140" w:rsidRPr="00CC3447" w:rsidRDefault="00940140" w:rsidP="00940140">
      <w:pPr>
        <w:spacing w:after="0" w:line="240" w:lineRule="auto"/>
        <w:jc w:val="both"/>
        <w:rPr>
          <w:rFonts w:ascii="Times New Roman" w:hAnsi="Times New Roman"/>
          <w:sz w:val="20"/>
          <w:szCs w:val="20"/>
        </w:rPr>
      </w:pPr>
    </w:p>
    <w:p w:rsidR="00940140" w:rsidRPr="00940140" w:rsidRDefault="00940140" w:rsidP="00940140">
      <w:pPr>
        <w:spacing w:after="0"/>
        <w:ind w:left="1260" w:hanging="1260"/>
        <w:jc w:val="both"/>
        <w:rPr>
          <w:rFonts w:ascii="Times New Roman" w:hAnsi="Times New Roman"/>
          <w:sz w:val="20"/>
          <w:szCs w:val="20"/>
          <w:lang w:val="ms-MY"/>
        </w:rPr>
      </w:pPr>
      <w:r w:rsidRPr="00CC3447">
        <w:rPr>
          <w:rFonts w:ascii="Times New Roman" w:hAnsi="Times New Roman"/>
          <w:sz w:val="20"/>
          <w:szCs w:val="20"/>
        </w:rPr>
        <w:fldChar w:fldCharType="end"/>
      </w:r>
    </w:p>
    <w:sectPr w:rsidR="00940140" w:rsidRPr="00940140" w:rsidSect="0094014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7F0C">
      <w:pPr>
        <w:spacing w:after="0" w:line="240" w:lineRule="auto"/>
      </w:pPr>
      <w:r>
        <w:separator/>
      </w:r>
    </w:p>
  </w:endnote>
  <w:endnote w:type="continuationSeparator" w:id="0">
    <w:p w:rsidR="00000000" w:rsidRDefault="000F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40" w:rsidRPr="008B5904" w:rsidRDefault="00940140">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Pr>
        <w:rFonts w:ascii="Times New Roman" w:hAnsi="Times New Roman"/>
        <w:noProof/>
      </w:rPr>
      <w:t>52</w:t>
    </w:r>
    <w:r w:rsidRPr="008B5904">
      <w:rPr>
        <w:rFonts w:ascii="Times New Roman" w:hAnsi="Times New Roman"/>
        <w:noProof/>
      </w:rPr>
      <w:fldChar w:fldCharType="end"/>
    </w:r>
  </w:p>
  <w:p w:rsidR="00940140" w:rsidRDefault="00940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40" w:rsidRPr="004B43FF" w:rsidRDefault="00940140">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7F0C">
      <w:pPr>
        <w:spacing w:after="0" w:line="240" w:lineRule="auto"/>
      </w:pPr>
      <w:r>
        <w:separator/>
      </w:r>
    </w:p>
  </w:footnote>
  <w:footnote w:type="continuationSeparator" w:id="0">
    <w:p w:rsidR="00000000" w:rsidRDefault="000F7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40" w:rsidRPr="008C3167" w:rsidRDefault="00940140" w:rsidP="008C3167">
    <w:pPr>
      <w:spacing w:after="0" w:line="240" w:lineRule="auto"/>
      <w:ind w:left="1530" w:hanging="1530"/>
      <w:rPr>
        <w:rFonts w:ascii="Times New Roman" w:hAnsi="Times New Roman"/>
        <w:sz w:val="20"/>
        <w:szCs w:val="20"/>
      </w:rPr>
    </w:pPr>
    <w:proofErr w:type="spellStart"/>
    <w:r>
      <w:rPr>
        <w:rFonts w:ascii="Times New Roman" w:hAnsi="Times New Roman"/>
        <w:sz w:val="20"/>
        <w:szCs w:val="20"/>
      </w:rPr>
      <w:t>Nurul</w:t>
    </w:r>
    <w:proofErr w:type="spellEnd"/>
    <w:r>
      <w:rPr>
        <w:rFonts w:ascii="Times New Roman" w:hAnsi="Times New Roman"/>
        <w:sz w:val="20"/>
        <w:szCs w:val="20"/>
      </w:rPr>
      <w:t xml:space="preserve"> </w:t>
    </w:r>
    <w:proofErr w:type="spellStart"/>
    <w:r>
      <w:rPr>
        <w:rFonts w:ascii="Times New Roman" w:hAnsi="Times New Roman"/>
        <w:sz w:val="20"/>
        <w:szCs w:val="20"/>
      </w:rPr>
      <w:t>Auni</w:t>
    </w:r>
    <w:proofErr w:type="spellEnd"/>
    <w:r>
      <w:rPr>
        <w:rFonts w:ascii="Times New Roman" w:hAnsi="Times New Roman"/>
        <w:sz w:val="20"/>
        <w:szCs w:val="20"/>
      </w:rPr>
      <w:t xml:space="preserve"> et al</w:t>
    </w:r>
    <w:r w:rsidRPr="008C3167">
      <w:rPr>
        <w:rFonts w:ascii="Times New Roman" w:hAnsi="Times New Roman"/>
        <w:sz w:val="20"/>
        <w:szCs w:val="20"/>
      </w:rPr>
      <w:t xml:space="preserve">:   </w:t>
    </w:r>
    <w:r>
      <w:rPr>
        <w:rFonts w:ascii="Times New Roman" w:hAnsi="Times New Roman"/>
        <w:sz w:val="20"/>
        <w:szCs w:val="20"/>
      </w:rPr>
      <w:tab/>
    </w:r>
    <w:r w:rsidRPr="008C3167">
      <w:rPr>
        <w:rFonts w:ascii="Times New Roman" w:hAnsi="Times New Roman"/>
        <w:sz w:val="20"/>
        <w:szCs w:val="20"/>
      </w:rPr>
      <w:t>ASSESSING STIR BAR SORPTIVE EXTRACTION FOR TRIAZINE HERBICIDES EXTRACTION BY USING A CENTRAL COMPOSITE DESIGN APPROACH</w:t>
    </w:r>
  </w:p>
  <w:p w:rsidR="00940140" w:rsidRPr="00070F31" w:rsidRDefault="00940140" w:rsidP="00070F31">
    <w:pPr>
      <w:autoSpaceDE w:val="0"/>
      <w:autoSpaceDN w:val="0"/>
      <w:adjustRightInd w:val="0"/>
      <w:spacing w:after="0" w:line="240" w:lineRule="auto"/>
      <w:ind w:left="1260" w:hanging="1260"/>
      <w:rPr>
        <w:rFonts w:ascii="Times New Roman" w:hAnsi="Times New Roman"/>
        <w:color w:val="3C3C3C"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40" w:rsidRPr="00F4760B" w:rsidRDefault="00940140"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33785"/>
    <w:multiLevelType w:val="hybridMultilevel"/>
    <w:tmpl w:val="7FD0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0"/>
    <w:rsid w:val="000F7F0C"/>
    <w:rsid w:val="00940140"/>
    <w:rsid w:val="00B5273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13771-ABF8-4E48-8FDA-C88A661E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140"/>
    <w:rPr>
      <w:rFonts w:ascii="Cambria" w:eastAsia="Times New Roman" w:hAnsi="Cambria" w:cs="Times New Roman"/>
      <w:lang w:bidi="en-US"/>
    </w:rPr>
  </w:style>
  <w:style w:type="paragraph" w:styleId="Heading1">
    <w:name w:val="heading 1"/>
    <w:basedOn w:val="Normal"/>
    <w:next w:val="Normal"/>
    <w:link w:val="Heading1Char"/>
    <w:uiPriority w:val="9"/>
    <w:qFormat/>
    <w:rsid w:val="00940140"/>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40"/>
    <w:rPr>
      <w:rFonts w:ascii="Cambria" w:eastAsia="Times New Roman" w:hAnsi="Cambria" w:cs="Times New Roman"/>
      <w:smallCaps/>
      <w:spacing w:val="5"/>
      <w:sz w:val="36"/>
      <w:szCs w:val="36"/>
      <w:lang w:val="x-none" w:eastAsia="x-none" w:bidi="en-US"/>
    </w:rPr>
  </w:style>
  <w:style w:type="paragraph" w:customStyle="1" w:styleId="AuthorAffiliation">
    <w:name w:val="Author Affiliation"/>
    <w:basedOn w:val="Normal"/>
    <w:rsid w:val="00940140"/>
    <w:pPr>
      <w:spacing w:after="0" w:line="240" w:lineRule="auto"/>
      <w:jc w:val="center"/>
    </w:pPr>
    <w:rPr>
      <w:rFonts w:ascii="Times New Roman" w:hAnsi="Times New Roman"/>
      <w:i/>
      <w:sz w:val="20"/>
      <w:szCs w:val="20"/>
      <w:lang w:bidi="ar-SA"/>
    </w:rPr>
  </w:style>
  <w:style w:type="paragraph" w:customStyle="1" w:styleId="Abstract">
    <w:name w:val="Abstract"/>
    <w:basedOn w:val="Normal"/>
    <w:next w:val="Heading1"/>
    <w:rsid w:val="00940140"/>
    <w:pPr>
      <w:spacing w:before="360" w:after="360" w:line="240" w:lineRule="auto"/>
      <w:ind w:left="289" w:right="289"/>
      <w:jc w:val="both"/>
    </w:pPr>
    <w:rPr>
      <w:rFonts w:ascii="Times New Roman" w:hAnsi="Times New Roman"/>
      <w:sz w:val="18"/>
      <w:szCs w:val="20"/>
      <w:lang w:bidi="ar-SA"/>
    </w:rPr>
  </w:style>
  <w:style w:type="paragraph" w:styleId="ListParagraph">
    <w:name w:val="List Paragraph"/>
    <w:basedOn w:val="Normal"/>
    <w:uiPriority w:val="34"/>
    <w:qFormat/>
    <w:rsid w:val="00940140"/>
    <w:pPr>
      <w:ind w:left="720"/>
      <w:contextualSpacing/>
    </w:pPr>
  </w:style>
  <w:style w:type="paragraph" w:styleId="Header">
    <w:name w:val="header"/>
    <w:basedOn w:val="Normal"/>
    <w:link w:val="HeaderChar"/>
    <w:uiPriority w:val="99"/>
    <w:unhideWhenUsed/>
    <w:rsid w:val="00940140"/>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940140"/>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940140"/>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940140"/>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1042</Words>
  <Characters>5940</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Keywords:  stir bar sorptive extraction, triazine herbicides, central composite </vt:lpstr>
      <vt:lpstr/>
      <vt:lpstr>Abstrak</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HP</cp:lastModifiedBy>
  <cp:revision>2</cp:revision>
  <dcterms:created xsi:type="dcterms:W3CDTF">2018-02-14T16:08:00Z</dcterms:created>
  <dcterms:modified xsi:type="dcterms:W3CDTF">2018-02-20T02:52:00Z</dcterms:modified>
</cp:coreProperties>
</file>