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82B" w:rsidRDefault="006E082B" w:rsidP="006E082B">
      <w:pPr>
        <w:spacing w:after="0" w:line="240" w:lineRule="auto"/>
        <w:outlineLvl w:val="0"/>
        <w:rPr>
          <w:rFonts w:ascii="Times New Roman" w:hAnsi="Times New Roman"/>
          <w:sz w:val="24"/>
          <w:szCs w:val="24"/>
          <w:lang w:val="en-GB"/>
        </w:rPr>
      </w:pPr>
      <w:r>
        <w:rPr>
          <w:rFonts w:ascii="Times New Roman" w:hAnsi="Times New Roman"/>
          <w:sz w:val="24"/>
          <w:szCs w:val="24"/>
          <w:lang w:val="en-GB"/>
        </w:rPr>
        <w:t>Malaysian Journal of Analytical Sciences Vol 22 No 1 (2018): 27 - 34</w:t>
      </w:r>
    </w:p>
    <w:p w:rsidR="006E082B" w:rsidRDefault="006E082B" w:rsidP="006E082B">
      <w:pPr>
        <w:spacing w:after="0" w:line="240" w:lineRule="auto"/>
        <w:outlineLvl w:val="0"/>
        <w:rPr>
          <w:rFonts w:ascii="Times New Roman" w:hAnsi="Times New Roman"/>
          <w:sz w:val="24"/>
          <w:szCs w:val="24"/>
          <w:lang w:val="en-GB"/>
        </w:rPr>
      </w:pPr>
    </w:p>
    <w:p w:rsidR="006E082B" w:rsidRDefault="006E082B" w:rsidP="006E082B">
      <w:pPr>
        <w:spacing w:after="0" w:line="240" w:lineRule="auto"/>
        <w:outlineLvl w:val="0"/>
        <w:rPr>
          <w:rFonts w:ascii="Times New Roman" w:hAnsi="Times New Roman"/>
          <w:sz w:val="24"/>
          <w:szCs w:val="24"/>
          <w:lang w:val="en-GB"/>
        </w:rPr>
      </w:pPr>
    </w:p>
    <w:p w:rsidR="006E082B" w:rsidRPr="006E082B" w:rsidRDefault="006E082B" w:rsidP="006E082B">
      <w:pPr>
        <w:spacing w:after="0" w:line="240" w:lineRule="auto"/>
        <w:outlineLvl w:val="0"/>
        <w:rPr>
          <w:rFonts w:ascii="Times New Roman" w:hAnsi="Times New Roman"/>
          <w:sz w:val="24"/>
          <w:szCs w:val="24"/>
          <w:lang w:val="en-GB"/>
        </w:rPr>
      </w:pPr>
    </w:p>
    <w:p w:rsidR="006E082B" w:rsidRPr="00771718" w:rsidRDefault="006E082B" w:rsidP="006E082B">
      <w:pPr>
        <w:spacing w:after="0" w:line="240" w:lineRule="auto"/>
        <w:jc w:val="center"/>
        <w:outlineLvl w:val="0"/>
        <w:rPr>
          <w:rFonts w:ascii="Times New Roman" w:hAnsi="Times New Roman"/>
          <w:sz w:val="24"/>
          <w:szCs w:val="24"/>
          <w:lang w:val="en-GB"/>
        </w:rPr>
      </w:pPr>
      <w:r w:rsidRPr="00771718">
        <w:rPr>
          <w:rFonts w:ascii="Times New Roman" w:hAnsi="Times New Roman"/>
          <w:sz w:val="28"/>
          <w:szCs w:val="28"/>
          <w:lang w:val="en-GB"/>
        </w:rPr>
        <w:t>COMPLEXATION OF 5,5,7,12,12,14-HEXAMETHYL-1,4,8,11-TETRAAZACYCLOTETRADECA-7,14-DIENIUM DIPERCHLORATE WITH COPPER(II) ACETATE MONOHYDRATE IN IONIC LIQUID</w:t>
      </w:r>
    </w:p>
    <w:p w:rsidR="006E082B" w:rsidRPr="00771718" w:rsidRDefault="006E082B" w:rsidP="006E082B">
      <w:pPr>
        <w:spacing w:after="0" w:line="240" w:lineRule="auto"/>
        <w:jc w:val="center"/>
        <w:outlineLvl w:val="0"/>
        <w:rPr>
          <w:rFonts w:ascii="Times New Roman" w:hAnsi="Times New Roman"/>
          <w:sz w:val="24"/>
          <w:szCs w:val="24"/>
          <w:lang w:val="en-GB"/>
        </w:rPr>
      </w:pPr>
    </w:p>
    <w:p w:rsidR="006E082B" w:rsidRPr="00771718" w:rsidRDefault="006E082B" w:rsidP="006E082B">
      <w:pPr>
        <w:spacing w:after="0" w:line="240" w:lineRule="auto"/>
        <w:jc w:val="center"/>
        <w:outlineLvl w:val="0"/>
        <w:rPr>
          <w:rFonts w:ascii="Times New Roman" w:hAnsi="Times New Roman"/>
          <w:sz w:val="24"/>
          <w:szCs w:val="24"/>
          <w:lang w:val="en-GB"/>
        </w:rPr>
      </w:pPr>
      <w:r w:rsidRPr="00771718">
        <w:rPr>
          <w:rFonts w:ascii="Times New Roman" w:hAnsi="Times New Roman"/>
          <w:sz w:val="24"/>
          <w:szCs w:val="24"/>
          <w:lang w:val="en-GB"/>
        </w:rPr>
        <w:t>(</w:t>
      </w:r>
      <w:r w:rsidRPr="00771718">
        <w:rPr>
          <w:rFonts w:ascii="Times New Roman" w:hAnsi="Times New Roman"/>
          <w:sz w:val="24"/>
          <w:szCs w:val="24"/>
          <w:lang w:val="ms-MY"/>
        </w:rPr>
        <w:t>Pengkompleksan 5,5,7,12,12,14-Heksametil-1,4,8,11-Tetraazasiklo tetraazadeka-7,14-Dienium Diperklorat dengan Kuprum(II) Asetat Monohidrat dalam Cecair Ionik</w:t>
      </w:r>
      <w:r w:rsidRPr="00771718">
        <w:rPr>
          <w:rFonts w:ascii="Times New Roman" w:hAnsi="Times New Roman"/>
          <w:sz w:val="24"/>
          <w:szCs w:val="24"/>
          <w:lang w:val="en-GB"/>
        </w:rPr>
        <w:t>)</w:t>
      </w:r>
    </w:p>
    <w:p w:rsidR="006E082B" w:rsidRPr="00050C92" w:rsidRDefault="006E082B" w:rsidP="006E082B">
      <w:pPr>
        <w:spacing w:after="0" w:line="240" w:lineRule="auto"/>
        <w:jc w:val="center"/>
        <w:outlineLvl w:val="0"/>
        <w:rPr>
          <w:rFonts w:ascii="Times New Roman" w:hAnsi="Times New Roman"/>
          <w:sz w:val="20"/>
          <w:szCs w:val="20"/>
          <w:lang w:val="en-GB"/>
        </w:rPr>
      </w:pPr>
    </w:p>
    <w:p w:rsidR="006E082B" w:rsidRPr="00050C92" w:rsidRDefault="006E082B" w:rsidP="006E082B">
      <w:pPr>
        <w:spacing w:after="0" w:line="240" w:lineRule="auto"/>
        <w:jc w:val="center"/>
        <w:outlineLvl w:val="0"/>
        <w:rPr>
          <w:rFonts w:ascii="Times New Roman" w:hAnsi="Times New Roman"/>
          <w:sz w:val="20"/>
          <w:szCs w:val="20"/>
          <w:lang w:val="en-GB"/>
        </w:rPr>
      </w:pPr>
      <w:r w:rsidRPr="00050C92">
        <w:rPr>
          <w:rFonts w:ascii="Times New Roman" w:hAnsi="Times New Roman"/>
          <w:sz w:val="20"/>
          <w:szCs w:val="20"/>
          <w:lang w:val="en-GB"/>
        </w:rPr>
        <w:t xml:space="preserve">Noorhanani M. Ali, </w:t>
      </w:r>
      <w:r w:rsidRPr="00050C92">
        <w:rPr>
          <w:rFonts w:ascii="Times New Roman" w:hAnsi="Times New Roman"/>
          <w:sz w:val="20"/>
          <w:szCs w:val="20"/>
          <w:lang w:val="en-MY"/>
        </w:rPr>
        <w:t xml:space="preserve">Nurzati Amani M. Zaid, </w:t>
      </w:r>
      <w:r w:rsidRPr="00050C92">
        <w:rPr>
          <w:rFonts w:ascii="Times New Roman" w:hAnsi="Times New Roman"/>
          <w:sz w:val="20"/>
          <w:szCs w:val="20"/>
          <w:lang w:val="en-GB"/>
        </w:rPr>
        <w:t>Nurul Huda Abd. Karim, Bohari M. Yamin, Nur Hasyareeda Hassan*</w:t>
      </w:r>
    </w:p>
    <w:p w:rsidR="006E082B" w:rsidRPr="006E082B" w:rsidRDefault="006E082B" w:rsidP="006E082B">
      <w:pPr>
        <w:spacing w:after="0" w:line="240" w:lineRule="auto"/>
        <w:jc w:val="center"/>
        <w:outlineLvl w:val="0"/>
        <w:rPr>
          <w:rFonts w:ascii="Times New Roman" w:hAnsi="Times New Roman"/>
          <w:sz w:val="20"/>
          <w:szCs w:val="20"/>
          <w:lang w:val="en-GB"/>
        </w:rPr>
      </w:pPr>
    </w:p>
    <w:p w:rsidR="006E082B" w:rsidRPr="006E082B" w:rsidRDefault="006E082B" w:rsidP="006E082B">
      <w:pPr>
        <w:spacing w:after="0" w:line="240" w:lineRule="auto"/>
        <w:jc w:val="center"/>
        <w:outlineLvl w:val="0"/>
        <w:rPr>
          <w:rFonts w:ascii="Times New Roman" w:hAnsi="Times New Roman"/>
          <w:i/>
          <w:sz w:val="20"/>
          <w:szCs w:val="20"/>
          <w:lang w:val="en-GB"/>
        </w:rPr>
      </w:pPr>
      <w:r w:rsidRPr="006E082B">
        <w:rPr>
          <w:rFonts w:ascii="Times New Roman" w:hAnsi="Times New Roman"/>
          <w:i/>
          <w:sz w:val="20"/>
          <w:szCs w:val="20"/>
          <w:lang w:val="en-GB"/>
        </w:rPr>
        <w:t xml:space="preserve">School of Chemical Sciences and Food Technology, </w:t>
      </w:r>
    </w:p>
    <w:p w:rsidR="006E082B" w:rsidRPr="006E082B" w:rsidRDefault="006E082B" w:rsidP="006E082B">
      <w:pPr>
        <w:spacing w:after="0" w:line="240" w:lineRule="auto"/>
        <w:jc w:val="center"/>
        <w:outlineLvl w:val="0"/>
        <w:rPr>
          <w:rFonts w:ascii="Times New Roman" w:hAnsi="Times New Roman"/>
          <w:i/>
          <w:sz w:val="20"/>
          <w:szCs w:val="20"/>
          <w:lang w:val="en-GB"/>
        </w:rPr>
      </w:pPr>
      <w:r w:rsidRPr="006E082B">
        <w:rPr>
          <w:rFonts w:ascii="Times New Roman" w:hAnsi="Times New Roman"/>
          <w:i/>
          <w:sz w:val="20"/>
          <w:szCs w:val="20"/>
          <w:lang w:val="en-GB"/>
        </w:rPr>
        <w:t>Faculty of Science and Technology,</w:t>
      </w:r>
    </w:p>
    <w:p w:rsidR="006E082B" w:rsidRPr="006E082B" w:rsidRDefault="006E082B" w:rsidP="006E082B">
      <w:pPr>
        <w:spacing w:after="0" w:line="240" w:lineRule="auto"/>
        <w:jc w:val="center"/>
        <w:outlineLvl w:val="0"/>
        <w:rPr>
          <w:rFonts w:ascii="Times New Roman" w:hAnsi="Times New Roman"/>
          <w:i/>
          <w:sz w:val="20"/>
          <w:szCs w:val="20"/>
          <w:lang w:val="es-ES"/>
        </w:rPr>
      </w:pPr>
      <w:r w:rsidRPr="006E082B">
        <w:rPr>
          <w:rFonts w:ascii="Times New Roman" w:hAnsi="Times New Roman"/>
          <w:i/>
          <w:sz w:val="20"/>
          <w:szCs w:val="20"/>
          <w:lang w:val="es-ES"/>
        </w:rPr>
        <w:t>Universiti Kebangsaan Malaysia, 43600 UKM Bangi, Selangor, Malaysia</w:t>
      </w:r>
    </w:p>
    <w:p w:rsidR="006E082B" w:rsidRPr="006E082B" w:rsidRDefault="006E082B" w:rsidP="006E082B">
      <w:pPr>
        <w:spacing w:after="0" w:line="240" w:lineRule="auto"/>
        <w:jc w:val="center"/>
        <w:outlineLvl w:val="0"/>
        <w:rPr>
          <w:rFonts w:ascii="Times New Roman" w:hAnsi="Times New Roman"/>
          <w:i/>
          <w:sz w:val="20"/>
          <w:szCs w:val="20"/>
          <w:lang w:val="es-ES"/>
        </w:rPr>
      </w:pPr>
    </w:p>
    <w:p w:rsidR="006E082B" w:rsidRPr="006E082B" w:rsidRDefault="006E082B" w:rsidP="006E082B">
      <w:pPr>
        <w:spacing w:after="0" w:line="240" w:lineRule="auto"/>
        <w:jc w:val="center"/>
        <w:outlineLvl w:val="0"/>
        <w:rPr>
          <w:rFonts w:ascii="Times New Roman" w:hAnsi="Times New Roman"/>
          <w:i/>
          <w:sz w:val="20"/>
          <w:szCs w:val="20"/>
          <w:lang w:val="en-GB"/>
        </w:rPr>
      </w:pPr>
      <w:r w:rsidRPr="006E082B">
        <w:rPr>
          <w:rFonts w:ascii="Times New Roman" w:hAnsi="Times New Roman"/>
          <w:i/>
          <w:sz w:val="20"/>
          <w:szCs w:val="20"/>
          <w:vertAlign w:val="superscript"/>
          <w:lang w:val="en-GB"/>
        </w:rPr>
        <w:t>*</w:t>
      </w:r>
      <w:r w:rsidRPr="006E082B">
        <w:rPr>
          <w:rFonts w:ascii="Times New Roman" w:hAnsi="Times New Roman"/>
          <w:i/>
          <w:sz w:val="20"/>
          <w:szCs w:val="20"/>
          <w:lang w:val="en-GB"/>
        </w:rPr>
        <w:t>Corresponding author:  syareeda@ukm.edu.my</w:t>
      </w:r>
    </w:p>
    <w:p w:rsidR="006E082B" w:rsidRPr="006E082B" w:rsidRDefault="006E082B" w:rsidP="006E082B">
      <w:pPr>
        <w:spacing w:after="0" w:line="240" w:lineRule="auto"/>
        <w:jc w:val="center"/>
        <w:rPr>
          <w:rFonts w:ascii="Times New Roman" w:hAnsi="Times New Roman"/>
          <w:noProof/>
          <w:sz w:val="20"/>
          <w:szCs w:val="20"/>
          <w:lang w:bidi="ar-SA"/>
        </w:rPr>
      </w:pPr>
    </w:p>
    <w:p w:rsidR="006E082B" w:rsidRPr="006E082B" w:rsidRDefault="006E082B" w:rsidP="006E082B">
      <w:pPr>
        <w:spacing w:after="0" w:line="240" w:lineRule="auto"/>
        <w:jc w:val="center"/>
        <w:rPr>
          <w:rFonts w:ascii="Times New Roman" w:hAnsi="Times New Roman"/>
          <w:noProof/>
          <w:sz w:val="20"/>
          <w:szCs w:val="20"/>
          <w:lang w:bidi="ar-SA"/>
        </w:rPr>
      </w:pPr>
    </w:p>
    <w:p w:rsidR="006E082B" w:rsidRPr="006E082B" w:rsidRDefault="006E082B" w:rsidP="006E082B">
      <w:pPr>
        <w:spacing w:after="0" w:line="240" w:lineRule="auto"/>
        <w:jc w:val="center"/>
        <w:rPr>
          <w:rFonts w:ascii="Times New Roman" w:hAnsi="Times New Roman"/>
          <w:noProof/>
          <w:sz w:val="20"/>
          <w:szCs w:val="20"/>
          <w:lang w:bidi="ar-SA"/>
        </w:rPr>
      </w:pPr>
      <w:r w:rsidRPr="006E082B">
        <w:rPr>
          <w:rFonts w:ascii="Times New Roman" w:hAnsi="Times New Roman"/>
          <w:noProof/>
          <w:sz w:val="20"/>
          <w:szCs w:val="20"/>
          <w:lang w:bidi="ar-SA"/>
        </w:rPr>
        <w:t>Received: 4 September 2017; Accepted: 19 December 2017</w:t>
      </w:r>
    </w:p>
    <w:p w:rsidR="006E082B" w:rsidRPr="006E082B" w:rsidRDefault="006E082B" w:rsidP="006E082B">
      <w:pPr>
        <w:spacing w:after="0" w:line="240" w:lineRule="auto"/>
        <w:jc w:val="center"/>
        <w:rPr>
          <w:rFonts w:ascii="Times New Roman" w:hAnsi="Times New Roman"/>
          <w:noProof/>
          <w:sz w:val="20"/>
          <w:szCs w:val="20"/>
          <w:lang w:bidi="ar-SA"/>
        </w:rPr>
      </w:pPr>
    </w:p>
    <w:p w:rsidR="006E082B" w:rsidRPr="006E082B" w:rsidRDefault="006E082B" w:rsidP="006E082B">
      <w:pPr>
        <w:spacing w:after="0" w:line="240" w:lineRule="auto"/>
        <w:jc w:val="center"/>
        <w:rPr>
          <w:rFonts w:ascii="Times New Roman" w:hAnsi="Times New Roman"/>
          <w:noProof/>
          <w:sz w:val="20"/>
          <w:szCs w:val="20"/>
          <w:lang w:bidi="ar-SA"/>
        </w:rPr>
      </w:pPr>
    </w:p>
    <w:p w:rsidR="006E082B" w:rsidRPr="006E082B" w:rsidRDefault="006E082B" w:rsidP="006E082B">
      <w:pPr>
        <w:spacing w:after="0" w:line="240" w:lineRule="auto"/>
        <w:jc w:val="center"/>
        <w:rPr>
          <w:rFonts w:ascii="Times New Roman" w:hAnsi="Times New Roman"/>
          <w:b/>
          <w:noProof/>
          <w:sz w:val="20"/>
          <w:szCs w:val="20"/>
          <w:lang w:bidi="ar-SA"/>
        </w:rPr>
      </w:pPr>
      <w:r w:rsidRPr="006E082B">
        <w:rPr>
          <w:rFonts w:ascii="Times New Roman" w:hAnsi="Times New Roman"/>
          <w:b/>
          <w:noProof/>
          <w:sz w:val="20"/>
          <w:szCs w:val="20"/>
          <w:lang w:bidi="ar-SA"/>
        </w:rPr>
        <w:t>Abstract</w:t>
      </w:r>
    </w:p>
    <w:p w:rsidR="006E082B" w:rsidRPr="006E082B" w:rsidRDefault="006E082B" w:rsidP="006E082B">
      <w:pPr>
        <w:pStyle w:val="Default"/>
        <w:jc w:val="both"/>
        <w:rPr>
          <w:color w:val="auto"/>
          <w:sz w:val="20"/>
          <w:szCs w:val="20"/>
          <w:lang w:val="en-GB"/>
        </w:rPr>
      </w:pPr>
      <w:r w:rsidRPr="006E082B">
        <w:rPr>
          <w:color w:val="auto"/>
          <w:sz w:val="20"/>
          <w:szCs w:val="20"/>
          <w:lang w:val="en-GB"/>
        </w:rPr>
        <w:t>In the previous study, 5,5,7,12,12,14–hexamethyl–1,4,8,11–tetraazacyclotetradeca–7,14–dienium diperchlorate, [Me</w:t>
      </w:r>
      <w:r w:rsidRPr="006E082B">
        <w:rPr>
          <w:color w:val="auto"/>
          <w:sz w:val="20"/>
          <w:szCs w:val="20"/>
          <w:vertAlign w:val="subscript"/>
          <w:lang w:val="en-GB"/>
        </w:rPr>
        <w:t>6</w:t>
      </w:r>
      <w:r w:rsidRPr="006E082B">
        <w:rPr>
          <w:color w:val="auto"/>
          <w:sz w:val="20"/>
          <w:szCs w:val="20"/>
          <w:lang w:val="en-GB"/>
        </w:rPr>
        <w:t>C</w:t>
      </w:r>
      <w:r w:rsidRPr="006E082B">
        <w:rPr>
          <w:color w:val="auto"/>
          <w:sz w:val="20"/>
          <w:szCs w:val="20"/>
          <w:vertAlign w:val="subscript"/>
          <w:lang w:val="en-GB"/>
        </w:rPr>
        <w:t>10</w:t>
      </w:r>
      <w:r w:rsidRPr="006E082B">
        <w:rPr>
          <w:color w:val="auto"/>
          <w:sz w:val="20"/>
          <w:szCs w:val="20"/>
          <w:lang w:val="en-GB"/>
        </w:rPr>
        <w:t>H</w:t>
      </w:r>
      <w:r w:rsidRPr="006E082B">
        <w:rPr>
          <w:color w:val="auto"/>
          <w:sz w:val="20"/>
          <w:szCs w:val="20"/>
          <w:vertAlign w:val="subscript"/>
          <w:lang w:val="en-GB"/>
        </w:rPr>
        <w:t>16</w:t>
      </w:r>
      <w:r w:rsidRPr="006E082B">
        <w:rPr>
          <w:color w:val="auto"/>
          <w:sz w:val="20"/>
          <w:szCs w:val="20"/>
          <w:lang w:val="en-GB"/>
        </w:rPr>
        <w:t>N</w:t>
      </w:r>
      <w:r w:rsidRPr="006E082B">
        <w:rPr>
          <w:color w:val="auto"/>
          <w:sz w:val="20"/>
          <w:szCs w:val="20"/>
          <w:vertAlign w:val="subscript"/>
          <w:lang w:val="en-GB"/>
        </w:rPr>
        <w:t>4</w:t>
      </w:r>
      <w:r w:rsidRPr="006E082B">
        <w:rPr>
          <w:color w:val="auto"/>
          <w:sz w:val="20"/>
          <w:szCs w:val="20"/>
          <w:lang w:val="en-GB"/>
        </w:rPr>
        <w:t>](ClO</w:t>
      </w:r>
      <w:r w:rsidRPr="006E082B">
        <w:rPr>
          <w:color w:val="auto"/>
          <w:sz w:val="20"/>
          <w:szCs w:val="20"/>
          <w:vertAlign w:val="subscript"/>
          <w:lang w:val="en-GB"/>
        </w:rPr>
        <w:t>4</w:t>
      </w:r>
      <w:r w:rsidRPr="006E082B">
        <w:rPr>
          <w:color w:val="auto"/>
          <w:sz w:val="20"/>
          <w:szCs w:val="20"/>
          <w:lang w:val="en-GB"/>
        </w:rPr>
        <w:t>)</w:t>
      </w:r>
      <w:r w:rsidRPr="006E082B">
        <w:rPr>
          <w:color w:val="auto"/>
          <w:sz w:val="20"/>
          <w:szCs w:val="20"/>
          <w:vertAlign w:val="subscript"/>
          <w:lang w:val="en-GB"/>
        </w:rPr>
        <w:t>2</w:t>
      </w:r>
      <w:r w:rsidRPr="006E082B">
        <w:rPr>
          <w:color w:val="auto"/>
          <w:sz w:val="20"/>
          <w:szCs w:val="20"/>
          <w:lang w:val="en-GB"/>
        </w:rPr>
        <w:t xml:space="preserve"> formed complex of C</w:t>
      </w:r>
      <w:r w:rsidRPr="006E082B">
        <w:rPr>
          <w:color w:val="auto"/>
          <w:sz w:val="20"/>
          <w:szCs w:val="20"/>
          <w:vertAlign w:val="subscript"/>
          <w:lang w:val="en-GB"/>
        </w:rPr>
        <w:t>16</w:t>
      </w:r>
      <w:r w:rsidRPr="006E082B">
        <w:rPr>
          <w:color w:val="auto"/>
          <w:sz w:val="20"/>
          <w:szCs w:val="20"/>
          <w:lang w:val="en-GB"/>
        </w:rPr>
        <w:t>H</w:t>
      </w:r>
      <w:r w:rsidRPr="006E082B">
        <w:rPr>
          <w:color w:val="auto"/>
          <w:sz w:val="20"/>
          <w:szCs w:val="20"/>
          <w:vertAlign w:val="subscript"/>
          <w:lang w:val="en-GB"/>
        </w:rPr>
        <w:t>34</w:t>
      </w:r>
      <w:r w:rsidRPr="006E082B">
        <w:rPr>
          <w:color w:val="auto"/>
          <w:sz w:val="20"/>
          <w:szCs w:val="20"/>
          <w:lang w:val="en-GB"/>
        </w:rPr>
        <w:t>N</w:t>
      </w:r>
      <w:r w:rsidRPr="006E082B">
        <w:rPr>
          <w:color w:val="auto"/>
          <w:sz w:val="20"/>
          <w:szCs w:val="20"/>
          <w:vertAlign w:val="subscript"/>
          <w:lang w:val="en-GB"/>
        </w:rPr>
        <w:t>4</w:t>
      </w:r>
      <w:r w:rsidRPr="006E082B">
        <w:rPr>
          <w:color w:val="auto"/>
          <w:sz w:val="20"/>
          <w:szCs w:val="20"/>
          <w:lang w:val="en-GB"/>
        </w:rPr>
        <w:t>OCu(ClO</w:t>
      </w:r>
      <w:r w:rsidRPr="006E082B">
        <w:rPr>
          <w:color w:val="auto"/>
          <w:sz w:val="20"/>
          <w:szCs w:val="20"/>
          <w:vertAlign w:val="subscript"/>
          <w:lang w:val="en-GB"/>
        </w:rPr>
        <w:t>4</w:t>
      </w:r>
      <w:r w:rsidRPr="006E082B">
        <w:rPr>
          <w:color w:val="auto"/>
          <w:sz w:val="20"/>
          <w:szCs w:val="20"/>
          <w:lang w:val="en-GB"/>
        </w:rPr>
        <w:t>)</w:t>
      </w:r>
      <w:r w:rsidRPr="006E082B">
        <w:rPr>
          <w:color w:val="auto"/>
          <w:sz w:val="20"/>
          <w:szCs w:val="20"/>
          <w:vertAlign w:val="subscript"/>
          <w:lang w:val="en-GB"/>
        </w:rPr>
        <w:t>2</w:t>
      </w:r>
      <w:r w:rsidRPr="006E082B">
        <w:rPr>
          <w:color w:val="auto"/>
          <w:sz w:val="20"/>
          <w:szCs w:val="20"/>
          <w:lang w:val="en-GB"/>
        </w:rPr>
        <w:t xml:space="preserve"> and C</w:t>
      </w:r>
      <w:r w:rsidRPr="006E082B">
        <w:rPr>
          <w:color w:val="auto"/>
          <w:sz w:val="20"/>
          <w:szCs w:val="20"/>
          <w:vertAlign w:val="subscript"/>
          <w:lang w:val="en-GB"/>
        </w:rPr>
        <w:t>16</w:t>
      </w:r>
      <w:r w:rsidRPr="006E082B">
        <w:rPr>
          <w:color w:val="auto"/>
          <w:sz w:val="20"/>
          <w:szCs w:val="20"/>
          <w:lang w:val="en-GB"/>
        </w:rPr>
        <w:t>H</w:t>
      </w:r>
      <w:r w:rsidRPr="006E082B">
        <w:rPr>
          <w:color w:val="auto"/>
          <w:sz w:val="20"/>
          <w:szCs w:val="20"/>
          <w:vertAlign w:val="subscript"/>
          <w:lang w:val="en-GB"/>
        </w:rPr>
        <w:t>32</w:t>
      </w:r>
      <w:r w:rsidRPr="006E082B">
        <w:rPr>
          <w:color w:val="auto"/>
          <w:sz w:val="20"/>
          <w:szCs w:val="20"/>
          <w:lang w:val="en-GB"/>
        </w:rPr>
        <w:t>N</w:t>
      </w:r>
      <w:r w:rsidRPr="006E082B">
        <w:rPr>
          <w:color w:val="auto"/>
          <w:sz w:val="20"/>
          <w:szCs w:val="20"/>
          <w:vertAlign w:val="subscript"/>
          <w:lang w:val="en-GB"/>
        </w:rPr>
        <w:t>4</w:t>
      </w:r>
      <w:r w:rsidRPr="006E082B">
        <w:rPr>
          <w:color w:val="auto"/>
          <w:sz w:val="20"/>
          <w:szCs w:val="20"/>
          <w:lang w:val="en-GB"/>
        </w:rPr>
        <w:t>Cu(ClO</w:t>
      </w:r>
      <w:r w:rsidRPr="006E082B">
        <w:rPr>
          <w:color w:val="auto"/>
          <w:sz w:val="20"/>
          <w:szCs w:val="20"/>
          <w:vertAlign w:val="subscript"/>
          <w:lang w:val="en-GB"/>
        </w:rPr>
        <w:t>4</w:t>
      </w:r>
      <w:r w:rsidRPr="006E082B">
        <w:rPr>
          <w:color w:val="auto"/>
          <w:sz w:val="20"/>
          <w:szCs w:val="20"/>
          <w:lang w:val="en-GB"/>
        </w:rPr>
        <w:t>)</w:t>
      </w:r>
      <w:r w:rsidRPr="006E082B">
        <w:rPr>
          <w:color w:val="auto"/>
          <w:sz w:val="20"/>
          <w:szCs w:val="20"/>
          <w:vertAlign w:val="subscript"/>
          <w:lang w:val="en-GB"/>
        </w:rPr>
        <w:t>2</w:t>
      </w:r>
      <w:r w:rsidRPr="006E082B">
        <w:rPr>
          <w:color w:val="auto"/>
          <w:sz w:val="20"/>
          <w:szCs w:val="20"/>
          <w:lang w:val="en-GB"/>
        </w:rPr>
        <w:t xml:space="preserve"> when reacted with copper(II) acetate monohydrate in acetonitrile and aqueous solutions, respectively. However, when the same reaction carried out in </w:t>
      </w:r>
      <w:r w:rsidRPr="006E082B">
        <w:rPr>
          <w:color w:val="auto"/>
          <w:sz w:val="20"/>
          <w:szCs w:val="20"/>
          <w:shd w:val="clear" w:color="auto" w:fill="FFFFFF"/>
          <w:lang w:val="en-GB"/>
        </w:rPr>
        <w:t>1</w:t>
      </w:r>
      <w:r w:rsidRPr="006E082B">
        <w:rPr>
          <w:color w:val="auto"/>
          <w:sz w:val="20"/>
          <w:szCs w:val="20"/>
          <w:lang w:val="en-GB"/>
        </w:rPr>
        <w:t>–</w:t>
      </w:r>
      <w:r w:rsidRPr="006E082B">
        <w:rPr>
          <w:color w:val="auto"/>
          <w:sz w:val="20"/>
          <w:szCs w:val="20"/>
          <w:shd w:val="clear" w:color="auto" w:fill="FFFFFF"/>
          <w:lang w:val="en-GB"/>
        </w:rPr>
        <w:t>butyl</w:t>
      </w:r>
      <w:r w:rsidRPr="006E082B">
        <w:rPr>
          <w:color w:val="auto"/>
          <w:sz w:val="20"/>
          <w:szCs w:val="20"/>
          <w:lang w:val="en-GB"/>
        </w:rPr>
        <w:t>–</w:t>
      </w:r>
      <w:r w:rsidRPr="006E082B">
        <w:rPr>
          <w:color w:val="auto"/>
          <w:sz w:val="20"/>
          <w:szCs w:val="20"/>
          <w:shd w:val="clear" w:color="auto" w:fill="FFFFFF"/>
          <w:lang w:val="en-GB"/>
        </w:rPr>
        <w:t>3</w:t>
      </w:r>
      <w:r w:rsidRPr="006E082B">
        <w:rPr>
          <w:color w:val="auto"/>
          <w:sz w:val="20"/>
          <w:szCs w:val="20"/>
          <w:lang w:val="en-GB"/>
        </w:rPr>
        <w:t>–</w:t>
      </w:r>
      <w:r w:rsidRPr="006E082B">
        <w:rPr>
          <w:color w:val="auto"/>
          <w:sz w:val="20"/>
          <w:szCs w:val="20"/>
          <w:shd w:val="clear" w:color="auto" w:fill="FFFFFF"/>
          <w:lang w:val="en-GB"/>
        </w:rPr>
        <w:t>methylimidazolium hexafluorophosphate ionic liquid, [Bmim][PF</w:t>
      </w:r>
      <w:r w:rsidRPr="006E082B">
        <w:rPr>
          <w:color w:val="auto"/>
          <w:sz w:val="20"/>
          <w:szCs w:val="20"/>
          <w:shd w:val="clear" w:color="auto" w:fill="FFFFFF"/>
          <w:vertAlign w:val="subscript"/>
          <w:lang w:val="en-GB"/>
        </w:rPr>
        <w:t>6</w:t>
      </w:r>
      <w:r w:rsidRPr="006E082B">
        <w:rPr>
          <w:color w:val="auto"/>
          <w:sz w:val="20"/>
          <w:szCs w:val="20"/>
          <w:shd w:val="clear" w:color="auto" w:fill="FFFFFF"/>
          <w:lang w:val="en-GB"/>
        </w:rPr>
        <w:t>],</w:t>
      </w:r>
      <w:r w:rsidRPr="006E082B">
        <w:rPr>
          <w:color w:val="auto"/>
          <w:sz w:val="20"/>
          <w:szCs w:val="20"/>
          <w:lang w:val="en-GB"/>
        </w:rPr>
        <w:t xml:space="preserve"> disproportionation took place to give bis(ethylenediamine) bis(perchlorato-O) copper(II) complex, C</w:t>
      </w:r>
      <w:r w:rsidRPr="006E082B">
        <w:rPr>
          <w:color w:val="auto"/>
          <w:sz w:val="20"/>
          <w:szCs w:val="20"/>
          <w:vertAlign w:val="subscript"/>
          <w:lang w:val="en-GB"/>
        </w:rPr>
        <w:t>4</w:t>
      </w:r>
      <w:r w:rsidRPr="006E082B">
        <w:rPr>
          <w:color w:val="auto"/>
          <w:sz w:val="20"/>
          <w:szCs w:val="20"/>
          <w:lang w:val="en-GB"/>
        </w:rPr>
        <w:t>H</w:t>
      </w:r>
      <w:r w:rsidRPr="006E082B">
        <w:rPr>
          <w:color w:val="auto"/>
          <w:sz w:val="20"/>
          <w:szCs w:val="20"/>
          <w:vertAlign w:val="subscript"/>
          <w:lang w:val="en-GB"/>
        </w:rPr>
        <w:t>16</w:t>
      </w:r>
      <w:r w:rsidRPr="006E082B">
        <w:rPr>
          <w:color w:val="auto"/>
          <w:sz w:val="20"/>
          <w:szCs w:val="20"/>
          <w:lang w:val="en-GB"/>
        </w:rPr>
        <w:t>N</w:t>
      </w:r>
      <w:r w:rsidRPr="006E082B">
        <w:rPr>
          <w:color w:val="auto"/>
          <w:sz w:val="20"/>
          <w:szCs w:val="20"/>
          <w:vertAlign w:val="subscript"/>
          <w:lang w:val="en-GB"/>
        </w:rPr>
        <w:t>4</w:t>
      </w:r>
      <w:r w:rsidRPr="006E082B">
        <w:rPr>
          <w:color w:val="auto"/>
          <w:sz w:val="20"/>
          <w:szCs w:val="20"/>
          <w:lang w:val="en-GB"/>
        </w:rPr>
        <w:t>Cu(ClO</w:t>
      </w:r>
      <w:r w:rsidRPr="006E082B">
        <w:rPr>
          <w:color w:val="auto"/>
          <w:sz w:val="20"/>
          <w:szCs w:val="20"/>
          <w:vertAlign w:val="subscript"/>
          <w:lang w:val="en-GB"/>
        </w:rPr>
        <w:t>4</w:t>
      </w:r>
      <w:r w:rsidRPr="006E082B">
        <w:rPr>
          <w:color w:val="auto"/>
          <w:sz w:val="20"/>
          <w:szCs w:val="20"/>
          <w:lang w:val="en-GB"/>
        </w:rPr>
        <w:t>)</w:t>
      </w:r>
      <w:r w:rsidRPr="006E082B">
        <w:rPr>
          <w:color w:val="auto"/>
          <w:sz w:val="20"/>
          <w:szCs w:val="20"/>
          <w:vertAlign w:val="subscript"/>
          <w:lang w:val="en-GB"/>
        </w:rPr>
        <w:t>2</w:t>
      </w:r>
      <w:r w:rsidRPr="006E082B">
        <w:rPr>
          <w:color w:val="auto"/>
          <w:sz w:val="20"/>
          <w:szCs w:val="20"/>
          <w:lang w:val="en-GB"/>
        </w:rPr>
        <w:t xml:space="preserve">. X-ray study showed that the central copper atom was coordinated to two ethylenediamine ligands and two oxygen atoms of perchlorate ions in a distorted octahedral environment. Thermogravimetric Analysis (TGA) study showed the complex decomposition in one spontaneous mass loss at </w:t>
      </w:r>
      <w:r w:rsidRPr="006E082B">
        <w:rPr>
          <w:color w:val="auto"/>
          <w:sz w:val="20"/>
          <w:szCs w:val="20"/>
          <w:shd w:val="clear" w:color="auto" w:fill="FFFFFF"/>
          <w:lang w:val="en-GB"/>
        </w:rPr>
        <w:t xml:space="preserve">260 ºC due to the explosive nature of the perchlorate. </w:t>
      </w:r>
    </w:p>
    <w:p w:rsidR="006E082B" w:rsidRPr="006E082B" w:rsidRDefault="006E082B" w:rsidP="006E082B">
      <w:pPr>
        <w:adjustRightInd w:val="0"/>
        <w:spacing w:after="0" w:line="240" w:lineRule="auto"/>
        <w:jc w:val="both"/>
        <w:rPr>
          <w:rFonts w:ascii="Times New Roman" w:hAnsi="Times New Roman"/>
          <w:b/>
          <w:sz w:val="20"/>
          <w:szCs w:val="20"/>
          <w:lang w:val="en-GB"/>
        </w:rPr>
      </w:pPr>
    </w:p>
    <w:p w:rsidR="006E082B" w:rsidRPr="006E082B" w:rsidRDefault="006E082B" w:rsidP="006E082B">
      <w:pPr>
        <w:adjustRightInd w:val="0"/>
        <w:spacing w:after="0" w:line="240" w:lineRule="auto"/>
        <w:jc w:val="both"/>
        <w:rPr>
          <w:rFonts w:ascii="Times New Roman" w:hAnsi="Times New Roman"/>
          <w:sz w:val="20"/>
          <w:szCs w:val="20"/>
          <w:lang w:val="en-GB"/>
        </w:rPr>
      </w:pPr>
      <w:r w:rsidRPr="006E082B">
        <w:rPr>
          <w:rFonts w:ascii="Times New Roman" w:hAnsi="Times New Roman"/>
          <w:b/>
          <w:sz w:val="20"/>
          <w:szCs w:val="20"/>
          <w:lang w:val="en-GB"/>
        </w:rPr>
        <w:t>Keywords</w:t>
      </w:r>
      <w:r w:rsidRPr="006E082B">
        <w:rPr>
          <w:rFonts w:ascii="Times New Roman" w:hAnsi="Times New Roman"/>
          <w:sz w:val="20"/>
          <w:szCs w:val="20"/>
          <w:lang w:val="en-GB"/>
        </w:rPr>
        <w:t>:  ionic liquid, disproportionation, copper(II) complex</w:t>
      </w:r>
    </w:p>
    <w:p w:rsidR="006E082B" w:rsidRPr="006E082B" w:rsidRDefault="006E082B" w:rsidP="006E082B">
      <w:pPr>
        <w:adjustRightInd w:val="0"/>
        <w:spacing w:after="0" w:line="240" w:lineRule="auto"/>
        <w:jc w:val="center"/>
        <w:rPr>
          <w:rFonts w:ascii="Times New Roman" w:hAnsi="Times New Roman"/>
          <w:sz w:val="20"/>
          <w:szCs w:val="20"/>
          <w:lang w:val="en-GB"/>
        </w:rPr>
      </w:pPr>
    </w:p>
    <w:p w:rsidR="006E082B" w:rsidRPr="006E082B" w:rsidRDefault="006E082B" w:rsidP="006E082B">
      <w:pPr>
        <w:adjustRightInd w:val="0"/>
        <w:spacing w:after="0" w:line="240" w:lineRule="auto"/>
        <w:jc w:val="center"/>
        <w:rPr>
          <w:rFonts w:ascii="Times New Roman" w:hAnsi="Times New Roman"/>
          <w:b/>
          <w:bCs/>
          <w:noProof/>
          <w:sz w:val="20"/>
          <w:szCs w:val="20"/>
          <w:lang w:val="ms-MY"/>
        </w:rPr>
      </w:pPr>
      <w:r w:rsidRPr="006E082B">
        <w:rPr>
          <w:rFonts w:ascii="Times New Roman" w:hAnsi="Times New Roman"/>
          <w:b/>
          <w:bCs/>
          <w:noProof/>
          <w:sz w:val="20"/>
          <w:szCs w:val="20"/>
          <w:lang w:val="ms-MY"/>
        </w:rPr>
        <w:t>Abstrak</w:t>
      </w:r>
    </w:p>
    <w:p w:rsidR="006E082B" w:rsidRPr="006E082B" w:rsidRDefault="006E082B" w:rsidP="006E082B">
      <w:pPr>
        <w:adjustRightInd w:val="0"/>
        <w:spacing w:after="0" w:line="240" w:lineRule="auto"/>
        <w:jc w:val="both"/>
        <w:rPr>
          <w:rFonts w:ascii="Times New Roman" w:eastAsia="SimSun" w:hAnsi="Times New Roman"/>
          <w:noProof/>
          <w:sz w:val="20"/>
          <w:szCs w:val="20"/>
          <w:lang w:val="ms-MY"/>
        </w:rPr>
      </w:pPr>
      <w:r w:rsidRPr="006E082B">
        <w:rPr>
          <w:rFonts w:ascii="Times New Roman" w:hAnsi="Times New Roman"/>
          <w:noProof/>
          <w:sz w:val="20"/>
          <w:szCs w:val="20"/>
          <w:lang w:val="ms-MY"/>
        </w:rPr>
        <w:t>Dalam kajian yang lepas, 5,5,7,12,12,14-heksametil-1,4,8,11-tetraazasiklotetradeka-7,14-dienium diperklorat, [Me</w:t>
      </w:r>
      <w:r w:rsidRPr="006E082B">
        <w:rPr>
          <w:rFonts w:ascii="Times New Roman" w:hAnsi="Times New Roman"/>
          <w:noProof/>
          <w:sz w:val="20"/>
          <w:szCs w:val="20"/>
          <w:vertAlign w:val="subscript"/>
          <w:lang w:val="ms-MY"/>
        </w:rPr>
        <w:t>6</w:t>
      </w:r>
      <w:r w:rsidRPr="006E082B">
        <w:rPr>
          <w:rFonts w:ascii="Times New Roman" w:hAnsi="Times New Roman"/>
          <w:noProof/>
          <w:sz w:val="20"/>
          <w:szCs w:val="20"/>
          <w:lang w:val="ms-MY"/>
        </w:rPr>
        <w:t>C</w:t>
      </w:r>
      <w:r w:rsidRPr="006E082B">
        <w:rPr>
          <w:rFonts w:ascii="Times New Roman" w:hAnsi="Times New Roman"/>
          <w:noProof/>
          <w:sz w:val="20"/>
          <w:szCs w:val="20"/>
          <w:vertAlign w:val="subscript"/>
          <w:lang w:val="ms-MY"/>
        </w:rPr>
        <w:t>10</w:t>
      </w:r>
      <w:r w:rsidRPr="006E082B">
        <w:rPr>
          <w:rFonts w:ascii="Times New Roman" w:hAnsi="Times New Roman"/>
          <w:noProof/>
          <w:sz w:val="20"/>
          <w:szCs w:val="20"/>
          <w:lang w:val="ms-MY"/>
        </w:rPr>
        <w:t>H</w:t>
      </w:r>
      <w:r w:rsidRPr="006E082B">
        <w:rPr>
          <w:rFonts w:ascii="Times New Roman" w:hAnsi="Times New Roman"/>
          <w:noProof/>
          <w:sz w:val="20"/>
          <w:szCs w:val="20"/>
          <w:vertAlign w:val="subscript"/>
          <w:lang w:val="ms-MY"/>
        </w:rPr>
        <w:t>16</w:t>
      </w:r>
      <w:r w:rsidRPr="006E082B">
        <w:rPr>
          <w:rFonts w:ascii="Times New Roman" w:hAnsi="Times New Roman"/>
          <w:noProof/>
          <w:sz w:val="20"/>
          <w:szCs w:val="20"/>
          <w:lang w:val="ms-MY"/>
        </w:rPr>
        <w:t>N</w:t>
      </w:r>
      <w:r w:rsidRPr="006E082B">
        <w:rPr>
          <w:rFonts w:ascii="Times New Roman" w:hAnsi="Times New Roman"/>
          <w:noProof/>
          <w:sz w:val="20"/>
          <w:szCs w:val="20"/>
          <w:vertAlign w:val="subscript"/>
          <w:lang w:val="ms-MY"/>
        </w:rPr>
        <w:t>4</w:t>
      </w:r>
      <w:r w:rsidRPr="006E082B">
        <w:rPr>
          <w:rFonts w:ascii="Times New Roman" w:hAnsi="Times New Roman"/>
          <w:noProof/>
          <w:sz w:val="20"/>
          <w:szCs w:val="20"/>
          <w:lang w:val="ms-MY"/>
        </w:rPr>
        <w:t>](ClO</w:t>
      </w:r>
      <w:r w:rsidRPr="006E082B">
        <w:rPr>
          <w:rFonts w:ascii="Times New Roman" w:hAnsi="Times New Roman"/>
          <w:noProof/>
          <w:sz w:val="20"/>
          <w:szCs w:val="20"/>
          <w:vertAlign w:val="subscript"/>
          <w:lang w:val="ms-MY"/>
        </w:rPr>
        <w:t>4</w:t>
      </w:r>
      <w:r w:rsidRPr="006E082B">
        <w:rPr>
          <w:rFonts w:ascii="Times New Roman" w:hAnsi="Times New Roman"/>
          <w:noProof/>
          <w:sz w:val="20"/>
          <w:szCs w:val="20"/>
          <w:lang w:val="ms-MY"/>
        </w:rPr>
        <w:t>)</w:t>
      </w:r>
      <w:r w:rsidRPr="006E082B">
        <w:rPr>
          <w:rFonts w:ascii="Times New Roman" w:hAnsi="Times New Roman"/>
          <w:noProof/>
          <w:sz w:val="20"/>
          <w:szCs w:val="20"/>
          <w:vertAlign w:val="subscript"/>
          <w:lang w:val="ms-MY"/>
        </w:rPr>
        <w:t xml:space="preserve">2  </w:t>
      </w:r>
      <w:r w:rsidRPr="006E082B">
        <w:rPr>
          <w:rFonts w:ascii="Times New Roman" w:hAnsi="Times New Roman"/>
          <w:noProof/>
          <w:sz w:val="20"/>
          <w:szCs w:val="20"/>
          <w:lang w:val="ms-MY"/>
        </w:rPr>
        <w:t>membentuk kompleks C</w:t>
      </w:r>
      <w:r w:rsidRPr="006E082B">
        <w:rPr>
          <w:rFonts w:ascii="Times New Roman" w:hAnsi="Times New Roman"/>
          <w:noProof/>
          <w:sz w:val="20"/>
          <w:szCs w:val="20"/>
          <w:vertAlign w:val="subscript"/>
          <w:lang w:val="ms-MY"/>
        </w:rPr>
        <w:t>16</w:t>
      </w:r>
      <w:r w:rsidRPr="006E082B">
        <w:rPr>
          <w:rFonts w:ascii="Times New Roman" w:hAnsi="Times New Roman"/>
          <w:noProof/>
          <w:sz w:val="20"/>
          <w:szCs w:val="20"/>
          <w:lang w:val="ms-MY"/>
        </w:rPr>
        <w:t>H</w:t>
      </w:r>
      <w:r w:rsidRPr="006E082B">
        <w:rPr>
          <w:rFonts w:ascii="Times New Roman" w:hAnsi="Times New Roman"/>
          <w:noProof/>
          <w:sz w:val="20"/>
          <w:szCs w:val="20"/>
          <w:vertAlign w:val="subscript"/>
          <w:lang w:val="ms-MY"/>
        </w:rPr>
        <w:t>32</w:t>
      </w:r>
      <w:r w:rsidRPr="006E082B">
        <w:rPr>
          <w:rFonts w:ascii="Times New Roman" w:hAnsi="Times New Roman"/>
          <w:noProof/>
          <w:sz w:val="20"/>
          <w:szCs w:val="20"/>
          <w:lang w:val="ms-MY"/>
        </w:rPr>
        <w:t>N</w:t>
      </w:r>
      <w:r w:rsidRPr="006E082B">
        <w:rPr>
          <w:rFonts w:ascii="Times New Roman" w:hAnsi="Times New Roman"/>
          <w:noProof/>
          <w:sz w:val="20"/>
          <w:szCs w:val="20"/>
          <w:vertAlign w:val="subscript"/>
          <w:lang w:val="ms-MY"/>
        </w:rPr>
        <w:t>4</w:t>
      </w:r>
      <w:r w:rsidRPr="006E082B">
        <w:rPr>
          <w:rFonts w:ascii="Times New Roman" w:hAnsi="Times New Roman"/>
          <w:noProof/>
          <w:sz w:val="20"/>
          <w:szCs w:val="20"/>
          <w:lang w:val="ms-MY"/>
        </w:rPr>
        <w:t>OCu(ClO</w:t>
      </w:r>
      <w:r w:rsidRPr="006E082B">
        <w:rPr>
          <w:rFonts w:ascii="Times New Roman" w:hAnsi="Times New Roman"/>
          <w:noProof/>
          <w:sz w:val="20"/>
          <w:szCs w:val="20"/>
          <w:vertAlign w:val="subscript"/>
          <w:lang w:val="ms-MY"/>
        </w:rPr>
        <w:t>4</w:t>
      </w:r>
      <w:r w:rsidRPr="006E082B">
        <w:rPr>
          <w:rFonts w:ascii="Times New Roman" w:hAnsi="Times New Roman"/>
          <w:noProof/>
          <w:sz w:val="20"/>
          <w:szCs w:val="20"/>
          <w:lang w:val="ms-MY"/>
        </w:rPr>
        <w:t>)</w:t>
      </w:r>
      <w:r w:rsidRPr="006E082B">
        <w:rPr>
          <w:rFonts w:ascii="Times New Roman" w:hAnsi="Times New Roman"/>
          <w:noProof/>
          <w:sz w:val="20"/>
          <w:szCs w:val="20"/>
          <w:vertAlign w:val="subscript"/>
          <w:lang w:val="ms-MY"/>
        </w:rPr>
        <w:t xml:space="preserve">2 </w:t>
      </w:r>
      <w:r w:rsidRPr="006E082B">
        <w:rPr>
          <w:rFonts w:ascii="Times New Roman" w:hAnsi="Times New Roman"/>
          <w:noProof/>
          <w:sz w:val="20"/>
          <w:szCs w:val="20"/>
          <w:lang w:val="ms-MY"/>
        </w:rPr>
        <w:t>dan C</w:t>
      </w:r>
      <w:r w:rsidRPr="006E082B">
        <w:rPr>
          <w:rFonts w:ascii="Times New Roman" w:hAnsi="Times New Roman"/>
          <w:noProof/>
          <w:sz w:val="20"/>
          <w:szCs w:val="20"/>
          <w:vertAlign w:val="subscript"/>
          <w:lang w:val="ms-MY"/>
        </w:rPr>
        <w:t>16</w:t>
      </w:r>
      <w:r w:rsidRPr="006E082B">
        <w:rPr>
          <w:rFonts w:ascii="Times New Roman" w:hAnsi="Times New Roman"/>
          <w:noProof/>
          <w:sz w:val="20"/>
          <w:szCs w:val="20"/>
          <w:lang w:val="ms-MY"/>
        </w:rPr>
        <w:t>H</w:t>
      </w:r>
      <w:r w:rsidRPr="006E082B">
        <w:rPr>
          <w:rFonts w:ascii="Times New Roman" w:hAnsi="Times New Roman"/>
          <w:noProof/>
          <w:sz w:val="20"/>
          <w:szCs w:val="20"/>
          <w:vertAlign w:val="subscript"/>
          <w:lang w:val="ms-MY"/>
        </w:rPr>
        <w:t>32</w:t>
      </w:r>
      <w:r w:rsidRPr="006E082B">
        <w:rPr>
          <w:rFonts w:ascii="Times New Roman" w:hAnsi="Times New Roman"/>
          <w:noProof/>
          <w:sz w:val="20"/>
          <w:szCs w:val="20"/>
          <w:lang w:val="ms-MY"/>
        </w:rPr>
        <w:t>N</w:t>
      </w:r>
      <w:r w:rsidRPr="006E082B">
        <w:rPr>
          <w:rFonts w:ascii="Times New Roman" w:hAnsi="Times New Roman"/>
          <w:noProof/>
          <w:sz w:val="20"/>
          <w:szCs w:val="20"/>
          <w:vertAlign w:val="subscript"/>
          <w:lang w:val="ms-MY"/>
        </w:rPr>
        <w:t>4</w:t>
      </w:r>
      <w:r w:rsidRPr="006E082B">
        <w:rPr>
          <w:rFonts w:ascii="Times New Roman" w:hAnsi="Times New Roman"/>
          <w:noProof/>
          <w:sz w:val="20"/>
          <w:szCs w:val="20"/>
          <w:lang w:val="ms-MY"/>
        </w:rPr>
        <w:t>Cu(ClO</w:t>
      </w:r>
      <w:r w:rsidRPr="006E082B">
        <w:rPr>
          <w:rFonts w:ascii="Times New Roman" w:hAnsi="Times New Roman"/>
          <w:noProof/>
          <w:sz w:val="20"/>
          <w:szCs w:val="20"/>
          <w:vertAlign w:val="subscript"/>
          <w:lang w:val="ms-MY"/>
        </w:rPr>
        <w:t>4</w:t>
      </w:r>
      <w:r w:rsidRPr="006E082B">
        <w:rPr>
          <w:rFonts w:ascii="Times New Roman" w:hAnsi="Times New Roman"/>
          <w:noProof/>
          <w:sz w:val="20"/>
          <w:szCs w:val="20"/>
          <w:lang w:val="ms-MY"/>
        </w:rPr>
        <w:t>)</w:t>
      </w:r>
      <w:r w:rsidRPr="006E082B">
        <w:rPr>
          <w:rFonts w:ascii="Times New Roman" w:hAnsi="Times New Roman"/>
          <w:noProof/>
          <w:sz w:val="20"/>
          <w:szCs w:val="20"/>
          <w:vertAlign w:val="subscript"/>
          <w:lang w:val="ms-MY"/>
        </w:rPr>
        <w:t xml:space="preserve">2 </w:t>
      </w:r>
      <w:r w:rsidRPr="006E082B">
        <w:rPr>
          <w:rFonts w:ascii="Times New Roman" w:hAnsi="Times New Roman"/>
          <w:noProof/>
          <w:sz w:val="20"/>
          <w:szCs w:val="20"/>
          <w:lang w:val="ms-MY"/>
        </w:rPr>
        <w:t>apabila masing-masing bertindak balas dengan kuprum(II) asetat monohidrat dalam larutan asetonitril dan akues. Walaubagaimanapun, apabila tindak balas yang sama dilakukan dalam cecair ionik 1-butil-3-metilimidazolium heksaflorofosfat, [Bmim][PF</w:t>
      </w:r>
      <w:r w:rsidRPr="006E082B">
        <w:rPr>
          <w:rFonts w:ascii="Times New Roman" w:hAnsi="Times New Roman"/>
          <w:noProof/>
          <w:sz w:val="20"/>
          <w:szCs w:val="20"/>
          <w:vertAlign w:val="subscript"/>
          <w:lang w:val="ms-MY"/>
        </w:rPr>
        <w:t>6</w:t>
      </w:r>
      <w:r w:rsidRPr="006E082B">
        <w:rPr>
          <w:rFonts w:ascii="Times New Roman" w:hAnsi="Times New Roman"/>
          <w:noProof/>
          <w:sz w:val="20"/>
          <w:szCs w:val="20"/>
          <w:lang w:val="ms-MY"/>
        </w:rPr>
        <w:t>], keperkadaran tidak seimbang berlaku dan menghasilkan kompleks kuprum(II) bis(etilenadiamina) bis(perklorato-O), C</w:t>
      </w:r>
      <w:r w:rsidRPr="006E082B">
        <w:rPr>
          <w:rFonts w:ascii="Times New Roman" w:hAnsi="Times New Roman"/>
          <w:noProof/>
          <w:sz w:val="20"/>
          <w:szCs w:val="20"/>
          <w:vertAlign w:val="subscript"/>
          <w:lang w:val="ms-MY"/>
        </w:rPr>
        <w:t>4</w:t>
      </w:r>
      <w:r w:rsidRPr="006E082B">
        <w:rPr>
          <w:rFonts w:ascii="Times New Roman" w:hAnsi="Times New Roman"/>
          <w:noProof/>
          <w:sz w:val="20"/>
          <w:szCs w:val="20"/>
          <w:lang w:val="ms-MY"/>
        </w:rPr>
        <w:t>H</w:t>
      </w:r>
      <w:r w:rsidRPr="006E082B">
        <w:rPr>
          <w:rFonts w:ascii="Times New Roman" w:hAnsi="Times New Roman"/>
          <w:noProof/>
          <w:sz w:val="20"/>
          <w:szCs w:val="20"/>
          <w:vertAlign w:val="subscript"/>
          <w:lang w:val="ms-MY"/>
        </w:rPr>
        <w:t>16</w:t>
      </w:r>
      <w:r w:rsidRPr="006E082B">
        <w:rPr>
          <w:rFonts w:ascii="Times New Roman" w:hAnsi="Times New Roman"/>
          <w:noProof/>
          <w:sz w:val="20"/>
          <w:szCs w:val="20"/>
          <w:lang w:val="ms-MY"/>
        </w:rPr>
        <w:t>N</w:t>
      </w:r>
      <w:r w:rsidRPr="006E082B">
        <w:rPr>
          <w:rFonts w:ascii="Times New Roman" w:hAnsi="Times New Roman"/>
          <w:noProof/>
          <w:sz w:val="20"/>
          <w:szCs w:val="20"/>
          <w:vertAlign w:val="subscript"/>
          <w:lang w:val="ms-MY"/>
        </w:rPr>
        <w:t>4</w:t>
      </w:r>
      <w:r w:rsidRPr="006E082B">
        <w:rPr>
          <w:rFonts w:ascii="Times New Roman" w:hAnsi="Times New Roman"/>
          <w:noProof/>
          <w:sz w:val="20"/>
          <w:szCs w:val="20"/>
          <w:lang w:val="ms-MY"/>
        </w:rPr>
        <w:t>Cu(ClO</w:t>
      </w:r>
      <w:r w:rsidRPr="006E082B">
        <w:rPr>
          <w:rFonts w:ascii="Times New Roman" w:hAnsi="Times New Roman"/>
          <w:noProof/>
          <w:sz w:val="20"/>
          <w:szCs w:val="20"/>
          <w:vertAlign w:val="subscript"/>
          <w:lang w:val="ms-MY"/>
        </w:rPr>
        <w:t>4</w:t>
      </w:r>
      <w:r w:rsidRPr="006E082B">
        <w:rPr>
          <w:rFonts w:ascii="Times New Roman" w:hAnsi="Times New Roman"/>
          <w:noProof/>
          <w:sz w:val="20"/>
          <w:szCs w:val="20"/>
          <w:lang w:val="ms-MY"/>
        </w:rPr>
        <w:t>)</w:t>
      </w:r>
      <w:r w:rsidRPr="006E082B">
        <w:rPr>
          <w:rFonts w:ascii="Times New Roman" w:hAnsi="Times New Roman"/>
          <w:noProof/>
          <w:sz w:val="20"/>
          <w:szCs w:val="20"/>
          <w:vertAlign w:val="subscript"/>
          <w:lang w:val="ms-MY"/>
        </w:rPr>
        <w:t>2</w:t>
      </w:r>
      <w:r w:rsidRPr="006E082B">
        <w:rPr>
          <w:rFonts w:ascii="Times New Roman" w:hAnsi="Times New Roman"/>
          <w:noProof/>
          <w:sz w:val="20"/>
          <w:szCs w:val="20"/>
          <w:lang w:val="ms-MY"/>
        </w:rPr>
        <w:t>. Kajian X-ray menunjukkan atom kuprum berkoordinasi dengan dua ligan etilenadiamina dan dua atom oksigen ion perklorat dalam keadaan oktahedron terherot. Analisis termogravimetri (TGA) menunjukkan kompleks terurai dengan mengalami kehilangan jisim mendadak pada 260 </w:t>
      </w:r>
      <w:r w:rsidRPr="006E082B">
        <w:rPr>
          <w:rFonts w:ascii="Times New Roman" w:eastAsia="SimSun" w:hAnsi="Times New Roman"/>
          <w:noProof/>
          <w:sz w:val="20"/>
          <w:szCs w:val="20"/>
          <w:lang w:val="ms-MY"/>
        </w:rPr>
        <w:t xml:space="preserve">℃ disebabkan oleh sifat perklorat yang mudah meletup. </w:t>
      </w:r>
    </w:p>
    <w:p w:rsidR="006E082B" w:rsidRPr="006E082B" w:rsidRDefault="006E082B" w:rsidP="006E082B">
      <w:pPr>
        <w:adjustRightInd w:val="0"/>
        <w:spacing w:after="0" w:line="240" w:lineRule="auto"/>
        <w:jc w:val="both"/>
        <w:rPr>
          <w:rFonts w:ascii="Times New Roman" w:eastAsia="SimSun" w:hAnsi="Times New Roman"/>
          <w:noProof/>
          <w:sz w:val="20"/>
          <w:szCs w:val="20"/>
          <w:lang w:val="ms-MY"/>
        </w:rPr>
      </w:pPr>
    </w:p>
    <w:p w:rsidR="00B04AB6" w:rsidRDefault="006E082B" w:rsidP="006E082B">
      <w:pPr>
        <w:adjustRightInd w:val="0"/>
        <w:spacing w:after="0" w:line="240" w:lineRule="auto"/>
        <w:jc w:val="both"/>
        <w:rPr>
          <w:rFonts w:ascii="Times New Roman" w:eastAsia="SimSun" w:hAnsi="Times New Roman"/>
          <w:noProof/>
          <w:sz w:val="20"/>
          <w:szCs w:val="20"/>
          <w:lang w:val="ms-MY"/>
        </w:rPr>
      </w:pPr>
      <w:r w:rsidRPr="006E082B">
        <w:rPr>
          <w:rFonts w:ascii="Times New Roman" w:eastAsia="SimSun" w:hAnsi="Times New Roman"/>
          <w:b/>
          <w:bCs/>
          <w:noProof/>
          <w:sz w:val="20"/>
          <w:szCs w:val="20"/>
          <w:lang w:val="ms-MY"/>
        </w:rPr>
        <w:t>Kata kunci</w:t>
      </w:r>
      <w:r w:rsidRPr="006E082B">
        <w:rPr>
          <w:rFonts w:ascii="Times New Roman" w:eastAsia="SimSun" w:hAnsi="Times New Roman"/>
          <w:noProof/>
          <w:sz w:val="20"/>
          <w:szCs w:val="20"/>
          <w:lang w:val="ms-MY"/>
        </w:rPr>
        <w:t>:  cecair ionik, keperkadaran tida</w:t>
      </w:r>
      <w:r w:rsidRPr="006E082B">
        <w:rPr>
          <w:rFonts w:ascii="Times New Roman" w:eastAsia="SimSun" w:hAnsi="Times New Roman"/>
          <w:noProof/>
          <w:sz w:val="20"/>
          <w:szCs w:val="20"/>
          <w:lang w:val="ms-MY"/>
        </w:rPr>
        <w:t>k seimbang, kompleks kuprum(II)</w:t>
      </w:r>
    </w:p>
    <w:p w:rsidR="006E082B" w:rsidRDefault="006E082B" w:rsidP="006E082B">
      <w:pPr>
        <w:adjustRightInd w:val="0"/>
        <w:spacing w:after="0" w:line="240" w:lineRule="auto"/>
        <w:jc w:val="both"/>
        <w:rPr>
          <w:rFonts w:ascii="Times New Roman" w:eastAsia="SimSun" w:hAnsi="Times New Roman"/>
          <w:noProof/>
          <w:sz w:val="20"/>
          <w:szCs w:val="20"/>
          <w:lang w:val="ms-MY"/>
        </w:rPr>
      </w:pPr>
    </w:p>
    <w:p w:rsidR="006E082B" w:rsidRPr="00F447A7" w:rsidRDefault="006E082B" w:rsidP="006E082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lastRenderedPageBreak/>
        <w:t xml:space="preserve">Curtis, N. F. and House, D. A. (1961). Structure of some aliphatic Schiff base complexes of nickel(II) and copper(II). </w:t>
      </w:r>
      <w:r w:rsidRPr="00E73C4F">
        <w:rPr>
          <w:rFonts w:ascii="Times New Roman" w:eastAsia="SimSun" w:hAnsi="Times New Roman"/>
          <w:i/>
          <w:iCs/>
          <w:sz w:val="20"/>
          <w:szCs w:val="20"/>
        </w:rPr>
        <w:t>Chemistry and Industry</w:t>
      </w:r>
      <w:r w:rsidRPr="00E73C4F">
        <w:rPr>
          <w:rFonts w:ascii="Times New Roman" w:eastAsia="SimSun" w:hAnsi="Times New Roman"/>
          <w:sz w:val="20"/>
          <w:szCs w:val="20"/>
        </w:rPr>
        <w:t>, 6: 1708</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1709. </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Chen, F. T., Lee, C. S. and Chung, C. S. (1983). Steric effects in the complexation kinetics of copper (II) wit</w:t>
      </w:r>
      <w:r w:rsidRPr="00E73C4F">
        <w:rPr>
          <w:rFonts w:ascii="Times New Roman" w:eastAsia="SimSun" w:hAnsi="Times New Roman"/>
          <w:sz w:val="20"/>
          <w:szCs w:val="20"/>
          <w:lang w:val="en-MY"/>
        </w:rPr>
        <w:t xml:space="preserve">h </w:t>
      </w:r>
      <w:r w:rsidRPr="00E73C4F">
        <w:rPr>
          <w:rFonts w:ascii="Times New Roman" w:eastAsia="SimSun" w:hAnsi="Times New Roman"/>
          <w:sz w:val="20"/>
          <w:szCs w:val="20"/>
        </w:rPr>
        <w:t xml:space="preserve">Rac-5,7,12,12,14-hexamethyl-1,4,8,11-tetraazacyclotetradecane in basic aqueous media. </w:t>
      </w:r>
      <w:r w:rsidRPr="00E73C4F">
        <w:rPr>
          <w:rFonts w:ascii="Times New Roman" w:eastAsia="SimSun" w:hAnsi="Times New Roman"/>
          <w:i/>
          <w:iCs/>
          <w:sz w:val="20"/>
          <w:szCs w:val="20"/>
        </w:rPr>
        <w:t>Polyhedron</w:t>
      </w:r>
      <w:r w:rsidRPr="00E73C4F">
        <w:rPr>
          <w:rFonts w:ascii="Times New Roman" w:eastAsia="SimSun" w:hAnsi="Times New Roman"/>
          <w:sz w:val="20"/>
          <w:szCs w:val="20"/>
        </w:rPr>
        <w:t>, 12(2): 130</w:t>
      </w:r>
      <w:r w:rsidRPr="00E73C4F">
        <w:rPr>
          <w:rFonts w:ascii="Times New Roman" w:eastAsia="SimSun" w:hAnsi="Times New Roman"/>
          <w:sz w:val="20"/>
          <w:szCs w:val="20"/>
          <w:lang w:val="en-MY"/>
        </w:rPr>
        <w:t xml:space="preserve">1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1306.</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Kou, F., Zhu, S., Lin, H., Chen, W., Chen, Y. and Lin, M. (1997). Kinetics and mechanism of the acid dissociation of copper(II) complex of novel c-functionalized macrocyclic dioxotetraamines. </w:t>
      </w:r>
      <w:r w:rsidRPr="00E73C4F">
        <w:rPr>
          <w:rFonts w:ascii="Times New Roman" w:eastAsia="SimSun" w:hAnsi="Times New Roman"/>
          <w:i/>
          <w:iCs/>
          <w:sz w:val="20"/>
          <w:szCs w:val="20"/>
        </w:rPr>
        <w:t>Polyhedron</w:t>
      </w:r>
      <w:r w:rsidRPr="00E73C4F">
        <w:rPr>
          <w:rFonts w:ascii="Times New Roman" w:eastAsia="SimSun" w:hAnsi="Times New Roman"/>
          <w:sz w:val="20"/>
          <w:szCs w:val="20"/>
        </w:rPr>
        <w:t>, 12(16): 2021</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2028.</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Hay, R. W. and Pujari, M. P. (1985). The dissociation of [Cu(cyclen)]</w:t>
      </w:r>
      <w:r w:rsidRPr="00E73C4F">
        <w:rPr>
          <w:rFonts w:ascii="Times New Roman" w:eastAsia="SimSun" w:hAnsi="Times New Roman"/>
          <w:sz w:val="20"/>
          <w:szCs w:val="20"/>
          <w:vertAlign w:val="superscript"/>
        </w:rPr>
        <w:t>2+</w:t>
      </w:r>
      <w:r w:rsidRPr="00E73C4F">
        <w:rPr>
          <w:rFonts w:ascii="Times New Roman" w:eastAsia="SimSun" w:hAnsi="Times New Roman"/>
          <w:sz w:val="20"/>
          <w:szCs w:val="20"/>
        </w:rPr>
        <w:t xml:space="preserve"> in acid solution. A kinetic study. </w:t>
      </w:r>
      <w:r w:rsidRPr="00E73C4F">
        <w:rPr>
          <w:rFonts w:ascii="Times New Roman" w:eastAsia="SimSun" w:hAnsi="Times New Roman"/>
          <w:i/>
          <w:iCs/>
          <w:sz w:val="20"/>
          <w:szCs w:val="20"/>
        </w:rPr>
        <w:t>Inorganica Chimica Acta</w:t>
      </w:r>
      <w:r w:rsidRPr="00E73C4F">
        <w:rPr>
          <w:rFonts w:ascii="Times New Roman" w:eastAsia="SimSun" w:hAnsi="Times New Roman"/>
          <w:sz w:val="20"/>
          <w:szCs w:val="20"/>
        </w:rPr>
        <w:t>, 100(2): 1</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3.</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Yusoff, L. M., Yusoff, S. F. M., Ismail, W. and Yamin, B. M. (2013). Synthesis and characterization of Ni(II) complex with 5,5,7,12,12,14-hexamethyl-1,4,8,11-tetraazacyclotetradeca-7,14-dienium bromide. </w:t>
      </w:r>
      <w:r w:rsidRPr="00E73C4F">
        <w:rPr>
          <w:rFonts w:ascii="Times New Roman" w:eastAsia="SimSun" w:hAnsi="Times New Roman"/>
          <w:i/>
          <w:iCs/>
          <w:sz w:val="20"/>
          <w:szCs w:val="20"/>
        </w:rPr>
        <w:t>AIP Conference Proceedings</w:t>
      </w:r>
      <w:r w:rsidRPr="00E73C4F">
        <w:rPr>
          <w:rFonts w:ascii="Times New Roman" w:eastAsia="SimSun" w:hAnsi="Times New Roman"/>
          <w:sz w:val="20"/>
          <w:szCs w:val="20"/>
        </w:rPr>
        <w:t>, (1614): 358</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361. </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Huddin, A. A. S, Yamin, B. M. and Yusoff, S. F. M. (2014). Complexation of 5,5,7,12,12,14- hexamethyl-1,4,8,11-tetraazacyclotetradeca-7,14-dienium Bromide with copper Salts. </w:t>
      </w:r>
      <w:r w:rsidRPr="00E73C4F">
        <w:rPr>
          <w:rFonts w:ascii="Times New Roman" w:eastAsia="SimSun" w:hAnsi="Times New Roman"/>
          <w:i/>
          <w:iCs/>
          <w:sz w:val="20"/>
          <w:szCs w:val="20"/>
        </w:rPr>
        <w:t>AIP Conference Proceedings</w:t>
      </w:r>
      <w:r w:rsidRPr="00E73C4F">
        <w:rPr>
          <w:rFonts w:ascii="Times New Roman" w:eastAsia="SimSun" w:hAnsi="Times New Roman"/>
          <w:sz w:val="20"/>
          <w:szCs w:val="20"/>
        </w:rPr>
        <w:t>, (1614): 371</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374.</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Ali. N. M., Hassan, N. H., Yamin, B. M., Karim, N. H. A. and Ghani, N. A. A. (2014). Synthesis and cha</w:t>
      </w:r>
      <w:r>
        <w:rPr>
          <w:rFonts w:ascii="Times New Roman" w:eastAsia="SimSun" w:hAnsi="Times New Roman"/>
          <w:sz w:val="20"/>
          <w:szCs w:val="20"/>
        </w:rPr>
        <w:t>racterization of 5,5,7,12,12,14</w:t>
      </w:r>
      <w:r w:rsidRPr="00E73C4F">
        <w:rPr>
          <w:rFonts w:ascii="Times New Roman" w:eastAsia="SimSun" w:hAnsi="Times New Roman"/>
          <w:sz w:val="20"/>
          <w:szCs w:val="20"/>
        </w:rPr>
        <w:t>–hexamethyl -1,4,8,11-tetraazacyclotetradeca-</w:t>
      </w:r>
      <w:r>
        <w:rPr>
          <w:rFonts w:ascii="Times New Roman" w:eastAsia="SimSun" w:hAnsi="Times New Roman"/>
          <w:sz w:val="20"/>
          <w:szCs w:val="20"/>
        </w:rPr>
        <w:t>7,14</w:t>
      </w:r>
      <w:r w:rsidRPr="00E73C4F">
        <w:rPr>
          <w:rFonts w:ascii="Times New Roman" w:eastAsia="SimSun" w:hAnsi="Times New Roman"/>
          <w:sz w:val="20"/>
          <w:szCs w:val="20"/>
        </w:rPr>
        <w:t xml:space="preserve">-dienium diperchlorate copper(II) complex. </w:t>
      </w:r>
      <w:r w:rsidRPr="00E73C4F">
        <w:rPr>
          <w:rFonts w:ascii="Times New Roman" w:eastAsia="SimSun" w:hAnsi="Times New Roman"/>
          <w:i/>
          <w:iCs/>
          <w:sz w:val="20"/>
          <w:szCs w:val="20"/>
        </w:rPr>
        <w:t>Malaysian Journal of Analytical Sciences</w:t>
      </w:r>
      <w:r w:rsidRPr="00E73C4F">
        <w:rPr>
          <w:rFonts w:ascii="Times New Roman" w:eastAsia="SimSun" w:hAnsi="Times New Roman"/>
          <w:sz w:val="20"/>
          <w:szCs w:val="20"/>
        </w:rPr>
        <w:t xml:space="preserve">, 18(3): 562 – 571. </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Shi, F. F. and He, X. L. (2011). </w:t>
      </w:r>
      <w:r w:rsidRPr="00E73C4F">
        <w:rPr>
          <w:rFonts w:ascii="Times New Roman" w:eastAsia="SimSun" w:hAnsi="Times New Roman"/>
          <w:sz w:val="20"/>
          <w:szCs w:val="20"/>
          <w:lang w:val="es-ES"/>
        </w:rPr>
        <w:t xml:space="preserve">Bromido(meso-5,5,7,12,12,14-hexamethyl-1,4,8,11-tetraazacyclotetradeca-1,7-diene)copper(II) bromide dehydrate. </w:t>
      </w:r>
      <w:r w:rsidRPr="00E73C4F">
        <w:rPr>
          <w:rFonts w:ascii="Times New Roman" w:eastAsia="SimSun" w:hAnsi="Times New Roman"/>
          <w:i/>
          <w:iCs/>
          <w:sz w:val="20"/>
          <w:szCs w:val="20"/>
        </w:rPr>
        <w:t>Acta Crystallographica Section E Structure Report Online</w:t>
      </w:r>
      <w:r w:rsidRPr="00E73C4F">
        <w:rPr>
          <w:rFonts w:ascii="Times New Roman" w:eastAsia="SimSun" w:hAnsi="Times New Roman"/>
          <w:sz w:val="20"/>
          <w:szCs w:val="20"/>
        </w:rPr>
        <w:t>, 67(5): 607.</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Yamin, B. M., Ismail, W. and Daran, J. C. (2012). Catena - Poly[[ (5,5,7,12,12,14 – hexamethyl - 1,4,8,11 – tetraazacyclotetradeca -1,7- diene) copper(II)] –μ– chloride - [dichlorocuprate(II)] -μ- chlorido]. </w:t>
      </w:r>
      <w:r w:rsidRPr="00E73C4F">
        <w:rPr>
          <w:rFonts w:ascii="Times New Roman" w:eastAsia="SimSun" w:hAnsi="Times New Roman"/>
          <w:i/>
          <w:iCs/>
          <w:sz w:val="20"/>
          <w:szCs w:val="20"/>
        </w:rPr>
        <w:t>Acta Crystallographica Section E Structure Report Online</w:t>
      </w:r>
      <w:r w:rsidRPr="00E73C4F">
        <w:rPr>
          <w:rFonts w:ascii="Times New Roman" w:eastAsia="SimSun" w:hAnsi="Times New Roman"/>
          <w:sz w:val="20"/>
          <w:szCs w:val="20"/>
        </w:rPr>
        <w:t>, 68(7): 886</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887. </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Curtis, N. F. (2003). Fundamentals: Ligands, complexes, synthesis, purification and structure. </w:t>
      </w:r>
      <w:r w:rsidRPr="00E73C4F">
        <w:rPr>
          <w:rFonts w:ascii="Times New Roman" w:eastAsia="SimSun" w:hAnsi="Times New Roman"/>
          <w:i/>
          <w:iCs/>
          <w:sz w:val="20"/>
          <w:szCs w:val="20"/>
        </w:rPr>
        <w:t>Comprehensive Coordination Chemistry II</w:t>
      </w:r>
      <w:r w:rsidRPr="00E73C4F">
        <w:rPr>
          <w:rFonts w:ascii="Times New Roman" w:eastAsia="SimSun" w:hAnsi="Times New Roman"/>
          <w:sz w:val="20"/>
          <w:szCs w:val="20"/>
        </w:rPr>
        <w:t>: pp. 447</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474. </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Szefczyk, B. and Sokalski, W. A. (2014). Physical nature of intermolecular interactions in [Bmim][PF6] ionic liquid. </w:t>
      </w:r>
      <w:r w:rsidRPr="00E73C4F">
        <w:rPr>
          <w:rFonts w:ascii="Times New Roman" w:eastAsia="SimSun" w:hAnsi="Times New Roman"/>
          <w:i/>
          <w:iCs/>
          <w:sz w:val="20"/>
          <w:szCs w:val="20"/>
        </w:rPr>
        <w:t>The Journal of Physical Chemistry B</w:t>
      </w:r>
      <w:r w:rsidRPr="00E73C4F">
        <w:rPr>
          <w:rFonts w:ascii="Times New Roman" w:eastAsia="SimSun" w:hAnsi="Times New Roman"/>
          <w:sz w:val="20"/>
          <w:szCs w:val="20"/>
        </w:rPr>
        <w:t>, 118: 2147</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2156. </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Zhang, J., Luo, S., McCluskey, A. and Lawrance, G. A. (2013). Metal-templated macrocycle synthesis in an ionic liquid: A comparison with reaction in protic solvents. </w:t>
      </w:r>
      <w:r w:rsidRPr="00E73C4F">
        <w:rPr>
          <w:rFonts w:ascii="Times New Roman" w:eastAsia="SimSun" w:hAnsi="Times New Roman"/>
          <w:i/>
          <w:iCs/>
          <w:sz w:val="20"/>
          <w:szCs w:val="20"/>
        </w:rPr>
        <w:t>Synthesis and Reactivity in Inorganic, Metal-Organic, and Nano-Metal Chemistry</w:t>
      </w:r>
      <w:r w:rsidRPr="00E73C4F">
        <w:rPr>
          <w:rFonts w:ascii="Times New Roman" w:eastAsia="SimSun" w:hAnsi="Times New Roman"/>
          <w:sz w:val="20"/>
          <w:szCs w:val="20"/>
        </w:rPr>
        <w:t>. 43(1): 1</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5.</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Sheldrick, G. M. (2008). A short history of SHELX. </w:t>
      </w:r>
      <w:r w:rsidRPr="00E73C4F">
        <w:rPr>
          <w:rFonts w:ascii="Times New Roman" w:eastAsia="SimSun" w:hAnsi="Times New Roman"/>
          <w:i/>
          <w:iCs/>
          <w:sz w:val="20"/>
          <w:szCs w:val="20"/>
        </w:rPr>
        <w:t>Acta Crystallographica Section A: Foundations of Crystallography</w:t>
      </w:r>
      <w:r w:rsidRPr="00E73C4F">
        <w:rPr>
          <w:rFonts w:ascii="Times New Roman" w:eastAsia="SimSun" w:hAnsi="Times New Roman"/>
          <w:sz w:val="20"/>
          <w:szCs w:val="20"/>
        </w:rPr>
        <w:t>, 64(1)</w:t>
      </w:r>
      <w:r w:rsidRPr="00E73C4F">
        <w:rPr>
          <w:rFonts w:ascii="Times New Roman" w:eastAsia="SimSun" w:hAnsi="Times New Roman"/>
          <w:sz w:val="20"/>
          <w:szCs w:val="20"/>
          <w:lang w:val="en-MY"/>
        </w:rPr>
        <w:t>:</w:t>
      </w:r>
      <w:r w:rsidRPr="00E73C4F">
        <w:rPr>
          <w:rFonts w:ascii="Times New Roman" w:eastAsia="SimSun" w:hAnsi="Times New Roman"/>
          <w:sz w:val="20"/>
          <w:szCs w:val="20"/>
        </w:rPr>
        <w:t xml:space="preserve"> 112</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 xml:space="preserve">122. </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Sheldrick, G. M. (1993) SHELX-97, Program for the refinement of crystal structure. University of Göttingen. </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Gu, B. and Coates, J. D. (2006). Perchlorate: Environmental occurrence, interactions and treatment. </w:t>
      </w:r>
      <w:r w:rsidRPr="00E73C4F">
        <w:rPr>
          <w:rFonts w:ascii="Times New Roman" w:eastAsia="SimSun" w:hAnsi="Times New Roman"/>
          <w:i/>
          <w:iCs/>
          <w:sz w:val="20"/>
          <w:szCs w:val="20"/>
        </w:rPr>
        <w:t>Springer Science &amp; Business Media</w:t>
      </w:r>
      <w:r w:rsidRPr="00E73C4F">
        <w:rPr>
          <w:rFonts w:ascii="Times New Roman" w:eastAsia="SimSun" w:hAnsi="Times New Roman"/>
          <w:sz w:val="20"/>
          <w:szCs w:val="20"/>
        </w:rPr>
        <w:t xml:space="preserve">: pp. 137. </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Saif, M., Mashaly, M. M., Eid, M. F. and Fouad, R. (2011). Synthesis and thermal studies of tetraaza macrocylic ligand and its transition metal complexes. DNA binding affinity of copper complex. </w:t>
      </w:r>
      <w:r w:rsidRPr="00E73C4F">
        <w:rPr>
          <w:rFonts w:ascii="Times New Roman" w:eastAsia="SimSun" w:hAnsi="Times New Roman"/>
          <w:i/>
          <w:iCs/>
          <w:sz w:val="20"/>
          <w:szCs w:val="20"/>
        </w:rPr>
        <w:t>Spectrochimica Acta Part A</w:t>
      </w:r>
      <w:r w:rsidRPr="00E73C4F">
        <w:rPr>
          <w:rFonts w:ascii="Times New Roman" w:eastAsia="SimSun" w:hAnsi="Times New Roman"/>
          <w:sz w:val="20"/>
          <w:szCs w:val="20"/>
        </w:rPr>
        <w:t>, 79: 1849</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1855.</w:t>
      </w:r>
    </w:p>
    <w:p w:rsidR="006E082B" w:rsidRPr="00E73C4F"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Nakamoto, K. and Carthy, M. (1968). Spectroscopy and structure of metal chelate compound. </w:t>
      </w:r>
      <w:r w:rsidRPr="00E73C4F">
        <w:rPr>
          <w:rFonts w:ascii="Times New Roman" w:eastAsia="SimSun" w:hAnsi="Times New Roman"/>
          <w:i/>
          <w:iCs/>
          <w:sz w:val="20"/>
          <w:szCs w:val="20"/>
        </w:rPr>
        <w:t>John Wiley, New York</w:t>
      </w:r>
      <w:r w:rsidRPr="00E73C4F">
        <w:rPr>
          <w:rFonts w:ascii="Times New Roman" w:eastAsia="SimSun" w:hAnsi="Times New Roman"/>
          <w:sz w:val="20"/>
          <w:szCs w:val="20"/>
        </w:rPr>
        <w:t xml:space="preserve">. </w:t>
      </w:r>
    </w:p>
    <w:p w:rsidR="006E082B" w:rsidRDefault="006E082B" w:rsidP="006E082B">
      <w:pPr>
        <w:numPr>
          <w:ilvl w:val="0"/>
          <w:numId w:val="1"/>
        </w:numPr>
        <w:spacing w:after="0" w:line="240" w:lineRule="auto"/>
        <w:ind w:left="360" w:hanging="360"/>
        <w:jc w:val="both"/>
        <w:rPr>
          <w:rFonts w:ascii="Times New Roman" w:eastAsia="SimSun" w:hAnsi="Times New Roman"/>
          <w:sz w:val="20"/>
          <w:szCs w:val="20"/>
        </w:rPr>
      </w:pPr>
      <w:r w:rsidRPr="00E73C4F">
        <w:rPr>
          <w:rFonts w:ascii="Times New Roman" w:eastAsia="SimSun" w:hAnsi="Times New Roman"/>
          <w:sz w:val="20"/>
          <w:szCs w:val="20"/>
        </w:rPr>
        <w:t xml:space="preserve">Procter, I. M., Hathaway, B. J. and Nicholls, P. (1968). The electronic properties and stereochemistry of the copper(II) ion. Part I. bis(ethylenediamine)copper(II) complexes. </w:t>
      </w:r>
      <w:r w:rsidRPr="00E73C4F">
        <w:rPr>
          <w:rFonts w:ascii="Times New Roman" w:eastAsia="SimSun" w:hAnsi="Times New Roman"/>
          <w:i/>
          <w:iCs/>
          <w:sz w:val="20"/>
          <w:szCs w:val="20"/>
        </w:rPr>
        <w:t>Journal of the Chemical Society A: Inorganic, Physical, Theoretical</w:t>
      </w:r>
      <w:r w:rsidRPr="00E73C4F">
        <w:rPr>
          <w:rFonts w:ascii="Times New Roman" w:eastAsia="SimSun" w:hAnsi="Times New Roman"/>
          <w:sz w:val="20"/>
          <w:szCs w:val="20"/>
        </w:rPr>
        <w:t>: 1678</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w:t>
      </w:r>
      <w:r w:rsidRPr="00E73C4F">
        <w:rPr>
          <w:rFonts w:ascii="Times New Roman" w:eastAsia="SimSun" w:hAnsi="Times New Roman"/>
          <w:sz w:val="20"/>
          <w:szCs w:val="20"/>
          <w:lang w:val="en-MY"/>
        </w:rPr>
        <w:t xml:space="preserve"> </w:t>
      </w:r>
      <w:r w:rsidRPr="00E73C4F">
        <w:rPr>
          <w:rFonts w:ascii="Times New Roman" w:eastAsia="SimSun" w:hAnsi="Times New Roman"/>
          <w:sz w:val="20"/>
          <w:szCs w:val="20"/>
        </w:rPr>
        <w:t>1684.</w:t>
      </w:r>
    </w:p>
    <w:p w:rsidR="006E082B" w:rsidRPr="006E082B" w:rsidRDefault="006E082B" w:rsidP="006E082B">
      <w:pPr>
        <w:spacing w:after="0" w:line="240" w:lineRule="auto"/>
        <w:ind w:left="360"/>
        <w:jc w:val="both"/>
        <w:rPr>
          <w:rFonts w:ascii="Times New Roman" w:eastAsia="SimSun" w:hAnsi="Times New Roman"/>
          <w:sz w:val="20"/>
          <w:szCs w:val="20"/>
        </w:rPr>
      </w:pPr>
      <w:bookmarkStart w:id="0" w:name="_GoBack"/>
      <w:bookmarkEnd w:id="0"/>
    </w:p>
    <w:sectPr w:rsidR="006E082B" w:rsidRPr="006E082B" w:rsidSect="006E082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E308"/>
    <w:multiLevelType w:val="singleLevel"/>
    <w:tmpl w:val="91FAADEE"/>
    <w:lvl w:ilvl="0">
      <w:start w:val="1"/>
      <w:numFmt w:val="decimal"/>
      <w:lvlText w:val="%1."/>
      <w:lvlJc w:val="left"/>
      <w:pPr>
        <w:ind w:left="425" w:hanging="425"/>
      </w:pPr>
      <w:rPr>
        <w:rFont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82B"/>
    <w:rsid w:val="006E082B"/>
    <w:rsid w:val="00B04AB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2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082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2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082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902</Words>
  <Characters>5379</Characters>
  <Application>Microsoft Office Word</Application>
  <DocSecurity>0</DocSecurity>
  <Lines>134</Lines>
  <Paragraphs>81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Malaysian Journal of Analytical Sciences Vol 22 No 1 (2018): 27 - 34</vt:lpstr>
      <vt:lpstr/>
      <vt:lpstr/>
      <vt:lpstr/>
      <vt:lpstr>COMPLEXATION OF 5,5,7,12,12,14-HEXAMETHYL-1,4,8,11-TETRAAZACYCLOTETRADECA-7,14-D</vt:lpstr>
      <vt:lpstr/>
      <vt:lpstr>(Pengkompleksan 5,5,7,12,12,14-Heksametil-1,4,8,11-Tetraazasiklo tetraazadeka-7,</vt:lpstr>
      <vt:lpstr/>
      <vt:lpstr>Noorhanani M. Ali, Nurzati Amani M. Zaid, Nurul Huda Abd. Karim, Bohari M. Yamin</vt:lpstr>
      <vt:lpstr/>
      <vt:lpstr>School of Chemical Sciences and Food Technology, </vt:lpstr>
      <vt:lpstr>Faculty of Science and Technology,</vt:lpstr>
      <vt:lpstr>Universiti Kebangsaan Malaysia, 43600 UKM Bangi, Selangor, Malaysia</vt:lpstr>
      <vt:lpstr/>
      <vt:lpstr>*Corresponding author:  syareeda@ukm.edu.my</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2018-01-16T03:03:00Z</dcterms:created>
  <dcterms:modified xsi:type="dcterms:W3CDTF">2018-01-16T03:07:00Z</dcterms:modified>
</cp:coreProperties>
</file>