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C1B8D" w:rsidRPr="00FB7475" w:rsidRDefault="004C1B8D" w:rsidP="004C1B8D">
      <w:pPr>
        <w:spacing w:after="0" w:line="240" w:lineRule="auto"/>
        <w:jc w:val="center"/>
        <w:outlineLvl w:val="0"/>
        <w:rPr>
          <w:rFonts w:ascii="Times New Roman" w:hAnsi="Times New Roman"/>
          <w:sz w:val="28"/>
        </w:rPr>
      </w:pPr>
      <w:r w:rsidRPr="00FB7475">
        <w:rPr>
          <w:rFonts w:ascii="Times New Roman" w:hAnsi="Times New Roman"/>
          <w:sz w:val="28"/>
        </w:rPr>
        <w:t>SEPARATION OF Pb(II) FROM WASTEWATER USING UNTREATED COCONUT (</w:t>
      </w:r>
      <w:r>
        <w:rPr>
          <w:rFonts w:ascii="Times New Roman" w:hAnsi="Times New Roman"/>
          <w:i/>
          <w:sz w:val="28"/>
        </w:rPr>
        <w:t>C</w:t>
      </w:r>
      <w:r w:rsidRPr="00FB7475">
        <w:rPr>
          <w:rFonts w:ascii="Times New Roman" w:hAnsi="Times New Roman"/>
          <w:i/>
          <w:sz w:val="28"/>
        </w:rPr>
        <w:t>ocos nucifera</w:t>
      </w:r>
      <w:r w:rsidRPr="00FB7475">
        <w:rPr>
          <w:rFonts w:ascii="Times New Roman" w:hAnsi="Times New Roman"/>
          <w:sz w:val="28"/>
        </w:rPr>
        <w:t xml:space="preserve">) FROND POWDER </w:t>
      </w:r>
    </w:p>
    <w:p w:rsidR="004C1B8D" w:rsidRPr="004C1B8D" w:rsidRDefault="004C1B8D" w:rsidP="004C1B8D">
      <w:pPr>
        <w:spacing w:after="0" w:line="240" w:lineRule="auto"/>
        <w:jc w:val="center"/>
        <w:outlineLvl w:val="0"/>
        <w:rPr>
          <w:rFonts w:ascii="Times New Roman" w:hAnsi="Times New Roman"/>
          <w:b/>
          <w:color w:val="548DD4" w:themeColor="text2" w:themeTint="99"/>
          <w:sz w:val="24"/>
          <w:szCs w:val="24"/>
        </w:rPr>
      </w:pPr>
    </w:p>
    <w:p w:rsidR="004C1B8D" w:rsidRDefault="004C1B8D" w:rsidP="004C1B8D">
      <w:pPr>
        <w:spacing w:after="0" w:line="240" w:lineRule="auto"/>
        <w:jc w:val="center"/>
        <w:outlineLvl w:val="0"/>
        <w:rPr>
          <w:rFonts w:ascii="Times New Roman" w:hAnsi="Times New Roman"/>
          <w:sz w:val="24"/>
          <w:lang w:val="ms-MY"/>
        </w:rPr>
      </w:pPr>
      <w:r>
        <w:rPr>
          <w:rFonts w:ascii="Times New Roman" w:hAnsi="Times New Roman"/>
          <w:sz w:val="24"/>
        </w:rPr>
        <w:t>(</w:t>
      </w:r>
      <w:r w:rsidRPr="00586017">
        <w:rPr>
          <w:rFonts w:ascii="Times New Roman" w:hAnsi="Times New Roman"/>
          <w:sz w:val="24"/>
          <w:lang w:val="ms-MY"/>
        </w:rPr>
        <w:t xml:space="preserve">Pengasingan Pb(II) daripada Air Buangan Menggunakan Serbuk Pelepah Kelapa </w:t>
      </w:r>
    </w:p>
    <w:p w:rsidR="004C1B8D" w:rsidRPr="004C1B8D" w:rsidRDefault="004C1B8D" w:rsidP="004C1B8D">
      <w:pPr>
        <w:spacing w:after="0" w:line="240" w:lineRule="auto"/>
        <w:jc w:val="center"/>
        <w:outlineLvl w:val="0"/>
        <w:rPr>
          <w:rFonts w:ascii="Times New Roman" w:hAnsi="Times New Roman"/>
          <w:sz w:val="24"/>
          <w:lang w:val="ms-MY"/>
        </w:rPr>
      </w:pPr>
      <w:r w:rsidRPr="00586017">
        <w:rPr>
          <w:rFonts w:ascii="Times New Roman" w:hAnsi="Times New Roman"/>
          <w:sz w:val="24"/>
          <w:lang w:val="ms-MY"/>
        </w:rPr>
        <w:t>(</w:t>
      </w:r>
      <w:r w:rsidRPr="00586017">
        <w:rPr>
          <w:rFonts w:ascii="Times New Roman" w:hAnsi="Times New Roman"/>
          <w:i/>
          <w:sz w:val="24"/>
          <w:lang w:val="ms-MY"/>
        </w:rPr>
        <w:t>Cocos nucifera</w:t>
      </w:r>
      <w:r w:rsidRPr="00586017">
        <w:rPr>
          <w:rFonts w:ascii="Times New Roman" w:hAnsi="Times New Roman"/>
          <w:sz w:val="24"/>
          <w:lang w:val="ms-MY"/>
        </w:rPr>
        <w:t>) yang Tidak Dirawat</w:t>
      </w:r>
      <w:r>
        <w:rPr>
          <w:rFonts w:ascii="Times New Roman" w:hAnsi="Times New Roman"/>
          <w:sz w:val="24"/>
        </w:rPr>
        <w:t>)</w:t>
      </w:r>
    </w:p>
    <w:p w:rsidR="004C1B8D" w:rsidRPr="004C1B8D" w:rsidRDefault="004C1B8D" w:rsidP="004C1B8D">
      <w:pPr>
        <w:spacing w:after="0" w:line="240" w:lineRule="auto"/>
        <w:jc w:val="center"/>
        <w:outlineLvl w:val="0"/>
        <w:rPr>
          <w:rFonts w:ascii="Times New Roman" w:hAnsi="Times New Roman"/>
          <w:b/>
          <w:color w:val="548DD4" w:themeColor="text2" w:themeTint="99"/>
          <w:sz w:val="20"/>
          <w:szCs w:val="20"/>
        </w:rPr>
      </w:pPr>
    </w:p>
    <w:p w:rsidR="004C1B8D" w:rsidRPr="004C1B8D" w:rsidRDefault="004C1B8D" w:rsidP="004C1B8D">
      <w:pPr>
        <w:spacing w:after="0" w:line="240" w:lineRule="auto"/>
        <w:jc w:val="center"/>
        <w:outlineLvl w:val="0"/>
        <w:rPr>
          <w:rFonts w:ascii="Times New Roman" w:hAnsi="Times New Roman"/>
          <w:color w:val="548DD4" w:themeColor="text2" w:themeTint="99"/>
          <w:sz w:val="20"/>
          <w:szCs w:val="20"/>
        </w:rPr>
      </w:pPr>
      <w:r w:rsidRPr="004C1B8D">
        <w:rPr>
          <w:rFonts w:ascii="Times New Roman" w:hAnsi="Times New Roman"/>
          <w:sz w:val="20"/>
          <w:szCs w:val="20"/>
        </w:rPr>
        <w:t xml:space="preserve">Nur Fatin Adlina Mohd Fouzi, Mardhiah Ismail*, Zurhana Mat Hussin, Sarah Laila Mohd Jan </w:t>
      </w:r>
    </w:p>
    <w:p w:rsidR="004C1B8D" w:rsidRPr="004C1B8D" w:rsidRDefault="004C1B8D" w:rsidP="004C1B8D">
      <w:pPr>
        <w:spacing w:after="0" w:line="240" w:lineRule="auto"/>
        <w:jc w:val="center"/>
        <w:outlineLvl w:val="0"/>
        <w:rPr>
          <w:rFonts w:ascii="Times New Roman" w:hAnsi="Times New Roman"/>
          <w:b/>
          <w:color w:val="FF0000"/>
          <w:sz w:val="18"/>
          <w:szCs w:val="18"/>
        </w:rPr>
      </w:pPr>
    </w:p>
    <w:p w:rsidR="004C1B8D" w:rsidRDefault="004C1B8D" w:rsidP="004C1B8D">
      <w:pPr>
        <w:spacing w:after="0" w:line="240" w:lineRule="auto"/>
        <w:jc w:val="center"/>
        <w:outlineLvl w:val="0"/>
        <w:rPr>
          <w:rFonts w:ascii="Times New Roman" w:hAnsi="Times New Roman"/>
          <w:i/>
          <w:sz w:val="18"/>
          <w:szCs w:val="18"/>
        </w:rPr>
      </w:pPr>
      <w:r>
        <w:rPr>
          <w:rFonts w:ascii="Times New Roman" w:hAnsi="Times New Roman"/>
          <w:i/>
          <w:sz w:val="18"/>
          <w:szCs w:val="18"/>
        </w:rPr>
        <w:t>Faculty of Applied Sciences,</w:t>
      </w:r>
    </w:p>
    <w:p w:rsidR="004C1B8D" w:rsidRPr="00BC33C1" w:rsidRDefault="004C1B8D" w:rsidP="004C1B8D">
      <w:pPr>
        <w:spacing w:after="0" w:line="240" w:lineRule="auto"/>
        <w:jc w:val="center"/>
        <w:outlineLvl w:val="0"/>
        <w:rPr>
          <w:rFonts w:ascii="Times New Roman" w:hAnsi="Times New Roman"/>
          <w:i/>
          <w:sz w:val="18"/>
          <w:szCs w:val="18"/>
        </w:rPr>
      </w:pPr>
      <w:r w:rsidRPr="00BC33C1">
        <w:rPr>
          <w:rFonts w:ascii="Times New Roman" w:hAnsi="Times New Roman"/>
          <w:i/>
          <w:sz w:val="18"/>
          <w:szCs w:val="18"/>
        </w:rPr>
        <w:t>Universiti Teknologi MARA Pahang</w:t>
      </w:r>
      <w:r>
        <w:rPr>
          <w:rFonts w:ascii="Times New Roman" w:hAnsi="Times New Roman"/>
          <w:i/>
          <w:sz w:val="18"/>
          <w:szCs w:val="18"/>
        </w:rPr>
        <w:t xml:space="preserve">, 26400 </w:t>
      </w:r>
      <w:r w:rsidRPr="00BC33C1">
        <w:rPr>
          <w:rFonts w:ascii="Times New Roman" w:hAnsi="Times New Roman"/>
          <w:i/>
          <w:sz w:val="18"/>
          <w:szCs w:val="18"/>
        </w:rPr>
        <w:t>Bandar Tun Abdul Razak Jengka, Pahang, Malaysia</w:t>
      </w:r>
    </w:p>
    <w:p w:rsidR="004C1B8D" w:rsidRPr="00CA2439" w:rsidRDefault="004C1B8D" w:rsidP="004C1B8D">
      <w:pPr>
        <w:spacing w:after="0" w:line="240" w:lineRule="auto"/>
        <w:jc w:val="center"/>
        <w:outlineLvl w:val="0"/>
        <w:rPr>
          <w:rFonts w:ascii="Times New Roman" w:hAnsi="Times New Roman"/>
          <w:b/>
          <w:color w:val="548DD4" w:themeColor="text2" w:themeTint="99"/>
          <w:sz w:val="18"/>
          <w:szCs w:val="18"/>
        </w:rPr>
      </w:pPr>
    </w:p>
    <w:p w:rsidR="004C1B8D" w:rsidRPr="006A00A5" w:rsidRDefault="004C1B8D" w:rsidP="004C1B8D">
      <w:pPr>
        <w:spacing w:after="0" w:line="240" w:lineRule="auto"/>
        <w:jc w:val="center"/>
        <w:outlineLvl w:val="0"/>
        <w:rPr>
          <w:rFonts w:ascii="Times New Roman" w:hAnsi="Times New Roman"/>
          <w:i/>
          <w:color w:val="548DD4" w:themeColor="text2" w:themeTint="99"/>
          <w:sz w:val="18"/>
        </w:rPr>
      </w:pPr>
      <w:r w:rsidRPr="006A00A5">
        <w:rPr>
          <w:rFonts w:ascii="Times New Roman" w:hAnsi="Times New Roman"/>
          <w:i/>
          <w:sz w:val="18"/>
          <w:vertAlign w:val="superscript"/>
        </w:rPr>
        <w:t>*</w:t>
      </w:r>
      <w:r w:rsidRPr="006A00A5">
        <w:rPr>
          <w:rFonts w:ascii="Times New Roman" w:hAnsi="Times New Roman"/>
          <w:i/>
          <w:sz w:val="18"/>
        </w:rPr>
        <w:t xml:space="preserve">Corresponding author: </w:t>
      </w:r>
      <w:r>
        <w:rPr>
          <w:rFonts w:ascii="Times New Roman" w:hAnsi="Times New Roman"/>
          <w:i/>
          <w:sz w:val="18"/>
        </w:rPr>
        <w:t xml:space="preserve"> </w:t>
      </w:r>
      <w:r w:rsidRPr="006A00A5">
        <w:rPr>
          <w:rFonts w:ascii="Times New Roman" w:hAnsi="Times New Roman"/>
          <w:i/>
          <w:sz w:val="18"/>
        </w:rPr>
        <w:t>marismael@pahang.uitm.edu.my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B4F34">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FB4F34">
        <w:rPr>
          <w:rFonts w:ascii="Times New Roman" w:hAnsi="Times New Roman"/>
          <w:noProof/>
          <w:sz w:val="18"/>
          <w:szCs w:val="18"/>
          <w:lang w:bidi="ar-SA"/>
        </w:rPr>
        <w:t>1 December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643DD" w:rsidRPr="006A00A5" w:rsidRDefault="00D643DD" w:rsidP="00D643DD">
      <w:pPr>
        <w:spacing w:after="0" w:line="240" w:lineRule="auto"/>
        <w:jc w:val="both"/>
        <w:outlineLvl w:val="0"/>
        <w:rPr>
          <w:rFonts w:ascii="Times New Roman" w:hAnsi="Times New Roman"/>
          <w:sz w:val="18"/>
          <w:szCs w:val="18"/>
        </w:rPr>
      </w:pPr>
      <w:r w:rsidRPr="006A00A5">
        <w:rPr>
          <w:rFonts w:ascii="Times New Roman" w:hAnsi="Times New Roman"/>
          <w:sz w:val="18"/>
          <w:szCs w:val="18"/>
        </w:rPr>
        <w:t>The adsorption of Pb(II) ion from wastewater by coconut frond powder was evaluated in the batch adsorption process. Characteristic of the coconut frond powder (CFP) was determined by performing a pH</w:t>
      </w:r>
      <w:r w:rsidRPr="006A00A5">
        <w:rPr>
          <w:rFonts w:ascii="Times New Roman" w:hAnsi="Times New Roman"/>
          <w:sz w:val="18"/>
          <w:szCs w:val="18"/>
          <w:vertAlign w:val="subscript"/>
        </w:rPr>
        <w:t>zpc</w:t>
      </w:r>
      <w:r w:rsidRPr="006A00A5">
        <w:rPr>
          <w:rFonts w:ascii="Times New Roman" w:hAnsi="Times New Roman"/>
          <w:sz w:val="18"/>
          <w:szCs w:val="18"/>
        </w:rPr>
        <w:t xml:space="preserve"> analysis and also infra-red spectroscopy analysis for the investigation of the functional group on CFP surface. The batch adsorption study was carried out using five parameters including the effect of pH, the effect of adsorbent dosage, the effect of initial concentration and contact time, the kinetic and isotherm study. The optimum dosage used in this study was 0.0.4 g while the optimum pH for the adsorption of lead ions was pH 4. The adsorption capacities depended on lead concentration and contact time. It required a relatively short period of time to reach an equilibrium which is less than 60 minutes. Two kinetics models; pseudo first order and pseudo second order were used to analyze the lead adsorption process. Pseudo second order model was found to fit well enough the experimental data compared to pseudo first order. </w:t>
      </w:r>
    </w:p>
    <w:p w:rsidR="00D643DD" w:rsidRPr="006A00A5" w:rsidRDefault="00D643DD" w:rsidP="00D643DD">
      <w:pPr>
        <w:spacing w:after="0" w:line="240" w:lineRule="auto"/>
        <w:jc w:val="both"/>
        <w:outlineLvl w:val="0"/>
        <w:rPr>
          <w:rFonts w:ascii="Times New Roman" w:hAnsi="Times New Roman"/>
          <w:sz w:val="18"/>
          <w:szCs w:val="18"/>
        </w:rPr>
      </w:pPr>
    </w:p>
    <w:p w:rsidR="00D643DD" w:rsidRPr="006A00A5" w:rsidRDefault="00D643DD" w:rsidP="00D643DD">
      <w:pPr>
        <w:spacing w:after="0" w:line="240" w:lineRule="auto"/>
        <w:jc w:val="both"/>
        <w:outlineLvl w:val="0"/>
        <w:rPr>
          <w:rFonts w:ascii="Times New Roman" w:hAnsi="Times New Roman"/>
          <w:color w:val="548DD4" w:themeColor="text2" w:themeTint="99"/>
          <w:sz w:val="18"/>
          <w:szCs w:val="18"/>
        </w:rPr>
      </w:pPr>
      <w:r w:rsidRPr="006A00A5">
        <w:rPr>
          <w:rFonts w:ascii="Times New Roman" w:hAnsi="Times New Roman"/>
          <w:b/>
          <w:sz w:val="18"/>
          <w:szCs w:val="18"/>
        </w:rPr>
        <w:t>Keyword</w:t>
      </w:r>
      <w:r>
        <w:rPr>
          <w:rFonts w:ascii="Times New Roman" w:hAnsi="Times New Roman"/>
          <w:b/>
          <w:sz w:val="18"/>
          <w:szCs w:val="18"/>
        </w:rPr>
        <w:t>s</w:t>
      </w:r>
      <w:r w:rsidRPr="006A00A5">
        <w:rPr>
          <w:rFonts w:ascii="Times New Roman" w:hAnsi="Times New Roman"/>
          <w:sz w:val="18"/>
          <w:szCs w:val="18"/>
        </w:rPr>
        <w:t xml:space="preserve">: </w:t>
      </w:r>
      <w:r>
        <w:rPr>
          <w:rFonts w:ascii="Times New Roman" w:hAnsi="Times New Roman"/>
          <w:sz w:val="18"/>
          <w:szCs w:val="18"/>
        </w:rPr>
        <w:t xml:space="preserve"> </w:t>
      </w:r>
      <w:r w:rsidRPr="006A00A5">
        <w:rPr>
          <w:rFonts w:ascii="Times New Roman" w:hAnsi="Times New Roman"/>
          <w:sz w:val="18"/>
          <w:szCs w:val="18"/>
        </w:rPr>
        <w:t xml:space="preserve">adsorption, </w:t>
      </w:r>
      <w:r>
        <w:rPr>
          <w:rFonts w:ascii="Times New Roman" w:hAnsi="Times New Roman"/>
          <w:i/>
          <w:sz w:val="18"/>
          <w:szCs w:val="18"/>
        </w:rPr>
        <w:t>C</w:t>
      </w:r>
      <w:r w:rsidRPr="006A00A5">
        <w:rPr>
          <w:rFonts w:ascii="Times New Roman" w:hAnsi="Times New Roman"/>
          <w:i/>
          <w:sz w:val="18"/>
          <w:szCs w:val="18"/>
        </w:rPr>
        <w:t>ocos nucifera</w:t>
      </w:r>
      <w:r w:rsidRPr="006A00A5">
        <w:rPr>
          <w:rFonts w:ascii="Times New Roman" w:hAnsi="Times New Roman"/>
          <w:sz w:val="18"/>
          <w:szCs w:val="18"/>
        </w:rPr>
        <w:t xml:space="preserve">, kinetic, lead </w:t>
      </w:r>
    </w:p>
    <w:p w:rsidR="00D643DD" w:rsidRPr="00001D81" w:rsidRDefault="00D643DD" w:rsidP="00D643DD">
      <w:pPr>
        <w:spacing w:after="0" w:line="240" w:lineRule="auto"/>
        <w:jc w:val="center"/>
        <w:outlineLvl w:val="0"/>
        <w:rPr>
          <w:rFonts w:ascii="Times New Roman" w:hAnsi="Times New Roman"/>
          <w:b/>
          <w:color w:val="548DD4" w:themeColor="text2" w:themeTint="99"/>
        </w:rPr>
      </w:pPr>
    </w:p>
    <w:p w:rsidR="00D643DD" w:rsidRPr="00586017" w:rsidRDefault="00D643DD" w:rsidP="00D643DD">
      <w:pPr>
        <w:spacing w:after="0" w:line="240" w:lineRule="auto"/>
        <w:jc w:val="center"/>
        <w:outlineLvl w:val="0"/>
        <w:rPr>
          <w:rFonts w:ascii="Times New Roman" w:hAnsi="Times New Roman"/>
          <w:b/>
          <w:sz w:val="18"/>
          <w:szCs w:val="18"/>
          <w:lang w:val="ms-MY"/>
        </w:rPr>
      </w:pPr>
      <w:r w:rsidRPr="00586017">
        <w:rPr>
          <w:rFonts w:ascii="Times New Roman" w:hAnsi="Times New Roman"/>
          <w:b/>
          <w:sz w:val="18"/>
          <w:szCs w:val="18"/>
          <w:lang w:val="ms-MY"/>
        </w:rPr>
        <w:t>Abstrak</w:t>
      </w:r>
    </w:p>
    <w:p w:rsidR="00D643DD" w:rsidRPr="00586017" w:rsidRDefault="00D643DD" w:rsidP="00D643DD">
      <w:pPr>
        <w:spacing w:after="0" w:line="240" w:lineRule="auto"/>
        <w:jc w:val="both"/>
        <w:outlineLvl w:val="0"/>
        <w:rPr>
          <w:rFonts w:ascii="Times New Roman" w:hAnsi="Times New Roman"/>
          <w:sz w:val="18"/>
          <w:szCs w:val="18"/>
          <w:lang w:val="ms-MY"/>
        </w:rPr>
      </w:pPr>
      <w:r w:rsidRPr="00586017">
        <w:rPr>
          <w:rFonts w:ascii="Times New Roman" w:hAnsi="Times New Roman"/>
          <w:sz w:val="18"/>
          <w:szCs w:val="18"/>
          <w:lang w:val="ms-MY"/>
        </w:rPr>
        <w:t>Penjerapan Pb(II) ion daripada sisa air oleh serbuk pelepah kelapa telah dinilai menggunakan proses penjerapan secara berkelompok. Ciri-ciri serbuk pelepah kelapa (CFP) telah ditentukan dengan menjalankan analisa pH</w:t>
      </w:r>
      <w:r w:rsidRPr="00586017">
        <w:rPr>
          <w:rFonts w:ascii="Times New Roman" w:hAnsi="Times New Roman"/>
          <w:sz w:val="18"/>
          <w:szCs w:val="18"/>
          <w:vertAlign w:val="subscript"/>
          <w:lang w:val="ms-MY"/>
        </w:rPr>
        <w:t>zpc</w:t>
      </w:r>
      <w:r w:rsidRPr="00586017">
        <w:rPr>
          <w:rFonts w:ascii="Times New Roman" w:hAnsi="Times New Roman"/>
          <w:sz w:val="18"/>
          <w:szCs w:val="18"/>
          <w:lang w:val="ms-MY"/>
        </w:rPr>
        <w:t xml:space="preserve"> dan juga spektroskopi infra-merah untuk mengkaji kumpulan-kumpulan berfungsi pada permukaan CFP. Kajian penjerapan berkelompok telah dijalankan dengan menilai lima parameter termasuk kesan pH, kesan dos penjerap, kesan kepekatan awal dan masa penjerapan, kajian kinetic dan kajian isoterma. Dos penjerap yang optimum diperolehi adalah 0.04 g sementara pH optima adalah pH 4. Kapasiti penjerapan bergantung kepada kepekatan larutan plumbum dan masa tindak balas. Proses penjerapan memerlukan masa yang pendek untuk mencapai keseimbangan iaitu kurang daripada 60 minit. Dua model kinetik; pseudo peringkat pertama dan pseudo peringkat kedua telah digunakan untuk menilai proses penjerapan plumbum. Model pseudo peringkat kedua didapati lebih sesuai untuk membincangkan data kinetic berbanding model pseudo peringkat pertama.</w:t>
      </w:r>
    </w:p>
    <w:p w:rsidR="00D643DD" w:rsidRPr="00586017" w:rsidRDefault="00D643DD" w:rsidP="00D643DD">
      <w:pPr>
        <w:spacing w:after="0" w:line="240" w:lineRule="auto"/>
        <w:jc w:val="both"/>
        <w:outlineLvl w:val="0"/>
        <w:rPr>
          <w:rFonts w:ascii="Times New Roman" w:hAnsi="Times New Roman"/>
          <w:sz w:val="18"/>
          <w:szCs w:val="18"/>
          <w:lang w:val="ms-MY"/>
        </w:rPr>
      </w:pPr>
    </w:p>
    <w:p w:rsidR="006768E9" w:rsidRDefault="00D643DD" w:rsidP="00D643DD">
      <w:pPr>
        <w:spacing w:after="0" w:line="240" w:lineRule="auto"/>
        <w:jc w:val="both"/>
        <w:rPr>
          <w:rFonts w:ascii="Times New Roman" w:hAnsi="Times New Roman"/>
          <w:noProof/>
          <w:sz w:val="20"/>
          <w:szCs w:val="20"/>
          <w:lang w:bidi="ar-SA"/>
        </w:rPr>
      </w:pPr>
      <w:r w:rsidRPr="00586017">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p</w:t>
      </w:r>
      <w:r w:rsidRPr="00586017">
        <w:rPr>
          <w:rFonts w:ascii="Times New Roman" w:hAnsi="Times New Roman"/>
          <w:sz w:val="18"/>
          <w:szCs w:val="18"/>
          <w:lang w:val="ms-MY"/>
        </w:rPr>
        <w:t xml:space="preserve">enjerapan, </w:t>
      </w:r>
      <w:r w:rsidRPr="00586017">
        <w:rPr>
          <w:rFonts w:ascii="Times New Roman" w:hAnsi="Times New Roman"/>
          <w:i/>
          <w:sz w:val="18"/>
          <w:szCs w:val="18"/>
          <w:lang w:val="ms-MY"/>
        </w:rPr>
        <w:t>Cocos nucifera</w:t>
      </w:r>
      <w:r w:rsidRPr="00586017">
        <w:rPr>
          <w:rFonts w:ascii="Times New Roman" w:hAnsi="Times New Roman"/>
          <w:sz w:val="18"/>
          <w:szCs w:val="18"/>
          <w:lang w:val="ms-MY"/>
        </w:rPr>
        <w:t>, kinetik, plumbum</w:t>
      </w:r>
    </w:p>
    <w:p w:rsidR="00494C46" w:rsidRDefault="00494C46" w:rsidP="00F447A7">
      <w:pPr>
        <w:spacing w:after="0" w:line="240" w:lineRule="auto"/>
        <w:jc w:val="center"/>
        <w:rPr>
          <w:rFonts w:ascii="Times New Roman" w:hAnsi="Times New Roman"/>
          <w:noProof/>
          <w:sz w:val="20"/>
          <w:szCs w:val="20"/>
          <w:lang w:bidi="ar-SA"/>
        </w:rPr>
      </w:pPr>
    </w:p>
    <w:p w:rsidR="00D643DD" w:rsidRPr="00BE7C30" w:rsidRDefault="00D643D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 xml:space="preserve">The presence of heavy metal in the aquatic environment has become a great concern to scientist and also world community due to the toxic nature and negative effect on the receiving water.  The major sources of the heavy metal come from industries such as metal electroplating, mining, painting, plumbing, battery manufacturing and many other industries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"10.1016/j.biortech.2013.08.124", "ISSN" : "1873-2976", "PMID" : "24045220", "abstract" : "This critical review discusses the potential use of agricultural waste based biosorbents (AWBs) for sequestering heavy metals in terms of their adsorption capacities, binding mechanisms, operating factors and pretreatment methods. The literature survey indicates that AWBs have shown equal or even greater adsorption capacities compared to conventional adsorbents. Thanks to modern molecular biotechnologies, the roles of functional groups in biosorption process are better understood. Of process factors, pH appears to be the most influential. In most cases, chemical pretreatments bring about an obvious improvement in metal uptake capacity. However, there are still several gaps, which require further investigation, such as (i) searching for novel, multi-function AWBs, (ii) developing cost-effective modification methods and (iii) assessing AWBs under multi-metal and real wastewater systems. Once these challenges are settled, the replacement of traditional adsorbents by AWBs in decontaminating heavy metals from wastewater can be expected in the future.", "author" : [ { "dropping-particle" : "", "family" : "Nguyen", "given" : "T H", "non-dropping-particle" : "", "parse-names" : false, "suffix" : "" }, { "dropping-particle" : "", "family" : "Ngo", "given" : "H H", "non-dropping-particle" : "", "parse-names" : false, "suffix" : "" }, { "dropping-particle" : "", "family" : "Guo", "given" : "W S", "non-dropping-particle" : "", "parse-names" : false, "suffix" : "" }, { "dropping-particle" : "", "family" : "Zhang", "given" : "J", "non-dropping-particle" : "", "parse-names" : false, "suffix" : "" }, { "dropping-particle" : "", "family" : "Liang", "given" : "S", "non-dropping-particle" : "", "parse-names" : false, "suffix" : "" }, { "dropping-particle" : "", "family" : "Yue", "given" : "Q Y", "non-dropping-particle" : "", "parse-names" : false, "suffix" : "" }, { "dropping-particle" : "", "family" : "Li", "given" : "Q", "non-dropping-particle" : "", "parse-names" : false, "suffix" : "" }, { "dropping-particle" : "V", "family" : "Nguyen", "given" : "T", "non-dropping-particle" : "", "parse-names" : false, "suffix" : "" } ], "container-title" : "Bioresource technology", "id" : "ITEM-1", "issued" : { "date-parts" : [ [ "2013", "11" ] ] }, "page" : "574-85", "title" : "Applicability of agricultural waste and by-products for adsorptive removal of heavy metals from wastewater.", "type" : "article-journal", "volume" : "148" }, "uris" : [ "http://www.mendeley.com/documents/?uuid=391d855e-6280-465d-83a3-b6462ed0df0e" ] }, { "id" : "ITEM-2", "itemData" : { "DOI" : "10.1016/S0960-8524(00)00072-9", "ISBN" : "0960-8524", "ISSN" : "09608524", "PMID" : "11315812", "abstract" : "Activated carbon was prepared from coirpith by a chemical activation method and characterized. The adsorption of toxic heavy metals, Hg(II), Pb(II), Cd(II), Ni(II), and Cu(II) was studied using synthetic solutions and was reported elsewhere. In the present work the adsorption of toxic heavy metals from industrial wastewaters onto coirpith carbon was studied. The percent adsorption increased with increase in pH from 2 to 6 and remained constant up to 10. As coirpith is discarded as waste from coir processing industries, the resulting carbon is expected to be an economical product for the removal of toxic heavy metals from industrial wastewaters. Copyright (C) 2000 Elsevier Science Ltd.", "author" : [ { "dropping-particle" : "", "family" : "Kadirvelu", "given" : "K.", "non-dropping-particle" : "", "parse-names" : false, "suffix" : "" }, { "dropping-particle" : "", "family" : "Thamaraiselvi", "given" : "K.", "non-dropping-particle" : "", "parse-names" : false, "suffix" : "" }, { "dropping-particle" : "", "family" : "Namasivayam", "given" : "C.", "non-dropping-particle" : "", "parse-names" : false, "suffix" : "" } ], "container-title" : "Bioresource Technology", "id" : "ITEM-2", "issue" : "1", "issued" : { "date-parts" : [ [ "2001" ] ] }, "page" : "63-65", "title" : "Removal of heavy metals from industrial wastewaters by adsorption onto activated carbon prepared from an agricultural solid waste", "type" : "article-journal", "volume" : "76" }, "uris" : [ "http://www.mendeley.com/documents/?uuid=de4819c3-bc7f-4b24-9fc7-aa03d77c9073" ] } ], "mendeley" : { "formattedCitation" : "[1], [2]", "plainTextFormattedCitation" : "[1], [2]", "previouslyFormattedCitation" : "[1], [2]"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[1,2]</w:t>
      </w:r>
      <w:r w:rsidRPr="00D643DD">
        <w:rPr>
          <w:rFonts w:ascii="Times New Roman" w:hAnsi="Times New Roman"/>
          <w:sz w:val="20"/>
          <w:szCs w:val="20"/>
        </w:rPr>
        <w:fldChar w:fldCharType="end"/>
      </w:r>
      <w:r w:rsidRPr="00D643DD">
        <w:rPr>
          <w:rFonts w:ascii="Times New Roman" w:hAnsi="Times New Roman"/>
          <w:sz w:val="20"/>
          <w:szCs w:val="20"/>
        </w:rPr>
        <w:t xml:space="preserve">. </w:t>
      </w:r>
    </w:p>
    <w:p w:rsidR="00D643DD" w:rsidRPr="00D643DD" w:rsidRDefault="00D643DD" w:rsidP="00D643DD">
      <w:pPr>
        <w:spacing w:after="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 xml:space="preserve">The word heavy metal attribute to any metallic element that has a relatively high density, specific gravity or atomic weight. The heavy metal is toxic and poisonous even at low concentration. Heavy metals exist naturally in the Earth's crust and also being released into surrounding due to human activities. It can be found in water, sediment, soil, microorganism and rock with natural background concentration. Heavy metals cannot be degraded and destroyed; hence, it will persist in the environment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"10.1016/j.proenv.2011.09.146", "ISBN" : "ISSN 1992 - 1950", "ISSN" : "18780296", "PMID" : "18639348", "abstract" : "Some heavy metals have bio-importance as trace elements but, the biotoxic effects of many of them in human biochemistry are of great concern. Hence, there is the need for proper understanding of the conditions, such as the concentrations and oxidation states, which make them harmful, and how biotoxicity occurs. It is also important to know their sources, leaching processes, chemical conversions and their modes of deposition to pollute the environment, which essentially supports lives. Literature sources point to the fact that these metals are released into the environment by both natural and anthropogenic sources, especially mining and industrial activities, and automobile exhausts (for lead). They leach into underground waters, moving along water pathways and eventually depositing in the aquifer, or are washed away by run-off into surface waters thereby resulting in water and subsequently soil pollution. Poisoning and toxicity in animals occur frequently through exchange and co-ordination mechanisms. When ingested, they combine with the body\u2019s biomolecules, like proteins and enzymes to form stable biotoxic compounds, thereby mutilating their structures and hindering them from the bioreactions of their functions. This paper reviews certain heavy metals and their biotoxic effects on man and the mechanisms of their biochemical activities.", "author" : [ { "dropping-particle" : "", "family" : "Duruibe", "given" : "J O", "non-dropping-particle" : "", "parse-names" : false, "suffix" : "" }, { "dropping-particle" : "", "family" : "Ogwuegbu", "given" : "M O C", "non-dropping-particle" : "", "parse-names" : false, "suffix" : "" }, { "dropping-particle" : "", "family" : "Egwurugwu", "given" : "J N", "non-dropping-particle" : "", "parse-names" : false, "suffix" : "" } ], "container-title" : "International Journal of Physical Sciences", "id" : "ITEM-1", "issue" : "5", "issued" : { "date-parts" : [ [ "2007" ] ] }, "page" : "112-118", "title" : "Heavy metal pollution and human biotoxic effects", "type" : "article-journal", "volume" : "2" }, "uris" : [ "http://www.mendeley.com/documents/?uuid=98a71557-f931-43b8-af54-e07d6ee9b25c" ] } ], "mendeley" : { "formattedCitation" : "[3]", "plainTextFormattedCitation" : "[3]", "previouslyFormattedCitation" : "[3]"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[3]</w:t>
      </w:r>
      <w:r w:rsidRPr="00D643DD">
        <w:rPr>
          <w:rFonts w:ascii="Times New Roman" w:hAnsi="Times New Roman"/>
          <w:sz w:val="20"/>
          <w:szCs w:val="20"/>
        </w:rPr>
        <w:fldChar w:fldCharType="end"/>
      </w:r>
      <w:r w:rsidRPr="00D643DD">
        <w:rPr>
          <w:rFonts w:ascii="Times New Roman" w:hAnsi="Times New Roman"/>
          <w:sz w:val="20"/>
          <w:szCs w:val="20"/>
        </w:rPr>
        <w:t>. An example of heavy metals includes mercury, lead, cadmium, arsenic, copper, iron, and thallium. When absorbed by human body, it can cause the physiological and neurological disorder. Heavy metal can enter human bodies via food, air, and drinking. Some heavy metals such as copper, selenium, and zinc are fundamental to maintain the metabolism of the human body. However, at higher concentration, heavy metal can lead to poisoning through high ambient air concentration near emission sources or via the food chain.</w:t>
      </w:r>
    </w:p>
    <w:p w:rsidR="00D643DD" w:rsidRPr="00D643DD" w:rsidRDefault="00D643DD" w:rsidP="00D643DD">
      <w:pPr>
        <w:spacing w:after="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Lead can be considered as a hazardous metal due to its negative effect on the human nervous system, blood circulation system, kidneys and reproductive system[4,</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"10.1016/j.apsusc.2008.11.024", "ISSN" : "01694332", "abstract" : "Spent grain, a main by-product of the brewing industry, is available in large quantities, but its main application has been limited to animal feeding. Nevertheless, in this study, spent grain modified with 1 M NaCl solution as a novel adsorbent has been used for the adsorption of Pb(II) in aqueous solutions. Isotherms, kinetics and thermodynamics of Pb(II) adsorption onto modified spent grain were studied. The equilibrium data were well fitted with Langmuir, Freundlich and Dubinin-Radushkevick (D-R) isotherm models. The kinetics of Pb(II) adsorption followed pseudo-second-order model, using the rate constants of pseudo-second-order model, the activation energy (Ea) of Pb(II) adsorption was determined as 12.33 kJ mol-1 according to the Arrhenius equation. Various thermodynamic parameters such as ??Gads, ??Hads and ??Sads were also calculated. Thermodynamic results indicate that Pb(II) adsorption onto modified spent grain is a spontaneous and endothermic process. Therefore, it can be concluded that modified spent grain as a new effective adsorbent has potential for Pb(II) removal from aqueous solutions. ?? 2008 Elsevier B.V. All rights reserved.", "author" : [ { "dropping-particle" : "", "family" : "Li", "given" : "Qingzhu", "non-dropping-particle" : "", "parse-names" : false, "suffix" : "" }, { "dropping-particle" : "", "family" : "Chai", "given" : "Liyuan", "non-dropping-particle" : "", "parse-names" : false, "suffix" : "" }, { "dropping-particle" : "", "family" : "Yang", "given" : "Zhihui", "non-dropping-particle" : "", "parse-names" : false, "suffix" : "" }, { "dropping-particle" : "", "family" : "Wang", "given" : "Qingwei", "non-dropping-particle" : "", "parse-names" : false, "suffix" : "" } ], "container-title" : "Applied Surface Science", "id" : "ITEM-1", "issue" : "7", "issued" : { "date-parts" : [ [ "2009" ] ] }, "page" : "4298-4303", "title" : "Kinetics and thermodynamics of Pb(II) adsorption onto modified spent grain from aqueous solutions", "type" : "article-journal", "volume" : "255" }, "uris" : [ "http://www.mendeley.com/documents/?uuid=bdcc9512-9741-4b08-a38c-69f9cf25d988" ] } ], "mendeley" : { "formattedCitation" : "[5]", "plainTextFormattedCitation" : "[5]", "previouslyFormattedCitation" : "[5]"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5]</w:t>
      </w:r>
      <w:r w:rsidRPr="00D643DD">
        <w:rPr>
          <w:rFonts w:ascii="Times New Roman" w:hAnsi="Times New Roman"/>
          <w:sz w:val="20"/>
          <w:szCs w:val="20"/>
        </w:rPr>
        <w:fldChar w:fldCharType="end"/>
      </w:r>
      <w:r w:rsidRPr="00D643DD">
        <w:rPr>
          <w:rFonts w:ascii="Times New Roman" w:hAnsi="Times New Roman"/>
          <w:sz w:val="20"/>
          <w:szCs w:val="20"/>
        </w:rPr>
        <w:t xml:space="preserve">. Usually, the common victim of lead poisoning is children and it can cause mental retardation and semi-permanent brain damage. Due to its toxicity and carcinogenic properties, it causes a serious threat to the human population and also flora and fauna when the lead discharged into wastewater. Lead get into the human body via inhalation, ingestion, and skin adsorption. It can affect organ and system in human body. It is necessary to discard this toxic heavy metal from wastewater before it is disposed of as this will avoid and reduce health hazard to both mankind and another living organism. Hence, lead from industrial wastewater must be properly treated to avoid it from reaching the water bodies. There are a few physicochemical methods that have been introduced in the removing of heavy metals from wastewater such as chemical precipitation, chemical coagulation, ultrafiltration, using natural zeolite ion exchange, adsorption, and electrochemical deposition. Many researchers have focused on untreated plant waste such as papaya wood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"10.1016/j.seppur.2005.02.004", "ISBN" : "1383-5866", "ISSN" : "13835866", "abstract" : "Papaya wood was evaluated as a new biosorbent of heavy metals. On contacting 10 mg l\n                        -l copper(II), cadmium(II) and zinc(II) solutions with 5 g l\n                        -1 papaya wood, during shake flask contact time of 60 min, the respective metal removal was noted to be 97.8, 94.9 and 66.8%. Sorption was most efficient at pH 5. Metal ion biosorption increased as the ratio of metal solution to the biomass quantity decreased. Conversely, biosorption/g biosorbent decreased as the quantity of biomass increased. The increase in initial metal ion concentration was associated with steep increase in biosorption at lower concentrations, progressively reaching towards plateau at higher metal concentrations. At equilibrium, the affinity of papaya wood to biosorb metals was in the order of copper(II) &gt; cadmium(II) &gt; zinc(II), which remained the same during the testing of variables of different factors. The biosorption data perfectly fit the Langmuir adsorption isotherms model with 0.99 regression coefficient (r\n                        2) for all the metals. The fit on Freundlich adsorption isotherms model was acceptable but not as good. The biosorption kinetics studies indicated that the data followed the second-order reaction with r \n                        2 of 0.99. The first-order reaction was not applicable to the data. The metal-loaded papaya wood was completely desorbed with 0.1N HCl. During repeated biosorption-desorption for five cycles, no loss in the efficiency of copper(II) and cadmium(II) removal from their respective solutions and the metal-loaded biomass was noted. The study points to the potential of a novel use of papaya wood, itself a cause of environmental degradation and otherwise of no utility, for the treatment of wastewaters contaminated with heavy metals. ?? 2005 Elsevier B.V. All rights reserved.", "author" : [ { "dropping-particle" : "", "family" : "Saeed", "given" : "Asma", "non-dropping-particle" : "", "parse-names" : false, "suffix" : "" }, { "dropping-particle" : "", "family" : "Akhter", "given" : "M. Waheed", "non-dropping-particle" : "", "parse-names" : false, "suffix" : "" }, { "dropping-particle" : "", "family" : "Iqbal", "given" : "Muhammed", "non-dropping-particle" : "", "parse-names" : false, "suffix" : "" } ], "container-title" : "Separation and Purification Technology", "id" : "ITEM-1", "issue" : "1", "issued" : { "date-parts" : [ [ "2005" ] ] }, "page" : "25-31", "title" : "Removal and recovery of heavy metals from aqueous solution using papaya wood as a new biosorbent", "type" : "article-journal", "volume" : "45" }, "uris" : [ "http://www.mendeley.com/documents/?uuid=77ff7d4d-fbe6-46ce-ae6a-d634011dae3d" ] } ], "mendeley" : { "formattedCitation" : "[6]", "plainTextFormattedCitation" : "[6]", "previouslyFormattedCitation" : "[6]"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[6]</w:t>
      </w:r>
      <w:r w:rsidRPr="00D643DD">
        <w:rPr>
          <w:rFonts w:ascii="Times New Roman" w:hAnsi="Times New Roman"/>
          <w:sz w:val="20"/>
          <w:szCs w:val="20"/>
        </w:rPr>
        <w:fldChar w:fldCharType="end"/>
      </w:r>
      <w:r w:rsidRPr="00D643DD">
        <w:rPr>
          <w:rFonts w:ascii="Times New Roman" w:hAnsi="Times New Roman"/>
          <w:sz w:val="20"/>
          <w:szCs w:val="20"/>
        </w:rPr>
        <w:t xml:space="preserve">, garlic peel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"10.1016/j.jhazmat.2008.08.084", "author" : [ { "dropping-particle" : "", "family" : "Hameed", "given" : "BH", "non-dropping-particle" : "", "parse-names" : false, "suffix" : "" }, { "dropping-particle" : "", "family" : "Ahmad", "given" : "AA", "non-dropping-particle" : "", "parse-names" : false, "suffix" : "" } ], "container-title" : "Journal of hazardous materials", "id" : "ITEM-1", "issued" : { "date-parts" : [ [ "2009" ] ] }, "page" : "870-875", "title" : "Batch adsorption of methylene blue from aqueous solution by garlic peel, an agricultural waste biomass", "type" : "article-journal", "volume" : "164" }, "uris" : [ "http://www.mendeley.com/documents/?uuid=f7efe062-2da6-4c3d-b453-415a0c05c788" ] } ], "mendeley" : { "formattedCitation" : "[7]", "plainTextFormattedCitation" : "[7]", "previouslyFormattedCitation" : "[7]"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[7]</w:t>
      </w:r>
      <w:r w:rsidRPr="00D643DD">
        <w:rPr>
          <w:rFonts w:ascii="Times New Roman" w:hAnsi="Times New Roman"/>
          <w:sz w:val="20"/>
          <w:szCs w:val="20"/>
        </w:rPr>
        <w:fldChar w:fldCharType="end"/>
      </w:r>
      <w:r w:rsidRPr="00D643DD">
        <w:rPr>
          <w:rFonts w:ascii="Times New Roman" w:hAnsi="Times New Roman"/>
          <w:sz w:val="20"/>
          <w:szCs w:val="20"/>
        </w:rPr>
        <w:t xml:space="preserve">, cotton [8, 9]. There are many advantages of using plant waste as an adsorbent in the treatment of wastewater such as it is a simple technique, low operation cost, great adsorption capacity, can be regenerate and the ability to adsorb heavy metal ions. However, besides the advantages of untreated plant waste, they also bring some problems such as low adsorption capacity, high in chemical oxygen demand (COD), biological chemical demand (BOD), and total organic carbon (TOC). This happened due to the release of the soluble organic compound in the plant materials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"10.1016/S0375-6742(97)00068-X", "ISBN" : "0375-6742", "ISSN" : "03756742", "abstract" : "Raw and chemically treated free barks were used for the decontamination of synethic solutions containing 10, 100 and 1000 ppm of arsenic, cadmium, copper, chromium, iron, lead, mercury, nickel and zinc. Industrial effluents were decontaminated on the laboratory and pilot scales. Metal removal from solutions depends on the Ph, the initial concentration, the bark species and, to some extent, on the anion. It varies from 20 to 99% of the initial heavy metal ions 'HMI' content in the solution. The average retention capacity of the treated bark varies from about 0.25 to 4.36 mmol/g of dry modified bark. Full extractoin of HMI from the saturated modified bark was made possible with dilute acid allowing the regeneration of the bark for reuse as an ion exchanger. Bark loaded with heavy metals was analysed by scanning electron microscopy 'SEM' and infrared 'IR' spectroscopy. Metal distribution was uniform in the bulk of the bark. No metal segregation was observed. It seems that HMI were chelated to the acidic (phenolic and/or carboxylic) sites of the bark. Anions were not detected into the loaded bark with either the SEM-EPMA or the IR spectroscopy. Incineration of the bark loaded with copper or chromium resulted in ashes containing up to 70% ofmetal oxides. Pyrolysis of the bark loaded with copper led to solids containing 10% of metallic copper and about 85% carboniferous matter. Such materials can be recycled for the production of secondary metal using the current industrial units. The suggested process can be used for the decontamination of industrial effluents or polishing of treated effluents by conventional technology. It was possible to decrease the effluents' HMI content to ppb level. This research can be considered as a demonstration of the possibility of using a waste, of low economic value, to resolve an environmental problem such as effluents' decontamination. Moreover, the approach is to try to eliminate the pollution due to the HMI by their recycling instead of their disposal as waste.", "author" : [ { "dropping-particle" : "", "family" : "Gaballah", "given" : "I.", "non-dropping-particle" : "", "parse-names" : false, "suffix" : "" }, { "dropping-particle" : "", "family" : "Kilbertus", "given" : "G.", "non-dropping-particle" : "", "parse-names" : false, "suffix" : "" } ], "container-title" : "Journal of Geochemical Exploration", "id" : "ITEM-1", "issue" : "1-3", "issued" : { "date-parts" : [ [ "1998" ] ] }, "page" : "241-286", "title" : "Recovery of heavy metal ions through decontamination of synthetic solutions and industrial effluents using modified barks", "type" : "article-journal", "volume" : "62" }, "uris" : [ "http://www.mendeley.com/documents/?uuid=4c9c6db5-0f07-49cc-9a31-5ffc7b785c43" ] }, { "id" : "ITEM-2", "itemData" : { "DOI" : "10.1016/0144-4565(90)90047-N", "ISSN" : "01444565", "abstract" : "The uranium-adsorbing abilities of seven plant wastes were investigated. High abilities to adsorb uranium from non-saline water containing 10 mg dm-3 of uranium were observed with a number of plant wastes tested. However, with seawater supplemented with 10 mg dm-3 of uranium, similar results were found only with chestnut residues. When the plant wastes were immobilized with formaldehyde, their ability to adsorb uranium was increased. Uranium and copper ions were more readily adsorbed by all plant wastes tested than other metal ions from a solution containing a mixture of seven different heavy metals. The selective adsorption of heavy metal ions differs with different species of plant wastes. The immobilization of peanut inner skin, orange peel and grapefruit peel increased the selectivity for uranium. ?? 1990.", "author" : [ { "dropping-particle" : "", "family" : "Nakajima", "given" : "Akira", "non-dropping-particle" : "", "parse-names" : false, "suffix" : "" }, { "dropping-particle" : "", "family" : "Sakaguchi", "given" : "Takashi", "non-dropping-particle" : "", "parse-names" : false, "suffix" : "" } ], "container-title" : "Biomass", "id" : "ITEM-2", "issue" : "1", "issued" : { "date-parts" : [ [ "1990" ] ] }, "page" : "55-63", "title" : "Recovery and removal of uranium by using plant wastes", "type" : "article-journal", "volume" : "21" }, "uris" : [ "http://www.mendeley.com/documents/?uuid=797607b6-d66d-4340-a77a-e0b257676a6a" ] } ], "mendeley" : { "formattedCitation" : "[10], [11]", "plainTextFormattedCitation" : "[10], [11]", "previouslyFormattedCitation" : "[10], [11]"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[10, 11]</w:t>
      </w:r>
      <w:r w:rsidRPr="00D643DD">
        <w:rPr>
          <w:rFonts w:ascii="Times New Roman" w:hAnsi="Times New Roman"/>
          <w:sz w:val="20"/>
          <w:szCs w:val="20"/>
        </w:rPr>
        <w:fldChar w:fldCharType="end"/>
      </w:r>
      <w:r w:rsidRPr="00D643DD">
        <w:rPr>
          <w:rFonts w:ascii="Times New Roman" w:hAnsi="Times New Roman"/>
          <w:sz w:val="20"/>
          <w:szCs w:val="20"/>
        </w:rPr>
        <w:t>. Plant material can be divided into a few parts such as fruit, flower, bark, leaf and others. All part of the plant has been studied as an adsorbent.</w:t>
      </w:r>
    </w:p>
    <w:p w:rsidR="00D643DD" w:rsidRPr="00D643DD" w:rsidRDefault="00D643DD" w:rsidP="00D643DD">
      <w:pPr>
        <w:spacing w:after="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A coconut tree, known as (</w:t>
      </w:r>
      <w:r w:rsidRPr="00D643DD">
        <w:rPr>
          <w:rFonts w:ascii="Times New Roman" w:hAnsi="Times New Roman"/>
          <w:i/>
          <w:sz w:val="20"/>
          <w:szCs w:val="20"/>
        </w:rPr>
        <w:t>Cocos nucifera</w:t>
      </w:r>
      <w:r w:rsidRPr="00D643DD">
        <w:rPr>
          <w:rFonts w:ascii="Times New Roman" w:hAnsi="Times New Roman"/>
          <w:sz w:val="20"/>
          <w:szCs w:val="20"/>
        </w:rPr>
        <w:t xml:space="preserve">) is a member of the </w:t>
      </w:r>
      <w:r w:rsidRPr="00D643DD">
        <w:rPr>
          <w:rFonts w:ascii="Times New Roman" w:hAnsi="Times New Roman"/>
          <w:i/>
          <w:sz w:val="20"/>
          <w:szCs w:val="20"/>
        </w:rPr>
        <w:t>Arecaceae</w:t>
      </w:r>
      <w:r w:rsidRPr="00D643DD">
        <w:rPr>
          <w:rFonts w:ascii="Times New Roman" w:hAnsi="Times New Roman"/>
          <w:sz w:val="20"/>
          <w:szCs w:val="20"/>
        </w:rPr>
        <w:t xml:space="preserve"> (palm family). It is also known as “the tree of life” since it gives many benefits to the human and living organisms such as sources of food and medicine. Normally, </w:t>
      </w:r>
      <w:r w:rsidRPr="00D643DD">
        <w:rPr>
          <w:rFonts w:ascii="Times New Roman" w:hAnsi="Times New Roman"/>
          <w:i/>
          <w:sz w:val="20"/>
          <w:szCs w:val="20"/>
        </w:rPr>
        <w:t>Cocos nucifera</w:t>
      </w:r>
      <w:r w:rsidRPr="00D643DD">
        <w:rPr>
          <w:rFonts w:ascii="Times New Roman" w:hAnsi="Times New Roman"/>
          <w:sz w:val="20"/>
          <w:szCs w:val="20"/>
        </w:rPr>
        <w:t xml:space="preserve"> grows up to 30 meters tall. It has pinnate leaves with 4-6 meter long, and pinnae 60-90 cm long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"10.1016/j.seppur.2013.05.015", "ISBN" : "13835866", "ISSN" : "13835866", "abstract" : "A natural coagulant protein was extracted from the endosperm of Cocos nucifera, and characterized by Fourier Transform Infrared Spectroscopy, size exclusion chromatography, potentiometric titration, electrophoretic mobility, and then tested for its coagulant properties using silica nanocolloids. The infrared spectra revealed predominant absorption bands at 1649 cm-1 and 1536 cm-1 characteristics of CO in primary and secondary amides of proteins arranged into an alpha-helical secondary structure, and the presence of triolein when fat was not removed from the extract. The molecular weight determined by size exclusion chromatography was about 5.6 kDa, the charge density of the fat extracted protein being 1.05 meq g-1, and the isoelectric point 7.5. The proteinous extracts behaved as effective coagulants of silica particles, the destabilisation mechanism being consistent with an heteroaggregation of oppositely charged colloids. Overall, the characteristics of that natural protein were closely similar to those of Moringa oleifera seed extract, thus suggesting that copra can be considered as a potential source of an efficient and sustainable coagulant for water treatment in emerging countries. ?? 2013 Elsevier B.V. All rights reserved.", "author" : [ { "dropping-particle" : "", "family" : "Fatombi", "given" : "J. K.", "non-dropping-particle" : "", "parse-names" : false, "suffix" : "" }, { "dropping-particle" : "", "family" : "Lartiges", "given" : "B.", "non-dropping-particle" : "", "parse-names" : false, "suffix" : "" }, { "dropping-particle" : "", "family" : "Aminou", "given" : "T.", "non-dropping-particle" : "", "parse-names" : false, "suffix" : "" }, { "dropping-particle" : "", "family" : "Barres", "given" : "O.", "non-dropping-particle" : "", "parse-names" : false, "suffix" : "" }, { "dropping-particle" : "", "family" : "Caillet", "given" : "C.", "non-dropping-particle" : "", "parse-names" : false, "suffix" : "" } ], "container-title" : "Separation and Purification Technology", "id" : "ITEM-1", "issued" : { "date-parts" : [ [ "2013" ] ] }, "page" : "35-40", "title" : "A natural coagulant protein from copra (Cocos nucifera): Isolation, characterization, and potential for water purification", "type" : "article-journal", "volume" : "116" }, "uris" : [ "http://www.mendeley.com/documents/?uuid=efa52954-1233-4be3-a713-ec6d48528f86" ] } ], "mendeley" : { "formattedCitation" : "[12]", "plainTextFormattedCitation" : "[12]", "previouslyFormattedCitation" : "[12]"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[12]</w:t>
      </w:r>
      <w:r w:rsidRPr="00D643DD">
        <w:rPr>
          <w:rFonts w:ascii="Times New Roman" w:hAnsi="Times New Roman"/>
          <w:sz w:val="20"/>
          <w:szCs w:val="20"/>
        </w:rPr>
        <w:fldChar w:fldCharType="end"/>
      </w:r>
      <w:r w:rsidRPr="00D643DD">
        <w:rPr>
          <w:rFonts w:ascii="Times New Roman" w:hAnsi="Times New Roman"/>
          <w:sz w:val="20"/>
          <w:szCs w:val="20"/>
        </w:rPr>
        <w:t xml:space="preserve">. The leaves will break away when it old and leave the trunk smooth. The coconut is very nutritious and highly in fiber, vitamins, and minerals. The coconut oil is used in traditional medicine among Asian and pacific population since it contains healing properties compared to any other dietary oil. This tree consists of a few parts which are a shell, fruit, coconut frond and others. The various part of the coconut has been extensively studied as bio-sorbents for removal of pollutants from water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"abstract" : "Adsorption process has been proven one of the best water treatment technologies around the world and activated carbon is undoubtedly considered as universal adsorbent for the removal of diverse types of pollutants from water. However, widespread use of commercial activated carbon is sometimes restricted due to its higher costs. Attempts have been made to develop inexpensive adsorbents utilizing numerous agro-industrial and municipal waste materials. Use of waste materials as low-cost adsorbents is attractive due to their contribution in the reduction of costs for waste disposal, therefore contributing to environmental protection. In this review, an extensive list of low-cost adsorbents (prepared by utilizing different types of waste materials) from vast literature has been compiled and their adsorption capacities for various aquatic pollutants as available in the literature are presented. It is evident from the literature survey that various low-cost adsorbents have shown good potential for the removal of various aquatic pollutants. However, there are few issues and drawbacks on the use of low-cost adsorbents in water treatment that have been discussed in this paper. Additionally, more research is needed to find the practical utility of low-cost adsorbents on commercial scale. \u00a9 2010 Elsevier B.V. All rights reserved.", "author" : [ { "dropping-particle" : "", "family" : "Bhatnagar", "given" : "Amit", "non-dropping-particle" : "", "parse-names" : false, "suffix" : "" }, { "dropping-particle" : "", "family" : "Sillanp\u00e4\u00e4", "given" : "Mika", "non-dropping-particle" : "", "parse-names" : false, "suffix" : "" } ], "container-title" : "Chemical Engineering Journal", "id" : "ITEM-1", "issue" : "2-3", "issued" : { "date-parts" : [ [ "2010" ] ] }, "page" : "277-296", "title" : "Utilization of agro-industrial and municipal waste materials as potential adsorbents for water treatment-A review", "type" : "article", "volume" : "157" }, "uris" : [ "http://www.mendeley.com/documents/?uuid=edeabdd0-4555-4b4a-b79b-e72b363687f5" ] } ], "mendeley" : { "formattedCitation" : "[13]", "plainTextFormattedCitation" : "[13]", "previouslyFormattedCitation" : "[13]"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[13]</w:t>
      </w:r>
      <w:r w:rsidRPr="00D643DD">
        <w:rPr>
          <w:rFonts w:ascii="Times New Roman" w:hAnsi="Times New Roman"/>
          <w:sz w:val="20"/>
          <w:szCs w:val="20"/>
        </w:rPr>
        <w:fldChar w:fldCharType="end"/>
      </w:r>
      <w:r w:rsidRPr="00D643DD">
        <w:rPr>
          <w:rFonts w:ascii="Times New Roman" w:hAnsi="Times New Roman"/>
          <w:sz w:val="20"/>
          <w:szCs w:val="20"/>
        </w:rPr>
        <w:t xml:space="preserve">. Coconut frond was first used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"10.1016/j.jaap.2014.08.020", "ISBN" : "0263-8762", "ISSN" : "01652370", "PMID" : "22036471", "abstract" : "This paper provides a scientific research about the novel activated carbon produced from coconut frond for the removal of toxic pesticide carbofuran. The coconut frond was chemically modified by H3PO4 with an impregnation ratio of 1:1 and later activated at 500 ??C for 2h. The produced coconut frond activated carbon (CFAC) were characterized by surface area measurement, Fourier transform infrared spectroscopy and scanning electron microscopy. The CFAC had a BET surface area of 483 m2/g and a cumulative pore volume of 0.21 cm3/g. Over 80% of 250 mg/L carbofuran was adsorbed within 4 h at 30 ??C and the adsorption was not dependent on pH due to the nonionic nature of carbofuran. The adsorption kinetic was best represented by the pseudo-second-order model. The adsorption equilibrium data fitted best to the nonlinear Freundlich isotherm model. Thermodynamic parameters obtained showed that the adsorption was spontaneous and endothermic in nature. Adsorption mechanisms were analyzed using intraparticle diffusion and Boyd kinetic models, and film diffusion was confirmed as the rate-controlling step. These results indicate that CFAC is an efficient adsorbent for the removal of the nonionic pesticide, carbofuran from aqueous solution.", "author" : [ { "dropping-particle" : "", "family" : "Njoku", "given" : "V.O.", "non-dropping-particle" : "", "parse-names" : false, "suffix" : "" }, { "dropping-particle" : "", "family" : "Islam", "given" : "M. Azharul", "non-dropping-particle" : "", "parse-names" : false, "suffix" : "" }, { "dropping-particle" : "", "family" : "Asif", "given" : "M.", "non-dropping-particle" : "", "parse-names" : false, "suffix" : "" }, { "dropping-particle" : "", "family" : "Hameed", "given" : "B.H.", "non-dropping-particle" : "", "parse-names" : false, "suffix" : "" } ], "container-title" : "Journal of Analytical and Applied Pyrolysis", "id" : "ITEM-1", "issue" : "1", "issued" : { "date-parts" : [ [ "2014", "11" ] ] }, "page" : "172-180", "title" : "Preparation of mesoporous activated carbon from coconut frond for the adsorption of carbofuran insecticide", "type" : "article-journal", "volume" : "110" }, "uris" : [ "http://www.mendeley.com/documents/?uuid=53077034-0eec-40cc-a75d-12bea5d98345" ] } ], "mendeley" : { "formattedCitation" : "[14]", "plainTextFormattedCitation" : "[14]", "previouslyFormattedCitation" : "[14]"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[14]</w:t>
      </w:r>
      <w:r w:rsidRPr="00D643DD">
        <w:rPr>
          <w:rFonts w:ascii="Times New Roman" w:hAnsi="Times New Roman"/>
          <w:sz w:val="20"/>
          <w:szCs w:val="20"/>
        </w:rPr>
        <w:fldChar w:fldCharType="end"/>
      </w:r>
      <w:r w:rsidRPr="00D643DD">
        <w:rPr>
          <w:rFonts w:ascii="Times New Roman" w:hAnsi="Times New Roman"/>
          <w:sz w:val="20"/>
          <w:szCs w:val="20"/>
        </w:rPr>
        <w:t xml:space="preserve">  in removing carbofuran insecticides by mesoporous activated carbon from coconut frond. The treated spent grated coconut shows high adsorption capacity compared to the untreated spent grated coconut which is 366.50 mg/g. Treatment of spent grated coconut with acid increased the adsorption capacity due to the increasing of surface area and pores. Previous research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"http://article.sapub.org/10.5923.c.ajee.201501.06.html", "abstract" : "In this study, coconut frond treated with sulphuric acid (SACF) was used as a low-cost adsorbent in removing methylene blue (MB) from aqueous solutions. The kinetics of methylene blue (MB) adsorption onto SACF was described by applying the pseudo-first-order and pseudo-second-order kinetic model with the latter better fitted kinetics data. FTIR analysis showed that carbonyl and hydroxyl groups were involved in the uptake of MB. Mechanisms of MB adsorption were identified as ion-exchange and complexation.", "author" : [ { "dropping-particle" : "", "family" : "Ismail", "given" : "Mardhiah", "non-dropping-particle" : "", "parse-names" : false, "suffix" : "" }, { "dropping-particle" : "", "family" : "Megat Hanafiah", "given" : "Megat Ahmad Kamal", "non-dropping-particle" : "", "parse-names" : false, "suffix" : "" }, { "dropping-particle" : "", "family" : "Zainal Abidin", "given" : "Mohamad Shahrizad", "non-dropping-particle" : "", "parse-names" : false, "suffix" : "" }, { "dropping-particle" : "", "family" : "Mat Hussin", "given" : "Zurhana", "non-dropping-particle" : "", "parse-names" : false, "suffix" : "" }, { "dropping-particle" : "", "family" : "Khalid", "given" : "Khadijah", "non-dropping-particle" : "", "parse-names" : false, "suffix" : "" } ], "container-title" : "American Journal of Environmental Engineering", "id" : "ITEM-1", "issued" : { "date-parts" : [ [ "2015" ] ] }, "page" : "33-37", "title" : "Kinetics of Methylene Blue Adsorption on Sulphuric Acid Treated Coconut (Cocos nucifiera) Frond Powder", "type" : "article-journal" }, "uris" : [ "http://www.mendeley.com/documents/?uuid=cf004e86-fb1b-3815-873c-d4f0945e1d48" ] } ], "mendeley" : { "formattedCitation" : "[15]", "plainTextFormattedCitation" : "[15]", "previouslyFormattedCitation" : "[15]"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[15]</w:t>
      </w:r>
      <w:r w:rsidRPr="00D643DD">
        <w:rPr>
          <w:rFonts w:ascii="Times New Roman" w:hAnsi="Times New Roman"/>
          <w:sz w:val="20"/>
          <w:szCs w:val="20"/>
        </w:rPr>
        <w:fldChar w:fldCharType="end"/>
      </w:r>
      <w:r w:rsidRPr="00D643DD">
        <w:rPr>
          <w:rFonts w:ascii="Times New Roman" w:hAnsi="Times New Roman"/>
          <w:sz w:val="20"/>
          <w:szCs w:val="20"/>
        </w:rPr>
        <w:t xml:space="preserve"> were performed a research on sulphuric acid treated coconut (</w:t>
      </w:r>
      <w:r w:rsidRPr="00D643DD">
        <w:rPr>
          <w:rFonts w:ascii="Times New Roman" w:hAnsi="Times New Roman"/>
          <w:i/>
          <w:sz w:val="20"/>
          <w:szCs w:val="20"/>
        </w:rPr>
        <w:t>Cocos nucifera</w:t>
      </w:r>
      <w:r w:rsidRPr="00D643DD">
        <w:rPr>
          <w:rFonts w:ascii="Times New Roman" w:hAnsi="Times New Roman"/>
          <w:sz w:val="20"/>
          <w:szCs w:val="20"/>
        </w:rPr>
        <w:t>) frond powder in removing methylene blue from aqueous solution. In this study, untreated coconut frond powder will be used for removing Pb(II) from aqueous solution. Literature also has shown that untreated coconut frond in removing Pb(II) never been conducted as well.</w:t>
      </w:r>
    </w:p>
    <w:p w:rsidR="00D643DD" w:rsidRPr="00D643DD" w:rsidRDefault="00D643DD" w:rsidP="00D643DD">
      <w:pPr>
        <w:spacing w:after="0" w:line="240" w:lineRule="auto"/>
        <w:jc w:val="center"/>
        <w:outlineLvl w:val="0"/>
        <w:rPr>
          <w:rFonts w:ascii="Times New Roman" w:hAnsi="Times New Roman"/>
          <w:sz w:val="20"/>
          <w:szCs w:val="20"/>
        </w:rPr>
      </w:pPr>
    </w:p>
    <w:p w:rsidR="00D643DD" w:rsidRPr="00D643DD" w:rsidRDefault="00D643DD" w:rsidP="00D643DD">
      <w:pPr>
        <w:spacing w:after="0" w:line="240" w:lineRule="auto"/>
        <w:jc w:val="center"/>
        <w:outlineLvl w:val="0"/>
        <w:rPr>
          <w:rFonts w:ascii="Times New Roman" w:hAnsi="Times New Roman"/>
          <w:b/>
          <w:sz w:val="20"/>
          <w:szCs w:val="20"/>
        </w:rPr>
      </w:pPr>
      <w:r w:rsidRPr="00D643DD">
        <w:rPr>
          <w:rFonts w:ascii="Times New Roman" w:hAnsi="Times New Roman"/>
          <w:b/>
          <w:sz w:val="20"/>
          <w:szCs w:val="20"/>
        </w:rPr>
        <w:t>Materials and Methods</w:t>
      </w:r>
    </w:p>
    <w:p w:rsidR="00D643DD" w:rsidRPr="00D643DD" w:rsidRDefault="00D643DD" w:rsidP="00D643DD">
      <w:pPr>
        <w:spacing w:after="0" w:line="240" w:lineRule="auto"/>
        <w:jc w:val="both"/>
        <w:outlineLvl w:val="0"/>
        <w:rPr>
          <w:rFonts w:ascii="Times New Roman" w:hAnsi="Times New Roman"/>
          <w:b/>
          <w:sz w:val="20"/>
          <w:szCs w:val="20"/>
        </w:rPr>
      </w:pPr>
      <w:r w:rsidRPr="00D643DD">
        <w:rPr>
          <w:rFonts w:ascii="Times New Roman" w:hAnsi="Times New Roman"/>
          <w:b/>
          <w:sz w:val="20"/>
          <w:szCs w:val="20"/>
        </w:rPr>
        <w:t>Adsorbent preparation</w:t>
      </w: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 xml:space="preserve">Coconut frond was collected from Kelantan, Malaysia. The frond was washed to remove soluble impurities before rinsing with deionized water and was dried in an oven at 333 K to avoid any sample degradation overnight before being ground and sieved by using a mechanical grinder to obtain a particle size of 125-250 µm. The newly prepared </w:t>
      </w:r>
      <w:r w:rsidRPr="00D643DD">
        <w:rPr>
          <w:rFonts w:ascii="Times New Roman" w:hAnsi="Times New Roman"/>
          <w:sz w:val="20"/>
          <w:szCs w:val="20"/>
        </w:rPr>
        <w:lastRenderedPageBreak/>
        <w:t xml:space="preserve">coconut frond powder was labeled as CFP (coconut frond powder). The CFP was used as adsorbent without any chemical treatment. </w:t>
      </w:r>
    </w:p>
    <w:p w:rsidR="00D643DD" w:rsidRPr="00D643DD" w:rsidRDefault="00D643DD" w:rsidP="00D643DD">
      <w:pPr>
        <w:spacing w:after="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outlineLvl w:val="0"/>
        <w:rPr>
          <w:rFonts w:ascii="Times New Roman" w:hAnsi="Times New Roman"/>
          <w:b/>
          <w:sz w:val="20"/>
          <w:szCs w:val="20"/>
        </w:rPr>
      </w:pPr>
      <w:r w:rsidRPr="00D643DD">
        <w:rPr>
          <w:rFonts w:ascii="Times New Roman" w:hAnsi="Times New Roman"/>
          <w:b/>
          <w:sz w:val="20"/>
          <w:szCs w:val="20"/>
        </w:rPr>
        <w:t>Adsorbent characterization</w:t>
      </w: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The determination of pH</w:t>
      </w:r>
      <w:r w:rsidRPr="00D643DD">
        <w:rPr>
          <w:rFonts w:ascii="Times New Roman" w:hAnsi="Times New Roman"/>
          <w:sz w:val="20"/>
          <w:szCs w:val="20"/>
          <w:vertAlign w:val="subscript"/>
        </w:rPr>
        <w:t>ZPC</w:t>
      </w:r>
      <w:r w:rsidRPr="00D643DD">
        <w:rPr>
          <w:rFonts w:ascii="Times New Roman" w:hAnsi="Times New Roman"/>
          <w:sz w:val="20"/>
          <w:szCs w:val="20"/>
        </w:rPr>
        <w:t xml:space="preserve"> of CFP was performed according to the solid addition method as reported by Balistrieri and Murray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"abstract" : "ABSTRACT. The distribution of species on the surface of goethite (aFeOOI-I) in synthetic major ion seawater is calculated using a site-binding model for the hydrous oxide-solution interface. The model accounts for chemical and electrical interactions with the surface. These computations are facilitated by using the solution equilibrium computer program MINEQL which has been revised to include a chemical and electrical model for the hydrous", "author" : [ { "dropping-particle" : "", "family" : "Balistrieri", "given" : "LS", "non-dropping-particle" : "", "parse-names" : false, "suffix" : "" }, { "dropping-particle" : "", "family" : "Murray", "given" : "James W", "non-dropping-particle" : "", "parse-names" : false, "suffix" : "" } ], "container-title" : "American Journal of Science", "id" : "ITEM-1", "issue" : "6", "issued" : { "date-parts" : [ [ "1981" ] ] }, "page" : "788-806", "title" : "The surface chemistry of goethite (alpha FeOOH) in major ion seawater", "type" : "article-journal", "volume" : "281" }, "uris" : [ "http://www.mendeley.com/documents/?uuid=cec6dd80-93fe-4682-bdae-c3a8e802f683" ] } ], "mendeley" : { "formattedCitation" : "[16]", "plainTextFormattedCitation" : "[16]", "previouslyFormattedCitation" : "[16]"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[16]</w:t>
      </w:r>
      <w:r w:rsidRPr="00D643DD">
        <w:rPr>
          <w:rFonts w:ascii="Times New Roman" w:hAnsi="Times New Roman"/>
          <w:sz w:val="20"/>
          <w:szCs w:val="20"/>
        </w:rPr>
        <w:fldChar w:fldCharType="end"/>
      </w:r>
      <w:r w:rsidRPr="00D643DD">
        <w:rPr>
          <w:rFonts w:ascii="Times New Roman" w:hAnsi="Times New Roman"/>
          <w:sz w:val="20"/>
          <w:szCs w:val="20"/>
        </w:rPr>
        <w:t>. A 50 mL of 0.01 M KNO</w:t>
      </w:r>
      <w:r w:rsidRPr="00D643DD">
        <w:rPr>
          <w:rFonts w:ascii="Times New Roman" w:hAnsi="Times New Roman"/>
          <w:sz w:val="20"/>
          <w:szCs w:val="20"/>
          <w:vertAlign w:val="subscript"/>
        </w:rPr>
        <w:t>3</w:t>
      </w:r>
      <w:r w:rsidRPr="00D643DD">
        <w:rPr>
          <w:rFonts w:ascii="Times New Roman" w:hAnsi="Times New Roman"/>
          <w:sz w:val="20"/>
          <w:szCs w:val="20"/>
        </w:rPr>
        <w:t xml:space="preserve"> solution was placed into 8 different 100 mL conical flasks. The initial pH of the solutions was adjusted to a value between pH 2-9 by adding 0.1 M HCl or NaOH solutions. Then, 1 g of CFP was added to each flask, stirred and the final pH of the solutions was measured after 24 hours. The value of pH</w:t>
      </w:r>
      <w:r w:rsidRPr="00D643DD">
        <w:rPr>
          <w:rFonts w:ascii="Times New Roman" w:hAnsi="Times New Roman"/>
          <w:sz w:val="20"/>
          <w:szCs w:val="20"/>
          <w:vertAlign w:val="subscript"/>
        </w:rPr>
        <w:t>ZPC</w:t>
      </w:r>
      <w:r w:rsidRPr="00D643DD">
        <w:rPr>
          <w:rFonts w:ascii="Times New Roman" w:hAnsi="Times New Roman"/>
          <w:sz w:val="20"/>
          <w:szCs w:val="20"/>
        </w:rPr>
        <w:t xml:space="preserve"> can be determined from the curve that cuts the pH line of the plot ΔpH versus initial pH. The type of functional groups presents in the CFP was determined by using a Fourier transform infrared spectrometer (FTIR) (Perkin Elmer, Spectrum 100, USA).</w:t>
      </w:r>
    </w:p>
    <w:p w:rsidR="00D643DD" w:rsidRPr="00D643DD" w:rsidRDefault="00D643DD" w:rsidP="00D643DD">
      <w:pPr>
        <w:spacing w:after="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outlineLvl w:val="0"/>
        <w:rPr>
          <w:rFonts w:ascii="Times New Roman" w:hAnsi="Times New Roman"/>
          <w:b/>
          <w:sz w:val="20"/>
          <w:szCs w:val="20"/>
        </w:rPr>
      </w:pPr>
      <w:r w:rsidRPr="00D643DD">
        <w:rPr>
          <w:rFonts w:ascii="Times New Roman" w:hAnsi="Times New Roman"/>
          <w:b/>
          <w:sz w:val="20"/>
          <w:szCs w:val="20"/>
        </w:rPr>
        <w:t>Adsorption experiment</w:t>
      </w: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Lead nitrate (Pb(NO</w:t>
      </w:r>
      <w:r w:rsidRPr="00D643DD">
        <w:rPr>
          <w:rFonts w:ascii="Times New Roman" w:hAnsi="Times New Roman"/>
          <w:sz w:val="20"/>
          <w:szCs w:val="20"/>
          <w:vertAlign w:val="subscript"/>
        </w:rPr>
        <w:t>3</w:t>
      </w:r>
      <w:r w:rsidRPr="00D643DD">
        <w:rPr>
          <w:rFonts w:ascii="Times New Roman" w:hAnsi="Times New Roman"/>
          <w:sz w:val="20"/>
          <w:szCs w:val="20"/>
        </w:rPr>
        <w:t>)</w:t>
      </w:r>
      <w:r w:rsidRPr="00D643DD">
        <w:rPr>
          <w:rFonts w:ascii="Times New Roman" w:hAnsi="Times New Roman"/>
          <w:sz w:val="20"/>
          <w:szCs w:val="20"/>
          <w:vertAlign w:val="subscript"/>
        </w:rPr>
        <w:t>2</w:t>
      </w:r>
      <w:r w:rsidRPr="00D643DD">
        <w:rPr>
          <w:rFonts w:ascii="Times New Roman" w:hAnsi="Times New Roman"/>
          <w:sz w:val="20"/>
          <w:szCs w:val="20"/>
        </w:rPr>
        <w:t>, MW = 331.2 g mol</w:t>
      </w:r>
      <w:r w:rsidRPr="00D643DD">
        <w:rPr>
          <w:rFonts w:ascii="Times New Roman" w:hAnsi="Times New Roman"/>
          <w:sz w:val="20"/>
          <w:szCs w:val="20"/>
          <w:vertAlign w:val="superscript"/>
        </w:rPr>
        <w:t>-1</w:t>
      </w:r>
      <w:r w:rsidRPr="00D643DD">
        <w:rPr>
          <w:rFonts w:ascii="Times New Roman" w:hAnsi="Times New Roman"/>
          <w:sz w:val="20"/>
          <w:szCs w:val="20"/>
        </w:rPr>
        <w:t>) was purchased from MERCK, Malaysia. The stock solution of 1000 mg L</w:t>
      </w:r>
      <w:r w:rsidRPr="00D643DD">
        <w:rPr>
          <w:rFonts w:ascii="Times New Roman" w:hAnsi="Times New Roman"/>
          <w:sz w:val="20"/>
          <w:szCs w:val="20"/>
          <w:vertAlign w:val="superscript"/>
        </w:rPr>
        <w:t>-1</w:t>
      </w:r>
      <w:r w:rsidRPr="00D643DD">
        <w:rPr>
          <w:rFonts w:ascii="Times New Roman" w:hAnsi="Times New Roman"/>
          <w:sz w:val="20"/>
          <w:szCs w:val="20"/>
        </w:rPr>
        <w:t xml:space="preserve"> Pb(II) was prepared and diluted to the preferred concentrations with deionized water. The effect of dosage was performed by mixing 0.02, 0.04, 0.06, 0.08 and 0.1 g CFP with 50 mL (10 mg L</w:t>
      </w:r>
      <w:r w:rsidRPr="00D643DD">
        <w:rPr>
          <w:rFonts w:ascii="Times New Roman" w:hAnsi="Times New Roman"/>
          <w:sz w:val="20"/>
          <w:szCs w:val="20"/>
          <w:vertAlign w:val="superscript"/>
        </w:rPr>
        <w:t>-1</w:t>
      </w:r>
      <w:r w:rsidRPr="00D643DD">
        <w:rPr>
          <w:rFonts w:ascii="Times New Roman" w:hAnsi="Times New Roman"/>
          <w:sz w:val="20"/>
          <w:szCs w:val="20"/>
        </w:rPr>
        <w:t>) Pb(II) and stirred at 120 strokes per minute at 298±1 K for 90 min to achieved equilibrium. The effect of pH was studied in the pH range between 2 to 4. Adsorption kinetic study was conducted using three different Pb(II) concentrations (10, 20 and 30 mg L</w:t>
      </w:r>
      <w:r w:rsidRPr="00D643DD">
        <w:rPr>
          <w:rFonts w:ascii="Times New Roman" w:hAnsi="Times New Roman"/>
          <w:sz w:val="20"/>
          <w:szCs w:val="20"/>
          <w:vertAlign w:val="superscript"/>
        </w:rPr>
        <w:t>-1</w:t>
      </w:r>
      <w:r w:rsidRPr="00D643DD">
        <w:rPr>
          <w:rFonts w:ascii="Times New Roman" w:hAnsi="Times New Roman"/>
          <w:sz w:val="20"/>
          <w:szCs w:val="20"/>
        </w:rPr>
        <w:t>) at various contact times (0-90 minutes). After adsorption, the CFP was filtered and the final concentration of Pb(II) was determined by using Atomic Absorption Spectrometer (PinAAcle 900T, Perkin Elmer, USA). All experiments were conducted in duplicate and the RSD values for all analyses were less than 5%. The amount of Pb(II) ion adsorbed (q</w:t>
      </w:r>
      <w:r w:rsidRPr="00D643DD">
        <w:rPr>
          <w:rFonts w:ascii="Times New Roman" w:hAnsi="Times New Roman"/>
          <w:sz w:val="20"/>
          <w:szCs w:val="20"/>
          <w:vertAlign w:val="subscript"/>
        </w:rPr>
        <w:t>e</w:t>
      </w:r>
      <w:r w:rsidRPr="00D643DD">
        <w:rPr>
          <w:rFonts w:ascii="Times New Roman" w:hAnsi="Times New Roman"/>
          <w:sz w:val="20"/>
          <w:szCs w:val="20"/>
        </w:rPr>
        <w:t>, mg g</w:t>
      </w:r>
      <w:r w:rsidRPr="00D643DD">
        <w:rPr>
          <w:rFonts w:ascii="Times New Roman" w:hAnsi="Times New Roman"/>
          <w:sz w:val="20"/>
          <w:szCs w:val="20"/>
          <w:vertAlign w:val="superscript"/>
        </w:rPr>
        <w:t>-1</w:t>
      </w:r>
      <w:r w:rsidRPr="00D643DD">
        <w:rPr>
          <w:rFonts w:ascii="Times New Roman" w:hAnsi="Times New Roman"/>
          <w:sz w:val="20"/>
          <w:szCs w:val="20"/>
        </w:rPr>
        <w:t>) and percentage removal (%) was calculated by using equations (1) and (2), respectively:</w:t>
      </w: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 xml:space="preserve"> </w:t>
      </w:r>
      <w:r w:rsidRPr="00D643DD">
        <w:rPr>
          <w:rFonts w:ascii="Arial" w:hAnsi="Arial" w:cs="Arial"/>
          <w:noProof/>
          <w:position w:val="-24"/>
          <w:sz w:val="20"/>
          <w:szCs w:val="20"/>
        </w:rPr>
        <w:t xml:space="preserve">               </w:t>
      </w:r>
      <w:r w:rsidRPr="00D643DD">
        <w:rPr>
          <w:rFonts w:ascii="Arial" w:hAnsi="Arial" w:cs="Arial"/>
          <w:noProof/>
          <w:position w:val="-24"/>
          <w:sz w:val="20"/>
          <w:szCs w:val="20"/>
          <w:lang w:bidi="ar-SA"/>
        </w:rPr>
        <w:drawing>
          <wp:inline distT="0" distB="0" distL="0" distR="0" wp14:anchorId="15C11C0E" wp14:editId="2C5E1197">
            <wp:extent cx="687629" cy="28041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7455" cy="288499"/>
                    </a:xfrm>
                    <a:prstGeom prst="rect">
                      <a:avLst/>
                    </a:prstGeom>
                    <a:noFill/>
                    <a:ln>
                      <a:noFill/>
                    </a:ln>
                  </pic:spPr>
                </pic:pic>
              </a:graphicData>
            </a:graphic>
          </wp:inline>
        </w:drawing>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t xml:space="preserve">  </w:t>
      </w:r>
      <w:r>
        <w:rPr>
          <w:rFonts w:ascii="Times New Roman" w:hAnsi="Times New Roman"/>
          <w:sz w:val="20"/>
          <w:szCs w:val="20"/>
        </w:rPr>
        <w:t xml:space="preserve">      </w:t>
      </w:r>
      <w:r w:rsidRPr="00D643DD">
        <w:rPr>
          <w:rFonts w:ascii="Times New Roman" w:hAnsi="Times New Roman"/>
          <w:sz w:val="20"/>
          <w:szCs w:val="20"/>
        </w:rPr>
        <w:t xml:space="preserve"> (1)</w:t>
      </w: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 xml:space="preserve"> </w:t>
      </w:r>
      <w:r w:rsidRPr="00D643DD">
        <w:rPr>
          <w:rFonts w:ascii="Arial" w:hAnsi="Arial" w:cs="Arial"/>
          <w:noProof/>
          <w:position w:val="-30"/>
          <w:sz w:val="20"/>
          <w:szCs w:val="20"/>
        </w:rPr>
        <w:t xml:space="preserve">               </w:t>
      </w:r>
      <w:r w:rsidRPr="00D643DD">
        <w:rPr>
          <w:rFonts w:ascii="Arial" w:hAnsi="Arial" w:cs="Arial"/>
          <w:noProof/>
          <w:position w:val="-30"/>
          <w:sz w:val="20"/>
          <w:szCs w:val="20"/>
          <w:lang w:bidi="ar-SA"/>
        </w:rPr>
        <w:drawing>
          <wp:inline distT="0" distB="0" distL="0" distR="0" wp14:anchorId="2FD592CA" wp14:editId="2F6D2D6B">
            <wp:extent cx="1243584" cy="29772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9627" cy="308745"/>
                    </a:xfrm>
                    <a:prstGeom prst="rect">
                      <a:avLst/>
                    </a:prstGeom>
                    <a:noFill/>
                    <a:ln>
                      <a:noFill/>
                    </a:ln>
                  </pic:spPr>
                </pic:pic>
              </a:graphicData>
            </a:graphic>
          </wp:inline>
        </w:drawing>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sidRPr="00D643DD">
        <w:rPr>
          <w:rFonts w:ascii="Times New Roman" w:hAnsi="Times New Roman"/>
          <w:sz w:val="20"/>
          <w:szCs w:val="20"/>
        </w:rPr>
        <w:tab/>
      </w:r>
      <w:r>
        <w:rPr>
          <w:rFonts w:ascii="Times New Roman" w:hAnsi="Times New Roman"/>
          <w:sz w:val="20"/>
          <w:szCs w:val="20"/>
        </w:rPr>
        <w:t xml:space="preserve">      </w:t>
      </w:r>
      <w:r w:rsidRPr="00D643DD">
        <w:rPr>
          <w:rFonts w:ascii="Times New Roman" w:hAnsi="Times New Roman"/>
          <w:sz w:val="20"/>
          <w:szCs w:val="20"/>
        </w:rPr>
        <w:t xml:space="preserve">   (2)</w:t>
      </w:r>
    </w:p>
    <w:p w:rsidR="00D643DD" w:rsidRPr="00D643DD" w:rsidRDefault="00D643DD" w:rsidP="00D643DD">
      <w:pPr>
        <w:spacing w:after="0" w:line="240" w:lineRule="auto"/>
        <w:jc w:val="both"/>
        <w:outlineLvl w:val="0"/>
        <w:rPr>
          <w:rFonts w:ascii="Times New Roman" w:hAnsi="Times New Roman"/>
          <w:sz w:val="20"/>
          <w:szCs w:val="20"/>
        </w:rPr>
      </w:pPr>
    </w:p>
    <w:p w:rsidR="006768E9" w:rsidRPr="00D643DD" w:rsidRDefault="00D643DD" w:rsidP="00D643DD">
      <w:pPr>
        <w:spacing w:after="0" w:line="240" w:lineRule="auto"/>
        <w:jc w:val="both"/>
        <w:rPr>
          <w:rFonts w:ascii="Times New Roman" w:hAnsi="Times New Roman"/>
          <w:noProof/>
          <w:sz w:val="20"/>
          <w:szCs w:val="20"/>
          <w:lang w:bidi="ar-SA"/>
        </w:rPr>
      </w:pPr>
      <w:r w:rsidRPr="00D643DD">
        <w:rPr>
          <w:rFonts w:ascii="Times New Roman" w:hAnsi="Times New Roman"/>
          <w:sz w:val="20"/>
          <w:szCs w:val="20"/>
        </w:rPr>
        <w:t>where C</w:t>
      </w:r>
      <w:r w:rsidRPr="00D643DD">
        <w:rPr>
          <w:rFonts w:ascii="Times New Roman" w:hAnsi="Times New Roman"/>
          <w:sz w:val="20"/>
          <w:szCs w:val="20"/>
          <w:vertAlign w:val="subscript"/>
        </w:rPr>
        <w:t>i</w:t>
      </w:r>
      <w:r w:rsidRPr="00D643DD">
        <w:rPr>
          <w:rFonts w:ascii="Times New Roman" w:hAnsi="Times New Roman"/>
          <w:sz w:val="20"/>
          <w:szCs w:val="20"/>
        </w:rPr>
        <w:t xml:space="preserve"> and C</w:t>
      </w:r>
      <w:r w:rsidRPr="00D643DD">
        <w:rPr>
          <w:rFonts w:ascii="Times New Roman" w:hAnsi="Times New Roman"/>
          <w:sz w:val="20"/>
          <w:szCs w:val="20"/>
          <w:vertAlign w:val="subscript"/>
        </w:rPr>
        <w:t>e</w:t>
      </w:r>
      <w:r w:rsidRPr="00D643DD">
        <w:rPr>
          <w:rFonts w:ascii="Times New Roman" w:hAnsi="Times New Roman"/>
          <w:sz w:val="20"/>
          <w:szCs w:val="20"/>
        </w:rPr>
        <w:t xml:space="preserve"> are the initial and final concentrations (mg L</w:t>
      </w:r>
      <w:r w:rsidRPr="00D643DD">
        <w:rPr>
          <w:rFonts w:ascii="Times New Roman" w:hAnsi="Times New Roman"/>
          <w:sz w:val="20"/>
          <w:szCs w:val="20"/>
          <w:vertAlign w:val="superscript"/>
        </w:rPr>
        <w:t>-1</w:t>
      </w:r>
      <w:r w:rsidRPr="00D643DD">
        <w:rPr>
          <w:rFonts w:ascii="Times New Roman" w:hAnsi="Times New Roman"/>
          <w:sz w:val="20"/>
          <w:szCs w:val="20"/>
        </w:rPr>
        <w:t>) of Pb(II) and m is the weight of CFP (g).</w:t>
      </w:r>
    </w:p>
    <w:p w:rsidR="00D643DD" w:rsidRDefault="00D643D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643DD" w:rsidRPr="00D643DD" w:rsidRDefault="00D643DD" w:rsidP="00D643DD">
      <w:pPr>
        <w:spacing w:after="0" w:line="240" w:lineRule="auto"/>
        <w:jc w:val="both"/>
        <w:outlineLvl w:val="0"/>
        <w:rPr>
          <w:rFonts w:ascii="Times New Roman" w:hAnsi="Times New Roman"/>
          <w:b/>
          <w:sz w:val="20"/>
          <w:szCs w:val="20"/>
        </w:rPr>
      </w:pPr>
      <w:r w:rsidRPr="00D643DD">
        <w:rPr>
          <w:rFonts w:ascii="Times New Roman" w:hAnsi="Times New Roman"/>
          <w:b/>
          <w:sz w:val="20"/>
          <w:szCs w:val="20"/>
        </w:rPr>
        <w:t>Adsorbent characterization</w:t>
      </w: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The pH</w:t>
      </w:r>
      <w:r w:rsidRPr="00D643DD">
        <w:rPr>
          <w:rFonts w:ascii="Times New Roman" w:hAnsi="Times New Roman"/>
          <w:sz w:val="20"/>
          <w:szCs w:val="20"/>
          <w:vertAlign w:val="subscript"/>
        </w:rPr>
        <w:t>zpc</w:t>
      </w:r>
      <w:r w:rsidRPr="00D643DD">
        <w:rPr>
          <w:rFonts w:ascii="Times New Roman" w:hAnsi="Times New Roman"/>
          <w:sz w:val="20"/>
          <w:szCs w:val="20"/>
        </w:rPr>
        <w:t xml:space="preserve"> is important to determine the pH where the surfaces of the adsorbent exhibit zero electrical charges. It also gives important information on the electrostatic interaction between the adsorbent and the adsorbate.  The pH</w:t>
      </w:r>
      <w:r w:rsidRPr="00D643DD">
        <w:rPr>
          <w:rFonts w:ascii="Times New Roman" w:hAnsi="Times New Roman"/>
          <w:sz w:val="20"/>
          <w:szCs w:val="20"/>
          <w:vertAlign w:val="subscript"/>
        </w:rPr>
        <w:t>zpc</w:t>
      </w:r>
      <w:r w:rsidRPr="00D643DD">
        <w:rPr>
          <w:rFonts w:ascii="Times New Roman" w:hAnsi="Times New Roman"/>
          <w:sz w:val="20"/>
          <w:szCs w:val="20"/>
        </w:rPr>
        <w:t xml:space="preserve"> for coconut frond powder (CFP) was determined at 5.45. At this point, the functional group of the adsorbent is no longer contributed to the pH of the solution.  At the point where the pH is lower than pH</w:t>
      </w:r>
      <w:r w:rsidRPr="00D643DD">
        <w:rPr>
          <w:rFonts w:ascii="Times New Roman" w:hAnsi="Times New Roman"/>
          <w:sz w:val="20"/>
          <w:szCs w:val="20"/>
          <w:vertAlign w:val="subscript"/>
        </w:rPr>
        <w:t>zpc</w:t>
      </w:r>
      <w:r w:rsidRPr="00D643DD">
        <w:rPr>
          <w:rFonts w:ascii="Times New Roman" w:hAnsi="Times New Roman"/>
          <w:sz w:val="20"/>
          <w:szCs w:val="20"/>
        </w:rPr>
        <w:t xml:space="preserve"> value, the adsorbent surface will carry a positive charge (attract anion) while when the pH is higher than pH</w:t>
      </w:r>
      <w:r w:rsidRPr="00D643DD">
        <w:rPr>
          <w:rFonts w:ascii="Times New Roman" w:hAnsi="Times New Roman"/>
          <w:sz w:val="20"/>
          <w:szCs w:val="20"/>
          <w:vertAlign w:val="subscript"/>
        </w:rPr>
        <w:t>zpc</w:t>
      </w:r>
      <w:r w:rsidRPr="00D643DD">
        <w:rPr>
          <w:rFonts w:ascii="Times New Roman" w:hAnsi="Times New Roman"/>
          <w:sz w:val="20"/>
          <w:szCs w:val="20"/>
        </w:rPr>
        <w:t xml:space="preserve"> value, the adsorbent will carry negative charge ion (attract cation). </w:t>
      </w:r>
    </w:p>
    <w:p w:rsidR="00D643DD" w:rsidRPr="00D643DD" w:rsidRDefault="00D643DD" w:rsidP="00D643DD">
      <w:pPr>
        <w:spacing w:after="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FTIR analysis was carried out in order to reveal the active functional on the surface of the CFP that might be involved in the adsorption process. The FTIR spectra of CFP before and after adsorption were shown in Fig. 1 below. The spectra display a number of adsorption peak, indicate the nature of a functional group of CFP that consist of complex functional groups such as amino, hydroxyl, and carbonyl. All these groups have possibility can have a chemical interaction with Pb(II) ion. After adsorption with Pb(II) ion, many functional groups shifted to a different wavenumber which can be a confirmation that CFP has chemical or physical interaction with Pb(II) ion. The strong and broad peak at 3331 cm</w:t>
      </w:r>
      <w:r w:rsidRPr="00D643DD">
        <w:rPr>
          <w:rFonts w:ascii="Times New Roman" w:hAnsi="Times New Roman"/>
          <w:sz w:val="20"/>
          <w:szCs w:val="20"/>
          <w:vertAlign w:val="superscript"/>
        </w:rPr>
        <w:t>-1</w:t>
      </w:r>
      <w:r w:rsidRPr="00D643DD">
        <w:rPr>
          <w:rFonts w:ascii="Times New Roman" w:hAnsi="Times New Roman"/>
          <w:sz w:val="20"/>
          <w:szCs w:val="20"/>
        </w:rPr>
        <w:t xml:space="preserve"> indicates the presence of O-H stretching vibration due to the alcohol, phenols and carboxylic acid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"10.1016/j.pce.2012.08.015", "ISSN" : "14747065", "abstract" : "The demand for clean water is on the increase as the population increases. One of the ways to address the water shortage is to treat the polluted water through removal of the contaminants. The use of adsorbents for pollutant removal is one of the promising methods. Seaweed is an aquatic plant and its sorption ability for selected metals in water was investigated in this study. We report the performance of the seaweed (Caulerpa serrulata) before and after modification with ethylenediamine (EDA), on adsorption of copper, lead and cadmium in aqueous solution. The adsorption capacities for Cu, Cd and Pb were 5.27mgg -1, 2.12mgg -1 and 2.16mgg -1, respectively, with the EDA-modified seaweed, and 3.29mgg -1, 4.57mgg -1 and 1.06mgg -1, with the unmodified weed, respectively. The pH for maximum adsorption was found to be within the range of pH 4-pH 6. In a separate investigation, it was found that 0.1g of dried seaweed leached 20mg of dissolved organic carbon (DOC) using 100ml of distilled-deionised water. The resulting solution was green. The leaching phenomenon contributes to secondary pollution. Modification of the seaweed with EDA reduced the DOC content by half (50%) and also removed the green colouration. Kinetic studies showed that the adsorbent was able to take up to 95% of the metals (in synthetic standard solutions) in less than 10min. The adsorbed metals were then stripped using a solution of 0.5M HNO 3 indicating that the adsorbent can be regenerated. In addition, the study revealed that modification improved the thermal stability of the adsorbent such that even when the temperature was raised to 1000\u00b0C, more than 80% (compared to &lt;50% for unmodified weed) of the modified adsorbent was not degraded, indicating that modification had a significant influence on the thermal stability of seaweed. The modified seaweed has been shown to have great potential for the removal of metals and DOC in polluted water. The modified adsorbent can therefore be applied for the removal of metals in polluted waters hence suitable for treatment of water for domestic consumption at a point of use. \u00a9 2012 Elsevier Ltd.", "author" : [ { "dropping-particle" : "", "family" : "Mwangi", "given" : "Isaac W.", "non-dropping-particle" : "", "parse-names" : false, "suffix" : "" }, { "dropping-particle" : "", "family" : "Ngila", "given" : "J. Catherine", "non-dropping-particle" : "", "parse-names" : false, "suffix" : "" } ], "container-title" : "Physics and Chemistry of the Earth", "id" : "ITEM-1", "issued" : { "date-parts" : [ [ "2012" ] ] }, "page" : "111-120", "title" : "Removal of heavy metals from contaminated water using ethylenediamine-modified green seaweed (Caulerpa serrulata)", "type" : "article-journal", "volume" : "50-52" }, "uris" : [ "http://www.mendeley.com/documents/?uuid=97dc2a0f-3f0a-4dbb-9109-d27807663081" ] } ], "mendeley" : { "formattedCitation" : "[17]", "plainTextFormattedCitation" : "[17]", "previouslyFormattedCitation" : "[17]"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[17]</w:t>
      </w:r>
      <w:r w:rsidRPr="00D643DD">
        <w:rPr>
          <w:rFonts w:ascii="Times New Roman" w:hAnsi="Times New Roman"/>
          <w:sz w:val="20"/>
          <w:szCs w:val="20"/>
        </w:rPr>
        <w:fldChar w:fldCharType="end"/>
      </w:r>
      <w:r w:rsidRPr="00D643DD">
        <w:rPr>
          <w:rFonts w:ascii="Times New Roman" w:hAnsi="Times New Roman"/>
          <w:sz w:val="20"/>
          <w:szCs w:val="20"/>
        </w:rPr>
        <w:t>. However, after the adsorption, the peak slightly shifted to a lower band of 3289 cm</w:t>
      </w:r>
      <w:r w:rsidRPr="00D643DD">
        <w:rPr>
          <w:rFonts w:ascii="Times New Roman" w:hAnsi="Times New Roman"/>
          <w:sz w:val="20"/>
          <w:szCs w:val="20"/>
          <w:vertAlign w:val="superscript"/>
        </w:rPr>
        <w:t>-1</w:t>
      </w:r>
      <w:r w:rsidRPr="00D643DD">
        <w:rPr>
          <w:rFonts w:ascii="Times New Roman" w:hAnsi="Times New Roman"/>
          <w:sz w:val="20"/>
          <w:szCs w:val="20"/>
        </w:rPr>
        <w:t>. The peak that observed at 2922 cm</w:t>
      </w:r>
      <w:r w:rsidRPr="00D643DD">
        <w:rPr>
          <w:rFonts w:ascii="Times New Roman" w:hAnsi="Times New Roman"/>
          <w:sz w:val="20"/>
          <w:szCs w:val="20"/>
          <w:vertAlign w:val="superscript"/>
        </w:rPr>
        <w:t>-1</w:t>
      </w:r>
      <w:r w:rsidRPr="00D643DD">
        <w:rPr>
          <w:rFonts w:ascii="Times New Roman" w:hAnsi="Times New Roman"/>
          <w:sz w:val="20"/>
          <w:szCs w:val="20"/>
        </w:rPr>
        <w:t xml:space="preserve"> can be appointed to asymmetric and symmetric –CH</w:t>
      </w:r>
      <w:r w:rsidRPr="00D643DD">
        <w:rPr>
          <w:rFonts w:ascii="Times New Roman" w:hAnsi="Times New Roman"/>
          <w:sz w:val="20"/>
          <w:szCs w:val="20"/>
          <w:vertAlign w:val="subscript"/>
        </w:rPr>
        <w:t>2</w:t>
      </w:r>
      <w:r w:rsidRPr="00D643DD">
        <w:rPr>
          <w:rFonts w:ascii="Times New Roman" w:hAnsi="Times New Roman"/>
          <w:sz w:val="20"/>
          <w:szCs w:val="20"/>
        </w:rPr>
        <w:t xml:space="preserve"> group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"10.1007/s11274-009-0028-0", "ISBN" : "0959-3993", "ISSN" : "09593993", "abstract" : "The removal of hexavalent chromium from aqueous solution was studied in batch experiments using dead biomass of three different species of marine Aspergillus after alkali treatment. All the cultures exhibited potential to remove Cr(VI), out of which, Aspergillus niger was found to be the most promising one. This culture was further studied employing variation in pH, temperature, metal ion concentration and biomass concentration with a view to understand the effect of these parameters on biosorption of Cr(VI). Higher biosorption percentage was evidenced at lower initial concentration of Cr(VI) ion, while the sorption capacity of the biomass increased with rising concentration of ions. Biomass as low as 0.8 g l(-1) could biosorb 95% Cr(VI) ions within 2,880 min from an aqueous solution of 400 mg l(-1) Cr(VI) concentration. Optimum pH and temperature for Cr(VI) biosorption were 2.0 and 50A degrees C, respectively. Kinetic studies based on pseudo second order models like Sobkowsk and Czerwinski, Ritchie, Blanchard and Ho and Mckay rate expressions have also been carried out. The nature of the possible cell-metal ion interactions was evaluated by FTIR, SEM and EDAX analysis.", "author" : [ { "dropping-particle" : "", "family" : "Khambhaty", "given" : "Yasmin", "non-dropping-particle" : "", "parse-names" : false, "suffix" : "" }, { "dropping-particle" : "", "family" : "Mody", "given" : "Kalpana", "non-dropping-particle" : "", "parse-names" : false, "suffix" : "" }, { "dropping-particle" : "", "family" : "Basha", "given" : "Shaik", "non-dropping-particle" : "", "parse-names" : false, "suffix" : "" }, { "dropping-particle" : "", "family" : "Jha", "given" : "Bhavanath", "non-dropping-particle" : "", "parse-names" : false, "suffix" : "" } ], "container-title" : "World Journal of Microbiology and Biotechnology", "id" : "ITEM-1", "issue" : "8", "issued" : { "date-parts" : [ [ "2009" ] ] }, "page" : "1413-1421", "title" : "Biosorption of Cr(VI) onto marine Aspergillus niger: Experimental studies and pseudo-second order kinetics", "type" : "article-journal", "volume" : "25" }, "uris" : [ "http://www.mendeley.com/documents/?uuid=50bef2bd-cd35-4404-a7f9-d7037d151ffb" ] } ], "mendeley" : { "formattedCitation" : "[18]", "plainTextFormattedCitation" : "[18]", "previouslyFormattedCitation" : "[18]"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[18]</w:t>
      </w:r>
      <w:r w:rsidRPr="00D643DD">
        <w:rPr>
          <w:rFonts w:ascii="Times New Roman" w:hAnsi="Times New Roman"/>
          <w:sz w:val="20"/>
          <w:szCs w:val="20"/>
        </w:rPr>
        <w:fldChar w:fldCharType="end"/>
      </w:r>
      <w:r w:rsidRPr="00D643DD">
        <w:rPr>
          <w:rFonts w:ascii="Times New Roman" w:hAnsi="Times New Roman"/>
          <w:sz w:val="20"/>
          <w:szCs w:val="20"/>
        </w:rPr>
        <w:t xml:space="preserve">. </w:t>
      </w:r>
    </w:p>
    <w:p w:rsidR="00D643DD" w:rsidRPr="00D643DD" w:rsidRDefault="00D643DD" w:rsidP="00D643DD">
      <w:pPr>
        <w:spacing w:after="0" w:line="240" w:lineRule="auto"/>
        <w:jc w:val="both"/>
        <w:outlineLvl w:val="0"/>
        <w:rPr>
          <w:rFonts w:ascii="Times New Roman" w:hAnsi="Times New Roman"/>
          <w:sz w:val="20"/>
          <w:szCs w:val="20"/>
        </w:rPr>
      </w:pPr>
    </w:p>
    <w:p w:rsidR="00D643DD" w:rsidRPr="00D643DD" w:rsidRDefault="00D643DD" w:rsidP="00D643DD">
      <w:pPr>
        <w:spacing w:after="120" w:line="240" w:lineRule="auto"/>
        <w:jc w:val="both"/>
        <w:outlineLvl w:val="0"/>
        <w:rPr>
          <w:rFonts w:ascii="Times New Roman" w:hAnsi="Times New Roman"/>
          <w:sz w:val="20"/>
          <w:szCs w:val="20"/>
        </w:rPr>
      </w:pPr>
    </w:p>
    <w:p w:rsidR="00D643DD" w:rsidRPr="00D643DD" w:rsidRDefault="00D643DD" w:rsidP="00D643DD">
      <w:pPr>
        <w:spacing w:after="120" w:line="240" w:lineRule="auto"/>
        <w:jc w:val="center"/>
        <w:outlineLvl w:val="0"/>
        <w:rPr>
          <w:rFonts w:ascii="Times New Roman" w:hAnsi="Times New Roman"/>
          <w:sz w:val="20"/>
          <w:szCs w:val="20"/>
        </w:rPr>
      </w:pPr>
      <w:r w:rsidRPr="00D643DD">
        <w:rPr>
          <w:rFonts w:ascii="Times New Roman" w:hAnsi="Times New Roman"/>
          <w:noProof/>
          <w:sz w:val="20"/>
          <w:szCs w:val="20"/>
          <w:lang w:bidi="ar-SA"/>
        </w:rPr>
        <w:lastRenderedPageBreak/>
        <w:drawing>
          <wp:inline distT="0" distB="0" distL="0" distR="0" wp14:anchorId="59FCCBB6" wp14:editId="521FDDAF">
            <wp:extent cx="4016044" cy="2298551"/>
            <wp:effectExtent l="19050" t="19050" r="22860" b="260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bwMode="auto">
                    <a:xfrm>
                      <a:off x="0" y="0"/>
                      <a:ext cx="4024890" cy="2303614"/>
                    </a:xfrm>
                    <a:prstGeom prst="rect">
                      <a:avLst/>
                    </a:prstGeom>
                    <a:noFill/>
                    <a:ln w="6350">
                      <a:solidFill>
                        <a:schemeClr val="tx1"/>
                      </a:solidFill>
                    </a:ln>
                  </pic:spPr>
                </pic:pic>
              </a:graphicData>
            </a:graphic>
          </wp:inline>
        </w:drawing>
      </w:r>
    </w:p>
    <w:p w:rsidR="00D643DD" w:rsidRPr="00D643DD" w:rsidRDefault="00D643DD" w:rsidP="00D643DD">
      <w:pPr>
        <w:spacing w:after="0" w:line="240" w:lineRule="auto"/>
        <w:jc w:val="center"/>
        <w:rPr>
          <w:rFonts w:ascii="Times New Roman" w:hAnsi="Times New Roman"/>
          <w:b/>
          <w:sz w:val="20"/>
          <w:szCs w:val="20"/>
          <w:lang w:eastAsia="en-GB"/>
        </w:rPr>
      </w:pPr>
      <w:r w:rsidRPr="00D643DD">
        <w:rPr>
          <w:rFonts w:ascii="Times New Roman" w:hAnsi="Times New Roman"/>
          <w:sz w:val="20"/>
          <w:szCs w:val="20"/>
          <w:lang w:eastAsia="en-GB"/>
        </w:rPr>
        <w:t>Figure 1.</w:t>
      </w:r>
      <w:r w:rsidRPr="00D643DD">
        <w:rPr>
          <w:rFonts w:ascii="Times New Roman" w:hAnsi="Times New Roman"/>
          <w:b/>
          <w:sz w:val="20"/>
          <w:szCs w:val="20"/>
          <w:lang w:eastAsia="en-GB"/>
        </w:rPr>
        <w:t xml:space="preserve"> </w:t>
      </w:r>
      <w:r>
        <w:rPr>
          <w:rFonts w:ascii="Times New Roman" w:hAnsi="Times New Roman"/>
          <w:b/>
          <w:sz w:val="20"/>
          <w:szCs w:val="20"/>
          <w:lang w:eastAsia="en-GB"/>
        </w:rPr>
        <w:t xml:space="preserve"> </w:t>
      </w:r>
      <w:r w:rsidRPr="00D643DD">
        <w:rPr>
          <w:rFonts w:ascii="Times New Roman" w:hAnsi="Times New Roman"/>
          <w:sz w:val="20"/>
          <w:szCs w:val="20"/>
          <w:lang w:eastAsia="en-GB"/>
        </w:rPr>
        <w:t>FTIR spectra for CFP and CFP-Pb after adsorption</w:t>
      </w:r>
    </w:p>
    <w:p w:rsidR="00D643DD" w:rsidRDefault="00D643DD" w:rsidP="00D643DD">
      <w:pPr>
        <w:spacing w:after="12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The minor peak at 2184 before adsorption shifted to a higher frequency of 2253 cm</w:t>
      </w:r>
      <w:r w:rsidRPr="00D643DD">
        <w:rPr>
          <w:rFonts w:ascii="Times New Roman" w:hAnsi="Times New Roman"/>
          <w:sz w:val="20"/>
          <w:szCs w:val="20"/>
          <w:vertAlign w:val="superscript"/>
        </w:rPr>
        <w:t>-1</w:t>
      </w:r>
      <w:r w:rsidRPr="00D643DD">
        <w:rPr>
          <w:rFonts w:ascii="Times New Roman" w:hAnsi="Times New Roman"/>
          <w:sz w:val="20"/>
          <w:szCs w:val="20"/>
        </w:rPr>
        <w:t xml:space="preserve"> after the adsorption. The peak corresponds to the alkene group C=C. The peak at 1732 cm</w:t>
      </w:r>
      <w:r w:rsidRPr="00D643DD">
        <w:rPr>
          <w:rFonts w:ascii="Times New Roman" w:hAnsi="Times New Roman"/>
          <w:sz w:val="20"/>
          <w:szCs w:val="20"/>
          <w:vertAlign w:val="superscript"/>
        </w:rPr>
        <w:t>-1</w:t>
      </w:r>
      <w:r w:rsidRPr="00D643DD">
        <w:rPr>
          <w:rFonts w:ascii="Times New Roman" w:hAnsi="Times New Roman"/>
          <w:sz w:val="20"/>
          <w:szCs w:val="20"/>
        </w:rPr>
        <w:t xml:space="preserve"> before adsorption shifted to the lower band at 1716 indicate the presence of carbonyl group C=O. N-H bond for primary and secondary amines and amide appear at peak 1607 cm</w:t>
      </w:r>
      <w:r w:rsidRPr="00D643DD">
        <w:rPr>
          <w:rFonts w:ascii="Times New Roman" w:hAnsi="Times New Roman"/>
          <w:sz w:val="20"/>
          <w:szCs w:val="20"/>
          <w:vertAlign w:val="superscript"/>
        </w:rPr>
        <w:t>-1</w:t>
      </w:r>
      <w:r w:rsidRPr="00D643DD">
        <w:rPr>
          <w:rFonts w:ascii="Times New Roman" w:hAnsi="Times New Roman"/>
          <w:sz w:val="20"/>
          <w:szCs w:val="20"/>
        </w:rPr>
        <w:t xml:space="preserve"> before adsorption and slightly increase after adsorption to 1637.64 cm</w:t>
      </w:r>
      <w:r w:rsidRPr="00D643DD">
        <w:rPr>
          <w:rFonts w:ascii="Times New Roman" w:hAnsi="Times New Roman"/>
          <w:sz w:val="20"/>
          <w:szCs w:val="20"/>
          <w:vertAlign w:val="superscript"/>
        </w:rPr>
        <w:t>-1</w:t>
      </w:r>
      <w:r w:rsidRPr="00D643DD">
        <w:rPr>
          <w:rFonts w:ascii="Times New Roman" w:hAnsi="Times New Roman"/>
          <w:sz w:val="20"/>
          <w:szCs w:val="20"/>
        </w:rPr>
        <w:t>. Besides that, the C-O group (alcohols, ether, esters, carboxylic acids, anhydrides) appeared at peak ranging from 1300-1000 cm</w:t>
      </w:r>
      <w:r w:rsidRPr="00D643DD">
        <w:rPr>
          <w:rFonts w:ascii="Times New Roman" w:hAnsi="Times New Roman"/>
          <w:sz w:val="20"/>
          <w:szCs w:val="20"/>
          <w:vertAlign w:val="superscript"/>
        </w:rPr>
        <w:t>-1</w:t>
      </w:r>
      <w:r w:rsidRPr="00D643DD">
        <w:rPr>
          <w:rFonts w:ascii="Times New Roman" w:hAnsi="Times New Roman"/>
          <w:sz w:val="20"/>
          <w:szCs w:val="20"/>
        </w:rPr>
        <w:t>. The small peak observed at 1517 cm</w:t>
      </w:r>
      <w:r w:rsidRPr="00D643DD">
        <w:rPr>
          <w:rFonts w:ascii="Times New Roman" w:hAnsi="Times New Roman"/>
          <w:sz w:val="20"/>
          <w:szCs w:val="20"/>
          <w:vertAlign w:val="superscript"/>
        </w:rPr>
        <w:t>-1</w:t>
      </w:r>
      <w:r w:rsidRPr="00D643DD">
        <w:rPr>
          <w:rFonts w:ascii="Times New Roman" w:hAnsi="Times New Roman"/>
          <w:sz w:val="20"/>
          <w:szCs w:val="20"/>
        </w:rPr>
        <w:t xml:space="preserve"> is due to –NH</w:t>
      </w:r>
      <w:r w:rsidRPr="00D643DD">
        <w:rPr>
          <w:rFonts w:ascii="Times New Roman" w:hAnsi="Times New Roman"/>
          <w:sz w:val="20"/>
          <w:szCs w:val="20"/>
          <w:vertAlign w:val="subscript"/>
        </w:rPr>
        <w:t>2</w:t>
      </w:r>
      <w:r w:rsidRPr="00D643DD">
        <w:rPr>
          <w:rFonts w:ascii="Times New Roman" w:hAnsi="Times New Roman"/>
          <w:sz w:val="20"/>
          <w:szCs w:val="20"/>
        </w:rPr>
        <w:t xml:space="preserve"> group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"10.1016/j.jhazmat.2006.06.029", "ISBN" : "2167334869", "ISSN" : "03043894", "PMID" : "16860936", "abstract" : "Batch biosorption experiments were carried out for the removal of methylene blue, a basic dye, from aqueous solution using raw Posidonia oceanica (L.) fibres, a marine lignocellulosic biomass. A series of assays were undertaken to assess the effect of the system variables, i.e. contact time, solution pH, biosorbent dosage and initial dye concentration. The results had showed that biosorption capacity was optimal using 6-9 solution pH range and by increasing the biosorbent concentration up to 1 g/L. The biosorption kinetics were analyzed using irreversible-first-order, reversible-first-order and pseudo-second-order and the sorption data were very well described by the pseudo-second-order model for the entire adsorption time with squared correlation coefficients equal to unity for all experimented initial dye concentrations. Besides, equilibrium data were very well represented by both Langmuir and Redlich-Peterson isotherm models followed by Freundlich, which confirm the monolayer coverage of methylene blue molecules onto P. oceanica fibres. ?? 2006 Elsevier B.V. All rights reserved.", "author" : [ { "dropping-particle" : "", "family" : "Ncibi", "given" : "Mohamed Chaker", "non-dropping-particle" : "", "parse-names" : false, "suffix" : "" }, { "dropping-particle" : "", "family" : "Mahjoub", "given" : "Borhane", "non-dropping-particle" : "", "parse-names" : false, "suffix" : "" }, { "dropping-particle" : "", "family" : "Seffen", "given" : "Mongi", "non-dropping-particle" : "", "parse-names" : false, "suffix" : "" } ], "container-title" : "Journal of Hazardous Materials", "id" : "ITEM-1", "issue" : "2", "issued" : { "date-parts" : [ [ "2007" ] ] }, "page" : "280-285", "title" : "Kinetic and equilibrium studies of methylene blue biosorption by Posidonia oceanica (L.) fibres", "type" : "article-journal", "volume" : "139" }, "uris" : [ "http://www.mendeley.com/documents/?uuid=49f0d3e7-83c6-484e-872a-63b28705b316" ] } ], "mendeley" : { "formattedCitation" : "[19]", "plainTextFormattedCitation" : "[19]", "previouslyFormattedCitation" : "[19]"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[19]</w:t>
      </w:r>
      <w:r w:rsidRPr="00D643DD">
        <w:rPr>
          <w:rFonts w:ascii="Times New Roman" w:hAnsi="Times New Roman"/>
          <w:sz w:val="20"/>
          <w:szCs w:val="20"/>
        </w:rPr>
        <w:fldChar w:fldCharType="end"/>
      </w:r>
      <w:r w:rsidRPr="00D643DD">
        <w:rPr>
          <w:rFonts w:ascii="Times New Roman" w:hAnsi="Times New Roman"/>
          <w:sz w:val="20"/>
          <w:szCs w:val="20"/>
        </w:rPr>
        <w:t>, the frequency decrease after the adsorption of lead Pb(II) to 1509 cm</w:t>
      </w:r>
      <w:r w:rsidRPr="00D643DD">
        <w:rPr>
          <w:rFonts w:ascii="Times New Roman" w:hAnsi="Times New Roman"/>
          <w:sz w:val="20"/>
          <w:szCs w:val="20"/>
          <w:vertAlign w:val="superscript"/>
        </w:rPr>
        <w:t>-1</w:t>
      </w:r>
      <w:r w:rsidRPr="00D643DD">
        <w:rPr>
          <w:rFonts w:ascii="Times New Roman" w:hAnsi="Times New Roman"/>
          <w:sz w:val="20"/>
          <w:szCs w:val="20"/>
        </w:rPr>
        <w:t>. Based on spectroscopy analysis, it can be concluded that the functional group responsible for the adsorption of Pb(II) onto CFP are carbonyl and amine groups which have a partial negative of oxygen and nitrogen that attracted toward a positive charged of Pb(II) ions.</w:t>
      </w:r>
    </w:p>
    <w:p w:rsidR="00D643DD" w:rsidRPr="00D643DD" w:rsidRDefault="00D643DD" w:rsidP="00D643DD">
      <w:pPr>
        <w:spacing w:after="12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rPr>
          <w:rFonts w:ascii="Times New Roman" w:hAnsi="Times New Roman"/>
          <w:b/>
          <w:sz w:val="20"/>
          <w:szCs w:val="20"/>
          <w:lang w:eastAsia="en-GB"/>
        </w:rPr>
      </w:pPr>
      <w:r w:rsidRPr="00D643DD">
        <w:rPr>
          <w:rFonts w:ascii="Times New Roman" w:hAnsi="Times New Roman"/>
          <w:b/>
          <w:sz w:val="20"/>
          <w:szCs w:val="20"/>
          <w:lang w:eastAsia="en-GB"/>
        </w:rPr>
        <w:t>Study of pH</w:t>
      </w:r>
    </w:p>
    <w:p w:rsidR="00D643DD" w:rsidRPr="00D643DD" w:rsidRDefault="00D643DD" w:rsidP="00D643DD">
      <w:pPr>
        <w:spacing w:after="0" w:line="240" w:lineRule="auto"/>
        <w:jc w:val="both"/>
        <w:outlineLvl w:val="0"/>
        <w:rPr>
          <w:rFonts w:ascii="Times New Roman" w:hAnsi="Times New Roman"/>
          <w:sz w:val="20"/>
          <w:szCs w:val="20"/>
        </w:rPr>
      </w:pPr>
      <w:r w:rsidRPr="00D643DD">
        <w:rPr>
          <w:rFonts w:ascii="Times New Roman" w:hAnsi="Times New Roman"/>
          <w:sz w:val="20"/>
          <w:szCs w:val="20"/>
        </w:rPr>
        <w:t xml:space="preserve">The effect of pH on adsorption of Pb by CFP (Fig. 2) was studied in the pH ranges from 2 to 5 with an </w:t>
      </w:r>
      <w:r w:rsidRPr="00D643DD">
        <w:rPr>
          <w:rFonts w:ascii="Times New Roman" w:hAnsi="Times New Roman"/>
          <w:noProof/>
          <w:sz w:val="20"/>
          <w:szCs w:val="20"/>
        </w:rPr>
        <w:t>adsorbent</w:t>
      </w:r>
      <w:r w:rsidRPr="00D643DD">
        <w:rPr>
          <w:rFonts w:ascii="Times New Roman" w:hAnsi="Times New Roman"/>
          <w:sz w:val="20"/>
          <w:szCs w:val="20"/>
        </w:rPr>
        <w:t xml:space="preserve"> dosage of 0.04 g and adsorbate concentration of 10 mg L</w:t>
      </w:r>
      <w:r w:rsidRPr="00D643DD">
        <w:rPr>
          <w:rFonts w:ascii="Times New Roman" w:hAnsi="Times New Roman"/>
          <w:sz w:val="20"/>
          <w:szCs w:val="20"/>
          <w:vertAlign w:val="superscript"/>
        </w:rPr>
        <w:t>-1</w:t>
      </w:r>
      <w:r w:rsidRPr="00D643DD">
        <w:rPr>
          <w:rFonts w:ascii="Times New Roman" w:hAnsi="Times New Roman"/>
          <w:sz w:val="20"/>
          <w:szCs w:val="20"/>
        </w:rPr>
        <w:t xml:space="preserve">. pH 5 and above </w:t>
      </w:r>
      <w:r w:rsidRPr="00D643DD">
        <w:rPr>
          <w:rFonts w:ascii="Times New Roman" w:hAnsi="Times New Roman"/>
          <w:noProof/>
          <w:sz w:val="20"/>
          <w:szCs w:val="20"/>
        </w:rPr>
        <w:t>were not chosen</w:t>
      </w:r>
      <w:r w:rsidRPr="00D643DD">
        <w:rPr>
          <w:rFonts w:ascii="Times New Roman" w:hAnsi="Times New Roman"/>
          <w:sz w:val="20"/>
          <w:szCs w:val="20"/>
        </w:rPr>
        <w:t xml:space="preserve"> because precipitation of  Pb(OH)</w:t>
      </w:r>
      <w:r w:rsidRPr="00D643DD">
        <w:rPr>
          <w:rFonts w:ascii="Times New Roman" w:hAnsi="Times New Roman"/>
          <w:sz w:val="20"/>
          <w:szCs w:val="20"/>
          <w:vertAlign w:val="subscript"/>
        </w:rPr>
        <w:t>2</w:t>
      </w:r>
      <w:r w:rsidRPr="00D643DD">
        <w:rPr>
          <w:rFonts w:ascii="Times New Roman" w:hAnsi="Times New Roman"/>
          <w:sz w:val="20"/>
          <w:szCs w:val="20"/>
        </w:rPr>
        <w:t xml:space="preserve"> will occur and to ensure that only Pb(II) involved in the adsorption studies </w:t>
      </w:r>
      <w:r w:rsidRPr="00D643DD">
        <w:rPr>
          <w:rFonts w:ascii="Times New Roman" w:hAnsi="Times New Roman"/>
          <w:sz w:val="20"/>
          <w:szCs w:val="20"/>
        </w:rPr>
        <w:fldChar w:fldCharType="begin" w:fldLock="1"/>
      </w:r>
      <w:r w:rsidRPr="00D643DD">
        <w:rPr>
          <w:rFonts w:ascii="Times New Roman" w:hAnsi="Times New Roman"/>
          <w:sz w:val="20"/>
          <w:szCs w:val="20"/>
        </w:rPr>
        <w:instrText>ADDIN CSL_CITATION { "citationItems" : [ { "id" : "ITEM-1", "itemData" : { "DOI" : "10.1007/BF02708134", "ISSN" : "0013936X", "abstract" : "AR (apple residue) was used as an alternative and cheap material for binding metal ions due to the presence of csz-boxyl and phenolic ftmctional groups. The binding capacity of copper, lead, and cadmium by AR was pH dependent. Carboxyl groups of AR were esterified by acidic methanol to determine the contribution of carboxyl groups to metal ions binding. The extent of esterification was determined by analyzing the amount of me- thanol released in the sample hydrolysates by gas chromatography. The effect of esterification on binding metal ions was investigated in batch experiments by tmmodified and modified AR. All esterified AR showed signi- ficant decreases in binding copper, lead and cadimum. The loss in the capacity of metal ion bilKhng was propor- tional to the extent of esterificafion. The capacity of metal binding decreased with increase in the concentration of methanol in the respective hydi-olysates or the modified AR. The data indicate that csz-boxyl groups on AR play an important role in the metal ion binding.", "author" : [ { "dropping-particle" : "", "family" : "Lee", "given" : "Sung Ho", "non-dropping-particle" : "", "parse-names" : false, "suffix" : "" }, { "dropping-particle" : "", "family" : "Shon", "given" : "Jong Shik", "non-dropping-particle" : "", "parse-names" : false, "suffix" : "" }, { "dropping-particle" : "", "family" : "Chung", "given" : "Hongsuk", "non-dropping-particle" : "", "parse-names" : false, "suffix" : "" }, { "dropping-particle" : "", "family" : "Lee", "given" : "Moo-Yeal", "non-dropping-particle" : "", "parse-names" : false, "suffix" : "" }, { "dropping-particle" : "", "family" : "Yang", "given" : "Ji-Won", "non-dropping-particle" : "", "parse-names" : false, "suffix" : "" } ], "container-title" : "Korean Journal of Chemical Engineering", "id" : "ITEM-1", "issue" : "5", "issued" : { "date-parts" : [ [ "1999" ] ] }, "page" : "576-580", "title" : "Effect of Chemical Modification of Carboxyl Groups in Apple Residues on Metal Ion Binding", "type" : "article-journal", "volume" : "16" }, "uris" : [ "http://www.mendeley.com/documents/?uuid=76c9a713-417b-4bfb-a1d0-5dbe56b65037" ] } ], "mendeley" : { "formattedCitation" : "[20]", "plainTextFormattedCitation" : "[20]", "previouslyFormattedCitation" : "[20]" }, "properties" : { "noteIndex" : 0 }, "schema" : "https://github.com/citation-style-language/schema/raw/master/csl-citation.json" }</w:instrText>
      </w:r>
      <w:r w:rsidRPr="00D643DD">
        <w:rPr>
          <w:rFonts w:ascii="Times New Roman" w:hAnsi="Times New Roman"/>
          <w:sz w:val="20"/>
          <w:szCs w:val="20"/>
        </w:rPr>
        <w:fldChar w:fldCharType="separate"/>
      </w:r>
      <w:r w:rsidRPr="00D643DD">
        <w:rPr>
          <w:rFonts w:ascii="Times New Roman" w:hAnsi="Times New Roman"/>
          <w:noProof/>
          <w:sz w:val="20"/>
          <w:szCs w:val="20"/>
        </w:rPr>
        <w:t>[20]</w:t>
      </w:r>
      <w:r w:rsidRPr="00D643DD">
        <w:rPr>
          <w:rFonts w:ascii="Times New Roman" w:hAnsi="Times New Roman"/>
          <w:sz w:val="20"/>
          <w:szCs w:val="20"/>
        </w:rPr>
        <w:fldChar w:fldCharType="end"/>
      </w:r>
      <w:r w:rsidRPr="00D643DD">
        <w:rPr>
          <w:rFonts w:ascii="Times New Roman" w:hAnsi="Times New Roman"/>
          <w:sz w:val="20"/>
          <w:szCs w:val="20"/>
        </w:rPr>
        <w:t>. The result of the effect of pH is illustrated in Fig. 2 below. From the result, the amount of Pb(II) ion adsorbed increased with the increasing of pH value. At pH 2, the amount of Pb(II) adsorbed was the lowest amount among the others which was 1.71 mg g</w:t>
      </w:r>
      <w:r w:rsidRPr="00D643DD">
        <w:rPr>
          <w:rFonts w:ascii="Times New Roman" w:hAnsi="Times New Roman"/>
          <w:sz w:val="20"/>
          <w:szCs w:val="20"/>
          <w:vertAlign w:val="superscript"/>
        </w:rPr>
        <w:t>-1</w:t>
      </w:r>
      <w:r w:rsidRPr="00D643DD">
        <w:rPr>
          <w:rFonts w:ascii="Times New Roman" w:hAnsi="Times New Roman"/>
          <w:sz w:val="20"/>
          <w:szCs w:val="20"/>
        </w:rPr>
        <w:t>. The highest adsorption of Pb(II) occurs at pH 5 (11.79 mg g</w:t>
      </w:r>
      <w:r w:rsidRPr="00D643DD">
        <w:rPr>
          <w:rFonts w:ascii="Times New Roman" w:hAnsi="Times New Roman"/>
          <w:sz w:val="20"/>
          <w:szCs w:val="20"/>
          <w:vertAlign w:val="superscript"/>
        </w:rPr>
        <w:t>-1</w:t>
      </w:r>
      <w:r w:rsidRPr="00D643DD">
        <w:rPr>
          <w:rFonts w:ascii="Times New Roman" w:hAnsi="Times New Roman"/>
          <w:sz w:val="20"/>
          <w:szCs w:val="20"/>
        </w:rPr>
        <w:t xml:space="preserve">). The adsorption capacity of Pb(II) </w:t>
      </w:r>
      <w:r w:rsidRPr="00D643DD">
        <w:rPr>
          <w:rFonts w:ascii="Times New Roman" w:hAnsi="Times New Roman"/>
          <w:noProof/>
          <w:sz w:val="20"/>
          <w:szCs w:val="20"/>
        </w:rPr>
        <w:t>lows</w:t>
      </w:r>
      <w:r w:rsidRPr="00D643DD">
        <w:rPr>
          <w:rFonts w:ascii="Times New Roman" w:hAnsi="Times New Roman"/>
          <w:sz w:val="20"/>
          <w:szCs w:val="20"/>
        </w:rPr>
        <w:t xml:space="preserve"> at pH 2 because Pb(II) ion need to compete with H</w:t>
      </w:r>
      <w:r w:rsidRPr="00D643DD">
        <w:rPr>
          <w:rFonts w:ascii="Times New Roman" w:hAnsi="Times New Roman"/>
          <w:sz w:val="20"/>
          <w:szCs w:val="20"/>
          <w:vertAlign w:val="subscript"/>
        </w:rPr>
        <w:t>3</w:t>
      </w:r>
      <w:r w:rsidRPr="00D643DD">
        <w:rPr>
          <w:rFonts w:ascii="Times New Roman" w:hAnsi="Times New Roman"/>
          <w:sz w:val="20"/>
          <w:szCs w:val="20"/>
        </w:rPr>
        <w:t>O</w:t>
      </w:r>
      <w:r w:rsidRPr="00D643DD">
        <w:rPr>
          <w:rFonts w:ascii="Times New Roman" w:hAnsi="Times New Roman"/>
          <w:sz w:val="20"/>
          <w:szCs w:val="20"/>
          <w:vertAlign w:val="superscript"/>
        </w:rPr>
        <w:t>+</w:t>
      </w:r>
      <w:r w:rsidRPr="00D643DD">
        <w:rPr>
          <w:rFonts w:ascii="Times New Roman" w:hAnsi="Times New Roman"/>
          <w:sz w:val="20"/>
          <w:szCs w:val="20"/>
        </w:rPr>
        <w:t xml:space="preserve"> for adsorption site. When the pH increased, the competing effect of H</w:t>
      </w:r>
      <w:r w:rsidRPr="00D643DD">
        <w:rPr>
          <w:rFonts w:ascii="Times New Roman" w:hAnsi="Times New Roman"/>
          <w:sz w:val="20"/>
          <w:szCs w:val="20"/>
          <w:vertAlign w:val="subscript"/>
        </w:rPr>
        <w:t>3</w:t>
      </w:r>
      <w:r w:rsidRPr="00D643DD">
        <w:rPr>
          <w:rFonts w:ascii="Times New Roman" w:hAnsi="Times New Roman"/>
          <w:sz w:val="20"/>
          <w:szCs w:val="20"/>
        </w:rPr>
        <w:t>O</w:t>
      </w:r>
      <w:r w:rsidRPr="00D643DD">
        <w:rPr>
          <w:rFonts w:ascii="Times New Roman" w:hAnsi="Times New Roman"/>
          <w:sz w:val="20"/>
          <w:szCs w:val="20"/>
          <w:vertAlign w:val="superscript"/>
        </w:rPr>
        <w:t>+</w:t>
      </w:r>
      <w:r w:rsidRPr="00D643DD">
        <w:rPr>
          <w:rFonts w:ascii="Times New Roman" w:hAnsi="Times New Roman"/>
          <w:sz w:val="20"/>
          <w:szCs w:val="20"/>
        </w:rPr>
        <w:t xml:space="preserve"> decreased and more adsorbent surface were revealed, the positive Pb(II) ions could easily adsorbed on the available adsorption sites of the adsorbents. The Pb(II) ion carried a positive charge and result in less repulsion of Pb(II) ion with the negative adsorption pH at high pH value contribute to high adsorption at higher pH (between pH 3-5). Pb(II) ion usually present at pH less than 5 and it is suitable to use in adsorption study. The pH adsorption edge in this experiment was between 2 to 4. At pH higher than 5, Pb(II) ion adsorbed will decrease due to the formation of Pb(OH)</w:t>
      </w:r>
      <w:r w:rsidRPr="00D643DD">
        <w:rPr>
          <w:rFonts w:ascii="Times New Roman" w:hAnsi="Times New Roman"/>
          <w:sz w:val="20"/>
          <w:szCs w:val="20"/>
          <w:vertAlign w:val="subscript"/>
        </w:rPr>
        <w:t>2</w:t>
      </w:r>
      <w:r w:rsidRPr="00D643DD">
        <w:rPr>
          <w:rFonts w:ascii="Times New Roman" w:hAnsi="Times New Roman"/>
          <w:sz w:val="20"/>
          <w:szCs w:val="20"/>
        </w:rPr>
        <w:t xml:space="preserve">. Hence, the applicable pH for adsorption of Pb(II) ion in this experiment </w:t>
      </w:r>
      <w:r w:rsidRPr="00D643DD">
        <w:rPr>
          <w:rFonts w:ascii="Times New Roman" w:hAnsi="Times New Roman"/>
          <w:noProof/>
          <w:sz w:val="20"/>
          <w:szCs w:val="20"/>
        </w:rPr>
        <w:t>was</w:t>
      </w:r>
      <w:r w:rsidRPr="00D643DD">
        <w:rPr>
          <w:rFonts w:ascii="Times New Roman" w:hAnsi="Times New Roman"/>
          <w:sz w:val="20"/>
          <w:szCs w:val="20"/>
        </w:rPr>
        <w:t xml:space="preserve"> pH 4. </w:t>
      </w:r>
    </w:p>
    <w:p w:rsidR="00D643DD" w:rsidRPr="00D643DD" w:rsidRDefault="00D643DD" w:rsidP="00D643DD">
      <w:pPr>
        <w:spacing w:after="0" w:line="240" w:lineRule="auto"/>
        <w:jc w:val="both"/>
        <w:outlineLvl w:val="0"/>
        <w:rPr>
          <w:rFonts w:ascii="Times New Roman" w:hAnsi="Times New Roman"/>
          <w:sz w:val="20"/>
          <w:szCs w:val="20"/>
        </w:rPr>
      </w:pPr>
    </w:p>
    <w:p w:rsidR="00D643DD" w:rsidRDefault="00D643DD" w:rsidP="00D643DD">
      <w:pPr>
        <w:spacing w:after="0" w:line="240" w:lineRule="auto"/>
        <w:jc w:val="both"/>
        <w:outlineLvl w:val="0"/>
        <w:rPr>
          <w:rFonts w:ascii="Times New Roman" w:hAnsi="Times New Roman"/>
          <w:sz w:val="20"/>
          <w:szCs w:val="20"/>
        </w:rPr>
      </w:pPr>
    </w:p>
    <w:p w:rsidR="00D643DD" w:rsidRDefault="00D643DD" w:rsidP="00D643DD">
      <w:pPr>
        <w:spacing w:after="0" w:line="240" w:lineRule="auto"/>
        <w:jc w:val="both"/>
        <w:outlineLvl w:val="0"/>
        <w:rPr>
          <w:rFonts w:ascii="Times New Roman" w:hAnsi="Times New Roman"/>
          <w:sz w:val="20"/>
          <w:szCs w:val="20"/>
        </w:rPr>
      </w:pPr>
    </w:p>
    <w:p w:rsidR="00D643DD" w:rsidRDefault="00D643DD" w:rsidP="00D643DD">
      <w:pPr>
        <w:spacing w:after="0" w:line="240" w:lineRule="auto"/>
        <w:jc w:val="both"/>
        <w:outlineLvl w:val="0"/>
        <w:rPr>
          <w:rFonts w:ascii="Times New Roman" w:hAnsi="Times New Roman"/>
          <w:sz w:val="20"/>
          <w:szCs w:val="20"/>
        </w:rPr>
      </w:pPr>
    </w:p>
    <w:p w:rsidR="00D643DD" w:rsidRDefault="00D643DD" w:rsidP="00D643DD">
      <w:pPr>
        <w:spacing w:after="0" w:line="240" w:lineRule="auto"/>
        <w:jc w:val="both"/>
        <w:outlineLvl w:val="0"/>
        <w:rPr>
          <w:rFonts w:ascii="Times New Roman" w:hAnsi="Times New Roman"/>
          <w:sz w:val="20"/>
          <w:szCs w:val="20"/>
        </w:rPr>
      </w:pPr>
    </w:p>
    <w:p w:rsidR="00D643DD" w:rsidRDefault="00D643DD" w:rsidP="00D643DD">
      <w:pPr>
        <w:spacing w:after="0" w:line="240" w:lineRule="auto"/>
        <w:jc w:val="both"/>
        <w:outlineLvl w:val="0"/>
        <w:rPr>
          <w:rFonts w:ascii="Times New Roman" w:hAnsi="Times New Roman"/>
          <w:sz w:val="20"/>
          <w:szCs w:val="20"/>
        </w:rPr>
      </w:pPr>
    </w:p>
    <w:p w:rsidR="00D643DD" w:rsidRDefault="00D643DD" w:rsidP="00D643DD">
      <w:pPr>
        <w:spacing w:after="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outlineLvl w:val="0"/>
        <w:rPr>
          <w:rFonts w:ascii="Times New Roman" w:hAnsi="Times New Roman"/>
          <w:sz w:val="20"/>
          <w:szCs w:val="20"/>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r w:rsidRPr="00D643DD">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19594BA9" wp14:editId="11B854A2">
            <wp:simplePos x="0" y="0"/>
            <wp:positionH relativeFrom="column">
              <wp:posOffset>1306195</wp:posOffset>
            </wp:positionH>
            <wp:positionV relativeFrom="paragraph">
              <wp:posOffset>53975</wp:posOffset>
            </wp:positionV>
            <wp:extent cx="3350260" cy="2194560"/>
            <wp:effectExtent l="0" t="0" r="21590" b="1524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sz w:val="20"/>
          <w:szCs w:val="20"/>
          <w:lang w:eastAsia="en-GB"/>
        </w:rPr>
      </w:pPr>
    </w:p>
    <w:p w:rsidR="00D643DD" w:rsidRDefault="00D643DD" w:rsidP="00D643DD">
      <w:pPr>
        <w:spacing w:after="0" w:line="240" w:lineRule="auto"/>
        <w:jc w:val="both"/>
        <w:rPr>
          <w:rFonts w:ascii="Times New Roman" w:hAnsi="Times New Roman"/>
          <w:sz w:val="20"/>
          <w:szCs w:val="20"/>
          <w:lang w:eastAsia="en-GB"/>
        </w:rPr>
      </w:pPr>
    </w:p>
    <w:p w:rsidR="00D643DD" w:rsidRDefault="00D643DD" w:rsidP="00D643DD">
      <w:pPr>
        <w:spacing w:after="0" w:line="240" w:lineRule="auto"/>
        <w:jc w:val="both"/>
        <w:rPr>
          <w:rFonts w:ascii="Times New Roman" w:hAnsi="Times New Roman"/>
          <w:sz w:val="20"/>
          <w:szCs w:val="20"/>
          <w:lang w:eastAsia="en-GB"/>
        </w:rPr>
      </w:pPr>
    </w:p>
    <w:p w:rsidR="00D643DD" w:rsidRDefault="00D643DD" w:rsidP="00D643DD">
      <w:pPr>
        <w:spacing w:after="0" w:line="240" w:lineRule="auto"/>
        <w:jc w:val="both"/>
        <w:rPr>
          <w:rFonts w:ascii="Times New Roman" w:hAnsi="Times New Roman"/>
          <w:sz w:val="20"/>
          <w:szCs w:val="20"/>
          <w:lang w:eastAsia="en-GB"/>
        </w:rPr>
      </w:pPr>
    </w:p>
    <w:p w:rsidR="00D643DD" w:rsidRDefault="00D643DD" w:rsidP="00D643DD">
      <w:pPr>
        <w:spacing w:after="0" w:line="240" w:lineRule="auto"/>
        <w:jc w:val="both"/>
        <w:rPr>
          <w:rFonts w:ascii="Times New Roman" w:hAnsi="Times New Roman"/>
          <w:sz w:val="20"/>
          <w:szCs w:val="20"/>
          <w:lang w:eastAsia="en-GB"/>
        </w:rPr>
      </w:pPr>
    </w:p>
    <w:p w:rsidR="00D643DD" w:rsidRPr="00D643DD" w:rsidRDefault="00D643DD" w:rsidP="00D643DD">
      <w:pPr>
        <w:spacing w:after="0" w:line="240" w:lineRule="auto"/>
        <w:jc w:val="center"/>
        <w:rPr>
          <w:rFonts w:ascii="Times New Roman" w:hAnsi="Times New Roman"/>
          <w:sz w:val="20"/>
          <w:szCs w:val="20"/>
          <w:lang w:eastAsia="en-GB"/>
        </w:rPr>
      </w:pPr>
      <w:r w:rsidRPr="00D643DD">
        <w:rPr>
          <w:rFonts w:ascii="Times New Roman" w:hAnsi="Times New Roman"/>
          <w:sz w:val="20"/>
          <w:szCs w:val="20"/>
          <w:lang w:eastAsia="en-GB"/>
        </w:rPr>
        <w:t>Figure 2.</w:t>
      </w:r>
      <w:r w:rsidRPr="00D643DD">
        <w:rPr>
          <w:rFonts w:ascii="Times New Roman" w:hAnsi="Times New Roman"/>
          <w:b/>
          <w:sz w:val="20"/>
          <w:szCs w:val="20"/>
          <w:lang w:eastAsia="en-GB"/>
        </w:rPr>
        <w:t xml:space="preserve"> </w:t>
      </w:r>
      <w:r>
        <w:rPr>
          <w:rFonts w:ascii="Times New Roman" w:hAnsi="Times New Roman"/>
          <w:b/>
          <w:sz w:val="20"/>
          <w:szCs w:val="20"/>
          <w:lang w:eastAsia="en-GB"/>
        </w:rPr>
        <w:t xml:space="preserve"> </w:t>
      </w:r>
      <w:r w:rsidRPr="00D643DD">
        <w:rPr>
          <w:rFonts w:ascii="Times New Roman" w:hAnsi="Times New Roman"/>
          <w:sz w:val="20"/>
          <w:szCs w:val="20"/>
          <w:lang w:eastAsia="en-GB"/>
        </w:rPr>
        <w:t>Effect of pH on adsorption of Pb onto CFP</w:t>
      </w:r>
    </w:p>
    <w:p w:rsidR="00D643DD" w:rsidRPr="00D643DD" w:rsidRDefault="00D643DD" w:rsidP="00D643DD">
      <w:pPr>
        <w:spacing w:after="120" w:line="240" w:lineRule="auto"/>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b/>
          <w:sz w:val="20"/>
          <w:szCs w:val="20"/>
          <w:lang w:eastAsia="en-GB"/>
        </w:rPr>
      </w:pPr>
      <w:r w:rsidRPr="00D643DD">
        <w:rPr>
          <w:rFonts w:ascii="Times New Roman" w:hAnsi="Times New Roman"/>
          <w:b/>
          <w:sz w:val="20"/>
          <w:szCs w:val="20"/>
          <w:lang w:eastAsia="en-GB"/>
        </w:rPr>
        <w:t>Study of dosage</w:t>
      </w:r>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rPr>
      </w:pPr>
      <w:r w:rsidRPr="00D643DD">
        <w:rPr>
          <w:rFonts w:ascii="Times New Roman" w:hAnsi="Times New Roman"/>
          <w:sz w:val="20"/>
          <w:szCs w:val="20"/>
          <w:lang w:val="en-MY"/>
        </w:rPr>
        <w:t xml:space="preserve">Fig 3 shows the removal of Pb(II) as a function of CFP dosage. Based on the result obtained, when the dosage increased from 0.02 g to 0.1 g, the percentage removal </w:t>
      </w:r>
      <w:r w:rsidRPr="00D643DD">
        <w:rPr>
          <w:rFonts w:ascii="Times New Roman" w:hAnsi="Times New Roman"/>
          <w:noProof/>
          <w:sz w:val="20"/>
          <w:szCs w:val="20"/>
          <w:lang w:val="en-MY"/>
        </w:rPr>
        <w:t xml:space="preserve">increased </w:t>
      </w:r>
      <w:r w:rsidRPr="00D643DD">
        <w:rPr>
          <w:rFonts w:ascii="Times New Roman" w:hAnsi="Times New Roman"/>
          <w:sz w:val="20"/>
          <w:szCs w:val="20"/>
          <w:lang w:val="en-MY"/>
        </w:rPr>
        <w:t>from 52.3 to 93.26% but inversely the adsorption capacity decreased gradually from 13.08 to 4.66 g mg</w:t>
      </w:r>
      <w:r w:rsidRPr="00D643DD">
        <w:rPr>
          <w:rFonts w:ascii="Times New Roman" w:hAnsi="Times New Roman"/>
          <w:sz w:val="20"/>
          <w:szCs w:val="20"/>
          <w:vertAlign w:val="superscript"/>
        </w:rPr>
        <w:t>-1</w:t>
      </w:r>
      <w:r w:rsidRPr="00D643DD">
        <w:rPr>
          <w:rFonts w:ascii="Times New Roman" w:hAnsi="Times New Roman"/>
          <w:sz w:val="20"/>
          <w:szCs w:val="20"/>
          <w:lang w:val="en-MY"/>
        </w:rPr>
        <w:t xml:space="preserve">. This might </w:t>
      </w:r>
      <w:r w:rsidRPr="00D643DD">
        <w:rPr>
          <w:rFonts w:ascii="Times New Roman" w:hAnsi="Times New Roman"/>
          <w:noProof/>
          <w:sz w:val="20"/>
          <w:szCs w:val="20"/>
          <w:lang w:val="en-MY"/>
        </w:rPr>
        <w:t xml:space="preserve">happen due to the availability of more binding sites as there is more adsorbent is added with the same amount of Pb(II) </w:t>
      </w:r>
      <w:r w:rsidRPr="00D643DD">
        <w:rPr>
          <w:rFonts w:ascii="Times New Roman" w:hAnsi="Times New Roman"/>
          <w:noProof/>
          <w:sz w:val="20"/>
          <w:szCs w:val="20"/>
          <w:lang w:val="en-MY"/>
        </w:rPr>
        <w:fldChar w:fldCharType="begin" w:fldLock="1"/>
      </w:r>
      <w:r w:rsidRPr="00D643DD">
        <w:rPr>
          <w:rFonts w:ascii="Times New Roman" w:hAnsi="Times New Roman"/>
          <w:noProof/>
          <w:sz w:val="20"/>
          <w:szCs w:val="20"/>
          <w:lang w:val="en-MY"/>
        </w:rPr>
        <w:instrText>ADDIN CSL_CITATION { "citationItems" : [ { "id" : "ITEM-1", "itemData" : { "DOI" : "10.1016/j.biortech.2005.07.001", "ISBN" : "0960-8524", "ISSN" : "09608524", "PMID" : "16112568", "abstract" : "Biosorption of each of the heavy metals, copper(II) and cobalt(II) by crab shell was investigated in this study. The biosorption capacities of crab shell for copper and cobalt were studied at different particle sizes (0.456-1.117 mm), biosorbent dosages (1-10 g/l), initial metal concentrations (500-2000 mg/l) and solution pH values (3.5-6) in batch mode. At optimum particle size (0.767 mm), biosorbent dosage (5 g/l) and initial solution pH (pH 6); crab shell recorded maximum copper and cobalt uptakes of 243.9 and 322.6 mg/g, respectively, according to Langmuir model. The kinetic data obtained at different initial metal concentrations indicated that biosorption rate was fast and most of the process was completed within 2 h, followed by slow attainment of equilibrium. Pseudo-second order model fitted the data well with very high correlation coefficients (&gt;0.998). The presence of light and heavy metal ions influenced the copper and cobalt uptake potential of crab shell. Among several eluting agents, EDTA (pH 3.5, in HCl) performed well and also caused low biosorbent damage. The biosorbent was successfully regenerated and reused for five cycles. ?? 2005 Elsevier Ltd. All rights reserved.", "author" : [ { "dropping-particle" : "", "family" : "Vijayaraghavan", "given" : "K.", "non-dropping-particle" : "", "parse-names" : false, "suffix" : "" }, { "dropping-particle" : "", "family" : "Palanivelu", "given" : "K.", "non-dropping-particle" : "", "parse-names" : false, "suffix" : "" }, { "dropping-particle" : "", "family" : "Velan", "given" : "M.", "non-dropping-particle" : "", "parse-names" : false, "suffix" : "" } ], "container-title" : "Bioresource Technology", "id" : "ITEM-1", "issue" : "12", "issued" : { "date-parts" : [ [ "2006" ] ] }, "page" : "1411-1419", "title" : "Biosorption of copper(II) and cobalt(II) from aqueous solutions by crab shell particles", "type" : "article-journal", "volume" : "97" }, "uris" : [ "http://www.mendeley.com/documents/?uuid=ed678a80-cc82-41f1-9330-96bda057ee39" ] } ], "mendeley" : { "formattedCitation" : "[21]", "plainTextFormattedCitation" : "[21]", "previouslyFormattedCitation" : "[21]" }, "properties" : { "noteIndex" : 0 }, "schema" : "https://github.com/citation-style-language/schema/raw/master/csl-citation.json" }</w:instrText>
      </w:r>
      <w:r w:rsidRPr="00D643DD">
        <w:rPr>
          <w:rFonts w:ascii="Times New Roman" w:hAnsi="Times New Roman"/>
          <w:noProof/>
          <w:sz w:val="20"/>
          <w:szCs w:val="20"/>
          <w:lang w:val="en-MY"/>
        </w:rPr>
        <w:fldChar w:fldCharType="separate"/>
      </w:r>
      <w:r w:rsidRPr="00D643DD">
        <w:rPr>
          <w:rFonts w:ascii="Times New Roman" w:hAnsi="Times New Roman"/>
          <w:noProof/>
          <w:sz w:val="20"/>
          <w:szCs w:val="20"/>
          <w:lang w:val="en-MY"/>
        </w:rPr>
        <w:t>[21]</w:t>
      </w:r>
      <w:r w:rsidRPr="00D643DD">
        <w:rPr>
          <w:rFonts w:ascii="Times New Roman" w:hAnsi="Times New Roman"/>
          <w:noProof/>
          <w:sz w:val="20"/>
          <w:szCs w:val="20"/>
          <w:lang w:val="en-MY"/>
        </w:rPr>
        <w:fldChar w:fldCharType="end"/>
      </w:r>
      <w:r w:rsidRPr="00D643DD">
        <w:rPr>
          <w:rFonts w:ascii="Times New Roman" w:hAnsi="Times New Roman"/>
          <w:sz w:val="20"/>
          <w:szCs w:val="20"/>
          <w:lang w:val="en-MY"/>
        </w:rPr>
        <w:t xml:space="preserve">. The amount of Pb(II) adsorbed remains constant above 0.06 g. As the number of adsorption site increased and heavy metal concentration was fixed at a </w:t>
      </w:r>
      <w:r w:rsidRPr="00D643DD">
        <w:rPr>
          <w:rFonts w:ascii="Times New Roman" w:hAnsi="Times New Roman"/>
          <w:noProof/>
          <w:sz w:val="20"/>
          <w:szCs w:val="20"/>
          <w:lang w:val="en-MY"/>
        </w:rPr>
        <w:t>similar</w:t>
      </w:r>
      <w:r w:rsidRPr="00D643DD">
        <w:rPr>
          <w:rFonts w:ascii="Times New Roman" w:hAnsi="Times New Roman"/>
          <w:sz w:val="20"/>
          <w:szCs w:val="20"/>
          <w:lang w:val="en-MY"/>
        </w:rPr>
        <w:t xml:space="preserve"> concentration (</w:t>
      </w:r>
      <w:r w:rsidRPr="00D643DD">
        <w:rPr>
          <w:rFonts w:ascii="Times New Roman" w:hAnsi="Times New Roman"/>
          <w:sz w:val="20"/>
          <w:szCs w:val="20"/>
        </w:rPr>
        <w:t>10 mg L</w:t>
      </w:r>
      <w:r w:rsidRPr="00D643DD">
        <w:rPr>
          <w:rFonts w:ascii="Times New Roman" w:hAnsi="Times New Roman"/>
          <w:sz w:val="20"/>
          <w:szCs w:val="20"/>
          <w:vertAlign w:val="superscript"/>
        </w:rPr>
        <w:t>-1</w:t>
      </w:r>
      <w:r w:rsidRPr="00D643DD">
        <w:rPr>
          <w:rFonts w:ascii="Times New Roman" w:hAnsi="Times New Roman"/>
          <w:sz w:val="20"/>
          <w:szCs w:val="20"/>
        </w:rPr>
        <w:t>)</w:t>
      </w:r>
      <w:r w:rsidRPr="00D643DD">
        <w:rPr>
          <w:rFonts w:ascii="Times New Roman" w:hAnsi="Times New Roman"/>
          <w:sz w:val="20"/>
          <w:szCs w:val="20"/>
          <w:lang w:val="en-MY"/>
        </w:rPr>
        <w:t xml:space="preserve">, there will be a lot of un-adsorbed adsorption sites. According to the result obtained, the adsorbent dosage of 0.04 g showed both relatively high percentage removal and high adsorption capacity. As a result, 0.04 g was used for further </w:t>
      </w:r>
      <w:r w:rsidRPr="00D643DD">
        <w:rPr>
          <w:rFonts w:ascii="Times New Roman" w:hAnsi="Times New Roman"/>
          <w:noProof/>
          <w:sz w:val="20"/>
          <w:szCs w:val="20"/>
          <w:lang w:val="en-MY"/>
        </w:rPr>
        <w:t>adsorption</w:t>
      </w:r>
      <w:r w:rsidRPr="00D643DD">
        <w:rPr>
          <w:rFonts w:ascii="Times New Roman" w:hAnsi="Times New Roman"/>
          <w:sz w:val="20"/>
          <w:szCs w:val="20"/>
          <w:lang w:val="en-MY"/>
        </w:rPr>
        <w:t xml:space="preserve"> parameter in this study.</w:t>
      </w:r>
    </w:p>
    <w:p w:rsidR="00D643DD" w:rsidRPr="00D643DD" w:rsidRDefault="00D643DD" w:rsidP="00D643DD">
      <w:pPr>
        <w:pStyle w:val="ListParagraph"/>
        <w:spacing w:after="120" w:line="240" w:lineRule="auto"/>
        <w:ind w:left="0"/>
        <w:contextualSpacing w:val="0"/>
        <w:jc w:val="both"/>
        <w:rPr>
          <w:rFonts w:ascii="Times New Roman" w:hAnsi="Times New Roman"/>
          <w:sz w:val="20"/>
          <w:szCs w:val="20"/>
          <w:lang w:val="en-MY"/>
        </w:rPr>
      </w:pPr>
    </w:p>
    <w:p w:rsidR="00D643DD" w:rsidRPr="00D643DD" w:rsidRDefault="00D643DD" w:rsidP="00D643DD">
      <w:pPr>
        <w:pStyle w:val="ListParagraph"/>
        <w:spacing w:after="0" w:line="240" w:lineRule="auto"/>
        <w:ind w:left="0"/>
        <w:contextualSpacing w:val="0"/>
        <w:jc w:val="both"/>
        <w:rPr>
          <w:rFonts w:ascii="Times New Roman" w:hAnsi="Times New Roman"/>
          <w:noProof/>
          <w:sz w:val="20"/>
          <w:szCs w:val="20"/>
          <w:lang w:eastAsia="en-GB"/>
        </w:rPr>
      </w:pPr>
      <w:r w:rsidRPr="00D643DD">
        <w:rPr>
          <w:rFonts w:ascii="Times New Roman" w:hAnsi="Times New Roman"/>
          <w:noProof/>
          <w:sz w:val="20"/>
          <w:szCs w:val="20"/>
          <w:lang w:bidi="ar-SA"/>
        </w:rPr>
        <w:drawing>
          <wp:anchor distT="0" distB="0" distL="114300" distR="114300" simplePos="0" relativeHeight="251661824" behindDoc="0" locked="0" layoutInCell="1" allowOverlap="1" wp14:anchorId="286E44E2" wp14:editId="29555C35">
            <wp:simplePos x="0" y="0"/>
            <wp:positionH relativeFrom="column">
              <wp:posOffset>1309370</wp:posOffset>
            </wp:positionH>
            <wp:positionV relativeFrom="paragraph">
              <wp:posOffset>3175</wp:posOffset>
            </wp:positionV>
            <wp:extent cx="3281680" cy="2072640"/>
            <wp:effectExtent l="0" t="0" r="13970" b="2286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D643DD" w:rsidRPr="00D643DD" w:rsidRDefault="00D643DD" w:rsidP="00D643DD">
      <w:pPr>
        <w:pStyle w:val="ListParagraph"/>
        <w:spacing w:after="0" w:line="240" w:lineRule="auto"/>
        <w:ind w:left="0"/>
        <w:contextualSpacing w:val="0"/>
        <w:jc w:val="both"/>
        <w:rPr>
          <w:rFonts w:ascii="Times New Roman" w:hAnsi="Times New Roman"/>
          <w:noProof/>
          <w:sz w:val="20"/>
          <w:szCs w:val="20"/>
          <w:lang w:eastAsia="en-GB"/>
        </w:rPr>
      </w:pPr>
      <w:r w:rsidRPr="00D643DD">
        <w:rPr>
          <w:rFonts w:ascii="Times New Roman" w:hAnsi="Times New Roman"/>
          <w:sz w:val="20"/>
          <w:szCs w:val="20"/>
          <w:lang w:val="en-MY"/>
        </w:rPr>
        <w:br w:type="textWrapping" w:clear="all"/>
      </w:r>
    </w:p>
    <w:p w:rsidR="00D643DD" w:rsidRPr="00D643DD" w:rsidRDefault="00D643DD" w:rsidP="00D643DD">
      <w:pPr>
        <w:pStyle w:val="ListParagraph"/>
        <w:spacing w:after="0" w:line="240" w:lineRule="auto"/>
        <w:ind w:left="0"/>
        <w:contextualSpacing w:val="0"/>
        <w:jc w:val="center"/>
        <w:rPr>
          <w:rFonts w:ascii="Times New Roman" w:hAnsi="Times New Roman"/>
          <w:noProof/>
          <w:sz w:val="20"/>
          <w:szCs w:val="20"/>
          <w:lang w:eastAsia="en-GB"/>
        </w:rPr>
      </w:pPr>
      <w:r w:rsidRPr="00D643DD">
        <w:rPr>
          <w:rFonts w:ascii="Times New Roman" w:hAnsi="Times New Roman"/>
          <w:noProof/>
          <w:sz w:val="20"/>
          <w:szCs w:val="20"/>
          <w:lang w:eastAsia="en-GB"/>
        </w:rPr>
        <w:t xml:space="preserve">Figure 3. </w:t>
      </w:r>
      <w:r>
        <w:rPr>
          <w:rFonts w:ascii="Times New Roman" w:hAnsi="Times New Roman"/>
          <w:noProof/>
          <w:sz w:val="20"/>
          <w:szCs w:val="20"/>
          <w:lang w:eastAsia="en-GB"/>
        </w:rPr>
        <w:t xml:space="preserve"> </w:t>
      </w:r>
      <w:r w:rsidRPr="00D643DD">
        <w:rPr>
          <w:rFonts w:ascii="Times New Roman" w:hAnsi="Times New Roman"/>
          <w:noProof/>
          <w:sz w:val="20"/>
          <w:szCs w:val="20"/>
          <w:lang w:eastAsia="en-GB"/>
        </w:rPr>
        <w:t>Effect of CFP dosage on the Pb adsorption onto CFP</w:t>
      </w:r>
    </w:p>
    <w:p w:rsidR="00D643DD" w:rsidRPr="00D643DD" w:rsidRDefault="00D643DD" w:rsidP="00D643DD">
      <w:pPr>
        <w:pStyle w:val="ListParagraph"/>
        <w:spacing w:after="120" w:line="240" w:lineRule="auto"/>
        <w:ind w:left="0"/>
        <w:contextualSpacing w:val="0"/>
        <w:jc w:val="both"/>
        <w:rPr>
          <w:rFonts w:ascii="Times New Roman" w:hAnsi="Times New Roman"/>
          <w:noProof/>
          <w:sz w:val="20"/>
          <w:szCs w:val="20"/>
          <w:lang w:eastAsia="en-GB"/>
        </w:rPr>
      </w:pPr>
    </w:p>
    <w:p w:rsidR="00D643DD" w:rsidRPr="00D643DD" w:rsidRDefault="00D643DD" w:rsidP="00D643DD">
      <w:pPr>
        <w:spacing w:after="0" w:line="240" w:lineRule="auto"/>
        <w:jc w:val="both"/>
        <w:rPr>
          <w:rFonts w:ascii="Times New Roman" w:hAnsi="Times New Roman"/>
          <w:b/>
          <w:sz w:val="20"/>
          <w:szCs w:val="20"/>
        </w:rPr>
      </w:pPr>
      <w:r w:rsidRPr="00D643DD">
        <w:rPr>
          <w:rFonts w:ascii="Times New Roman" w:hAnsi="Times New Roman"/>
          <w:b/>
          <w:sz w:val="20"/>
          <w:szCs w:val="20"/>
        </w:rPr>
        <w:t>Study of initial Pb(II) ion concentration and contact time</w:t>
      </w:r>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rPr>
      </w:pPr>
      <w:r w:rsidRPr="00D643DD">
        <w:rPr>
          <w:rFonts w:ascii="Times New Roman" w:hAnsi="Times New Roman"/>
          <w:bCs/>
          <w:sz w:val="20"/>
          <w:szCs w:val="20"/>
          <w:lang w:val="en-MY"/>
        </w:rPr>
        <w:t xml:space="preserve">The effect of lead concentration and contact time are important factors to determine the kinetic of adsorption. </w:t>
      </w:r>
      <w:r w:rsidRPr="00D643DD">
        <w:rPr>
          <w:rFonts w:ascii="Times New Roman" w:hAnsi="Times New Roman"/>
          <w:sz w:val="20"/>
          <w:szCs w:val="20"/>
          <w:lang w:val="en-MY"/>
        </w:rPr>
        <w:t xml:space="preserve">The adsorption data at different initial Pb(II) concentrations and contact time </w:t>
      </w:r>
      <w:r w:rsidRPr="00D643DD">
        <w:rPr>
          <w:rFonts w:ascii="Times New Roman" w:hAnsi="Times New Roman"/>
          <w:noProof/>
          <w:sz w:val="20"/>
          <w:szCs w:val="20"/>
          <w:lang w:val="en-MY"/>
        </w:rPr>
        <w:t>are</w:t>
      </w:r>
      <w:r w:rsidRPr="00D643DD">
        <w:rPr>
          <w:rFonts w:ascii="Times New Roman" w:hAnsi="Times New Roman"/>
          <w:sz w:val="20"/>
          <w:szCs w:val="20"/>
          <w:lang w:val="en-MY"/>
        </w:rPr>
        <w:t xml:space="preserve"> shown in Fig 4. The adsorption process was carried out at different contact times and initial concentration of Pb(II) with constant adsorbent dose (0.04 g) at room temperature. Based on the graph, the adsorption capacity and equilibrium time </w:t>
      </w:r>
      <w:r w:rsidRPr="00D643DD">
        <w:rPr>
          <w:rFonts w:ascii="Times New Roman" w:hAnsi="Times New Roman"/>
          <w:noProof/>
          <w:sz w:val="20"/>
          <w:szCs w:val="20"/>
          <w:lang w:val="en-MY"/>
        </w:rPr>
        <w:t>depended</w:t>
      </w:r>
      <w:r w:rsidRPr="00D643DD">
        <w:rPr>
          <w:rFonts w:ascii="Times New Roman" w:hAnsi="Times New Roman"/>
          <w:sz w:val="20"/>
          <w:szCs w:val="20"/>
          <w:lang w:val="en-MY"/>
        </w:rPr>
        <w:t xml:space="preserve"> on the concentration of Pb(II). The adsorption reached equilibrium within 10 minutes for the lead concentration of 10 and 20 mg L</w:t>
      </w:r>
      <w:r w:rsidRPr="00D643DD">
        <w:rPr>
          <w:rFonts w:ascii="Times New Roman" w:hAnsi="Times New Roman"/>
          <w:sz w:val="20"/>
          <w:szCs w:val="20"/>
          <w:vertAlign w:val="superscript"/>
        </w:rPr>
        <w:t>-1</w:t>
      </w:r>
      <w:r w:rsidRPr="00D643DD">
        <w:rPr>
          <w:rFonts w:ascii="Times New Roman" w:hAnsi="Times New Roman"/>
          <w:sz w:val="20"/>
          <w:szCs w:val="20"/>
          <w:lang w:val="en-MY"/>
        </w:rPr>
        <w:t xml:space="preserve"> and </w:t>
      </w:r>
      <w:r w:rsidRPr="00D643DD">
        <w:rPr>
          <w:rFonts w:ascii="Times New Roman" w:hAnsi="Times New Roman"/>
          <w:sz w:val="20"/>
          <w:szCs w:val="20"/>
          <w:lang w:val="en-MY"/>
        </w:rPr>
        <w:lastRenderedPageBreak/>
        <w:t>30 minutes for 30 mg L</w:t>
      </w:r>
      <w:r w:rsidRPr="00D643DD">
        <w:rPr>
          <w:rFonts w:ascii="Times New Roman" w:hAnsi="Times New Roman"/>
          <w:sz w:val="20"/>
          <w:szCs w:val="20"/>
          <w:vertAlign w:val="superscript"/>
        </w:rPr>
        <w:t>-1</w:t>
      </w:r>
      <w:r w:rsidRPr="00D643DD">
        <w:rPr>
          <w:rFonts w:ascii="Times New Roman" w:hAnsi="Times New Roman"/>
          <w:sz w:val="20"/>
          <w:szCs w:val="20"/>
          <w:lang w:val="en-MY"/>
        </w:rPr>
        <w:t>.  The amount of Pb(II) adsorbed at equilibrium were 11.06 mg L</w:t>
      </w:r>
      <w:r w:rsidRPr="00D643DD">
        <w:rPr>
          <w:rFonts w:ascii="Times New Roman" w:hAnsi="Times New Roman"/>
          <w:sz w:val="20"/>
          <w:szCs w:val="20"/>
          <w:vertAlign w:val="superscript"/>
        </w:rPr>
        <w:t>-1</w:t>
      </w:r>
      <w:r w:rsidRPr="00D643DD">
        <w:rPr>
          <w:rFonts w:ascii="Times New Roman" w:hAnsi="Times New Roman"/>
          <w:sz w:val="20"/>
          <w:szCs w:val="20"/>
          <w:lang w:val="en-MY"/>
        </w:rPr>
        <w:t>, 19.51 mg L</w:t>
      </w:r>
      <w:r w:rsidRPr="00D643DD">
        <w:rPr>
          <w:rFonts w:ascii="Times New Roman" w:hAnsi="Times New Roman"/>
          <w:sz w:val="20"/>
          <w:szCs w:val="20"/>
          <w:vertAlign w:val="superscript"/>
        </w:rPr>
        <w:t>-1</w:t>
      </w:r>
      <w:r w:rsidRPr="00D643DD">
        <w:rPr>
          <w:rFonts w:ascii="Times New Roman" w:hAnsi="Times New Roman"/>
          <w:sz w:val="20"/>
          <w:szCs w:val="20"/>
          <w:lang w:val="en-MY"/>
        </w:rPr>
        <w:t xml:space="preserve"> and 34.96 mg L</w:t>
      </w:r>
      <w:r w:rsidRPr="00D643DD">
        <w:rPr>
          <w:rFonts w:ascii="Times New Roman" w:hAnsi="Times New Roman"/>
          <w:sz w:val="20"/>
          <w:szCs w:val="20"/>
          <w:vertAlign w:val="superscript"/>
        </w:rPr>
        <w:t>-1</w:t>
      </w:r>
      <w:r w:rsidRPr="00D643DD">
        <w:rPr>
          <w:rFonts w:ascii="Times New Roman" w:hAnsi="Times New Roman"/>
          <w:sz w:val="20"/>
          <w:szCs w:val="20"/>
          <w:lang w:val="en-MY"/>
        </w:rPr>
        <w:t xml:space="preserve"> for the </w:t>
      </w:r>
      <w:r w:rsidRPr="00D643DD">
        <w:rPr>
          <w:rFonts w:ascii="Times New Roman" w:hAnsi="Times New Roman"/>
          <w:noProof/>
          <w:sz w:val="20"/>
          <w:szCs w:val="20"/>
          <w:lang w:val="en-MY"/>
        </w:rPr>
        <w:t>concentration</w:t>
      </w:r>
      <w:r w:rsidRPr="00D643DD">
        <w:rPr>
          <w:rFonts w:ascii="Times New Roman" w:hAnsi="Times New Roman"/>
          <w:sz w:val="20"/>
          <w:szCs w:val="20"/>
          <w:lang w:val="en-MY"/>
        </w:rPr>
        <w:t xml:space="preserve"> of 10, 20 and 30 mg L</w:t>
      </w:r>
      <w:r w:rsidRPr="00D643DD">
        <w:rPr>
          <w:rFonts w:ascii="Times New Roman" w:hAnsi="Times New Roman"/>
          <w:sz w:val="20"/>
          <w:szCs w:val="20"/>
          <w:vertAlign w:val="superscript"/>
        </w:rPr>
        <w:t>-1</w:t>
      </w:r>
      <w:r w:rsidRPr="00D643DD">
        <w:rPr>
          <w:rFonts w:ascii="Times New Roman" w:hAnsi="Times New Roman"/>
          <w:sz w:val="20"/>
          <w:szCs w:val="20"/>
          <w:lang w:val="en-MY"/>
        </w:rPr>
        <w:t xml:space="preserve"> respectively. At the initial stage, large capacity of the available bare surface area of the adsorbent </w:t>
      </w:r>
      <w:r w:rsidRPr="00D643DD">
        <w:rPr>
          <w:rFonts w:ascii="Times New Roman" w:hAnsi="Times New Roman"/>
          <w:noProof/>
          <w:sz w:val="20"/>
          <w:szCs w:val="20"/>
          <w:lang w:val="en-MY"/>
        </w:rPr>
        <w:t>was</w:t>
      </w:r>
      <w:r w:rsidRPr="00D643DD">
        <w:rPr>
          <w:rFonts w:ascii="Times New Roman" w:hAnsi="Times New Roman"/>
          <w:sz w:val="20"/>
          <w:szCs w:val="20"/>
          <w:lang w:val="en-MY"/>
        </w:rPr>
        <w:t xml:space="preserve"> </w:t>
      </w:r>
      <w:r w:rsidRPr="00D643DD">
        <w:rPr>
          <w:rFonts w:ascii="Times New Roman" w:hAnsi="Times New Roman"/>
          <w:noProof/>
          <w:sz w:val="20"/>
          <w:szCs w:val="20"/>
          <w:lang w:val="en-MY"/>
        </w:rPr>
        <w:t>favorable</w:t>
      </w:r>
      <w:r w:rsidRPr="00D643DD">
        <w:rPr>
          <w:rFonts w:ascii="Times New Roman" w:hAnsi="Times New Roman"/>
          <w:sz w:val="20"/>
          <w:szCs w:val="20"/>
          <w:lang w:val="en-MY"/>
        </w:rPr>
        <w:t xml:space="preserve"> for the adsorption of the Pb(II) and after </w:t>
      </w:r>
      <w:r w:rsidRPr="00D643DD">
        <w:rPr>
          <w:rFonts w:ascii="Times New Roman" w:hAnsi="Times New Roman"/>
          <w:noProof/>
          <w:sz w:val="20"/>
          <w:szCs w:val="20"/>
          <w:lang w:val="en-MY"/>
        </w:rPr>
        <w:t>an equilibrium</w:t>
      </w:r>
      <w:r w:rsidRPr="00D643DD">
        <w:rPr>
          <w:rFonts w:ascii="Times New Roman" w:hAnsi="Times New Roman"/>
          <w:sz w:val="20"/>
          <w:szCs w:val="20"/>
          <w:lang w:val="en-MY"/>
        </w:rPr>
        <w:t xml:space="preserve"> time, the pores of the coconut frond (CFP) are fully saturated with the Pb(II) molecules and adsorption process </w:t>
      </w:r>
      <w:r w:rsidRPr="00D643DD">
        <w:rPr>
          <w:rFonts w:ascii="Times New Roman" w:hAnsi="Times New Roman"/>
          <w:noProof/>
          <w:sz w:val="20"/>
          <w:szCs w:val="20"/>
          <w:lang w:val="en-MY"/>
        </w:rPr>
        <w:t>becomes</w:t>
      </w:r>
      <w:r w:rsidRPr="00D643DD">
        <w:rPr>
          <w:rFonts w:ascii="Times New Roman" w:hAnsi="Times New Roman"/>
          <w:sz w:val="20"/>
          <w:szCs w:val="20"/>
          <w:lang w:val="en-MY"/>
        </w:rPr>
        <w:t xml:space="preserve"> constant. This </w:t>
      </w:r>
      <w:r w:rsidRPr="00D643DD">
        <w:rPr>
          <w:rFonts w:ascii="Times New Roman" w:hAnsi="Times New Roman"/>
          <w:noProof/>
          <w:sz w:val="20"/>
          <w:szCs w:val="20"/>
          <w:lang w:val="en-MY"/>
        </w:rPr>
        <w:t>is happening</w:t>
      </w:r>
      <w:r w:rsidRPr="00D643DD">
        <w:rPr>
          <w:rFonts w:ascii="Times New Roman" w:hAnsi="Times New Roman"/>
          <w:sz w:val="20"/>
          <w:szCs w:val="20"/>
          <w:lang w:val="en-MY"/>
        </w:rPr>
        <w:t xml:space="preserve"> because the remaining available sites of the CFP compete among the Pb(II) molecules due to the steric effect as well as repulsive forces, and as the number of empty adsorption site decrease compare with the number of lead ion available, the rate of the adsorption slowing down </w:t>
      </w:r>
      <w:r w:rsidRPr="00D643DD">
        <w:rPr>
          <w:rFonts w:ascii="Times New Roman" w:hAnsi="Times New Roman"/>
          <w:sz w:val="20"/>
          <w:szCs w:val="20"/>
          <w:lang w:val="en-MY"/>
        </w:rPr>
        <w:fldChar w:fldCharType="begin" w:fldLock="1"/>
      </w:r>
      <w:r w:rsidRPr="00D643DD">
        <w:rPr>
          <w:rFonts w:ascii="Times New Roman" w:hAnsi="Times New Roman"/>
          <w:sz w:val="20"/>
          <w:szCs w:val="20"/>
          <w:lang w:val="en-MY"/>
        </w:rPr>
        <w:instrText>ADDIN CSL_CITATION { "citationItems" : [ { "id" : "ITEM-1", "itemData" : { "author" : [ { "dropping-particle" : "", "family" : "Bhattacharyya", "given" : "Krishna G", "non-dropping-particle" : "", "parse-names" : false, "suffix" : "" }, { "dropping-particle" : "Sen", "family" : "Gupta", "given" : "Susmita", "non-dropping-particle" : "", "parse-names" : false, "suffix" : "" } ], "container-title" : "Indian Engenering Chemical Research", "id" : "ITEM-1", "issued" : { "date-parts" : [ [ "2006" ] ] }, "page" : "7232-7240", "title" : "Adsorption of Chromium ( VI ) from Water by Clays", "type" : "article-journal", "volume" : "45" }, "uris" : [ "http://www.mendeley.com/documents/?uuid=36c81cd3-35f3-407f-ba24-81fff63165eb" ] } ], "mendeley" : { "formattedCitation" : "[22]", "plainTextFormattedCitation" : "[22]", "previouslyFormattedCitation" : "[22]" }, "properties" : { "noteIndex" : 0 }, "schema" : "https://github.com/citation-style-language/schema/raw/master/csl-citation.json" }</w:instrText>
      </w:r>
      <w:r w:rsidRPr="00D643DD">
        <w:rPr>
          <w:rFonts w:ascii="Times New Roman" w:hAnsi="Times New Roman"/>
          <w:sz w:val="20"/>
          <w:szCs w:val="20"/>
          <w:lang w:val="en-MY"/>
        </w:rPr>
        <w:fldChar w:fldCharType="separate"/>
      </w:r>
      <w:r w:rsidRPr="00D643DD">
        <w:rPr>
          <w:rFonts w:ascii="Times New Roman" w:hAnsi="Times New Roman"/>
          <w:noProof/>
          <w:sz w:val="20"/>
          <w:szCs w:val="20"/>
          <w:lang w:val="en-MY"/>
        </w:rPr>
        <w:t>[22]</w:t>
      </w:r>
      <w:r w:rsidRPr="00D643DD">
        <w:rPr>
          <w:rFonts w:ascii="Times New Roman" w:hAnsi="Times New Roman"/>
          <w:sz w:val="20"/>
          <w:szCs w:val="20"/>
          <w:lang w:val="en-MY"/>
        </w:rPr>
        <w:fldChar w:fldCharType="end"/>
      </w:r>
      <w:r w:rsidRPr="00D643DD">
        <w:rPr>
          <w:rFonts w:ascii="Times New Roman" w:hAnsi="Times New Roman"/>
          <w:sz w:val="20"/>
          <w:szCs w:val="20"/>
          <w:lang w:val="en-MY"/>
        </w:rPr>
        <w:t xml:space="preserve">. From the result obtain in this study, we can see that the amount of the Pb(II) molecules adsorbed per unit mass of CFP increase with an </w:t>
      </w:r>
      <w:r w:rsidRPr="00D643DD">
        <w:rPr>
          <w:rFonts w:ascii="Times New Roman" w:hAnsi="Times New Roman"/>
          <w:noProof/>
          <w:sz w:val="20"/>
          <w:szCs w:val="20"/>
          <w:lang w:val="en-MY"/>
        </w:rPr>
        <w:t>increase</w:t>
      </w:r>
      <w:r w:rsidRPr="00D643DD">
        <w:rPr>
          <w:rFonts w:ascii="Times New Roman" w:hAnsi="Times New Roman"/>
          <w:sz w:val="20"/>
          <w:szCs w:val="20"/>
          <w:lang w:val="en-MY"/>
        </w:rPr>
        <w:t xml:space="preserve"> in the </w:t>
      </w:r>
      <w:r w:rsidRPr="00D643DD">
        <w:rPr>
          <w:rFonts w:ascii="Times New Roman" w:hAnsi="Times New Roman"/>
          <w:noProof/>
          <w:sz w:val="20"/>
          <w:szCs w:val="20"/>
          <w:lang w:val="en-MY"/>
        </w:rPr>
        <w:t>initial</w:t>
      </w:r>
      <w:r w:rsidRPr="00D643DD">
        <w:rPr>
          <w:rFonts w:ascii="Times New Roman" w:hAnsi="Times New Roman"/>
          <w:sz w:val="20"/>
          <w:szCs w:val="20"/>
          <w:lang w:val="en-MY"/>
        </w:rPr>
        <w:t xml:space="preserve"> concentration of Pb(II) which caused by the high concentration gradient at high concentration that </w:t>
      </w:r>
      <w:r w:rsidRPr="00D643DD">
        <w:rPr>
          <w:rFonts w:ascii="Times New Roman" w:hAnsi="Times New Roman"/>
          <w:noProof/>
          <w:sz w:val="20"/>
          <w:szCs w:val="20"/>
          <w:lang w:val="en-MY"/>
        </w:rPr>
        <w:t>acts</w:t>
      </w:r>
      <w:r w:rsidRPr="00D643DD">
        <w:rPr>
          <w:rFonts w:ascii="Times New Roman" w:hAnsi="Times New Roman"/>
          <w:sz w:val="20"/>
          <w:szCs w:val="20"/>
          <w:lang w:val="en-MY"/>
        </w:rPr>
        <w:t xml:space="preserve"> as a driving force for the adsorption process.</w:t>
      </w:r>
    </w:p>
    <w:p w:rsidR="00D643DD" w:rsidRPr="00D643DD" w:rsidRDefault="00D643DD" w:rsidP="00330D6D">
      <w:pPr>
        <w:pStyle w:val="ListParagraph"/>
        <w:spacing w:after="120" w:line="240" w:lineRule="auto"/>
        <w:ind w:left="0"/>
        <w:contextualSpacing w:val="0"/>
        <w:jc w:val="both"/>
        <w:rPr>
          <w:rFonts w:ascii="Times New Roman" w:hAnsi="Times New Roman"/>
          <w:sz w:val="20"/>
          <w:szCs w:val="20"/>
          <w:lang w:val="en-MY"/>
        </w:rPr>
      </w:pPr>
    </w:p>
    <w:p w:rsidR="00D643DD" w:rsidRPr="00D643DD" w:rsidRDefault="00330D6D" w:rsidP="00330D6D">
      <w:pPr>
        <w:pStyle w:val="ListParagraph"/>
        <w:spacing w:after="120" w:line="240" w:lineRule="auto"/>
        <w:ind w:left="0"/>
        <w:contextualSpacing w:val="0"/>
        <w:jc w:val="both"/>
        <w:rPr>
          <w:rFonts w:ascii="Times New Roman" w:hAnsi="Times New Roman"/>
          <w:sz w:val="20"/>
          <w:szCs w:val="20"/>
          <w:lang w:eastAsia="en-GB"/>
        </w:rPr>
      </w:pPr>
      <w:r>
        <w:rPr>
          <w:rFonts w:ascii="Times New Roman" w:hAnsi="Times New Roman"/>
          <w:sz w:val="20"/>
          <w:szCs w:val="20"/>
          <w:lang w:eastAsia="en-GB"/>
        </w:rPr>
        <w:t xml:space="preserve">                                            </w:t>
      </w:r>
      <w:r w:rsidR="00D643DD" w:rsidRPr="00D643DD">
        <w:rPr>
          <w:rFonts w:ascii="Times New Roman" w:hAnsi="Times New Roman"/>
          <w:noProof/>
          <w:sz w:val="20"/>
          <w:szCs w:val="20"/>
          <w:lang w:bidi="ar-SA"/>
        </w:rPr>
        <w:drawing>
          <wp:inline distT="0" distB="0" distL="0" distR="0" wp14:anchorId="4ABF2961" wp14:editId="22A35D0F">
            <wp:extent cx="3131507" cy="2311052"/>
            <wp:effectExtent l="0" t="0" r="12065"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sz w:val="20"/>
          <w:szCs w:val="20"/>
          <w:lang w:eastAsia="en-GB"/>
        </w:rPr>
        <w:t xml:space="preserve"> </w:t>
      </w:r>
    </w:p>
    <w:p w:rsidR="00D643DD" w:rsidRPr="00D643DD" w:rsidRDefault="00D643DD" w:rsidP="00330D6D">
      <w:pPr>
        <w:pStyle w:val="ListParagraph"/>
        <w:spacing w:after="0" w:line="240" w:lineRule="auto"/>
        <w:ind w:left="0"/>
        <w:contextualSpacing w:val="0"/>
        <w:jc w:val="center"/>
        <w:rPr>
          <w:rFonts w:ascii="Times New Roman" w:hAnsi="Times New Roman"/>
          <w:noProof/>
          <w:sz w:val="20"/>
          <w:szCs w:val="20"/>
          <w:lang w:eastAsia="en-GB"/>
        </w:rPr>
      </w:pPr>
      <w:r w:rsidRPr="00D643DD">
        <w:rPr>
          <w:rFonts w:ascii="Times New Roman" w:hAnsi="Times New Roman"/>
          <w:noProof/>
          <w:sz w:val="20"/>
          <w:szCs w:val="20"/>
          <w:lang w:eastAsia="en-GB"/>
        </w:rPr>
        <w:t xml:space="preserve">Figure 4. </w:t>
      </w:r>
      <w:r w:rsidR="00330D6D">
        <w:rPr>
          <w:rFonts w:ascii="Times New Roman" w:hAnsi="Times New Roman"/>
          <w:noProof/>
          <w:sz w:val="20"/>
          <w:szCs w:val="20"/>
          <w:lang w:eastAsia="en-GB"/>
        </w:rPr>
        <w:t xml:space="preserve"> </w:t>
      </w:r>
      <w:r w:rsidRPr="00D643DD">
        <w:rPr>
          <w:rFonts w:ascii="Times New Roman" w:hAnsi="Times New Roman"/>
          <w:noProof/>
          <w:sz w:val="20"/>
          <w:szCs w:val="20"/>
          <w:lang w:eastAsia="en-GB"/>
        </w:rPr>
        <w:t>Effect of initial concentration and contact time on adsorption of Pb onto CFP</w:t>
      </w:r>
    </w:p>
    <w:p w:rsidR="00D643DD" w:rsidRPr="00D643DD" w:rsidRDefault="00D643DD" w:rsidP="00330D6D">
      <w:pPr>
        <w:pStyle w:val="ListParagraph"/>
        <w:spacing w:after="120" w:line="240" w:lineRule="auto"/>
        <w:ind w:left="0"/>
        <w:contextualSpacing w:val="0"/>
        <w:jc w:val="both"/>
        <w:rPr>
          <w:rFonts w:ascii="Times New Roman" w:hAnsi="Times New Roman"/>
          <w:sz w:val="20"/>
          <w:szCs w:val="20"/>
          <w:lang w:eastAsia="en-GB"/>
        </w:rPr>
      </w:pPr>
    </w:p>
    <w:p w:rsidR="00D643DD" w:rsidRPr="00D643DD" w:rsidRDefault="00D643DD" w:rsidP="00D643DD">
      <w:pPr>
        <w:spacing w:after="0" w:line="240" w:lineRule="auto"/>
        <w:jc w:val="both"/>
        <w:rPr>
          <w:rFonts w:ascii="Times New Roman" w:hAnsi="Times New Roman"/>
          <w:b/>
          <w:sz w:val="20"/>
          <w:szCs w:val="20"/>
          <w:lang w:eastAsia="en-GB"/>
        </w:rPr>
      </w:pPr>
      <w:bookmarkStart w:id="1" w:name="_Toc439947924"/>
      <w:r w:rsidRPr="00D643DD">
        <w:rPr>
          <w:rFonts w:ascii="Times New Roman" w:hAnsi="Times New Roman"/>
          <w:b/>
          <w:bCs/>
          <w:sz w:val="20"/>
          <w:szCs w:val="20"/>
          <w:lang w:val="en-MY" w:eastAsia="en-GB"/>
        </w:rPr>
        <w:t>Adsorption kinetic model</w:t>
      </w:r>
      <w:bookmarkEnd w:id="1"/>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eastAsia="en-GB"/>
        </w:rPr>
      </w:pPr>
      <w:r w:rsidRPr="00D643DD">
        <w:rPr>
          <w:rFonts w:ascii="Times New Roman" w:hAnsi="Times New Roman"/>
          <w:sz w:val="20"/>
          <w:szCs w:val="20"/>
          <w:lang w:val="en-MY" w:eastAsia="en-GB"/>
        </w:rPr>
        <w:t xml:space="preserve">The kinetic data for the adsorption of Pb(II) were further </w:t>
      </w:r>
      <w:r w:rsidRPr="00D643DD">
        <w:rPr>
          <w:rFonts w:ascii="Times New Roman" w:hAnsi="Times New Roman"/>
          <w:noProof/>
          <w:sz w:val="20"/>
          <w:szCs w:val="20"/>
          <w:lang w:val="en-MY" w:eastAsia="en-GB"/>
        </w:rPr>
        <w:t>analyzed</w:t>
      </w:r>
      <w:r w:rsidRPr="00D643DD">
        <w:rPr>
          <w:rFonts w:ascii="Times New Roman" w:hAnsi="Times New Roman"/>
          <w:sz w:val="20"/>
          <w:szCs w:val="20"/>
          <w:lang w:val="en-MY" w:eastAsia="en-GB"/>
        </w:rPr>
        <w:t xml:space="preserve"> by using the pseudo </w:t>
      </w:r>
      <w:r w:rsidRPr="00D643DD">
        <w:rPr>
          <w:rFonts w:ascii="Times New Roman" w:hAnsi="Times New Roman"/>
          <w:noProof/>
          <w:sz w:val="20"/>
          <w:szCs w:val="20"/>
          <w:lang w:val="en-MY" w:eastAsia="en-GB"/>
        </w:rPr>
        <w:t>first order</w:t>
      </w:r>
      <w:r w:rsidRPr="00D643DD">
        <w:rPr>
          <w:rFonts w:ascii="Times New Roman" w:hAnsi="Times New Roman"/>
          <w:sz w:val="20"/>
          <w:szCs w:val="20"/>
          <w:lang w:val="en-MY" w:eastAsia="en-GB"/>
        </w:rPr>
        <w:t xml:space="preserve"> and pseudo second order kinetic models. The equations for both kinetic models </w:t>
      </w:r>
      <w:r w:rsidRPr="00D643DD">
        <w:rPr>
          <w:rFonts w:ascii="Times New Roman" w:hAnsi="Times New Roman"/>
          <w:noProof/>
          <w:sz w:val="20"/>
          <w:szCs w:val="20"/>
          <w:lang w:val="en-MY" w:eastAsia="en-GB"/>
        </w:rPr>
        <w:t>were</w:t>
      </w:r>
      <w:r w:rsidRPr="00D643DD">
        <w:rPr>
          <w:rFonts w:ascii="Times New Roman" w:hAnsi="Times New Roman"/>
          <w:sz w:val="20"/>
          <w:szCs w:val="20"/>
          <w:lang w:val="en-MY" w:eastAsia="en-GB"/>
        </w:rPr>
        <w:t xml:space="preserve"> expressed in equation (3) and (4) respectively: </w:t>
      </w:r>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eastAsia="en-GB"/>
        </w:rPr>
      </w:pPr>
    </w:p>
    <w:p w:rsidR="00D643DD" w:rsidRPr="00D643DD" w:rsidRDefault="002D25E1" w:rsidP="00D643DD">
      <w:pPr>
        <w:pStyle w:val="ListParagraph"/>
        <w:spacing w:after="0" w:line="240" w:lineRule="auto"/>
        <w:ind w:left="0" w:firstLine="720"/>
        <w:contextualSpacing w:val="0"/>
        <w:jc w:val="both"/>
        <w:rPr>
          <w:rFonts w:ascii="Times New Roman" w:hAnsi="Times New Roman"/>
          <w:sz w:val="20"/>
          <w:szCs w:val="20"/>
          <w:lang w:val="en-MY" w:eastAsia="en-GB"/>
        </w:rPr>
      </w:pPr>
      <m:oMath>
        <m:func>
          <m:funcPr>
            <m:ctrlPr>
              <w:rPr>
                <w:rFonts w:ascii="Cambria Math" w:hAnsi="Cambria Math"/>
                <w:i/>
                <w:sz w:val="20"/>
                <w:szCs w:val="20"/>
                <w:lang w:val="en-MY" w:eastAsia="en-GB"/>
              </w:rPr>
            </m:ctrlPr>
          </m:funcPr>
          <m:fName>
            <m:r>
              <m:rPr>
                <m:sty m:val="p"/>
              </m:rPr>
              <w:rPr>
                <w:rFonts w:ascii="Cambria Math" w:hAnsi="Cambria Math"/>
                <w:sz w:val="20"/>
                <w:szCs w:val="20"/>
                <w:lang w:val="en-MY" w:eastAsia="en-GB"/>
              </w:rPr>
              <m:t>log</m:t>
            </m:r>
          </m:fName>
          <m:e>
            <m:d>
              <m:dPr>
                <m:ctrlPr>
                  <w:rPr>
                    <w:rFonts w:ascii="Cambria Math" w:hAnsi="Cambria Math"/>
                    <w:i/>
                    <w:sz w:val="20"/>
                    <w:szCs w:val="20"/>
                    <w:lang w:val="en-MY" w:eastAsia="en-GB"/>
                  </w:rPr>
                </m:ctrlPr>
              </m:dPr>
              <m:e>
                <m:r>
                  <w:rPr>
                    <w:rFonts w:ascii="Cambria Math" w:hAnsi="Cambria Math"/>
                    <w:sz w:val="20"/>
                    <w:szCs w:val="20"/>
                    <w:lang w:val="en-MY" w:eastAsia="en-GB"/>
                  </w:rPr>
                  <m:t>q</m:t>
                </m:r>
                <m:r>
                  <m:rPr>
                    <m:nor/>
                  </m:rPr>
                  <w:rPr>
                    <w:rFonts w:ascii="Times New Roman" w:hAnsi="Times New Roman"/>
                    <w:sz w:val="20"/>
                    <w:szCs w:val="20"/>
                    <w:vertAlign w:val="subscript"/>
                    <w:lang w:val="en-MY" w:eastAsia="en-GB"/>
                  </w:rPr>
                  <m:t>e</m:t>
                </m:r>
                <m:r>
                  <w:rPr>
                    <w:rFonts w:ascii="Cambria Math" w:hAnsi="Cambria Math"/>
                    <w:sz w:val="20"/>
                    <w:szCs w:val="20"/>
                    <w:lang w:val="en-MY" w:eastAsia="en-GB"/>
                  </w:rPr>
                  <m:t>-q</m:t>
                </m:r>
                <m:r>
                  <m:rPr>
                    <m:nor/>
                  </m:rPr>
                  <w:rPr>
                    <w:rFonts w:ascii="Times New Roman" w:hAnsi="Times New Roman"/>
                    <w:sz w:val="20"/>
                    <w:szCs w:val="20"/>
                    <w:vertAlign w:val="subscript"/>
                    <w:lang w:val="en-MY" w:eastAsia="en-GB"/>
                  </w:rPr>
                  <m:t>t</m:t>
                </m:r>
              </m:e>
            </m:d>
          </m:e>
        </m:func>
        <m:r>
          <w:rPr>
            <w:rFonts w:ascii="Cambria Math" w:hAnsi="Cambria Math"/>
            <w:sz w:val="20"/>
            <w:szCs w:val="20"/>
            <w:lang w:val="en-MY" w:eastAsia="en-GB"/>
          </w:rPr>
          <m:t>=</m:t>
        </m:r>
        <m:func>
          <m:funcPr>
            <m:ctrlPr>
              <w:rPr>
                <w:rFonts w:ascii="Cambria Math" w:hAnsi="Cambria Math"/>
                <w:i/>
                <w:sz w:val="20"/>
                <w:szCs w:val="20"/>
                <w:lang w:val="en-MY" w:eastAsia="en-GB"/>
              </w:rPr>
            </m:ctrlPr>
          </m:funcPr>
          <m:fName>
            <m:r>
              <m:rPr>
                <m:sty m:val="p"/>
              </m:rPr>
              <w:rPr>
                <w:rFonts w:ascii="Cambria Math" w:hAnsi="Cambria Math"/>
                <w:sz w:val="20"/>
                <w:szCs w:val="20"/>
                <w:lang w:val="en-MY" w:eastAsia="en-GB"/>
              </w:rPr>
              <m:t>log</m:t>
            </m:r>
          </m:fName>
          <m:e>
            <m:r>
              <w:rPr>
                <w:rFonts w:ascii="Cambria Math" w:hAnsi="Cambria Math"/>
                <w:sz w:val="20"/>
                <w:szCs w:val="20"/>
                <w:lang w:val="en-MY" w:eastAsia="en-GB"/>
              </w:rPr>
              <m:t>q</m:t>
            </m:r>
            <m:r>
              <m:rPr>
                <m:nor/>
              </m:rPr>
              <w:rPr>
                <w:rFonts w:ascii="Times New Roman" w:hAnsi="Times New Roman"/>
                <w:sz w:val="20"/>
                <w:szCs w:val="20"/>
                <w:vertAlign w:val="subscript"/>
                <w:lang w:val="en-MY" w:eastAsia="en-GB"/>
              </w:rPr>
              <m:t>e</m:t>
            </m:r>
            <m:r>
              <w:rPr>
                <w:rFonts w:ascii="Cambria Math" w:hAnsi="Cambria Math"/>
                <w:sz w:val="20"/>
                <w:szCs w:val="20"/>
                <w:lang w:val="en-MY" w:eastAsia="en-GB"/>
              </w:rPr>
              <m:t xml:space="preserve">- </m:t>
            </m:r>
            <m:f>
              <m:fPr>
                <m:ctrlPr>
                  <w:rPr>
                    <w:rFonts w:ascii="Cambria Math" w:hAnsi="Cambria Math"/>
                    <w:i/>
                    <w:sz w:val="20"/>
                    <w:szCs w:val="20"/>
                    <w:lang w:val="en-MY" w:eastAsia="en-GB"/>
                  </w:rPr>
                </m:ctrlPr>
              </m:fPr>
              <m:num>
                <m:r>
                  <w:rPr>
                    <w:rFonts w:ascii="Cambria Math" w:hAnsi="Cambria Math"/>
                    <w:sz w:val="20"/>
                    <w:szCs w:val="20"/>
                    <w:lang w:val="en-MY" w:eastAsia="en-GB"/>
                  </w:rPr>
                  <m:t>K</m:t>
                </m:r>
                <m:r>
                  <m:rPr>
                    <m:nor/>
                  </m:rPr>
                  <w:rPr>
                    <w:rFonts w:ascii="Times New Roman" w:hAnsi="Times New Roman"/>
                    <w:sz w:val="20"/>
                    <w:szCs w:val="20"/>
                    <w:vertAlign w:val="subscript"/>
                    <w:lang w:val="en-MY" w:eastAsia="en-GB"/>
                  </w:rPr>
                  <m:t>1</m:t>
                </m:r>
              </m:num>
              <m:den>
                <m:r>
                  <w:rPr>
                    <w:rFonts w:ascii="Cambria Math" w:hAnsi="Cambria Math"/>
                    <w:sz w:val="20"/>
                    <w:szCs w:val="20"/>
                    <w:lang w:val="en-MY" w:eastAsia="en-GB"/>
                  </w:rPr>
                  <m:t>2.303</m:t>
                </m:r>
              </m:den>
            </m:f>
          </m:e>
        </m:func>
        <m:r>
          <w:rPr>
            <w:rFonts w:ascii="Cambria Math" w:hAnsi="Cambria Math"/>
            <w:sz w:val="20"/>
            <w:szCs w:val="20"/>
            <w:lang w:val="en-MY" w:eastAsia="en-GB"/>
          </w:rPr>
          <m:t xml:space="preserve">t   </m:t>
        </m:r>
      </m:oMath>
      <w:r w:rsidR="00D643DD" w:rsidRPr="00D643DD">
        <w:rPr>
          <w:rFonts w:ascii="Times New Roman" w:hAnsi="Times New Roman"/>
          <w:sz w:val="20"/>
          <w:szCs w:val="20"/>
          <w:lang w:val="en-MY" w:eastAsia="en-GB"/>
        </w:rPr>
        <w:t xml:space="preserve"> </w:t>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t xml:space="preserve">   </w:t>
      </w:r>
      <w:r w:rsidR="00330D6D">
        <w:rPr>
          <w:rFonts w:ascii="Times New Roman" w:hAnsi="Times New Roman"/>
          <w:sz w:val="20"/>
          <w:szCs w:val="20"/>
          <w:lang w:val="en-MY" w:eastAsia="en-GB"/>
        </w:rPr>
        <w:t xml:space="preserve">      </w:t>
      </w:r>
      <w:r w:rsidR="00D643DD" w:rsidRPr="00D643DD">
        <w:rPr>
          <w:rFonts w:ascii="Times New Roman" w:hAnsi="Times New Roman"/>
          <w:sz w:val="20"/>
          <w:szCs w:val="20"/>
          <w:lang w:val="en-MY" w:eastAsia="en-GB"/>
        </w:rPr>
        <w:t>(3)</w:t>
      </w:r>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eastAsia="en-GB"/>
        </w:rPr>
      </w:pPr>
    </w:p>
    <w:p w:rsidR="00D643DD" w:rsidRPr="00D643DD" w:rsidRDefault="002D25E1" w:rsidP="00D643DD">
      <w:pPr>
        <w:pStyle w:val="ListParagraph"/>
        <w:spacing w:after="0" w:line="240" w:lineRule="auto"/>
        <w:ind w:left="0" w:firstLine="720"/>
        <w:contextualSpacing w:val="0"/>
        <w:jc w:val="both"/>
        <w:rPr>
          <w:rFonts w:ascii="Times New Roman" w:hAnsi="Times New Roman"/>
          <w:sz w:val="20"/>
          <w:szCs w:val="20"/>
          <w:lang w:val="en-MY" w:eastAsia="en-GB"/>
        </w:rPr>
      </w:pPr>
      <m:oMath>
        <m:f>
          <m:fPr>
            <m:ctrlPr>
              <w:rPr>
                <w:rFonts w:ascii="Cambria Math" w:hAnsi="Cambria Math"/>
                <w:i/>
                <w:sz w:val="20"/>
                <w:szCs w:val="20"/>
                <w:lang w:val="en-MY" w:eastAsia="en-GB"/>
              </w:rPr>
            </m:ctrlPr>
          </m:fPr>
          <m:num>
            <m:r>
              <w:rPr>
                <w:rFonts w:ascii="Cambria Math" w:hAnsi="Cambria Math"/>
                <w:sz w:val="20"/>
                <w:szCs w:val="20"/>
                <w:lang w:val="en-MY" w:eastAsia="en-GB"/>
              </w:rPr>
              <m:t>t</m:t>
            </m:r>
          </m:num>
          <m:den>
            <m:r>
              <w:rPr>
                <w:rFonts w:ascii="Cambria Math" w:hAnsi="Cambria Math"/>
                <w:sz w:val="20"/>
                <w:szCs w:val="20"/>
                <w:lang w:val="en-MY" w:eastAsia="en-GB"/>
              </w:rPr>
              <m:t>q</m:t>
            </m:r>
            <m:r>
              <m:rPr>
                <m:nor/>
              </m:rPr>
              <w:rPr>
                <w:rFonts w:ascii="Times New Roman" w:hAnsi="Times New Roman"/>
                <w:sz w:val="20"/>
                <w:szCs w:val="20"/>
                <w:vertAlign w:val="subscript"/>
                <w:lang w:val="en-MY" w:eastAsia="en-GB"/>
              </w:rPr>
              <m:t>t</m:t>
            </m:r>
          </m:den>
        </m:f>
        <m:r>
          <w:rPr>
            <w:rFonts w:ascii="Cambria Math" w:hAnsi="Cambria Math"/>
            <w:sz w:val="20"/>
            <w:szCs w:val="20"/>
            <w:lang w:val="en-MY" w:eastAsia="en-GB"/>
          </w:rPr>
          <m:t xml:space="preserve">= </m:t>
        </m:r>
        <m:f>
          <m:fPr>
            <m:ctrlPr>
              <w:rPr>
                <w:rFonts w:ascii="Cambria Math" w:hAnsi="Cambria Math"/>
                <w:i/>
                <w:sz w:val="20"/>
                <w:szCs w:val="20"/>
                <w:lang w:val="en-MY" w:eastAsia="en-GB"/>
              </w:rPr>
            </m:ctrlPr>
          </m:fPr>
          <m:num>
            <m:r>
              <w:rPr>
                <w:rFonts w:ascii="Cambria Math" w:hAnsi="Cambria Math"/>
                <w:sz w:val="20"/>
                <w:szCs w:val="20"/>
                <w:lang w:val="en-MY" w:eastAsia="en-GB"/>
              </w:rPr>
              <m:t>1</m:t>
            </m:r>
          </m:num>
          <m:den>
            <m:sSub>
              <m:sSubPr>
                <m:ctrlPr>
                  <w:rPr>
                    <w:rFonts w:ascii="Cambria Math" w:hAnsi="Cambria Math"/>
                    <w:i/>
                    <w:sz w:val="20"/>
                    <w:szCs w:val="20"/>
                    <w:lang w:val="en-MY" w:eastAsia="en-GB"/>
                  </w:rPr>
                </m:ctrlPr>
              </m:sSubPr>
              <m:e>
                <m:r>
                  <w:rPr>
                    <w:rFonts w:ascii="Cambria Math" w:hAnsi="Cambria Math"/>
                    <w:sz w:val="20"/>
                    <w:szCs w:val="20"/>
                    <w:lang w:val="en-MY" w:eastAsia="en-GB"/>
                  </w:rPr>
                  <m:t>K</m:t>
                </m:r>
              </m:e>
              <m:sub>
                <m:r>
                  <w:rPr>
                    <w:rFonts w:ascii="Cambria Math" w:hAnsi="Cambria Math"/>
                    <w:sz w:val="20"/>
                    <w:szCs w:val="20"/>
                    <w:lang w:val="en-MY" w:eastAsia="en-GB"/>
                  </w:rPr>
                  <m:t>2</m:t>
                </m:r>
              </m:sub>
            </m:sSub>
            <m:sSubSup>
              <m:sSubSupPr>
                <m:ctrlPr>
                  <w:rPr>
                    <w:rFonts w:ascii="Cambria Math" w:hAnsi="Cambria Math"/>
                    <w:i/>
                    <w:sz w:val="20"/>
                    <w:szCs w:val="20"/>
                    <w:lang w:val="en-MY" w:eastAsia="en-GB"/>
                  </w:rPr>
                </m:ctrlPr>
              </m:sSubSupPr>
              <m:e>
                <m:r>
                  <w:rPr>
                    <w:rFonts w:ascii="Cambria Math" w:hAnsi="Cambria Math"/>
                    <w:sz w:val="20"/>
                    <w:szCs w:val="20"/>
                    <w:lang w:val="en-MY" w:eastAsia="en-GB"/>
                  </w:rPr>
                  <m:t>q</m:t>
                </m:r>
              </m:e>
              <m:sub>
                <m:r>
                  <w:rPr>
                    <w:rFonts w:ascii="Cambria Math" w:hAnsi="Cambria Math"/>
                    <w:sz w:val="20"/>
                    <w:szCs w:val="20"/>
                    <w:lang w:val="en-MY" w:eastAsia="en-GB"/>
                  </w:rPr>
                  <m:t>e</m:t>
                </m:r>
              </m:sub>
              <m:sup>
                <m:r>
                  <w:rPr>
                    <w:rFonts w:ascii="Cambria Math" w:hAnsi="Cambria Math"/>
                    <w:sz w:val="20"/>
                    <w:szCs w:val="20"/>
                    <w:lang w:val="en-MY" w:eastAsia="en-GB"/>
                  </w:rPr>
                  <m:t>2</m:t>
                </m:r>
              </m:sup>
            </m:sSubSup>
          </m:den>
        </m:f>
        <m:r>
          <w:rPr>
            <w:rFonts w:ascii="Cambria Math" w:hAnsi="Cambria Math"/>
            <w:sz w:val="20"/>
            <w:szCs w:val="20"/>
            <w:lang w:val="en-MY" w:eastAsia="en-GB"/>
          </w:rPr>
          <m:t xml:space="preserve">+ </m:t>
        </m:r>
        <m:f>
          <m:fPr>
            <m:ctrlPr>
              <w:rPr>
                <w:rFonts w:ascii="Cambria Math" w:hAnsi="Cambria Math"/>
                <w:i/>
                <w:sz w:val="20"/>
                <w:szCs w:val="20"/>
                <w:lang w:val="en-MY" w:eastAsia="en-GB"/>
              </w:rPr>
            </m:ctrlPr>
          </m:fPr>
          <m:num>
            <m:r>
              <w:rPr>
                <w:rFonts w:ascii="Cambria Math" w:hAnsi="Cambria Math"/>
                <w:sz w:val="20"/>
                <w:szCs w:val="20"/>
                <w:lang w:val="en-MY" w:eastAsia="en-GB"/>
              </w:rPr>
              <m:t>1</m:t>
            </m:r>
          </m:num>
          <m:den>
            <m:r>
              <w:rPr>
                <w:rFonts w:ascii="Cambria Math" w:hAnsi="Cambria Math"/>
                <w:sz w:val="20"/>
                <w:szCs w:val="20"/>
                <w:lang w:val="en-MY" w:eastAsia="en-GB"/>
              </w:rPr>
              <m:t>q</m:t>
            </m:r>
            <m:r>
              <m:rPr>
                <m:nor/>
              </m:rPr>
              <w:rPr>
                <w:rFonts w:ascii="Times New Roman" w:hAnsi="Times New Roman"/>
                <w:sz w:val="20"/>
                <w:szCs w:val="20"/>
                <w:vertAlign w:val="subscript"/>
                <w:lang w:val="en-MY" w:eastAsia="en-GB"/>
              </w:rPr>
              <m:t>e</m:t>
            </m:r>
          </m:den>
        </m:f>
        <m:r>
          <w:rPr>
            <w:rFonts w:ascii="Cambria Math" w:hAnsi="Cambria Math"/>
            <w:sz w:val="20"/>
            <w:szCs w:val="20"/>
            <w:lang w:val="en-MY" w:eastAsia="en-GB"/>
          </w:rPr>
          <m:t>t</m:t>
        </m:r>
        <m:r>
          <m:rPr>
            <m:sty m:val="p"/>
          </m:rPr>
          <w:rPr>
            <w:rFonts w:ascii="Cambria Math" w:hAnsi="Cambria Math"/>
            <w:sz w:val="20"/>
            <w:szCs w:val="20"/>
            <w:lang w:val="en-MY" w:eastAsia="en-GB"/>
          </w:rPr>
          <m:t xml:space="preserve">   </m:t>
        </m:r>
      </m:oMath>
      <w:r w:rsidR="00D643DD" w:rsidRPr="00D643DD">
        <w:rPr>
          <w:rFonts w:ascii="Times New Roman" w:hAnsi="Times New Roman"/>
          <w:sz w:val="20"/>
          <w:szCs w:val="20"/>
          <w:lang w:val="en-MY" w:eastAsia="en-GB"/>
        </w:rPr>
        <w:t xml:space="preserve"> </w:t>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t xml:space="preserve">               </w:t>
      </w:r>
      <w:r w:rsidR="00D643DD" w:rsidRPr="00D643DD">
        <w:rPr>
          <w:rFonts w:ascii="Times New Roman" w:hAnsi="Times New Roman"/>
          <w:sz w:val="20"/>
          <w:szCs w:val="20"/>
          <w:lang w:val="en-MY" w:eastAsia="en-GB"/>
        </w:rPr>
        <w:tab/>
      </w:r>
      <w:r w:rsidR="00D643DD" w:rsidRPr="00D643DD">
        <w:rPr>
          <w:rFonts w:ascii="Times New Roman" w:hAnsi="Times New Roman"/>
          <w:sz w:val="20"/>
          <w:szCs w:val="20"/>
          <w:lang w:val="en-MY" w:eastAsia="en-GB"/>
        </w:rPr>
        <w:tab/>
      </w:r>
      <w:r w:rsidR="00330D6D">
        <w:rPr>
          <w:rFonts w:ascii="Times New Roman" w:hAnsi="Times New Roman"/>
          <w:sz w:val="20"/>
          <w:szCs w:val="20"/>
          <w:lang w:val="en-MY" w:eastAsia="en-GB"/>
        </w:rPr>
        <w:t xml:space="preserve">      </w:t>
      </w:r>
      <w:r w:rsidR="00D643DD" w:rsidRPr="00D643DD">
        <w:rPr>
          <w:rFonts w:ascii="Times New Roman" w:hAnsi="Times New Roman"/>
          <w:sz w:val="20"/>
          <w:szCs w:val="20"/>
          <w:lang w:val="en-MY" w:eastAsia="en-GB"/>
        </w:rPr>
        <w:t xml:space="preserve">   (4)</w:t>
      </w:r>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eastAsia="en-GB"/>
        </w:rPr>
      </w:pPr>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eastAsia="en-GB"/>
        </w:rPr>
      </w:pPr>
      <w:r w:rsidRPr="00D643DD">
        <w:rPr>
          <w:rFonts w:ascii="Times New Roman" w:hAnsi="Times New Roman"/>
          <w:sz w:val="20"/>
          <w:szCs w:val="20"/>
          <w:lang w:val="en-MY" w:eastAsia="en-GB"/>
        </w:rPr>
        <w:t xml:space="preserve">where </w:t>
      </w:r>
      <w:r w:rsidRPr="00D643DD">
        <w:rPr>
          <w:rFonts w:ascii="Times New Roman" w:hAnsi="Times New Roman"/>
          <w:noProof/>
          <w:sz w:val="20"/>
          <w:szCs w:val="20"/>
          <w:lang w:val="en-MY" w:eastAsia="en-GB"/>
        </w:rPr>
        <w:t>q</w:t>
      </w:r>
      <w:r w:rsidRPr="00D643DD">
        <w:rPr>
          <w:rFonts w:ascii="Times New Roman" w:hAnsi="Times New Roman"/>
          <w:noProof/>
          <w:sz w:val="20"/>
          <w:szCs w:val="20"/>
          <w:vertAlign w:val="subscript"/>
          <w:lang w:val="en-MY" w:eastAsia="en-GB"/>
        </w:rPr>
        <w:t>e</w:t>
      </w:r>
      <w:r w:rsidRPr="00D643DD">
        <w:rPr>
          <w:rFonts w:ascii="Times New Roman" w:hAnsi="Times New Roman"/>
          <w:sz w:val="20"/>
          <w:szCs w:val="20"/>
          <w:lang w:val="en-MY" w:eastAsia="en-GB"/>
        </w:rPr>
        <w:t xml:space="preserve"> is the amount (mg g</w:t>
      </w:r>
      <w:r w:rsidRPr="00D643DD">
        <w:rPr>
          <w:rFonts w:ascii="Times New Roman" w:hAnsi="Times New Roman"/>
          <w:sz w:val="20"/>
          <w:szCs w:val="20"/>
          <w:vertAlign w:val="superscript"/>
        </w:rPr>
        <w:t>-1</w:t>
      </w:r>
      <w:r w:rsidRPr="00D643DD">
        <w:rPr>
          <w:rFonts w:ascii="Times New Roman" w:hAnsi="Times New Roman"/>
          <w:sz w:val="20"/>
          <w:szCs w:val="20"/>
          <w:lang w:val="en-MY" w:eastAsia="en-GB"/>
        </w:rPr>
        <w:t>) of Pb(II) adsorbed onto CFP at equilibrium and q</w:t>
      </w:r>
      <w:r w:rsidRPr="00D643DD">
        <w:rPr>
          <w:rFonts w:ascii="Times New Roman" w:hAnsi="Times New Roman"/>
          <w:sz w:val="20"/>
          <w:szCs w:val="20"/>
          <w:vertAlign w:val="subscript"/>
          <w:lang w:val="en-MY" w:eastAsia="en-GB"/>
        </w:rPr>
        <w:t>t</w:t>
      </w:r>
      <w:r w:rsidRPr="00D643DD">
        <w:rPr>
          <w:rFonts w:ascii="Times New Roman" w:hAnsi="Times New Roman"/>
          <w:sz w:val="20"/>
          <w:szCs w:val="20"/>
          <w:lang w:val="en-MY" w:eastAsia="en-GB"/>
        </w:rPr>
        <w:t xml:space="preserve"> is the amount (mg g</w:t>
      </w:r>
      <w:r w:rsidRPr="00D643DD">
        <w:rPr>
          <w:rFonts w:ascii="Times New Roman" w:hAnsi="Times New Roman"/>
          <w:sz w:val="20"/>
          <w:szCs w:val="20"/>
          <w:vertAlign w:val="superscript"/>
        </w:rPr>
        <w:t>-1</w:t>
      </w:r>
      <w:r w:rsidRPr="00D643DD">
        <w:rPr>
          <w:rFonts w:ascii="Times New Roman" w:hAnsi="Times New Roman"/>
          <w:sz w:val="20"/>
          <w:szCs w:val="20"/>
          <w:lang w:val="en-MY" w:eastAsia="en-GB"/>
        </w:rPr>
        <w:t>) of         Pb(II) adsorbed at any time t (min) while K</w:t>
      </w:r>
      <w:r w:rsidRPr="00D643DD">
        <w:rPr>
          <w:rFonts w:ascii="Times New Roman" w:hAnsi="Times New Roman"/>
          <w:sz w:val="20"/>
          <w:szCs w:val="20"/>
          <w:vertAlign w:val="subscript"/>
          <w:lang w:val="en-MY" w:eastAsia="en-GB"/>
        </w:rPr>
        <w:t xml:space="preserve">1 </w:t>
      </w:r>
      <w:r w:rsidRPr="00D643DD">
        <w:rPr>
          <w:rFonts w:ascii="Times New Roman" w:hAnsi="Times New Roman"/>
          <w:sz w:val="20"/>
          <w:szCs w:val="20"/>
          <w:lang w:val="en-MY" w:eastAsia="en-GB"/>
        </w:rPr>
        <w:t>and K</w:t>
      </w:r>
      <w:r w:rsidRPr="00D643DD">
        <w:rPr>
          <w:rFonts w:ascii="Times New Roman" w:hAnsi="Times New Roman"/>
          <w:sz w:val="20"/>
          <w:szCs w:val="20"/>
          <w:vertAlign w:val="subscript"/>
          <w:lang w:val="en-MY" w:eastAsia="en-GB"/>
        </w:rPr>
        <w:t xml:space="preserve">2 </w:t>
      </w:r>
      <w:r w:rsidRPr="00D643DD">
        <w:rPr>
          <w:rFonts w:ascii="Times New Roman" w:hAnsi="Times New Roman"/>
          <w:sz w:val="20"/>
          <w:szCs w:val="20"/>
          <w:lang w:val="en-MY" w:eastAsia="en-GB"/>
        </w:rPr>
        <w:t>are the rate constants of pseudo-first-order and second-order models, respectively. While K</w:t>
      </w:r>
      <w:r w:rsidRPr="00D643DD">
        <w:rPr>
          <w:rFonts w:ascii="Times New Roman" w:hAnsi="Times New Roman"/>
          <w:sz w:val="20"/>
          <w:szCs w:val="20"/>
          <w:vertAlign w:val="subscript"/>
          <w:lang w:val="en-MY" w:eastAsia="en-GB"/>
        </w:rPr>
        <w:t>2</w:t>
      </w:r>
      <w:r w:rsidRPr="00D643DD">
        <w:rPr>
          <w:rFonts w:ascii="Times New Roman" w:hAnsi="Times New Roman"/>
          <w:sz w:val="20"/>
          <w:szCs w:val="20"/>
          <w:lang w:val="en-MY" w:eastAsia="en-GB"/>
        </w:rPr>
        <w:t>q</w:t>
      </w:r>
      <w:r w:rsidRPr="00D643DD">
        <w:rPr>
          <w:rFonts w:ascii="Times New Roman" w:hAnsi="Times New Roman"/>
          <w:sz w:val="20"/>
          <w:szCs w:val="20"/>
          <w:vertAlign w:val="subscript"/>
          <w:lang w:val="en-MY" w:eastAsia="en-GB"/>
        </w:rPr>
        <w:t>e</w:t>
      </w:r>
      <w:r w:rsidRPr="00D643DD">
        <w:rPr>
          <w:rFonts w:ascii="Times New Roman" w:hAnsi="Times New Roman"/>
          <w:sz w:val="20"/>
          <w:szCs w:val="20"/>
          <w:vertAlign w:val="superscript"/>
          <w:lang w:val="en-MY" w:eastAsia="en-GB"/>
        </w:rPr>
        <w:t>2</w:t>
      </w:r>
      <w:r w:rsidRPr="00D643DD">
        <w:rPr>
          <w:rFonts w:ascii="Times New Roman" w:hAnsi="Times New Roman"/>
          <w:sz w:val="20"/>
          <w:szCs w:val="20"/>
          <w:lang w:val="en-MY" w:eastAsia="en-GB"/>
        </w:rPr>
        <w:t xml:space="preserve"> will give the value of h. </w:t>
      </w:r>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eastAsia="en-GB"/>
        </w:rPr>
      </w:pPr>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rPr>
      </w:pPr>
      <w:r w:rsidRPr="00D643DD">
        <w:rPr>
          <w:rFonts w:ascii="Times New Roman" w:hAnsi="Times New Roman"/>
          <w:sz w:val="20"/>
          <w:szCs w:val="20"/>
          <w:lang w:val="en-MY"/>
        </w:rPr>
        <w:t xml:space="preserve">Based on the kinetic parameter in Table 1, the pseudo second order kinetic model </w:t>
      </w:r>
      <w:r w:rsidRPr="00D643DD">
        <w:rPr>
          <w:rFonts w:ascii="Times New Roman" w:hAnsi="Times New Roman"/>
          <w:noProof/>
          <w:sz w:val="20"/>
          <w:szCs w:val="20"/>
          <w:lang w:val="en-MY"/>
        </w:rPr>
        <w:t>has accurately explained</w:t>
      </w:r>
      <w:r w:rsidRPr="00D643DD">
        <w:rPr>
          <w:rFonts w:ascii="Times New Roman" w:hAnsi="Times New Roman"/>
          <w:sz w:val="20"/>
          <w:szCs w:val="20"/>
          <w:lang w:val="en-MY"/>
        </w:rPr>
        <w:t xml:space="preserve"> the experimental data. </w:t>
      </w:r>
      <w:r w:rsidRPr="00D643DD">
        <w:rPr>
          <w:rFonts w:ascii="Times New Roman" w:hAnsi="Times New Roman"/>
          <w:noProof/>
          <w:sz w:val="20"/>
          <w:szCs w:val="20"/>
          <w:lang w:val="en-MY"/>
        </w:rPr>
        <w:t>Both</w:t>
      </w:r>
      <w:r w:rsidRPr="00D643DD">
        <w:rPr>
          <w:rFonts w:ascii="Times New Roman" w:hAnsi="Times New Roman"/>
          <w:sz w:val="20"/>
          <w:szCs w:val="20"/>
          <w:lang w:val="en-MY"/>
        </w:rPr>
        <w:t xml:space="preserve"> </w:t>
      </w:r>
      <w:r w:rsidRPr="00D643DD">
        <w:rPr>
          <w:rFonts w:ascii="Times New Roman" w:hAnsi="Times New Roman"/>
          <w:noProof/>
          <w:sz w:val="20"/>
          <w:szCs w:val="20"/>
          <w:lang w:val="en-MY"/>
        </w:rPr>
        <w:t>q</w:t>
      </w:r>
      <w:r w:rsidRPr="00D643DD">
        <w:rPr>
          <w:rFonts w:ascii="Times New Roman" w:hAnsi="Times New Roman"/>
          <w:noProof/>
          <w:sz w:val="20"/>
          <w:szCs w:val="20"/>
          <w:vertAlign w:val="subscript"/>
          <w:lang w:val="en-MY"/>
        </w:rPr>
        <w:t>e</w:t>
      </w:r>
      <w:r w:rsidRPr="00D643DD">
        <w:rPr>
          <w:rFonts w:ascii="Times New Roman" w:hAnsi="Times New Roman"/>
          <w:sz w:val="20"/>
          <w:szCs w:val="20"/>
          <w:lang w:val="en-MY"/>
        </w:rPr>
        <w:t xml:space="preserve"> calculated and the </w:t>
      </w:r>
      <w:r w:rsidRPr="00D643DD">
        <w:rPr>
          <w:rFonts w:ascii="Times New Roman" w:hAnsi="Times New Roman"/>
          <w:noProof/>
          <w:sz w:val="20"/>
          <w:szCs w:val="20"/>
          <w:lang w:val="en-MY"/>
        </w:rPr>
        <w:t>q</w:t>
      </w:r>
      <w:r w:rsidRPr="00D643DD">
        <w:rPr>
          <w:rFonts w:ascii="Times New Roman" w:hAnsi="Times New Roman"/>
          <w:noProof/>
          <w:sz w:val="20"/>
          <w:szCs w:val="20"/>
          <w:vertAlign w:val="subscript"/>
          <w:lang w:val="en-MY"/>
        </w:rPr>
        <w:t>e</w:t>
      </w:r>
      <w:r w:rsidRPr="00D643DD">
        <w:rPr>
          <w:rFonts w:ascii="Times New Roman" w:hAnsi="Times New Roman"/>
          <w:sz w:val="20"/>
          <w:szCs w:val="20"/>
          <w:lang w:val="en-MY"/>
        </w:rPr>
        <w:t xml:space="preserve"> experiments for pseudo second order are almost closed to each other </w:t>
      </w:r>
      <w:r w:rsidR="00F80B8E">
        <w:rPr>
          <w:rFonts w:ascii="Times New Roman" w:hAnsi="Times New Roman"/>
          <w:sz w:val="20"/>
          <w:szCs w:val="20"/>
          <w:lang w:val="en-MY"/>
        </w:rPr>
        <w:t xml:space="preserve"> </w:t>
      </w:r>
      <w:r w:rsidRPr="00D643DD">
        <w:rPr>
          <w:rFonts w:ascii="Times New Roman" w:hAnsi="Times New Roman"/>
          <w:sz w:val="20"/>
          <w:szCs w:val="20"/>
          <w:lang w:val="en-MY"/>
        </w:rPr>
        <w:t>compared</w:t>
      </w:r>
      <w:r w:rsidR="00F80B8E">
        <w:rPr>
          <w:rFonts w:ascii="Times New Roman" w:hAnsi="Times New Roman"/>
          <w:sz w:val="20"/>
          <w:szCs w:val="20"/>
          <w:lang w:val="en-MY"/>
        </w:rPr>
        <w:t xml:space="preserve"> </w:t>
      </w:r>
      <w:r w:rsidRPr="00D643DD">
        <w:rPr>
          <w:rFonts w:ascii="Times New Roman" w:hAnsi="Times New Roman"/>
          <w:sz w:val="20"/>
          <w:szCs w:val="20"/>
          <w:lang w:val="en-MY"/>
        </w:rPr>
        <w:t xml:space="preserve"> to</w:t>
      </w:r>
      <w:r w:rsidR="00F80B8E">
        <w:rPr>
          <w:rFonts w:ascii="Times New Roman" w:hAnsi="Times New Roman"/>
          <w:sz w:val="20"/>
          <w:szCs w:val="20"/>
          <w:lang w:val="en-MY"/>
        </w:rPr>
        <w:t xml:space="preserve"> </w:t>
      </w:r>
      <w:r w:rsidRPr="00D643DD">
        <w:rPr>
          <w:rFonts w:ascii="Times New Roman" w:hAnsi="Times New Roman"/>
          <w:sz w:val="20"/>
          <w:szCs w:val="20"/>
          <w:lang w:val="en-MY"/>
        </w:rPr>
        <w:t xml:space="preserve"> the</w:t>
      </w:r>
      <w:r w:rsidR="00F80B8E">
        <w:rPr>
          <w:rFonts w:ascii="Times New Roman" w:hAnsi="Times New Roman"/>
          <w:sz w:val="20"/>
          <w:szCs w:val="20"/>
          <w:lang w:val="en-MY"/>
        </w:rPr>
        <w:t xml:space="preserve"> </w:t>
      </w:r>
      <w:r w:rsidRPr="00D643DD">
        <w:rPr>
          <w:rFonts w:ascii="Times New Roman" w:hAnsi="Times New Roman"/>
          <w:sz w:val="20"/>
          <w:szCs w:val="20"/>
          <w:lang w:val="en-MY"/>
        </w:rPr>
        <w:t xml:space="preserve"> pseudo </w:t>
      </w:r>
      <w:r w:rsidR="00F80B8E">
        <w:rPr>
          <w:rFonts w:ascii="Times New Roman" w:hAnsi="Times New Roman"/>
          <w:sz w:val="20"/>
          <w:szCs w:val="20"/>
          <w:lang w:val="en-MY"/>
        </w:rPr>
        <w:t xml:space="preserve"> </w:t>
      </w:r>
      <w:r w:rsidRPr="00D643DD">
        <w:rPr>
          <w:rFonts w:ascii="Times New Roman" w:hAnsi="Times New Roman"/>
          <w:sz w:val="20"/>
          <w:szCs w:val="20"/>
          <w:lang w:val="en-MY"/>
        </w:rPr>
        <w:t xml:space="preserve">first order. For pseudo second order, the value of </w:t>
      </w:r>
      <w:r w:rsidRPr="00D643DD">
        <w:rPr>
          <w:rFonts w:ascii="Times New Roman" w:hAnsi="Times New Roman"/>
          <w:noProof/>
          <w:sz w:val="20"/>
          <w:szCs w:val="20"/>
          <w:lang w:val="en-MY"/>
        </w:rPr>
        <w:t>q</w:t>
      </w:r>
      <w:r w:rsidRPr="00D643DD">
        <w:rPr>
          <w:rFonts w:ascii="Times New Roman" w:hAnsi="Times New Roman"/>
          <w:noProof/>
          <w:sz w:val="20"/>
          <w:szCs w:val="20"/>
          <w:vertAlign w:val="subscript"/>
          <w:lang w:val="en-MY"/>
        </w:rPr>
        <w:t>e</w:t>
      </w:r>
      <w:r w:rsidRPr="00D643DD">
        <w:rPr>
          <w:rFonts w:ascii="Times New Roman" w:hAnsi="Times New Roman"/>
          <w:sz w:val="20"/>
          <w:szCs w:val="20"/>
          <w:vertAlign w:val="subscript"/>
          <w:lang w:val="en-MY"/>
        </w:rPr>
        <w:t xml:space="preserve"> </w:t>
      </w:r>
      <w:r w:rsidRPr="00D643DD">
        <w:rPr>
          <w:rFonts w:ascii="Times New Roman" w:hAnsi="Times New Roman"/>
          <w:sz w:val="20"/>
          <w:szCs w:val="20"/>
          <w:lang w:val="en-MY"/>
        </w:rPr>
        <w:t>calculated for 10, 20 and 30 mg L</w:t>
      </w:r>
      <w:r w:rsidRPr="00D643DD">
        <w:rPr>
          <w:rFonts w:ascii="Times New Roman" w:hAnsi="Times New Roman"/>
          <w:sz w:val="20"/>
          <w:szCs w:val="20"/>
          <w:vertAlign w:val="superscript"/>
        </w:rPr>
        <w:t>-1</w:t>
      </w:r>
      <w:r w:rsidRPr="00D643DD">
        <w:rPr>
          <w:rFonts w:ascii="Times New Roman" w:hAnsi="Times New Roman"/>
          <w:sz w:val="20"/>
          <w:szCs w:val="20"/>
          <w:lang w:val="en-MY"/>
        </w:rPr>
        <w:t xml:space="preserve"> </w:t>
      </w:r>
      <w:r w:rsidRPr="00D643DD">
        <w:rPr>
          <w:rFonts w:ascii="Times New Roman" w:hAnsi="Times New Roman"/>
          <w:noProof/>
          <w:sz w:val="20"/>
          <w:szCs w:val="20"/>
          <w:lang w:val="en-MY"/>
        </w:rPr>
        <w:t>were</w:t>
      </w:r>
      <w:r w:rsidRPr="00D643DD">
        <w:rPr>
          <w:rFonts w:ascii="Times New Roman" w:hAnsi="Times New Roman"/>
          <w:sz w:val="20"/>
          <w:szCs w:val="20"/>
          <w:lang w:val="en-MY"/>
        </w:rPr>
        <w:t xml:space="preserve"> 11.99, 23.42 and 36.77 mg g</w:t>
      </w:r>
      <w:r w:rsidRPr="00D643DD">
        <w:rPr>
          <w:rFonts w:ascii="Times New Roman" w:hAnsi="Times New Roman"/>
          <w:sz w:val="20"/>
          <w:szCs w:val="20"/>
          <w:vertAlign w:val="superscript"/>
        </w:rPr>
        <w:t>-1</w:t>
      </w:r>
      <w:r w:rsidRPr="00D643DD">
        <w:rPr>
          <w:rFonts w:ascii="Times New Roman" w:hAnsi="Times New Roman"/>
          <w:sz w:val="20"/>
          <w:szCs w:val="20"/>
          <w:lang w:val="en-MY"/>
        </w:rPr>
        <w:t xml:space="preserve"> respectively. These values are in good agreement with the value of the </w:t>
      </w:r>
      <w:r w:rsidRPr="00D643DD">
        <w:rPr>
          <w:rFonts w:ascii="Times New Roman" w:hAnsi="Times New Roman"/>
          <w:noProof/>
          <w:sz w:val="20"/>
          <w:szCs w:val="20"/>
          <w:lang w:val="en-MY"/>
        </w:rPr>
        <w:t>q</w:t>
      </w:r>
      <w:r w:rsidRPr="00D643DD">
        <w:rPr>
          <w:rFonts w:ascii="Times New Roman" w:hAnsi="Times New Roman"/>
          <w:noProof/>
          <w:sz w:val="20"/>
          <w:szCs w:val="20"/>
          <w:vertAlign w:val="subscript"/>
          <w:lang w:val="en-MY"/>
        </w:rPr>
        <w:t>e</w:t>
      </w:r>
      <w:r w:rsidRPr="00D643DD">
        <w:rPr>
          <w:rFonts w:ascii="Times New Roman" w:hAnsi="Times New Roman"/>
          <w:sz w:val="20"/>
          <w:szCs w:val="20"/>
          <w:lang w:val="en-MY"/>
        </w:rPr>
        <w:t xml:space="preserve"> experiment, 11.30, 20.65 and 35.59 mg g</w:t>
      </w:r>
      <w:r w:rsidRPr="00D643DD">
        <w:rPr>
          <w:rFonts w:ascii="Times New Roman" w:hAnsi="Times New Roman"/>
          <w:sz w:val="20"/>
          <w:szCs w:val="20"/>
          <w:vertAlign w:val="superscript"/>
        </w:rPr>
        <w:t>-1</w:t>
      </w:r>
      <w:r w:rsidRPr="00D643DD">
        <w:rPr>
          <w:rFonts w:ascii="Times New Roman" w:hAnsi="Times New Roman"/>
          <w:sz w:val="20"/>
          <w:szCs w:val="20"/>
          <w:lang w:val="en-MY"/>
        </w:rPr>
        <w:t xml:space="preserve"> for 10, 20 and 30 mg L</w:t>
      </w:r>
      <w:r w:rsidRPr="00D643DD">
        <w:rPr>
          <w:rFonts w:ascii="Times New Roman" w:hAnsi="Times New Roman"/>
          <w:sz w:val="20"/>
          <w:szCs w:val="20"/>
          <w:vertAlign w:val="superscript"/>
        </w:rPr>
        <w:t>-1</w:t>
      </w:r>
      <w:r w:rsidRPr="00D643DD">
        <w:rPr>
          <w:rFonts w:ascii="Times New Roman" w:hAnsi="Times New Roman"/>
          <w:sz w:val="20"/>
          <w:szCs w:val="20"/>
          <w:lang w:val="en-MY"/>
        </w:rPr>
        <w:t xml:space="preserve"> respectively. The R</w:t>
      </w:r>
      <w:r w:rsidRPr="00D643DD">
        <w:rPr>
          <w:rFonts w:ascii="Times New Roman" w:hAnsi="Times New Roman"/>
          <w:sz w:val="20"/>
          <w:szCs w:val="20"/>
          <w:vertAlign w:val="superscript"/>
          <w:lang w:val="en-MY"/>
        </w:rPr>
        <w:t>2</w:t>
      </w:r>
      <w:r w:rsidRPr="00D643DD">
        <w:rPr>
          <w:rFonts w:ascii="Times New Roman" w:hAnsi="Times New Roman"/>
          <w:sz w:val="20"/>
          <w:szCs w:val="20"/>
          <w:vertAlign w:val="subscript"/>
          <w:lang w:val="en-MY"/>
        </w:rPr>
        <w:t xml:space="preserve"> </w:t>
      </w:r>
      <w:r w:rsidRPr="00D643DD">
        <w:rPr>
          <w:rFonts w:ascii="Times New Roman" w:hAnsi="Times New Roman"/>
          <w:sz w:val="20"/>
          <w:szCs w:val="20"/>
          <w:lang w:val="en-MY"/>
        </w:rPr>
        <w:t xml:space="preserve">value for the pseudo second order also close to the unity compared to the pseudo first which is very far from the unity. Hence, we can conclude that the </w:t>
      </w:r>
      <w:r w:rsidRPr="00D643DD">
        <w:rPr>
          <w:rFonts w:ascii="Times New Roman" w:hAnsi="Times New Roman"/>
          <w:noProof/>
          <w:sz w:val="20"/>
          <w:szCs w:val="20"/>
          <w:lang w:val="en-MY"/>
        </w:rPr>
        <w:t>pseudo second</w:t>
      </w:r>
      <w:r w:rsidRPr="00D643DD">
        <w:rPr>
          <w:rFonts w:ascii="Times New Roman" w:hAnsi="Times New Roman"/>
          <w:sz w:val="20"/>
          <w:szCs w:val="20"/>
          <w:lang w:val="en-MY"/>
        </w:rPr>
        <w:t xml:space="preserve"> order kinetic model fitted well with all the experimental data which mean that the </w:t>
      </w:r>
      <w:r w:rsidRPr="00D643DD">
        <w:rPr>
          <w:rFonts w:ascii="Times New Roman" w:hAnsi="Times New Roman"/>
          <w:noProof/>
          <w:sz w:val="20"/>
          <w:szCs w:val="20"/>
          <w:lang w:val="en-MY"/>
        </w:rPr>
        <w:t>rate-limiting</w:t>
      </w:r>
      <w:r w:rsidRPr="00D643DD">
        <w:rPr>
          <w:rFonts w:ascii="Times New Roman" w:hAnsi="Times New Roman"/>
          <w:sz w:val="20"/>
          <w:szCs w:val="20"/>
          <w:lang w:val="en-MY"/>
        </w:rPr>
        <w:t xml:space="preserve"> step for this adsorption process might be the chemisorption process. </w:t>
      </w:r>
      <w:r w:rsidRPr="00D643DD">
        <w:rPr>
          <w:rFonts w:ascii="Times New Roman" w:hAnsi="Times New Roman"/>
          <w:sz w:val="20"/>
          <w:szCs w:val="20"/>
          <w:lang w:val="en-MY"/>
        </w:rPr>
        <w:fldChar w:fldCharType="begin" w:fldLock="1"/>
      </w:r>
      <w:r w:rsidRPr="00D643DD">
        <w:rPr>
          <w:rFonts w:ascii="Times New Roman" w:hAnsi="Times New Roman"/>
          <w:sz w:val="20"/>
          <w:szCs w:val="20"/>
          <w:lang w:val="en-MY"/>
        </w:rPr>
        <w:instrText>ADDIN CSL_CITATION { "citationItems" : [ { "id" : "ITEM-1", "itemData" : { "ISSN" : "18234690", "abstract" : "The ability of bael tree (BT) leaf powder to adsorb nickel, Ni2+, from aqueous solutions has been investigated through batch experiments. The Ni2+ adsorption was found to be dependent on adsorbent dosage, initial concentration and contact time. All batch experiments were carried out at natural solution pH and at a constant temperature of 30\u00b0C using wrist-action shaker that operated at 120 rpm. The experimental isotherm data were analyzed using the Langmuir, Freundlich and Temkin equations. The monolayer adsorption capacity is 1.527 mg Ni per g BT leaf powder. The experiments showed that highest removal rate was 60.21% for Ni2+ under optimal conditions. The kinetic processes of Ni2+ adsorption on BT leaf powder were described by applying pseudo-firstorder and pseudo-second-order rate equations. The kinetic data for the adsorption process obeyed pseudo-second-order rate equations. The BT leaf powder investigated in this study exhibited a high potential for the removal of Ni2+ from aqueous solution.", "author" : [ { "dropping-particle" : "", "family" : "Kumar", "given" : "P Senthil", "non-dropping-particle" : "", "parse-names" : false, "suffix" : "" }, { "dropping-particle" : "", "family" : "Kirthika", "given" : "K", "non-dropping-particle" : "", "parse-names" : false, "suffix" : "" } ], "container-title" : "Journal of Engineering Science and Technology", "id" : "ITEM-1", "issue" : "4", "issued" : { "date-parts" : [ [ "2009" ] ] }, "page" : "351-363", "title" : "Equilibrium and kinetic study of adsorption of nickel from aqueous solution onto bael tree leaf powder", "type" : "article-journal", "volume" : "4" }, "uris" : [ "http://www.mendeley.com/documents/?uuid=67cc19e1-6ef2-4eaf-a624-fb6c5cea1e1e" ] } ], "mendeley" : { "formattedCitation" : "[23]", "plainTextFormattedCitation" : "[23]", "previouslyFormattedCitation" : "[23]" }, "properties" : { "noteIndex" : 0 }, "schema" : "https://github.com/citation-style-language/schema/raw/master/csl-citation.json" }</w:instrText>
      </w:r>
      <w:r w:rsidRPr="00D643DD">
        <w:rPr>
          <w:rFonts w:ascii="Times New Roman" w:hAnsi="Times New Roman"/>
          <w:sz w:val="20"/>
          <w:szCs w:val="20"/>
          <w:lang w:val="en-MY"/>
        </w:rPr>
        <w:fldChar w:fldCharType="separate"/>
      </w:r>
      <w:r w:rsidRPr="00D643DD">
        <w:rPr>
          <w:rFonts w:ascii="Times New Roman" w:hAnsi="Times New Roman"/>
          <w:noProof/>
          <w:sz w:val="20"/>
          <w:szCs w:val="20"/>
          <w:lang w:val="en-MY"/>
        </w:rPr>
        <w:t>[23]</w:t>
      </w:r>
      <w:r w:rsidRPr="00D643DD">
        <w:rPr>
          <w:rFonts w:ascii="Times New Roman" w:hAnsi="Times New Roman"/>
          <w:sz w:val="20"/>
          <w:szCs w:val="20"/>
          <w:lang w:val="en-MY"/>
        </w:rPr>
        <w:fldChar w:fldCharType="end"/>
      </w:r>
      <w:r w:rsidRPr="00D643DD">
        <w:rPr>
          <w:rFonts w:ascii="Times New Roman" w:hAnsi="Times New Roman"/>
          <w:sz w:val="20"/>
          <w:szCs w:val="20"/>
          <w:lang w:val="en-MY"/>
        </w:rPr>
        <w:t xml:space="preserve">. </w:t>
      </w:r>
      <w:r w:rsidRPr="00D643DD">
        <w:rPr>
          <w:rFonts w:ascii="Times New Roman" w:hAnsi="Times New Roman"/>
          <w:noProof/>
          <w:sz w:val="20"/>
          <w:szCs w:val="20"/>
          <w:lang w:val="en-MY"/>
        </w:rPr>
        <w:t>A similar</w:t>
      </w:r>
      <w:r w:rsidRPr="00D643DD">
        <w:rPr>
          <w:rFonts w:ascii="Times New Roman" w:hAnsi="Times New Roman"/>
          <w:sz w:val="20"/>
          <w:szCs w:val="20"/>
          <w:lang w:val="en-MY"/>
        </w:rPr>
        <w:t xml:space="preserve"> finding was observed in the adsorption of Pb(II) ions from aqueous solution onto pine cone activated carbon </w:t>
      </w:r>
      <w:r w:rsidRPr="00D643DD">
        <w:rPr>
          <w:rFonts w:ascii="Times New Roman" w:hAnsi="Times New Roman"/>
          <w:sz w:val="20"/>
          <w:szCs w:val="20"/>
          <w:lang w:val="en-MY"/>
        </w:rPr>
        <w:fldChar w:fldCharType="begin" w:fldLock="1"/>
      </w:r>
      <w:r w:rsidRPr="00D643DD">
        <w:rPr>
          <w:rFonts w:ascii="Times New Roman" w:hAnsi="Times New Roman"/>
          <w:sz w:val="20"/>
          <w:szCs w:val="20"/>
          <w:lang w:val="en-MY"/>
        </w:rPr>
        <w:instrText>ADDIN CSL_CITATION { "citationItems" : [ { "id" : "ITEM-1", "itemData" : { "DOI" : "10.1016/j.desal.2011.03.013", "ISBN" : "00119164", "ISSN" : "00119164", "abstract" : "Activated carbon prepared from the cones of the European Black pine was used as adsorbent for the removal of lead(II) ions from aqueous solutions. The effect of pH, initial concentration of lead(II) ions, contact time, and adsorbent dosage on the adsorption was studied in a batch process mode. Equilibrium data were analyzed by the Langmuir, Freundlich and Temkin isotherm model. Langmuir isotherm provided the best fit to the equilibrium data with maximum adsorption capacity of 27.53. mg/g. The kinetic data were found to follow closely the pseudo-second-order model. The microstructures of the activated carbon before and after adsorption of lead(II) ions were observed by scanning electron microscope. Textural analysis was employed in order to determine specific surface area and pore size distribution of the prepared activated carbon. Surface structure was characterized by using Fourier transform infrared spectroscopy and Boehm titration. \u00a9 2011 Elsevier B.V.", "author" : [ { "dropping-particle" : "", "family" : "Mom\u010dilovi\u0107", "given" : "Milan", "non-dropping-particle" : "", "parse-names" : false, "suffix" : "" }, { "dropping-particle" : "", "family" : "Purenovi\u0107", "given" : "Milovan", "non-dropping-particle" : "", "parse-names" : false, "suffix" : "" }, { "dropping-particle" : "", "family" : "Boji\u0107", "given" : "Aleksandar", "non-dropping-particle" : "", "parse-names" : false, "suffix" : "" }, { "dropping-particle" : "", "family" : "Zarubica", "given" : "Aleksandra", "non-dropping-particle" : "", "parse-names" : false, "suffix" : "" }, { "dropping-particle" : "", "family" : "Ran\u0111elovi\u0107", "given" : "Marjan", "non-dropping-particle" : "", "parse-names" : false, "suffix" : "" } ], "container-title" : "Desalination", "id" : "ITEM-1", "issue" : "1-3", "issued" : { "date-parts" : [ [ "2011", "8" ] ] }, "page" : "53-59", "title" : "Removal of lead(II) ions from aqueous solutions by adsorption onto pine cone activated carbon", "type" : "article-journal", "volume" : "276" }, "uris" : [ "http://www.mendeley.com/documents/?uuid=344280b7-5938-4773-b9f2-37778a92a252" ] } ], "mendeley" : { "formattedCitation" : "[24]", "plainTextFormattedCitation" : "[24]", "previouslyFormattedCitation" : "[24]" }, "properties" : { "noteIndex" : 0 }, "schema" : "https://github.com/citation-style-language/schema/raw/master/csl-citation.json" }</w:instrText>
      </w:r>
      <w:r w:rsidRPr="00D643DD">
        <w:rPr>
          <w:rFonts w:ascii="Times New Roman" w:hAnsi="Times New Roman"/>
          <w:sz w:val="20"/>
          <w:szCs w:val="20"/>
          <w:lang w:val="en-MY"/>
        </w:rPr>
        <w:fldChar w:fldCharType="separate"/>
      </w:r>
      <w:r w:rsidRPr="00D643DD">
        <w:rPr>
          <w:rFonts w:ascii="Times New Roman" w:hAnsi="Times New Roman"/>
          <w:noProof/>
          <w:sz w:val="20"/>
          <w:szCs w:val="20"/>
          <w:lang w:val="en-MY"/>
        </w:rPr>
        <w:t>[24]</w:t>
      </w:r>
      <w:r w:rsidRPr="00D643DD">
        <w:rPr>
          <w:rFonts w:ascii="Times New Roman" w:hAnsi="Times New Roman"/>
          <w:sz w:val="20"/>
          <w:szCs w:val="20"/>
          <w:lang w:val="en-MY"/>
        </w:rPr>
        <w:fldChar w:fldCharType="end"/>
      </w:r>
      <w:r w:rsidRPr="00D643DD">
        <w:rPr>
          <w:rFonts w:ascii="Times New Roman" w:hAnsi="Times New Roman"/>
          <w:sz w:val="20"/>
          <w:szCs w:val="20"/>
          <w:lang w:val="en-MY"/>
        </w:rPr>
        <w:t>.</w:t>
      </w:r>
    </w:p>
    <w:p w:rsidR="00D643DD" w:rsidRPr="00D643DD" w:rsidRDefault="00D643DD" w:rsidP="00D643DD">
      <w:pPr>
        <w:pStyle w:val="ListParagraph"/>
        <w:spacing w:after="0" w:line="240" w:lineRule="auto"/>
        <w:ind w:left="0"/>
        <w:contextualSpacing w:val="0"/>
        <w:jc w:val="both"/>
        <w:rPr>
          <w:rFonts w:ascii="Times New Roman" w:hAnsi="Times New Roman"/>
          <w:sz w:val="20"/>
          <w:szCs w:val="20"/>
          <w:lang w:val="en-MY"/>
        </w:rPr>
      </w:pPr>
    </w:p>
    <w:p w:rsidR="00D643DD" w:rsidRPr="00330D6D" w:rsidRDefault="00D643DD" w:rsidP="00330D6D">
      <w:pPr>
        <w:spacing w:after="120" w:line="240" w:lineRule="auto"/>
        <w:jc w:val="center"/>
        <w:rPr>
          <w:rFonts w:ascii="Times New Roman" w:hAnsi="Times New Roman"/>
          <w:sz w:val="20"/>
          <w:szCs w:val="20"/>
          <w:lang w:eastAsia="en-GB"/>
        </w:rPr>
      </w:pPr>
      <w:r w:rsidRPr="00D643DD">
        <w:rPr>
          <w:rFonts w:ascii="Times New Roman" w:hAnsi="Times New Roman"/>
          <w:sz w:val="20"/>
          <w:szCs w:val="20"/>
          <w:lang w:eastAsia="en-GB"/>
        </w:rPr>
        <w:t xml:space="preserve">Table 1. </w:t>
      </w:r>
      <w:r w:rsidR="00330D6D">
        <w:rPr>
          <w:rFonts w:ascii="Times New Roman" w:hAnsi="Times New Roman"/>
          <w:sz w:val="20"/>
          <w:szCs w:val="20"/>
          <w:lang w:eastAsia="en-GB"/>
        </w:rPr>
        <w:t xml:space="preserve"> </w:t>
      </w:r>
      <w:r w:rsidRPr="00D643DD">
        <w:rPr>
          <w:rFonts w:ascii="Times New Roman" w:hAnsi="Times New Roman"/>
          <w:sz w:val="20"/>
          <w:szCs w:val="20"/>
          <w:lang w:eastAsia="en-GB"/>
        </w:rPr>
        <w:t>Adsorption kinetic parameters for Pb(II) adsorption on CFP</w:t>
      </w:r>
    </w:p>
    <w:tbl>
      <w:tblPr>
        <w:tblW w:w="8780" w:type="dxa"/>
        <w:jc w:val="center"/>
        <w:tblBorders>
          <w:top w:val="single" w:sz="4" w:space="0" w:color="auto"/>
          <w:bottom w:val="single" w:sz="4" w:space="0" w:color="auto"/>
        </w:tblBorders>
        <w:tblLook w:val="04A0" w:firstRow="1" w:lastRow="0" w:firstColumn="1" w:lastColumn="0" w:noHBand="0" w:noVBand="1"/>
      </w:tblPr>
      <w:tblGrid>
        <w:gridCol w:w="1198"/>
        <w:gridCol w:w="880"/>
        <w:gridCol w:w="879"/>
        <w:gridCol w:w="795"/>
        <w:gridCol w:w="669"/>
        <w:gridCol w:w="647"/>
        <w:gridCol w:w="647"/>
        <w:gridCol w:w="1294"/>
        <w:gridCol w:w="879"/>
        <w:gridCol w:w="669"/>
        <w:gridCol w:w="223"/>
      </w:tblGrid>
      <w:tr w:rsidR="00D643DD" w:rsidRPr="00D643DD" w:rsidTr="00330D6D">
        <w:trPr>
          <w:trHeight w:val="279"/>
          <w:jc w:val="center"/>
        </w:trPr>
        <w:tc>
          <w:tcPr>
            <w:tcW w:w="0" w:type="auto"/>
            <w:vMerge w:val="restart"/>
            <w:tcBorders>
              <w:top w:val="single" w:sz="4" w:space="0" w:color="auto"/>
              <w:bottom w:val="nil"/>
            </w:tcBorders>
            <w:shd w:val="clear" w:color="auto" w:fill="auto"/>
            <w:noWrap/>
            <w:vAlign w:val="center"/>
            <w:hideMark/>
          </w:tcPr>
          <w:p w:rsidR="00D643DD" w:rsidRPr="00D643DD" w:rsidRDefault="00D643DD" w:rsidP="00330D6D">
            <w:pPr>
              <w:spacing w:after="0" w:line="240" w:lineRule="auto"/>
              <w:rPr>
                <w:rFonts w:ascii="Times New Roman" w:eastAsia="Calibri" w:hAnsi="Times New Roman"/>
                <w:b/>
                <w:bCs/>
                <w:sz w:val="20"/>
                <w:szCs w:val="20"/>
                <w:lang w:eastAsia="ms-MY"/>
              </w:rPr>
            </w:pPr>
            <w:r w:rsidRPr="00D643DD">
              <w:rPr>
                <w:rFonts w:ascii="Times New Roman" w:eastAsia="Calibri" w:hAnsi="Times New Roman"/>
                <w:b/>
                <w:bCs/>
                <w:sz w:val="20"/>
                <w:szCs w:val="20"/>
                <w:lang w:eastAsia="ms-MY"/>
              </w:rPr>
              <w:t>[Pb] mg L</w:t>
            </w:r>
            <w:r w:rsidRPr="00D643DD">
              <w:rPr>
                <w:rFonts w:ascii="Times New Roman" w:eastAsia="Calibri" w:hAnsi="Times New Roman"/>
                <w:b/>
                <w:sz w:val="20"/>
                <w:szCs w:val="20"/>
                <w:vertAlign w:val="superscript"/>
              </w:rPr>
              <w:t>-1</w:t>
            </w:r>
          </w:p>
        </w:tc>
        <w:tc>
          <w:tcPr>
            <w:tcW w:w="0" w:type="auto"/>
            <w:vMerge w:val="restart"/>
            <w:tcBorders>
              <w:top w:val="single" w:sz="4" w:space="0" w:color="auto"/>
              <w:bottom w:val="nil"/>
            </w:tcBorders>
            <w:vAlign w:val="center"/>
          </w:tcPr>
          <w:p w:rsidR="00D643DD" w:rsidRPr="00D643DD" w:rsidRDefault="00D643DD" w:rsidP="00330D6D">
            <w:pPr>
              <w:spacing w:after="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q</w:t>
            </w:r>
            <w:r w:rsidRPr="00D643DD">
              <w:rPr>
                <w:rFonts w:ascii="Times New Roman" w:eastAsia="Calibri" w:hAnsi="Times New Roman"/>
                <w:b/>
                <w:bCs/>
                <w:color w:val="000000"/>
                <w:sz w:val="20"/>
                <w:szCs w:val="20"/>
                <w:vertAlign w:val="subscript"/>
                <w:lang w:eastAsia="ms-MY"/>
              </w:rPr>
              <w:t>e</w:t>
            </w:r>
            <w:r w:rsidRPr="00D643DD">
              <w:rPr>
                <w:rFonts w:ascii="Times New Roman" w:eastAsia="Calibri" w:hAnsi="Times New Roman"/>
                <w:b/>
                <w:bCs/>
                <w:color w:val="000000"/>
                <w:sz w:val="20"/>
                <w:szCs w:val="20"/>
                <w:lang w:eastAsia="ms-MY"/>
              </w:rPr>
              <w:t xml:space="preserve">, </w:t>
            </w:r>
            <w:r w:rsidRPr="00D643DD">
              <w:rPr>
                <w:rFonts w:ascii="Times New Roman" w:eastAsia="Calibri" w:hAnsi="Times New Roman"/>
                <w:b/>
                <w:bCs/>
                <w:color w:val="000000"/>
                <w:sz w:val="20"/>
                <w:szCs w:val="20"/>
                <w:vertAlign w:val="subscript"/>
                <w:lang w:eastAsia="ms-MY"/>
              </w:rPr>
              <w:t>exp</w:t>
            </w:r>
          </w:p>
          <w:p w:rsidR="00D643DD" w:rsidRPr="00D643DD" w:rsidRDefault="00D643DD" w:rsidP="00330D6D">
            <w:pPr>
              <w:spacing w:after="0" w:line="240" w:lineRule="auto"/>
              <w:jc w:val="center"/>
              <w:rPr>
                <w:rFonts w:ascii="Times New Roman" w:eastAsia="Calibri" w:hAnsi="Times New Roman"/>
                <w:b/>
                <w:bCs/>
                <w:sz w:val="20"/>
                <w:szCs w:val="20"/>
                <w:lang w:eastAsia="ms-MY"/>
              </w:rPr>
            </w:pPr>
            <w:r w:rsidRPr="00D643DD">
              <w:rPr>
                <w:rFonts w:ascii="Times New Roman" w:eastAsia="Calibri" w:hAnsi="Times New Roman"/>
                <w:b/>
                <w:bCs/>
                <w:color w:val="000000"/>
                <w:sz w:val="20"/>
                <w:szCs w:val="20"/>
                <w:lang w:eastAsia="ms-MY"/>
              </w:rPr>
              <w:t>(mg g</w:t>
            </w:r>
            <w:r w:rsidRPr="00D643DD">
              <w:rPr>
                <w:rFonts w:ascii="Times New Roman" w:eastAsia="Calibri" w:hAnsi="Times New Roman"/>
                <w:b/>
                <w:sz w:val="20"/>
                <w:szCs w:val="20"/>
                <w:vertAlign w:val="superscript"/>
              </w:rPr>
              <w:t>-1</w:t>
            </w:r>
            <w:r w:rsidRPr="00D643DD">
              <w:rPr>
                <w:rFonts w:ascii="Times New Roman" w:eastAsia="Calibri" w:hAnsi="Times New Roman"/>
                <w:b/>
                <w:bCs/>
                <w:color w:val="000000"/>
                <w:sz w:val="20"/>
                <w:szCs w:val="20"/>
                <w:lang w:eastAsia="ms-MY"/>
              </w:rPr>
              <w:t>)</w:t>
            </w:r>
          </w:p>
        </w:tc>
        <w:tc>
          <w:tcPr>
            <w:tcW w:w="0" w:type="auto"/>
            <w:gridSpan w:val="4"/>
            <w:tcBorders>
              <w:top w:val="single" w:sz="4" w:space="0" w:color="auto"/>
              <w:bottom w:val="single" w:sz="4" w:space="0" w:color="auto"/>
            </w:tcBorders>
            <w:vAlign w:val="center"/>
          </w:tcPr>
          <w:p w:rsidR="00D643DD" w:rsidRPr="00D643DD" w:rsidRDefault="00D643DD" w:rsidP="00330D6D">
            <w:pPr>
              <w:spacing w:before="60" w:after="0" w:line="240" w:lineRule="auto"/>
              <w:jc w:val="center"/>
              <w:rPr>
                <w:rFonts w:ascii="Times New Roman" w:eastAsia="Calibri" w:hAnsi="Times New Roman"/>
                <w:b/>
                <w:bCs/>
                <w:sz w:val="20"/>
                <w:szCs w:val="20"/>
                <w:lang w:eastAsia="ms-MY"/>
              </w:rPr>
            </w:pPr>
            <w:r w:rsidRPr="00D643DD">
              <w:rPr>
                <w:rFonts w:ascii="Times New Roman" w:eastAsia="Calibri" w:hAnsi="Times New Roman"/>
                <w:b/>
                <w:bCs/>
                <w:sz w:val="20"/>
                <w:szCs w:val="20"/>
                <w:lang w:eastAsia="ms-MY"/>
              </w:rPr>
              <w:t>Pseudo-First-Order</w:t>
            </w:r>
          </w:p>
        </w:tc>
        <w:tc>
          <w:tcPr>
            <w:tcW w:w="0" w:type="auto"/>
            <w:gridSpan w:val="3"/>
            <w:tcBorders>
              <w:top w:val="single" w:sz="4" w:space="0" w:color="auto"/>
              <w:bottom w:val="single" w:sz="4" w:space="0" w:color="auto"/>
            </w:tcBorders>
            <w:shd w:val="clear" w:color="auto" w:fill="auto"/>
          </w:tcPr>
          <w:p w:rsidR="00D643DD" w:rsidRPr="00D643DD" w:rsidRDefault="00D643DD" w:rsidP="00330D6D">
            <w:pPr>
              <w:spacing w:before="60" w:after="0" w:line="240" w:lineRule="auto"/>
              <w:jc w:val="center"/>
              <w:rPr>
                <w:rFonts w:ascii="Times New Roman" w:eastAsia="Calibri" w:hAnsi="Times New Roman"/>
                <w:b/>
                <w:bCs/>
                <w:sz w:val="20"/>
                <w:szCs w:val="20"/>
              </w:rPr>
            </w:pPr>
            <w:r w:rsidRPr="00D643DD">
              <w:rPr>
                <w:rFonts w:ascii="Times New Roman" w:eastAsia="Calibri" w:hAnsi="Times New Roman"/>
                <w:b/>
                <w:bCs/>
                <w:sz w:val="20"/>
                <w:szCs w:val="20"/>
              </w:rPr>
              <w:t>Pseudo-Second-Order</w:t>
            </w:r>
          </w:p>
        </w:tc>
        <w:tc>
          <w:tcPr>
            <w:tcW w:w="0" w:type="auto"/>
            <w:tcBorders>
              <w:top w:val="single" w:sz="4" w:space="0" w:color="auto"/>
              <w:bottom w:val="single" w:sz="4" w:space="0" w:color="auto"/>
            </w:tcBorders>
          </w:tcPr>
          <w:p w:rsidR="00D643DD" w:rsidRPr="00D643DD" w:rsidRDefault="00D643DD" w:rsidP="00D643DD">
            <w:pPr>
              <w:spacing w:after="0" w:line="240" w:lineRule="auto"/>
              <w:jc w:val="both"/>
              <w:rPr>
                <w:rFonts w:ascii="Times New Roman" w:eastAsia="Calibri" w:hAnsi="Times New Roman"/>
                <w:b/>
                <w:bCs/>
                <w:sz w:val="20"/>
                <w:szCs w:val="20"/>
              </w:rPr>
            </w:pPr>
          </w:p>
        </w:tc>
        <w:tc>
          <w:tcPr>
            <w:tcW w:w="0" w:type="auto"/>
            <w:tcBorders>
              <w:top w:val="single" w:sz="4" w:space="0" w:color="auto"/>
              <w:bottom w:val="nil"/>
            </w:tcBorders>
          </w:tcPr>
          <w:p w:rsidR="00D643DD" w:rsidRPr="00D643DD" w:rsidRDefault="00D643DD" w:rsidP="00D643DD">
            <w:pPr>
              <w:spacing w:after="0" w:line="240" w:lineRule="auto"/>
              <w:jc w:val="both"/>
              <w:rPr>
                <w:rFonts w:ascii="Times New Roman" w:eastAsia="Calibri" w:hAnsi="Times New Roman"/>
                <w:sz w:val="20"/>
                <w:szCs w:val="20"/>
              </w:rPr>
            </w:pPr>
          </w:p>
        </w:tc>
      </w:tr>
      <w:tr w:rsidR="00D643DD" w:rsidRPr="00D643DD" w:rsidTr="00330D6D">
        <w:trPr>
          <w:trHeight w:val="271"/>
          <w:jc w:val="center"/>
        </w:trPr>
        <w:tc>
          <w:tcPr>
            <w:tcW w:w="0" w:type="auto"/>
            <w:vMerge/>
            <w:tcBorders>
              <w:top w:val="nil"/>
              <w:bottom w:val="single" w:sz="4" w:space="0" w:color="auto"/>
            </w:tcBorders>
            <w:vAlign w:val="center"/>
            <w:hideMark/>
          </w:tcPr>
          <w:p w:rsidR="00D643DD" w:rsidRPr="00D643DD" w:rsidRDefault="00D643DD" w:rsidP="00330D6D">
            <w:pPr>
              <w:spacing w:after="0" w:line="240" w:lineRule="auto"/>
              <w:rPr>
                <w:rFonts w:ascii="Times New Roman" w:eastAsia="Calibri" w:hAnsi="Times New Roman"/>
                <w:b/>
                <w:bCs/>
                <w:sz w:val="20"/>
                <w:szCs w:val="20"/>
                <w:lang w:eastAsia="ms-MY"/>
              </w:rPr>
            </w:pPr>
          </w:p>
        </w:tc>
        <w:tc>
          <w:tcPr>
            <w:tcW w:w="0" w:type="auto"/>
            <w:vMerge/>
            <w:tcBorders>
              <w:top w:val="nil"/>
              <w:bottom w:val="single" w:sz="4" w:space="0" w:color="auto"/>
            </w:tcBorders>
          </w:tcPr>
          <w:p w:rsidR="00D643DD" w:rsidRPr="00D643DD" w:rsidRDefault="00D643DD" w:rsidP="00330D6D">
            <w:pPr>
              <w:spacing w:after="0" w:line="240" w:lineRule="auto"/>
              <w:jc w:val="center"/>
              <w:rPr>
                <w:rFonts w:ascii="Times New Roman" w:eastAsia="Calibri" w:hAnsi="Times New Roman"/>
                <w:b/>
                <w:bCs/>
                <w:color w:val="000000"/>
                <w:sz w:val="20"/>
                <w:szCs w:val="20"/>
                <w:lang w:eastAsia="ms-MY"/>
              </w:rPr>
            </w:pPr>
          </w:p>
        </w:tc>
        <w:tc>
          <w:tcPr>
            <w:tcW w:w="0" w:type="auto"/>
            <w:tcBorders>
              <w:top w:val="single" w:sz="4" w:space="0" w:color="auto"/>
              <w:bottom w:val="single" w:sz="4" w:space="0" w:color="auto"/>
            </w:tcBorders>
            <w:shd w:val="clear" w:color="auto" w:fill="auto"/>
            <w:noWrap/>
            <w:vAlign w:val="center"/>
            <w:hideMark/>
          </w:tcPr>
          <w:p w:rsidR="00D643DD" w:rsidRPr="00D643DD" w:rsidRDefault="00D643DD" w:rsidP="00330D6D">
            <w:pPr>
              <w:spacing w:after="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q</w:t>
            </w:r>
            <w:r w:rsidRPr="00D643DD">
              <w:rPr>
                <w:rFonts w:ascii="Times New Roman" w:eastAsia="Calibri" w:hAnsi="Times New Roman"/>
                <w:b/>
                <w:bCs/>
                <w:color w:val="000000"/>
                <w:sz w:val="20"/>
                <w:szCs w:val="20"/>
                <w:vertAlign w:val="subscript"/>
                <w:lang w:eastAsia="ms-MY"/>
              </w:rPr>
              <w:t>e</w:t>
            </w:r>
            <w:r w:rsidRPr="00D643DD">
              <w:rPr>
                <w:rFonts w:ascii="Times New Roman" w:eastAsia="Calibri" w:hAnsi="Times New Roman"/>
                <w:b/>
                <w:bCs/>
                <w:color w:val="000000"/>
                <w:sz w:val="20"/>
                <w:szCs w:val="20"/>
                <w:lang w:eastAsia="ms-MY"/>
              </w:rPr>
              <w:t xml:space="preserve">, </w:t>
            </w:r>
            <w:r w:rsidRPr="00D643DD">
              <w:rPr>
                <w:rFonts w:ascii="Times New Roman" w:eastAsia="Calibri" w:hAnsi="Times New Roman"/>
                <w:b/>
                <w:bCs/>
                <w:color w:val="000000"/>
                <w:sz w:val="20"/>
                <w:szCs w:val="20"/>
                <w:vertAlign w:val="subscript"/>
                <w:lang w:eastAsia="ms-MY"/>
              </w:rPr>
              <w:t>cal</w:t>
            </w:r>
          </w:p>
          <w:p w:rsidR="00D643DD" w:rsidRPr="00D643DD" w:rsidRDefault="00D643DD" w:rsidP="00330D6D">
            <w:pPr>
              <w:spacing w:after="6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(mg g</w:t>
            </w:r>
            <w:r w:rsidRPr="00D643DD">
              <w:rPr>
                <w:rFonts w:ascii="Times New Roman" w:eastAsia="Calibri" w:hAnsi="Times New Roman"/>
                <w:b/>
                <w:sz w:val="20"/>
                <w:szCs w:val="20"/>
                <w:vertAlign w:val="superscript"/>
              </w:rPr>
              <w:t>-1</w:t>
            </w:r>
            <w:r w:rsidRPr="00D643DD">
              <w:rPr>
                <w:rFonts w:ascii="Times New Roman" w:eastAsia="Calibri" w:hAnsi="Times New Roman"/>
                <w:b/>
                <w:bCs/>
                <w:color w:val="000000"/>
                <w:sz w:val="20"/>
                <w:szCs w:val="20"/>
                <w:lang w:eastAsia="ms-MY"/>
              </w:rPr>
              <w:t>)</w:t>
            </w:r>
          </w:p>
        </w:tc>
        <w:tc>
          <w:tcPr>
            <w:tcW w:w="0" w:type="auto"/>
            <w:tcBorders>
              <w:top w:val="single" w:sz="4" w:space="0" w:color="auto"/>
              <w:bottom w:val="single" w:sz="4" w:space="0" w:color="auto"/>
            </w:tcBorders>
            <w:shd w:val="clear" w:color="auto" w:fill="auto"/>
            <w:noWrap/>
            <w:vAlign w:val="center"/>
            <w:hideMark/>
          </w:tcPr>
          <w:p w:rsidR="00D643DD" w:rsidRPr="00D643DD" w:rsidRDefault="00D643DD" w:rsidP="00330D6D">
            <w:pPr>
              <w:spacing w:after="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K</w:t>
            </w:r>
            <w:r w:rsidRPr="00D643DD">
              <w:rPr>
                <w:rFonts w:ascii="Times New Roman" w:eastAsia="Calibri" w:hAnsi="Times New Roman"/>
                <w:b/>
                <w:bCs/>
                <w:color w:val="000000"/>
                <w:sz w:val="20"/>
                <w:szCs w:val="20"/>
                <w:vertAlign w:val="subscript"/>
                <w:lang w:eastAsia="ms-MY"/>
              </w:rPr>
              <w:t>1</w:t>
            </w:r>
          </w:p>
          <w:p w:rsidR="00D643DD" w:rsidRPr="00D643DD" w:rsidRDefault="00D643DD" w:rsidP="00330D6D">
            <w:pPr>
              <w:spacing w:after="6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(min</w:t>
            </w:r>
            <w:r w:rsidRPr="00D643DD">
              <w:rPr>
                <w:rFonts w:ascii="Times New Roman" w:eastAsia="Calibri" w:hAnsi="Times New Roman"/>
                <w:b/>
                <w:bCs/>
                <w:color w:val="000000"/>
                <w:sz w:val="20"/>
                <w:szCs w:val="20"/>
                <w:vertAlign w:val="superscript"/>
                <w:lang w:eastAsia="ms-MY"/>
              </w:rPr>
              <w:t>-1</w:t>
            </w:r>
            <w:r w:rsidRPr="00D643DD">
              <w:rPr>
                <w:rFonts w:ascii="Times New Roman" w:eastAsia="Calibri" w:hAnsi="Times New Roman"/>
                <w:b/>
                <w:bCs/>
                <w:color w:val="000000"/>
                <w:sz w:val="20"/>
                <w:szCs w:val="20"/>
                <w:lang w:eastAsia="ms-MY"/>
              </w:rPr>
              <w:t>)</w:t>
            </w:r>
          </w:p>
        </w:tc>
        <w:tc>
          <w:tcPr>
            <w:tcW w:w="0" w:type="auto"/>
            <w:tcBorders>
              <w:top w:val="single" w:sz="4" w:space="0" w:color="auto"/>
              <w:bottom w:val="single" w:sz="4" w:space="0" w:color="auto"/>
            </w:tcBorders>
            <w:shd w:val="clear" w:color="auto" w:fill="auto"/>
            <w:noWrap/>
            <w:vAlign w:val="center"/>
            <w:hideMark/>
          </w:tcPr>
          <w:p w:rsidR="00D643DD" w:rsidRPr="00D643DD" w:rsidRDefault="00D643DD" w:rsidP="00330D6D">
            <w:pPr>
              <w:spacing w:after="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R</w:t>
            </w:r>
            <w:r w:rsidRPr="00D643DD">
              <w:rPr>
                <w:rFonts w:ascii="Times New Roman" w:eastAsia="Calibri" w:hAnsi="Times New Roman"/>
                <w:b/>
                <w:bCs/>
                <w:color w:val="000000"/>
                <w:sz w:val="20"/>
                <w:szCs w:val="20"/>
                <w:vertAlign w:val="superscript"/>
                <w:lang w:eastAsia="ms-MY"/>
              </w:rPr>
              <w:t>2</w:t>
            </w:r>
          </w:p>
        </w:tc>
        <w:tc>
          <w:tcPr>
            <w:tcW w:w="0" w:type="auto"/>
            <w:gridSpan w:val="2"/>
            <w:tcBorders>
              <w:top w:val="single" w:sz="4" w:space="0" w:color="auto"/>
              <w:bottom w:val="single" w:sz="4" w:space="0" w:color="auto"/>
            </w:tcBorders>
            <w:shd w:val="clear" w:color="auto" w:fill="auto"/>
            <w:vAlign w:val="center"/>
          </w:tcPr>
          <w:p w:rsidR="00D643DD" w:rsidRPr="00D643DD" w:rsidRDefault="00D643DD" w:rsidP="00330D6D">
            <w:pPr>
              <w:spacing w:after="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h</w:t>
            </w:r>
          </w:p>
          <w:p w:rsidR="00D643DD" w:rsidRPr="00D643DD" w:rsidRDefault="00D643DD" w:rsidP="00330D6D">
            <w:pPr>
              <w:spacing w:after="6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(mg/(g.min))</w:t>
            </w:r>
          </w:p>
        </w:tc>
        <w:tc>
          <w:tcPr>
            <w:tcW w:w="0" w:type="auto"/>
            <w:tcBorders>
              <w:top w:val="single" w:sz="4" w:space="0" w:color="auto"/>
              <w:bottom w:val="single" w:sz="4" w:space="0" w:color="auto"/>
            </w:tcBorders>
            <w:shd w:val="clear" w:color="auto" w:fill="auto"/>
            <w:vAlign w:val="center"/>
          </w:tcPr>
          <w:p w:rsidR="00D643DD" w:rsidRPr="00D643DD" w:rsidRDefault="00D643DD" w:rsidP="00330D6D">
            <w:pPr>
              <w:spacing w:after="0" w:line="240" w:lineRule="auto"/>
              <w:jc w:val="center"/>
              <w:rPr>
                <w:rFonts w:ascii="Times New Roman" w:eastAsia="Calibri" w:hAnsi="Times New Roman"/>
                <w:b/>
                <w:bCs/>
                <w:color w:val="000000"/>
                <w:sz w:val="20"/>
                <w:szCs w:val="20"/>
                <w:vertAlign w:val="subscript"/>
                <w:lang w:eastAsia="ms-MY"/>
              </w:rPr>
            </w:pPr>
            <w:r w:rsidRPr="00D643DD">
              <w:rPr>
                <w:rFonts w:ascii="Times New Roman" w:eastAsia="Calibri" w:hAnsi="Times New Roman"/>
                <w:b/>
                <w:bCs/>
                <w:color w:val="000000"/>
                <w:sz w:val="20"/>
                <w:szCs w:val="20"/>
                <w:lang w:eastAsia="ms-MY"/>
              </w:rPr>
              <w:t>K</w:t>
            </w:r>
            <w:r w:rsidRPr="00D643DD">
              <w:rPr>
                <w:rFonts w:ascii="Times New Roman" w:eastAsia="Calibri" w:hAnsi="Times New Roman"/>
                <w:b/>
                <w:bCs/>
                <w:color w:val="000000"/>
                <w:sz w:val="20"/>
                <w:szCs w:val="20"/>
                <w:vertAlign w:val="subscript"/>
                <w:lang w:eastAsia="ms-MY"/>
              </w:rPr>
              <w:t>2</w:t>
            </w:r>
          </w:p>
          <w:p w:rsidR="00D643DD" w:rsidRPr="00D643DD" w:rsidRDefault="00D643DD" w:rsidP="00330D6D">
            <w:pPr>
              <w:spacing w:after="6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(g/(mg.min))</w:t>
            </w:r>
          </w:p>
        </w:tc>
        <w:tc>
          <w:tcPr>
            <w:tcW w:w="0" w:type="auto"/>
            <w:tcBorders>
              <w:top w:val="single" w:sz="4" w:space="0" w:color="auto"/>
              <w:bottom w:val="single" w:sz="4" w:space="0" w:color="auto"/>
            </w:tcBorders>
            <w:shd w:val="clear" w:color="auto" w:fill="auto"/>
            <w:vAlign w:val="center"/>
          </w:tcPr>
          <w:p w:rsidR="00D643DD" w:rsidRPr="00D643DD" w:rsidRDefault="00D643DD" w:rsidP="00330D6D">
            <w:pPr>
              <w:spacing w:after="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q</w:t>
            </w:r>
            <w:r w:rsidRPr="00D643DD">
              <w:rPr>
                <w:rFonts w:ascii="Times New Roman" w:eastAsia="Calibri" w:hAnsi="Times New Roman"/>
                <w:b/>
                <w:bCs/>
                <w:color w:val="000000"/>
                <w:sz w:val="20"/>
                <w:szCs w:val="20"/>
                <w:vertAlign w:val="subscript"/>
                <w:lang w:eastAsia="ms-MY"/>
              </w:rPr>
              <w:t>e</w:t>
            </w:r>
            <w:r w:rsidRPr="00D643DD">
              <w:rPr>
                <w:rFonts w:ascii="Times New Roman" w:eastAsia="Calibri" w:hAnsi="Times New Roman"/>
                <w:b/>
                <w:bCs/>
                <w:color w:val="000000"/>
                <w:sz w:val="20"/>
                <w:szCs w:val="20"/>
                <w:lang w:eastAsia="ms-MY"/>
              </w:rPr>
              <w:t xml:space="preserve">, </w:t>
            </w:r>
            <w:r w:rsidRPr="00D643DD">
              <w:rPr>
                <w:rFonts w:ascii="Times New Roman" w:eastAsia="Calibri" w:hAnsi="Times New Roman"/>
                <w:b/>
                <w:bCs/>
                <w:color w:val="000000"/>
                <w:sz w:val="20"/>
                <w:szCs w:val="20"/>
                <w:vertAlign w:val="subscript"/>
                <w:lang w:eastAsia="ms-MY"/>
              </w:rPr>
              <w:t>cal</w:t>
            </w:r>
          </w:p>
          <w:p w:rsidR="00D643DD" w:rsidRPr="00D643DD" w:rsidRDefault="00D643DD" w:rsidP="00330D6D">
            <w:pPr>
              <w:spacing w:after="6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(mg g</w:t>
            </w:r>
            <w:r w:rsidRPr="00D643DD">
              <w:rPr>
                <w:rFonts w:ascii="Times New Roman" w:eastAsia="Calibri" w:hAnsi="Times New Roman"/>
                <w:b/>
                <w:sz w:val="20"/>
                <w:szCs w:val="20"/>
                <w:vertAlign w:val="superscript"/>
              </w:rPr>
              <w:t>-1</w:t>
            </w:r>
            <w:r w:rsidRPr="00D643DD">
              <w:rPr>
                <w:rFonts w:ascii="Times New Roman" w:eastAsia="Calibri" w:hAnsi="Times New Roman"/>
                <w:b/>
                <w:bCs/>
                <w:color w:val="000000"/>
                <w:sz w:val="20"/>
                <w:szCs w:val="20"/>
                <w:lang w:eastAsia="ms-MY"/>
              </w:rPr>
              <w:t>)</w:t>
            </w:r>
          </w:p>
        </w:tc>
        <w:tc>
          <w:tcPr>
            <w:tcW w:w="0" w:type="auto"/>
            <w:tcBorders>
              <w:top w:val="single" w:sz="4" w:space="0" w:color="auto"/>
              <w:bottom w:val="single" w:sz="4" w:space="0" w:color="auto"/>
            </w:tcBorders>
            <w:vAlign w:val="center"/>
          </w:tcPr>
          <w:p w:rsidR="00D643DD" w:rsidRPr="00D643DD" w:rsidRDefault="00D643DD" w:rsidP="00330D6D">
            <w:pPr>
              <w:spacing w:after="0" w:line="240" w:lineRule="auto"/>
              <w:jc w:val="center"/>
              <w:rPr>
                <w:rFonts w:ascii="Times New Roman" w:eastAsia="Calibri" w:hAnsi="Times New Roman"/>
                <w:b/>
                <w:bCs/>
                <w:color w:val="000000"/>
                <w:sz w:val="20"/>
                <w:szCs w:val="20"/>
                <w:lang w:eastAsia="ms-MY"/>
              </w:rPr>
            </w:pPr>
            <w:r w:rsidRPr="00D643DD">
              <w:rPr>
                <w:rFonts w:ascii="Times New Roman" w:eastAsia="Calibri" w:hAnsi="Times New Roman"/>
                <w:b/>
                <w:bCs/>
                <w:color w:val="000000"/>
                <w:sz w:val="20"/>
                <w:szCs w:val="20"/>
                <w:lang w:eastAsia="ms-MY"/>
              </w:rPr>
              <w:t>R</w:t>
            </w:r>
            <w:r w:rsidRPr="00D643DD">
              <w:rPr>
                <w:rFonts w:ascii="Times New Roman" w:eastAsia="Calibri" w:hAnsi="Times New Roman"/>
                <w:b/>
                <w:bCs/>
                <w:color w:val="000000"/>
                <w:sz w:val="20"/>
                <w:szCs w:val="20"/>
                <w:vertAlign w:val="superscript"/>
                <w:lang w:eastAsia="ms-MY"/>
              </w:rPr>
              <w:t>2</w:t>
            </w:r>
          </w:p>
        </w:tc>
        <w:tc>
          <w:tcPr>
            <w:tcW w:w="0" w:type="auto"/>
            <w:tcBorders>
              <w:top w:val="nil"/>
              <w:bottom w:val="single" w:sz="4" w:space="0" w:color="auto"/>
            </w:tcBorders>
          </w:tcPr>
          <w:p w:rsidR="00D643DD" w:rsidRPr="00D643DD" w:rsidRDefault="00D643DD" w:rsidP="00D643DD">
            <w:pPr>
              <w:spacing w:after="0" w:line="240" w:lineRule="auto"/>
              <w:jc w:val="both"/>
              <w:rPr>
                <w:rFonts w:ascii="Times New Roman" w:eastAsia="Calibri" w:hAnsi="Times New Roman"/>
                <w:color w:val="000000"/>
                <w:sz w:val="20"/>
                <w:szCs w:val="20"/>
                <w:lang w:eastAsia="ms-MY"/>
              </w:rPr>
            </w:pPr>
          </w:p>
        </w:tc>
      </w:tr>
      <w:tr w:rsidR="00D643DD" w:rsidRPr="00D643DD" w:rsidTr="00330D6D">
        <w:trPr>
          <w:trHeight w:val="260"/>
          <w:jc w:val="center"/>
        </w:trPr>
        <w:tc>
          <w:tcPr>
            <w:tcW w:w="0" w:type="auto"/>
            <w:tcBorders>
              <w:top w:val="single" w:sz="4" w:space="0" w:color="auto"/>
            </w:tcBorders>
            <w:shd w:val="clear" w:color="auto" w:fill="auto"/>
            <w:noWrap/>
            <w:vAlign w:val="center"/>
            <w:hideMark/>
          </w:tcPr>
          <w:p w:rsidR="00D643DD" w:rsidRPr="00D643DD" w:rsidRDefault="00D643DD" w:rsidP="00330D6D">
            <w:pPr>
              <w:spacing w:before="60" w:after="0" w:line="240" w:lineRule="auto"/>
              <w:rPr>
                <w:rFonts w:ascii="Times New Roman" w:eastAsia="Calibri" w:hAnsi="Times New Roman"/>
                <w:bCs/>
                <w:sz w:val="20"/>
                <w:szCs w:val="20"/>
                <w:lang w:eastAsia="ms-MY"/>
              </w:rPr>
            </w:pPr>
            <w:r w:rsidRPr="00D643DD">
              <w:rPr>
                <w:rFonts w:ascii="Times New Roman" w:eastAsia="Calibri" w:hAnsi="Times New Roman"/>
                <w:bCs/>
                <w:sz w:val="20"/>
                <w:szCs w:val="20"/>
                <w:lang w:eastAsia="ms-MY"/>
              </w:rPr>
              <w:t>10</w:t>
            </w:r>
          </w:p>
        </w:tc>
        <w:tc>
          <w:tcPr>
            <w:tcW w:w="0" w:type="auto"/>
            <w:tcBorders>
              <w:top w:val="single" w:sz="4" w:space="0" w:color="auto"/>
            </w:tcBorders>
            <w:vAlign w:val="center"/>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11.30</w:t>
            </w:r>
          </w:p>
        </w:tc>
        <w:tc>
          <w:tcPr>
            <w:tcW w:w="0" w:type="auto"/>
            <w:tcBorders>
              <w:top w:val="single" w:sz="4" w:space="0" w:color="auto"/>
            </w:tcBorders>
            <w:shd w:val="clear" w:color="auto" w:fill="auto"/>
            <w:vAlign w:val="center"/>
            <w:hideMark/>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1.57</w:t>
            </w:r>
          </w:p>
        </w:tc>
        <w:tc>
          <w:tcPr>
            <w:tcW w:w="0" w:type="auto"/>
            <w:tcBorders>
              <w:top w:val="single" w:sz="4" w:space="0" w:color="auto"/>
            </w:tcBorders>
            <w:shd w:val="clear" w:color="auto" w:fill="auto"/>
            <w:vAlign w:val="center"/>
            <w:hideMark/>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0.005</w:t>
            </w:r>
          </w:p>
        </w:tc>
        <w:tc>
          <w:tcPr>
            <w:tcW w:w="0" w:type="auto"/>
            <w:tcBorders>
              <w:top w:val="single" w:sz="4" w:space="0" w:color="auto"/>
            </w:tcBorders>
            <w:shd w:val="clear" w:color="auto" w:fill="auto"/>
            <w:vAlign w:val="center"/>
            <w:hideMark/>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0.799</w:t>
            </w:r>
          </w:p>
        </w:tc>
        <w:tc>
          <w:tcPr>
            <w:tcW w:w="0" w:type="auto"/>
            <w:gridSpan w:val="2"/>
            <w:tcBorders>
              <w:top w:val="single" w:sz="4" w:space="0" w:color="auto"/>
            </w:tcBorders>
            <w:shd w:val="clear" w:color="auto" w:fill="auto"/>
            <w:vAlign w:val="center"/>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8.40</w:t>
            </w:r>
          </w:p>
        </w:tc>
        <w:tc>
          <w:tcPr>
            <w:tcW w:w="0" w:type="auto"/>
            <w:tcBorders>
              <w:top w:val="single" w:sz="4" w:space="0" w:color="auto"/>
            </w:tcBorders>
            <w:shd w:val="clear" w:color="auto" w:fill="auto"/>
            <w:vAlign w:val="center"/>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0.058</w:t>
            </w:r>
          </w:p>
        </w:tc>
        <w:tc>
          <w:tcPr>
            <w:tcW w:w="0" w:type="auto"/>
            <w:tcBorders>
              <w:top w:val="single" w:sz="4" w:space="0" w:color="auto"/>
            </w:tcBorders>
            <w:shd w:val="clear" w:color="auto" w:fill="auto"/>
            <w:vAlign w:val="center"/>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11.99</w:t>
            </w:r>
          </w:p>
        </w:tc>
        <w:tc>
          <w:tcPr>
            <w:tcW w:w="0" w:type="auto"/>
            <w:tcBorders>
              <w:top w:val="single" w:sz="4" w:space="0" w:color="auto"/>
            </w:tcBorders>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0.997</w:t>
            </w:r>
          </w:p>
        </w:tc>
        <w:tc>
          <w:tcPr>
            <w:tcW w:w="0" w:type="auto"/>
            <w:tcBorders>
              <w:top w:val="single" w:sz="4" w:space="0" w:color="auto"/>
            </w:tcBorders>
          </w:tcPr>
          <w:p w:rsidR="00D643DD" w:rsidRPr="00D643DD" w:rsidRDefault="00D643DD" w:rsidP="00330D6D">
            <w:pPr>
              <w:spacing w:before="60" w:after="0" w:line="240" w:lineRule="auto"/>
              <w:jc w:val="both"/>
              <w:rPr>
                <w:rFonts w:ascii="Times New Roman" w:hAnsi="Times New Roman"/>
                <w:sz w:val="20"/>
                <w:szCs w:val="20"/>
                <w:lang w:eastAsia="ms-MY"/>
              </w:rPr>
            </w:pPr>
          </w:p>
        </w:tc>
      </w:tr>
      <w:tr w:rsidR="00D643DD" w:rsidRPr="00D643DD" w:rsidTr="00330D6D">
        <w:trPr>
          <w:trHeight w:val="260"/>
          <w:jc w:val="center"/>
        </w:trPr>
        <w:tc>
          <w:tcPr>
            <w:tcW w:w="0" w:type="auto"/>
            <w:tcBorders>
              <w:bottom w:val="nil"/>
            </w:tcBorders>
            <w:shd w:val="clear" w:color="auto" w:fill="auto"/>
            <w:noWrap/>
            <w:vAlign w:val="center"/>
            <w:hideMark/>
          </w:tcPr>
          <w:p w:rsidR="00D643DD" w:rsidRPr="00D643DD" w:rsidRDefault="00D643DD" w:rsidP="00330D6D">
            <w:pPr>
              <w:spacing w:before="60" w:after="0" w:line="240" w:lineRule="auto"/>
              <w:rPr>
                <w:rFonts w:ascii="Times New Roman" w:eastAsia="Calibri" w:hAnsi="Times New Roman"/>
                <w:bCs/>
                <w:sz w:val="20"/>
                <w:szCs w:val="20"/>
                <w:lang w:eastAsia="ms-MY"/>
              </w:rPr>
            </w:pPr>
            <w:r w:rsidRPr="00D643DD">
              <w:rPr>
                <w:rFonts w:ascii="Times New Roman" w:eastAsia="Calibri" w:hAnsi="Times New Roman"/>
                <w:bCs/>
                <w:sz w:val="20"/>
                <w:szCs w:val="20"/>
                <w:lang w:eastAsia="ms-MY"/>
              </w:rPr>
              <w:t>20</w:t>
            </w:r>
          </w:p>
        </w:tc>
        <w:tc>
          <w:tcPr>
            <w:tcW w:w="0" w:type="auto"/>
            <w:tcBorders>
              <w:bottom w:val="nil"/>
            </w:tcBorders>
            <w:vAlign w:val="center"/>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20.65</w:t>
            </w:r>
          </w:p>
        </w:tc>
        <w:tc>
          <w:tcPr>
            <w:tcW w:w="0" w:type="auto"/>
            <w:tcBorders>
              <w:bottom w:val="nil"/>
            </w:tcBorders>
            <w:shd w:val="clear" w:color="auto" w:fill="auto"/>
            <w:vAlign w:val="center"/>
            <w:hideMark/>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7.27</w:t>
            </w:r>
          </w:p>
        </w:tc>
        <w:tc>
          <w:tcPr>
            <w:tcW w:w="0" w:type="auto"/>
            <w:tcBorders>
              <w:bottom w:val="nil"/>
            </w:tcBorders>
            <w:shd w:val="clear" w:color="auto" w:fill="auto"/>
            <w:vAlign w:val="center"/>
            <w:hideMark/>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0.007</w:t>
            </w:r>
          </w:p>
        </w:tc>
        <w:tc>
          <w:tcPr>
            <w:tcW w:w="0" w:type="auto"/>
            <w:tcBorders>
              <w:bottom w:val="nil"/>
            </w:tcBorders>
            <w:shd w:val="clear" w:color="auto" w:fill="auto"/>
            <w:vAlign w:val="center"/>
            <w:hideMark/>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0.631</w:t>
            </w:r>
          </w:p>
        </w:tc>
        <w:tc>
          <w:tcPr>
            <w:tcW w:w="0" w:type="auto"/>
            <w:gridSpan w:val="2"/>
            <w:tcBorders>
              <w:bottom w:val="nil"/>
            </w:tcBorders>
            <w:shd w:val="clear" w:color="auto" w:fill="auto"/>
            <w:vAlign w:val="center"/>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6.72</w:t>
            </w:r>
          </w:p>
        </w:tc>
        <w:tc>
          <w:tcPr>
            <w:tcW w:w="0" w:type="auto"/>
            <w:tcBorders>
              <w:bottom w:val="nil"/>
            </w:tcBorders>
            <w:shd w:val="clear" w:color="auto" w:fill="auto"/>
            <w:vAlign w:val="center"/>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0.012</w:t>
            </w:r>
          </w:p>
        </w:tc>
        <w:tc>
          <w:tcPr>
            <w:tcW w:w="0" w:type="auto"/>
            <w:tcBorders>
              <w:bottom w:val="nil"/>
            </w:tcBorders>
            <w:shd w:val="clear" w:color="auto" w:fill="auto"/>
            <w:vAlign w:val="center"/>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23.42</w:t>
            </w:r>
          </w:p>
        </w:tc>
        <w:tc>
          <w:tcPr>
            <w:tcW w:w="0" w:type="auto"/>
            <w:tcBorders>
              <w:bottom w:val="nil"/>
            </w:tcBorders>
          </w:tcPr>
          <w:p w:rsidR="00D643DD" w:rsidRPr="00D643DD" w:rsidRDefault="00D643DD" w:rsidP="00330D6D">
            <w:pPr>
              <w:spacing w:before="60" w:after="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0.983</w:t>
            </w:r>
          </w:p>
        </w:tc>
        <w:tc>
          <w:tcPr>
            <w:tcW w:w="0" w:type="auto"/>
            <w:tcBorders>
              <w:bottom w:val="nil"/>
            </w:tcBorders>
          </w:tcPr>
          <w:p w:rsidR="00D643DD" w:rsidRPr="00D643DD" w:rsidRDefault="00D643DD" w:rsidP="00330D6D">
            <w:pPr>
              <w:spacing w:before="60" w:after="0" w:line="240" w:lineRule="auto"/>
              <w:jc w:val="both"/>
              <w:rPr>
                <w:rFonts w:ascii="Times New Roman" w:hAnsi="Times New Roman"/>
                <w:sz w:val="20"/>
                <w:szCs w:val="20"/>
                <w:lang w:eastAsia="ms-MY"/>
              </w:rPr>
            </w:pPr>
          </w:p>
        </w:tc>
      </w:tr>
      <w:tr w:rsidR="00D643DD" w:rsidRPr="00D643DD" w:rsidTr="00330D6D">
        <w:trPr>
          <w:trHeight w:val="260"/>
          <w:jc w:val="center"/>
        </w:trPr>
        <w:tc>
          <w:tcPr>
            <w:tcW w:w="0" w:type="auto"/>
            <w:tcBorders>
              <w:top w:val="nil"/>
              <w:bottom w:val="single" w:sz="4" w:space="0" w:color="auto"/>
            </w:tcBorders>
            <w:shd w:val="clear" w:color="auto" w:fill="auto"/>
            <w:noWrap/>
            <w:vAlign w:val="center"/>
            <w:hideMark/>
          </w:tcPr>
          <w:p w:rsidR="00D643DD" w:rsidRPr="00D643DD" w:rsidRDefault="00D643DD" w:rsidP="00330D6D">
            <w:pPr>
              <w:spacing w:before="60" w:after="60" w:line="240" w:lineRule="auto"/>
              <w:rPr>
                <w:rFonts w:ascii="Times New Roman" w:eastAsia="Calibri" w:hAnsi="Times New Roman"/>
                <w:bCs/>
                <w:sz w:val="20"/>
                <w:szCs w:val="20"/>
                <w:lang w:eastAsia="ms-MY"/>
              </w:rPr>
            </w:pPr>
            <w:r w:rsidRPr="00D643DD">
              <w:rPr>
                <w:rFonts w:ascii="Times New Roman" w:eastAsia="Calibri" w:hAnsi="Times New Roman"/>
                <w:bCs/>
                <w:sz w:val="20"/>
                <w:szCs w:val="20"/>
                <w:lang w:eastAsia="ms-MY"/>
              </w:rPr>
              <w:t>30</w:t>
            </w:r>
          </w:p>
        </w:tc>
        <w:tc>
          <w:tcPr>
            <w:tcW w:w="0" w:type="auto"/>
            <w:tcBorders>
              <w:top w:val="nil"/>
              <w:bottom w:val="single" w:sz="4" w:space="0" w:color="auto"/>
            </w:tcBorders>
            <w:vAlign w:val="center"/>
          </w:tcPr>
          <w:p w:rsidR="00D643DD" w:rsidRPr="00D643DD" w:rsidRDefault="00D643DD" w:rsidP="00330D6D">
            <w:pPr>
              <w:spacing w:before="60" w:after="6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35.59</w:t>
            </w:r>
          </w:p>
        </w:tc>
        <w:tc>
          <w:tcPr>
            <w:tcW w:w="0" w:type="auto"/>
            <w:tcBorders>
              <w:top w:val="nil"/>
              <w:bottom w:val="single" w:sz="4" w:space="0" w:color="auto"/>
            </w:tcBorders>
            <w:shd w:val="clear" w:color="auto" w:fill="auto"/>
            <w:vAlign w:val="center"/>
            <w:hideMark/>
          </w:tcPr>
          <w:p w:rsidR="00D643DD" w:rsidRPr="00D643DD" w:rsidRDefault="00D643DD" w:rsidP="00330D6D">
            <w:pPr>
              <w:spacing w:before="60" w:after="6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17.36</w:t>
            </w:r>
          </w:p>
        </w:tc>
        <w:tc>
          <w:tcPr>
            <w:tcW w:w="0" w:type="auto"/>
            <w:tcBorders>
              <w:top w:val="nil"/>
              <w:bottom w:val="single" w:sz="4" w:space="0" w:color="auto"/>
            </w:tcBorders>
            <w:shd w:val="clear" w:color="auto" w:fill="auto"/>
            <w:vAlign w:val="center"/>
            <w:hideMark/>
          </w:tcPr>
          <w:p w:rsidR="00D643DD" w:rsidRPr="00D643DD" w:rsidRDefault="00D643DD" w:rsidP="00330D6D">
            <w:pPr>
              <w:spacing w:before="60" w:after="6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0.050</w:t>
            </w:r>
          </w:p>
        </w:tc>
        <w:tc>
          <w:tcPr>
            <w:tcW w:w="0" w:type="auto"/>
            <w:tcBorders>
              <w:top w:val="nil"/>
              <w:bottom w:val="single" w:sz="4" w:space="0" w:color="auto"/>
            </w:tcBorders>
            <w:shd w:val="clear" w:color="auto" w:fill="auto"/>
            <w:vAlign w:val="center"/>
            <w:hideMark/>
          </w:tcPr>
          <w:p w:rsidR="00D643DD" w:rsidRPr="00D643DD" w:rsidRDefault="00D643DD" w:rsidP="00330D6D">
            <w:pPr>
              <w:spacing w:before="60" w:after="6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0.989</w:t>
            </w:r>
          </w:p>
        </w:tc>
        <w:tc>
          <w:tcPr>
            <w:tcW w:w="0" w:type="auto"/>
            <w:gridSpan w:val="2"/>
            <w:tcBorders>
              <w:top w:val="nil"/>
              <w:bottom w:val="single" w:sz="4" w:space="0" w:color="auto"/>
            </w:tcBorders>
            <w:shd w:val="clear" w:color="auto" w:fill="auto"/>
            <w:vAlign w:val="center"/>
          </w:tcPr>
          <w:p w:rsidR="00D643DD" w:rsidRPr="00D643DD" w:rsidRDefault="00D643DD" w:rsidP="00330D6D">
            <w:pPr>
              <w:spacing w:before="60" w:after="6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10.96</w:t>
            </w:r>
          </w:p>
        </w:tc>
        <w:tc>
          <w:tcPr>
            <w:tcW w:w="0" w:type="auto"/>
            <w:tcBorders>
              <w:top w:val="nil"/>
              <w:bottom w:val="single" w:sz="4" w:space="0" w:color="auto"/>
            </w:tcBorders>
            <w:shd w:val="clear" w:color="auto" w:fill="auto"/>
            <w:vAlign w:val="center"/>
          </w:tcPr>
          <w:p w:rsidR="00D643DD" w:rsidRPr="00D643DD" w:rsidRDefault="00D643DD" w:rsidP="00330D6D">
            <w:pPr>
              <w:spacing w:before="60" w:after="6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0.008</w:t>
            </w:r>
          </w:p>
        </w:tc>
        <w:tc>
          <w:tcPr>
            <w:tcW w:w="0" w:type="auto"/>
            <w:tcBorders>
              <w:top w:val="nil"/>
              <w:bottom w:val="single" w:sz="4" w:space="0" w:color="auto"/>
            </w:tcBorders>
            <w:shd w:val="clear" w:color="auto" w:fill="auto"/>
            <w:vAlign w:val="center"/>
          </w:tcPr>
          <w:p w:rsidR="00D643DD" w:rsidRPr="00D643DD" w:rsidRDefault="00D643DD" w:rsidP="00330D6D">
            <w:pPr>
              <w:spacing w:before="60" w:after="6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36.76</w:t>
            </w:r>
          </w:p>
        </w:tc>
        <w:tc>
          <w:tcPr>
            <w:tcW w:w="0" w:type="auto"/>
            <w:tcBorders>
              <w:top w:val="nil"/>
              <w:bottom w:val="single" w:sz="4" w:space="0" w:color="auto"/>
            </w:tcBorders>
          </w:tcPr>
          <w:p w:rsidR="00D643DD" w:rsidRPr="00D643DD" w:rsidRDefault="00D643DD" w:rsidP="00330D6D">
            <w:pPr>
              <w:spacing w:before="60" w:after="60" w:line="240" w:lineRule="auto"/>
              <w:jc w:val="center"/>
              <w:rPr>
                <w:rFonts w:ascii="Times New Roman" w:eastAsia="Calibri" w:hAnsi="Times New Roman"/>
                <w:sz w:val="20"/>
                <w:szCs w:val="20"/>
                <w:lang w:eastAsia="ms-MY"/>
              </w:rPr>
            </w:pPr>
            <w:r w:rsidRPr="00D643DD">
              <w:rPr>
                <w:rFonts w:ascii="Times New Roman" w:eastAsia="Calibri" w:hAnsi="Times New Roman"/>
                <w:sz w:val="20"/>
                <w:szCs w:val="20"/>
                <w:lang w:eastAsia="ms-MY"/>
              </w:rPr>
              <w:t>0.999</w:t>
            </w:r>
          </w:p>
        </w:tc>
        <w:tc>
          <w:tcPr>
            <w:tcW w:w="0" w:type="auto"/>
            <w:tcBorders>
              <w:top w:val="nil"/>
              <w:bottom w:val="single" w:sz="4" w:space="0" w:color="auto"/>
            </w:tcBorders>
          </w:tcPr>
          <w:p w:rsidR="00D643DD" w:rsidRPr="00D643DD" w:rsidRDefault="00D643DD" w:rsidP="00330D6D">
            <w:pPr>
              <w:spacing w:before="60" w:after="60" w:line="240" w:lineRule="auto"/>
              <w:jc w:val="both"/>
              <w:rPr>
                <w:rFonts w:ascii="Times New Roman" w:hAnsi="Times New Roman"/>
                <w:sz w:val="20"/>
                <w:szCs w:val="20"/>
                <w:lang w:eastAsia="ms-MY"/>
              </w:rPr>
            </w:pPr>
          </w:p>
        </w:tc>
      </w:tr>
    </w:tbl>
    <w:p w:rsidR="00D643DD" w:rsidRPr="00B81A76" w:rsidRDefault="00D643DD" w:rsidP="00D643DD">
      <w:pPr>
        <w:contextualSpacing/>
        <w:rPr>
          <w:rFonts w:ascii="Times New Roman" w:hAnsi="Times New Roman"/>
          <w:lang w:val="en-MY"/>
        </w:rPr>
      </w:pPr>
    </w:p>
    <w:p w:rsidR="006768E9" w:rsidRPr="00F447A7" w:rsidRDefault="006768E9" w:rsidP="00D643D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30D6D" w:rsidRPr="00330D6D" w:rsidRDefault="00330D6D" w:rsidP="00330D6D">
      <w:pPr>
        <w:spacing w:after="0" w:line="240" w:lineRule="auto"/>
        <w:jc w:val="both"/>
        <w:rPr>
          <w:rFonts w:ascii="Times New Roman" w:hAnsi="Times New Roman"/>
          <w:sz w:val="20"/>
          <w:szCs w:val="20"/>
          <w:lang w:eastAsia="en-GB"/>
        </w:rPr>
      </w:pPr>
      <w:r w:rsidRPr="00330D6D">
        <w:rPr>
          <w:rFonts w:ascii="Times New Roman" w:hAnsi="Times New Roman"/>
          <w:sz w:val="20"/>
          <w:szCs w:val="20"/>
          <w:lang w:eastAsia="en-GB"/>
        </w:rPr>
        <w:t xml:space="preserve">In this study, untreated CPF was characterized and tested as a potential new adsorbent for removal of Pb(II) ion from aqueous solution. It can be summarized that FTIR spectra analysis suggested that the CFP have a </w:t>
      </w:r>
      <w:r w:rsidRPr="00330D6D">
        <w:rPr>
          <w:rFonts w:ascii="Times New Roman" w:hAnsi="Times New Roman"/>
          <w:noProof/>
          <w:sz w:val="20"/>
          <w:szCs w:val="20"/>
          <w:lang w:eastAsia="en-GB"/>
        </w:rPr>
        <w:t>functional</w:t>
      </w:r>
      <w:r w:rsidRPr="00330D6D">
        <w:rPr>
          <w:rFonts w:ascii="Times New Roman" w:hAnsi="Times New Roman"/>
          <w:sz w:val="20"/>
          <w:szCs w:val="20"/>
          <w:lang w:eastAsia="en-GB"/>
        </w:rPr>
        <w:t xml:space="preserve"> group that </w:t>
      </w:r>
      <w:r w:rsidRPr="00330D6D">
        <w:rPr>
          <w:rFonts w:ascii="Times New Roman" w:hAnsi="Times New Roman"/>
          <w:noProof/>
          <w:sz w:val="20"/>
          <w:szCs w:val="20"/>
          <w:lang w:eastAsia="en-GB"/>
        </w:rPr>
        <w:t>suits</w:t>
      </w:r>
      <w:r w:rsidRPr="00330D6D">
        <w:rPr>
          <w:rFonts w:ascii="Times New Roman" w:hAnsi="Times New Roman"/>
          <w:sz w:val="20"/>
          <w:szCs w:val="20"/>
          <w:lang w:eastAsia="en-GB"/>
        </w:rPr>
        <w:t xml:space="preserve"> for Pb(II) ion adsorption. From the kinetic study, it can be confirmed that Pb(II) adsorption onto CFP </w:t>
      </w:r>
      <w:r w:rsidRPr="00330D6D">
        <w:rPr>
          <w:rFonts w:ascii="Times New Roman" w:hAnsi="Times New Roman"/>
          <w:noProof/>
          <w:sz w:val="20"/>
          <w:szCs w:val="20"/>
          <w:lang w:eastAsia="en-GB"/>
        </w:rPr>
        <w:t>is determined</w:t>
      </w:r>
      <w:r w:rsidRPr="00330D6D">
        <w:rPr>
          <w:rFonts w:ascii="Times New Roman" w:hAnsi="Times New Roman"/>
          <w:sz w:val="20"/>
          <w:szCs w:val="20"/>
          <w:lang w:eastAsia="en-GB"/>
        </w:rPr>
        <w:t xml:space="preserve"> by chemisorption. The adsorption is very fast where the equilibrium was attained in less than 60 minutes. While, from the value of pH</w:t>
      </w:r>
      <w:r w:rsidRPr="00330D6D">
        <w:rPr>
          <w:rFonts w:ascii="Times New Roman" w:hAnsi="Times New Roman"/>
          <w:sz w:val="20"/>
          <w:szCs w:val="20"/>
          <w:vertAlign w:val="subscript"/>
          <w:lang w:eastAsia="en-GB"/>
        </w:rPr>
        <w:t>ZPC</w:t>
      </w:r>
      <w:r w:rsidRPr="00330D6D">
        <w:rPr>
          <w:rFonts w:ascii="Times New Roman" w:hAnsi="Times New Roman"/>
          <w:sz w:val="20"/>
          <w:szCs w:val="20"/>
          <w:lang w:eastAsia="en-GB"/>
        </w:rPr>
        <w:t xml:space="preserve"> and pH study, the adsorption can be carried out at pH 4 for optimum removal of Pb(II) ion from aqueous solution.</w:t>
      </w:r>
    </w:p>
    <w:p w:rsidR="00330D6D" w:rsidRPr="00330D6D" w:rsidRDefault="00330D6D" w:rsidP="00330D6D">
      <w:pPr>
        <w:spacing w:after="0" w:line="240" w:lineRule="auto"/>
        <w:jc w:val="center"/>
        <w:rPr>
          <w:rFonts w:ascii="Times New Roman" w:hAnsi="Times New Roman"/>
          <w:sz w:val="20"/>
          <w:szCs w:val="20"/>
          <w:lang w:eastAsia="en-GB"/>
        </w:rPr>
      </w:pPr>
    </w:p>
    <w:p w:rsidR="00330D6D" w:rsidRPr="00330D6D" w:rsidRDefault="00330D6D" w:rsidP="00330D6D">
      <w:pPr>
        <w:spacing w:after="0" w:line="240" w:lineRule="auto"/>
        <w:ind w:left="567" w:hanging="567"/>
        <w:jc w:val="center"/>
        <w:rPr>
          <w:rFonts w:ascii="Times New Roman" w:hAnsi="Times New Roman"/>
          <w:b/>
          <w:bCs/>
          <w:sz w:val="20"/>
          <w:szCs w:val="20"/>
          <w:lang w:eastAsia="en-GB"/>
        </w:rPr>
      </w:pPr>
      <w:r w:rsidRPr="00330D6D">
        <w:rPr>
          <w:rFonts w:ascii="Times New Roman" w:hAnsi="Times New Roman"/>
          <w:b/>
          <w:bCs/>
          <w:sz w:val="20"/>
          <w:szCs w:val="20"/>
          <w:lang w:eastAsia="en-GB"/>
        </w:rPr>
        <w:t>Acknowledgement</w:t>
      </w:r>
    </w:p>
    <w:p w:rsidR="006768E9" w:rsidRPr="00F447A7" w:rsidRDefault="00330D6D" w:rsidP="00330D6D">
      <w:pPr>
        <w:spacing w:after="0" w:line="240" w:lineRule="auto"/>
        <w:jc w:val="both"/>
        <w:rPr>
          <w:rFonts w:ascii="Times New Roman" w:hAnsi="Times New Roman"/>
          <w:sz w:val="20"/>
          <w:szCs w:val="20"/>
          <w:lang w:eastAsia="en-GB"/>
        </w:rPr>
      </w:pPr>
      <w:r w:rsidRPr="00330D6D">
        <w:rPr>
          <w:rFonts w:ascii="Times New Roman" w:hAnsi="Times New Roman"/>
          <w:sz w:val="20"/>
          <w:szCs w:val="20"/>
          <w:lang w:eastAsia="en-GB"/>
        </w:rPr>
        <w:t xml:space="preserve">Authors are thankful to those who are directly or indirectly involved in this research, especially those from Chemistry Department of Applied Sciences Faculty, UiTM Jengka for providing chemical and laboratory facility in completing this research. Special thanks for </w:t>
      </w:r>
      <w:r w:rsidRPr="00330D6D">
        <w:rPr>
          <w:rFonts w:ascii="Times New Roman" w:hAnsi="Times New Roman"/>
          <w:noProof/>
          <w:sz w:val="20"/>
          <w:szCs w:val="20"/>
          <w:lang w:eastAsia="en-GB"/>
        </w:rPr>
        <w:t>Mr.</w:t>
      </w:r>
      <w:r w:rsidRPr="00330D6D">
        <w:rPr>
          <w:rFonts w:ascii="Times New Roman" w:hAnsi="Times New Roman"/>
          <w:sz w:val="20"/>
          <w:szCs w:val="20"/>
          <w:lang w:eastAsia="en-GB"/>
        </w:rPr>
        <w:t xml:space="preserve"> Fauzi Ismail, Laboratory assistant who’s committedly helping final year project’s students for FSG 661.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330D6D">
        <w:rPr>
          <w:rFonts w:ascii="Times New Roman" w:eastAsia="Calibri" w:hAnsi="Times New Roman"/>
          <w:noProof/>
          <w:sz w:val="20"/>
          <w:szCs w:val="20"/>
        </w:rPr>
        <w:fldChar w:fldCharType="begin" w:fldLock="1"/>
      </w:r>
      <w:r w:rsidRPr="0068671E">
        <w:rPr>
          <w:rFonts w:ascii="Times New Roman" w:eastAsia="Calibri" w:hAnsi="Times New Roman"/>
          <w:noProof/>
          <w:sz w:val="20"/>
          <w:szCs w:val="20"/>
        </w:rPr>
        <w:instrText xml:space="preserve">ADDIN Mendeley Bibliography CSL_BIBLIOGRAPHY </w:instrText>
      </w:r>
      <w:r w:rsidRPr="00330D6D">
        <w:rPr>
          <w:rFonts w:ascii="Times New Roman" w:eastAsia="Calibri" w:hAnsi="Times New Roman"/>
          <w:noProof/>
          <w:sz w:val="20"/>
          <w:szCs w:val="20"/>
        </w:rPr>
        <w:fldChar w:fldCharType="separate"/>
      </w:r>
      <w:r w:rsidRPr="0068671E">
        <w:rPr>
          <w:rFonts w:ascii="Times New Roman" w:hAnsi="Times New Roman"/>
          <w:noProof/>
          <w:sz w:val="20"/>
          <w:szCs w:val="20"/>
        </w:rPr>
        <w:t xml:space="preserve">Nguyen, T. H., Ngo, H. H., Guo, W. S., Zhang, J., Liang, S., Yue, Q. Y., Li, Q. and Nguyen, T. V. (2013). Applicability of agricultural waste and by-products for adsorptive removal of heavy metals from wastewater. </w:t>
      </w:r>
      <w:r w:rsidRPr="0068671E">
        <w:rPr>
          <w:rFonts w:ascii="Times New Roman" w:hAnsi="Times New Roman"/>
          <w:i/>
          <w:iCs/>
          <w:noProof/>
          <w:sz w:val="20"/>
          <w:szCs w:val="20"/>
        </w:rPr>
        <w:t>Bioresource Technology,</w:t>
      </w:r>
      <w:r w:rsidRPr="0068671E">
        <w:rPr>
          <w:rFonts w:ascii="Times New Roman" w:hAnsi="Times New Roman"/>
          <w:noProof/>
          <w:sz w:val="20"/>
          <w:szCs w:val="20"/>
        </w:rPr>
        <w:t xml:space="preserve"> 148: 574–85. </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Kadirvelu, K., Thamaraiselvi, K. and Namasivayam, C. (2001). Removal of heavy metals from industrial wastewaters by adsorption onto activated carbon prepared from an agricultural solid waste. </w:t>
      </w:r>
      <w:r w:rsidRPr="0068671E">
        <w:rPr>
          <w:rFonts w:ascii="Times New Roman" w:hAnsi="Times New Roman"/>
          <w:i/>
          <w:iCs/>
          <w:noProof/>
          <w:sz w:val="20"/>
          <w:szCs w:val="20"/>
        </w:rPr>
        <w:t>Bioresource Technology,</w:t>
      </w:r>
      <w:r w:rsidRPr="0068671E">
        <w:rPr>
          <w:rFonts w:ascii="Times New Roman" w:hAnsi="Times New Roman"/>
          <w:noProof/>
          <w:sz w:val="20"/>
          <w:szCs w:val="20"/>
        </w:rPr>
        <w:t xml:space="preserve"> 76(1): 63–65.</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Duruibe, J. O., Ogwuegbu, M. O. C. and Egwurugwu, J. N. (2001). Heavy metal pollution and human biotoxic effects. </w:t>
      </w:r>
      <w:r w:rsidRPr="0068671E">
        <w:rPr>
          <w:rFonts w:ascii="Times New Roman" w:hAnsi="Times New Roman"/>
          <w:i/>
          <w:noProof/>
          <w:sz w:val="20"/>
          <w:szCs w:val="20"/>
        </w:rPr>
        <w:t>International Journal of Physical Sciences</w:t>
      </w:r>
      <w:r w:rsidRPr="0068671E">
        <w:rPr>
          <w:rFonts w:ascii="Times New Roman" w:hAnsi="Times New Roman"/>
          <w:i/>
          <w:iCs/>
          <w:noProof/>
          <w:sz w:val="20"/>
          <w:szCs w:val="20"/>
        </w:rPr>
        <w:t xml:space="preserve">, </w:t>
      </w:r>
      <w:r w:rsidRPr="0068671E">
        <w:rPr>
          <w:rFonts w:ascii="Times New Roman" w:hAnsi="Times New Roman"/>
          <w:noProof/>
          <w:sz w:val="20"/>
          <w:szCs w:val="20"/>
        </w:rPr>
        <w:t>2(5): 112–118.</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Jalali Heravi M. and Sereshti, H. (2007). Determination of essential oil components of </w:t>
      </w:r>
      <w:r w:rsidRPr="0068671E">
        <w:rPr>
          <w:rFonts w:ascii="Times New Roman" w:hAnsi="Times New Roman"/>
          <w:i/>
          <w:noProof/>
          <w:sz w:val="20"/>
          <w:szCs w:val="20"/>
        </w:rPr>
        <w:t>Artemisia haussknechtii Boiss</w:t>
      </w:r>
      <w:r w:rsidRPr="0068671E">
        <w:rPr>
          <w:rFonts w:ascii="Times New Roman" w:hAnsi="Times New Roman"/>
          <w:noProof/>
          <w:sz w:val="20"/>
          <w:szCs w:val="20"/>
        </w:rPr>
        <w:t xml:space="preserve">. using simultaneous hydrodistillation-static headspace liquid phase microextraction-gas chromatography mass spectrometry. </w:t>
      </w:r>
      <w:r w:rsidRPr="0068671E">
        <w:rPr>
          <w:rFonts w:ascii="Times New Roman" w:hAnsi="Times New Roman"/>
          <w:i/>
          <w:iCs/>
          <w:noProof/>
          <w:sz w:val="20"/>
          <w:szCs w:val="20"/>
        </w:rPr>
        <w:t>Journal of Chromatography A</w:t>
      </w:r>
      <w:r w:rsidRPr="0068671E">
        <w:rPr>
          <w:rFonts w:ascii="Times New Roman" w:hAnsi="Times New Roman"/>
          <w:noProof/>
          <w:sz w:val="20"/>
          <w:szCs w:val="20"/>
        </w:rPr>
        <w:t>, 1160(1): 81–9.</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Li, Q., Chai, L., Yang, Z. and Wang, Q. (2009). Kinetics and thermodynamics of Pb(II) adsorption onto modified spent grain from aqueous solutions. </w:t>
      </w:r>
      <w:r w:rsidRPr="0068671E">
        <w:rPr>
          <w:rFonts w:ascii="Times New Roman" w:hAnsi="Times New Roman"/>
          <w:i/>
          <w:iCs/>
          <w:noProof/>
          <w:sz w:val="20"/>
          <w:szCs w:val="20"/>
        </w:rPr>
        <w:t>Applied Surface Science</w:t>
      </w:r>
      <w:r w:rsidRPr="0068671E">
        <w:rPr>
          <w:rFonts w:ascii="Times New Roman" w:hAnsi="Times New Roman"/>
          <w:noProof/>
          <w:sz w:val="20"/>
          <w:szCs w:val="20"/>
        </w:rPr>
        <w:t>, 255 (7): 4298–4303.</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Saeed, A., Akhter, M. W. and Iqbal, M. (2005) Removal and recovery of heavy metals from aqueous solution using papaya wood as a new biosorbent.</w:t>
      </w:r>
      <w:r w:rsidRPr="0068671E">
        <w:rPr>
          <w:sz w:val="20"/>
          <w:szCs w:val="20"/>
        </w:rPr>
        <w:t xml:space="preserve"> </w:t>
      </w:r>
      <w:r w:rsidRPr="0068671E">
        <w:rPr>
          <w:rFonts w:ascii="Times New Roman" w:hAnsi="Times New Roman"/>
          <w:i/>
          <w:noProof/>
          <w:sz w:val="20"/>
          <w:szCs w:val="20"/>
        </w:rPr>
        <w:t>Separation and Purification Technology</w:t>
      </w:r>
      <w:r w:rsidRPr="0068671E">
        <w:rPr>
          <w:rFonts w:ascii="Times New Roman" w:hAnsi="Times New Roman"/>
          <w:i/>
          <w:iCs/>
          <w:noProof/>
          <w:sz w:val="20"/>
          <w:szCs w:val="20"/>
        </w:rPr>
        <w:t>,</w:t>
      </w:r>
      <w:r w:rsidRPr="0068671E">
        <w:rPr>
          <w:rFonts w:ascii="Times New Roman" w:hAnsi="Times New Roman"/>
          <w:noProof/>
          <w:sz w:val="20"/>
          <w:szCs w:val="20"/>
        </w:rPr>
        <w:t xml:space="preserve"> 45(1): 25–31.</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Hameed, B. and Ahmad, A. (2009). Batch adsorption of methylene blue from aqueous solution by garlic peel, an agricultural waste biomass. </w:t>
      </w:r>
      <w:r w:rsidRPr="0068671E">
        <w:rPr>
          <w:rFonts w:ascii="Times New Roman" w:hAnsi="Times New Roman"/>
          <w:i/>
          <w:iCs/>
          <w:noProof/>
          <w:sz w:val="20"/>
          <w:szCs w:val="20"/>
        </w:rPr>
        <w:t>Journal of Hazardous Materials</w:t>
      </w:r>
      <w:r w:rsidRPr="0068671E">
        <w:rPr>
          <w:rFonts w:ascii="Times New Roman" w:hAnsi="Times New Roman"/>
          <w:noProof/>
          <w:sz w:val="20"/>
          <w:szCs w:val="20"/>
        </w:rPr>
        <w:t>, 164: 870–875.</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Deng, H., Lu, J., Li, G., Zhang, G. and Wang, X. (2011)  Adsorption of methylene blue on adsorbent materials produced from cotton stalk. </w:t>
      </w:r>
      <w:r w:rsidRPr="0068671E">
        <w:rPr>
          <w:rFonts w:ascii="Times New Roman" w:hAnsi="Times New Roman"/>
          <w:i/>
          <w:iCs/>
          <w:noProof/>
          <w:sz w:val="20"/>
          <w:szCs w:val="20"/>
        </w:rPr>
        <w:t>Chemical Engineering Journal</w:t>
      </w:r>
      <w:r w:rsidRPr="0068671E">
        <w:rPr>
          <w:rFonts w:ascii="Times New Roman" w:hAnsi="Times New Roman"/>
          <w:noProof/>
          <w:sz w:val="20"/>
          <w:szCs w:val="20"/>
        </w:rPr>
        <w:t>, 172 (1): 326–334.</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Ertaş, M., Acemioğlu, B., Alma, M. and Usta, M.  (2010).  Removal of methylene blue from aqueous solution using cotton stalk, cotton waste and cotton dust. </w:t>
      </w:r>
      <w:r w:rsidRPr="0068671E">
        <w:rPr>
          <w:rFonts w:ascii="Times New Roman" w:hAnsi="Times New Roman"/>
          <w:i/>
          <w:iCs/>
          <w:noProof/>
          <w:sz w:val="20"/>
          <w:szCs w:val="20"/>
        </w:rPr>
        <w:t>Journal of Hazardous Materials</w:t>
      </w:r>
      <w:r w:rsidRPr="0068671E">
        <w:rPr>
          <w:rFonts w:ascii="Times New Roman" w:hAnsi="Times New Roman"/>
          <w:noProof/>
          <w:sz w:val="20"/>
          <w:szCs w:val="20"/>
        </w:rPr>
        <w:t>, 183: 421–427.</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Gaballah, I. and Kilbertus, G. (1998). Recovery of heavy metal ions through decontamination of synthetic solutions and industrial effluents using modified barks. </w:t>
      </w:r>
      <w:r w:rsidRPr="0068671E">
        <w:rPr>
          <w:rFonts w:ascii="Times New Roman" w:hAnsi="Times New Roman"/>
          <w:i/>
          <w:iCs/>
          <w:noProof/>
          <w:sz w:val="20"/>
          <w:szCs w:val="20"/>
        </w:rPr>
        <w:t>Journal of Geochemical Exploration</w:t>
      </w:r>
      <w:r w:rsidRPr="0068671E">
        <w:rPr>
          <w:rFonts w:ascii="Times New Roman" w:hAnsi="Times New Roman"/>
          <w:noProof/>
          <w:sz w:val="20"/>
          <w:szCs w:val="20"/>
        </w:rPr>
        <w:t>, 62 (1–3): 241–286.</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Nakajima, A.and Sakaguchi, T. (1990). Recovery and removal of uranium by using plant wastes. </w:t>
      </w:r>
      <w:r w:rsidRPr="0068671E">
        <w:rPr>
          <w:rFonts w:ascii="Times New Roman" w:hAnsi="Times New Roman"/>
          <w:i/>
          <w:iCs/>
          <w:noProof/>
          <w:sz w:val="20"/>
          <w:szCs w:val="20"/>
        </w:rPr>
        <w:t>Biomass</w:t>
      </w:r>
      <w:r w:rsidRPr="0068671E">
        <w:rPr>
          <w:rFonts w:ascii="Times New Roman" w:hAnsi="Times New Roman"/>
          <w:noProof/>
          <w:sz w:val="20"/>
          <w:szCs w:val="20"/>
        </w:rPr>
        <w:t>, 21(1): 55–63.</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lastRenderedPageBreak/>
        <w:t>Fatombi, J. K., Lartiges, B., Aminou, T., Barres, O. and Caillet, C. (2013). A natural coagulant protein from copra (</w:t>
      </w:r>
      <w:r w:rsidRPr="0068671E">
        <w:rPr>
          <w:rFonts w:ascii="Times New Roman" w:hAnsi="Times New Roman"/>
          <w:i/>
          <w:noProof/>
          <w:sz w:val="20"/>
          <w:szCs w:val="20"/>
        </w:rPr>
        <w:t>Cocos nucifera</w:t>
      </w:r>
      <w:r w:rsidRPr="0068671E">
        <w:rPr>
          <w:rFonts w:ascii="Times New Roman" w:hAnsi="Times New Roman"/>
          <w:noProof/>
          <w:sz w:val="20"/>
          <w:szCs w:val="20"/>
        </w:rPr>
        <w:t xml:space="preserve">): Isolation, characterization, and potential for water purification. </w:t>
      </w:r>
      <w:r w:rsidRPr="0068671E">
        <w:rPr>
          <w:rFonts w:ascii="Times New Roman" w:hAnsi="Times New Roman"/>
          <w:i/>
          <w:iCs/>
          <w:noProof/>
          <w:sz w:val="20"/>
          <w:szCs w:val="20"/>
        </w:rPr>
        <w:t>Separation and Purification Technology</w:t>
      </w:r>
      <w:r w:rsidRPr="0068671E">
        <w:rPr>
          <w:rFonts w:ascii="Times New Roman" w:hAnsi="Times New Roman"/>
          <w:noProof/>
          <w:sz w:val="20"/>
          <w:szCs w:val="20"/>
        </w:rPr>
        <w:t>, 116: 35–40.</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Bhatnagar, A. and Sillanpää, M. (2010). Utilization of agro-industrial and municipal waste materials as potential adsorbents for water treatment-A review. </w:t>
      </w:r>
      <w:r w:rsidRPr="0068671E">
        <w:rPr>
          <w:rFonts w:ascii="Times New Roman" w:hAnsi="Times New Roman"/>
          <w:i/>
          <w:iCs/>
          <w:noProof/>
          <w:sz w:val="20"/>
          <w:szCs w:val="20"/>
        </w:rPr>
        <w:t>Chemical Engineering Journal</w:t>
      </w:r>
      <w:r w:rsidRPr="0068671E">
        <w:rPr>
          <w:rFonts w:ascii="Times New Roman" w:hAnsi="Times New Roman"/>
          <w:noProof/>
          <w:sz w:val="20"/>
          <w:szCs w:val="20"/>
        </w:rPr>
        <w:t>, 157(2–3): 277–296.</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Njoku, V. O., Islam, M. A., Asif, M. and Hameed, B. H. (2014). Preparation of mesoporous activated carbon from coconut frond for the adsorption of carbofuran insecticide. </w:t>
      </w:r>
      <w:r w:rsidRPr="0068671E">
        <w:rPr>
          <w:rFonts w:ascii="Times New Roman" w:hAnsi="Times New Roman"/>
          <w:i/>
          <w:iCs/>
          <w:noProof/>
          <w:sz w:val="20"/>
          <w:szCs w:val="20"/>
        </w:rPr>
        <w:t>Journal of Analytical and Applied Pyrolysis</w:t>
      </w:r>
      <w:r w:rsidRPr="0068671E">
        <w:rPr>
          <w:rFonts w:ascii="Times New Roman" w:hAnsi="Times New Roman"/>
          <w:noProof/>
          <w:sz w:val="20"/>
          <w:szCs w:val="20"/>
        </w:rPr>
        <w:t>, 110(1): 172–180.</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Ismail, M., Megat Hanafiah, M. A. K., Zainal Abidin, M. S., Mat Hussin, Z. and Khalid, K. (2015)  Kinetics of methylene blue adsorption on sulphuric acid treated coconut (</w:t>
      </w:r>
      <w:r w:rsidRPr="0068671E">
        <w:rPr>
          <w:rFonts w:ascii="Times New Roman" w:hAnsi="Times New Roman"/>
          <w:i/>
          <w:noProof/>
          <w:sz w:val="20"/>
          <w:szCs w:val="20"/>
        </w:rPr>
        <w:t>Cocos nucifiera</w:t>
      </w:r>
      <w:r w:rsidRPr="0068671E">
        <w:rPr>
          <w:rFonts w:ascii="Times New Roman" w:hAnsi="Times New Roman"/>
          <w:noProof/>
          <w:sz w:val="20"/>
          <w:szCs w:val="20"/>
        </w:rPr>
        <w:t xml:space="preserve">) frond powder. </w:t>
      </w:r>
      <w:r w:rsidRPr="0068671E">
        <w:rPr>
          <w:rFonts w:ascii="Times New Roman" w:hAnsi="Times New Roman"/>
          <w:i/>
          <w:iCs/>
          <w:noProof/>
          <w:sz w:val="20"/>
          <w:szCs w:val="20"/>
        </w:rPr>
        <w:t>American Journal of Engineering and Applied Sciences,</w:t>
      </w:r>
      <w:r w:rsidRPr="0068671E">
        <w:rPr>
          <w:rFonts w:ascii="Times New Roman" w:hAnsi="Times New Roman"/>
          <w:noProof/>
          <w:sz w:val="20"/>
          <w:szCs w:val="20"/>
        </w:rPr>
        <w:t xml:space="preserve"> 5(3): 33-37</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Balistrieri, L. and Murray, J. W. (1981). The surface chemistry of goethite (alpha FeOOH) in major ion seawater. </w:t>
      </w:r>
      <w:r w:rsidRPr="0068671E">
        <w:rPr>
          <w:rFonts w:ascii="Times New Roman" w:hAnsi="Times New Roman"/>
          <w:i/>
          <w:iCs/>
          <w:noProof/>
          <w:sz w:val="20"/>
          <w:szCs w:val="20"/>
        </w:rPr>
        <w:t>American Journal of Science</w:t>
      </w:r>
      <w:r w:rsidRPr="0068671E">
        <w:rPr>
          <w:rFonts w:ascii="Times New Roman" w:hAnsi="Times New Roman"/>
          <w:noProof/>
          <w:sz w:val="20"/>
          <w:szCs w:val="20"/>
        </w:rPr>
        <w:t>, 281(6): 788–806,.</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Mwangi, I. W. and Ngila, J. C. (2012). Removal of heavy metals from contaminated water using ethylenediamine-modified green seaweed (</w:t>
      </w:r>
      <w:r w:rsidRPr="0068671E">
        <w:rPr>
          <w:rFonts w:ascii="Times New Roman" w:hAnsi="Times New Roman"/>
          <w:i/>
          <w:noProof/>
          <w:sz w:val="20"/>
          <w:szCs w:val="20"/>
        </w:rPr>
        <w:t>Caulerpa serrulata</w:t>
      </w:r>
      <w:r w:rsidRPr="0068671E">
        <w:rPr>
          <w:rFonts w:ascii="Times New Roman" w:hAnsi="Times New Roman"/>
          <w:noProof/>
          <w:sz w:val="20"/>
          <w:szCs w:val="20"/>
        </w:rPr>
        <w:t xml:space="preserve">). </w:t>
      </w:r>
      <w:r w:rsidRPr="0068671E">
        <w:rPr>
          <w:rFonts w:ascii="Times New Roman" w:hAnsi="Times New Roman"/>
          <w:i/>
          <w:iCs/>
          <w:noProof/>
          <w:sz w:val="20"/>
          <w:szCs w:val="20"/>
        </w:rPr>
        <w:t>Physics and Chemistry of the Earth</w:t>
      </w:r>
      <w:r w:rsidRPr="0068671E">
        <w:rPr>
          <w:rFonts w:ascii="Times New Roman" w:hAnsi="Times New Roman"/>
          <w:noProof/>
          <w:sz w:val="20"/>
          <w:szCs w:val="20"/>
        </w:rPr>
        <w:t>, 50–52: 111–120.</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Khambhaty, Y., Mody, K., Basha, S. and Jha, B. (2009). Biosorption of Cr(VI) onto marine </w:t>
      </w:r>
      <w:r w:rsidRPr="0068671E">
        <w:rPr>
          <w:rFonts w:ascii="Times New Roman" w:hAnsi="Times New Roman"/>
          <w:i/>
          <w:noProof/>
          <w:sz w:val="20"/>
          <w:szCs w:val="20"/>
        </w:rPr>
        <w:t>Aspergillus niger</w:t>
      </w:r>
      <w:r w:rsidRPr="0068671E">
        <w:rPr>
          <w:rFonts w:ascii="Times New Roman" w:hAnsi="Times New Roman"/>
          <w:noProof/>
          <w:sz w:val="20"/>
          <w:szCs w:val="20"/>
        </w:rPr>
        <w:t xml:space="preserve">: Experimental studies and pseudo-second order kinetics. </w:t>
      </w:r>
      <w:r w:rsidRPr="0068671E">
        <w:rPr>
          <w:rFonts w:ascii="Times New Roman" w:hAnsi="Times New Roman"/>
          <w:i/>
          <w:iCs/>
          <w:noProof/>
          <w:sz w:val="20"/>
          <w:szCs w:val="20"/>
        </w:rPr>
        <w:t>World Journal of Microbiology and Biotechnology</w:t>
      </w:r>
      <w:r w:rsidRPr="0068671E">
        <w:rPr>
          <w:rFonts w:ascii="Times New Roman" w:hAnsi="Times New Roman"/>
          <w:noProof/>
          <w:sz w:val="20"/>
          <w:szCs w:val="20"/>
        </w:rPr>
        <w:t>, 25(8): 1413–1421.</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Ncibi, M. C., Mahjoub, B. and Seffen, M. (2007). Kinetic and equilibrium studies of methylene blue biosorption by </w:t>
      </w:r>
      <w:r w:rsidRPr="0068671E">
        <w:rPr>
          <w:rFonts w:ascii="Times New Roman" w:hAnsi="Times New Roman"/>
          <w:i/>
          <w:noProof/>
          <w:sz w:val="20"/>
          <w:szCs w:val="20"/>
        </w:rPr>
        <w:t>Posidonia oceanica (L.)</w:t>
      </w:r>
      <w:r w:rsidRPr="0068671E">
        <w:rPr>
          <w:rFonts w:ascii="Times New Roman" w:hAnsi="Times New Roman"/>
          <w:noProof/>
          <w:sz w:val="20"/>
          <w:szCs w:val="20"/>
        </w:rPr>
        <w:t xml:space="preserve"> fibres.  </w:t>
      </w:r>
      <w:r w:rsidRPr="0068671E">
        <w:rPr>
          <w:rFonts w:ascii="Times New Roman" w:hAnsi="Times New Roman"/>
          <w:i/>
          <w:iCs/>
          <w:noProof/>
          <w:sz w:val="20"/>
          <w:szCs w:val="20"/>
        </w:rPr>
        <w:t>Journal of Hazardous Materials</w:t>
      </w:r>
      <w:r w:rsidRPr="0068671E">
        <w:rPr>
          <w:rFonts w:ascii="Times New Roman" w:hAnsi="Times New Roman"/>
          <w:noProof/>
          <w:sz w:val="20"/>
          <w:szCs w:val="20"/>
        </w:rPr>
        <w:t>, 139(2): 280–285.</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Lee, S. H., Shon, J. S., Chung, H., Lee, M.-Y. and Yang, J.-W. (1999). Effect of chemical modification of carboxyl groups in apple residues on metal ion binding. </w:t>
      </w:r>
      <w:r w:rsidRPr="0068671E">
        <w:rPr>
          <w:rFonts w:ascii="Times New Roman" w:hAnsi="Times New Roman"/>
          <w:i/>
          <w:iCs/>
          <w:noProof/>
          <w:sz w:val="20"/>
          <w:szCs w:val="20"/>
        </w:rPr>
        <w:t>Korean Journal of Chemical Engineering</w:t>
      </w:r>
      <w:r w:rsidRPr="0068671E">
        <w:rPr>
          <w:rFonts w:ascii="Times New Roman" w:hAnsi="Times New Roman"/>
          <w:noProof/>
          <w:sz w:val="20"/>
          <w:szCs w:val="20"/>
        </w:rPr>
        <w:t>, 16(5): 576–580.</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Vijayaraghavan, K., Palanivelu, K. and Velan, M. (2006). Biosorption of copper(II) and cobalt(II) from aqueous solutions by crab shell particles. </w:t>
      </w:r>
      <w:r w:rsidRPr="0068671E">
        <w:rPr>
          <w:rFonts w:ascii="Times New Roman" w:hAnsi="Times New Roman"/>
          <w:i/>
          <w:iCs/>
          <w:noProof/>
          <w:sz w:val="20"/>
          <w:szCs w:val="20"/>
        </w:rPr>
        <w:t>Bioresource Technology</w:t>
      </w:r>
      <w:r w:rsidRPr="0068671E">
        <w:rPr>
          <w:rFonts w:ascii="Times New Roman" w:hAnsi="Times New Roman"/>
          <w:noProof/>
          <w:sz w:val="20"/>
          <w:szCs w:val="20"/>
        </w:rPr>
        <w:t>, 97(12): 1411–1419.</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Bhattacharyya, K. G. and Gupta, S. S. (2006). Adsorption of chromium (VI) from water by clays. </w:t>
      </w:r>
      <w:r w:rsidRPr="0068671E">
        <w:rPr>
          <w:rFonts w:ascii="Times New Roman" w:hAnsi="Times New Roman"/>
          <w:i/>
          <w:iCs/>
          <w:noProof/>
          <w:sz w:val="20"/>
          <w:szCs w:val="20"/>
        </w:rPr>
        <w:t>Industrial &amp; Engineering Chemistry Research</w:t>
      </w:r>
      <w:r w:rsidRPr="0068671E">
        <w:rPr>
          <w:rFonts w:ascii="Times New Roman" w:hAnsi="Times New Roman"/>
          <w:noProof/>
          <w:sz w:val="20"/>
          <w:szCs w:val="20"/>
        </w:rPr>
        <w:t>, 45: 7232–7240.</w:t>
      </w:r>
    </w:p>
    <w:p w:rsidR="0068671E"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Kumar, P. S. and Kirthika, K. (2009). Equilibrium and kinetic study of adsorption of nickel from aqueous solution onto bael tree leaf powder. </w:t>
      </w:r>
      <w:r w:rsidRPr="0068671E">
        <w:rPr>
          <w:rFonts w:ascii="Times New Roman" w:hAnsi="Times New Roman"/>
          <w:i/>
          <w:iCs/>
          <w:noProof/>
          <w:sz w:val="20"/>
          <w:szCs w:val="20"/>
        </w:rPr>
        <w:t>Journal of Engineering Science and Technology</w:t>
      </w:r>
      <w:r w:rsidRPr="0068671E">
        <w:rPr>
          <w:rFonts w:ascii="Times New Roman" w:hAnsi="Times New Roman"/>
          <w:noProof/>
          <w:sz w:val="20"/>
          <w:szCs w:val="20"/>
        </w:rPr>
        <w:t>, 4(4): 351–363.</w:t>
      </w:r>
    </w:p>
    <w:p w:rsidR="00330D6D" w:rsidRDefault="00330D6D" w:rsidP="00330D6D">
      <w:pPr>
        <w:pStyle w:val="ListParagraph"/>
        <w:numPr>
          <w:ilvl w:val="0"/>
          <w:numId w:val="3"/>
        </w:numPr>
        <w:adjustRightInd w:val="0"/>
        <w:spacing w:after="0" w:line="240" w:lineRule="auto"/>
        <w:ind w:left="360"/>
        <w:jc w:val="both"/>
        <w:rPr>
          <w:rFonts w:ascii="Times New Roman" w:hAnsi="Times New Roman"/>
          <w:noProof/>
          <w:sz w:val="20"/>
          <w:szCs w:val="20"/>
        </w:rPr>
      </w:pPr>
      <w:r w:rsidRPr="0068671E">
        <w:rPr>
          <w:rFonts w:ascii="Times New Roman" w:hAnsi="Times New Roman"/>
          <w:noProof/>
          <w:sz w:val="20"/>
          <w:szCs w:val="20"/>
        </w:rPr>
        <w:t xml:space="preserve">Momčilović, M., Purenović, M.,  Bojić, A., Zarubica, A. and Ranđelović, M. (2011). Removal of lead(II) ions from aqueous solutions by adsorption onto pine cone activated carbon. </w:t>
      </w:r>
      <w:r w:rsidRPr="0068671E">
        <w:rPr>
          <w:rFonts w:ascii="Times New Roman" w:hAnsi="Times New Roman"/>
          <w:i/>
          <w:iCs/>
          <w:noProof/>
          <w:sz w:val="20"/>
          <w:szCs w:val="20"/>
        </w:rPr>
        <w:t>Desalination</w:t>
      </w:r>
      <w:r w:rsidRPr="0068671E">
        <w:rPr>
          <w:rFonts w:ascii="Times New Roman" w:hAnsi="Times New Roman"/>
          <w:noProof/>
          <w:sz w:val="20"/>
          <w:szCs w:val="20"/>
        </w:rPr>
        <w:t>, 276 (1–3): 53–59.</w:t>
      </w:r>
    </w:p>
    <w:p w:rsidR="0068671E" w:rsidRPr="0068671E" w:rsidRDefault="0068671E" w:rsidP="0068671E">
      <w:pPr>
        <w:pStyle w:val="ListParagraph"/>
        <w:adjustRightInd w:val="0"/>
        <w:spacing w:after="0" w:line="240" w:lineRule="auto"/>
        <w:ind w:left="360"/>
        <w:jc w:val="both"/>
        <w:rPr>
          <w:rFonts w:ascii="Times New Roman" w:hAnsi="Times New Roman"/>
          <w:noProof/>
          <w:sz w:val="20"/>
          <w:szCs w:val="20"/>
        </w:rPr>
      </w:pPr>
    </w:p>
    <w:p w:rsidR="00A74A7E" w:rsidRPr="007A738C" w:rsidRDefault="00330D6D" w:rsidP="00330D6D">
      <w:pPr>
        <w:spacing w:after="0" w:line="240" w:lineRule="auto"/>
        <w:ind w:left="360" w:hanging="360"/>
        <w:jc w:val="both"/>
        <w:rPr>
          <w:rFonts w:ascii="Times New Roman" w:hAnsi="Times New Roman"/>
          <w:noProof/>
          <w:lang w:bidi="ar-SA"/>
        </w:rPr>
      </w:pPr>
      <w:r w:rsidRPr="00330D6D">
        <w:rPr>
          <w:rFonts w:ascii="Times New Roman" w:eastAsia="Calibri" w:hAnsi="Times New Roman"/>
          <w:noProof/>
          <w:sz w:val="20"/>
          <w:szCs w:val="20"/>
        </w:rPr>
        <w:fldChar w:fldCharType="end"/>
      </w:r>
    </w:p>
    <w:sectPr w:rsidR="00A74A7E" w:rsidRPr="007A738C" w:rsidSect="00566332">
      <w:headerReference w:type="even" r:id="rId18"/>
      <w:headerReference w:type="default" r:id="rId19"/>
      <w:footerReference w:type="even" r:id="rId20"/>
      <w:footerReference w:type="default" r:id="rId21"/>
      <w:pgSz w:w="12240" w:h="15840" w:code="1"/>
      <w:pgMar w:top="1800" w:right="1469" w:bottom="1699" w:left="1440" w:header="706" w:footer="706" w:gutter="0"/>
      <w:pgNumType w:start="1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D25E1">
          <w:rPr>
            <w:rFonts w:ascii="Times New Roman" w:hAnsi="Times New Roman"/>
            <w:noProof/>
          </w:rPr>
          <w:t>134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D25E1">
          <w:rPr>
            <w:rFonts w:ascii="Times New Roman" w:hAnsi="Times New Roman"/>
            <w:noProof/>
          </w:rPr>
          <w:t>135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312C0E">
      <w:rPr>
        <w:rFonts w:ascii="Times New Roman" w:hAnsi="Times New Roman"/>
        <w:i/>
        <w:lang w:val="en-US"/>
      </w:rPr>
      <w:t>No 1</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566332">
      <w:rPr>
        <w:rFonts w:ascii="Times New Roman" w:hAnsi="Times New Roman"/>
        <w:i/>
        <w:lang w:val="en-US"/>
      </w:rPr>
      <w:t>128</w:t>
    </w:r>
    <w:r w:rsidR="004B43FF">
      <w:rPr>
        <w:rFonts w:ascii="Times New Roman" w:hAnsi="Times New Roman"/>
        <w:i/>
        <w:lang w:val="en-US"/>
      </w:rPr>
      <w:t xml:space="preserve"> </w:t>
    </w:r>
    <w:r w:rsidR="00583C85">
      <w:rPr>
        <w:rFonts w:ascii="Times New Roman" w:hAnsi="Times New Roman"/>
        <w:i/>
        <w:lang w:val="en-US"/>
      </w:rPr>
      <w:t>-</w:t>
    </w:r>
    <w:r w:rsidR="00566332">
      <w:rPr>
        <w:rFonts w:ascii="Times New Roman" w:hAnsi="Times New Roman"/>
        <w:i/>
        <w:lang w:val="en-US"/>
      </w:rPr>
      <w:t xml:space="preserve"> 135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312C0E">
      <w:rPr>
        <w:rFonts w:ascii="Times New Roman" w:hAnsi="Times New Roman"/>
        <w:i/>
        <w:lang w:val="en-US"/>
      </w:rPr>
      <w:t>1</w:t>
    </w:r>
    <w:r w:rsidR="00566332">
      <w:rPr>
        <w:rFonts w:ascii="Times New Roman" w:hAnsi="Times New Roman"/>
        <w:i/>
        <w:lang w:val="en-US"/>
      </w:rPr>
      <w:t>-16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3DD" w:rsidRPr="00D643DD" w:rsidRDefault="00D643DD" w:rsidP="00D643DD">
    <w:pPr>
      <w:spacing w:after="0" w:line="240" w:lineRule="auto"/>
      <w:ind w:left="1980" w:hanging="1980"/>
      <w:outlineLvl w:val="0"/>
      <w:rPr>
        <w:rFonts w:ascii="Times New Roman" w:hAnsi="Times New Roman"/>
        <w:sz w:val="20"/>
        <w:szCs w:val="20"/>
      </w:rPr>
    </w:pPr>
    <w:r>
      <w:rPr>
        <w:rFonts w:ascii="Times New Roman" w:hAnsi="Times New Roman"/>
        <w:sz w:val="20"/>
        <w:szCs w:val="20"/>
      </w:rPr>
      <w:t>Nur Fatin Adlina et al</w:t>
    </w:r>
    <w:r w:rsidR="008E6968" w:rsidRPr="00D643DD">
      <w:rPr>
        <w:rFonts w:ascii="Times New Roman" w:hAnsi="Times New Roman"/>
        <w:sz w:val="20"/>
        <w:szCs w:val="20"/>
      </w:rPr>
      <w:t xml:space="preserve">:  </w:t>
    </w:r>
    <w:r w:rsidRPr="00D643DD">
      <w:rPr>
        <w:rFonts w:ascii="Times New Roman" w:hAnsi="Times New Roman"/>
        <w:sz w:val="20"/>
        <w:szCs w:val="20"/>
      </w:rPr>
      <w:t xml:space="preserve"> </w:t>
    </w:r>
    <w:r>
      <w:rPr>
        <w:rFonts w:ascii="Times New Roman" w:hAnsi="Times New Roman"/>
        <w:sz w:val="20"/>
        <w:szCs w:val="20"/>
      </w:rPr>
      <w:tab/>
    </w:r>
    <w:r w:rsidRPr="00D643DD">
      <w:rPr>
        <w:rFonts w:ascii="Times New Roman" w:hAnsi="Times New Roman"/>
        <w:sz w:val="20"/>
        <w:szCs w:val="20"/>
      </w:rPr>
      <w:t>SEPARATION OF Pb(II) FROM WASTEWATER USING UNTREATED COCONUT (</w:t>
    </w:r>
    <w:r w:rsidRPr="00D643DD">
      <w:rPr>
        <w:rFonts w:ascii="Times New Roman" w:hAnsi="Times New Roman"/>
        <w:i/>
        <w:sz w:val="20"/>
        <w:szCs w:val="20"/>
      </w:rPr>
      <w:t>Cocos nucifera</w:t>
    </w:r>
    <w:r w:rsidRPr="00D643DD">
      <w:rPr>
        <w:rFonts w:ascii="Times New Roman" w:hAnsi="Times New Roman"/>
        <w:sz w:val="20"/>
        <w:szCs w:val="20"/>
      </w:rPr>
      <w:t xml:space="preserve">) FROND POWDER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40408E5"/>
    <w:multiLevelType w:val="hybridMultilevel"/>
    <w:tmpl w:val="EE48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27563"/>
    <w:rsid w:val="00070690"/>
    <w:rsid w:val="00084936"/>
    <w:rsid w:val="000C49FF"/>
    <w:rsid w:val="000C5261"/>
    <w:rsid w:val="000E5AF1"/>
    <w:rsid w:val="000F77DA"/>
    <w:rsid w:val="001068E8"/>
    <w:rsid w:val="00117BCD"/>
    <w:rsid w:val="001A5257"/>
    <w:rsid w:val="001D035A"/>
    <w:rsid w:val="001D3855"/>
    <w:rsid w:val="001D6F2C"/>
    <w:rsid w:val="00221D39"/>
    <w:rsid w:val="00292A98"/>
    <w:rsid w:val="002B188F"/>
    <w:rsid w:val="002B3BD8"/>
    <w:rsid w:val="002D25E1"/>
    <w:rsid w:val="002F3F91"/>
    <w:rsid w:val="00304767"/>
    <w:rsid w:val="00304B34"/>
    <w:rsid w:val="00312C0E"/>
    <w:rsid w:val="00330D6D"/>
    <w:rsid w:val="00361BAF"/>
    <w:rsid w:val="00367D1F"/>
    <w:rsid w:val="00373A9B"/>
    <w:rsid w:val="00383F26"/>
    <w:rsid w:val="003D585B"/>
    <w:rsid w:val="003E7DA6"/>
    <w:rsid w:val="003F12FF"/>
    <w:rsid w:val="004760D4"/>
    <w:rsid w:val="00494C46"/>
    <w:rsid w:val="004B43FF"/>
    <w:rsid w:val="004C1B8D"/>
    <w:rsid w:val="00502641"/>
    <w:rsid w:val="00545363"/>
    <w:rsid w:val="00566332"/>
    <w:rsid w:val="00583C85"/>
    <w:rsid w:val="00584156"/>
    <w:rsid w:val="005C6768"/>
    <w:rsid w:val="00634C25"/>
    <w:rsid w:val="006416AB"/>
    <w:rsid w:val="006768E9"/>
    <w:rsid w:val="0068671E"/>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77F82"/>
    <w:rsid w:val="008B470E"/>
    <w:rsid w:val="008C14D6"/>
    <w:rsid w:val="008E1211"/>
    <w:rsid w:val="008E5BBF"/>
    <w:rsid w:val="008E6968"/>
    <w:rsid w:val="008F7211"/>
    <w:rsid w:val="009D7E10"/>
    <w:rsid w:val="00A14DB9"/>
    <w:rsid w:val="00A4762A"/>
    <w:rsid w:val="00A74A7E"/>
    <w:rsid w:val="00A87399"/>
    <w:rsid w:val="00AD1B8A"/>
    <w:rsid w:val="00AD76AF"/>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643DD"/>
    <w:rsid w:val="00D75B35"/>
    <w:rsid w:val="00D76E09"/>
    <w:rsid w:val="00D9736F"/>
    <w:rsid w:val="00D9792A"/>
    <w:rsid w:val="00DD377F"/>
    <w:rsid w:val="00E25547"/>
    <w:rsid w:val="00E2773B"/>
    <w:rsid w:val="00E3287E"/>
    <w:rsid w:val="00E66197"/>
    <w:rsid w:val="00EB5BA5"/>
    <w:rsid w:val="00EC648D"/>
    <w:rsid w:val="00EF4195"/>
    <w:rsid w:val="00F202C3"/>
    <w:rsid w:val="00F23D94"/>
    <w:rsid w:val="00F31093"/>
    <w:rsid w:val="00F412AF"/>
    <w:rsid w:val="00F43667"/>
    <w:rsid w:val="00F447A7"/>
    <w:rsid w:val="00F467A2"/>
    <w:rsid w:val="00F80B8E"/>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Google%20Drive\fyp%20CFP\result\Result%20Expt-Fatin%20latest%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97332744324322"/>
          <c:y val="5.2770487022455528E-2"/>
          <c:w val="0.83370066017045785"/>
          <c:h val="0.80489439555349696"/>
        </c:manualLayout>
      </c:layout>
      <c:scatterChart>
        <c:scatterStyle val="smoothMarker"/>
        <c:varyColors val="0"/>
        <c:ser>
          <c:idx val="1"/>
          <c:order val="0"/>
          <c:spPr>
            <a:ln w="12700">
              <a:solidFill>
                <a:schemeClr val="tx1">
                  <a:lumMod val="95000"/>
                  <a:lumOff val="5000"/>
                </a:schemeClr>
              </a:solidFill>
            </a:ln>
          </c:spPr>
          <c:marker>
            <c:symbol val="diamond"/>
            <c:size val="4"/>
            <c:spPr>
              <a:solidFill>
                <a:schemeClr val="tx1">
                  <a:lumMod val="95000"/>
                  <a:lumOff val="5000"/>
                </a:schemeClr>
              </a:solidFill>
            </c:spPr>
          </c:marker>
          <c:xVal>
            <c:numRef>
              <c:f>pH!$B$11:$B$14</c:f>
              <c:numCache>
                <c:formatCode>General</c:formatCode>
                <c:ptCount val="4"/>
                <c:pt idx="0">
                  <c:v>2</c:v>
                </c:pt>
                <c:pt idx="1">
                  <c:v>3</c:v>
                </c:pt>
                <c:pt idx="2">
                  <c:v>4</c:v>
                </c:pt>
                <c:pt idx="3">
                  <c:v>5</c:v>
                </c:pt>
              </c:numCache>
            </c:numRef>
          </c:xVal>
          <c:yVal>
            <c:numRef>
              <c:f>pH!$E$11:$E$14</c:f>
              <c:numCache>
                <c:formatCode>0.00</c:formatCode>
                <c:ptCount val="4"/>
                <c:pt idx="0">
                  <c:v>1.712499999999999</c:v>
                </c:pt>
                <c:pt idx="1">
                  <c:v>6.9350000000000005</c:v>
                </c:pt>
                <c:pt idx="2">
                  <c:v>11.317500000000001</c:v>
                </c:pt>
                <c:pt idx="3">
                  <c:v>11.786250000000001</c:v>
                </c:pt>
              </c:numCache>
            </c:numRef>
          </c:yVal>
          <c:smooth val="1"/>
          <c:extLst xmlns:c16r2="http://schemas.microsoft.com/office/drawing/2015/06/chart">
            <c:ext xmlns:c16="http://schemas.microsoft.com/office/drawing/2014/chart" uri="{C3380CC4-5D6E-409C-BE32-E72D297353CC}">
              <c16:uniqueId val="{00000000-9ADE-4A4D-A405-9394EF4CCD65}"/>
            </c:ext>
          </c:extLst>
        </c:ser>
        <c:dLbls>
          <c:showLegendKey val="0"/>
          <c:showVal val="0"/>
          <c:showCatName val="0"/>
          <c:showSerName val="0"/>
          <c:showPercent val="0"/>
          <c:showBubbleSize val="0"/>
        </c:dLbls>
        <c:axId val="105469824"/>
        <c:axId val="105488768"/>
      </c:scatterChart>
      <c:valAx>
        <c:axId val="105469824"/>
        <c:scaling>
          <c:orientation val="minMax"/>
        </c:scaling>
        <c:delete val="0"/>
        <c:axPos val="b"/>
        <c:title>
          <c:tx>
            <c:rich>
              <a:bodyPr/>
              <a:lstStyle/>
              <a:p>
                <a:pPr>
                  <a:defRPr/>
                </a:pPr>
                <a:r>
                  <a:rPr lang="en-US"/>
                  <a:t>pH</a:t>
                </a:r>
              </a:p>
            </c:rich>
          </c:tx>
          <c:layout>
            <c:manualLayout>
              <c:xMode val="edge"/>
              <c:yMode val="edge"/>
              <c:x val="0.45687109111361079"/>
              <c:y val="0.91470588235294115"/>
            </c:manualLayout>
          </c:layout>
          <c:overlay val="0"/>
        </c:title>
        <c:numFmt formatCode="General" sourceLinked="1"/>
        <c:majorTickMark val="none"/>
        <c:minorTickMark val="none"/>
        <c:tickLblPos val="nextTo"/>
        <c:crossAx val="105488768"/>
        <c:crosses val="autoZero"/>
        <c:crossBetween val="midCat"/>
        <c:majorUnit val="1"/>
      </c:valAx>
      <c:valAx>
        <c:axId val="105488768"/>
        <c:scaling>
          <c:orientation val="minMax"/>
          <c:max val="14"/>
          <c:min val="0"/>
        </c:scaling>
        <c:delete val="0"/>
        <c:axPos val="l"/>
        <c:title>
          <c:tx>
            <c:rich>
              <a:bodyPr rot="-5400000" vert="horz"/>
              <a:lstStyle/>
              <a:p>
                <a:pPr>
                  <a:defRPr/>
                </a:pPr>
                <a:r>
                  <a:rPr lang="en-US"/>
                  <a:t>q</a:t>
                </a:r>
                <a:r>
                  <a:rPr lang="en-US" baseline="-25000"/>
                  <a:t>e</a:t>
                </a:r>
                <a:r>
                  <a:rPr lang="en-US"/>
                  <a:t> (mg g</a:t>
                </a:r>
                <a:r>
                  <a:rPr lang="en-US" baseline="30000"/>
                  <a:t>-1</a:t>
                </a:r>
                <a:r>
                  <a:rPr lang="en-US"/>
                  <a:t>)</a:t>
                </a:r>
              </a:p>
            </c:rich>
          </c:tx>
          <c:layout>
            <c:manualLayout>
              <c:xMode val="edge"/>
              <c:yMode val="edge"/>
              <c:x val="8.6983357240027395E-3"/>
              <c:y val="0.34768382337199694"/>
            </c:manualLayout>
          </c:layout>
          <c:overlay val="0"/>
        </c:title>
        <c:numFmt formatCode="0" sourceLinked="0"/>
        <c:majorTickMark val="none"/>
        <c:minorTickMark val="none"/>
        <c:tickLblPos val="nextTo"/>
        <c:crossAx val="105469824"/>
        <c:crosses val="autoZero"/>
        <c:crossBetween val="midCat"/>
        <c:majorUnit val="2"/>
      </c:valAx>
      <c:spPr>
        <a:ln>
          <a:solidFill>
            <a:sysClr val="windowText" lastClr="000000"/>
          </a:solidFill>
        </a:ln>
      </c:spPr>
    </c:plotArea>
    <c:plotVisOnly val="1"/>
    <c:dispBlanksAs val="gap"/>
    <c:showDLblsOverMax val="0"/>
  </c:chart>
  <c:spPr>
    <a:ln>
      <a:solidFill>
        <a:sysClr val="windowText" lastClr="000000"/>
      </a:solid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84951881014873"/>
          <c:y val="4.5195718491605315E-2"/>
          <c:w val="0.73710541909601202"/>
          <c:h val="0.87405579357727359"/>
        </c:manualLayout>
      </c:layout>
      <c:scatterChart>
        <c:scatterStyle val="smoothMarker"/>
        <c:varyColors val="0"/>
        <c:ser>
          <c:idx val="0"/>
          <c:order val="0"/>
          <c:tx>
            <c:v>Capacity</c:v>
          </c:tx>
          <c:spPr>
            <a:ln w="19050">
              <a:solidFill>
                <a:schemeClr val="tx1"/>
              </a:solidFill>
            </a:ln>
          </c:spPr>
          <c:marker>
            <c:symbol val="triangle"/>
            <c:size val="4"/>
            <c:spPr>
              <a:solidFill>
                <a:schemeClr val="tx1"/>
              </a:solidFill>
              <a:ln>
                <a:solidFill>
                  <a:schemeClr val="tx1"/>
                </a:solidFill>
              </a:ln>
            </c:spPr>
          </c:marker>
          <c:xVal>
            <c:numRef>
              <c:f>Dosage!$B$17:$B$21</c:f>
              <c:numCache>
                <c:formatCode>General</c:formatCode>
                <c:ptCount val="5"/>
                <c:pt idx="0">
                  <c:v>0.02</c:v>
                </c:pt>
                <c:pt idx="1">
                  <c:v>0.04</c:v>
                </c:pt>
                <c:pt idx="2">
                  <c:v>0.06</c:v>
                </c:pt>
                <c:pt idx="3">
                  <c:v>0.08</c:v>
                </c:pt>
                <c:pt idx="4">
                  <c:v>0.1</c:v>
                </c:pt>
              </c:numCache>
            </c:numRef>
          </c:xVal>
          <c:yVal>
            <c:numRef>
              <c:f>Dosage!$D$17:$D$21</c:f>
              <c:numCache>
                <c:formatCode>General</c:formatCode>
                <c:ptCount val="5"/>
                <c:pt idx="0">
                  <c:v>13.075000000000001</c:v>
                </c:pt>
                <c:pt idx="1">
                  <c:v>10.57</c:v>
                </c:pt>
                <c:pt idx="2">
                  <c:v>7.6050000000000004</c:v>
                </c:pt>
                <c:pt idx="3">
                  <c:v>5.8462499999999995</c:v>
                </c:pt>
                <c:pt idx="4">
                  <c:v>4.6630000000000003</c:v>
                </c:pt>
              </c:numCache>
            </c:numRef>
          </c:yVal>
          <c:smooth val="1"/>
          <c:extLst xmlns:c16r2="http://schemas.microsoft.com/office/drawing/2015/06/chart">
            <c:ext xmlns:c16="http://schemas.microsoft.com/office/drawing/2014/chart" uri="{C3380CC4-5D6E-409C-BE32-E72D297353CC}">
              <c16:uniqueId val="{00000000-8940-410D-8C73-8E0CB090EFF0}"/>
            </c:ext>
          </c:extLst>
        </c:ser>
        <c:dLbls>
          <c:showLegendKey val="0"/>
          <c:showVal val="0"/>
          <c:showCatName val="0"/>
          <c:showSerName val="0"/>
          <c:showPercent val="0"/>
          <c:showBubbleSize val="0"/>
        </c:dLbls>
        <c:axId val="132821760"/>
        <c:axId val="132815104"/>
      </c:scatterChart>
      <c:scatterChart>
        <c:scatterStyle val="smoothMarker"/>
        <c:varyColors val="0"/>
        <c:ser>
          <c:idx val="1"/>
          <c:order val="1"/>
          <c:tx>
            <c:v>Removal</c:v>
          </c:tx>
          <c:spPr>
            <a:ln w="19050">
              <a:solidFill>
                <a:schemeClr val="tx1"/>
              </a:solidFill>
            </a:ln>
          </c:spPr>
          <c:marker>
            <c:symbol val="square"/>
            <c:size val="4"/>
            <c:spPr>
              <a:solidFill>
                <a:schemeClr val="tx1"/>
              </a:solidFill>
              <a:ln>
                <a:solidFill>
                  <a:schemeClr val="tx1"/>
                </a:solidFill>
              </a:ln>
            </c:spPr>
          </c:marker>
          <c:xVal>
            <c:numRef>
              <c:f>Dosage!$B$17:$B$21</c:f>
              <c:numCache>
                <c:formatCode>General</c:formatCode>
                <c:ptCount val="5"/>
                <c:pt idx="0">
                  <c:v>0.02</c:v>
                </c:pt>
                <c:pt idx="1">
                  <c:v>0.04</c:v>
                </c:pt>
                <c:pt idx="2">
                  <c:v>0.06</c:v>
                </c:pt>
                <c:pt idx="3">
                  <c:v>0.08</c:v>
                </c:pt>
                <c:pt idx="4">
                  <c:v>0.1</c:v>
                </c:pt>
              </c:numCache>
            </c:numRef>
          </c:xVal>
          <c:yVal>
            <c:numRef>
              <c:f>Dosage!$E$17:$E$21</c:f>
              <c:numCache>
                <c:formatCode>General</c:formatCode>
                <c:ptCount val="5"/>
                <c:pt idx="0">
                  <c:v>52.3</c:v>
                </c:pt>
                <c:pt idx="1">
                  <c:v>84.559999999999988</c:v>
                </c:pt>
                <c:pt idx="2">
                  <c:v>91.259999999999991</c:v>
                </c:pt>
                <c:pt idx="3">
                  <c:v>93.539999999999992</c:v>
                </c:pt>
                <c:pt idx="4">
                  <c:v>93.26</c:v>
                </c:pt>
              </c:numCache>
            </c:numRef>
          </c:yVal>
          <c:smooth val="1"/>
          <c:extLst xmlns:c16r2="http://schemas.microsoft.com/office/drawing/2015/06/chart">
            <c:ext xmlns:c16="http://schemas.microsoft.com/office/drawing/2014/chart" uri="{C3380CC4-5D6E-409C-BE32-E72D297353CC}">
              <c16:uniqueId val="{00000001-8940-410D-8C73-8E0CB090EFF0}"/>
            </c:ext>
          </c:extLst>
        </c:ser>
        <c:dLbls>
          <c:showLegendKey val="0"/>
          <c:showVal val="0"/>
          <c:showCatName val="0"/>
          <c:showSerName val="0"/>
          <c:showPercent val="0"/>
          <c:showBubbleSize val="0"/>
        </c:dLbls>
        <c:axId val="132829568"/>
        <c:axId val="132823296"/>
      </c:scatterChart>
      <c:valAx>
        <c:axId val="132815104"/>
        <c:scaling>
          <c:orientation val="minMax"/>
        </c:scaling>
        <c:delete val="0"/>
        <c:axPos val="l"/>
        <c:title>
          <c:tx>
            <c:rich>
              <a:bodyPr rot="-5400000" vert="horz"/>
              <a:lstStyle/>
              <a:p>
                <a:pPr>
                  <a:defRPr/>
                </a:pPr>
                <a:r>
                  <a:rPr lang="en-US"/>
                  <a:t>q</a:t>
                </a:r>
                <a:r>
                  <a:rPr lang="en-US" baseline="-25000"/>
                  <a:t>e</a:t>
                </a:r>
                <a:r>
                  <a:rPr lang="en-US"/>
                  <a:t> (mg g</a:t>
                </a:r>
                <a:r>
                  <a:rPr lang="en-US" baseline="30000"/>
                  <a:t>-1</a:t>
                </a:r>
                <a:r>
                  <a:rPr lang="en-US"/>
                  <a:t>)</a:t>
                </a:r>
              </a:p>
            </c:rich>
          </c:tx>
          <c:layout/>
          <c:overlay val="0"/>
        </c:title>
        <c:numFmt formatCode="General" sourceLinked="1"/>
        <c:majorTickMark val="out"/>
        <c:minorTickMark val="none"/>
        <c:tickLblPos val="nextTo"/>
        <c:crossAx val="132821760"/>
        <c:crosses val="autoZero"/>
        <c:crossBetween val="midCat"/>
      </c:valAx>
      <c:valAx>
        <c:axId val="132821760"/>
        <c:scaling>
          <c:orientation val="minMax"/>
        </c:scaling>
        <c:delete val="1"/>
        <c:axPos val="b"/>
        <c:numFmt formatCode="General" sourceLinked="1"/>
        <c:majorTickMark val="out"/>
        <c:minorTickMark val="none"/>
        <c:tickLblPos val="nextTo"/>
        <c:crossAx val="132815104"/>
        <c:crosses val="autoZero"/>
        <c:crossBetween val="midCat"/>
      </c:valAx>
      <c:valAx>
        <c:axId val="132823296"/>
        <c:scaling>
          <c:orientation val="minMax"/>
        </c:scaling>
        <c:delete val="0"/>
        <c:axPos val="r"/>
        <c:title>
          <c:tx>
            <c:rich>
              <a:bodyPr rot="-5400000" vert="horz"/>
              <a:lstStyle/>
              <a:p>
                <a:pPr>
                  <a:defRPr/>
                </a:pPr>
                <a:r>
                  <a:rPr lang="en-US"/>
                  <a:t>% Removal</a:t>
                </a:r>
              </a:p>
            </c:rich>
          </c:tx>
          <c:layout>
            <c:manualLayout>
              <c:xMode val="edge"/>
              <c:yMode val="edge"/>
              <c:x val="0.93903585843602233"/>
              <c:y val="0.24985524048757712"/>
            </c:manualLayout>
          </c:layout>
          <c:overlay val="0"/>
        </c:title>
        <c:numFmt formatCode="General" sourceLinked="1"/>
        <c:majorTickMark val="out"/>
        <c:minorTickMark val="none"/>
        <c:tickLblPos val="nextTo"/>
        <c:crossAx val="132829568"/>
        <c:crosses val="max"/>
        <c:crossBetween val="midCat"/>
      </c:valAx>
      <c:valAx>
        <c:axId val="132829568"/>
        <c:scaling>
          <c:orientation val="minMax"/>
        </c:scaling>
        <c:delete val="1"/>
        <c:axPos val="b"/>
        <c:numFmt formatCode="General" sourceLinked="1"/>
        <c:majorTickMark val="out"/>
        <c:minorTickMark val="none"/>
        <c:tickLblPos val="nextTo"/>
        <c:crossAx val="132823296"/>
        <c:crosses val="autoZero"/>
        <c:crossBetween val="midCat"/>
      </c:valAx>
      <c:spPr>
        <a:noFill/>
        <a:ln>
          <a:solidFill>
            <a:schemeClr val="tx1"/>
          </a:solidFill>
        </a:ln>
      </c:spPr>
    </c:plotArea>
    <c:legend>
      <c:legendPos val="r"/>
      <c:layout>
        <c:manualLayout>
          <c:xMode val="edge"/>
          <c:yMode val="edge"/>
          <c:x val="0.21806304727271844"/>
          <c:y val="0.63437081411218466"/>
          <c:w val="0.2511752480754032"/>
          <c:h val="0.14516908991263419"/>
        </c:manualLayout>
      </c:layout>
      <c:overlay val="0"/>
      <c:txPr>
        <a:bodyPr/>
        <a:lstStyle/>
        <a:p>
          <a:pPr>
            <a:defRPr sz="600"/>
          </a:pPr>
          <a:endParaRPr lang="en-US"/>
        </a:p>
      </c:txPr>
    </c:legend>
    <c:plotVisOnly val="1"/>
    <c:dispBlanksAs val="gap"/>
    <c:showDLblsOverMax val="0"/>
  </c:chart>
  <c:spPr>
    <a:ln>
      <a:solidFill>
        <a:schemeClr val="tx1"/>
      </a:solidFill>
    </a:ln>
  </c:spPr>
  <c:txPr>
    <a:bodyPr/>
    <a:lstStyle/>
    <a:p>
      <a:pPr algn="just">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623666496673963"/>
          <c:y val="7.2992827297559584E-2"/>
          <c:w val="0.8250917783522852"/>
          <c:h val="0.79907056697375423"/>
        </c:manualLayout>
      </c:layout>
      <c:scatterChart>
        <c:scatterStyle val="smoothMarker"/>
        <c:varyColors val="0"/>
        <c:ser>
          <c:idx val="0"/>
          <c:order val="0"/>
          <c:tx>
            <c:strRef>
              <c:f>'Contact Time (13112015)'!$F$27</c:f>
              <c:strCache>
                <c:ptCount val="1"/>
                <c:pt idx="0">
                  <c:v>10 mg/L</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xVal>
            <c:numRef>
              <c:f>'Contact Time (13112015)'!$B$28:$B$36</c:f>
              <c:numCache>
                <c:formatCode>General</c:formatCode>
                <c:ptCount val="9"/>
                <c:pt idx="0">
                  <c:v>0</c:v>
                </c:pt>
                <c:pt idx="1">
                  <c:v>1</c:v>
                </c:pt>
                <c:pt idx="2">
                  <c:v>3</c:v>
                </c:pt>
                <c:pt idx="3">
                  <c:v>6</c:v>
                </c:pt>
                <c:pt idx="4">
                  <c:v>10</c:v>
                </c:pt>
                <c:pt idx="5">
                  <c:v>20</c:v>
                </c:pt>
                <c:pt idx="6">
                  <c:v>30</c:v>
                </c:pt>
                <c:pt idx="7">
                  <c:v>60</c:v>
                </c:pt>
                <c:pt idx="8">
                  <c:v>90</c:v>
                </c:pt>
              </c:numCache>
            </c:numRef>
          </c:xVal>
          <c:yVal>
            <c:numRef>
              <c:f>'Contact Time (13112015)'!$F$28:$F$36</c:f>
              <c:numCache>
                <c:formatCode>0.00</c:formatCode>
                <c:ptCount val="9"/>
                <c:pt idx="0">
                  <c:v>0</c:v>
                </c:pt>
                <c:pt idx="1">
                  <c:v>10.498750000000001</c:v>
                </c:pt>
                <c:pt idx="2">
                  <c:v>10.723750000000001</c:v>
                </c:pt>
                <c:pt idx="3">
                  <c:v>10.7925</c:v>
                </c:pt>
                <c:pt idx="4">
                  <c:v>10.96</c:v>
                </c:pt>
                <c:pt idx="5">
                  <c:v>11.060000000000002</c:v>
                </c:pt>
                <c:pt idx="6">
                  <c:v>11.0625</c:v>
                </c:pt>
                <c:pt idx="7">
                  <c:v>11.194999999999999</c:v>
                </c:pt>
                <c:pt idx="8">
                  <c:v>11.303749999999999</c:v>
                </c:pt>
              </c:numCache>
            </c:numRef>
          </c:yVal>
          <c:smooth val="1"/>
          <c:extLst xmlns:c16r2="http://schemas.microsoft.com/office/drawing/2015/06/chart">
            <c:ext xmlns:c16="http://schemas.microsoft.com/office/drawing/2014/chart" uri="{C3380CC4-5D6E-409C-BE32-E72D297353CC}">
              <c16:uniqueId val="{00000000-EF1F-4ABD-B7F0-7556DA1D4136}"/>
            </c:ext>
          </c:extLst>
        </c:ser>
        <c:ser>
          <c:idx val="1"/>
          <c:order val="1"/>
          <c:tx>
            <c:strRef>
              <c:f>'Contact Time (13112015)'!$G$27</c:f>
              <c:strCache>
                <c:ptCount val="1"/>
                <c:pt idx="0">
                  <c:v>20 mg/L</c:v>
                </c:pt>
              </c:strCache>
            </c:strRef>
          </c:tx>
          <c:spPr>
            <a:ln w="12700">
              <a:solidFill>
                <a:srgbClr val="000000"/>
              </a:solidFill>
              <a:prstDash val="solid"/>
            </a:ln>
          </c:spPr>
          <c:marker>
            <c:symbol val="square"/>
            <c:size val="5"/>
            <c:spPr>
              <a:solidFill>
                <a:srgbClr val="FFFFFF"/>
              </a:solidFill>
              <a:ln>
                <a:solidFill>
                  <a:srgbClr val="000000"/>
                </a:solidFill>
                <a:prstDash val="solid"/>
              </a:ln>
            </c:spPr>
          </c:marker>
          <c:xVal>
            <c:numRef>
              <c:f>'Contact Time (13112015)'!$B$28:$B$36</c:f>
              <c:numCache>
                <c:formatCode>General</c:formatCode>
                <c:ptCount val="9"/>
                <c:pt idx="0">
                  <c:v>0</c:v>
                </c:pt>
                <c:pt idx="1">
                  <c:v>1</c:v>
                </c:pt>
                <c:pt idx="2">
                  <c:v>3</c:v>
                </c:pt>
                <c:pt idx="3">
                  <c:v>6</c:v>
                </c:pt>
                <c:pt idx="4">
                  <c:v>10</c:v>
                </c:pt>
                <c:pt idx="5">
                  <c:v>20</c:v>
                </c:pt>
                <c:pt idx="6">
                  <c:v>30</c:v>
                </c:pt>
                <c:pt idx="7">
                  <c:v>60</c:v>
                </c:pt>
                <c:pt idx="8">
                  <c:v>90</c:v>
                </c:pt>
              </c:numCache>
            </c:numRef>
          </c:xVal>
          <c:yVal>
            <c:numRef>
              <c:f>'Contact Time (13112015)'!$G$28:$G$36</c:f>
              <c:numCache>
                <c:formatCode>0.00</c:formatCode>
                <c:ptCount val="9"/>
                <c:pt idx="0">
                  <c:v>0</c:v>
                </c:pt>
                <c:pt idx="1">
                  <c:v>14.64875</c:v>
                </c:pt>
                <c:pt idx="2">
                  <c:v>17.4925</c:v>
                </c:pt>
                <c:pt idx="3">
                  <c:v>18.571249999999999</c:v>
                </c:pt>
                <c:pt idx="4">
                  <c:v>18.822500000000002</c:v>
                </c:pt>
                <c:pt idx="5">
                  <c:v>19.506250000000001</c:v>
                </c:pt>
                <c:pt idx="6">
                  <c:v>19.53125</c:v>
                </c:pt>
                <c:pt idx="7">
                  <c:v>19.931249999999999</c:v>
                </c:pt>
                <c:pt idx="8">
                  <c:v>20.647500000000001</c:v>
                </c:pt>
              </c:numCache>
            </c:numRef>
          </c:yVal>
          <c:smooth val="1"/>
          <c:extLst xmlns:c16r2="http://schemas.microsoft.com/office/drawing/2015/06/chart">
            <c:ext xmlns:c16="http://schemas.microsoft.com/office/drawing/2014/chart" uri="{C3380CC4-5D6E-409C-BE32-E72D297353CC}">
              <c16:uniqueId val="{00000001-EF1F-4ABD-B7F0-7556DA1D4136}"/>
            </c:ext>
          </c:extLst>
        </c:ser>
        <c:ser>
          <c:idx val="2"/>
          <c:order val="2"/>
          <c:tx>
            <c:strRef>
              <c:f>'Contact Time (13112015)'!$H$27</c:f>
              <c:strCache>
                <c:ptCount val="1"/>
                <c:pt idx="0">
                  <c:v>30 mg/L</c:v>
                </c:pt>
              </c:strCache>
            </c:strRef>
          </c:tx>
          <c:spPr>
            <a:ln w="12700">
              <a:solidFill>
                <a:srgbClr val="000000"/>
              </a:solidFill>
              <a:prstDash val="solid"/>
            </a:ln>
          </c:spPr>
          <c:marker>
            <c:symbol val="triangle"/>
            <c:size val="5"/>
            <c:spPr>
              <a:solidFill>
                <a:srgbClr val="000000"/>
              </a:solidFill>
              <a:ln>
                <a:solidFill>
                  <a:srgbClr val="000000"/>
                </a:solidFill>
                <a:prstDash val="solid"/>
              </a:ln>
            </c:spPr>
          </c:marker>
          <c:xVal>
            <c:numRef>
              <c:f>'Contact Time (13112015)'!$B$28:$B$36</c:f>
              <c:numCache>
                <c:formatCode>General</c:formatCode>
                <c:ptCount val="9"/>
                <c:pt idx="0">
                  <c:v>0</c:v>
                </c:pt>
                <c:pt idx="1">
                  <c:v>1</c:v>
                </c:pt>
                <c:pt idx="2">
                  <c:v>3</c:v>
                </c:pt>
                <c:pt idx="3">
                  <c:v>6</c:v>
                </c:pt>
                <c:pt idx="4">
                  <c:v>10</c:v>
                </c:pt>
                <c:pt idx="5">
                  <c:v>20</c:v>
                </c:pt>
                <c:pt idx="6">
                  <c:v>30</c:v>
                </c:pt>
                <c:pt idx="7">
                  <c:v>60</c:v>
                </c:pt>
                <c:pt idx="8">
                  <c:v>90</c:v>
                </c:pt>
              </c:numCache>
            </c:numRef>
          </c:xVal>
          <c:yVal>
            <c:numRef>
              <c:f>'Contact Time (13112015)'!$H$28:$H$36</c:f>
              <c:numCache>
                <c:formatCode>0.00</c:formatCode>
                <c:ptCount val="9"/>
                <c:pt idx="0">
                  <c:v>0</c:v>
                </c:pt>
                <c:pt idx="1">
                  <c:v>17.537500000000001</c:v>
                </c:pt>
                <c:pt idx="2">
                  <c:v>19.3</c:v>
                </c:pt>
                <c:pt idx="3">
                  <c:v>20.724999999999998</c:v>
                </c:pt>
                <c:pt idx="4">
                  <c:v>28.44875</c:v>
                </c:pt>
                <c:pt idx="5">
                  <c:v>28.978750000000002</c:v>
                </c:pt>
                <c:pt idx="6">
                  <c:v>32.317499999999995</c:v>
                </c:pt>
                <c:pt idx="7">
                  <c:v>34.955000000000005</c:v>
                </c:pt>
                <c:pt idx="8">
                  <c:v>35.58625</c:v>
                </c:pt>
              </c:numCache>
            </c:numRef>
          </c:yVal>
          <c:smooth val="1"/>
          <c:extLst xmlns:c16r2="http://schemas.microsoft.com/office/drawing/2015/06/chart">
            <c:ext xmlns:c16="http://schemas.microsoft.com/office/drawing/2014/chart" uri="{C3380CC4-5D6E-409C-BE32-E72D297353CC}">
              <c16:uniqueId val="{00000002-EF1F-4ABD-B7F0-7556DA1D4136}"/>
            </c:ext>
          </c:extLst>
        </c:ser>
        <c:dLbls>
          <c:showLegendKey val="0"/>
          <c:showVal val="0"/>
          <c:showCatName val="0"/>
          <c:showSerName val="0"/>
          <c:showPercent val="0"/>
          <c:showBubbleSize val="0"/>
        </c:dLbls>
        <c:axId val="77936896"/>
        <c:axId val="77939456"/>
      </c:scatterChart>
      <c:valAx>
        <c:axId val="77936896"/>
        <c:scaling>
          <c:orientation val="minMax"/>
          <c:max val="100"/>
        </c:scaling>
        <c:delete val="0"/>
        <c:axPos val="b"/>
        <c:title>
          <c:tx>
            <c:rich>
              <a:bodyPr/>
              <a:lstStyle/>
              <a:p>
                <a:pPr>
                  <a:defRPr b="1"/>
                </a:pPr>
                <a:r>
                  <a:rPr lang="ms-MY" b="1"/>
                  <a:t>t (min)</a:t>
                </a:r>
              </a:p>
            </c:rich>
          </c:tx>
          <c:layout>
            <c:manualLayout>
              <c:xMode val="edge"/>
              <c:yMode val="edge"/>
              <c:x val="0.47658768353744363"/>
              <c:y val="0.91045416853694938"/>
            </c:manualLayout>
          </c:layout>
          <c:overlay val="0"/>
          <c:spPr>
            <a:noFill/>
            <a:ln w="25400">
              <a:noFill/>
            </a:ln>
          </c:spPr>
        </c:title>
        <c:numFmt formatCode="General" sourceLinked="1"/>
        <c:majorTickMark val="out"/>
        <c:minorTickMark val="none"/>
        <c:tickLblPos val="nextTo"/>
        <c:spPr>
          <a:ln w="12700">
            <a:solidFill>
              <a:srgbClr val="000000"/>
            </a:solidFill>
            <a:prstDash val="solid"/>
          </a:ln>
        </c:spPr>
        <c:txPr>
          <a:bodyPr rot="0" vert="horz"/>
          <a:lstStyle/>
          <a:p>
            <a:pPr>
              <a:defRPr/>
            </a:pPr>
            <a:endParaRPr lang="en-US"/>
          </a:p>
        </c:txPr>
        <c:crossAx val="77939456"/>
        <c:crosses val="autoZero"/>
        <c:crossBetween val="midCat"/>
        <c:majorUnit val="20"/>
      </c:valAx>
      <c:valAx>
        <c:axId val="77939456"/>
        <c:scaling>
          <c:orientation val="minMax"/>
          <c:max val="50"/>
          <c:min val="0"/>
        </c:scaling>
        <c:delete val="0"/>
        <c:axPos val="l"/>
        <c:majorGridlines>
          <c:spPr>
            <a:ln w="3175">
              <a:solidFill>
                <a:srgbClr val="FFFFFF"/>
              </a:solidFill>
              <a:prstDash val="solid"/>
            </a:ln>
          </c:spPr>
        </c:majorGridlines>
        <c:title>
          <c:tx>
            <c:rich>
              <a:bodyPr/>
              <a:lstStyle/>
              <a:p>
                <a:pPr>
                  <a:defRPr b="1"/>
                </a:pPr>
                <a:r>
                  <a:rPr lang="ms-MY" b="1"/>
                  <a:t>q</a:t>
                </a:r>
                <a:r>
                  <a:rPr lang="ms-MY" b="1" baseline="-25000"/>
                  <a:t>t</a:t>
                </a:r>
                <a:r>
                  <a:rPr lang="ms-MY" b="1"/>
                  <a:t> (mg g</a:t>
                </a:r>
                <a:r>
                  <a:rPr lang="ms-MY" b="1" baseline="30000"/>
                  <a:t>-1</a:t>
                </a:r>
                <a:r>
                  <a:rPr lang="ms-MY" b="1"/>
                  <a:t>)</a:t>
                </a:r>
              </a:p>
            </c:rich>
          </c:tx>
          <c:layout>
            <c:manualLayout>
              <c:xMode val="edge"/>
              <c:yMode val="edge"/>
              <c:x val="8.0046437262184609E-3"/>
              <c:y val="0.32171747194612066"/>
            </c:manualLayout>
          </c:layout>
          <c:overlay val="0"/>
          <c:spPr>
            <a:noFill/>
            <a:ln w="25400">
              <a:noFill/>
            </a:ln>
          </c:spPr>
        </c:title>
        <c:numFmt formatCode="0" sourceLinked="0"/>
        <c:majorTickMark val="out"/>
        <c:minorTickMark val="none"/>
        <c:tickLblPos val="nextTo"/>
        <c:spPr>
          <a:ln w="12700">
            <a:solidFill>
              <a:srgbClr val="000000"/>
            </a:solidFill>
            <a:prstDash val="solid"/>
          </a:ln>
        </c:spPr>
        <c:txPr>
          <a:bodyPr rot="0" vert="horz"/>
          <a:lstStyle/>
          <a:p>
            <a:pPr>
              <a:defRPr/>
            </a:pPr>
            <a:endParaRPr lang="en-US"/>
          </a:p>
        </c:txPr>
        <c:crossAx val="77936896"/>
        <c:crosses val="autoZero"/>
        <c:crossBetween val="midCat"/>
        <c:majorUnit val="10"/>
      </c:valAx>
      <c:spPr>
        <a:solidFill>
          <a:srgbClr val="FFFFFF"/>
        </a:solidFill>
        <a:ln w="12700">
          <a:solidFill>
            <a:srgbClr val="000000"/>
          </a:solidFill>
          <a:prstDash val="solid"/>
        </a:ln>
      </c:spPr>
    </c:plotArea>
    <c:legend>
      <c:legendPos val="b"/>
      <c:layout>
        <c:manualLayout>
          <c:xMode val="edge"/>
          <c:yMode val="edge"/>
          <c:x val="0.21938720281324059"/>
          <c:y val="0.11672840190750804"/>
          <c:w val="0.55562574552445798"/>
          <c:h val="0.11198342072250952"/>
        </c:manualLayout>
      </c:layout>
      <c:overlay val="0"/>
      <c:spPr>
        <a:noFill/>
        <a:ln w="3175">
          <a:noFill/>
          <a:prstDash val="solid"/>
        </a:ln>
      </c:spPr>
      <c:txPr>
        <a:bodyPr/>
        <a:lstStyle/>
        <a:p>
          <a:pPr>
            <a:defRPr sz="600"/>
          </a:pPr>
          <a:endParaRPr lang="en-US"/>
        </a:p>
      </c:txPr>
    </c:legend>
    <c:plotVisOnly val="1"/>
    <c:dispBlanksAs val="gap"/>
    <c:showDLblsOverMax val="0"/>
  </c:chart>
  <c:spPr>
    <a:solidFill>
      <a:srgbClr val="FFFFFF"/>
    </a:solidFill>
    <a:ln w="12700">
      <a:solidFill>
        <a:schemeClr val="tx1"/>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43066-B31C-4980-847A-D9B037E6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11993</Words>
  <Characters>62726</Characters>
  <Application>Microsoft Office Word</Application>
  <DocSecurity>0</DocSecurity>
  <Lines>1183</Lines>
  <Paragraphs>444</Paragraphs>
  <ScaleCrop>false</ScaleCrop>
  <HeadingPairs>
    <vt:vector size="2" baseType="variant">
      <vt:variant>
        <vt:lpstr>Title</vt:lpstr>
      </vt:variant>
      <vt:variant>
        <vt:i4>1</vt:i4>
      </vt:variant>
    </vt:vector>
  </HeadingPairs>
  <TitlesOfParts>
    <vt:vector size="1" baseType="lpstr">
      <vt:lpstr>MJAS Vol 22 No 1 (2018)</vt:lpstr>
    </vt:vector>
  </TitlesOfParts>
  <Company>UKM</Company>
  <LinksUpToDate>false</LinksUpToDate>
  <CharactersWithSpaces>74275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1 (2018)</dc:title>
  <dc:creator>Harun Hj Hamzah</dc:creator>
  <cp:lastModifiedBy>Harun Hamzah</cp:lastModifiedBy>
  <cp:revision>13</cp:revision>
  <cp:lastPrinted>2018-02-18T12:34:00Z</cp:lastPrinted>
  <dcterms:created xsi:type="dcterms:W3CDTF">2018-02-05T05:02:00Z</dcterms:created>
  <dcterms:modified xsi:type="dcterms:W3CDTF">2018-02-18T12:34:00Z</dcterms:modified>
</cp:coreProperties>
</file>