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A120CA" w:rsidRDefault="00A120CA" w:rsidP="00A120CA">
      <w:pPr>
        <w:pStyle w:val="Style1"/>
        <w:spacing w:after="0" w:line="240" w:lineRule="auto"/>
        <w:jc w:val="center"/>
        <w:rPr>
          <w:bCs/>
          <w:sz w:val="28"/>
          <w:szCs w:val="28"/>
        </w:rPr>
      </w:pPr>
      <w:r w:rsidRPr="0024297E">
        <w:rPr>
          <w:bCs/>
          <w:sz w:val="28"/>
          <w:szCs w:val="28"/>
        </w:rPr>
        <w:t>CO-SENSITIZATION OF NATURAL SENSITIZERS EXTRACTED FROM RENGAS (</w:t>
      </w:r>
      <w:r>
        <w:rPr>
          <w:bCs/>
          <w:i/>
          <w:sz w:val="28"/>
          <w:szCs w:val="28"/>
        </w:rPr>
        <w:t>G</w:t>
      </w:r>
      <w:r w:rsidRPr="0024297E">
        <w:rPr>
          <w:bCs/>
          <w:i/>
          <w:sz w:val="28"/>
          <w:szCs w:val="28"/>
        </w:rPr>
        <w:t>luta spp.</w:t>
      </w:r>
      <w:r w:rsidRPr="0024297E">
        <w:rPr>
          <w:bCs/>
          <w:sz w:val="28"/>
          <w:szCs w:val="28"/>
        </w:rPr>
        <w:t>) AND MENGKULANG (</w:t>
      </w:r>
      <w:r>
        <w:rPr>
          <w:bCs/>
          <w:i/>
          <w:sz w:val="28"/>
          <w:szCs w:val="28"/>
        </w:rPr>
        <w:t>H</w:t>
      </w:r>
      <w:r w:rsidRPr="0024297E">
        <w:rPr>
          <w:bCs/>
          <w:i/>
          <w:sz w:val="28"/>
          <w:szCs w:val="28"/>
        </w:rPr>
        <w:t>eritiera elata</w:t>
      </w:r>
      <w:r w:rsidRPr="0024297E">
        <w:rPr>
          <w:bCs/>
          <w:sz w:val="28"/>
          <w:szCs w:val="28"/>
        </w:rPr>
        <w:t>)</w:t>
      </w:r>
      <w:r w:rsidRPr="0024297E">
        <w:rPr>
          <w:bCs/>
          <w:i/>
          <w:sz w:val="28"/>
          <w:szCs w:val="28"/>
        </w:rPr>
        <w:t xml:space="preserve"> </w:t>
      </w:r>
      <w:r w:rsidRPr="0024297E">
        <w:rPr>
          <w:bCs/>
          <w:sz w:val="28"/>
          <w:szCs w:val="28"/>
        </w:rPr>
        <w:t xml:space="preserve">WOOD WITH RUTHENIUM DYE (N719) TO ENHANCE THE PERFORMANCE OF </w:t>
      </w:r>
    </w:p>
    <w:p w:rsidR="00A120CA" w:rsidRDefault="00A120CA" w:rsidP="00A120CA">
      <w:pPr>
        <w:pStyle w:val="Style1"/>
        <w:spacing w:after="0" w:line="240" w:lineRule="auto"/>
        <w:jc w:val="center"/>
        <w:rPr>
          <w:bCs/>
          <w:sz w:val="28"/>
          <w:szCs w:val="28"/>
        </w:rPr>
      </w:pPr>
      <w:r w:rsidRPr="0024297E">
        <w:rPr>
          <w:bCs/>
          <w:sz w:val="28"/>
          <w:szCs w:val="28"/>
        </w:rPr>
        <w:t>DYE-SENSITIZED SOLAR CELLS</w:t>
      </w:r>
    </w:p>
    <w:p w:rsidR="00A120CA" w:rsidRPr="00A120CA" w:rsidRDefault="00A120CA" w:rsidP="00A120CA">
      <w:pPr>
        <w:pStyle w:val="Style1"/>
        <w:spacing w:after="0" w:line="240" w:lineRule="auto"/>
        <w:jc w:val="center"/>
        <w:rPr>
          <w:bCs/>
        </w:rPr>
      </w:pPr>
    </w:p>
    <w:p w:rsidR="00A120CA" w:rsidRPr="00A120CA" w:rsidRDefault="00A120CA" w:rsidP="00A120CA">
      <w:pPr>
        <w:pStyle w:val="Style1"/>
        <w:spacing w:after="0" w:line="240" w:lineRule="auto"/>
        <w:jc w:val="center"/>
        <w:rPr>
          <w:noProof/>
          <w:lang w:val="ms-MY"/>
        </w:rPr>
      </w:pPr>
      <w:r w:rsidRPr="0024297E">
        <w:rPr>
          <w:lang w:val="es-ES"/>
        </w:rPr>
        <w:t>(</w:t>
      </w:r>
      <w:r w:rsidRPr="0024297E">
        <w:rPr>
          <w:noProof/>
          <w:lang w:val="ms-MY"/>
        </w:rPr>
        <w:t>Ko-Pemekaan Pemeka Semulajadi Disari daripada Kayu Rengas (</w:t>
      </w:r>
      <w:r w:rsidRPr="0024297E">
        <w:rPr>
          <w:i/>
          <w:noProof/>
          <w:lang w:val="ms-MY"/>
        </w:rPr>
        <w:t>Gluta Spp.</w:t>
      </w:r>
      <w:r w:rsidRPr="0024297E">
        <w:rPr>
          <w:noProof/>
          <w:lang w:val="ms-MY"/>
        </w:rPr>
        <w:t>) dan Mengkulang (</w:t>
      </w:r>
      <w:r w:rsidRPr="0024297E">
        <w:rPr>
          <w:i/>
          <w:noProof/>
          <w:lang w:val="ms-MY"/>
        </w:rPr>
        <w:t>Heritiera Elata</w:t>
      </w:r>
      <w:r w:rsidRPr="0024297E">
        <w:rPr>
          <w:noProof/>
          <w:lang w:val="ms-MY"/>
        </w:rPr>
        <w:t>) dengan Pewarna Rutenium (N719) untuk Meningkatkan Prestasi Sel Solar Terpeka Pewarna</w:t>
      </w:r>
      <w:r w:rsidRPr="0024297E">
        <w:rPr>
          <w:lang w:val="es-ES"/>
        </w:rPr>
        <w:t>)</w:t>
      </w:r>
    </w:p>
    <w:p w:rsidR="00A120CA" w:rsidRPr="00A120CA" w:rsidRDefault="00A120CA" w:rsidP="00A120CA">
      <w:pPr>
        <w:pStyle w:val="Style1"/>
        <w:spacing w:after="0" w:line="240" w:lineRule="auto"/>
        <w:jc w:val="center"/>
        <w:rPr>
          <w:sz w:val="20"/>
          <w:szCs w:val="20"/>
          <w:lang w:val="es-ES"/>
        </w:rPr>
      </w:pPr>
    </w:p>
    <w:p w:rsidR="00A120CA" w:rsidRDefault="00A120CA" w:rsidP="00A120CA">
      <w:pPr>
        <w:pStyle w:val="Heading1"/>
        <w:tabs>
          <w:tab w:val="left" w:pos="2867"/>
        </w:tabs>
        <w:spacing w:before="0" w:line="240" w:lineRule="auto"/>
        <w:contextualSpacing w:val="0"/>
        <w:jc w:val="center"/>
        <w:rPr>
          <w:rFonts w:ascii="Times New Roman" w:hAnsi="Times New Roman"/>
          <w:b/>
          <w:bCs/>
          <w:smallCaps w:val="0"/>
          <w:noProof/>
          <w:sz w:val="20"/>
          <w:szCs w:val="20"/>
          <w:lang w:val="ms-MY"/>
        </w:rPr>
      </w:pPr>
      <w:r w:rsidRPr="00A120CA">
        <w:rPr>
          <w:rFonts w:ascii="Times New Roman" w:hAnsi="Times New Roman"/>
          <w:smallCaps w:val="0"/>
          <w:noProof/>
          <w:sz w:val="20"/>
          <w:szCs w:val="20"/>
          <w:lang w:val="ms-MY"/>
        </w:rPr>
        <w:t>Nur  Ezyanie Safie</w:t>
      </w:r>
      <w:r w:rsidRPr="00A120CA">
        <w:rPr>
          <w:rFonts w:ascii="Times New Roman" w:hAnsi="Times New Roman"/>
          <w:smallCaps w:val="0"/>
          <w:noProof/>
          <w:sz w:val="20"/>
          <w:szCs w:val="20"/>
          <w:vertAlign w:val="superscript"/>
          <w:lang w:val="ms-MY"/>
        </w:rPr>
        <w:t>1</w:t>
      </w:r>
      <w:r w:rsidRPr="00A120CA">
        <w:rPr>
          <w:rFonts w:ascii="Times New Roman" w:hAnsi="Times New Roman"/>
          <w:smallCaps w:val="0"/>
          <w:noProof/>
          <w:sz w:val="20"/>
          <w:szCs w:val="20"/>
          <w:lang w:val="ms-MY"/>
        </w:rPr>
        <w:t>, Norasikin Ahmad Ludin</w:t>
      </w:r>
      <w:r w:rsidRPr="00A120CA">
        <w:rPr>
          <w:rFonts w:ascii="Times New Roman" w:hAnsi="Times New Roman"/>
          <w:smallCaps w:val="0"/>
          <w:noProof/>
          <w:sz w:val="20"/>
          <w:szCs w:val="20"/>
          <w:vertAlign w:val="superscript"/>
          <w:lang w:val="ms-MY"/>
        </w:rPr>
        <w:t>1</w:t>
      </w:r>
      <w:r w:rsidRPr="00A120CA">
        <w:rPr>
          <w:rFonts w:ascii="Times New Roman" w:hAnsi="Times New Roman"/>
          <w:smallCaps w:val="0"/>
          <w:noProof/>
          <w:sz w:val="20"/>
          <w:szCs w:val="20"/>
          <w:lang w:val="ms-MY"/>
        </w:rPr>
        <w:t>*, Norul Hisham Hamid</w:t>
      </w:r>
      <w:r w:rsidRPr="00A120CA">
        <w:rPr>
          <w:rFonts w:ascii="Times New Roman" w:hAnsi="Times New Roman"/>
          <w:smallCaps w:val="0"/>
          <w:noProof/>
          <w:sz w:val="20"/>
          <w:szCs w:val="20"/>
          <w:vertAlign w:val="superscript"/>
          <w:lang w:val="ms-MY"/>
        </w:rPr>
        <w:t>2</w:t>
      </w:r>
      <w:r w:rsidRPr="00A120CA">
        <w:rPr>
          <w:rFonts w:ascii="Times New Roman" w:hAnsi="Times New Roman"/>
          <w:smallCaps w:val="0"/>
          <w:noProof/>
          <w:sz w:val="20"/>
          <w:szCs w:val="20"/>
          <w:lang w:val="ms-MY"/>
        </w:rPr>
        <w:t xml:space="preserve">, </w:t>
      </w:r>
      <w:bookmarkStart w:id="1" w:name="OLE_LINK1"/>
      <w:bookmarkStart w:id="2" w:name="OLE_LINK2"/>
      <w:bookmarkStart w:id="3" w:name="OLE_LINK3"/>
      <w:r w:rsidRPr="00A120CA">
        <w:rPr>
          <w:rFonts w:ascii="Times New Roman" w:hAnsi="Times New Roman"/>
          <w:smallCaps w:val="0"/>
          <w:noProof/>
          <w:sz w:val="20"/>
          <w:szCs w:val="20"/>
          <w:lang w:val="ms-MY"/>
        </w:rPr>
        <w:t>Mohd Sukor Suait</w:t>
      </w:r>
      <w:r w:rsidRPr="00A120CA">
        <w:rPr>
          <w:rFonts w:ascii="Times New Roman" w:hAnsi="Times New Roman"/>
          <w:smallCaps w:val="0"/>
          <w:noProof/>
          <w:sz w:val="20"/>
          <w:szCs w:val="20"/>
          <w:vertAlign w:val="superscript"/>
          <w:lang w:val="ms-MY"/>
        </w:rPr>
        <w:t>1</w:t>
      </w:r>
      <w:bookmarkEnd w:id="1"/>
      <w:bookmarkEnd w:id="2"/>
      <w:bookmarkEnd w:id="3"/>
      <w:r w:rsidRPr="00A120CA">
        <w:rPr>
          <w:rFonts w:ascii="Times New Roman" w:hAnsi="Times New Roman"/>
          <w:smallCaps w:val="0"/>
          <w:noProof/>
          <w:sz w:val="20"/>
          <w:szCs w:val="20"/>
          <w:lang w:val="ms-MY"/>
        </w:rPr>
        <w:t xml:space="preserve">, </w:t>
      </w:r>
    </w:p>
    <w:p w:rsidR="00A120CA" w:rsidRPr="00A120CA" w:rsidRDefault="00A120CA" w:rsidP="00A120CA">
      <w:pPr>
        <w:pStyle w:val="Heading1"/>
        <w:tabs>
          <w:tab w:val="left" w:pos="2867"/>
        </w:tabs>
        <w:spacing w:before="0" w:line="240" w:lineRule="auto"/>
        <w:contextualSpacing w:val="0"/>
        <w:jc w:val="center"/>
        <w:rPr>
          <w:rFonts w:ascii="Times New Roman" w:hAnsi="Times New Roman"/>
          <w:b/>
          <w:bCs/>
          <w:smallCaps w:val="0"/>
          <w:noProof/>
          <w:sz w:val="20"/>
          <w:szCs w:val="20"/>
          <w:lang w:val="ms-MY"/>
        </w:rPr>
      </w:pPr>
      <w:r w:rsidRPr="00A120CA">
        <w:rPr>
          <w:rFonts w:ascii="Times New Roman" w:hAnsi="Times New Roman"/>
          <w:smallCaps w:val="0"/>
          <w:noProof/>
          <w:sz w:val="20"/>
          <w:szCs w:val="20"/>
          <w:lang w:val="ms-MY"/>
        </w:rPr>
        <w:t>Mohd Asri Mat-Teridi</w:t>
      </w:r>
      <w:r w:rsidRPr="00A120CA">
        <w:rPr>
          <w:rFonts w:ascii="Times New Roman" w:hAnsi="Times New Roman"/>
          <w:smallCaps w:val="0"/>
          <w:noProof/>
          <w:sz w:val="20"/>
          <w:szCs w:val="20"/>
          <w:vertAlign w:val="superscript"/>
          <w:lang w:val="ms-MY"/>
        </w:rPr>
        <w:t>1</w:t>
      </w:r>
      <w:r w:rsidRPr="00A120CA">
        <w:rPr>
          <w:rFonts w:ascii="Times New Roman" w:hAnsi="Times New Roman"/>
          <w:smallCaps w:val="0"/>
          <w:noProof/>
          <w:sz w:val="20"/>
          <w:szCs w:val="20"/>
          <w:lang w:val="ms-MY"/>
        </w:rPr>
        <w:t>, Suhaila Sepeai</w:t>
      </w:r>
      <w:r w:rsidRPr="00A120CA">
        <w:rPr>
          <w:rFonts w:ascii="Times New Roman" w:hAnsi="Times New Roman"/>
          <w:smallCaps w:val="0"/>
          <w:noProof/>
          <w:sz w:val="20"/>
          <w:szCs w:val="20"/>
          <w:vertAlign w:val="superscript"/>
          <w:lang w:val="ms-MY"/>
        </w:rPr>
        <w:t>1</w:t>
      </w:r>
      <w:r w:rsidRPr="00A120CA">
        <w:rPr>
          <w:rFonts w:ascii="Times New Roman" w:hAnsi="Times New Roman"/>
          <w:smallCaps w:val="0"/>
          <w:noProof/>
          <w:sz w:val="20"/>
          <w:szCs w:val="20"/>
          <w:lang w:val="ms-MY"/>
        </w:rPr>
        <w:t>, Mohd Adib Ibrahim</w:t>
      </w:r>
      <w:r w:rsidRPr="00A120CA">
        <w:rPr>
          <w:rFonts w:ascii="Times New Roman" w:hAnsi="Times New Roman"/>
          <w:smallCaps w:val="0"/>
          <w:noProof/>
          <w:sz w:val="20"/>
          <w:szCs w:val="20"/>
          <w:vertAlign w:val="superscript"/>
          <w:lang w:val="ms-MY"/>
        </w:rPr>
        <w:t>1</w:t>
      </w:r>
      <w:r w:rsidRPr="00A120CA">
        <w:rPr>
          <w:rFonts w:ascii="Times New Roman" w:hAnsi="Times New Roman"/>
          <w:smallCaps w:val="0"/>
          <w:noProof/>
          <w:sz w:val="20"/>
          <w:szCs w:val="20"/>
          <w:lang w:val="ms-MY"/>
        </w:rPr>
        <w:t>, Kamaruzzaman Sopian</w:t>
      </w:r>
      <w:r w:rsidRPr="00A120CA">
        <w:rPr>
          <w:rFonts w:ascii="Times New Roman" w:hAnsi="Times New Roman"/>
          <w:smallCaps w:val="0"/>
          <w:noProof/>
          <w:sz w:val="20"/>
          <w:szCs w:val="20"/>
          <w:vertAlign w:val="superscript"/>
          <w:lang w:val="ms-MY"/>
        </w:rPr>
        <w:t>1</w:t>
      </w:r>
      <w:r w:rsidRPr="00A120CA">
        <w:rPr>
          <w:rFonts w:ascii="Times New Roman" w:hAnsi="Times New Roman"/>
          <w:smallCaps w:val="0"/>
          <w:noProof/>
          <w:sz w:val="20"/>
          <w:szCs w:val="20"/>
          <w:lang w:val="ms-MY"/>
        </w:rPr>
        <w:t>,  Hironori Arakawa</w:t>
      </w:r>
      <w:r w:rsidRPr="00A120CA">
        <w:rPr>
          <w:rFonts w:ascii="Times New Roman" w:hAnsi="Times New Roman"/>
          <w:smallCaps w:val="0"/>
          <w:noProof/>
          <w:sz w:val="20"/>
          <w:szCs w:val="20"/>
          <w:vertAlign w:val="superscript"/>
          <w:lang w:val="ms-MY"/>
        </w:rPr>
        <w:t>3</w:t>
      </w:r>
    </w:p>
    <w:p w:rsidR="00A120CA" w:rsidRPr="00A120CA" w:rsidRDefault="00A120CA" w:rsidP="00A120CA">
      <w:pPr>
        <w:spacing w:after="0" w:line="240" w:lineRule="auto"/>
        <w:jc w:val="center"/>
        <w:rPr>
          <w:rFonts w:ascii="Times New Roman" w:hAnsi="Times New Roman"/>
          <w:sz w:val="18"/>
          <w:szCs w:val="18"/>
          <w:lang w:val="ms-MY"/>
        </w:rPr>
      </w:pPr>
    </w:p>
    <w:p w:rsidR="00A120CA" w:rsidRPr="0024297E" w:rsidRDefault="00A120CA" w:rsidP="00A120CA">
      <w:pPr>
        <w:autoSpaceDE w:val="0"/>
        <w:autoSpaceDN w:val="0"/>
        <w:adjustRightInd w:val="0"/>
        <w:spacing w:after="0" w:line="240" w:lineRule="auto"/>
        <w:jc w:val="center"/>
        <w:rPr>
          <w:rFonts w:ascii="Times New Roman" w:hAnsi="Times New Roman"/>
          <w:i/>
          <w:sz w:val="18"/>
          <w:szCs w:val="18"/>
        </w:rPr>
      </w:pPr>
      <w:r w:rsidRPr="0024297E">
        <w:rPr>
          <w:rFonts w:ascii="Times New Roman" w:hAnsi="Times New Roman"/>
          <w:i/>
          <w:sz w:val="18"/>
          <w:szCs w:val="18"/>
          <w:vertAlign w:val="superscript"/>
        </w:rPr>
        <w:t>1</w:t>
      </w:r>
      <w:r w:rsidRPr="0024297E">
        <w:rPr>
          <w:rFonts w:ascii="Times New Roman" w:hAnsi="Times New Roman"/>
          <w:i/>
          <w:sz w:val="18"/>
          <w:szCs w:val="18"/>
        </w:rPr>
        <w:t xml:space="preserve">Solar Energy Research Institute (SERI), </w:t>
      </w:r>
    </w:p>
    <w:p w:rsidR="00A120CA" w:rsidRPr="0024297E" w:rsidRDefault="00A120CA" w:rsidP="00A120CA">
      <w:pPr>
        <w:autoSpaceDE w:val="0"/>
        <w:autoSpaceDN w:val="0"/>
        <w:adjustRightInd w:val="0"/>
        <w:spacing w:after="0" w:line="240" w:lineRule="auto"/>
        <w:jc w:val="center"/>
        <w:rPr>
          <w:rFonts w:ascii="Times New Roman" w:hAnsi="Times New Roman"/>
          <w:i/>
          <w:sz w:val="18"/>
          <w:szCs w:val="18"/>
        </w:rPr>
      </w:pPr>
      <w:r w:rsidRPr="0024297E">
        <w:rPr>
          <w:rFonts w:ascii="Times New Roman" w:hAnsi="Times New Roman"/>
          <w:i/>
          <w:sz w:val="18"/>
          <w:szCs w:val="18"/>
        </w:rPr>
        <w:t xml:space="preserve">Universiti Kebangsaan Malaysia, 43600 </w:t>
      </w:r>
      <w:r>
        <w:rPr>
          <w:rFonts w:ascii="Times New Roman" w:hAnsi="Times New Roman"/>
          <w:i/>
          <w:sz w:val="18"/>
          <w:szCs w:val="18"/>
        </w:rPr>
        <w:t xml:space="preserve">UKM </w:t>
      </w:r>
      <w:r w:rsidRPr="0024297E">
        <w:rPr>
          <w:rFonts w:ascii="Times New Roman" w:hAnsi="Times New Roman"/>
          <w:i/>
          <w:sz w:val="18"/>
          <w:szCs w:val="18"/>
        </w:rPr>
        <w:t>Bangi, Selangor, Malaysia</w:t>
      </w:r>
    </w:p>
    <w:p w:rsidR="00A120CA" w:rsidRDefault="00A120CA" w:rsidP="00A120CA">
      <w:pPr>
        <w:spacing w:after="0" w:line="240" w:lineRule="auto"/>
        <w:jc w:val="center"/>
        <w:rPr>
          <w:rFonts w:ascii="Times New Roman" w:hAnsi="Times New Roman"/>
          <w:i/>
          <w:sz w:val="18"/>
          <w:szCs w:val="18"/>
        </w:rPr>
      </w:pPr>
      <w:r w:rsidRPr="0024297E">
        <w:rPr>
          <w:rFonts w:ascii="Times New Roman" w:hAnsi="Times New Roman"/>
          <w:i/>
          <w:sz w:val="18"/>
          <w:szCs w:val="18"/>
          <w:vertAlign w:val="superscript"/>
        </w:rPr>
        <w:t>2</w:t>
      </w:r>
      <w:r w:rsidRPr="0024297E">
        <w:rPr>
          <w:rFonts w:ascii="Times New Roman" w:hAnsi="Times New Roman"/>
          <w:i/>
          <w:sz w:val="18"/>
          <w:szCs w:val="18"/>
        </w:rPr>
        <w:t xml:space="preserve"> Faculty of Forestry, </w:t>
      </w:r>
    </w:p>
    <w:p w:rsidR="00A120CA" w:rsidRPr="0024297E" w:rsidRDefault="00A120CA" w:rsidP="00A120CA">
      <w:pPr>
        <w:spacing w:after="0" w:line="240" w:lineRule="auto"/>
        <w:jc w:val="center"/>
        <w:rPr>
          <w:rFonts w:ascii="Times New Roman" w:hAnsi="Times New Roman"/>
          <w:i/>
          <w:sz w:val="18"/>
          <w:szCs w:val="18"/>
        </w:rPr>
      </w:pPr>
      <w:r w:rsidRPr="0024297E">
        <w:rPr>
          <w:rFonts w:ascii="Times New Roman" w:hAnsi="Times New Roman"/>
          <w:i/>
          <w:sz w:val="18"/>
          <w:szCs w:val="18"/>
        </w:rPr>
        <w:t>Universiti Putra Malaysia, 43400 Serdang, Selangor, Malaysia</w:t>
      </w:r>
    </w:p>
    <w:p w:rsidR="00A120CA" w:rsidRDefault="00A120CA" w:rsidP="00A120CA">
      <w:pPr>
        <w:spacing w:after="0" w:line="240" w:lineRule="auto"/>
        <w:jc w:val="center"/>
        <w:rPr>
          <w:rFonts w:ascii="Times New Roman" w:hAnsi="Times New Roman"/>
          <w:i/>
          <w:sz w:val="18"/>
          <w:szCs w:val="18"/>
        </w:rPr>
      </w:pPr>
      <w:r w:rsidRPr="0024297E">
        <w:rPr>
          <w:rFonts w:ascii="Times New Roman" w:hAnsi="Times New Roman"/>
          <w:i/>
          <w:sz w:val="18"/>
          <w:szCs w:val="18"/>
          <w:vertAlign w:val="superscript"/>
        </w:rPr>
        <w:t>3</w:t>
      </w:r>
      <w:r w:rsidRPr="0024297E">
        <w:rPr>
          <w:rFonts w:ascii="Times New Roman" w:hAnsi="Times New Roman"/>
          <w:i/>
          <w:sz w:val="18"/>
          <w:szCs w:val="18"/>
        </w:rPr>
        <w:t xml:space="preserve"> Department of Industrial Chemistry, Faculty of Engineering, </w:t>
      </w:r>
    </w:p>
    <w:p w:rsidR="00A120CA" w:rsidRPr="0024297E" w:rsidRDefault="00A120CA" w:rsidP="00A120CA">
      <w:pPr>
        <w:spacing w:after="0" w:line="240" w:lineRule="auto"/>
        <w:jc w:val="center"/>
        <w:rPr>
          <w:rFonts w:ascii="Times New Roman" w:hAnsi="Times New Roman"/>
          <w:i/>
          <w:sz w:val="18"/>
          <w:szCs w:val="18"/>
        </w:rPr>
      </w:pPr>
      <w:r w:rsidRPr="0024297E">
        <w:rPr>
          <w:rFonts w:ascii="Times New Roman" w:hAnsi="Times New Roman"/>
          <w:i/>
          <w:sz w:val="18"/>
          <w:szCs w:val="18"/>
        </w:rPr>
        <w:t>Tokyo University of Science, 162-0826, Japan</w:t>
      </w:r>
    </w:p>
    <w:p w:rsidR="00A120CA" w:rsidRPr="0024297E" w:rsidRDefault="00A120CA" w:rsidP="00A120CA">
      <w:pPr>
        <w:spacing w:after="0" w:line="240" w:lineRule="auto"/>
        <w:jc w:val="center"/>
        <w:rPr>
          <w:rFonts w:ascii="Times New Roman" w:hAnsi="Times New Roman"/>
          <w:i/>
          <w:sz w:val="18"/>
          <w:szCs w:val="18"/>
        </w:rPr>
      </w:pPr>
    </w:p>
    <w:p w:rsidR="00A120CA" w:rsidRPr="0024297E" w:rsidRDefault="00A120CA" w:rsidP="00A120CA">
      <w:pPr>
        <w:pStyle w:val="TNR12"/>
        <w:spacing w:after="0" w:line="240" w:lineRule="auto"/>
        <w:jc w:val="center"/>
        <w:rPr>
          <w:i/>
          <w:sz w:val="18"/>
          <w:szCs w:val="18"/>
        </w:rPr>
      </w:pPr>
      <w:r w:rsidRPr="0024297E">
        <w:rPr>
          <w:i/>
          <w:sz w:val="18"/>
          <w:szCs w:val="18"/>
        </w:rPr>
        <w:t xml:space="preserve">*Corresponding author: </w:t>
      </w:r>
      <w:r>
        <w:rPr>
          <w:i/>
          <w:sz w:val="18"/>
          <w:szCs w:val="18"/>
        </w:rPr>
        <w:t xml:space="preserve"> </w:t>
      </w:r>
      <w:r w:rsidRPr="0024297E">
        <w:rPr>
          <w:i/>
          <w:sz w:val="18"/>
          <w:szCs w:val="18"/>
        </w:rPr>
        <w:t>sheekeen@ukm.edu.my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A120CA">
        <w:rPr>
          <w:rFonts w:ascii="Times New Roman" w:hAnsi="Times New Roman"/>
          <w:noProof/>
          <w:sz w:val="18"/>
          <w:szCs w:val="18"/>
          <w:lang w:bidi="ar-SA"/>
        </w:rPr>
        <w:t>12 April 2017</w:t>
      </w:r>
      <w:r>
        <w:rPr>
          <w:rFonts w:ascii="Times New Roman" w:hAnsi="Times New Roman"/>
          <w:noProof/>
          <w:sz w:val="18"/>
          <w:szCs w:val="18"/>
          <w:lang w:bidi="ar-SA"/>
        </w:rPr>
        <w:t xml:space="preserve">; Accepted: </w:t>
      </w:r>
      <w:r w:rsidR="00A120CA">
        <w:rPr>
          <w:rFonts w:ascii="Times New Roman" w:hAnsi="Times New Roman"/>
          <w:noProof/>
          <w:sz w:val="18"/>
          <w:szCs w:val="18"/>
          <w:lang w:bidi="ar-SA"/>
        </w:rPr>
        <w:t>1 September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372D64" w:rsidRPr="00372D64" w:rsidRDefault="00372D64" w:rsidP="00372D64">
      <w:pPr>
        <w:pStyle w:val="Style1"/>
        <w:spacing w:after="0" w:line="240" w:lineRule="auto"/>
        <w:jc w:val="both"/>
        <w:rPr>
          <w:b/>
          <w:sz w:val="18"/>
          <w:szCs w:val="18"/>
        </w:rPr>
      </w:pPr>
      <w:r w:rsidRPr="00372D64">
        <w:rPr>
          <w:sz w:val="18"/>
          <w:szCs w:val="18"/>
        </w:rPr>
        <w:t>In this study, photovoltaic performance was improved when two natural sensitizers, namely, rengas (</w:t>
      </w:r>
      <w:r w:rsidRPr="00372D64">
        <w:rPr>
          <w:i/>
          <w:sz w:val="18"/>
          <w:szCs w:val="18"/>
        </w:rPr>
        <w:t>Gluta spp.</w:t>
      </w:r>
      <w:r w:rsidRPr="00372D64">
        <w:rPr>
          <w:sz w:val="18"/>
          <w:szCs w:val="18"/>
        </w:rPr>
        <w:t>) and mengkulang (</w:t>
      </w:r>
      <w:r w:rsidRPr="00372D64">
        <w:rPr>
          <w:i/>
          <w:sz w:val="18"/>
          <w:szCs w:val="18"/>
        </w:rPr>
        <w:t>Heritiera elata</w:t>
      </w:r>
      <w:r w:rsidRPr="00372D64">
        <w:rPr>
          <w:sz w:val="18"/>
          <w:szCs w:val="18"/>
        </w:rPr>
        <w:t>), were mixed with ruthenium (N719) sensitizer. Five different ratios were prepared and their performances were compared with individual sensitizers. The components of the sensitizers were analyzed via ultraviolet–visible spectrophotometry and F</w:t>
      </w:r>
      <w:r w:rsidRPr="00372D64">
        <w:rPr>
          <w:rFonts w:eastAsiaTheme="minorEastAsia"/>
          <w:sz w:val="18"/>
          <w:szCs w:val="18"/>
        </w:rPr>
        <w:t>ourier transform infrared spectroscopy. The band gap values and the highest occupied molecular orbital</w:t>
      </w:r>
      <w:r w:rsidRPr="00372D64">
        <w:rPr>
          <w:sz w:val="18"/>
          <w:szCs w:val="18"/>
        </w:rPr>
        <w:t>–</w:t>
      </w:r>
      <w:r w:rsidRPr="00372D64">
        <w:rPr>
          <w:rFonts w:eastAsiaTheme="minorEastAsia"/>
          <w:sz w:val="18"/>
          <w:szCs w:val="18"/>
        </w:rPr>
        <w:t>lowest unoccupied molecular orbital (</w:t>
      </w:r>
      <w:r w:rsidRPr="00372D64">
        <w:rPr>
          <w:sz w:val="18"/>
          <w:szCs w:val="18"/>
        </w:rPr>
        <w:t>HOMO-LUMO</w:t>
      </w:r>
      <w:r w:rsidRPr="00372D64">
        <w:rPr>
          <w:rFonts w:eastAsiaTheme="minorEastAsia"/>
          <w:sz w:val="18"/>
          <w:szCs w:val="18"/>
        </w:rPr>
        <w:t>) levels were calculated using data obtained from photoluminescence analysis and cyclic voltammetry.</w:t>
      </w:r>
      <w:r w:rsidRPr="00372D64">
        <w:rPr>
          <w:sz w:val="18"/>
          <w:szCs w:val="18"/>
        </w:rPr>
        <w:t xml:space="preserve"> The mengkulang: N719 (80%:20%) sensitizer exhibits the highest conversion efficiency (</w:t>
      </w:r>
      <w:r w:rsidRPr="00372D64">
        <w:rPr>
          <w:i/>
          <w:sz w:val="18"/>
          <w:szCs w:val="18"/>
        </w:rPr>
        <w:t>ŋ</w:t>
      </w:r>
      <w:r w:rsidRPr="00372D64">
        <w:rPr>
          <w:sz w:val="18"/>
          <w:szCs w:val="18"/>
        </w:rPr>
        <w:t>), which is 0.58% with an open circuit voltage (</w:t>
      </w:r>
      <w:r w:rsidRPr="00372D64">
        <w:rPr>
          <w:i/>
          <w:sz w:val="18"/>
          <w:szCs w:val="18"/>
        </w:rPr>
        <w:t>V</w:t>
      </w:r>
      <w:r w:rsidRPr="00372D64">
        <w:rPr>
          <w:sz w:val="18"/>
          <w:szCs w:val="18"/>
          <w:vertAlign w:val="subscript"/>
        </w:rPr>
        <w:t>oc</w:t>
      </w:r>
      <w:r w:rsidRPr="00372D64">
        <w:rPr>
          <w:sz w:val="18"/>
          <w:szCs w:val="18"/>
        </w:rPr>
        <w:t>) of 0.63 V, a short circuit photocurrent density (</w:t>
      </w:r>
      <w:r w:rsidRPr="00372D64">
        <w:rPr>
          <w:i/>
          <w:sz w:val="18"/>
          <w:szCs w:val="18"/>
        </w:rPr>
        <w:t>J</w:t>
      </w:r>
      <w:r w:rsidRPr="00372D64">
        <w:rPr>
          <w:sz w:val="18"/>
          <w:szCs w:val="18"/>
          <w:vertAlign w:val="subscript"/>
        </w:rPr>
        <w:t>sc</w:t>
      </w:r>
      <w:r w:rsidRPr="00372D64">
        <w:rPr>
          <w:sz w:val="18"/>
          <w:szCs w:val="18"/>
        </w:rPr>
        <w:t>) of 2.1 mA/cm</w:t>
      </w:r>
      <w:r w:rsidRPr="00372D64">
        <w:rPr>
          <w:sz w:val="18"/>
          <w:szCs w:val="18"/>
          <w:vertAlign w:val="superscript"/>
        </w:rPr>
        <w:t>2</w:t>
      </w:r>
      <w:r w:rsidRPr="00372D64">
        <w:rPr>
          <w:sz w:val="18"/>
          <w:szCs w:val="18"/>
        </w:rPr>
        <w:t>, and a fill factor (</w:t>
      </w:r>
      <w:r w:rsidRPr="00372D64">
        <w:rPr>
          <w:i/>
          <w:sz w:val="18"/>
          <w:szCs w:val="18"/>
        </w:rPr>
        <w:t>ff</w:t>
      </w:r>
      <w:r w:rsidRPr="00372D64">
        <w:rPr>
          <w:sz w:val="18"/>
          <w:szCs w:val="18"/>
        </w:rPr>
        <w:t>) of 0.44. By contrast, the individual mengkulang sensitizer presents a poor conversion efficiency (</w:t>
      </w:r>
      <w:r w:rsidRPr="00372D64">
        <w:rPr>
          <w:i/>
          <w:sz w:val="18"/>
          <w:szCs w:val="18"/>
        </w:rPr>
        <w:t>ŋ</w:t>
      </w:r>
      <w:r w:rsidRPr="00372D64">
        <w:rPr>
          <w:sz w:val="18"/>
          <w:szCs w:val="18"/>
        </w:rPr>
        <w:t>) of 0.16%.</w:t>
      </w:r>
    </w:p>
    <w:p w:rsidR="00372D64" w:rsidRPr="00372D64" w:rsidRDefault="00372D64" w:rsidP="00372D64">
      <w:pPr>
        <w:pStyle w:val="Style1"/>
        <w:spacing w:after="0" w:line="240" w:lineRule="auto"/>
        <w:jc w:val="both"/>
        <w:rPr>
          <w:sz w:val="18"/>
          <w:szCs w:val="18"/>
        </w:rPr>
      </w:pPr>
    </w:p>
    <w:p w:rsidR="00372D64" w:rsidRPr="00372D64" w:rsidRDefault="00372D64" w:rsidP="00372D64">
      <w:pPr>
        <w:pStyle w:val="Style1"/>
        <w:spacing w:after="0" w:line="240" w:lineRule="auto"/>
        <w:jc w:val="both"/>
        <w:rPr>
          <w:sz w:val="18"/>
          <w:szCs w:val="18"/>
        </w:rPr>
      </w:pPr>
      <w:r w:rsidRPr="00372D64">
        <w:rPr>
          <w:b/>
          <w:iCs/>
          <w:sz w:val="18"/>
          <w:szCs w:val="18"/>
        </w:rPr>
        <w:t xml:space="preserve">Keywords: </w:t>
      </w:r>
      <w:r>
        <w:rPr>
          <w:b/>
          <w:iCs/>
          <w:sz w:val="18"/>
          <w:szCs w:val="18"/>
        </w:rPr>
        <w:t xml:space="preserve"> </w:t>
      </w:r>
      <w:r w:rsidRPr="00372D64">
        <w:rPr>
          <w:sz w:val="18"/>
          <w:szCs w:val="18"/>
        </w:rPr>
        <w:t>natural sensitizer, mixed sensitizer, band gap, HOMO–LUMO level</w:t>
      </w:r>
    </w:p>
    <w:p w:rsidR="00372D64" w:rsidRPr="00372D64" w:rsidRDefault="00372D64" w:rsidP="00372D64">
      <w:pPr>
        <w:pStyle w:val="Style1"/>
        <w:spacing w:after="0" w:line="240" w:lineRule="auto"/>
        <w:jc w:val="center"/>
        <w:rPr>
          <w:sz w:val="18"/>
          <w:szCs w:val="18"/>
        </w:rPr>
      </w:pPr>
    </w:p>
    <w:p w:rsidR="00372D64" w:rsidRPr="00372D64" w:rsidRDefault="00372D64" w:rsidP="00372D64">
      <w:pPr>
        <w:pStyle w:val="Style1"/>
        <w:spacing w:after="0" w:line="240" w:lineRule="auto"/>
        <w:jc w:val="center"/>
        <w:rPr>
          <w:b/>
          <w:sz w:val="18"/>
          <w:szCs w:val="18"/>
          <w:lang w:val="ms-MY"/>
        </w:rPr>
      </w:pPr>
      <w:r w:rsidRPr="00372D64">
        <w:rPr>
          <w:b/>
          <w:sz w:val="18"/>
          <w:szCs w:val="18"/>
          <w:lang w:val="ms-MY"/>
        </w:rPr>
        <w:t>Abstrak</w:t>
      </w:r>
    </w:p>
    <w:p w:rsidR="00372D64" w:rsidRPr="00372D64" w:rsidRDefault="00372D64" w:rsidP="00372D64">
      <w:pPr>
        <w:pStyle w:val="Style1"/>
        <w:spacing w:after="0" w:line="240" w:lineRule="auto"/>
        <w:jc w:val="both"/>
        <w:rPr>
          <w:sz w:val="18"/>
          <w:szCs w:val="18"/>
          <w:lang w:val="ms-MY"/>
        </w:rPr>
      </w:pPr>
      <w:r w:rsidRPr="00372D64">
        <w:rPr>
          <w:sz w:val="18"/>
          <w:szCs w:val="18"/>
          <w:lang w:val="ms-MY"/>
        </w:rPr>
        <w:t>Dalam kajian ini, prestasi fotovoltik telah bertambah baik apabila dua pemeka yang semula jadi, iaitu, rengas (</w:t>
      </w:r>
      <w:r w:rsidRPr="00372D64">
        <w:rPr>
          <w:i/>
          <w:sz w:val="18"/>
          <w:szCs w:val="18"/>
          <w:lang w:val="ms-MY"/>
        </w:rPr>
        <w:t>Gluta spp</w:t>
      </w:r>
      <w:r w:rsidRPr="00372D64">
        <w:rPr>
          <w:sz w:val="18"/>
          <w:szCs w:val="18"/>
          <w:lang w:val="ms-MY"/>
        </w:rPr>
        <w:t>.) dan mengkulang (</w:t>
      </w:r>
      <w:r w:rsidRPr="00372D64">
        <w:rPr>
          <w:i/>
          <w:sz w:val="18"/>
          <w:szCs w:val="18"/>
          <w:lang w:val="ms-MY"/>
        </w:rPr>
        <w:t>Heritiera elata</w:t>
      </w:r>
      <w:r w:rsidRPr="00372D64">
        <w:rPr>
          <w:sz w:val="18"/>
          <w:szCs w:val="18"/>
          <w:lang w:val="ms-MY"/>
        </w:rPr>
        <w:t xml:space="preserve">), telah di campur dengan pemeka rutenium (N719). Lima nisbah yang berbeza telah disediakan dan prestasi mereka dibandingkan dengan pemeka individu. Komponen pemeka dianalisis melalui spektrofotometri ultralembayung cahaya nampak dan spektroskopi inframerah transformasi Fourier. Nilai jurang jalur dan aras orbit molekul tertinggi yang diduduki - orbit molekul terendah yang diduduki (HOMO-LUMO) dikira menggunakan data yang diperolehi daripada analisis </w:t>
      </w:r>
      <w:r w:rsidRPr="00372D64">
        <w:rPr>
          <w:sz w:val="18"/>
          <w:szCs w:val="18"/>
          <w:shd w:val="clear" w:color="auto" w:fill="FBFCFC"/>
          <w:lang w:val="ms-MY"/>
        </w:rPr>
        <w:t>kefotopendarcahayaan</w:t>
      </w:r>
      <w:r w:rsidRPr="00372D64">
        <w:rPr>
          <w:sz w:val="18"/>
          <w:szCs w:val="18"/>
          <w:lang w:val="ms-MY"/>
        </w:rPr>
        <w:t xml:space="preserve"> dan voltammetri berkitar. Pemeka mengkulang:N719 (80%: 20%) mempamerkan kecekapan penukaran tertinggi (</w:t>
      </w:r>
      <w:r w:rsidRPr="00372D64">
        <w:rPr>
          <w:i/>
          <w:sz w:val="18"/>
          <w:szCs w:val="18"/>
          <w:lang w:val="ms-MY"/>
        </w:rPr>
        <w:t>ŋ</w:t>
      </w:r>
      <w:r w:rsidRPr="00372D64">
        <w:rPr>
          <w:sz w:val="18"/>
          <w:szCs w:val="18"/>
          <w:lang w:val="ms-MY"/>
        </w:rPr>
        <w:t>), iaitu 0.58% dengan voltan litar terbuka (</w:t>
      </w:r>
      <w:r w:rsidRPr="00372D64">
        <w:rPr>
          <w:i/>
          <w:sz w:val="18"/>
          <w:szCs w:val="18"/>
          <w:lang w:val="ms-MY"/>
        </w:rPr>
        <w:t>V</w:t>
      </w:r>
      <w:r w:rsidRPr="00372D64">
        <w:rPr>
          <w:sz w:val="18"/>
          <w:szCs w:val="18"/>
          <w:vertAlign w:val="subscript"/>
          <w:lang w:val="ms-MY"/>
        </w:rPr>
        <w:t>oc</w:t>
      </w:r>
      <w:r w:rsidRPr="00372D64">
        <w:rPr>
          <w:sz w:val="18"/>
          <w:szCs w:val="18"/>
          <w:lang w:val="ms-MY"/>
        </w:rPr>
        <w:t>) 0.63 V, kepadatan fotoarus litar pintas (</w:t>
      </w:r>
      <w:r w:rsidRPr="00372D64">
        <w:rPr>
          <w:i/>
          <w:sz w:val="18"/>
          <w:szCs w:val="18"/>
          <w:lang w:val="ms-MY"/>
        </w:rPr>
        <w:t>J</w:t>
      </w:r>
      <w:r w:rsidRPr="00372D64">
        <w:rPr>
          <w:sz w:val="18"/>
          <w:szCs w:val="18"/>
          <w:vertAlign w:val="subscript"/>
          <w:lang w:val="ms-MY"/>
        </w:rPr>
        <w:t>sc</w:t>
      </w:r>
      <w:r w:rsidRPr="00372D64">
        <w:rPr>
          <w:sz w:val="18"/>
          <w:szCs w:val="18"/>
          <w:lang w:val="ms-MY"/>
        </w:rPr>
        <w:t>) sebanyak 2.1 mA/cm</w:t>
      </w:r>
      <w:r w:rsidRPr="00372D64">
        <w:rPr>
          <w:sz w:val="18"/>
          <w:szCs w:val="18"/>
          <w:vertAlign w:val="superscript"/>
          <w:lang w:val="ms-MY"/>
        </w:rPr>
        <w:t>2</w:t>
      </w:r>
      <w:r w:rsidRPr="00372D64">
        <w:rPr>
          <w:sz w:val="18"/>
          <w:szCs w:val="18"/>
          <w:lang w:val="ms-MY"/>
        </w:rPr>
        <w:t xml:space="preserve"> dan faktor isi (</w:t>
      </w:r>
      <w:r w:rsidRPr="00372D64">
        <w:rPr>
          <w:i/>
          <w:sz w:val="18"/>
          <w:szCs w:val="18"/>
          <w:lang w:val="ms-MY"/>
        </w:rPr>
        <w:t>ff</w:t>
      </w:r>
      <w:r w:rsidRPr="00372D64">
        <w:rPr>
          <w:sz w:val="18"/>
          <w:szCs w:val="18"/>
          <w:lang w:val="ms-MY"/>
        </w:rPr>
        <w:t>) daripada 0.44. Sebaliknya, pemeka individu mengkulang memberikan kecekapan penukaran terendah (</w:t>
      </w:r>
      <w:r w:rsidRPr="00372D64">
        <w:rPr>
          <w:i/>
          <w:sz w:val="18"/>
          <w:szCs w:val="18"/>
          <w:lang w:val="ms-MY"/>
        </w:rPr>
        <w:t>ŋ</w:t>
      </w:r>
      <w:r w:rsidRPr="00372D64">
        <w:rPr>
          <w:sz w:val="18"/>
          <w:szCs w:val="18"/>
          <w:lang w:val="ms-MY"/>
        </w:rPr>
        <w:t>) 0.16%.</w:t>
      </w:r>
    </w:p>
    <w:p w:rsidR="00372D64" w:rsidRPr="00372D64" w:rsidRDefault="00372D64" w:rsidP="00372D64">
      <w:pPr>
        <w:pStyle w:val="Style1"/>
        <w:spacing w:after="0" w:line="240" w:lineRule="auto"/>
        <w:jc w:val="both"/>
        <w:rPr>
          <w:sz w:val="18"/>
          <w:szCs w:val="18"/>
          <w:lang w:val="ms-MY"/>
        </w:rPr>
      </w:pPr>
    </w:p>
    <w:p w:rsidR="00372D64" w:rsidRPr="00372D64" w:rsidRDefault="00372D64" w:rsidP="00372D64">
      <w:pPr>
        <w:pStyle w:val="Style1"/>
        <w:spacing w:after="0" w:line="240" w:lineRule="auto"/>
        <w:jc w:val="both"/>
        <w:rPr>
          <w:sz w:val="18"/>
          <w:szCs w:val="18"/>
          <w:lang w:val="ms-MY"/>
        </w:rPr>
      </w:pPr>
      <w:r w:rsidRPr="00372D64">
        <w:rPr>
          <w:b/>
          <w:sz w:val="18"/>
          <w:szCs w:val="18"/>
          <w:lang w:val="ms-MY"/>
        </w:rPr>
        <w:t>Kata kunci</w:t>
      </w:r>
      <w:r w:rsidRPr="00372D64">
        <w:rPr>
          <w:sz w:val="18"/>
          <w:szCs w:val="18"/>
          <w:lang w:val="ms-MY"/>
        </w:rPr>
        <w:t xml:space="preserve">: </w:t>
      </w:r>
      <w:r>
        <w:rPr>
          <w:sz w:val="18"/>
          <w:szCs w:val="18"/>
          <w:lang w:val="ms-MY"/>
        </w:rPr>
        <w:t xml:space="preserve"> </w:t>
      </w:r>
      <w:r w:rsidRPr="00372D64">
        <w:rPr>
          <w:sz w:val="18"/>
          <w:szCs w:val="18"/>
          <w:lang w:val="ms-MY"/>
        </w:rPr>
        <w:t>pemeka semula jadi, pemeka campuran, jurang jalur, aras HOMO-LUMO</w:t>
      </w: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372D64" w:rsidRPr="00372D64" w:rsidRDefault="00372D64" w:rsidP="00372D64">
      <w:pPr>
        <w:pStyle w:val="Style1"/>
        <w:spacing w:after="0" w:line="240" w:lineRule="auto"/>
        <w:jc w:val="both"/>
        <w:rPr>
          <w:sz w:val="20"/>
          <w:szCs w:val="20"/>
        </w:rPr>
      </w:pPr>
      <w:r w:rsidRPr="00372D64">
        <w:rPr>
          <w:sz w:val="20"/>
          <w:szCs w:val="20"/>
        </w:rPr>
        <w:t xml:space="preserve">Dye sensitized solar cells (DSSCs) becomes reliable solar cells device as it is reported to promote low cost for material and simple synthesis method in achieving efficient conversion efficiency [1-4]. Basically, DSSCs consists of four components to convert light into electricity which are porous semiconductor, sensitizer, electrolyte and counter electrode. A lot of explorations have been made for each of the components to enhance the effectiveness of DSSCs [5, 6]. Since sensitizer plays important key roles to absorb light and supply electron for the mechanism in DSSCs, an intense attract to introduce effective sensitizer have led to few types of sensitizer such as metal complexes, metal-free, organic, inorganic, synthetic and natural sensitizers. Each type of sensitizers has their own potential to enhance the conversion efficiency as well as drawbacks that limit their performance [7-10]. A sensitizer that works as a light harvester in dye-sensitized solar cells (DSSCs) is the key to improving the performance of such cells. </w:t>
      </w:r>
    </w:p>
    <w:p w:rsidR="00372D64" w:rsidRPr="00372D64" w:rsidRDefault="00372D64" w:rsidP="00372D64">
      <w:pPr>
        <w:pStyle w:val="Style1"/>
        <w:spacing w:after="0" w:line="240" w:lineRule="auto"/>
        <w:jc w:val="both"/>
        <w:rPr>
          <w:sz w:val="20"/>
          <w:szCs w:val="20"/>
        </w:rPr>
      </w:pPr>
    </w:p>
    <w:p w:rsidR="00372D64" w:rsidRPr="00372D64" w:rsidRDefault="00372D64" w:rsidP="00372D64">
      <w:pPr>
        <w:pStyle w:val="Style1"/>
        <w:spacing w:after="0" w:line="240" w:lineRule="auto"/>
        <w:jc w:val="both"/>
        <w:rPr>
          <w:sz w:val="20"/>
          <w:szCs w:val="20"/>
        </w:rPr>
      </w:pPr>
      <w:r w:rsidRPr="00372D64">
        <w:rPr>
          <w:sz w:val="20"/>
          <w:szCs w:val="20"/>
        </w:rPr>
        <w:t>Recently, natural dyes have become reliable alternatives for expensive organic, inorganic, or synthetic dyes. Several studies have found that using natural sensitizers have several possible advantages. For example, natural materials can be easily extracted from fruits, flowers, and leaves with minimal procedures; hence, they have attracted considerable interest to produce low-cost and biodegradable sensitizers [11, 12]. Furthermore, such sensitizers are effective because they provide charge carriers and the model cells exhibit similarities to the photosynthetic mechanism [13, 14]. Natural dyes, which are abundant, provide reasonable light harvesting efficiency; they are also sustainable, low cost, and non-toxic [15, 16]. The most efficient photosensitizer for DSSCs is obtained from ruthenium polypyridyl complexes, such as N719, which exhibits conversion efficiency (</w:t>
      </w:r>
      <w:r w:rsidRPr="00372D64">
        <w:rPr>
          <w:i/>
          <w:sz w:val="20"/>
          <w:szCs w:val="20"/>
        </w:rPr>
        <w:t>ŋ</w:t>
      </w:r>
      <w:r w:rsidRPr="00372D64">
        <w:rPr>
          <w:sz w:val="20"/>
          <w:szCs w:val="20"/>
        </w:rPr>
        <w:t xml:space="preserve">) of over 10% [17]. This characteristic is attributed to metal-to-ligand charge transfer, which produces excited states with long lifetimes, and thus, provides N719 with a broad photon absorption band in the visible spectrum range [18-20]. However, a few drawbacks exhibited by N719 have prompted researchers to seek for another alternative photosensitizer. Although ruthenium exhibits high thermal and chemical stabilities, as well as provides a relatively high efficiency, this trace element is extremely expensive and the demand for it is high; moreover, its sophisticated synthesis and purification processes lead to a high production cost [9]. In addition, ruthenium is a heavy metal, and thus, is a threat to the environment that can pose potential risks even to future generations. </w:t>
      </w:r>
    </w:p>
    <w:p w:rsidR="00372D64" w:rsidRPr="00372D64" w:rsidRDefault="00372D64" w:rsidP="00372D64">
      <w:pPr>
        <w:pStyle w:val="Style1"/>
        <w:spacing w:after="0" w:line="240" w:lineRule="auto"/>
        <w:jc w:val="both"/>
        <w:rPr>
          <w:sz w:val="20"/>
          <w:szCs w:val="20"/>
        </w:rPr>
      </w:pPr>
    </w:p>
    <w:p w:rsidR="00372D64" w:rsidRPr="00372D64" w:rsidRDefault="00372D64" w:rsidP="00372D64">
      <w:pPr>
        <w:pStyle w:val="Style1"/>
        <w:spacing w:after="0" w:line="240" w:lineRule="auto"/>
        <w:jc w:val="both"/>
        <w:rPr>
          <w:sz w:val="20"/>
          <w:szCs w:val="20"/>
        </w:rPr>
      </w:pPr>
      <w:r w:rsidRPr="00372D64">
        <w:rPr>
          <w:sz w:val="20"/>
          <w:szCs w:val="20"/>
        </w:rPr>
        <w:t>This study aims to investigate experimentally the photovoltaic performance of natural sensitizers extracted from rengas (</w:t>
      </w:r>
      <w:r w:rsidRPr="00372D64">
        <w:rPr>
          <w:i/>
          <w:sz w:val="20"/>
          <w:szCs w:val="20"/>
        </w:rPr>
        <w:t>Gluta spp</w:t>
      </w:r>
      <w:r w:rsidRPr="00372D64">
        <w:rPr>
          <w:sz w:val="20"/>
          <w:szCs w:val="20"/>
        </w:rPr>
        <w:t>.) and mengkulang (</w:t>
      </w:r>
      <w:r w:rsidRPr="00372D64">
        <w:rPr>
          <w:i/>
          <w:sz w:val="20"/>
          <w:szCs w:val="20"/>
        </w:rPr>
        <w:t>Heritiera elata</w:t>
      </w:r>
      <w:r w:rsidRPr="00372D64">
        <w:rPr>
          <w:sz w:val="20"/>
          <w:szCs w:val="20"/>
        </w:rPr>
        <w:t xml:space="preserve">) wood. These natural sensitizers are mixed with a low percentage of N719 sensitizer to enhance their cell performances and optical characteristics. </w:t>
      </w:r>
    </w:p>
    <w:p w:rsidR="00372D64" w:rsidRPr="00372D64" w:rsidRDefault="00372D64" w:rsidP="00372D64">
      <w:pPr>
        <w:pStyle w:val="Style1"/>
        <w:spacing w:after="0" w:line="240" w:lineRule="auto"/>
        <w:jc w:val="center"/>
        <w:rPr>
          <w:sz w:val="20"/>
          <w:szCs w:val="20"/>
        </w:rPr>
      </w:pPr>
    </w:p>
    <w:p w:rsidR="00372D64" w:rsidRPr="00372D64" w:rsidRDefault="00372D64" w:rsidP="00372D64">
      <w:pPr>
        <w:spacing w:after="0" w:line="240" w:lineRule="auto"/>
        <w:jc w:val="center"/>
        <w:rPr>
          <w:rFonts w:ascii="Times New Roman" w:hAnsi="Times New Roman"/>
          <w:b/>
          <w:sz w:val="20"/>
          <w:szCs w:val="20"/>
        </w:rPr>
      </w:pPr>
      <w:r w:rsidRPr="00372D64">
        <w:rPr>
          <w:rFonts w:ascii="Times New Roman" w:hAnsi="Times New Roman"/>
          <w:b/>
          <w:sz w:val="20"/>
          <w:szCs w:val="20"/>
        </w:rPr>
        <w:t>Materials and Methods</w:t>
      </w:r>
    </w:p>
    <w:p w:rsidR="00372D64" w:rsidRPr="00372D64" w:rsidRDefault="00372D64" w:rsidP="00372D64">
      <w:pPr>
        <w:spacing w:after="0" w:line="240" w:lineRule="auto"/>
        <w:jc w:val="both"/>
        <w:rPr>
          <w:rFonts w:ascii="Times New Roman" w:hAnsi="Times New Roman"/>
          <w:b/>
          <w:bCs/>
          <w:iCs/>
          <w:sz w:val="20"/>
          <w:szCs w:val="20"/>
        </w:rPr>
      </w:pPr>
      <w:r w:rsidRPr="00372D64">
        <w:rPr>
          <w:rFonts w:ascii="Times New Roman" w:hAnsi="Times New Roman"/>
          <w:b/>
          <w:bCs/>
          <w:iCs/>
          <w:sz w:val="20"/>
          <w:szCs w:val="20"/>
        </w:rPr>
        <w:t>Plants materials and wood extraction</w:t>
      </w:r>
    </w:p>
    <w:p w:rsidR="00372D64" w:rsidRPr="00372D64" w:rsidRDefault="00372D64" w:rsidP="00372D64">
      <w:pPr>
        <w:spacing w:after="0" w:line="240" w:lineRule="auto"/>
        <w:jc w:val="both"/>
        <w:rPr>
          <w:rFonts w:ascii="Times New Roman" w:eastAsiaTheme="minorEastAsia" w:hAnsi="Times New Roman"/>
          <w:sz w:val="20"/>
          <w:szCs w:val="20"/>
        </w:rPr>
      </w:pPr>
      <w:r w:rsidRPr="00372D64">
        <w:rPr>
          <w:rFonts w:ascii="Times New Roman" w:hAnsi="Times New Roman"/>
          <w:sz w:val="20"/>
          <w:szCs w:val="20"/>
        </w:rPr>
        <w:t>Rengas and mengkulang wood samples were collected from a local sawmill in Kuala Lumpur, Malaysia. A wood chipper machine and a knife ring chipper were used to obtain fine particles from the wood samples. The particles were then dried in an oven at 60 °C</w:t>
      </w:r>
      <w:r w:rsidRPr="00372D64">
        <w:rPr>
          <w:rFonts w:ascii="Times New Roman" w:eastAsiaTheme="minorEastAsia" w:hAnsi="Times New Roman"/>
          <w:sz w:val="20"/>
          <w:szCs w:val="20"/>
        </w:rPr>
        <w:t xml:space="preserve"> for 24 hours before they underwent a segregation process according to particle size. The large particles were ground further using a ball mill. The obtained sawdust was then dried in an oven at 130 </w:t>
      </w:r>
      <w:r w:rsidRPr="00372D64">
        <w:rPr>
          <w:rFonts w:ascii="Times New Roman" w:hAnsi="Times New Roman"/>
          <w:sz w:val="20"/>
          <w:szCs w:val="20"/>
        </w:rPr>
        <w:t>°C</w:t>
      </w:r>
      <w:r w:rsidRPr="00372D64">
        <w:rPr>
          <w:rFonts w:ascii="Times New Roman" w:eastAsiaTheme="minorEastAsia" w:hAnsi="Times New Roman"/>
          <w:sz w:val="20"/>
          <w:szCs w:val="20"/>
        </w:rPr>
        <w:t xml:space="preserve"> for 24 hours to decrease its moisture content. To extract dye from the sawdust, methanol was used as the organic solvent in a cold extraction technique. The sawdust was soaked in methanol (1:10 w/v ratio) and left overnight at room temperature. </w:t>
      </w:r>
      <w:r w:rsidRPr="00372D64">
        <w:rPr>
          <w:rFonts w:ascii="Times New Roman" w:hAnsi="Times New Roman"/>
          <w:sz w:val="20"/>
          <w:szCs w:val="20"/>
        </w:rPr>
        <w:t>All extraction procedures were performed under dim condition. The glassware that contained the dyes were covered with aluminum foil to minimize photoxidation. Then, the mixture was made to undergo Soxhlet extraction to obtain the extractive compound. The crude extract was stored in a refrigerator (4 °C</w:t>
      </w:r>
      <m:oMath>
        <m:r>
          <w:rPr>
            <w:rFonts w:ascii="Cambria Math" w:hAnsi="Cambria Math"/>
            <w:sz w:val="20"/>
            <w:szCs w:val="20"/>
          </w:rPr>
          <m:t xml:space="preserve"> </m:t>
        </m:r>
      </m:oMath>
      <w:r w:rsidRPr="00372D64">
        <w:rPr>
          <w:rFonts w:ascii="Times New Roman" w:eastAsiaTheme="minorEastAsia" w:hAnsi="Times New Roman"/>
          <w:sz w:val="20"/>
          <w:szCs w:val="20"/>
        </w:rPr>
        <w:t xml:space="preserve">) until further used. </w:t>
      </w:r>
    </w:p>
    <w:p w:rsidR="00372D64" w:rsidRPr="00372D64" w:rsidRDefault="00372D64" w:rsidP="00372D64">
      <w:pPr>
        <w:spacing w:after="0" w:line="240" w:lineRule="auto"/>
        <w:jc w:val="both"/>
        <w:rPr>
          <w:rFonts w:ascii="Times New Roman" w:eastAsiaTheme="minorEastAsia" w:hAnsi="Times New Roman"/>
          <w:sz w:val="20"/>
          <w:szCs w:val="20"/>
        </w:rPr>
      </w:pPr>
    </w:p>
    <w:p w:rsidR="00372D64" w:rsidRPr="00372D64" w:rsidRDefault="00372D64" w:rsidP="00372D64">
      <w:pPr>
        <w:spacing w:after="0" w:line="240" w:lineRule="auto"/>
        <w:jc w:val="both"/>
        <w:rPr>
          <w:rFonts w:ascii="Times New Roman" w:eastAsiaTheme="minorEastAsia" w:hAnsi="Times New Roman"/>
          <w:sz w:val="20"/>
          <w:szCs w:val="20"/>
        </w:rPr>
      </w:pPr>
      <w:r w:rsidRPr="00372D64">
        <w:rPr>
          <w:rFonts w:ascii="Times New Roman" w:eastAsiaTheme="minorEastAsia" w:hAnsi="Times New Roman"/>
          <w:sz w:val="20"/>
          <w:szCs w:val="20"/>
        </w:rPr>
        <w:t xml:space="preserve">Subsequently, 0.3 mM N719 sensitizer was prepared by mixing 50 mL acetonitrile (J.T. Baker® Chemicals, PA, USA) and 50 mL 4 </w:t>
      </w:r>
      <w:r w:rsidRPr="00372D64">
        <w:rPr>
          <w:rFonts w:ascii="Times New Roman" w:eastAsiaTheme="minorEastAsia" w:hAnsi="Times New Roman"/>
          <w:i/>
          <w:sz w:val="20"/>
          <w:szCs w:val="20"/>
        </w:rPr>
        <w:t>tert</w:t>
      </w:r>
      <w:r w:rsidRPr="00372D64">
        <w:rPr>
          <w:rFonts w:ascii="Times New Roman" w:eastAsiaTheme="minorEastAsia" w:hAnsi="Times New Roman"/>
          <w:sz w:val="20"/>
          <w:szCs w:val="20"/>
        </w:rPr>
        <w:t>-butyl alcohol (99.7%, Sigma-Aldrich Corporation, MO, USA) with 0.036 g B2 (N719) dye (Dyesol, NSW, Australia). The mixture was left overnight at room temperature before it was ready for use. Apart from the individual sensitizers, we also prepared mixtures of both natural sensitizers with N719 for further analysis. Five different v/v ratios were prepared and denoted as mengkulang: N719 (80%:20%), mengkulang: N719 (90%:10%), mengkulang: rengas: N719 (40%:40%:20%), rengas: N719 (80%:20%), and rengas: N719 (90%:10%).</w:t>
      </w:r>
    </w:p>
    <w:p w:rsidR="00372D64" w:rsidRPr="00372D64" w:rsidRDefault="00372D64" w:rsidP="00372D64">
      <w:pPr>
        <w:spacing w:after="0" w:line="240" w:lineRule="auto"/>
        <w:jc w:val="both"/>
        <w:rPr>
          <w:rFonts w:ascii="Times New Roman" w:eastAsiaTheme="minorEastAsia" w:hAnsi="Times New Roman"/>
          <w:sz w:val="20"/>
          <w:szCs w:val="20"/>
        </w:rPr>
      </w:pPr>
    </w:p>
    <w:p w:rsidR="00372D64" w:rsidRPr="00372D64" w:rsidRDefault="00372D64" w:rsidP="00372D64">
      <w:pPr>
        <w:pStyle w:val="ListParagraph"/>
        <w:tabs>
          <w:tab w:val="left" w:pos="426"/>
        </w:tabs>
        <w:spacing w:after="0" w:line="240" w:lineRule="auto"/>
        <w:ind w:left="0"/>
        <w:contextualSpacing w:val="0"/>
        <w:jc w:val="both"/>
        <w:rPr>
          <w:rFonts w:ascii="Times New Roman" w:hAnsi="Times New Roman"/>
          <w:b/>
          <w:bCs/>
          <w:iCs/>
          <w:sz w:val="20"/>
          <w:szCs w:val="20"/>
        </w:rPr>
      </w:pPr>
      <w:r w:rsidRPr="00372D64">
        <w:rPr>
          <w:rFonts w:ascii="Times New Roman" w:hAnsi="Times New Roman"/>
          <w:b/>
          <w:bCs/>
          <w:iCs/>
          <w:sz w:val="20"/>
          <w:szCs w:val="20"/>
        </w:rPr>
        <w:lastRenderedPageBreak/>
        <w:t>Fabricating DSSCs</w:t>
      </w:r>
    </w:p>
    <w:p w:rsidR="00372D64" w:rsidRPr="00372D64" w:rsidRDefault="00372D64" w:rsidP="00372D64">
      <w:pPr>
        <w:spacing w:after="0" w:line="240" w:lineRule="auto"/>
        <w:jc w:val="both"/>
        <w:rPr>
          <w:rFonts w:ascii="Times New Roman" w:eastAsiaTheme="minorEastAsia" w:hAnsi="Times New Roman"/>
          <w:sz w:val="20"/>
          <w:szCs w:val="20"/>
        </w:rPr>
      </w:pPr>
      <w:r w:rsidRPr="00372D64">
        <w:rPr>
          <w:rFonts w:ascii="Times New Roman" w:hAnsi="Times New Roman"/>
          <w:sz w:val="20"/>
          <w:szCs w:val="20"/>
        </w:rPr>
        <w:t>Photoelectrodes were prepared by depositing titanium dioxide (TiO</w:t>
      </w:r>
      <w:r w:rsidRPr="00372D64">
        <w:rPr>
          <w:rFonts w:ascii="Times New Roman" w:hAnsi="Times New Roman"/>
          <w:sz w:val="20"/>
          <w:szCs w:val="20"/>
          <w:vertAlign w:val="subscript"/>
        </w:rPr>
        <w:t>2</w:t>
      </w:r>
      <w:r w:rsidRPr="00372D64">
        <w:rPr>
          <w:rFonts w:ascii="Times New Roman" w:hAnsi="Times New Roman"/>
          <w:sz w:val="20"/>
          <w:szCs w:val="20"/>
        </w:rPr>
        <w:t xml:space="preserve">) paste (WER 2-0, Dyesol, </w:t>
      </w:r>
      <w:r w:rsidRPr="00372D64">
        <w:rPr>
          <w:rFonts w:ascii="Times New Roman" w:eastAsiaTheme="minorEastAsia" w:hAnsi="Times New Roman"/>
          <w:sz w:val="20"/>
          <w:szCs w:val="20"/>
        </w:rPr>
        <w:t>NSW, Australia</w:t>
      </w:r>
      <w:r w:rsidRPr="00372D64">
        <w:rPr>
          <w:rFonts w:ascii="Times New Roman" w:hAnsi="Times New Roman"/>
          <w:sz w:val="20"/>
          <w:szCs w:val="20"/>
        </w:rPr>
        <w:t>) onto fluorine-doped conducting tin oxide (FTO) glasses (~15 Ω sq</w:t>
      </w:r>
      <w:r w:rsidRPr="00372D64">
        <w:rPr>
          <w:rFonts w:ascii="Times New Roman" w:hAnsi="Times New Roman"/>
          <w:sz w:val="20"/>
          <w:szCs w:val="20"/>
          <w:vertAlign w:val="superscript"/>
        </w:rPr>
        <w:t>−1</w:t>
      </w:r>
      <w:r w:rsidRPr="00372D64">
        <w:rPr>
          <w:rFonts w:ascii="Times New Roman" w:hAnsi="Times New Roman"/>
          <w:sz w:val="20"/>
          <w:szCs w:val="20"/>
        </w:rPr>
        <w:t>, Solaronix SA, Aubonne, Switzerland) as conductive glass plates via the doctor-blading technique. The electrodes were then sintered at 450 °</w:t>
      </w:r>
      <w:r w:rsidRPr="00372D64">
        <w:rPr>
          <w:rFonts w:ascii="Times New Roman" w:eastAsiaTheme="minorEastAsia" w:hAnsi="Times New Roman"/>
          <w:sz w:val="20"/>
          <w:szCs w:val="20"/>
        </w:rPr>
        <w:t xml:space="preserve">C for 30 minutes. </w:t>
      </w:r>
      <w:r w:rsidRPr="00372D64">
        <w:rPr>
          <w:rFonts w:ascii="Times New Roman" w:hAnsi="Times New Roman"/>
          <w:sz w:val="20"/>
          <w:szCs w:val="20"/>
        </w:rPr>
        <w:t>The photoelectrodes were subsequently dipped into their respective sensitizers, namely, mengkulang, rengas, and their mixtures [mengkulang: N719 (80%:20%), mengkulang: N719 (90%:10%), mengkulang: rengas: N719 (40%:40%:20%), rengas: N719 (80%:20%), and rengas: N719 (90%:10%)], for 24 hours at room temperature to allow sufficient time for the dye molecules to be absorbed onto TiO</w:t>
      </w:r>
      <w:r w:rsidRPr="00372D64">
        <w:rPr>
          <w:rFonts w:ascii="Times New Roman" w:hAnsi="Times New Roman"/>
          <w:sz w:val="20"/>
          <w:szCs w:val="20"/>
          <w:vertAlign w:val="subscript"/>
        </w:rPr>
        <w:t xml:space="preserve">2 </w:t>
      </w:r>
      <w:r w:rsidRPr="00372D64">
        <w:rPr>
          <w:rFonts w:ascii="Times New Roman" w:hAnsi="Times New Roman"/>
          <w:sz w:val="20"/>
          <w:szCs w:val="20"/>
        </w:rPr>
        <w:t>surface. Then, the TiO</w:t>
      </w:r>
      <w:r w:rsidRPr="00372D64">
        <w:rPr>
          <w:rFonts w:ascii="Times New Roman" w:hAnsi="Times New Roman"/>
          <w:sz w:val="20"/>
          <w:szCs w:val="20"/>
          <w:vertAlign w:val="subscript"/>
        </w:rPr>
        <w:t>2</w:t>
      </w:r>
      <w:r w:rsidRPr="00372D64">
        <w:rPr>
          <w:rFonts w:ascii="Times New Roman" w:hAnsi="Times New Roman"/>
          <w:sz w:val="20"/>
          <w:szCs w:val="20"/>
        </w:rPr>
        <w:t xml:space="preserve"> electrodes were removed and rinsed with methanol before being dried with nitrogen gas. The DSSCs were assembled by introducing the redox electrolyte (iodolyte AN-50, Solaronix SA, Aubonne, Switzerland) between the dyed TiO</w:t>
      </w:r>
      <w:r w:rsidRPr="00372D64">
        <w:rPr>
          <w:rFonts w:ascii="Times New Roman" w:hAnsi="Times New Roman"/>
          <w:sz w:val="20"/>
          <w:szCs w:val="20"/>
          <w:vertAlign w:val="subscript"/>
        </w:rPr>
        <w:t>2</w:t>
      </w:r>
      <w:r w:rsidRPr="00372D64">
        <w:rPr>
          <w:rFonts w:ascii="Times New Roman" w:hAnsi="Times New Roman"/>
          <w:sz w:val="20"/>
          <w:szCs w:val="20"/>
        </w:rPr>
        <w:t xml:space="preserve"> electrode and the platinum counter electrode. The platinum paste purchased from Solaronix was deposited onto FTO glasses (~8 Ω sq</w:t>
      </w:r>
      <w:r w:rsidRPr="00372D64">
        <w:rPr>
          <w:rFonts w:ascii="Times New Roman" w:hAnsi="Times New Roman"/>
          <w:sz w:val="20"/>
          <w:szCs w:val="20"/>
          <w:vertAlign w:val="superscript"/>
        </w:rPr>
        <w:t>−1</w:t>
      </w:r>
      <w:r w:rsidRPr="00372D64">
        <w:rPr>
          <w:rFonts w:ascii="Times New Roman" w:hAnsi="Times New Roman"/>
          <w:sz w:val="20"/>
          <w:szCs w:val="20"/>
        </w:rPr>
        <w:t>, Solaronix SA, Aubonne, Switzerland) and heated at 450 °C</w:t>
      </w:r>
      <w:r w:rsidRPr="00372D64">
        <w:rPr>
          <w:rFonts w:ascii="Times New Roman" w:eastAsiaTheme="minorEastAsia" w:hAnsi="Times New Roman"/>
          <w:sz w:val="20"/>
          <w:szCs w:val="20"/>
        </w:rPr>
        <w:t xml:space="preserve"> for 30 minutes. Surlyn® (60 μm, Meltonix 1170-60, </w:t>
      </w:r>
      <w:r w:rsidRPr="00372D64">
        <w:rPr>
          <w:rFonts w:ascii="Times New Roman" w:hAnsi="Times New Roman"/>
          <w:sz w:val="20"/>
          <w:szCs w:val="20"/>
        </w:rPr>
        <w:t>Solaronix SA, Aubonne, Switzerland</w:t>
      </w:r>
      <w:r w:rsidRPr="00372D64">
        <w:rPr>
          <w:rFonts w:ascii="Times New Roman" w:eastAsiaTheme="minorEastAsia" w:hAnsi="Times New Roman"/>
          <w:sz w:val="20"/>
          <w:szCs w:val="20"/>
        </w:rPr>
        <w:t xml:space="preserve">) was used to assemble the photo electrode and the counter electrode of the cell. </w:t>
      </w:r>
    </w:p>
    <w:p w:rsidR="00372D64" w:rsidRPr="00372D64" w:rsidRDefault="00372D64" w:rsidP="00372D64">
      <w:pPr>
        <w:spacing w:after="0" w:line="240" w:lineRule="auto"/>
        <w:jc w:val="both"/>
        <w:rPr>
          <w:rFonts w:ascii="Times New Roman" w:eastAsiaTheme="minorEastAsia" w:hAnsi="Times New Roman"/>
          <w:b/>
          <w:sz w:val="20"/>
          <w:szCs w:val="20"/>
        </w:rPr>
      </w:pPr>
    </w:p>
    <w:p w:rsidR="00372D64" w:rsidRPr="00372D64" w:rsidRDefault="00372D64" w:rsidP="00372D64">
      <w:pPr>
        <w:spacing w:after="0" w:line="240" w:lineRule="auto"/>
        <w:jc w:val="both"/>
        <w:rPr>
          <w:rFonts w:ascii="Times New Roman" w:eastAsiaTheme="minorEastAsia" w:hAnsi="Times New Roman"/>
          <w:b/>
          <w:bCs/>
          <w:iCs/>
          <w:sz w:val="20"/>
          <w:szCs w:val="20"/>
        </w:rPr>
      </w:pPr>
      <w:r w:rsidRPr="00372D64">
        <w:rPr>
          <w:rFonts w:ascii="Times New Roman" w:eastAsiaTheme="minorEastAsia" w:hAnsi="Times New Roman"/>
          <w:b/>
          <w:bCs/>
          <w:iCs/>
          <w:sz w:val="20"/>
          <w:szCs w:val="20"/>
        </w:rPr>
        <w:t>Characterization and device performance</w:t>
      </w:r>
    </w:p>
    <w:p w:rsidR="00372D64" w:rsidRPr="00372D64" w:rsidRDefault="00372D64" w:rsidP="00372D64">
      <w:pPr>
        <w:spacing w:after="0" w:line="240" w:lineRule="auto"/>
        <w:jc w:val="both"/>
        <w:rPr>
          <w:rFonts w:ascii="Times New Roman" w:hAnsi="Times New Roman"/>
          <w:sz w:val="20"/>
          <w:szCs w:val="20"/>
        </w:rPr>
      </w:pPr>
      <w:r w:rsidRPr="00372D64">
        <w:rPr>
          <w:rFonts w:ascii="Times New Roman" w:hAnsi="Times New Roman"/>
          <w:sz w:val="20"/>
          <w:szCs w:val="20"/>
        </w:rPr>
        <w:t xml:space="preserve">The absorption spectra were obtained using an </w:t>
      </w:r>
      <w:r w:rsidRPr="00372D64">
        <w:rPr>
          <w:rFonts w:ascii="Times New Roman" w:eastAsiaTheme="minorEastAsia" w:hAnsi="Times New Roman"/>
          <w:sz w:val="20"/>
          <w:szCs w:val="20"/>
        </w:rPr>
        <w:t xml:space="preserve">ultraviolet–visible (UV–Vis) absorption spectrophotometer (UV-1800, Shimadzu Corporation, Kyoto, Japan). The functional groups of the sensitizers were determined via Fourier transformed infrared spectroscopy (FTIR) using the Spectrum 400 FTIR Imaging System (PerkinElmer, Inc., MA, USA). The highest occupied molecular orbital (HOMO) and the lowest unoccupied molecular orbital (LUMO) were determined by photoluminescence (PL) analysis using FLSP920 fluorescence spectrometer (Edinburgh Instruments, Ltd., Livingston, UK) and cyclic voltammetry (CV) using the ModuLab system (Solartron Analytical, PA, USA). </w:t>
      </w:r>
      <w:r w:rsidRPr="00372D64">
        <w:rPr>
          <w:rFonts w:ascii="Times New Roman" w:hAnsi="Times New Roman"/>
          <w:sz w:val="20"/>
          <w:szCs w:val="20"/>
        </w:rPr>
        <w:t>The CV measurements consist of three electrodes, namely, glassy carbon working electrode, platinum counter electrode, and silver/silver chloride (Ag/AgCl) reference electrode, at a scan rate of 100 mV/s. In this study, 0.1 M lithium perchlorate (LiClO</w:t>
      </w:r>
      <w:r w:rsidRPr="00372D64">
        <w:rPr>
          <w:rFonts w:ascii="Times New Roman" w:hAnsi="Times New Roman"/>
          <w:sz w:val="20"/>
          <w:szCs w:val="20"/>
          <w:vertAlign w:val="subscript"/>
        </w:rPr>
        <w:t>4</w:t>
      </w:r>
      <w:r w:rsidRPr="00372D64">
        <w:rPr>
          <w:rFonts w:ascii="Times New Roman" w:hAnsi="Times New Roman"/>
          <w:sz w:val="20"/>
          <w:szCs w:val="20"/>
        </w:rPr>
        <w:t>) is used as the supporting electrolyte.</w:t>
      </w:r>
      <w:r w:rsidRPr="00372D64">
        <w:rPr>
          <w:rFonts w:ascii="Times New Roman" w:eastAsiaTheme="minorEastAsia" w:hAnsi="Times New Roman"/>
          <w:sz w:val="20"/>
          <w:szCs w:val="20"/>
        </w:rPr>
        <w:t xml:space="preserve"> Current–voltage (</w:t>
      </w:r>
      <w:r w:rsidRPr="00372D64">
        <w:rPr>
          <w:rFonts w:ascii="Times New Roman" w:eastAsiaTheme="minorEastAsia" w:hAnsi="Times New Roman"/>
          <w:i/>
          <w:sz w:val="20"/>
          <w:szCs w:val="20"/>
        </w:rPr>
        <w:t>I</w:t>
      </w:r>
      <w:r w:rsidRPr="00372D64">
        <w:rPr>
          <w:rFonts w:ascii="Times New Roman" w:eastAsiaTheme="minorEastAsia" w:hAnsi="Times New Roman"/>
          <w:sz w:val="20"/>
          <w:szCs w:val="20"/>
        </w:rPr>
        <w:t>–</w:t>
      </w:r>
      <w:r w:rsidRPr="00372D64">
        <w:rPr>
          <w:rFonts w:ascii="Times New Roman" w:eastAsiaTheme="minorEastAsia" w:hAnsi="Times New Roman"/>
          <w:i/>
          <w:sz w:val="20"/>
          <w:szCs w:val="20"/>
        </w:rPr>
        <w:t>V</w:t>
      </w:r>
      <w:r w:rsidRPr="00372D64">
        <w:rPr>
          <w:rFonts w:ascii="Times New Roman" w:eastAsiaTheme="minorEastAsia" w:hAnsi="Times New Roman"/>
          <w:sz w:val="20"/>
          <w:szCs w:val="20"/>
        </w:rPr>
        <w:t>) measurement was conducted using a class AAA solar simulator (XES-40S1, San-Ei Electric Co., Ltd., Osaka, Japan) under an irradiation of 1000 W/m</w:t>
      </w:r>
      <w:r w:rsidRPr="00372D64">
        <w:rPr>
          <w:rFonts w:ascii="Times New Roman" w:eastAsiaTheme="minorEastAsia" w:hAnsi="Times New Roman"/>
          <w:sz w:val="20"/>
          <w:szCs w:val="20"/>
          <w:vertAlign w:val="superscript"/>
        </w:rPr>
        <w:t>2</w:t>
      </w:r>
      <w:r w:rsidRPr="00372D64">
        <w:rPr>
          <w:rFonts w:ascii="Times New Roman" w:eastAsiaTheme="minorEastAsia" w:hAnsi="Times New Roman"/>
          <w:sz w:val="20"/>
          <w:szCs w:val="20"/>
        </w:rPr>
        <w:t xml:space="preserve">. </w:t>
      </w:r>
      <w:r w:rsidRPr="00372D64">
        <w:rPr>
          <w:rFonts w:ascii="Times New Roman" w:hAnsi="Times New Roman"/>
          <w:sz w:val="20"/>
          <w:szCs w:val="20"/>
        </w:rPr>
        <w:t>The maximum power conversion efficiency (</w:t>
      </w:r>
      <w:r w:rsidRPr="00372D64">
        <w:rPr>
          <w:rFonts w:ascii="Times New Roman" w:hAnsi="Times New Roman"/>
          <w:i/>
          <w:sz w:val="20"/>
          <w:szCs w:val="20"/>
        </w:rPr>
        <w:t>ŋ</w:t>
      </w:r>
      <w:r w:rsidRPr="00372D64">
        <w:rPr>
          <w:rFonts w:ascii="Times New Roman" w:hAnsi="Times New Roman"/>
          <w:sz w:val="20"/>
          <w:szCs w:val="20"/>
        </w:rPr>
        <w:t>) was calculated using the following formula in equation 1:</w:t>
      </w:r>
    </w:p>
    <w:p w:rsidR="00372D64" w:rsidRPr="00372D64" w:rsidRDefault="00372D64" w:rsidP="00372D64">
      <w:pPr>
        <w:spacing w:after="0" w:line="240" w:lineRule="auto"/>
        <w:jc w:val="both"/>
        <w:rPr>
          <w:rFonts w:ascii="Times New Roman" w:eastAsiaTheme="minorEastAsia" w:hAnsi="Times New Roman"/>
          <w:sz w:val="20"/>
          <w:szCs w:val="20"/>
        </w:rPr>
      </w:pPr>
    </w:p>
    <w:p w:rsidR="00372D64" w:rsidRPr="00372D64" w:rsidRDefault="00372D64" w:rsidP="00372D64">
      <w:pPr>
        <w:spacing w:after="0" w:line="240" w:lineRule="auto"/>
        <w:jc w:val="both"/>
        <w:rPr>
          <w:rFonts w:ascii="Times New Roman" w:hAnsi="Times New Roman"/>
          <w:sz w:val="20"/>
          <w:szCs w:val="20"/>
        </w:rPr>
      </w:pPr>
      <w:r w:rsidRPr="00372D64">
        <w:rPr>
          <w:rFonts w:ascii="Times New Roman" w:eastAsiaTheme="minorEastAsia" w:hAnsi="Times New Roman"/>
          <w:sz w:val="20"/>
          <w:szCs w:val="20"/>
        </w:rPr>
        <w:t xml:space="preserve">                </w:t>
      </w:r>
      <m:oMath>
        <m:r>
          <w:rPr>
            <w:rFonts w:ascii="Cambria Math" w:hAnsi="Cambria Math"/>
            <w:sz w:val="20"/>
            <w:szCs w:val="20"/>
          </w:rPr>
          <m:t>ŋ=ff×</m:t>
        </m:r>
        <m:sSub>
          <m:sSubPr>
            <m:ctrlPr>
              <w:rPr>
                <w:rFonts w:ascii="Cambria Math" w:hAnsi="Cambria Math"/>
                <w:i/>
                <w:sz w:val="20"/>
                <w:szCs w:val="20"/>
              </w:rPr>
            </m:ctrlPr>
          </m:sSubPr>
          <m:e>
            <m:r>
              <w:rPr>
                <w:rFonts w:ascii="Cambria Math" w:hAnsi="Cambria Math"/>
                <w:sz w:val="20"/>
                <w:szCs w:val="20"/>
              </w:rPr>
              <m:t>I</m:t>
            </m:r>
          </m:e>
          <m:sub>
            <m:r>
              <m:rPr>
                <m:sty m:val="p"/>
              </m:rPr>
              <w:rPr>
                <w:rFonts w:ascii="Cambria Math" w:hAnsi="Cambria Math"/>
                <w:sz w:val="20"/>
                <w:szCs w:val="20"/>
              </w:rPr>
              <m:t>sc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m:rPr>
                <m:sty m:val="p"/>
              </m:rPr>
              <w:rPr>
                <w:rFonts w:ascii="Cambria Math" w:hAnsi="Cambria Math"/>
                <w:sz w:val="20"/>
                <w:szCs w:val="20"/>
              </w:rPr>
              <m:t>oc</m:t>
            </m:r>
          </m:sub>
        </m:sSub>
        <m:r>
          <w:rPr>
            <w:rFonts w:ascii="Cambria Math" w:hAnsi="Cambria Math"/>
            <w:sz w:val="20"/>
            <w:szCs w:val="20"/>
          </w:rPr>
          <m:t>/P</m:t>
        </m:r>
      </m:oMath>
      <w:r w:rsidRPr="00372D64">
        <w:rPr>
          <w:rFonts w:ascii="Times New Roman" w:eastAsiaTheme="minorEastAsia" w:hAnsi="Times New Roman"/>
          <w:sz w:val="20"/>
          <w:szCs w:val="20"/>
        </w:rPr>
        <w:tab/>
      </w:r>
      <w:r w:rsidRPr="00372D64">
        <w:rPr>
          <w:rFonts w:ascii="Times New Roman" w:eastAsiaTheme="minorEastAsia" w:hAnsi="Times New Roman"/>
          <w:sz w:val="20"/>
          <w:szCs w:val="20"/>
        </w:rPr>
        <w:tab/>
      </w:r>
      <w:r w:rsidRPr="00372D64">
        <w:rPr>
          <w:rFonts w:ascii="Times New Roman" w:eastAsiaTheme="minorEastAsia" w:hAnsi="Times New Roman"/>
          <w:sz w:val="20"/>
          <w:szCs w:val="20"/>
        </w:rPr>
        <w:tab/>
      </w:r>
      <w:r w:rsidRPr="00372D64">
        <w:rPr>
          <w:rFonts w:ascii="Times New Roman" w:eastAsiaTheme="minorEastAsia" w:hAnsi="Times New Roman"/>
          <w:sz w:val="20"/>
          <w:szCs w:val="20"/>
        </w:rPr>
        <w:tab/>
      </w:r>
      <w:r w:rsidRPr="00372D64">
        <w:rPr>
          <w:rFonts w:ascii="Times New Roman" w:eastAsiaTheme="minorEastAsia" w:hAnsi="Times New Roman"/>
          <w:sz w:val="20"/>
          <w:szCs w:val="20"/>
        </w:rPr>
        <w:tab/>
      </w:r>
      <w:r w:rsidRPr="00372D64">
        <w:rPr>
          <w:rFonts w:ascii="Times New Roman" w:eastAsiaTheme="minorEastAsia" w:hAnsi="Times New Roman"/>
          <w:sz w:val="20"/>
          <w:szCs w:val="20"/>
        </w:rPr>
        <w:tab/>
      </w:r>
      <w:r w:rsidRPr="00372D64">
        <w:rPr>
          <w:rFonts w:ascii="Times New Roman" w:eastAsiaTheme="minorEastAsia" w:hAnsi="Times New Roman"/>
          <w:sz w:val="20"/>
          <w:szCs w:val="20"/>
        </w:rPr>
        <w:tab/>
      </w:r>
      <w:r w:rsidRPr="00372D64">
        <w:rPr>
          <w:rFonts w:ascii="Times New Roman" w:eastAsiaTheme="minorEastAsia" w:hAnsi="Times New Roman"/>
          <w:sz w:val="20"/>
          <w:szCs w:val="20"/>
        </w:rPr>
        <w:tab/>
      </w:r>
      <w:r w:rsidRPr="00372D64">
        <w:rPr>
          <w:rFonts w:ascii="Times New Roman" w:eastAsiaTheme="minorEastAsia" w:hAnsi="Times New Roman"/>
          <w:sz w:val="20"/>
          <w:szCs w:val="20"/>
        </w:rPr>
        <w:tab/>
        <w:t xml:space="preserve">  </w:t>
      </w:r>
      <w:r>
        <w:rPr>
          <w:rFonts w:ascii="Times New Roman" w:eastAsiaTheme="minorEastAsia" w:hAnsi="Times New Roman"/>
          <w:sz w:val="20"/>
          <w:szCs w:val="20"/>
        </w:rPr>
        <w:t xml:space="preserve">      </w:t>
      </w:r>
      <w:r w:rsidRPr="00372D64">
        <w:rPr>
          <w:rFonts w:ascii="Times New Roman" w:eastAsiaTheme="minorEastAsia" w:hAnsi="Times New Roman"/>
          <w:sz w:val="20"/>
          <w:szCs w:val="20"/>
        </w:rPr>
        <w:t xml:space="preserve"> (1)</w:t>
      </w:r>
    </w:p>
    <w:p w:rsidR="00372D64" w:rsidRPr="00372D64" w:rsidRDefault="00372D64" w:rsidP="00372D64">
      <w:pPr>
        <w:spacing w:after="0" w:line="240" w:lineRule="auto"/>
        <w:jc w:val="both"/>
        <w:rPr>
          <w:rFonts w:ascii="Times New Roman" w:eastAsiaTheme="minorEastAsia" w:hAnsi="Times New Roman"/>
          <w:sz w:val="20"/>
          <w:szCs w:val="20"/>
        </w:rPr>
      </w:pPr>
    </w:p>
    <w:p w:rsidR="00372D64" w:rsidRPr="00372D64" w:rsidRDefault="00372D64" w:rsidP="00372D64">
      <w:pPr>
        <w:spacing w:after="0" w:line="240" w:lineRule="auto"/>
        <w:jc w:val="both"/>
        <w:rPr>
          <w:rFonts w:ascii="Times New Roman" w:eastAsiaTheme="minorEastAsia" w:hAnsi="Times New Roman"/>
          <w:sz w:val="20"/>
          <w:szCs w:val="20"/>
        </w:rPr>
      </w:pPr>
      <w:r w:rsidRPr="00372D64">
        <w:rPr>
          <w:rFonts w:ascii="Times New Roman" w:eastAsiaTheme="minorEastAsia" w:hAnsi="Times New Roman"/>
          <w:sz w:val="20"/>
          <w:szCs w:val="20"/>
        </w:rPr>
        <w:t xml:space="preserve">where </w:t>
      </w:r>
      <w:r w:rsidRPr="00372D64">
        <w:rPr>
          <w:rFonts w:ascii="Times New Roman" w:eastAsiaTheme="minorEastAsia" w:hAnsi="Times New Roman"/>
          <w:i/>
          <w:sz w:val="20"/>
          <w:szCs w:val="20"/>
        </w:rPr>
        <w:t>ff</w:t>
      </w:r>
      <w:r w:rsidRPr="00372D64">
        <w:rPr>
          <w:rFonts w:ascii="Times New Roman" w:eastAsiaTheme="minorEastAsia" w:hAnsi="Times New Roman"/>
          <w:sz w:val="20"/>
          <w:szCs w:val="20"/>
        </w:rPr>
        <w:t xml:space="preserve"> is the fill factor, </w:t>
      </w:r>
      <w:r w:rsidRPr="00372D64">
        <w:rPr>
          <w:rFonts w:ascii="Times New Roman" w:eastAsiaTheme="minorEastAsia" w:hAnsi="Times New Roman"/>
          <w:i/>
          <w:sz w:val="20"/>
          <w:szCs w:val="20"/>
        </w:rPr>
        <w:t>I</w:t>
      </w:r>
      <w:r w:rsidRPr="00372D64">
        <w:rPr>
          <w:rFonts w:ascii="Times New Roman" w:eastAsiaTheme="minorEastAsia" w:hAnsi="Times New Roman"/>
          <w:sz w:val="20"/>
          <w:szCs w:val="20"/>
          <w:vertAlign w:val="subscript"/>
        </w:rPr>
        <w:t xml:space="preserve">sc </w:t>
      </w:r>
      <w:r w:rsidRPr="00372D64">
        <w:rPr>
          <w:rFonts w:ascii="Times New Roman" w:eastAsiaTheme="minorEastAsia" w:hAnsi="Times New Roman"/>
          <w:sz w:val="20"/>
          <w:szCs w:val="20"/>
        </w:rPr>
        <w:t>is the short circuit photo current density (A/cm</w:t>
      </w:r>
      <w:r w:rsidRPr="00372D64">
        <w:rPr>
          <w:rFonts w:ascii="Times New Roman" w:eastAsiaTheme="minorEastAsia" w:hAnsi="Times New Roman"/>
          <w:sz w:val="20"/>
          <w:szCs w:val="20"/>
          <w:vertAlign w:val="superscript"/>
        </w:rPr>
        <w:t>2</w:t>
      </w:r>
      <w:r w:rsidRPr="00372D64">
        <w:rPr>
          <w:rFonts w:ascii="Times New Roman" w:eastAsiaTheme="minorEastAsia" w:hAnsi="Times New Roman"/>
          <w:sz w:val="20"/>
          <w:szCs w:val="20"/>
        </w:rPr>
        <w:t xml:space="preserve">), </w:t>
      </w:r>
      <w:r w:rsidRPr="00372D64">
        <w:rPr>
          <w:rFonts w:ascii="Times New Roman" w:eastAsiaTheme="minorEastAsia" w:hAnsi="Times New Roman"/>
          <w:i/>
          <w:sz w:val="20"/>
          <w:szCs w:val="20"/>
        </w:rPr>
        <w:t>V</w:t>
      </w:r>
      <w:r w:rsidRPr="00372D64">
        <w:rPr>
          <w:rFonts w:ascii="Times New Roman" w:eastAsiaTheme="minorEastAsia" w:hAnsi="Times New Roman"/>
          <w:sz w:val="20"/>
          <w:szCs w:val="20"/>
          <w:vertAlign w:val="subscript"/>
        </w:rPr>
        <w:t>oc</w:t>
      </w:r>
      <w:r w:rsidRPr="00372D64">
        <w:rPr>
          <w:rFonts w:ascii="Times New Roman" w:eastAsiaTheme="minorEastAsia" w:hAnsi="Times New Roman"/>
          <w:sz w:val="20"/>
          <w:szCs w:val="20"/>
        </w:rPr>
        <w:t xml:space="preserve"> is the open circuit voltage (V), and </w:t>
      </w:r>
      <w:r w:rsidRPr="00372D64">
        <w:rPr>
          <w:rFonts w:ascii="Times New Roman" w:eastAsiaTheme="minorEastAsia" w:hAnsi="Times New Roman"/>
          <w:i/>
          <w:sz w:val="20"/>
          <w:szCs w:val="20"/>
        </w:rPr>
        <w:t>P</w:t>
      </w:r>
      <w:r w:rsidRPr="00372D64">
        <w:rPr>
          <w:rFonts w:ascii="Times New Roman" w:eastAsiaTheme="minorEastAsia" w:hAnsi="Times New Roman"/>
          <w:sz w:val="20"/>
          <w:szCs w:val="20"/>
        </w:rPr>
        <w:t xml:space="preserve"> is the intensity of the incident light (W/cm</w:t>
      </w:r>
      <w:r w:rsidRPr="00372D64">
        <w:rPr>
          <w:rFonts w:ascii="Times New Roman" w:eastAsiaTheme="minorEastAsia" w:hAnsi="Times New Roman"/>
          <w:sz w:val="20"/>
          <w:szCs w:val="20"/>
          <w:vertAlign w:val="superscript"/>
        </w:rPr>
        <w:t>2</w:t>
      </w:r>
      <w:r w:rsidRPr="00372D64">
        <w:rPr>
          <w:rFonts w:ascii="Times New Roman" w:eastAsiaTheme="minorEastAsia" w:hAnsi="Times New Roman"/>
          <w:sz w:val="20"/>
          <w:szCs w:val="20"/>
        </w:rPr>
        <w:t>) of the DSSC. The fill factor (</w:t>
      </w:r>
      <w:r w:rsidRPr="00372D64">
        <w:rPr>
          <w:rFonts w:ascii="Times New Roman" w:eastAsiaTheme="minorEastAsia" w:hAnsi="Times New Roman"/>
          <w:i/>
          <w:sz w:val="20"/>
          <w:szCs w:val="20"/>
        </w:rPr>
        <w:t>ff</w:t>
      </w:r>
      <w:r w:rsidRPr="00372D64">
        <w:rPr>
          <w:rFonts w:ascii="Times New Roman" w:eastAsiaTheme="minorEastAsia" w:hAnsi="Times New Roman"/>
          <w:sz w:val="20"/>
          <w:szCs w:val="20"/>
        </w:rPr>
        <w:t>) was defined using the following equation 2:</w:t>
      </w:r>
    </w:p>
    <w:p w:rsidR="00372D64" w:rsidRPr="00372D64" w:rsidRDefault="00372D64" w:rsidP="00372D64">
      <w:pPr>
        <w:spacing w:after="0" w:line="240" w:lineRule="auto"/>
        <w:jc w:val="both"/>
        <w:rPr>
          <w:rFonts w:ascii="Times New Roman" w:eastAsiaTheme="minorEastAsia" w:hAnsi="Times New Roman"/>
          <w:sz w:val="20"/>
          <w:szCs w:val="20"/>
        </w:rPr>
      </w:pPr>
    </w:p>
    <w:p w:rsidR="00372D64" w:rsidRPr="00372D64" w:rsidRDefault="00372D64" w:rsidP="00372D64">
      <w:pPr>
        <w:spacing w:after="0" w:line="240" w:lineRule="auto"/>
        <w:jc w:val="both"/>
        <w:rPr>
          <w:rFonts w:ascii="Times New Roman" w:eastAsiaTheme="minorEastAsia" w:hAnsi="Times New Roman"/>
          <w:sz w:val="20"/>
          <w:szCs w:val="20"/>
        </w:rPr>
      </w:pPr>
      <m:oMath>
        <m:r>
          <w:rPr>
            <w:rFonts w:ascii="Cambria Math" w:hAnsi="Cambria Math"/>
            <w:sz w:val="20"/>
            <w:szCs w:val="20"/>
          </w:rPr>
          <m:t xml:space="preserve">                  FF= </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I</m:t>
                </m:r>
              </m:e>
              <m:sub>
                <m:r>
                  <m:rPr>
                    <m:sty m:val="p"/>
                  </m:rPr>
                  <w:rPr>
                    <w:rFonts w:ascii="Cambria Math" w:hAnsi="Cambria Math"/>
                    <w:sz w:val="20"/>
                    <w:szCs w:val="20"/>
                  </w:rPr>
                  <m:t>max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m:rPr>
                    <m:sty m:val="p"/>
                  </m:rPr>
                  <w:rPr>
                    <w:rFonts w:ascii="Cambria Math" w:hAnsi="Cambria Math"/>
                    <w:sz w:val="20"/>
                    <w:szCs w:val="20"/>
                  </w:rPr>
                  <m:t>max</m:t>
                </m:r>
              </m:sub>
            </m:sSub>
          </m:e>
        </m:d>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I</m:t>
                </m:r>
              </m:e>
              <m:sub>
                <m:r>
                  <m:rPr>
                    <m:sty m:val="p"/>
                  </m:rPr>
                  <w:rPr>
                    <w:rFonts w:ascii="Cambria Math" w:hAnsi="Cambria Math"/>
                    <w:sz w:val="20"/>
                    <w:szCs w:val="20"/>
                  </w:rPr>
                  <m:t>sc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m:rPr>
                    <m:sty m:val="p"/>
                  </m:rPr>
                  <w:rPr>
                    <w:rFonts w:ascii="Cambria Math" w:hAnsi="Cambria Math"/>
                    <w:sz w:val="20"/>
                    <w:szCs w:val="20"/>
                  </w:rPr>
                  <m:t>oc</m:t>
                </m:r>
              </m:sub>
            </m:sSub>
          </m:e>
        </m:d>
      </m:oMath>
      <w:r w:rsidRPr="00372D64">
        <w:rPr>
          <w:rFonts w:ascii="Times New Roman" w:eastAsiaTheme="minorEastAsia" w:hAnsi="Times New Roman"/>
          <w:sz w:val="20"/>
          <w:szCs w:val="20"/>
        </w:rPr>
        <w:tab/>
      </w:r>
      <w:r w:rsidRPr="00372D64">
        <w:rPr>
          <w:rFonts w:ascii="Times New Roman" w:eastAsiaTheme="minorEastAsia" w:hAnsi="Times New Roman"/>
          <w:sz w:val="20"/>
          <w:szCs w:val="20"/>
        </w:rPr>
        <w:tab/>
      </w:r>
      <w:r w:rsidRPr="00372D64">
        <w:rPr>
          <w:rFonts w:ascii="Times New Roman" w:eastAsiaTheme="minorEastAsia" w:hAnsi="Times New Roman"/>
          <w:sz w:val="20"/>
          <w:szCs w:val="20"/>
        </w:rPr>
        <w:tab/>
      </w:r>
      <w:r w:rsidRPr="00372D64">
        <w:rPr>
          <w:rFonts w:ascii="Times New Roman" w:eastAsiaTheme="minorEastAsia" w:hAnsi="Times New Roman"/>
          <w:sz w:val="20"/>
          <w:szCs w:val="20"/>
        </w:rPr>
        <w:tab/>
      </w:r>
      <w:r w:rsidRPr="00372D64">
        <w:rPr>
          <w:rFonts w:ascii="Times New Roman" w:eastAsiaTheme="minorEastAsia" w:hAnsi="Times New Roman"/>
          <w:sz w:val="20"/>
          <w:szCs w:val="20"/>
        </w:rPr>
        <w:tab/>
      </w:r>
      <w:r w:rsidRPr="00372D64">
        <w:rPr>
          <w:rFonts w:ascii="Times New Roman" w:eastAsiaTheme="minorEastAsia" w:hAnsi="Times New Roman"/>
          <w:sz w:val="20"/>
          <w:szCs w:val="20"/>
        </w:rPr>
        <w:tab/>
      </w:r>
      <w:r w:rsidRPr="00372D64">
        <w:rPr>
          <w:rFonts w:ascii="Times New Roman" w:eastAsiaTheme="minorEastAsia" w:hAnsi="Times New Roman"/>
          <w:sz w:val="20"/>
          <w:szCs w:val="20"/>
        </w:rPr>
        <w:tab/>
      </w:r>
      <w:r w:rsidRPr="00372D64">
        <w:rPr>
          <w:rFonts w:ascii="Times New Roman" w:eastAsiaTheme="minorEastAsia" w:hAnsi="Times New Roman"/>
          <w:sz w:val="20"/>
          <w:szCs w:val="20"/>
        </w:rPr>
        <w:tab/>
        <w:t xml:space="preserve">  </w:t>
      </w:r>
      <w:r>
        <w:rPr>
          <w:rFonts w:ascii="Times New Roman" w:eastAsiaTheme="minorEastAsia" w:hAnsi="Times New Roman"/>
          <w:sz w:val="20"/>
          <w:szCs w:val="20"/>
        </w:rPr>
        <w:t xml:space="preserve">      </w:t>
      </w:r>
      <w:r w:rsidRPr="00372D64">
        <w:rPr>
          <w:rFonts w:ascii="Times New Roman" w:eastAsiaTheme="minorEastAsia" w:hAnsi="Times New Roman"/>
          <w:sz w:val="20"/>
          <w:szCs w:val="20"/>
        </w:rPr>
        <w:t xml:space="preserve"> (2)</w:t>
      </w:r>
    </w:p>
    <w:p w:rsidR="00372D64" w:rsidRPr="00372D64" w:rsidRDefault="00372D64" w:rsidP="00372D64">
      <w:pPr>
        <w:spacing w:after="0" w:line="240" w:lineRule="auto"/>
        <w:jc w:val="both"/>
        <w:rPr>
          <w:rFonts w:ascii="Times New Roman" w:eastAsiaTheme="minorEastAsia" w:hAnsi="Times New Roman"/>
          <w:sz w:val="20"/>
          <w:szCs w:val="20"/>
        </w:rPr>
      </w:pPr>
    </w:p>
    <w:p w:rsidR="00AC0033" w:rsidRPr="00372D64" w:rsidRDefault="00372D64" w:rsidP="00372D64">
      <w:pPr>
        <w:spacing w:after="0" w:line="240" w:lineRule="auto"/>
        <w:jc w:val="both"/>
        <w:rPr>
          <w:rFonts w:ascii="Times New Roman" w:hAnsi="Times New Roman"/>
          <w:noProof/>
          <w:sz w:val="20"/>
          <w:szCs w:val="20"/>
          <w:lang w:bidi="ar-SA"/>
        </w:rPr>
      </w:pPr>
      <w:r w:rsidRPr="00372D64">
        <w:rPr>
          <w:rFonts w:ascii="Times New Roman" w:eastAsiaTheme="minorEastAsia" w:hAnsi="Times New Roman"/>
          <w:sz w:val="20"/>
          <w:szCs w:val="20"/>
        </w:rPr>
        <w:t xml:space="preserve">where </w:t>
      </w:r>
      <w:r w:rsidRPr="00372D64">
        <w:rPr>
          <w:rFonts w:ascii="Times New Roman" w:eastAsiaTheme="minorEastAsia" w:hAnsi="Times New Roman"/>
          <w:i/>
          <w:sz w:val="20"/>
          <w:szCs w:val="20"/>
        </w:rPr>
        <w:t>I</w:t>
      </w:r>
      <w:r w:rsidRPr="00372D64">
        <w:rPr>
          <w:rFonts w:ascii="Times New Roman" w:eastAsiaTheme="minorEastAsia" w:hAnsi="Times New Roman"/>
          <w:sz w:val="20"/>
          <w:szCs w:val="20"/>
          <w:vertAlign w:val="subscript"/>
        </w:rPr>
        <w:t xml:space="preserve">max </w:t>
      </w:r>
      <w:r w:rsidRPr="00372D64">
        <w:rPr>
          <w:rFonts w:ascii="Times New Roman" w:eastAsiaTheme="minorEastAsia" w:hAnsi="Times New Roman"/>
          <w:sz w:val="20"/>
          <w:szCs w:val="20"/>
        </w:rPr>
        <w:t xml:space="preserve">and </w:t>
      </w:r>
      <w:r w:rsidRPr="00372D64">
        <w:rPr>
          <w:rFonts w:ascii="Times New Roman" w:eastAsiaTheme="minorEastAsia" w:hAnsi="Times New Roman"/>
          <w:i/>
          <w:sz w:val="20"/>
          <w:szCs w:val="20"/>
        </w:rPr>
        <w:t>V</w:t>
      </w:r>
      <w:r w:rsidRPr="00372D64">
        <w:rPr>
          <w:rFonts w:ascii="Times New Roman" w:eastAsiaTheme="minorEastAsia" w:hAnsi="Times New Roman"/>
          <w:sz w:val="20"/>
          <w:szCs w:val="20"/>
          <w:vertAlign w:val="subscript"/>
        </w:rPr>
        <w:t xml:space="preserve">max </w:t>
      </w:r>
      <w:r w:rsidRPr="00372D64">
        <w:rPr>
          <w:rFonts w:ascii="Times New Roman" w:eastAsiaTheme="minorEastAsia" w:hAnsi="Times New Roman"/>
          <w:sz w:val="20"/>
          <w:szCs w:val="20"/>
        </w:rPr>
        <w:t xml:space="preserve">represent the maximum output value of the current and voltage, respectively; while </w:t>
      </w:r>
      <w:r w:rsidRPr="00372D64">
        <w:rPr>
          <w:rFonts w:ascii="Times New Roman" w:eastAsiaTheme="minorEastAsia" w:hAnsi="Times New Roman"/>
          <w:i/>
          <w:sz w:val="20"/>
          <w:szCs w:val="20"/>
        </w:rPr>
        <w:t>I</w:t>
      </w:r>
      <w:r w:rsidRPr="00372D64">
        <w:rPr>
          <w:rFonts w:ascii="Times New Roman" w:eastAsiaTheme="minorEastAsia" w:hAnsi="Times New Roman"/>
          <w:sz w:val="20"/>
          <w:szCs w:val="20"/>
          <w:vertAlign w:val="subscript"/>
        </w:rPr>
        <w:t>sc</w:t>
      </w:r>
      <w:r w:rsidRPr="00372D64">
        <w:rPr>
          <w:rFonts w:ascii="Times New Roman" w:eastAsiaTheme="minorEastAsia" w:hAnsi="Times New Roman"/>
          <w:i/>
          <w:sz w:val="20"/>
          <w:szCs w:val="20"/>
        </w:rPr>
        <w:t xml:space="preserve"> </w:t>
      </w:r>
      <w:r w:rsidRPr="00372D64">
        <w:rPr>
          <w:rFonts w:ascii="Times New Roman" w:eastAsiaTheme="minorEastAsia" w:hAnsi="Times New Roman"/>
          <w:sz w:val="20"/>
          <w:szCs w:val="20"/>
        </w:rPr>
        <w:t xml:space="preserve">and </w:t>
      </w:r>
      <w:r w:rsidRPr="00372D64">
        <w:rPr>
          <w:rFonts w:ascii="Times New Roman" w:eastAsiaTheme="minorEastAsia" w:hAnsi="Times New Roman"/>
          <w:i/>
          <w:sz w:val="20"/>
          <w:szCs w:val="20"/>
        </w:rPr>
        <w:t>V</w:t>
      </w:r>
      <w:r w:rsidRPr="00372D64">
        <w:rPr>
          <w:rFonts w:ascii="Times New Roman" w:eastAsiaTheme="minorEastAsia" w:hAnsi="Times New Roman"/>
          <w:sz w:val="20"/>
          <w:szCs w:val="20"/>
          <w:vertAlign w:val="subscript"/>
        </w:rPr>
        <w:t xml:space="preserve">oc </w:t>
      </w:r>
      <w:r w:rsidRPr="00372D64">
        <w:rPr>
          <w:rFonts w:ascii="Times New Roman" w:eastAsiaTheme="minorEastAsia" w:hAnsi="Times New Roman"/>
          <w:sz w:val="20"/>
          <w:szCs w:val="20"/>
        </w:rPr>
        <w:t xml:space="preserve">represent the short-circuit current and open-circuit voltage, respectively. </w:t>
      </w:r>
      <w:r w:rsidRPr="00372D64">
        <w:rPr>
          <w:rFonts w:ascii="Times New Roman" w:hAnsi="Times New Roman"/>
          <w:sz w:val="20"/>
          <w:szCs w:val="20"/>
        </w:rPr>
        <w:t>Incident photon-to-current efficiency (IPCE) was also measured using a spectral response measurement system (IVT Solar PVE-300, Bentham Instruments, Ltd., Berkshire, UK).</w:t>
      </w:r>
    </w:p>
    <w:p w:rsidR="00372D64" w:rsidRDefault="00372D64" w:rsidP="00AC0033">
      <w:pPr>
        <w:spacing w:after="0" w:line="240" w:lineRule="auto"/>
        <w:jc w:val="center"/>
        <w:rPr>
          <w:rFonts w:ascii="Times New Roman" w:hAnsi="Times New Roman"/>
          <w:b/>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4F28FC" w:rsidRPr="004F28FC" w:rsidRDefault="004F28FC" w:rsidP="004F28FC">
      <w:pPr>
        <w:spacing w:after="0" w:line="240" w:lineRule="auto"/>
        <w:jc w:val="both"/>
        <w:rPr>
          <w:rFonts w:ascii="Times New Roman" w:hAnsi="Times New Roman"/>
          <w:b/>
          <w:bCs/>
          <w:iCs/>
          <w:sz w:val="20"/>
          <w:szCs w:val="20"/>
        </w:rPr>
      </w:pPr>
      <w:r w:rsidRPr="004F28FC">
        <w:rPr>
          <w:rFonts w:ascii="Times New Roman" w:hAnsi="Times New Roman"/>
          <w:b/>
          <w:bCs/>
          <w:iCs/>
          <w:sz w:val="20"/>
          <w:szCs w:val="20"/>
        </w:rPr>
        <w:t>UV–Vis analysis</w:t>
      </w:r>
    </w:p>
    <w:p w:rsidR="004F28FC" w:rsidRDefault="004F28FC" w:rsidP="004F28FC">
      <w:pPr>
        <w:pStyle w:val="ListParagraph"/>
        <w:spacing w:after="0" w:line="240" w:lineRule="auto"/>
        <w:ind w:left="0"/>
        <w:contextualSpacing w:val="0"/>
        <w:jc w:val="both"/>
        <w:rPr>
          <w:rFonts w:ascii="Times New Roman" w:eastAsiaTheme="minorEastAsia" w:hAnsi="Times New Roman"/>
          <w:sz w:val="20"/>
          <w:szCs w:val="20"/>
        </w:rPr>
      </w:pPr>
      <w:r w:rsidRPr="004F28FC">
        <w:rPr>
          <w:rFonts w:ascii="Times New Roman" w:hAnsi="Times New Roman"/>
          <w:sz w:val="20"/>
          <w:szCs w:val="20"/>
        </w:rPr>
        <w:t xml:space="preserve">The extracted crude sensitizers from rengas and mengkulang wood were examined under a UV–Vis spectrophotometer with methanol as the solvent reference. The absorption spectra of the crude sensitizers are shown in Figure 1. The intense peaks were found at 400 nm and 512 nm, which were observed in the rengas sensitizer. However, a broad shoulder appeared between 420 nm to 550 nm, which represented the mengkulang sensitizer. Based on these data, the rengas sensitizer can exhibit strong absorption at low wavelengths. Moreover, Figure 2 illustrates the absorption spectra of the mengkulang and rengas mixtures with the N719 sensitizer at five different percentage ratios. As shown in the figure, the absorption spectra of mengkulang: rengas: N719 (40%:40%:20%), rengas: N719 (80%:20%), and rengas: N719 (90%:10%) exhibit similarity to that of the individual rengas sensitizer. This finding may be attributed to the chemical characteristic of the rengas sensitizer, which is more dominantly </w:t>
      </w:r>
      <w:r w:rsidRPr="004F28FC">
        <w:rPr>
          <w:rFonts w:ascii="Times New Roman" w:hAnsi="Times New Roman"/>
          <w:sz w:val="20"/>
          <w:szCs w:val="20"/>
        </w:rPr>
        <w:lastRenderedPageBreak/>
        <w:t>absorbed onto TiO</w:t>
      </w:r>
      <w:r w:rsidRPr="004F28FC">
        <w:rPr>
          <w:rFonts w:ascii="Times New Roman" w:hAnsi="Times New Roman"/>
          <w:sz w:val="20"/>
          <w:szCs w:val="20"/>
          <w:vertAlign w:val="subscript"/>
        </w:rPr>
        <w:t>2</w:t>
      </w:r>
      <w:r w:rsidRPr="004F28FC">
        <w:rPr>
          <w:rFonts w:ascii="Times New Roman" w:hAnsi="Times New Roman"/>
          <w:sz w:val="20"/>
          <w:szCs w:val="20"/>
        </w:rPr>
        <w:t xml:space="preserve"> surface compared with the other sensitizers. Moreover, the </w:t>
      </w:r>
      <w:r w:rsidRPr="004F28FC">
        <w:rPr>
          <w:rFonts w:ascii="Times New Roman" w:eastAsiaTheme="minorEastAsia" w:hAnsi="Times New Roman"/>
          <w:sz w:val="20"/>
          <w:szCs w:val="20"/>
        </w:rPr>
        <w:t xml:space="preserve">absorption spectra of mengkulang: N719 (80%:20%) and mengkulang: N719 (90%:10%) also exhibit similarity to that of the individual mengkulang sensitizer because of the dominant effect of this sensitizer over the N719 sensitizer. </w:t>
      </w:r>
    </w:p>
    <w:p w:rsidR="004F28FC" w:rsidRPr="004F28FC" w:rsidRDefault="004F28FC" w:rsidP="004F28FC">
      <w:pPr>
        <w:pStyle w:val="ListParagraph"/>
        <w:spacing w:after="120" w:line="240" w:lineRule="auto"/>
        <w:ind w:left="0"/>
        <w:contextualSpacing w:val="0"/>
        <w:jc w:val="both"/>
        <w:rPr>
          <w:rFonts w:ascii="Times New Roman" w:eastAsiaTheme="minorEastAsia" w:hAnsi="Times New Roman"/>
          <w:sz w:val="20"/>
          <w:szCs w:val="20"/>
        </w:rPr>
      </w:pPr>
    </w:p>
    <w:p w:rsidR="004F28FC" w:rsidRPr="004F28FC" w:rsidRDefault="004F28FC" w:rsidP="004F28FC">
      <w:pPr>
        <w:spacing w:after="120" w:line="240" w:lineRule="auto"/>
        <w:jc w:val="center"/>
        <w:rPr>
          <w:rFonts w:ascii="Times New Roman" w:hAnsi="Times New Roman"/>
          <w:bCs/>
          <w:sz w:val="20"/>
          <w:szCs w:val="20"/>
        </w:rPr>
      </w:pPr>
      <w:r w:rsidRPr="004F28FC">
        <w:rPr>
          <w:rFonts w:ascii="Times New Roman" w:hAnsi="Times New Roman"/>
          <w:noProof/>
          <w:sz w:val="20"/>
          <w:szCs w:val="20"/>
          <w:lang w:bidi="ar-SA"/>
        </w:rPr>
        <w:drawing>
          <wp:inline distT="0" distB="0" distL="0" distR="0" wp14:anchorId="0F62088B" wp14:editId="3EEE7345">
            <wp:extent cx="3637424" cy="2103120"/>
            <wp:effectExtent l="19050" t="19050" r="2032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7424" cy="2103120"/>
                    </a:xfrm>
                    <a:prstGeom prst="rect">
                      <a:avLst/>
                    </a:prstGeom>
                    <a:noFill/>
                    <a:ln>
                      <a:solidFill>
                        <a:schemeClr val="tx1"/>
                      </a:solidFill>
                    </a:ln>
                  </pic:spPr>
                </pic:pic>
              </a:graphicData>
            </a:graphic>
          </wp:inline>
        </w:drawing>
      </w:r>
    </w:p>
    <w:p w:rsidR="004F28FC" w:rsidRPr="004F28FC" w:rsidRDefault="004F28FC" w:rsidP="004F28FC">
      <w:pPr>
        <w:spacing w:after="0" w:line="240" w:lineRule="auto"/>
        <w:jc w:val="center"/>
        <w:rPr>
          <w:rFonts w:ascii="Times New Roman" w:hAnsi="Times New Roman"/>
          <w:bCs/>
          <w:sz w:val="20"/>
          <w:szCs w:val="20"/>
        </w:rPr>
      </w:pPr>
      <w:r w:rsidRPr="004F28FC">
        <w:rPr>
          <w:rFonts w:ascii="Times New Roman" w:hAnsi="Times New Roman"/>
          <w:bCs/>
          <w:sz w:val="20"/>
          <w:szCs w:val="20"/>
        </w:rPr>
        <w:t xml:space="preserve">Figure 1: </w:t>
      </w:r>
      <w:r>
        <w:rPr>
          <w:rFonts w:ascii="Times New Roman" w:hAnsi="Times New Roman"/>
          <w:bCs/>
          <w:sz w:val="20"/>
          <w:szCs w:val="20"/>
        </w:rPr>
        <w:t xml:space="preserve"> </w:t>
      </w:r>
      <w:r w:rsidRPr="004F28FC">
        <w:rPr>
          <w:rFonts w:ascii="Times New Roman" w:hAnsi="Times New Roman"/>
          <w:bCs/>
          <w:sz w:val="20"/>
          <w:szCs w:val="20"/>
        </w:rPr>
        <w:t>UV–Vis absorption spectra of the mengkulang and rengas sensitizers</w:t>
      </w:r>
    </w:p>
    <w:p w:rsidR="004F28FC" w:rsidRDefault="004F28FC" w:rsidP="004F28FC">
      <w:pPr>
        <w:spacing w:after="120" w:line="240" w:lineRule="auto"/>
        <w:jc w:val="both"/>
        <w:rPr>
          <w:rFonts w:ascii="Times New Roman" w:hAnsi="Times New Roman"/>
          <w:sz w:val="20"/>
          <w:szCs w:val="20"/>
        </w:rPr>
      </w:pPr>
    </w:p>
    <w:p w:rsidR="004F28FC" w:rsidRDefault="004F28FC" w:rsidP="004F28FC">
      <w:pPr>
        <w:pStyle w:val="ListParagraph"/>
        <w:spacing w:after="0" w:line="240" w:lineRule="auto"/>
        <w:ind w:left="0"/>
        <w:contextualSpacing w:val="0"/>
        <w:jc w:val="both"/>
        <w:rPr>
          <w:rFonts w:ascii="Times New Roman" w:hAnsi="Times New Roman"/>
          <w:sz w:val="20"/>
          <w:szCs w:val="20"/>
        </w:rPr>
      </w:pPr>
      <w:r w:rsidRPr="004F28FC">
        <w:rPr>
          <w:rFonts w:ascii="Times New Roman" w:hAnsi="Times New Roman"/>
          <w:sz w:val="20"/>
          <w:szCs w:val="20"/>
        </w:rPr>
        <w:t>In addition, the absorption spectra of the mixed sensitizers absorbed onto TiO</w:t>
      </w:r>
      <w:r w:rsidRPr="004F28FC">
        <w:rPr>
          <w:rFonts w:ascii="Times New Roman" w:hAnsi="Times New Roman"/>
          <w:sz w:val="20"/>
          <w:szCs w:val="20"/>
          <w:vertAlign w:val="subscript"/>
        </w:rPr>
        <w:t>2</w:t>
      </w:r>
      <w:r w:rsidRPr="004F28FC">
        <w:rPr>
          <w:rFonts w:ascii="Times New Roman" w:hAnsi="Times New Roman"/>
          <w:sz w:val="20"/>
          <w:szCs w:val="20"/>
        </w:rPr>
        <w:t xml:space="preserve"> are also shown in Figure 2. Upon absorbed onto TiO</w:t>
      </w:r>
      <w:r w:rsidRPr="004F28FC">
        <w:rPr>
          <w:rFonts w:ascii="Times New Roman" w:hAnsi="Times New Roman"/>
          <w:sz w:val="20"/>
          <w:szCs w:val="20"/>
          <w:vertAlign w:val="subscript"/>
        </w:rPr>
        <w:t>2</w:t>
      </w:r>
      <w:r w:rsidRPr="004F28FC">
        <w:rPr>
          <w:rFonts w:ascii="Times New Roman" w:hAnsi="Times New Roman"/>
          <w:sz w:val="20"/>
          <w:szCs w:val="20"/>
        </w:rPr>
        <w:t xml:space="preserve">, the spectra did not present an obvious peak although wide shoulders were observed between 400 nm and 450 nm and between 500 nm and 550 nm for mengkulang: rengas: N719 (40%:40%:20%), rengas: N719 (80%:20%), and rengas: N719 (90%:10%), as well as between 500 nm and 550 nm for </w:t>
      </w:r>
      <w:r w:rsidRPr="004F28FC">
        <w:rPr>
          <w:rFonts w:ascii="Times New Roman" w:eastAsiaTheme="minorEastAsia" w:hAnsi="Times New Roman"/>
          <w:sz w:val="20"/>
          <w:szCs w:val="20"/>
        </w:rPr>
        <w:t>mengkulang: N719 (80%:20%) and mengkulang: N719 (90%:10%)</w:t>
      </w:r>
      <w:r w:rsidRPr="004F28FC">
        <w:rPr>
          <w:rFonts w:ascii="Times New Roman" w:hAnsi="Times New Roman"/>
          <w:sz w:val="20"/>
          <w:szCs w:val="20"/>
        </w:rPr>
        <w:t>. The UV–Vis absorption of TiO</w:t>
      </w:r>
      <w:r w:rsidRPr="004F28FC">
        <w:rPr>
          <w:rFonts w:ascii="Times New Roman" w:hAnsi="Times New Roman"/>
          <w:sz w:val="20"/>
          <w:szCs w:val="20"/>
          <w:vertAlign w:val="subscript"/>
        </w:rPr>
        <w:t>2</w:t>
      </w:r>
      <w:r w:rsidRPr="004F28FC">
        <w:rPr>
          <w:rFonts w:ascii="Times New Roman" w:hAnsi="Times New Roman"/>
          <w:sz w:val="20"/>
          <w:szCs w:val="20"/>
        </w:rPr>
        <w:t xml:space="preserve"> without a sensitizer is also shown to compare it with those with absorbed sensitizers. Based on the comparison results, the absorption spectra of the sensitizers absorbed onto TiO</w:t>
      </w:r>
      <w:r w:rsidRPr="004F28FC">
        <w:rPr>
          <w:rFonts w:ascii="Times New Roman" w:hAnsi="Times New Roman"/>
          <w:sz w:val="20"/>
          <w:szCs w:val="20"/>
          <w:vertAlign w:val="subscript"/>
        </w:rPr>
        <w:t>2</w:t>
      </w:r>
      <w:r w:rsidRPr="004F28FC">
        <w:rPr>
          <w:rFonts w:ascii="Times New Roman" w:hAnsi="Times New Roman"/>
          <w:sz w:val="20"/>
          <w:szCs w:val="20"/>
        </w:rPr>
        <w:t xml:space="preserve"> exhibit a more stable and broader shoulder than that of TiO</w:t>
      </w:r>
      <w:r w:rsidRPr="004F28FC">
        <w:rPr>
          <w:rFonts w:ascii="Times New Roman" w:hAnsi="Times New Roman"/>
          <w:sz w:val="20"/>
          <w:szCs w:val="20"/>
          <w:vertAlign w:val="subscript"/>
        </w:rPr>
        <w:t>2</w:t>
      </w:r>
      <w:r w:rsidRPr="004F28FC">
        <w:rPr>
          <w:rFonts w:ascii="Times New Roman" w:hAnsi="Times New Roman"/>
          <w:sz w:val="20"/>
          <w:szCs w:val="20"/>
        </w:rPr>
        <w:t xml:space="preserve"> without a sensitizer; this characteristic enables the photoelectrode to harvest light from a broad spectrum of solar energy, which causes a device to generate high photocurrent [21]. Another important finding is that dye concentration also affects absorption value.</w:t>
      </w:r>
    </w:p>
    <w:p w:rsidR="004F28FC" w:rsidRPr="004F28FC" w:rsidRDefault="004F28FC" w:rsidP="00412204">
      <w:pPr>
        <w:spacing w:after="0" w:line="240" w:lineRule="auto"/>
        <w:jc w:val="both"/>
        <w:rPr>
          <w:rFonts w:ascii="Times New Roman" w:hAnsi="Times New Roman"/>
          <w:sz w:val="20"/>
          <w:szCs w:val="20"/>
        </w:rPr>
      </w:pPr>
    </w:p>
    <w:p w:rsidR="004F28FC" w:rsidRPr="004F28FC" w:rsidRDefault="004F28FC" w:rsidP="00412204">
      <w:pPr>
        <w:keepNext/>
        <w:keepLines/>
        <w:spacing w:after="120" w:line="240" w:lineRule="auto"/>
        <w:jc w:val="center"/>
        <w:outlineLvl w:val="0"/>
        <w:rPr>
          <w:rFonts w:ascii="Times New Roman" w:hAnsi="Times New Roman"/>
          <w:bCs/>
          <w:sz w:val="20"/>
          <w:szCs w:val="20"/>
        </w:rPr>
      </w:pPr>
      <w:r w:rsidRPr="004F28FC">
        <w:rPr>
          <w:rFonts w:ascii="Times New Roman" w:hAnsi="Times New Roman"/>
          <w:noProof/>
          <w:sz w:val="20"/>
          <w:szCs w:val="20"/>
          <w:lang w:bidi="ar-SA"/>
        </w:rPr>
        <w:drawing>
          <wp:inline distT="0" distB="0" distL="0" distR="0" wp14:anchorId="6D5A6694" wp14:editId="401E25F0">
            <wp:extent cx="3751774" cy="2377440"/>
            <wp:effectExtent l="19050" t="19050" r="2032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1774" cy="2377440"/>
                    </a:xfrm>
                    <a:prstGeom prst="rect">
                      <a:avLst/>
                    </a:prstGeom>
                    <a:noFill/>
                    <a:ln>
                      <a:solidFill>
                        <a:schemeClr val="tx1"/>
                      </a:solidFill>
                    </a:ln>
                  </pic:spPr>
                </pic:pic>
              </a:graphicData>
            </a:graphic>
          </wp:inline>
        </w:drawing>
      </w:r>
    </w:p>
    <w:p w:rsidR="004F28FC" w:rsidRPr="004F28FC" w:rsidRDefault="004F28FC" w:rsidP="00412204">
      <w:pPr>
        <w:keepNext/>
        <w:keepLines/>
        <w:spacing w:after="0" w:line="240" w:lineRule="auto"/>
        <w:ind w:left="900" w:hanging="900"/>
        <w:jc w:val="both"/>
        <w:outlineLvl w:val="0"/>
        <w:rPr>
          <w:rFonts w:ascii="Times New Roman" w:hAnsi="Times New Roman"/>
          <w:sz w:val="20"/>
          <w:szCs w:val="20"/>
        </w:rPr>
      </w:pPr>
      <w:r w:rsidRPr="004F28FC">
        <w:rPr>
          <w:rFonts w:ascii="Times New Roman" w:hAnsi="Times New Roman"/>
          <w:bCs/>
          <w:sz w:val="20"/>
          <w:szCs w:val="20"/>
        </w:rPr>
        <w:t xml:space="preserve">Figure 2. </w:t>
      </w:r>
      <w:r w:rsidR="00412204">
        <w:rPr>
          <w:rFonts w:ascii="Times New Roman" w:hAnsi="Times New Roman"/>
          <w:bCs/>
          <w:sz w:val="20"/>
          <w:szCs w:val="20"/>
        </w:rPr>
        <w:t xml:space="preserve"> </w:t>
      </w:r>
      <w:r w:rsidR="00412204">
        <w:rPr>
          <w:rFonts w:ascii="Times New Roman" w:hAnsi="Times New Roman"/>
          <w:bCs/>
          <w:sz w:val="20"/>
          <w:szCs w:val="20"/>
        </w:rPr>
        <w:tab/>
      </w:r>
      <w:r w:rsidRPr="004F28FC">
        <w:rPr>
          <w:rFonts w:ascii="Times New Roman" w:hAnsi="Times New Roman"/>
          <w:sz w:val="20"/>
          <w:szCs w:val="20"/>
        </w:rPr>
        <w:t>UV–Vis absorption of the mixed sensitizers, the TiO</w:t>
      </w:r>
      <w:r w:rsidRPr="004F28FC">
        <w:rPr>
          <w:rFonts w:ascii="Times New Roman" w:hAnsi="Times New Roman"/>
          <w:sz w:val="20"/>
          <w:szCs w:val="20"/>
          <w:vertAlign w:val="subscript"/>
        </w:rPr>
        <w:t>2</w:t>
      </w:r>
      <w:r w:rsidRPr="004F28FC">
        <w:rPr>
          <w:rFonts w:ascii="Times New Roman" w:hAnsi="Times New Roman"/>
          <w:sz w:val="20"/>
          <w:szCs w:val="20"/>
        </w:rPr>
        <w:t xml:space="preserve"> electrode, and the sensitizers absorbed onto TiO</w:t>
      </w:r>
      <w:r w:rsidRPr="004F28FC">
        <w:rPr>
          <w:rFonts w:ascii="Times New Roman" w:hAnsi="Times New Roman"/>
          <w:sz w:val="20"/>
          <w:szCs w:val="20"/>
          <w:vertAlign w:val="subscript"/>
        </w:rPr>
        <w:t>2</w:t>
      </w:r>
      <w:r w:rsidRPr="004F28FC">
        <w:rPr>
          <w:rFonts w:ascii="Times New Roman" w:hAnsi="Times New Roman"/>
          <w:sz w:val="20"/>
          <w:szCs w:val="20"/>
        </w:rPr>
        <w:t xml:space="preserve"> (M stands for mengkulang; N denotes N719; and R indicates rengas).</w:t>
      </w:r>
    </w:p>
    <w:p w:rsidR="004F28FC" w:rsidRPr="004F28FC" w:rsidRDefault="004F28FC" w:rsidP="00412204">
      <w:pPr>
        <w:spacing w:after="0" w:line="240" w:lineRule="auto"/>
        <w:ind w:left="900" w:hanging="900"/>
        <w:jc w:val="both"/>
        <w:rPr>
          <w:rFonts w:ascii="Times New Roman" w:hAnsi="Times New Roman"/>
          <w:i/>
          <w:sz w:val="20"/>
          <w:szCs w:val="20"/>
        </w:rPr>
      </w:pPr>
    </w:p>
    <w:p w:rsidR="004F28FC" w:rsidRPr="004F28FC" w:rsidRDefault="004F28FC" w:rsidP="004F28FC">
      <w:pPr>
        <w:spacing w:after="0" w:line="240" w:lineRule="auto"/>
        <w:jc w:val="both"/>
        <w:rPr>
          <w:rFonts w:ascii="Times New Roman" w:hAnsi="Times New Roman"/>
          <w:b/>
          <w:bCs/>
          <w:iCs/>
          <w:sz w:val="20"/>
          <w:szCs w:val="20"/>
        </w:rPr>
      </w:pPr>
      <w:r w:rsidRPr="004F28FC">
        <w:rPr>
          <w:rFonts w:ascii="Times New Roman" w:hAnsi="Times New Roman"/>
          <w:b/>
          <w:bCs/>
          <w:iCs/>
          <w:sz w:val="20"/>
          <w:szCs w:val="20"/>
        </w:rPr>
        <w:lastRenderedPageBreak/>
        <w:t>FTIR analysis</w:t>
      </w:r>
    </w:p>
    <w:p w:rsidR="004F28FC" w:rsidRPr="004F28FC" w:rsidRDefault="004F28FC" w:rsidP="004F28FC">
      <w:pPr>
        <w:spacing w:after="0" w:line="240" w:lineRule="auto"/>
        <w:jc w:val="both"/>
        <w:rPr>
          <w:rFonts w:ascii="Times New Roman" w:hAnsi="Times New Roman"/>
          <w:sz w:val="20"/>
          <w:szCs w:val="20"/>
        </w:rPr>
      </w:pPr>
      <w:r w:rsidRPr="004F28FC">
        <w:rPr>
          <w:rFonts w:ascii="Times New Roman" w:hAnsi="Times New Roman"/>
          <w:sz w:val="20"/>
          <w:szCs w:val="20"/>
        </w:rPr>
        <w:t>The functional groups of the sensitizers were analyzed via FTIR spectroscopy, with potassium bromide as the background reference. Figure 3 shows that the patterns of the infrared spectra are similar for all samples probably because the functional groups present in all the investigated sensitizers are the same. The broad bands observed at 3323, 3309, 3340, 3352, and 3320 cm</w:t>
      </w:r>
      <w:r w:rsidRPr="004F28FC">
        <w:rPr>
          <w:rFonts w:ascii="Times New Roman" w:hAnsi="Times New Roman"/>
          <w:sz w:val="20"/>
          <w:szCs w:val="20"/>
          <w:vertAlign w:val="superscript"/>
        </w:rPr>
        <w:t xml:space="preserve">−1 </w:t>
      </w:r>
      <w:r w:rsidRPr="004F28FC">
        <w:rPr>
          <w:rFonts w:ascii="Times New Roman" w:hAnsi="Times New Roman"/>
          <w:sz w:val="20"/>
          <w:szCs w:val="20"/>
        </w:rPr>
        <w:t>were attributed to the vibrations of the free hydroxyl group (Ar–O–H) of phenols. The intense peaks observed at 2832 cm</w:t>
      </w:r>
      <w:r w:rsidRPr="004F28FC">
        <w:rPr>
          <w:rFonts w:ascii="Times New Roman" w:hAnsi="Times New Roman"/>
          <w:sz w:val="20"/>
          <w:szCs w:val="20"/>
          <w:vertAlign w:val="superscript"/>
        </w:rPr>
        <w:t>−1</w:t>
      </w:r>
      <w:r w:rsidRPr="004F28FC">
        <w:rPr>
          <w:rFonts w:ascii="Times New Roman" w:hAnsi="Times New Roman"/>
          <w:sz w:val="20"/>
          <w:szCs w:val="20"/>
        </w:rPr>
        <w:t xml:space="preserve"> and 2944 cm</w:t>
      </w:r>
      <w:r w:rsidRPr="004F28FC">
        <w:rPr>
          <w:rFonts w:ascii="Times New Roman" w:hAnsi="Times New Roman"/>
          <w:sz w:val="20"/>
          <w:szCs w:val="20"/>
          <w:vertAlign w:val="superscript"/>
        </w:rPr>
        <w:t xml:space="preserve">−1 </w:t>
      </w:r>
      <w:r w:rsidRPr="004F28FC">
        <w:rPr>
          <w:rFonts w:ascii="Times New Roman" w:hAnsi="Times New Roman"/>
          <w:sz w:val="20"/>
          <w:szCs w:val="20"/>
        </w:rPr>
        <w:t xml:space="preserve">were attributed to the stretching of the </w:t>
      </w:r>
      <w:r w:rsidRPr="004F28FC">
        <w:rPr>
          <w:rFonts w:ascii="Times New Roman" w:hAnsi="Times New Roman"/>
          <w:i/>
          <w:sz w:val="20"/>
          <w:szCs w:val="20"/>
        </w:rPr>
        <w:t>sp</w:t>
      </w:r>
      <w:r w:rsidRPr="004F28FC">
        <w:rPr>
          <w:rFonts w:ascii="Times New Roman" w:hAnsi="Times New Roman"/>
          <w:sz w:val="20"/>
          <w:szCs w:val="20"/>
          <w:vertAlign w:val="superscript"/>
        </w:rPr>
        <w:t>3</w:t>
      </w:r>
      <w:r w:rsidRPr="004F28FC">
        <w:rPr>
          <w:rFonts w:ascii="Times New Roman" w:hAnsi="Times New Roman"/>
          <w:sz w:val="20"/>
          <w:szCs w:val="20"/>
        </w:rPr>
        <w:t xml:space="preserve"> C–H bond. Moreover, the small shoulder that appeared at 1449 cm</w:t>
      </w:r>
      <w:r w:rsidRPr="004F28FC">
        <w:rPr>
          <w:rFonts w:ascii="Times New Roman" w:hAnsi="Times New Roman"/>
          <w:sz w:val="20"/>
          <w:szCs w:val="20"/>
          <w:vertAlign w:val="superscript"/>
        </w:rPr>
        <w:t>−1</w:t>
      </w:r>
      <w:r w:rsidRPr="004F28FC">
        <w:rPr>
          <w:rFonts w:ascii="Times New Roman" w:hAnsi="Times New Roman"/>
          <w:sz w:val="20"/>
          <w:szCs w:val="20"/>
        </w:rPr>
        <w:t xml:space="preserve"> was ascribed to the presence of aromatic C=C stretching, whereas the one observed at 1650 cm</w:t>
      </w:r>
      <w:r w:rsidRPr="004F28FC">
        <w:rPr>
          <w:rFonts w:ascii="Times New Roman" w:hAnsi="Times New Roman"/>
          <w:sz w:val="20"/>
          <w:szCs w:val="20"/>
          <w:vertAlign w:val="superscript"/>
        </w:rPr>
        <w:t>−1</w:t>
      </w:r>
      <w:r w:rsidRPr="004F28FC">
        <w:rPr>
          <w:rFonts w:ascii="Times New Roman" w:hAnsi="Times New Roman"/>
          <w:sz w:val="20"/>
          <w:szCs w:val="20"/>
        </w:rPr>
        <w:t xml:space="preserve"> was attributed to the presence of a C=N bond. The intense and long peak at 1023 cm</w:t>
      </w:r>
      <w:r w:rsidRPr="004F28FC">
        <w:rPr>
          <w:rFonts w:ascii="Times New Roman" w:hAnsi="Times New Roman"/>
          <w:sz w:val="20"/>
          <w:szCs w:val="20"/>
          <w:vertAlign w:val="superscript"/>
        </w:rPr>
        <w:t>−1</w:t>
      </w:r>
      <w:r w:rsidRPr="004F28FC">
        <w:rPr>
          <w:rFonts w:ascii="Times New Roman" w:hAnsi="Times New Roman"/>
          <w:sz w:val="20"/>
          <w:szCs w:val="20"/>
        </w:rPr>
        <w:t xml:space="preserve"> was ascribed to the presence of a C–O bond. Based on the collected information, the carboxyl and carbonyl functional groups do not exist in the studied natural sensitizers. Previous literature has reported that the functional group that is required to interact with TiO</w:t>
      </w:r>
      <w:r w:rsidRPr="004F28FC">
        <w:rPr>
          <w:rFonts w:ascii="Times New Roman" w:hAnsi="Times New Roman"/>
          <w:sz w:val="20"/>
          <w:szCs w:val="20"/>
          <w:vertAlign w:val="subscript"/>
        </w:rPr>
        <w:t>2</w:t>
      </w:r>
      <w:r w:rsidRPr="004F28FC">
        <w:rPr>
          <w:rFonts w:ascii="Times New Roman" w:hAnsi="Times New Roman"/>
          <w:sz w:val="20"/>
          <w:szCs w:val="20"/>
        </w:rPr>
        <w:t xml:space="preserve"> surface is either a carboxylic group or other peripheral acidic anchoring groups [22].  </w:t>
      </w:r>
    </w:p>
    <w:p w:rsidR="004F28FC" w:rsidRPr="004F28FC" w:rsidRDefault="004F28FC" w:rsidP="00412204">
      <w:pPr>
        <w:spacing w:after="120" w:line="240" w:lineRule="auto"/>
        <w:jc w:val="both"/>
        <w:rPr>
          <w:rFonts w:ascii="Times New Roman" w:hAnsi="Times New Roman"/>
          <w:sz w:val="20"/>
          <w:szCs w:val="20"/>
        </w:rPr>
      </w:pPr>
    </w:p>
    <w:p w:rsidR="004F28FC" w:rsidRPr="004F28FC" w:rsidRDefault="00412204" w:rsidP="00412204">
      <w:pPr>
        <w:spacing w:after="120" w:line="240" w:lineRule="auto"/>
        <w:jc w:val="center"/>
        <w:rPr>
          <w:rFonts w:ascii="Times New Roman" w:hAnsi="Times New Roman"/>
          <w:b/>
          <w:sz w:val="20"/>
          <w:szCs w:val="20"/>
        </w:rPr>
      </w:pPr>
      <w:r w:rsidRPr="004F28FC">
        <w:rPr>
          <w:rFonts w:ascii="Times New Roman" w:hAnsi="Times New Roman"/>
          <w:noProof/>
          <w:sz w:val="20"/>
          <w:szCs w:val="20"/>
          <w:lang w:bidi="ar-SA"/>
        </w:rPr>
        <w:drawing>
          <wp:inline distT="0" distB="0" distL="0" distR="0" wp14:anchorId="691D6F0B" wp14:editId="2939D742">
            <wp:extent cx="4548851" cy="2743200"/>
            <wp:effectExtent l="19050" t="19050" r="2349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8851" cy="2743200"/>
                    </a:xfrm>
                    <a:prstGeom prst="rect">
                      <a:avLst/>
                    </a:prstGeom>
                    <a:noFill/>
                    <a:ln>
                      <a:solidFill>
                        <a:schemeClr val="tx1"/>
                      </a:solidFill>
                    </a:ln>
                  </pic:spPr>
                </pic:pic>
              </a:graphicData>
            </a:graphic>
          </wp:inline>
        </w:drawing>
      </w:r>
    </w:p>
    <w:p w:rsidR="004F28FC" w:rsidRPr="004F28FC" w:rsidRDefault="004F28FC" w:rsidP="004F28FC">
      <w:pPr>
        <w:spacing w:after="0" w:line="240" w:lineRule="auto"/>
        <w:ind w:left="851" w:hanging="851"/>
        <w:jc w:val="both"/>
        <w:rPr>
          <w:rFonts w:ascii="Times New Roman" w:hAnsi="Times New Roman"/>
          <w:sz w:val="20"/>
          <w:szCs w:val="20"/>
        </w:rPr>
      </w:pPr>
      <w:r w:rsidRPr="004F28FC">
        <w:rPr>
          <w:rFonts w:ascii="Times New Roman" w:hAnsi="Times New Roman"/>
          <w:bCs/>
          <w:sz w:val="20"/>
          <w:szCs w:val="20"/>
        </w:rPr>
        <w:t xml:space="preserve">Figure 3. </w:t>
      </w:r>
      <w:r w:rsidR="00412204">
        <w:rPr>
          <w:rFonts w:ascii="Times New Roman" w:hAnsi="Times New Roman"/>
          <w:bCs/>
          <w:sz w:val="20"/>
          <w:szCs w:val="20"/>
        </w:rPr>
        <w:tab/>
      </w:r>
      <w:r w:rsidRPr="004F28FC">
        <w:rPr>
          <w:rFonts w:ascii="Times New Roman" w:hAnsi="Times New Roman"/>
          <w:bCs/>
          <w:sz w:val="20"/>
          <w:szCs w:val="20"/>
        </w:rPr>
        <w:t>FTIR</w:t>
      </w:r>
      <w:r w:rsidRPr="004F28FC">
        <w:rPr>
          <w:rFonts w:ascii="Times New Roman" w:hAnsi="Times New Roman"/>
          <w:sz w:val="20"/>
          <w:szCs w:val="20"/>
        </w:rPr>
        <w:t xml:space="preserve"> analyses of the individual and mixed sensitizers (M stands for mengkulang; N denotes N719; and R indicates rengas)</w:t>
      </w:r>
    </w:p>
    <w:p w:rsidR="00412204" w:rsidRPr="00412204" w:rsidRDefault="00412204" w:rsidP="00412204">
      <w:pPr>
        <w:spacing w:after="120" w:line="240" w:lineRule="auto"/>
        <w:jc w:val="both"/>
        <w:rPr>
          <w:rFonts w:ascii="Times New Roman" w:hAnsi="Times New Roman"/>
          <w:sz w:val="20"/>
          <w:szCs w:val="20"/>
        </w:rPr>
      </w:pPr>
    </w:p>
    <w:p w:rsidR="004F28FC" w:rsidRPr="00412204" w:rsidRDefault="004F28FC" w:rsidP="004F28FC">
      <w:pPr>
        <w:spacing w:after="0" w:line="240" w:lineRule="auto"/>
        <w:jc w:val="both"/>
        <w:rPr>
          <w:rFonts w:ascii="Times New Roman" w:hAnsi="Times New Roman"/>
          <w:b/>
          <w:sz w:val="20"/>
          <w:szCs w:val="20"/>
        </w:rPr>
      </w:pPr>
      <w:r w:rsidRPr="00412204">
        <w:rPr>
          <w:rFonts w:ascii="Times New Roman" w:hAnsi="Times New Roman"/>
          <w:b/>
          <w:sz w:val="20"/>
          <w:szCs w:val="20"/>
        </w:rPr>
        <w:t>PL Analysis</w:t>
      </w:r>
    </w:p>
    <w:p w:rsidR="004F28FC" w:rsidRPr="004F28FC" w:rsidRDefault="004F28FC" w:rsidP="004F28FC">
      <w:pPr>
        <w:spacing w:after="0" w:line="240" w:lineRule="auto"/>
        <w:jc w:val="both"/>
        <w:rPr>
          <w:rFonts w:ascii="Times New Roman" w:hAnsi="Times New Roman"/>
          <w:sz w:val="20"/>
          <w:szCs w:val="20"/>
        </w:rPr>
      </w:pPr>
      <w:r w:rsidRPr="004F28FC">
        <w:rPr>
          <w:rFonts w:ascii="Times New Roman" w:hAnsi="Times New Roman"/>
          <w:sz w:val="20"/>
          <w:szCs w:val="20"/>
        </w:rPr>
        <w:t xml:space="preserve">Band gap measurement was performed via PL analysis. The optical band gaps of the sensitizers were obtained from the relation </w:t>
      </w:r>
      <w:r w:rsidRPr="004F28FC">
        <w:rPr>
          <w:rFonts w:ascii="Times New Roman" w:hAnsi="Times New Roman"/>
          <w:i/>
          <w:sz w:val="20"/>
          <w:szCs w:val="20"/>
        </w:rPr>
        <w:t>E</w:t>
      </w:r>
      <w:r w:rsidRPr="004F28FC">
        <w:rPr>
          <w:rFonts w:ascii="Times New Roman" w:hAnsi="Times New Roman"/>
          <w:sz w:val="20"/>
          <w:szCs w:val="20"/>
          <w:vertAlign w:val="subscript"/>
        </w:rPr>
        <w:t xml:space="preserve">g </w:t>
      </w:r>
      <w:r w:rsidRPr="004F28FC">
        <w:rPr>
          <w:rFonts w:ascii="Times New Roman" w:hAnsi="Times New Roman"/>
          <w:sz w:val="20"/>
          <w:szCs w:val="20"/>
        </w:rPr>
        <w:t xml:space="preserve">= </w:t>
      </w:r>
      <w:r w:rsidRPr="004F28FC">
        <w:rPr>
          <w:rFonts w:ascii="Times New Roman" w:hAnsi="Times New Roman"/>
          <w:i/>
          <w:sz w:val="20"/>
          <w:szCs w:val="20"/>
        </w:rPr>
        <w:t>hc/</w:t>
      </w:r>
      <w:r w:rsidRPr="004F28FC">
        <w:rPr>
          <w:rFonts w:ascii="Times New Roman" w:hAnsi="Times New Roman"/>
          <w:sz w:val="20"/>
          <w:szCs w:val="20"/>
        </w:rPr>
        <w:t xml:space="preserve">λ, where </w:t>
      </w:r>
      <w:r w:rsidRPr="004F28FC">
        <w:rPr>
          <w:rFonts w:ascii="Times New Roman" w:hAnsi="Times New Roman"/>
          <w:i/>
          <w:sz w:val="20"/>
          <w:szCs w:val="20"/>
        </w:rPr>
        <w:t>h</w:t>
      </w:r>
      <w:r w:rsidRPr="004F28FC">
        <w:rPr>
          <w:rFonts w:ascii="Times New Roman" w:hAnsi="Times New Roman"/>
          <w:sz w:val="20"/>
          <w:szCs w:val="20"/>
        </w:rPr>
        <w:t xml:space="preserve"> is Planck’s constant, </w:t>
      </w:r>
      <w:r w:rsidRPr="004F28FC">
        <w:rPr>
          <w:rFonts w:ascii="Times New Roman" w:hAnsi="Times New Roman"/>
          <w:i/>
          <w:sz w:val="20"/>
          <w:szCs w:val="20"/>
        </w:rPr>
        <w:t>c</w:t>
      </w:r>
      <w:r w:rsidRPr="004F28FC">
        <w:rPr>
          <w:rFonts w:ascii="Times New Roman" w:hAnsi="Times New Roman"/>
          <w:sz w:val="20"/>
          <w:szCs w:val="20"/>
        </w:rPr>
        <w:t xml:space="preserve"> is the speed of light, and λ is the emission peak obtained from the PL emission spectra. Table 1 provides the band gap measurements of all types of samples used in this study. Based on the data, the mengkulang and mengkulang: N719 (80%:20%) sensitizers exhibit the highest band gap value, that is, 2.38 eV, at the emission peaks of 522 nm and 520 nm, respectively. Furthermore, the mengkulang: N719 (90%:10%) sensitizer presents a slightly lower band gap value, that is, 2.36 eV at the emission peak of 525 nm. The remaining samples exhibit close band gap value of 2.15 eV for both the rengas sensitizer at the emission peak of 576 nm and the rengas: N719 (80%:20%) sensitizer at the emission peak of 578 nm. The band gap value of 2.16 eV was obtained for both the mengkulang: N719 (80%:20%) and mengkulang: rengas: N719 (40%:40%:20%) sensitizers at the same emission peak of 575 nm. As shown in Figure 4, the mengkulang, mengkulang: N719 (80%:20%), and mengkulang: N719 (90%:10%) sensitizers have broad emission peaks, whereas the other sensitizers exhibit similar emission peak patterns. In addition, 90% and 80% mengkulang present higher intensity than 90% and 80% rengas in the mixed sensitizers. Moreover, the mixed sensitizers with 10% N719 have higher intensities than those with 20% N719. </w:t>
      </w:r>
    </w:p>
    <w:p w:rsidR="004F28FC" w:rsidRDefault="004F28FC" w:rsidP="004F28FC">
      <w:pPr>
        <w:spacing w:after="0" w:line="240" w:lineRule="auto"/>
        <w:jc w:val="both"/>
        <w:rPr>
          <w:rFonts w:ascii="Times New Roman" w:hAnsi="Times New Roman"/>
          <w:sz w:val="20"/>
          <w:szCs w:val="20"/>
        </w:rPr>
      </w:pPr>
    </w:p>
    <w:p w:rsidR="00412204" w:rsidRPr="004F28FC" w:rsidRDefault="00412204" w:rsidP="004F28FC">
      <w:pPr>
        <w:spacing w:after="0" w:line="240" w:lineRule="auto"/>
        <w:jc w:val="both"/>
        <w:rPr>
          <w:rFonts w:ascii="Times New Roman" w:hAnsi="Times New Roman"/>
          <w:sz w:val="20"/>
          <w:szCs w:val="20"/>
        </w:rPr>
      </w:pPr>
    </w:p>
    <w:p w:rsidR="004F28FC" w:rsidRPr="004F28FC" w:rsidRDefault="004F28FC" w:rsidP="00412204">
      <w:pPr>
        <w:spacing w:after="120" w:line="240" w:lineRule="auto"/>
        <w:jc w:val="center"/>
        <w:rPr>
          <w:rFonts w:ascii="Times New Roman" w:hAnsi="Times New Roman"/>
          <w:bCs/>
          <w:sz w:val="20"/>
          <w:szCs w:val="20"/>
        </w:rPr>
      </w:pPr>
      <w:r w:rsidRPr="004F28FC">
        <w:rPr>
          <w:rFonts w:ascii="Times New Roman" w:hAnsi="Times New Roman"/>
          <w:bCs/>
          <w:sz w:val="20"/>
          <w:szCs w:val="20"/>
        </w:rPr>
        <w:lastRenderedPageBreak/>
        <w:t xml:space="preserve">Table 1. </w:t>
      </w:r>
      <w:r w:rsidR="00412204">
        <w:rPr>
          <w:rFonts w:ascii="Times New Roman" w:hAnsi="Times New Roman"/>
          <w:bCs/>
          <w:sz w:val="20"/>
          <w:szCs w:val="20"/>
        </w:rPr>
        <w:t xml:space="preserve"> </w:t>
      </w:r>
      <w:r w:rsidRPr="004F28FC">
        <w:rPr>
          <w:rFonts w:ascii="Times New Roman" w:hAnsi="Times New Roman"/>
          <w:bCs/>
          <w:sz w:val="20"/>
          <w:szCs w:val="20"/>
        </w:rPr>
        <w:t>Summary of optical band gap measurement</w:t>
      </w:r>
    </w:p>
    <w:tbl>
      <w:tblPr>
        <w:tblStyle w:val="LightShading1"/>
        <w:tblW w:w="0" w:type="auto"/>
        <w:jc w:val="center"/>
        <w:tblLook w:val="04A0" w:firstRow="1" w:lastRow="0" w:firstColumn="1" w:lastColumn="0" w:noHBand="0" w:noVBand="1"/>
      </w:tblPr>
      <w:tblGrid>
        <w:gridCol w:w="2177"/>
        <w:gridCol w:w="1192"/>
        <w:gridCol w:w="1382"/>
      </w:tblGrid>
      <w:tr w:rsidR="004F28FC" w:rsidRPr="004F28FC" w:rsidTr="004122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rsidR="004F28FC" w:rsidRPr="004F28FC" w:rsidRDefault="004F28FC" w:rsidP="00412204">
            <w:pPr>
              <w:spacing w:before="60" w:after="60" w:line="240" w:lineRule="auto"/>
              <w:jc w:val="both"/>
              <w:rPr>
                <w:rFonts w:ascii="Times New Roman" w:hAnsi="Times New Roman" w:cs="Times New Roman"/>
                <w:color w:val="auto"/>
                <w:sz w:val="20"/>
                <w:szCs w:val="20"/>
              </w:rPr>
            </w:pPr>
            <w:r w:rsidRPr="004F28FC">
              <w:rPr>
                <w:rFonts w:ascii="Times New Roman" w:hAnsi="Times New Roman" w:cs="Times New Roman"/>
                <w:color w:val="auto"/>
                <w:sz w:val="20"/>
                <w:szCs w:val="20"/>
              </w:rPr>
              <w:t>Sensitizer</w:t>
            </w:r>
          </w:p>
        </w:tc>
        <w:tc>
          <w:tcPr>
            <w:tcW w:w="0" w:type="auto"/>
            <w:tcBorders>
              <w:top w:val="single" w:sz="4" w:space="0" w:color="auto"/>
              <w:bottom w:val="single" w:sz="4" w:space="0" w:color="auto"/>
            </w:tcBorders>
          </w:tcPr>
          <w:p w:rsidR="004F28FC" w:rsidRPr="004F28FC" w:rsidRDefault="004F28FC" w:rsidP="0041220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λ max (nm)</w:t>
            </w:r>
          </w:p>
        </w:tc>
        <w:tc>
          <w:tcPr>
            <w:tcW w:w="0" w:type="auto"/>
            <w:tcBorders>
              <w:top w:val="single" w:sz="4" w:space="0" w:color="auto"/>
              <w:bottom w:val="single" w:sz="4" w:space="0" w:color="auto"/>
            </w:tcBorders>
          </w:tcPr>
          <w:p w:rsidR="004F28FC" w:rsidRPr="004F28FC" w:rsidRDefault="004F28FC" w:rsidP="0041220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i/>
                <w:color w:val="auto"/>
                <w:sz w:val="20"/>
                <w:szCs w:val="20"/>
              </w:rPr>
              <w:t>E</w:t>
            </w:r>
            <w:r w:rsidRPr="004F28FC">
              <w:rPr>
                <w:rFonts w:ascii="Times New Roman" w:hAnsi="Times New Roman" w:cs="Times New Roman"/>
                <w:color w:val="auto"/>
                <w:sz w:val="20"/>
                <w:szCs w:val="20"/>
                <w:vertAlign w:val="subscript"/>
              </w:rPr>
              <w:t xml:space="preserve">g </w:t>
            </w:r>
            <w:r w:rsidRPr="004F28FC">
              <w:rPr>
                <w:rFonts w:ascii="Times New Roman" w:hAnsi="Times New Roman" w:cs="Times New Roman"/>
                <w:color w:val="auto"/>
                <w:sz w:val="20"/>
                <w:szCs w:val="20"/>
              </w:rPr>
              <w:t xml:space="preserve">= </w:t>
            </w:r>
            <w:r w:rsidRPr="004F28FC">
              <w:rPr>
                <w:rFonts w:ascii="Times New Roman" w:hAnsi="Times New Roman" w:cs="Times New Roman"/>
                <w:i/>
                <w:color w:val="auto"/>
                <w:sz w:val="20"/>
                <w:szCs w:val="20"/>
              </w:rPr>
              <w:t>hc</w:t>
            </w:r>
            <w:r w:rsidRPr="004F28FC">
              <w:rPr>
                <w:rFonts w:ascii="Times New Roman" w:hAnsi="Times New Roman" w:cs="Times New Roman"/>
                <w:color w:val="auto"/>
                <w:sz w:val="20"/>
                <w:szCs w:val="20"/>
              </w:rPr>
              <w:t>/λ (eV)</w:t>
            </w:r>
          </w:p>
        </w:tc>
      </w:tr>
      <w:tr w:rsidR="004F28FC" w:rsidRPr="004F28FC" w:rsidTr="004122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4F28FC" w:rsidRPr="004F28FC" w:rsidRDefault="004F28FC" w:rsidP="0041220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Mengkulang (M)</w:t>
            </w:r>
          </w:p>
        </w:tc>
        <w:tc>
          <w:tcPr>
            <w:tcW w:w="0" w:type="auto"/>
            <w:tcBorders>
              <w:top w:val="single" w:sz="4" w:space="0" w:color="auto"/>
            </w:tcBorders>
            <w:shd w:val="clear" w:color="auto" w:fill="auto"/>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522</w:t>
            </w:r>
          </w:p>
        </w:tc>
        <w:tc>
          <w:tcPr>
            <w:tcW w:w="0" w:type="auto"/>
            <w:tcBorders>
              <w:top w:val="single" w:sz="4" w:space="0" w:color="auto"/>
            </w:tcBorders>
            <w:shd w:val="clear" w:color="auto" w:fill="auto"/>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2.38</w:t>
            </w:r>
          </w:p>
        </w:tc>
      </w:tr>
      <w:tr w:rsidR="004F28FC" w:rsidRPr="004F28FC" w:rsidTr="008F53BD">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4F28FC" w:rsidRPr="004F28FC" w:rsidRDefault="004F28FC" w:rsidP="0041220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Rengas (R)</w:t>
            </w:r>
          </w:p>
        </w:tc>
        <w:tc>
          <w:tcPr>
            <w:tcW w:w="0" w:type="auto"/>
            <w:shd w:val="clear" w:color="auto" w:fill="auto"/>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576</w:t>
            </w:r>
          </w:p>
        </w:tc>
        <w:tc>
          <w:tcPr>
            <w:tcW w:w="0" w:type="auto"/>
            <w:shd w:val="clear" w:color="auto" w:fill="auto"/>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2.15</w:t>
            </w:r>
          </w:p>
        </w:tc>
      </w:tr>
      <w:tr w:rsidR="004F28FC" w:rsidRPr="004F28FC" w:rsidTr="008F5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4F28FC" w:rsidRPr="004F28FC" w:rsidRDefault="004F28FC" w:rsidP="0041220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M:R:N (40%:40%:20%)</w:t>
            </w:r>
          </w:p>
        </w:tc>
        <w:tc>
          <w:tcPr>
            <w:tcW w:w="0" w:type="auto"/>
            <w:shd w:val="clear" w:color="auto" w:fill="auto"/>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575</w:t>
            </w:r>
          </w:p>
        </w:tc>
        <w:tc>
          <w:tcPr>
            <w:tcW w:w="0" w:type="auto"/>
            <w:shd w:val="clear" w:color="auto" w:fill="auto"/>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2.16</w:t>
            </w:r>
          </w:p>
        </w:tc>
      </w:tr>
      <w:tr w:rsidR="004F28FC" w:rsidRPr="004F28FC" w:rsidTr="008F53BD">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4F28FC" w:rsidRPr="004F28FC" w:rsidRDefault="004F28FC" w:rsidP="0041220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M:N (90%:10%)</w:t>
            </w:r>
          </w:p>
        </w:tc>
        <w:tc>
          <w:tcPr>
            <w:tcW w:w="0" w:type="auto"/>
            <w:shd w:val="clear" w:color="auto" w:fill="auto"/>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525</w:t>
            </w:r>
          </w:p>
        </w:tc>
        <w:tc>
          <w:tcPr>
            <w:tcW w:w="0" w:type="auto"/>
            <w:shd w:val="clear" w:color="auto" w:fill="auto"/>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2.36</w:t>
            </w:r>
          </w:p>
        </w:tc>
      </w:tr>
      <w:tr w:rsidR="004F28FC" w:rsidRPr="004F28FC" w:rsidTr="008F5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4F28FC" w:rsidRPr="004F28FC" w:rsidRDefault="004F28FC" w:rsidP="0041220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M:N (80%:20%)</w:t>
            </w:r>
          </w:p>
        </w:tc>
        <w:tc>
          <w:tcPr>
            <w:tcW w:w="0" w:type="auto"/>
            <w:shd w:val="clear" w:color="auto" w:fill="auto"/>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520</w:t>
            </w:r>
          </w:p>
        </w:tc>
        <w:tc>
          <w:tcPr>
            <w:tcW w:w="0" w:type="auto"/>
            <w:shd w:val="clear" w:color="auto" w:fill="auto"/>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2.38</w:t>
            </w:r>
          </w:p>
        </w:tc>
      </w:tr>
      <w:tr w:rsidR="004F28FC" w:rsidRPr="004F28FC" w:rsidTr="00412204">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4F28FC" w:rsidRPr="004F28FC" w:rsidRDefault="004F28FC" w:rsidP="0041220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R:N (90%:10%)</w:t>
            </w:r>
          </w:p>
        </w:tc>
        <w:tc>
          <w:tcPr>
            <w:tcW w:w="0" w:type="auto"/>
            <w:tcBorders>
              <w:bottom w:val="nil"/>
            </w:tcBorders>
            <w:shd w:val="clear" w:color="auto" w:fill="auto"/>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575</w:t>
            </w:r>
          </w:p>
        </w:tc>
        <w:tc>
          <w:tcPr>
            <w:tcW w:w="0" w:type="auto"/>
            <w:tcBorders>
              <w:bottom w:val="nil"/>
            </w:tcBorders>
            <w:shd w:val="clear" w:color="auto" w:fill="auto"/>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2.16</w:t>
            </w:r>
          </w:p>
        </w:tc>
      </w:tr>
      <w:tr w:rsidR="004F28FC" w:rsidRPr="004F28FC" w:rsidTr="004122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4F28FC" w:rsidRPr="004F28FC" w:rsidRDefault="004F28FC" w:rsidP="00412204">
            <w:pPr>
              <w:spacing w:before="60" w:after="6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R:N (80%:20%)</w:t>
            </w:r>
          </w:p>
        </w:tc>
        <w:tc>
          <w:tcPr>
            <w:tcW w:w="0" w:type="auto"/>
            <w:tcBorders>
              <w:top w:val="nil"/>
              <w:bottom w:val="single" w:sz="4" w:space="0" w:color="auto"/>
            </w:tcBorders>
            <w:shd w:val="clear" w:color="auto" w:fill="auto"/>
          </w:tcPr>
          <w:p w:rsidR="004F28FC" w:rsidRPr="004F28FC" w:rsidRDefault="004F28FC" w:rsidP="0041220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578</w:t>
            </w:r>
          </w:p>
        </w:tc>
        <w:tc>
          <w:tcPr>
            <w:tcW w:w="0" w:type="auto"/>
            <w:tcBorders>
              <w:top w:val="nil"/>
              <w:bottom w:val="single" w:sz="4" w:space="0" w:color="auto"/>
            </w:tcBorders>
            <w:shd w:val="clear" w:color="auto" w:fill="auto"/>
          </w:tcPr>
          <w:p w:rsidR="004F28FC" w:rsidRPr="004F28FC" w:rsidRDefault="004F28FC" w:rsidP="0041220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2.15</w:t>
            </w:r>
          </w:p>
        </w:tc>
      </w:tr>
    </w:tbl>
    <w:p w:rsidR="004F28FC" w:rsidRDefault="004F28FC" w:rsidP="004F28FC">
      <w:pPr>
        <w:spacing w:after="0" w:line="240" w:lineRule="auto"/>
        <w:jc w:val="both"/>
        <w:rPr>
          <w:rFonts w:ascii="Times New Roman" w:hAnsi="Times New Roman"/>
          <w:sz w:val="20"/>
          <w:szCs w:val="20"/>
        </w:rPr>
      </w:pPr>
    </w:p>
    <w:p w:rsidR="00412204" w:rsidRDefault="00412204" w:rsidP="004F28FC">
      <w:pPr>
        <w:spacing w:after="0" w:line="240" w:lineRule="auto"/>
        <w:jc w:val="both"/>
        <w:rPr>
          <w:rFonts w:ascii="Times New Roman" w:hAnsi="Times New Roman"/>
          <w:sz w:val="20"/>
          <w:szCs w:val="20"/>
        </w:rPr>
      </w:pPr>
    </w:p>
    <w:p w:rsidR="00412204" w:rsidRPr="004F28FC" w:rsidRDefault="00412204" w:rsidP="004F28FC">
      <w:pPr>
        <w:spacing w:after="0" w:line="240" w:lineRule="auto"/>
        <w:jc w:val="both"/>
        <w:rPr>
          <w:rFonts w:ascii="Times New Roman" w:hAnsi="Times New Roman"/>
          <w:sz w:val="20"/>
          <w:szCs w:val="20"/>
        </w:rPr>
      </w:pPr>
    </w:p>
    <w:p w:rsidR="004F28FC" w:rsidRPr="00412204" w:rsidRDefault="00412204" w:rsidP="00412204">
      <w:pPr>
        <w:spacing w:after="120" w:line="240" w:lineRule="auto"/>
        <w:jc w:val="center"/>
        <w:rPr>
          <w:rFonts w:ascii="Times New Roman" w:hAnsi="Times New Roman"/>
          <w:sz w:val="20"/>
          <w:szCs w:val="20"/>
        </w:rPr>
      </w:pPr>
      <w:r w:rsidRPr="004F28FC">
        <w:rPr>
          <w:rFonts w:ascii="Times New Roman" w:hAnsi="Times New Roman"/>
          <w:noProof/>
          <w:sz w:val="20"/>
          <w:szCs w:val="20"/>
          <w:lang w:bidi="ar-SA"/>
        </w:rPr>
        <w:drawing>
          <wp:inline distT="0" distB="0" distL="0" distR="0" wp14:anchorId="43E24234" wp14:editId="5A12A313">
            <wp:extent cx="4193918" cy="2651760"/>
            <wp:effectExtent l="19050" t="19050" r="1651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3918" cy="2651760"/>
                    </a:xfrm>
                    <a:prstGeom prst="rect">
                      <a:avLst/>
                    </a:prstGeom>
                    <a:noFill/>
                    <a:ln>
                      <a:solidFill>
                        <a:schemeClr val="tx1"/>
                      </a:solidFill>
                    </a:ln>
                  </pic:spPr>
                </pic:pic>
              </a:graphicData>
            </a:graphic>
          </wp:inline>
        </w:drawing>
      </w:r>
    </w:p>
    <w:p w:rsidR="004F28FC" w:rsidRPr="004F28FC" w:rsidRDefault="004F28FC" w:rsidP="004F28FC">
      <w:pPr>
        <w:spacing w:after="0" w:line="240" w:lineRule="auto"/>
        <w:ind w:left="851" w:hanging="851"/>
        <w:jc w:val="both"/>
        <w:rPr>
          <w:rFonts w:ascii="Times New Roman" w:hAnsi="Times New Roman"/>
          <w:bCs/>
          <w:sz w:val="20"/>
          <w:szCs w:val="20"/>
        </w:rPr>
      </w:pPr>
      <w:r w:rsidRPr="004F28FC">
        <w:rPr>
          <w:rFonts w:ascii="Times New Roman" w:hAnsi="Times New Roman"/>
          <w:bCs/>
          <w:sz w:val="20"/>
          <w:szCs w:val="20"/>
        </w:rPr>
        <w:t xml:space="preserve">Figure 4. </w:t>
      </w:r>
      <w:r w:rsidR="00412204">
        <w:rPr>
          <w:rFonts w:ascii="Times New Roman" w:hAnsi="Times New Roman"/>
          <w:bCs/>
          <w:sz w:val="20"/>
          <w:szCs w:val="20"/>
        </w:rPr>
        <w:tab/>
      </w:r>
      <w:r w:rsidRPr="004F28FC">
        <w:rPr>
          <w:rFonts w:ascii="Times New Roman" w:hAnsi="Times New Roman"/>
          <w:bCs/>
          <w:sz w:val="20"/>
          <w:szCs w:val="20"/>
        </w:rPr>
        <w:t>Emission spectra of the individual and mixed sensitizers (M stands for mengkulang; N denotes N719; and R indicates rengas</w:t>
      </w:r>
    </w:p>
    <w:p w:rsidR="00412204" w:rsidRDefault="00412204" w:rsidP="00412204">
      <w:pPr>
        <w:spacing w:after="120" w:line="240" w:lineRule="auto"/>
        <w:jc w:val="both"/>
        <w:rPr>
          <w:rFonts w:ascii="Times New Roman" w:hAnsi="Times New Roman"/>
          <w:b/>
          <w:bCs/>
          <w:iCs/>
          <w:sz w:val="20"/>
          <w:szCs w:val="20"/>
        </w:rPr>
      </w:pPr>
    </w:p>
    <w:p w:rsidR="004F28FC" w:rsidRPr="004F28FC" w:rsidRDefault="004F28FC" w:rsidP="004F28FC">
      <w:pPr>
        <w:spacing w:after="0" w:line="240" w:lineRule="auto"/>
        <w:jc w:val="both"/>
        <w:rPr>
          <w:rFonts w:ascii="Times New Roman" w:hAnsi="Times New Roman"/>
          <w:b/>
          <w:bCs/>
          <w:iCs/>
          <w:sz w:val="20"/>
          <w:szCs w:val="20"/>
        </w:rPr>
      </w:pPr>
      <w:r w:rsidRPr="004F28FC">
        <w:rPr>
          <w:rFonts w:ascii="Times New Roman" w:hAnsi="Times New Roman"/>
          <w:b/>
          <w:bCs/>
          <w:iCs/>
          <w:sz w:val="20"/>
          <w:szCs w:val="20"/>
        </w:rPr>
        <w:t>Cyclic voltammetry analysis</w:t>
      </w:r>
    </w:p>
    <w:p w:rsidR="004F28FC" w:rsidRPr="004F28FC" w:rsidRDefault="004F28FC" w:rsidP="004F28FC">
      <w:pPr>
        <w:spacing w:after="0" w:line="240" w:lineRule="auto"/>
        <w:jc w:val="both"/>
        <w:rPr>
          <w:rFonts w:ascii="Times New Roman" w:hAnsi="Times New Roman"/>
          <w:sz w:val="20"/>
          <w:szCs w:val="20"/>
        </w:rPr>
      </w:pPr>
      <w:r w:rsidRPr="004F28FC">
        <w:rPr>
          <w:rFonts w:ascii="Times New Roman" w:hAnsi="Times New Roman"/>
          <w:sz w:val="20"/>
          <w:szCs w:val="20"/>
        </w:rPr>
        <w:t xml:space="preserve">The HOMO–LUMO was calculated via CV [23]. The cyclic voltammograms of mengkulang, rengas, </w:t>
      </w:r>
      <w:r w:rsidRPr="004F28FC">
        <w:rPr>
          <w:rFonts w:ascii="Times New Roman" w:eastAsiaTheme="minorEastAsia" w:hAnsi="Times New Roman"/>
          <w:sz w:val="20"/>
          <w:szCs w:val="20"/>
        </w:rPr>
        <w:t>mengkulang: N719 (80%:20%), mengkulang: N719 (90%:10%), mengkulang: rengas: N719 (40%:40%:20%), rengas: N719 (80%:20%), and rengas: N719 (90%:10%)</w:t>
      </w:r>
      <w:r w:rsidRPr="004F28FC">
        <w:rPr>
          <w:rFonts w:ascii="Times New Roman" w:hAnsi="Times New Roman"/>
          <w:sz w:val="20"/>
          <w:szCs w:val="20"/>
        </w:rPr>
        <w:t xml:space="preserve"> are presented in Figure 5. The calculated positions of the HOMO and LUMO levels are presented in Table 2 with respect to their individual reduction potential onset extrapolated from the voltammograms of the sensitizers [24]. Based on the HOMO–LUMO levels presented in Table 2, schematics were illustrated in Figures 6 and 7 to compare the energy levels of the investigated sensitizers in terms of vacuum level and normal hydrogen electrode (NHE).</w:t>
      </w:r>
    </w:p>
    <w:p w:rsidR="004F28FC" w:rsidRDefault="004F28FC" w:rsidP="004F28FC">
      <w:pPr>
        <w:spacing w:after="0" w:line="240" w:lineRule="auto"/>
        <w:jc w:val="both"/>
        <w:rPr>
          <w:rFonts w:ascii="Times New Roman" w:hAnsi="Times New Roman"/>
          <w:b/>
          <w:sz w:val="20"/>
          <w:szCs w:val="20"/>
        </w:rPr>
      </w:pPr>
    </w:p>
    <w:p w:rsidR="00412204" w:rsidRDefault="00412204" w:rsidP="004F28FC">
      <w:pPr>
        <w:spacing w:after="0" w:line="240" w:lineRule="auto"/>
        <w:jc w:val="both"/>
        <w:rPr>
          <w:rFonts w:ascii="Times New Roman" w:hAnsi="Times New Roman"/>
          <w:b/>
          <w:sz w:val="20"/>
          <w:szCs w:val="20"/>
        </w:rPr>
      </w:pPr>
    </w:p>
    <w:p w:rsidR="00412204" w:rsidRDefault="00412204" w:rsidP="004F28FC">
      <w:pPr>
        <w:spacing w:after="0" w:line="240" w:lineRule="auto"/>
        <w:jc w:val="both"/>
        <w:rPr>
          <w:rFonts w:ascii="Times New Roman" w:hAnsi="Times New Roman"/>
          <w:b/>
          <w:sz w:val="20"/>
          <w:szCs w:val="20"/>
        </w:rPr>
      </w:pPr>
    </w:p>
    <w:p w:rsidR="00412204" w:rsidRDefault="00412204" w:rsidP="004F28FC">
      <w:pPr>
        <w:spacing w:after="0" w:line="240" w:lineRule="auto"/>
        <w:jc w:val="both"/>
        <w:rPr>
          <w:rFonts w:ascii="Times New Roman" w:hAnsi="Times New Roman"/>
          <w:b/>
          <w:sz w:val="20"/>
          <w:szCs w:val="20"/>
        </w:rPr>
      </w:pPr>
    </w:p>
    <w:p w:rsidR="00412204" w:rsidRDefault="00412204" w:rsidP="004F28FC">
      <w:pPr>
        <w:spacing w:after="0" w:line="240" w:lineRule="auto"/>
        <w:jc w:val="both"/>
        <w:rPr>
          <w:rFonts w:ascii="Times New Roman" w:hAnsi="Times New Roman"/>
          <w:b/>
          <w:sz w:val="20"/>
          <w:szCs w:val="20"/>
        </w:rPr>
      </w:pPr>
    </w:p>
    <w:p w:rsidR="00412204" w:rsidRDefault="00412204" w:rsidP="004F28FC">
      <w:pPr>
        <w:spacing w:after="0" w:line="240" w:lineRule="auto"/>
        <w:jc w:val="both"/>
        <w:rPr>
          <w:rFonts w:ascii="Times New Roman" w:hAnsi="Times New Roman"/>
          <w:b/>
          <w:sz w:val="20"/>
          <w:szCs w:val="20"/>
        </w:rPr>
      </w:pPr>
    </w:p>
    <w:p w:rsidR="00412204" w:rsidRPr="004F28FC" w:rsidRDefault="00412204" w:rsidP="004F28FC">
      <w:pPr>
        <w:spacing w:after="0" w:line="240" w:lineRule="auto"/>
        <w:jc w:val="both"/>
        <w:rPr>
          <w:rFonts w:ascii="Times New Roman" w:hAnsi="Times New Roman"/>
          <w:b/>
          <w:sz w:val="20"/>
          <w:szCs w:val="20"/>
        </w:rPr>
      </w:pPr>
    </w:p>
    <w:p w:rsidR="004F28FC" w:rsidRPr="004F28FC" w:rsidRDefault="004F28FC" w:rsidP="00412204">
      <w:pPr>
        <w:spacing w:after="120" w:line="240" w:lineRule="auto"/>
        <w:jc w:val="center"/>
        <w:rPr>
          <w:rFonts w:ascii="Times New Roman" w:hAnsi="Times New Roman"/>
          <w:sz w:val="20"/>
          <w:szCs w:val="20"/>
        </w:rPr>
      </w:pPr>
      <w:r w:rsidRPr="004F28FC">
        <w:rPr>
          <w:rFonts w:ascii="Times New Roman" w:hAnsi="Times New Roman"/>
          <w:bCs/>
          <w:sz w:val="20"/>
          <w:szCs w:val="20"/>
        </w:rPr>
        <w:lastRenderedPageBreak/>
        <w:t xml:space="preserve">Table 2. </w:t>
      </w:r>
      <w:r w:rsidR="00412204">
        <w:rPr>
          <w:rFonts w:ascii="Times New Roman" w:hAnsi="Times New Roman"/>
          <w:bCs/>
          <w:sz w:val="20"/>
          <w:szCs w:val="20"/>
        </w:rPr>
        <w:t xml:space="preserve"> </w:t>
      </w:r>
      <w:r w:rsidRPr="004F28FC">
        <w:rPr>
          <w:rFonts w:ascii="Times New Roman" w:hAnsi="Times New Roman"/>
          <w:sz w:val="20"/>
          <w:szCs w:val="20"/>
        </w:rPr>
        <w:t>Calculated HOMO–LUMO energy levels and band gap measurements</w:t>
      </w:r>
    </w:p>
    <w:tbl>
      <w:tblPr>
        <w:tblStyle w:val="LightShading1"/>
        <w:tblpPr w:leftFromText="180" w:rightFromText="180" w:vertAnchor="text" w:horzAnchor="margin" w:tblpXSpec="center" w:tblpY="35"/>
        <w:tblW w:w="0" w:type="auto"/>
        <w:tblLook w:val="04A0" w:firstRow="1" w:lastRow="0" w:firstColumn="1" w:lastColumn="0" w:noHBand="0" w:noVBand="1"/>
      </w:tblPr>
      <w:tblGrid>
        <w:gridCol w:w="2177"/>
        <w:gridCol w:w="1139"/>
        <w:gridCol w:w="1289"/>
        <w:gridCol w:w="1355"/>
        <w:gridCol w:w="1388"/>
      </w:tblGrid>
      <w:tr w:rsidR="004F28FC" w:rsidRPr="004F28FC" w:rsidTr="00412204">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rsidR="004F28FC" w:rsidRPr="004F28FC" w:rsidRDefault="004F28FC" w:rsidP="004F28FC">
            <w:pPr>
              <w:spacing w:after="0" w:line="240" w:lineRule="auto"/>
              <w:jc w:val="both"/>
              <w:rPr>
                <w:rFonts w:ascii="Times New Roman" w:hAnsi="Times New Roman" w:cs="Times New Roman"/>
                <w:color w:val="auto"/>
                <w:sz w:val="20"/>
                <w:szCs w:val="20"/>
              </w:rPr>
            </w:pPr>
            <w:r w:rsidRPr="004F28FC">
              <w:rPr>
                <w:rFonts w:ascii="Times New Roman" w:hAnsi="Times New Roman" w:cs="Times New Roman"/>
                <w:color w:val="auto"/>
                <w:sz w:val="20"/>
                <w:szCs w:val="20"/>
              </w:rPr>
              <w:t>Sensitizer</w:t>
            </w:r>
          </w:p>
        </w:tc>
        <w:tc>
          <w:tcPr>
            <w:tcW w:w="0" w:type="auto"/>
            <w:tcBorders>
              <w:top w:val="single" w:sz="4" w:space="0" w:color="auto"/>
              <w:bottom w:val="single" w:sz="4" w:space="0" w:color="auto"/>
            </w:tcBorders>
            <w:shd w:val="clear" w:color="auto" w:fill="auto"/>
            <w:vAlign w:val="center"/>
          </w:tcPr>
          <w:p w:rsidR="004F28FC" w:rsidRPr="004F28FC" w:rsidRDefault="004F28FC" w:rsidP="00412204">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4F28FC">
              <w:rPr>
                <w:rFonts w:ascii="Times New Roman" w:hAnsi="Times New Roman" w:cs="Times New Roman"/>
                <w:color w:val="auto"/>
                <w:sz w:val="20"/>
                <w:szCs w:val="20"/>
              </w:rPr>
              <w:t>Band Gap,</w:t>
            </w:r>
          </w:p>
          <w:p w:rsidR="004F28FC" w:rsidRPr="004F28FC" w:rsidRDefault="004F28FC" w:rsidP="004122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i/>
                <w:color w:val="auto"/>
                <w:sz w:val="20"/>
                <w:szCs w:val="20"/>
              </w:rPr>
              <w:t>E</w:t>
            </w:r>
            <w:r w:rsidRPr="004F28FC">
              <w:rPr>
                <w:rFonts w:ascii="Times New Roman" w:hAnsi="Times New Roman" w:cs="Times New Roman"/>
                <w:color w:val="auto"/>
                <w:sz w:val="20"/>
                <w:szCs w:val="20"/>
                <w:vertAlign w:val="subscript"/>
              </w:rPr>
              <w:t>g</w:t>
            </w:r>
            <w:r w:rsidRPr="004F28FC">
              <w:rPr>
                <w:rFonts w:ascii="Times New Roman" w:hAnsi="Times New Roman" w:cs="Times New Roman"/>
                <w:color w:val="auto"/>
                <w:sz w:val="20"/>
                <w:szCs w:val="20"/>
              </w:rPr>
              <w:t>(eV)</w:t>
            </w:r>
          </w:p>
        </w:tc>
        <w:tc>
          <w:tcPr>
            <w:tcW w:w="0" w:type="auto"/>
            <w:tcBorders>
              <w:top w:val="single" w:sz="4" w:space="0" w:color="auto"/>
              <w:bottom w:val="single" w:sz="4" w:space="0" w:color="auto"/>
            </w:tcBorders>
            <w:shd w:val="clear" w:color="auto" w:fill="auto"/>
            <w:vAlign w:val="center"/>
          </w:tcPr>
          <w:p w:rsidR="004F28FC" w:rsidRPr="004F28FC" w:rsidRDefault="004F28FC" w:rsidP="00412204">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4F28FC">
              <w:rPr>
                <w:rFonts w:ascii="Times New Roman" w:hAnsi="Times New Roman" w:cs="Times New Roman"/>
                <w:i/>
                <w:color w:val="auto"/>
                <w:sz w:val="20"/>
                <w:szCs w:val="20"/>
              </w:rPr>
              <w:t>E</w:t>
            </w:r>
            <w:r w:rsidRPr="004F28FC">
              <w:rPr>
                <w:rFonts w:ascii="Times New Roman" w:hAnsi="Times New Roman" w:cs="Times New Roman"/>
                <w:color w:val="auto"/>
                <w:sz w:val="20"/>
                <w:szCs w:val="20"/>
                <w:vertAlign w:val="subscript"/>
              </w:rPr>
              <w:t>ox</w:t>
            </w:r>
            <w:r w:rsidRPr="004F28FC">
              <w:rPr>
                <w:rFonts w:ascii="Times New Roman" w:hAnsi="Times New Roman" w:cs="Times New Roman"/>
                <w:color w:val="auto"/>
                <w:sz w:val="20"/>
                <w:szCs w:val="20"/>
                <w:vertAlign w:val="superscript"/>
              </w:rPr>
              <w:t>onset</w:t>
            </w:r>
            <w:r w:rsidRPr="004F28FC">
              <w:rPr>
                <w:rFonts w:ascii="Times New Roman" w:hAnsi="Times New Roman" w:cs="Times New Roman"/>
                <w:color w:val="auto"/>
                <w:sz w:val="20"/>
                <w:szCs w:val="20"/>
              </w:rPr>
              <w:t xml:space="preserve"> vs</w:t>
            </w:r>
          </w:p>
          <w:p w:rsidR="004F28FC" w:rsidRPr="004F28FC" w:rsidRDefault="004F28FC" w:rsidP="004122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Ag/AgCl (V)</w:t>
            </w:r>
          </w:p>
        </w:tc>
        <w:tc>
          <w:tcPr>
            <w:tcW w:w="0" w:type="auto"/>
            <w:tcBorders>
              <w:top w:val="single" w:sz="4" w:space="0" w:color="auto"/>
              <w:bottom w:val="single" w:sz="4" w:space="0" w:color="auto"/>
            </w:tcBorders>
            <w:shd w:val="clear" w:color="auto" w:fill="auto"/>
            <w:vAlign w:val="center"/>
          </w:tcPr>
          <w:p w:rsidR="004F28FC" w:rsidRPr="004F28FC" w:rsidRDefault="004F28FC" w:rsidP="00412204">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4F28FC">
              <w:rPr>
                <w:rFonts w:ascii="Times New Roman" w:hAnsi="Times New Roman" w:cs="Times New Roman"/>
                <w:color w:val="auto"/>
                <w:sz w:val="20"/>
                <w:szCs w:val="20"/>
              </w:rPr>
              <w:t>LUMO Level</w:t>
            </w:r>
          </w:p>
          <w:p w:rsidR="004F28FC" w:rsidRPr="004F28FC" w:rsidRDefault="004F28FC" w:rsidP="004122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(eV)</w:t>
            </w:r>
          </w:p>
        </w:tc>
        <w:tc>
          <w:tcPr>
            <w:tcW w:w="0" w:type="auto"/>
            <w:tcBorders>
              <w:top w:val="single" w:sz="4" w:space="0" w:color="auto"/>
              <w:bottom w:val="single" w:sz="4" w:space="0" w:color="auto"/>
            </w:tcBorders>
            <w:shd w:val="clear" w:color="auto" w:fill="auto"/>
            <w:vAlign w:val="center"/>
          </w:tcPr>
          <w:p w:rsidR="004F28FC" w:rsidRPr="004F28FC" w:rsidRDefault="004F28FC" w:rsidP="00412204">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4F28FC">
              <w:rPr>
                <w:rFonts w:ascii="Times New Roman" w:hAnsi="Times New Roman" w:cs="Times New Roman"/>
                <w:color w:val="auto"/>
                <w:sz w:val="20"/>
                <w:szCs w:val="20"/>
              </w:rPr>
              <w:t>HOMO Level</w:t>
            </w:r>
          </w:p>
          <w:p w:rsidR="004F28FC" w:rsidRPr="004F28FC" w:rsidRDefault="004F28FC" w:rsidP="00412204">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(eV)</w:t>
            </w:r>
          </w:p>
        </w:tc>
      </w:tr>
      <w:tr w:rsidR="004F28FC" w:rsidRPr="004F28FC" w:rsidTr="0041220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tcPr>
          <w:p w:rsidR="004F28FC" w:rsidRPr="004F28FC" w:rsidRDefault="004F28FC" w:rsidP="0041220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Mengkulang (M)</w:t>
            </w:r>
          </w:p>
        </w:tc>
        <w:tc>
          <w:tcPr>
            <w:tcW w:w="0" w:type="auto"/>
            <w:tcBorders>
              <w:top w:val="single" w:sz="4" w:space="0" w:color="auto"/>
            </w:tcBorders>
            <w:shd w:val="clear" w:color="auto" w:fill="auto"/>
            <w:vAlign w:val="center"/>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2.38</w:t>
            </w:r>
          </w:p>
        </w:tc>
        <w:tc>
          <w:tcPr>
            <w:tcW w:w="0" w:type="auto"/>
            <w:tcBorders>
              <w:top w:val="single" w:sz="4" w:space="0" w:color="auto"/>
            </w:tcBorders>
            <w:shd w:val="clear" w:color="auto" w:fill="auto"/>
            <w:vAlign w:val="center"/>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0.29</w:t>
            </w:r>
          </w:p>
        </w:tc>
        <w:tc>
          <w:tcPr>
            <w:tcW w:w="0" w:type="auto"/>
            <w:tcBorders>
              <w:top w:val="single" w:sz="4" w:space="0" w:color="auto"/>
            </w:tcBorders>
            <w:shd w:val="clear" w:color="auto" w:fill="auto"/>
            <w:vAlign w:val="center"/>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-2.31</w:t>
            </w:r>
          </w:p>
        </w:tc>
        <w:tc>
          <w:tcPr>
            <w:tcW w:w="0" w:type="auto"/>
            <w:tcBorders>
              <w:top w:val="single" w:sz="4" w:space="0" w:color="auto"/>
            </w:tcBorders>
            <w:shd w:val="clear" w:color="auto" w:fill="auto"/>
            <w:vAlign w:val="center"/>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-4.69</w:t>
            </w:r>
          </w:p>
        </w:tc>
      </w:tr>
      <w:tr w:rsidR="004F28FC" w:rsidRPr="004F28FC" w:rsidTr="008F53BD">
        <w:trPr>
          <w:trHeight w:val="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4F28FC" w:rsidRPr="004F28FC" w:rsidRDefault="004F28FC" w:rsidP="0041220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Rengas (R)</w:t>
            </w:r>
          </w:p>
        </w:tc>
        <w:tc>
          <w:tcPr>
            <w:tcW w:w="0" w:type="auto"/>
            <w:shd w:val="clear" w:color="auto" w:fill="auto"/>
            <w:vAlign w:val="center"/>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2.15</w:t>
            </w:r>
          </w:p>
        </w:tc>
        <w:tc>
          <w:tcPr>
            <w:tcW w:w="0" w:type="auto"/>
            <w:shd w:val="clear" w:color="auto" w:fill="auto"/>
            <w:vAlign w:val="center"/>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0.26</w:t>
            </w:r>
          </w:p>
        </w:tc>
        <w:tc>
          <w:tcPr>
            <w:tcW w:w="0" w:type="auto"/>
            <w:shd w:val="clear" w:color="auto" w:fill="auto"/>
            <w:vAlign w:val="center"/>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-2.51</w:t>
            </w:r>
          </w:p>
        </w:tc>
        <w:tc>
          <w:tcPr>
            <w:tcW w:w="0" w:type="auto"/>
            <w:shd w:val="clear" w:color="auto" w:fill="auto"/>
            <w:vAlign w:val="center"/>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-4.66</w:t>
            </w:r>
          </w:p>
        </w:tc>
      </w:tr>
      <w:tr w:rsidR="004F28FC" w:rsidRPr="004F28FC" w:rsidTr="008F53BD">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4F28FC" w:rsidRPr="004F28FC" w:rsidRDefault="004F28FC" w:rsidP="0041220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M:N (80%:20%)</w:t>
            </w:r>
          </w:p>
        </w:tc>
        <w:tc>
          <w:tcPr>
            <w:tcW w:w="0" w:type="auto"/>
            <w:shd w:val="clear" w:color="auto" w:fill="auto"/>
            <w:vAlign w:val="center"/>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2.38</w:t>
            </w:r>
          </w:p>
        </w:tc>
        <w:tc>
          <w:tcPr>
            <w:tcW w:w="0" w:type="auto"/>
            <w:shd w:val="clear" w:color="auto" w:fill="auto"/>
            <w:vAlign w:val="center"/>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0.27</w:t>
            </w:r>
          </w:p>
        </w:tc>
        <w:tc>
          <w:tcPr>
            <w:tcW w:w="0" w:type="auto"/>
            <w:shd w:val="clear" w:color="auto" w:fill="auto"/>
            <w:vAlign w:val="center"/>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-2.29</w:t>
            </w:r>
          </w:p>
        </w:tc>
        <w:tc>
          <w:tcPr>
            <w:tcW w:w="0" w:type="auto"/>
            <w:shd w:val="clear" w:color="auto" w:fill="auto"/>
            <w:vAlign w:val="center"/>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-4.67</w:t>
            </w:r>
          </w:p>
        </w:tc>
      </w:tr>
      <w:tr w:rsidR="004F28FC" w:rsidRPr="004F28FC" w:rsidTr="008F53BD">
        <w:trPr>
          <w:trHeight w:val="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4F28FC" w:rsidRPr="004F28FC" w:rsidRDefault="004F28FC" w:rsidP="0041220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M:N (90%:10%)</w:t>
            </w:r>
          </w:p>
        </w:tc>
        <w:tc>
          <w:tcPr>
            <w:tcW w:w="0" w:type="auto"/>
            <w:shd w:val="clear" w:color="auto" w:fill="auto"/>
            <w:vAlign w:val="center"/>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2.36</w:t>
            </w:r>
          </w:p>
        </w:tc>
        <w:tc>
          <w:tcPr>
            <w:tcW w:w="0" w:type="auto"/>
            <w:shd w:val="clear" w:color="auto" w:fill="auto"/>
            <w:vAlign w:val="center"/>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0.32</w:t>
            </w:r>
          </w:p>
        </w:tc>
        <w:tc>
          <w:tcPr>
            <w:tcW w:w="0" w:type="auto"/>
            <w:shd w:val="clear" w:color="auto" w:fill="auto"/>
            <w:vAlign w:val="center"/>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-2.36</w:t>
            </w:r>
          </w:p>
        </w:tc>
        <w:tc>
          <w:tcPr>
            <w:tcW w:w="0" w:type="auto"/>
            <w:shd w:val="clear" w:color="auto" w:fill="auto"/>
            <w:vAlign w:val="center"/>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-4.72</w:t>
            </w:r>
          </w:p>
        </w:tc>
      </w:tr>
      <w:tr w:rsidR="004F28FC" w:rsidRPr="004F28FC" w:rsidTr="008F53BD">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4F28FC" w:rsidRPr="004F28FC" w:rsidRDefault="004F28FC" w:rsidP="0041220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M:R:N (40%:40%:20%)</w:t>
            </w:r>
          </w:p>
        </w:tc>
        <w:tc>
          <w:tcPr>
            <w:tcW w:w="0" w:type="auto"/>
            <w:shd w:val="clear" w:color="auto" w:fill="auto"/>
            <w:vAlign w:val="center"/>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2.16</w:t>
            </w:r>
          </w:p>
        </w:tc>
        <w:tc>
          <w:tcPr>
            <w:tcW w:w="0" w:type="auto"/>
            <w:shd w:val="clear" w:color="auto" w:fill="auto"/>
            <w:vAlign w:val="center"/>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0.32</w:t>
            </w:r>
          </w:p>
        </w:tc>
        <w:tc>
          <w:tcPr>
            <w:tcW w:w="0" w:type="auto"/>
            <w:shd w:val="clear" w:color="auto" w:fill="auto"/>
            <w:vAlign w:val="center"/>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-2.56</w:t>
            </w:r>
          </w:p>
        </w:tc>
        <w:tc>
          <w:tcPr>
            <w:tcW w:w="0" w:type="auto"/>
            <w:shd w:val="clear" w:color="auto" w:fill="auto"/>
            <w:vAlign w:val="center"/>
          </w:tcPr>
          <w:p w:rsidR="004F28FC" w:rsidRPr="004F28FC" w:rsidRDefault="004F28FC" w:rsidP="0041220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-4.72</w:t>
            </w:r>
          </w:p>
        </w:tc>
      </w:tr>
      <w:tr w:rsidR="004F28FC" w:rsidRPr="004F28FC" w:rsidTr="009F04F4">
        <w:trPr>
          <w:trHeight w:val="68"/>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vAlign w:val="center"/>
          </w:tcPr>
          <w:p w:rsidR="004F28FC" w:rsidRPr="004F28FC" w:rsidRDefault="004F28FC" w:rsidP="0041220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R:N (80%:20%)</w:t>
            </w:r>
          </w:p>
        </w:tc>
        <w:tc>
          <w:tcPr>
            <w:tcW w:w="0" w:type="auto"/>
            <w:tcBorders>
              <w:bottom w:val="nil"/>
            </w:tcBorders>
            <w:shd w:val="clear" w:color="auto" w:fill="auto"/>
            <w:vAlign w:val="center"/>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2.15</w:t>
            </w:r>
          </w:p>
        </w:tc>
        <w:tc>
          <w:tcPr>
            <w:tcW w:w="0" w:type="auto"/>
            <w:tcBorders>
              <w:bottom w:val="nil"/>
            </w:tcBorders>
            <w:shd w:val="clear" w:color="auto" w:fill="auto"/>
            <w:vAlign w:val="center"/>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0.27</w:t>
            </w:r>
          </w:p>
        </w:tc>
        <w:tc>
          <w:tcPr>
            <w:tcW w:w="0" w:type="auto"/>
            <w:tcBorders>
              <w:bottom w:val="nil"/>
            </w:tcBorders>
            <w:shd w:val="clear" w:color="auto" w:fill="auto"/>
            <w:vAlign w:val="center"/>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-2.52</w:t>
            </w:r>
          </w:p>
        </w:tc>
        <w:tc>
          <w:tcPr>
            <w:tcW w:w="0" w:type="auto"/>
            <w:tcBorders>
              <w:bottom w:val="nil"/>
            </w:tcBorders>
            <w:shd w:val="clear" w:color="auto" w:fill="auto"/>
            <w:vAlign w:val="center"/>
          </w:tcPr>
          <w:p w:rsidR="004F28FC" w:rsidRPr="004F28FC" w:rsidRDefault="004F28FC" w:rsidP="0041220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-4.67</w:t>
            </w:r>
          </w:p>
        </w:tc>
      </w:tr>
      <w:tr w:rsidR="004F28FC" w:rsidRPr="004F28FC" w:rsidTr="009F04F4">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vAlign w:val="center"/>
          </w:tcPr>
          <w:p w:rsidR="004F28FC" w:rsidRPr="004F28FC" w:rsidRDefault="004F28FC" w:rsidP="009F04F4">
            <w:pPr>
              <w:spacing w:before="60" w:after="6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R:N (90%:10%)</w:t>
            </w:r>
          </w:p>
        </w:tc>
        <w:tc>
          <w:tcPr>
            <w:tcW w:w="0" w:type="auto"/>
            <w:tcBorders>
              <w:top w:val="nil"/>
              <w:bottom w:val="single" w:sz="4" w:space="0" w:color="auto"/>
            </w:tcBorders>
            <w:shd w:val="clear" w:color="auto" w:fill="auto"/>
            <w:vAlign w:val="center"/>
          </w:tcPr>
          <w:p w:rsidR="004F28FC" w:rsidRPr="004F28FC" w:rsidRDefault="004F28FC" w:rsidP="009F04F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2.16</w:t>
            </w:r>
          </w:p>
        </w:tc>
        <w:tc>
          <w:tcPr>
            <w:tcW w:w="0" w:type="auto"/>
            <w:tcBorders>
              <w:top w:val="nil"/>
              <w:bottom w:val="single" w:sz="4" w:space="0" w:color="auto"/>
            </w:tcBorders>
            <w:shd w:val="clear" w:color="auto" w:fill="auto"/>
            <w:vAlign w:val="center"/>
          </w:tcPr>
          <w:p w:rsidR="004F28FC" w:rsidRPr="004F28FC" w:rsidRDefault="004F28FC" w:rsidP="009F04F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0.31</w:t>
            </w:r>
          </w:p>
        </w:tc>
        <w:tc>
          <w:tcPr>
            <w:tcW w:w="0" w:type="auto"/>
            <w:tcBorders>
              <w:top w:val="nil"/>
              <w:bottom w:val="single" w:sz="4" w:space="0" w:color="auto"/>
            </w:tcBorders>
            <w:shd w:val="clear" w:color="auto" w:fill="auto"/>
            <w:vAlign w:val="center"/>
          </w:tcPr>
          <w:p w:rsidR="004F28FC" w:rsidRPr="004F28FC" w:rsidRDefault="004F28FC" w:rsidP="009F04F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-2.55</w:t>
            </w:r>
          </w:p>
        </w:tc>
        <w:tc>
          <w:tcPr>
            <w:tcW w:w="0" w:type="auto"/>
            <w:tcBorders>
              <w:top w:val="nil"/>
              <w:bottom w:val="single" w:sz="4" w:space="0" w:color="auto"/>
            </w:tcBorders>
            <w:shd w:val="clear" w:color="auto" w:fill="auto"/>
            <w:vAlign w:val="center"/>
          </w:tcPr>
          <w:p w:rsidR="004F28FC" w:rsidRPr="004F28FC" w:rsidRDefault="004F28FC" w:rsidP="009F04F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-4.71</w:t>
            </w:r>
          </w:p>
        </w:tc>
      </w:tr>
    </w:tbl>
    <w:p w:rsidR="004F28FC" w:rsidRPr="004F28FC" w:rsidRDefault="004F28FC" w:rsidP="004F28FC">
      <w:pPr>
        <w:spacing w:after="0" w:line="240" w:lineRule="auto"/>
        <w:jc w:val="both"/>
        <w:rPr>
          <w:rFonts w:ascii="Times New Roman" w:hAnsi="Times New Roman"/>
          <w:sz w:val="20"/>
          <w:szCs w:val="20"/>
        </w:rPr>
      </w:pPr>
    </w:p>
    <w:p w:rsidR="004F28FC" w:rsidRPr="004F28FC" w:rsidRDefault="004F28FC" w:rsidP="004F28FC">
      <w:pPr>
        <w:spacing w:after="0" w:line="240" w:lineRule="auto"/>
        <w:jc w:val="both"/>
        <w:rPr>
          <w:rFonts w:ascii="Times New Roman" w:hAnsi="Times New Roman"/>
          <w:sz w:val="20"/>
          <w:szCs w:val="20"/>
        </w:rPr>
      </w:pPr>
    </w:p>
    <w:p w:rsidR="004F28FC" w:rsidRPr="004F28FC" w:rsidRDefault="004F28FC" w:rsidP="004F28FC">
      <w:pPr>
        <w:spacing w:after="0" w:line="240" w:lineRule="auto"/>
        <w:jc w:val="both"/>
        <w:rPr>
          <w:rFonts w:ascii="Times New Roman" w:hAnsi="Times New Roman"/>
          <w:sz w:val="20"/>
          <w:szCs w:val="20"/>
        </w:rPr>
      </w:pPr>
    </w:p>
    <w:p w:rsidR="004F28FC" w:rsidRPr="004F28FC" w:rsidRDefault="004F28FC" w:rsidP="004F28FC">
      <w:pPr>
        <w:spacing w:after="0" w:line="240" w:lineRule="auto"/>
        <w:jc w:val="both"/>
        <w:rPr>
          <w:rFonts w:ascii="Times New Roman" w:hAnsi="Times New Roman"/>
          <w:sz w:val="20"/>
          <w:szCs w:val="20"/>
        </w:rPr>
      </w:pPr>
    </w:p>
    <w:p w:rsidR="004F28FC" w:rsidRPr="004F28FC" w:rsidRDefault="004F28FC" w:rsidP="004F28FC">
      <w:pPr>
        <w:spacing w:after="0" w:line="240" w:lineRule="auto"/>
        <w:jc w:val="both"/>
        <w:rPr>
          <w:rFonts w:ascii="Times New Roman" w:hAnsi="Times New Roman"/>
          <w:sz w:val="20"/>
          <w:szCs w:val="20"/>
        </w:rPr>
      </w:pPr>
    </w:p>
    <w:p w:rsidR="004F28FC" w:rsidRPr="004F28FC" w:rsidRDefault="004F28FC" w:rsidP="004F28FC">
      <w:pPr>
        <w:spacing w:after="0" w:line="240" w:lineRule="auto"/>
        <w:jc w:val="both"/>
        <w:rPr>
          <w:rFonts w:ascii="Times New Roman" w:hAnsi="Times New Roman"/>
          <w:sz w:val="20"/>
          <w:szCs w:val="20"/>
        </w:rPr>
      </w:pPr>
    </w:p>
    <w:p w:rsidR="004F28FC" w:rsidRPr="004F28FC" w:rsidRDefault="004F28FC" w:rsidP="004F28FC">
      <w:pPr>
        <w:spacing w:after="0" w:line="240" w:lineRule="auto"/>
        <w:jc w:val="both"/>
        <w:rPr>
          <w:rFonts w:ascii="Times New Roman" w:hAnsi="Times New Roman"/>
          <w:sz w:val="20"/>
          <w:szCs w:val="20"/>
        </w:rPr>
      </w:pPr>
    </w:p>
    <w:p w:rsidR="004F28FC" w:rsidRPr="004F28FC" w:rsidRDefault="004F28FC" w:rsidP="004F28FC">
      <w:pPr>
        <w:spacing w:after="0" w:line="240" w:lineRule="auto"/>
        <w:jc w:val="both"/>
        <w:rPr>
          <w:rFonts w:ascii="Times New Roman" w:hAnsi="Times New Roman"/>
          <w:sz w:val="20"/>
          <w:szCs w:val="20"/>
        </w:rPr>
      </w:pPr>
    </w:p>
    <w:p w:rsidR="004F28FC" w:rsidRPr="004F28FC" w:rsidRDefault="004F28FC" w:rsidP="004F28FC">
      <w:pPr>
        <w:spacing w:after="0" w:line="240" w:lineRule="auto"/>
        <w:jc w:val="both"/>
        <w:rPr>
          <w:rFonts w:ascii="Times New Roman" w:hAnsi="Times New Roman"/>
          <w:sz w:val="20"/>
          <w:szCs w:val="20"/>
        </w:rPr>
      </w:pPr>
    </w:p>
    <w:p w:rsidR="004F28FC" w:rsidRPr="004F28FC" w:rsidRDefault="004F28FC" w:rsidP="004F28FC">
      <w:pPr>
        <w:spacing w:after="0" w:line="240" w:lineRule="auto"/>
        <w:jc w:val="both"/>
        <w:rPr>
          <w:rFonts w:ascii="Times New Roman" w:hAnsi="Times New Roman"/>
          <w:sz w:val="20"/>
          <w:szCs w:val="20"/>
        </w:rPr>
      </w:pPr>
    </w:p>
    <w:p w:rsidR="004F28FC" w:rsidRPr="004F28FC" w:rsidRDefault="004F28FC" w:rsidP="004F28FC">
      <w:pPr>
        <w:spacing w:after="0" w:line="240" w:lineRule="auto"/>
        <w:jc w:val="both"/>
        <w:rPr>
          <w:rFonts w:ascii="Times New Roman" w:hAnsi="Times New Roman"/>
          <w:sz w:val="20"/>
          <w:szCs w:val="20"/>
        </w:rPr>
      </w:pPr>
    </w:p>
    <w:p w:rsidR="004F28FC" w:rsidRPr="004F28FC" w:rsidRDefault="004F28FC" w:rsidP="004F28FC">
      <w:pPr>
        <w:spacing w:after="0" w:line="240" w:lineRule="auto"/>
        <w:jc w:val="both"/>
        <w:rPr>
          <w:rFonts w:ascii="Times New Roman" w:hAnsi="Times New Roman"/>
          <w:sz w:val="20"/>
          <w:szCs w:val="20"/>
        </w:rPr>
      </w:pPr>
    </w:p>
    <w:p w:rsidR="004F28FC" w:rsidRPr="004F28FC" w:rsidRDefault="004F28FC" w:rsidP="004F28FC">
      <w:pPr>
        <w:spacing w:after="0" w:line="240" w:lineRule="auto"/>
        <w:jc w:val="both"/>
        <w:rPr>
          <w:rFonts w:ascii="Times New Roman" w:hAnsi="Times New Roman"/>
          <w:sz w:val="20"/>
          <w:szCs w:val="20"/>
        </w:rPr>
      </w:pPr>
    </w:p>
    <w:p w:rsidR="004F28FC" w:rsidRPr="004F28FC" w:rsidRDefault="004F28FC" w:rsidP="004F28FC">
      <w:pPr>
        <w:spacing w:after="0" w:line="240" w:lineRule="auto"/>
        <w:jc w:val="both"/>
        <w:rPr>
          <w:rFonts w:ascii="Times New Roman" w:hAnsi="Times New Roman"/>
          <w:sz w:val="20"/>
          <w:szCs w:val="20"/>
        </w:rPr>
      </w:pPr>
    </w:p>
    <w:p w:rsidR="004F28FC" w:rsidRPr="004F28FC" w:rsidRDefault="009F04F4" w:rsidP="009F04F4">
      <w:pPr>
        <w:spacing w:after="120" w:line="240" w:lineRule="auto"/>
        <w:jc w:val="center"/>
        <w:rPr>
          <w:rFonts w:ascii="Times New Roman" w:hAnsi="Times New Roman"/>
          <w:sz w:val="20"/>
          <w:szCs w:val="20"/>
        </w:rPr>
      </w:pPr>
      <w:r w:rsidRPr="004F28FC">
        <w:rPr>
          <w:rFonts w:ascii="Times New Roman" w:hAnsi="Times New Roman"/>
          <w:noProof/>
          <w:sz w:val="20"/>
          <w:szCs w:val="20"/>
          <w:lang w:bidi="ar-SA"/>
        </w:rPr>
        <w:drawing>
          <wp:inline distT="0" distB="0" distL="0" distR="0" wp14:anchorId="3929EE3D" wp14:editId="18A57294">
            <wp:extent cx="3730862" cy="2286000"/>
            <wp:effectExtent l="19050" t="19050" r="2222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0862" cy="2286000"/>
                    </a:xfrm>
                    <a:prstGeom prst="rect">
                      <a:avLst/>
                    </a:prstGeom>
                    <a:noFill/>
                    <a:ln>
                      <a:solidFill>
                        <a:schemeClr val="tx1"/>
                      </a:solidFill>
                    </a:ln>
                  </pic:spPr>
                </pic:pic>
              </a:graphicData>
            </a:graphic>
          </wp:inline>
        </w:drawing>
      </w:r>
    </w:p>
    <w:p w:rsidR="004F28FC" w:rsidRDefault="004F28FC" w:rsidP="004F28FC">
      <w:pPr>
        <w:spacing w:after="0" w:line="240" w:lineRule="auto"/>
        <w:ind w:left="851" w:hanging="851"/>
        <w:jc w:val="both"/>
        <w:rPr>
          <w:rFonts w:ascii="Times New Roman" w:hAnsi="Times New Roman"/>
          <w:bCs/>
          <w:sz w:val="20"/>
          <w:szCs w:val="20"/>
        </w:rPr>
      </w:pPr>
      <w:r w:rsidRPr="004F28FC">
        <w:rPr>
          <w:rFonts w:ascii="Times New Roman" w:hAnsi="Times New Roman"/>
          <w:bCs/>
          <w:sz w:val="20"/>
          <w:szCs w:val="20"/>
        </w:rPr>
        <w:t xml:space="preserve">Figure 5. </w:t>
      </w:r>
      <w:r w:rsidR="009F04F4">
        <w:rPr>
          <w:rFonts w:ascii="Times New Roman" w:hAnsi="Times New Roman"/>
          <w:bCs/>
          <w:sz w:val="20"/>
          <w:szCs w:val="20"/>
        </w:rPr>
        <w:tab/>
      </w:r>
      <w:r w:rsidRPr="004F28FC">
        <w:rPr>
          <w:rFonts w:ascii="Times New Roman" w:hAnsi="Times New Roman"/>
          <w:bCs/>
          <w:sz w:val="20"/>
          <w:szCs w:val="20"/>
        </w:rPr>
        <w:t>Cyclic voltammograms of the individual and mixed sensitizers (M stands for mengkulang; N denotes N719; and R indicates rengas)</w:t>
      </w:r>
    </w:p>
    <w:p w:rsidR="009F04F4" w:rsidRPr="004F28FC" w:rsidRDefault="009F04F4" w:rsidP="00D245BC">
      <w:pPr>
        <w:spacing w:after="120" w:line="240" w:lineRule="auto"/>
        <w:ind w:left="850" w:hanging="850"/>
        <w:jc w:val="both"/>
        <w:rPr>
          <w:rFonts w:ascii="Times New Roman" w:hAnsi="Times New Roman"/>
          <w:bCs/>
          <w:sz w:val="20"/>
          <w:szCs w:val="20"/>
        </w:rPr>
      </w:pPr>
    </w:p>
    <w:p w:rsidR="004F28FC" w:rsidRPr="004F28FC" w:rsidRDefault="004F28FC" w:rsidP="004F28FC">
      <w:pPr>
        <w:spacing w:after="0" w:line="240" w:lineRule="auto"/>
        <w:jc w:val="both"/>
        <w:rPr>
          <w:rFonts w:ascii="Times New Roman" w:hAnsi="Times New Roman"/>
          <w:sz w:val="20"/>
          <w:szCs w:val="20"/>
        </w:rPr>
      </w:pPr>
      <w:r w:rsidRPr="004F28FC">
        <w:rPr>
          <w:rFonts w:ascii="Times New Roman" w:hAnsi="Times New Roman"/>
          <w:noProof/>
          <w:sz w:val="20"/>
          <w:szCs w:val="20"/>
          <w:lang w:bidi="ar-SA"/>
        </w:rPr>
        <w:drawing>
          <wp:anchor distT="0" distB="0" distL="114300" distR="114300" simplePos="0" relativeHeight="251660800" behindDoc="0" locked="0" layoutInCell="1" allowOverlap="1" wp14:anchorId="48DA36A3" wp14:editId="766EEF04">
            <wp:simplePos x="0" y="0"/>
            <wp:positionH relativeFrom="column">
              <wp:posOffset>1447800</wp:posOffset>
            </wp:positionH>
            <wp:positionV relativeFrom="paragraph">
              <wp:posOffset>26035</wp:posOffset>
            </wp:positionV>
            <wp:extent cx="2521323" cy="2286000"/>
            <wp:effectExtent l="19050" t="19050" r="12700" b="19050"/>
            <wp:wrapSquare wrapText="bothSides"/>
            <wp:docPr id="3" name="Picture 3" descr="C:\Users\Ezyanie\SkyDrive\master SERI\analysis\energy level\MR onl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Ezyanie\SkyDrive\master SERI\analysis\energy level\MR onl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1323"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F28FC" w:rsidRPr="004F28FC" w:rsidRDefault="004F28FC" w:rsidP="004F28FC">
      <w:pPr>
        <w:spacing w:after="0" w:line="240" w:lineRule="auto"/>
        <w:jc w:val="both"/>
        <w:rPr>
          <w:rFonts w:ascii="Times New Roman" w:hAnsi="Times New Roman"/>
          <w:b/>
          <w:sz w:val="20"/>
          <w:szCs w:val="20"/>
        </w:rPr>
      </w:pPr>
    </w:p>
    <w:p w:rsidR="004F28FC" w:rsidRPr="004F28FC" w:rsidRDefault="004F28FC" w:rsidP="004F28FC">
      <w:pPr>
        <w:spacing w:after="0" w:line="240" w:lineRule="auto"/>
        <w:jc w:val="both"/>
        <w:rPr>
          <w:rFonts w:ascii="Times New Roman" w:hAnsi="Times New Roman"/>
          <w:bCs/>
          <w:sz w:val="20"/>
          <w:szCs w:val="20"/>
        </w:rPr>
      </w:pPr>
    </w:p>
    <w:p w:rsidR="004F28FC" w:rsidRPr="004F28FC" w:rsidRDefault="004F28FC" w:rsidP="004F28FC">
      <w:pPr>
        <w:spacing w:after="0" w:line="240" w:lineRule="auto"/>
        <w:jc w:val="both"/>
        <w:rPr>
          <w:rFonts w:ascii="Times New Roman" w:hAnsi="Times New Roman"/>
          <w:bCs/>
          <w:sz w:val="20"/>
          <w:szCs w:val="20"/>
        </w:rPr>
      </w:pPr>
    </w:p>
    <w:p w:rsidR="004F28FC" w:rsidRPr="004F28FC" w:rsidRDefault="004F28FC" w:rsidP="004F28FC">
      <w:pPr>
        <w:spacing w:after="0" w:line="240" w:lineRule="auto"/>
        <w:jc w:val="both"/>
        <w:rPr>
          <w:rFonts w:ascii="Times New Roman" w:hAnsi="Times New Roman"/>
          <w:bCs/>
          <w:sz w:val="20"/>
          <w:szCs w:val="20"/>
        </w:rPr>
      </w:pPr>
    </w:p>
    <w:p w:rsidR="004F28FC" w:rsidRPr="004F28FC" w:rsidRDefault="004F28FC" w:rsidP="004F28FC">
      <w:pPr>
        <w:spacing w:after="0" w:line="240" w:lineRule="auto"/>
        <w:jc w:val="both"/>
        <w:rPr>
          <w:rFonts w:ascii="Times New Roman" w:hAnsi="Times New Roman"/>
          <w:bCs/>
          <w:sz w:val="20"/>
          <w:szCs w:val="20"/>
        </w:rPr>
      </w:pPr>
    </w:p>
    <w:p w:rsidR="004F28FC" w:rsidRPr="004F28FC" w:rsidRDefault="004F28FC" w:rsidP="004F28FC">
      <w:pPr>
        <w:spacing w:after="0" w:line="240" w:lineRule="auto"/>
        <w:jc w:val="both"/>
        <w:rPr>
          <w:rFonts w:ascii="Times New Roman" w:hAnsi="Times New Roman"/>
          <w:bCs/>
          <w:sz w:val="20"/>
          <w:szCs w:val="20"/>
        </w:rPr>
      </w:pPr>
    </w:p>
    <w:p w:rsidR="004F28FC" w:rsidRPr="004F28FC" w:rsidRDefault="004F28FC" w:rsidP="004F28FC">
      <w:pPr>
        <w:spacing w:after="0" w:line="240" w:lineRule="auto"/>
        <w:jc w:val="both"/>
        <w:rPr>
          <w:rFonts w:ascii="Times New Roman" w:hAnsi="Times New Roman"/>
          <w:bCs/>
          <w:sz w:val="20"/>
          <w:szCs w:val="20"/>
        </w:rPr>
      </w:pPr>
    </w:p>
    <w:p w:rsidR="004F28FC" w:rsidRPr="004F28FC" w:rsidRDefault="004F28FC" w:rsidP="004F28FC">
      <w:pPr>
        <w:spacing w:after="0" w:line="240" w:lineRule="auto"/>
        <w:jc w:val="both"/>
        <w:rPr>
          <w:rFonts w:ascii="Times New Roman" w:hAnsi="Times New Roman"/>
          <w:bCs/>
          <w:sz w:val="20"/>
          <w:szCs w:val="20"/>
        </w:rPr>
      </w:pPr>
    </w:p>
    <w:p w:rsidR="004F28FC" w:rsidRPr="004F28FC" w:rsidRDefault="004F28FC" w:rsidP="004F28FC">
      <w:pPr>
        <w:spacing w:after="0" w:line="240" w:lineRule="auto"/>
        <w:jc w:val="both"/>
        <w:rPr>
          <w:rFonts w:ascii="Times New Roman" w:hAnsi="Times New Roman"/>
          <w:bCs/>
          <w:sz w:val="20"/>
          <w:szCs w:val="20"/>
        </w:rPr>
      </w:pPr>
    </w:p>
    <w:p w:rsidR="004F28FC" w:rsidRPr="004F28FC" w:rsidRDefault="004F28FC" w:rsidP="004F28FC">
      <w:pPr>
        <w:spacing w:after="0" w:line="240" w:lineRule="auto"/>
        <w:jc w:val="both"/>
        <w:rPr>
          <w:rFonts w:ascii="Times New Roman" w:hAnsi="Times New Roman"/>
          <w:bCs/>
          <w:sz w:val="20"/>
          <w:szCs w:val="20"/>
        </w:rPr>
      </w:pPr>
    </w:p>
    <w:p w:rsidR="004F28FC" w:rsidRPr="004F28FC" w:rsidRDefault="004F28FC" w:rsidP="004F28FC">
      <w:pPr>
        <w:spacing w:after="0" w:line="240" w:lineRule="auto"/>
        <w:jc w:val="both"/>
        <w:rPr>
          <w:rFonts w:ascii="Times New Roman" w:hAnsi="Times New Roman"/>
          <w:bCs/>
          <w:sz w:val="20"/>
          <w:szCs w:val="20"/>
        </w:rPr>
      </w:pPr>
    </w:p>
    <w:p w:rsidR="004F28FC" w:rsidRPr="004F28FC" w:rsidRDefault="004F28FC" w:rsidP="004F28FC">
      <w:pPr>
        <w:spacing w:after="0" w:line="240" w:lineRule="auto"/>
        <w:jc w:val="both"/>
        <w:rPr>
          <w:rFonts w:ascii="Times New Roman" w:hAnsi="Times New Roman"/>
          <w:bCs/>
          <w:sz w:val="20"/>
          <w:szCs w:val="20"/>
        </w:rPr>
      </w:pPr>
    </w:p>
    <w:p w:rsidR="004F28FC" w:rsidRPr="004F28FC" w:rsidRDefault="004F28FC" w:rsidP="004F28FC">
      <w:pPr>
        <w:spacing w:after="0" w:line="240" w:lineRule="auto"/>
        <w:jc w:val="both"/>
        <w:rPr>
          <w:rFonts w:ascii="Times New Roman" w:hAnsi="Times New Roman"/>
          <w:bCs/>
          <w:sz w:val="20"/>
          <w:szCs w:val="20"/>
        </w:rPr>
      </w:pPr>
    </w:p>
    <w:p w:rsidR="004F28FC" w:rsidRPr="004F28FC" w:rsidRDefault="004F28FC" w:rsidP="004F28FC">
      <w:pPr>
        <w:spacing w:after="0" w:line="240" w:lineRule="auto"/>
        <w:jc w:val="both"/>
        <w:rPr>
          <w:rFonts w:ascii="Times New Roman" w:hAnsi="Times New Roman"/>
          <w:bCs/>
          <w:sz w:val="20"/>
          <w:szCs w:val="20"/>
        </w:rPr>
      </w:pPr>
    </w:p>
    <w:p w:rsidR="004F28FC" w:rsidRPr="004F28FC" w:rsidRDefault="004F28FC" w:rsidP="004F28FC">
      <w:pPr>
        <w:spacing w:after="0" w:line="240" w:lineRule="auto"/>
        <w:jc w:val="both"/>
        <w:rPr>
          <w:rFonts w:ascii="Times New Roman" w:hAnsi="Times New Roman"/>
          <w:bCs/>
          <w:sz w:val="20"/>
          <w:szCs w:val="20"/>
        </w:rPr>
      </w:pPr>
    </w:p>
    <w:p w:rsidR="00D245BC" w:rsidRDefault="004F28FC" w:rsidP="00D245BC">
      <w:pPr>
        <w:spacing w:after="0" w:line="240" w:lineRule="auto"/>
        <w:ind w:left="851" w:hanging="851"/>
        <w:jc w:val="both"/>
        <w:rPr>
          <w:rFonts w:ascii="Times New Roman" w:hAnsi="Times New Roman"/>
          <w:bCs/>
          <w:sz w:val="20"/>
          <w:szCs w:val="20"/>
        </w:rPr>
      </w:pPr>
      <w:r w:rsidRPr="004F28FC">
        <w:rPr>
          <w:rFonts w:ascii="Times New Roman" w:hAnsi="Times New Roman"/>
          <w:bCs/>
          <w:sz w:val="20"/>
          <w:szCs w:val="20"/>
        </w:rPr>
        <w:t xml:space="preserve">Figure 6. </w:t>
      </w:r>
      <w:r w:rsidR="009F04F4">
        <w:rPr>
          <w:rFonts w:ascii="Times New Roman" w:hAnsi="Times New Roman"/>
          <w:bCs/>
          <w:sz w:val="20"/>
          <w:szCs w:val="20"/>
        </w:rPr>
        <w:tab/>
      </w:r>
      <w:r w:rsidRPr="004F28FC">
        <w:rPr>
          <w:rFonts w:ascii="Times New Roman" w:hAnsi="Times New Roman"/>
          <w:bCs/>
          <w:sz w:val="20"/>
          <w:szCs w:val="20"/>
        </w:rPr>
        <w:t>Schematic of the energy levels of TiO</w:t>
      </w:r>
      <w:r w:rsidRPr="004F28FC">
        <w:rPr>
          <w:rFonts w:ascii="Times New Roman" w:hAnsi="Times New Roman"/>
          <w:bCs/>
          <w:sz w:val="20"/>
          <w:szCs w:val="20"/>
          <w:vertAlign w:val="subscript"/>
        </w:rPr>
        <w:t>2</w:t>
      </w:r>
      <w:r w:rsidRPr="004F28FC">
        <w:rPr>
          <w:rFonts w:ascii="Times New Roman" w:hAnsi="Times New Roman"/>
          <w:bCs/>
          <w:sz w:val="20"/>
          <w:szCs w:val="20"/>
        </w:rPr>
        <w:t xml:space="preserve"> and the N719, mengkulang, and rengas sensitizers with respect to vacuum level and NHE (M stands for mengkulang and R denotes rengas)</w:t>
      </w:r>
    </w:p>
    <w:p w:rsidR="004F28FC" w:rsidRPr="00D245BC" w:rsidRDefault="009F04F4" w:rsidP="00D245BC">
      <w:pPr>
        <w:spacing w:after="0" w:line="240" w:lineRule="auto"/>
        <w:ind w:left="851" w:hanging="851"/>
        <w:jc w:val="both"/>
        <w:rPr>
          <w:rFonts w:ascii="Times New Roman" w:hAnsi="Times New Roman"/>
          <w:bCs/>
          <w:sz w:val="20"/>
          <w:szCs w:val="20"/>
        </w:rPr>
      </w:pPr>
      <w:r w:rsidRPr="004F28FC">
        <w:rPr>
          <w:rFonts w:ascii="Times New Roman" w:hAnsi="Times New Roman"/>
          <w:noProof/>
          <w:sz w:val="20"/>
          <w:szCs w:val="20"/>
          <w:lang w:bidi="ar-SA"/>
        </w:rPr>
        <w:lastRenderedPageBreak/>
        <w:drawing>
          <wp:anchor distT="0" distB="0" distL="114300" distR="114300" simplePos="0" relativeHeight="251662848" behindDoc="0" locked="0" layoutInCell="1" allowOverlap="1" wp14:anchorId="680B0CA0" wp14:editId="0AF03D28">
            <wp:simplePos x="0" y="0"/>
            <wp:positionH relativeFrom="column">
              <wp:posOffset>647700</wp:posOffset>
            </wp:positionH>
            <wp:positionV relativeFrom="paragraph">
              <wp:posOffset>171450</wp:posOffset>
            </wp:positionV>
            <wp:extent cx="4846320" cy="2754498"/>
            <wp:effectExtent l="19050" t="1905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6320" cy="275449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9F04F4" w:rsidRDefault="009F04F4" w:rsidP="004F28FC">
      <w:pPr>
        <w:spacing w:after="0" w:line="240" w:lineRule="auto"/>
        <w:ind w:left="851" w:hanging="851"/>
        <w:jc w:val="both"/>
        <w:rPr>
          <w:rFonts w:ascii="Times New Roman" w:hAnsi="Times New Roman"/>
          <w:bCs/>
          <w:sz w:val="20"/>
          <w:szCs w:val="20"/>
        </w:rPr>
      </w:pPr>
    </w:p>
    <w:p w:rsidR="00D245BC" w:rsidRDefault="00D245BC" w:rsidP="004F28FC">
      <w:pPr>
        <w:spacing w:after="0" w:line="240" w:lineRule="auto"/>
        <w:ind w:left="851" w:hanging="851"/>
        <w:jc w:val="both"/>
        <w:rPr>
          <w:rFonts w:ascii="Times New Roman" w:hAnsi="Times New Roman"/>
          <w:bCs/>
          <w:sz w:val="20"/>
          <w:szCs w:val="20"/>
        </w:rPr>
      </w:pPr>
    </w:p>
    <w:p w:rsidR="004F28FC" w:rsidRDefault="004F28FC" w:rsidP="004F28FC">
      <w:pPr>
        <w:spacing w:after="0" w:line="240" w:lineRule="auto"/>
        <w:ind w:left="851" w:hanging="851"/>
        <w:jc w:val="both"/>
        <w:rPr>
          <w:rFonts w:ascii="Times New Roman" w:hAnsi="Times New Roman"/>
          <w:bCs/>
          <w:sz w:val="20"/>
          <w:szCs w:val="20"/>
        </w:rPr>
      </w:pPr>
      <w:r w:rsidRPr="004F28FC">
        <w:rPr>
          <w:rFonts w:ascii="Times New Roman" w:hAnsi="Times New Roman"/>
          <w:bCs/>
          <w:sz w:val="20"/>
          <w:szCs w:val="20"/>
        </w:rPr>
        <w:t xml:space="preserve">Figure 7. </w:t>
      </w:r>
      <w:r w:rsidR="009F04F4">
        <w:rPr>
          <w:rFonts w:ascii="Times New Roman" w:hAnsi="Times New Roman"/>
          <w:bCs/>
          <w:sz w:val="20"/>
          <w:szCs w:val="20"/>
        </w:rPr>
        <w:tab/>
      </w:r>
      <w:r w:rsidRPr="004F28FC">
        <w:rPr>
          <w:rFonts w:ascii="Times New Roman" w:hAnsi="Times New Roman"/>
          <w:bCs/>
          <w:sz w:val="20"/>
          <w:szCs w:val="20"/>
        </w:rPr>
        <w:t>Schematic of the comparison of the energy levels of the investigated sensitizers with respect to vacuum level and NHE (M stands for mengkulang; N denotes N719; and R indicates rengas)</w:t>
      </w:r>
    </w:p>
    <w:p w:rsidR="009F04F4" w:rsidRPr="004F28FC" w:rsidRDefault="009F04F4" w:rsidP="009F04F4">
      <w:pPr>
        <w:spacing w:after="120" w:line="240" w:lineRule="auto"/>
        <w:ind w:left="850" w:hanging="850"/>
        <w:jc w:val="both"/>
        <w:rPr>
          <w:rFonts w:ascii="Times New Roman" w:hAnsi="Times New Roman"/>
          <w:bCs/>
          <w:sz w:val="20"/>
          <w:szCs w:val="20"/>
        </w:rPr>
      </w:pPr>
    </w:p>
    <w:p w:rsidR="004F28FC" w:rsidRPr="004F28FC" w:rsidRDefault="004F28FC" w:rsidP="004F28FC">
      <w:pPr>
        <w:spacing w:after="0" w:line="240" w:lineRule="auto"/>
        <w:jc w:val="both"/>
        <w:rPr>
          <w:rFonts w:ascii="Times New Roman" w:hAnsi="Times New Roman"/>
          <w:sz w:val="20"/>
          <w:szCs w:val="20"/>
        </w:rPr>
      </w:pPr>
      <w:r w:rsidRPr="004F28FC">
        <w:rPr>
          <w:rFonts w:ascii="Times New Roman" w:hAnsi="Times New Roman"/>
          <w:sz w:val="20"/>
          <w:szCs w:val="20"/>
        </w:rPr>
        <w:t xml:space="preserve">As shown in Figures 6 and 7, the LUMO levels of mengkulang, rengas, </w:t>
      </w:r>
      <w:r w:rsidRPr="004F28FC">
        <w:rPr>
          <w:rFonts w:ascii="Times New Roman" w:eastAsiaTheme="minorEastAsia" w:hAnsi="Times New Roman"/>
          <w:sz w:val="20"/>
          <w:szCs w:val="20"/>
        </w:rPr>
        <w:t xml:space="preserve">mengkulang: N719 (80%:20%), mengkulang: N719 (90%:10%), mengkulang: rengas: N719 (40%:40%:20%), rengas: N719 (80%:20%), and rengas: N719 (90%:10%) </w:t>
      </w:r>
      <w:r w:rsidRPr="004F28FC">
        <w:rPr>
          <w:rFonts w:ascii="Times New Roman" w:hAnsi="Times New Roman"/>
          <w:sz w:val="20"/>
          <w:szCs w:val="20"/>
        </w:rPr>
        <w:t>were located below the conduction band (CB) of TiO</w:t>
      </w:r>
      <w:r w:rsidRPr="004F28FC">
        <w:rPr>
          <w:rFonts w:ascii="Times New Roman" w:hAnsi="Times New Roman"/>
          <w:sz w:val="20"/>
          <w:szCs w:val="20"/>
          <w:vertAlign w:val="subscript"/>
        </w:rPr>
        <w:t>2</w:t>
      </w:r>
      <w:r w:rsidRPr="004F28FC">
        <w:rPr>
          <w:rFonts w:ascii="Times New Roman" w:hAnsi="Times New Roman"/>
          <w:sz w:val="20"/>
          <w:szCs w:val="20"/>
        </w:rPr>
        <w:t>. By contrast, the LUMO level of a sensitizer must be located slightly above the energy level of a semiconductor to enable the sensitizer to inject electrons into the conduction band of TiO</w:t>
      </w:r>
      <w:r w:rsidRPr="004F28FC">
        <w:rPr>
          <w:rFonts w:ascii="Times New Roman" w:hAnsi="Times New Roman"/>
          <w:sz w:val="20"/>
          <w:szCs w:val="20"/>
          <w:vertAlign w:val="subscript"/>
        </w:rPr>
        <w:t>2</w:t>
      </w:r>
      <w:r w:rsidRPr="004F28FC">
        <w:rPr>
          <w:rFonts w:ascii="Times New Roman" w:hAnsi="Times New Roman"/>
          <w:sz w:val="20"/>
          <w:szCs w:val="20"/>
        </w:rPr>
        <w:t xml:space="preserve"> with high quantum yields [25]. Given that the LUMO levels of the investigated sensitizers obtained in this study are lower than the CB level of TiO</w:t>
      </w:r>
      <w:r w:rsidRPr="004F28FC">
        <w:rPr>
          <w:rFonts w:ascii="Times New Roman" w:hAnsi="Times New Roman"/>
          <w:sz w:val="20"/>
          <w:szCs w:val="20"/>
          <w:vertAlign w:val="subscript"/>
        </w:rPr>
        <w:t>2</w:t>
      </w:r>
      <w:r w:rsidRPr="004F28FC">
        <w:rPr>
          <w:rFonts w:ascii="Times New Roman" w:hAnsi="Times New Roman"/>
          <w:sz w:val="20"/>
          <w:szCs w:val="20"/>
        </w:rPr>
        <w:t>, the performance of the cells is predicted to be poor.</w:t>
      </w:r>
    </w:p>
    <w:p w:rsidR="004F28FC" w:rsidRPr="004F28FC" w:rsidRDefault="004F28FC" w:rsidP="004F28FC">
      <w:pPr>
        <w:spacing w:after="0" w:line="240" w:lineRule="auto"/>
        <w:jc w:val="both"/>
        <w:rPr>
          <w:rFonts w:ascii="Times New Roman" w:hAnsi="Times New Roman"/>
          <w:sz w:val="20"/>
          <w:szCs w:val="20"/>
        </w:rPr>
      </w:pPr>
    </w:p>
    <w:p w:rsidR="004F28FC" w:rsidRPr="004F28FC" w:rsidRDefault="004F28FC" w:rsidP="004F28FC">
      <w:pPr>
        <w:spacing w:after="0" w:line="240" w:lineRule="auto"/>
        <w:jc w:val="both"/>
        <w:rPr>
          <w:rFonts w:ascii="Times New Roman" w:hAnsi="Times New Roman"/>
          <w:b/>
          <w:bCs/>
          <w:iCs/>
          <w:sz w:val="20"/>
          <w:szCs w:val="20"/>
        </w:rPr>
      </w:pPr>
      <w:r w:rsidRPr="004F28FC">
        <w:rPr>
          <w:rFonts w:ascii="Times New Roman" w:hAnsi="Times New Roman"/>
          <w:b/>
          <w:bCs/>
          <w:iCs/>
          <w:sz w:val="20"/>
          <w:szCs w:val="20"/>
        </w:rPr>
        <w:t>I–V characteristics</w:t>
      </w:r>
    </w:p>
    <w:p w:rsidR="004F28FC" w:rsidRDefault="004F28FC" w:rsidP="004F28FC">
      <w:pPr>
        <w:spacing w:after="0" w:line="240" w:lineRule="auto"/>
        <w:jc w:val="both"/>
        <w:rPr>
          <w:rFonts w:ascii="Times New Roman" w:hAnsi="Times New Roman"/>
          <w:sz w:val="20"/>
          <w:szCs w:val="20"/>
        </w:rPr>
      </w:pPr>
      <w:r w:rsidRPr="004F28FC">
        <w:rPr>
          <w:rFonts w:ascii="Times New Roman" w:hAnsi="Times New Roman"/>
          <w:sz w:val="20"/>
          <w:szCs w:val="20"/>
        </w:rPr>
        <w:t xml:space="preserve">Figure 8 shows the </w:t>
      </w:r>
      <w:r w:rsidRPr="004F28FC">
        <w:rPr>
          <w:rFonts w:ascii="Times New Roman" w:hAnsi="Times New Roman"/>
          <w:i/>
          <w:sz w:val="20"/>
          <w:szCs w:val="20"/>
        </w:rPr>
        <w:t>I–V</w:t>
      </w:r>
      <w:r w:rsidRPr="004F28FC">
        <w:rPr>
          <w:rFonts w:ascii="Times New Roman" w:hAnsi="Times New Roman"/>
          <w:sz w:val="20"/>
          <w:szCs w:val="20"/>
        </w:rPr>
        <w:t xml:space="preserve"> curve of the mengkulang, rengas, </w:t>
      </w:r>
      <w:r w:rsidRPr="004F28FC">
        <w:rPr>
          <w:rFonts w:ascii="Times New Roman" w:eastAsiaTheme="minorEastAsia" w:hAnsi="Times New Roman"/>
          <w:sz w:val="20"/>
          <w:szCs w:val="20"/>
        </w:rPr>
        <w:t xml:space="preserve">mengkulang: N719 (80%:20%), mengkulang: N719 (90%:10%), mengkulang: rengas: N719 (40%:40%:20%), rengas: N719 (80%:20%), and rengas: N719 (90%:10%) </w:t>
      </w:r>
      <w:r w:rsidRPr="004F28FC">
        <w:rPr>
          <w:rFonts w:ascii="Times New Roman" w:hAnsi="Times New Roman"/>
          <w:sz w:val="20"/>
          <w:szCs w:val="20"/>
        </w:rPr>
        <w:t xml:space="preserve">sensitizers evaluated under the illumination of AM 1.5 global simulated solar light. The performances of the DSSCs are calculated and the results are presented in Table 3. The best performance is exhibited by the </w:t>
      </w:r>
      <w:r w:rsidRPr="004F28FC">
        <w:rPr>
          <w:rFonts w:ascii="Times New Roman" w:eastAsiaTheme="minorEastAsia" w:hAnsi="Times New Roman"/>
          <w:sz w:val="20"/>
          <w:szCs w:val="20"/>
        </w:rPr>
        <w:t xml:space="preserve">mengkulang: N719 (80%:20%) sensitizer, </w:t>
      </w:r>
      <w:r w:rsidRPr="004F28FC">
        <w:rPr>
          <w:rFonts w:ascii="Times New Roman" w:hAnsi="Times New Roman"/>
          <w:sz w:val="20"/>
          <w:szCs w:val="20"/>
        </w:rPr>
        <w:t>which presents a conversion efficiency (</w:t>
      </w:r>
      <w:r w:rsidRPr="004F28FC">
        <w:rPr>
          <w:rFonts w:ascii="Times New Roman" w:hAnsi="Times New Roman"/>
          <w:i/>
          <w:sz w:val="20"/>
          <w:szCs w:val="20"/>
        </w:rPr>
        <w:t>ŋ</w:t>
      </w:r>
      <w:r w:rsidRPr="004F28FC">
        <w:rPr>
          <w:rFonts w:ascii="Times New Roman" w:hAnsi="Times New Roman"/>
          <w:sz w:val="20"/>
          <w:szCs w:val="20"/>
        </w:rPr>
        <w:t>) of 0.58%, with an open circuit voltage (</w:t>
      </w:r>
      <w:r w:rsidRPr="004F28FC">
        <w:rPr>
          <w:rFonts w:ascii="Times New Roman" w:hAnsi="Times New Roman"/>
          <w:i/>
          <w:sz w:val="20"/>
          <w:szCs w:val="20"/>
        </w:rPr>
        <w:t>V</w:t>
      </w:r>
      <w:r w:rsidRPr="004F28FC">
        <w:rPr>
          <w:rFonts w:ascii="Times New Roman" w:hAnsi="Times New Roman"/>
          <w:sz w:val="20"/>
          <w:szCs w:val="20"/>
          <w:vertAlign w:val="subscript"/>
        </w:rPr>
        <w:t>oc</w:t>
      </w:r>
      <w:r w:rsidRPr="004F28FC">
        <w:rPr>
          <w:rFonts w:ascii="Times New Roman" w:hAnsi="Times New Roman"/>
          <w:sz w:val="20"/>
          <w:szCs w:val="20"/>
        </w:rPr>
        <w:t>) of 0.63 V,  a short circuit photocurrent density (</w:t>
      </w:r>
      <w:r w:rsidRPr="004F28FC">
        <w:rPr>
          <w:rFonts w:ascii="Times New Roman" w:hAnsi="Times New Roman"/>
          <w:i/>
          <w:sz w:val="20"/>
          <w:szCs w:val="20"/>
        </w:rPr>
        <w:t>J</w:t>
      </w:r>
      <w:r w:rsidRPr="004F28FC">
        <w:rPr>
          <w:rFonts w:ascii="Times New Roman" w:hAnsi="Times New Roman"/>
          <w:sz w:val="20"/>
          <w:szCs w:val="20"/>
          <w:vertAlign w:val="subscript"/>
        </w:rPr>
        <w:t>sc</w:t>
      </w:r>
      <w:r w:rsidRPr="004F28FC">
        <w:rPr>
          <w:rFonts w:ascii="Times New Roman" w:hAnsi="Times New Roman"/>
          <w:sz w:val="20"/>
          <w:szCs w:val="20"/>
        </w:rPr>
        <w:t>) of 2.1 mA/cm</w:t>
      </w:r>
      <w:r w:rsidRPr="004F28FC">
        <w:rPr>
          <w:rFonts w:ascii="Times New Roman" w:hAnsi="Times New Roman"/>
          <w:sz w:val="20"/>
          <w:szCs w:val="20"/>
          <w:vertAlign w:val="superscript"/>
        </w:rPr>
        <w:t>2</w:t>
      </w:r>
      <w:r w:rsidRPr="004F28FC">
        <w:rPr>
          <w:rFonts w:ascii="Times New Roman" w:hAnsi="Times New Roman"/>
          <w:sz w:val="20"/>
          <w:szCs w:val="20"/>
        </w:rPr>
        <w:t>, and a fill factor (</w:t>
      </w:r>
      <w:r w:rsidRPr="004F28FC">
        <w:rPr>
          <w:rFonts w:ascii="Times New Roman" w:hAnsi="Times New Roman"/>
          <w:i/>
          <w:sz w:val="20"/>
          <w:szCs w:val="20"/>
        </w:rPr>
        <w:t>ff</w:t>
      </w:r>
      <w:r w:rsidRPr="004F28FC">
        <w:rPr>
          <w:rFonts w:ascii="Times New Roman" w:hAnsi="Times New Roman"/>
          <w:sz w:val="20"/>
          <w:szCs w:val="20"/>
        </w:rPr>
        <w:t xml:space="preserve">) of 0.44. The </w:t>
      </w:r>
      <w:r w:rsidRPr="004F28FC">
        <w:rPr>
          <w:rFonts w:ascii="Times New Roman" w:eastAsiaTheme="minorEastAsia" w:hAnsi="Times New Roman"/>
          <w:sz w:val="20"/>
          <w:szCs w:val="20"/>
        </w:rPr>
        <w:t xml:space="preserve">mengkulang: N719 (90%:10%) sensitizer follows with a </w:t>
      </w:r>
      <w:r w:rsidRPr="004F28FC">
        <w:rPr>
          <w:rFonts w:ascii="Times New Roman" w:hAnsi="Times New Roman"/>
          <w:sz w:val="20"/>
          <w:szCs w:val="20"/>
        </w:rPr>
        <w:t>conversion efficiency (</w:t>
      </w:r>
      <w:r w:rsidRPr="004F28FC">
        <w:rPr>
          <w:rFonts w:ascii="Times New Roman" w:hAnsi="Times New Roman"/>
          <w:i/>
          <w:sz w:val="20"/>
          <w:szCs w:val="20"/>
        </w:rPr>
        <w:t>ŋ</w:t>
      </w:r>
      <w:r w:rsidRPr="004F28FC">
        <w:rPr>
          <w:rFonts w:ascii="Times New Roman" w:hAnsi="Times New Roman"/>
          <w:sz w:val="20"/>
          <w:szCs w:val="20"/>
        </w:rPr>
        <w:t xml:space="preserve">) of 0.45%, </w:t>
      </w:r>
      <w:r w:rsidRPr="004F28FC">
        <w:rPr>
          <w:rFonts w:ascii="Times New Roman" w:hAnsi="Times New Roman"/>
          <w:i/>
          <w:sz w:val="20"/>
          <w:szCs w:val="20"/>
        </w:rPr>
        <w:t>V</w:t>
      </w:r>
      <w:r w:rsidRPr="004F28FC">
        <w:rPr>
          <w:rFonts w:ascii="Times New Roman" w:hAnsi="Times New Roman"/>
          <w:sz w:val="20"/>
          <w:szCs w:val="20"/>
          <w:vertAlign w:val="subscript"/>
        </w:rPr>
        <w:t>oc</w:t>
      </w:r>
      <w:r w:rsidRPr="004F28FC">
        <w:rPr>
          <w:rFonts w:ascii="Times New Roman" w:hAnsi="Times New Roman"/>
          <w:sz w:val="20"/>
          <w:szCs w:val="20"/>
        </w:rPr>
        <w:t xml:space="preserve"> of 0.606 V,  </w:t>
      </w:r>
      <w:r w:rsidRPr="004F28FC">
        <w:rPr>
          <w:rFonts w:ascii="Times New Roman" w:hAnsi="Times New Roman"/>
          <w:i/>
          <w:sz w:val="20"/>
          <w:szCs w:val="20"/>
        </w:rPr>
        <w:t>J</w:t>
      </w:r>
      <w:r w:rsidRPr="004F28FC">
        <w:rPr>
          <w:rFonts w:ascii="Times New Roman" w:hAnsi="Times New Roman"/>
          <w:sz w:val="20"/>
          <w:szCs w:val="20"/>
          <w:vertAlign w:val="subscript"/>
        </w:rPr>
        <w:t>sc</w:t>
      </w:r>
      <w:r w:rsidRPr="004F28FC">
        <w:rPr>
          <w:rFonts w:ascii="Times New Roman" w:hAnsi="Times New Roman"/>
          <w:sz w:val="20"/>
          <w:szCs w:val="20"/>
        </w:rPr>
        <w:t xml:space="preserve"> of 1.7 mA/cm</w:t>
      </w:r>
      <w:r w:rsidRPr="004F28FC">
        <w:rPr>
          <w:rFonts w:ascii="Times New Roman" w:hAnsi="Times New Roman"/>
          <w:sz w:val="20"/>
          <w:szCs w:val="20"/>
          <w:vertAlign w:val="superscript"/>
        </w:rPr>
        <w:t>2</w:t>
      </w:r>
      <w:r w:rsidRPr="004F28FC">
        <w:rPr>
          <w:rFonts w:ascii="Times New Roman" w:hAnsi="Times New Roman"/>
          <w:sz w:val="20"/>
          <w:szCs w:val="20"/>
        </w:rPr>
        <w:t xml:space="preserve">, and </w:t>
      </w:r>
      <w:r w:rsidRPr="004F28FC">
        <w:rPr>
          <w:rFonts w:ascii="Times New Roman" w:hAnsi="Times New Roman"/>
          <w:i/>
          <w:sz w:val="20"/>
          <w:szCs w:val="20"/>
        </w:rPr>
        <w:t>ff</w:t>
      </w:r>
      <w:r w:rsidRPr="004F28FC">
        <w:rPr>
          <w:rFonts w:ascii="Times New Roman" w:hAnsi="Times New Roman"/>
          <w:sz w:val="20"/>
          <w:szCs w:val="20"/>
        </w:rPr>
        <w:t xml:space="preserve"> of 0.44 under an irradiance of 1000 W/m</w:t>
      </w:r>
      <w:r w:rsidRPr="004F28FC">
        <w:rPr>
          <w:rFonts w:ascii="Times New Roman" w:hAnsi="Times New Roman"/>
          <w:sz w:val="20"/>
          <w:szCs w:val="20"/>
          <w:vertAlign w:val="superscript"/>
        </w:rPr>
        <w:t>2</w:t>
      </w:r>
      <w:r w:rsidRPr="004F28FC">
        <w:rPr>
          <w:rFonts w:ascii="Times New Roman" w:hAnsi="Times New Roman"/>
          <w:sz w:val="20"/>
          <w:szCs w:val="20"/>
        </w:rPr>
        <w:t>. Moreover, the other mixed sensitizers exhibit lower conversion efficiencies than the two synthesizers but still higher than those of the individual sensitizers, namely, mengkulang and rengas. Between these two, mengkulang achieves higher conversion efficiency (</w:t>
      </w:r>
      <w:r w:rsidRPr="004F28FC">
        <w:rPr>
          <w:rFonts w:ascii="Times New Roman" w:hAnsi="Times New Roman"/>
          <w:i/>
          <w:sz w:val="20"/>
          <w:szCs w:val="20"/>
        </w:rPr>
        <w:t>ŋ</w:t>
      </w:r>
      <w:r w:rsidRPr="004F28FC">
        <w:rPr>
          <w:rFonts w:ascii="Times New Roman" w:hAnsi="Times New Roman"/>
          <w:sz w:val="20"/>
          <w:szCs w:val="20"/>
        </w:rPr>
        <w:t xml:space="preserve">) of 0.16%, with </w:t>
      </w:r>
      <w:r w:rsidRPr="004F28FC">
        <w:rPr>
          <w:rFonts w:ascii="Times New Roman" w:hAnsi="Times New Roman"/>
          <w:i/>
          <w:sz w:val="20"/>
          <w:szCs w:val="20"/>
        </w:rPr>
        <w:t>V</w:t>
      </w:r>
      <w:r w:rsidRPr="004F28FC">
        <w:rPr>
          <w:rFonts w:ascii="Times New Roman" w:hAnsi="Times New Roman"/>
          <w:sz w:val="20"/>
          <w:szCs w:val="20"/>
          <w:vertAlign w:val="subscript"/>
        </w:rPr>
        <w:t>oc</w:t>
      </w:r>
      <w:r w:rsidRPr="004F28FC">
        <w:rPr>
          <w:rFonts w:ascii="Times New Roman" w:hAnsi="Times New Roman"/>
          <w:sz w:val="20"/>
          <w:szCs w:val="20"/>
        </w:rPr>
        <w:t xml:space="preserve"> of 0.53 V, </w:t>
      </w:r>
      <w:r w:rsidRPr="004F28FC">
        <w:rPr>
          <w:rFonts w:ascii="Times New Roman" w:hAnsi="Times New Roman"/>
          <w:i/>
          <w:sz w:val="20"/>
          <w:szCs w:val="20"/>
        </w:rPr>
        <w:t>J</w:t>
      </w:r>
      <w:r w:rsidRPr="004F28FC">
        <w:rPr>
          <w:rFonts w:ascii="Times New Roman" w:hAnsi="Times New Roman"/>
          <w:sz w:val="20"/>
          <w:szCs w:val="20"/>
          <w:vertAlign w:val="subscript"/>
        </w:rPr>
        <w:t>sc</w:t>
      </w:r>
      <w:r w:rsidRPr="004F28FC">
        <w:rPr>
          <w:rFonts w:ascii="Times New Roman" w:hAnsi="Times New Roman"/>
          <w:sz w:val="20"/>
          <w:szCs w:val="20"/>
        </w:rPr>
        <w:t xml:space="preserve"> of 0.4 mA/cm</w:t>
      </w:r>
      <w:r w:rsidRPr="004F28FC">
        <w:rPr>
          <w:rFonts w:ascii="Times New Roman" w:hAnsi="Times New Roman"/>
          <w:sz w:val="20"/>
          <w:szCs w:val="20"/>
          <w:vertAlign w:val="superscript"/>
        </w:rPr>
        <w:t>2</w:t>
      </w:r>
      <w:r w:rsidRPr="004F28FC">
        <w:rPr>
          <w:rFonts w:ascii="Times New Roman" w:hAnsi="Times New Roman"/>
          <w:sz w:val="20"/>
          <w:szCs w:val="20"/>
        </w:rPr>
        <w:t xml:space="preserve">, and </w:t>
      </w:r>
      <w:r w:rsidRPr="004F28FC">
        <w:rPr>
          <w:rFonts w:ascii="Times New Roman" w:hAnsi="Times New Roman"/>
          <w:i/>
          <w:sz w:val="20"/>
          <w:szCs w:val="20"/>
        </w:rPr>
        <w:t>ff</w:t>
      </w:r>
      <w:r w:rsidRPr="004F28FC">
        <w:rPr>
          <w:rFonts w:ascii="Times New Roman" w:hAnsi="Times New Roman"/>
          <w:sz w:val="20"/>
          <w:szCs w:val="20"/>
        </w:rPr>
        <w:t xml:space="preserve"> of 0.76. Meanwhile, rengas has conversion efficiency (</w:t>
      </w:r>
      <w:r w:rsidRPr="004F28FC">
        <w:rPr>
          <w:rFonts w:ascii="Times New Roman" w:hAnsi="Times New Roman"/>
          <w:i/>
          <w:sz w:val="20"/>
          <w:szCs w:val="20"/>
        </w:rPr>
        <w:t>ŋ</w:t>
      </w:r>
      <w:r w:rsidRPr="004F28FC">
        <w:rPr>
          <w:rFonts w:ascii="Times New Roman" w:hAnsi="Times New Roman"/>
          <w:sz w:val="20"/>
          <w:szCs w:val="20"/>
        </w:rPr>
        <w:t xml:space="preserve">) of 0.11%, </w:t>
      </w:r>
      <w:r w:rsidRPr="004F28FC">
        <w:rPr>
          <w:rFonts w:ascii="Times New Roman" w:hAnsi="Times New Roman"/>
          <w:i/>
          <w:sz w:val="20"/>
          <w:szCs w:val="20"/>
        </w:rPr>
        <w:t>V</w:t>
      </w:r>
      <w:r w:rsidRPr="004F28FC">
        <w:rPr>
          <w:rFonts w:ascii="Times New Roman" w:hAnsi="Times New Roman"/>
          <w:sz w:val="20"/>
          <w:szCs w:val="20"/>
          <w:vertAlign w:val="subscript"/>
        </w:rPr>
        <w:t>oc</w:t>
      </w:r>
      <w:r w:rsidRPr="004F28FC">
        <w:rPr>
          <w:rFonts w:ascii="Times New Roman" w:hAnsi="Times New Roman"/>
          <w:sz w:val="20"/>
          <w:szCs w:val="20"/>
        </w:rPr>
        <w:t xml:space="preserve"> of 0.5 V, </w:t>
      </w:r>
      <w:r w:rsidRPr="004F28FC">
        <w:rPr>
          <w:rFonts w:ascii="Times New Roman" w:hAnsi="Times New Roman"/>
          <w:i/>
          <w:sz w:val="20"/>
          <w:szCs w:val="20"/>
        </w:rPr>
        <w:t>J</w:t>
      </w:r>
      <w:r w:rsidRPr="004F28FC">
        <w:rPr>
          <w:rFonts w:ascii="Times New Roman" w:hAnsi="Times New Roman"/>
          <w:sz w:val="20"/>
          <w:szCs w:val="20"/>
          <w:vertAlign w:val="subscript"/>
        </w:rPr>
        <w:t>sc</w:t>
      </w:r>
      <w:r w:rsidRPr="004F28FC">
        <w:rPr>
          <w:rFonts w:ascii="Times New Roman" w:hAnsi="Times New Roman"/>
          <w:sz w:val="20"/>
          <w:szCs w:val="20"/>
        </w:rPr>
        <w:t xml:space="preserve"> of 0.3 mA/cm</w:t>
      </w:r>
      <w:r w:rsidRPr="004F28FC">
        <w:rPr>
          <w:rFonts w:ascii="Times New Roman" w:hAnsi="Times New Roman"/>
          <w:sz w:val="20"/>
          <w:szCs w:val="20"/>
          <w:vertAlign w:val="superscript"/>
        </w:rPr>
        <w:t>2</w:t>
      </w:r>
      <w:r w:rsidRPr="004F28FC">
        <w:rPr>
          <w:rFonts w:ascii="Times New Roman" w:hAnsi="Times New Roman"/>
          <w:sz w:val="20"/>
          <w:szCs w:val="20"/>
        </w:rPr>
        <w:t xml:space="preserve">, and </w:t>
      </w:r>
      <w:r w:rsidRPr="004F28FC">
        <w:rPr>
          <w:rFonts w:ascii="Times New Roman" w:hAnsi="Times New Roman"/>
          <w:i/>
          <w:sz w:val="20"/>
          <w:szCs w:val="20"/>
        </w:rPr>
        <w:t>ff</w:t>
      </w:r>
      <w:r w:rsidRPr="004F28FC">
        <w:rPr>
          <w:rFonts w:ascii="Times New Roman" w:hAnsi="Times New Roman"/>
          <w:sz w:val="20"/>
          <w:szCs w:val="20"/>
        </w:rPr>
        <w:t xml:space="preserve"> of 0.73. Based on the obtained data, the </w:t>
      </w:r>
      <w:r w:rsidRPr="004F28FC">
        <w:rPr>
          <w:rFonts w:ascii="Times New Roman" w:hAnsi="Times New Roman"/>
          <w:i/>
          <w:sz w:val="20"/>
          <w:szCs w:val="20"/>
        </w:rPr>
        <w:t>J</w:t>
      </w:r>
      <w:r w:rsidRPr="004F28FC">
        <w:rPr>
          <w:rFonts w:ascii="Times New Roman" w:hAnsi="Times New Roman"/>
          <w:sz w:val="20"/>
          <w:szCs w:val="20"/>
          <w:vertAlign w:val="subscript"/>
        </w:rPr>
        <w:t xml:space="preserve">sc </w:t>
      </w:r>
      <w:r w:rsidRPr="004F28FC">
        <w:rPr>
          <w:rFonts w:ascii="Times New Roman" w:hAnsi="Times New Roman"/>
          <w:sz w:val="20"/>
          <w:szCs w:val="20"/>
        </w:rPr>
        <w:t>value is directly proportional to conversion efficiency (</w:t>
      </w:r>
      <w:r w:rsidRPr="004F28FC">
        <w:rPr>
          <w:rFonts w:ascii="Times New Roman" w:hAnsi="Times New Roman"/>
          <w:i/>
          <w:sz w:val="20"/>
          <w:szCs w:val="20"/>
        </w:rPr>
        <w:t>ŋ</w:t>
      </w:r>
      <w:r w:rsidRPr="004F28FC">
        <w:rPr>
          <w:rFonts w:ascii="Times New Roman" w:hAnsi="Times New Roman"/>
          <w:sz w:val="20"/>
          <w:szCs w:val="20"/>
        </w:rPr>
        <w:t xml:space="preserve">). Ooyama et al. [26] reported that the </w:t>
      </w:r>
      <w:r w:rsidRPr="004F28FC">
        <w:rPr>
          <w:rFonts w:ascii="Times New Roman" w:hAnsi="Times New Roman"/>
          <w:i/>
          <w:sz w:val="20"/>
          <w:szCs w:val="20"/>
        </w:rPr>
        <w:t>J</w:t>
      </w:r>
      <w:r w:rsidRPr="004F28FC">
        <w:rPr>
          <w:rFonts w:ascii="Times New Roman" w:hAnsi="Times New Roman"/>
          <w:sz w:val="20"/>
          <w:szCs w:val="20"/>
          <w:vertAlign w:val="subscript"/>
        </w:rPr>
        <w:t xml:space="preserve">sc </w:t>
      </w:r>
      <w:r w:rsidRPr="004F28FC">
        <w:rPr>
          <w:rFonts w:ascii="Times New Roman" w:hAnsi="Times New Roman"/>
          <w:sz w:val="20"/>
          <w:szCs w:val="20"/>
        </w:rPr>
        <w:t>value is dependent on the interaction between TiO</w:t>
      </w:r>
      <w:r w:rsidRPr="004F28FC">
        <w:rPr>
          <w:rFonts w:ascii="Times New Roman" w:hAnsi="Times New Roman"/>
          <w:sz w:val="20"/>
          <w:szCs w:val="20"/>
          <w:vertAlign w:val="subscript"/>
        </w:rPr>
        <w:t>2</w:t>
      </w:r>
      <w:r w:rsidRPr="004F28FC">
        <w:rPr>
          <w:rFonts w:ascii="Times New Roman" w:hAnsi="Times New Roman"/>
          <w:sz w:val="20"/>
          <w:szCs w:val="20"/>
        </w:rPr>
        <w:t xml:space="preserve"> and the dye sensitizer. A high </w:t>
      </w:r>
      <w:r w:rsidRPr="004F28FC">
        <w:rPr>
          <w:rFonts w:ascii="Times New Roman" w:hAnsi="Times New Roman"/>
          <w:i/>
          <w:sz w:val="20"/>
          <w:szCs w:val="20"/>
        </w:rPr>
        <w:t>J</w:t>
      </w:r>
      <w:r w:rsidRPr="004F28FC">
        <w:rPr>
          <w:rFonts w:ascii="Times New Roman" w:hAnsi="Times New Roman"/>
          <w:sz w:val="20"/>
          <w:szCs w:val="20"/>
          <w:vertAlign w:val="subscript"/>
        </w:rPr>
        <w:t xml:space="preserve">sc </w:t>
      </w:r>
      <w:r w:rsidRPr="004F28FC">
        <w:rPr>
          <w:rFonts w:ascii="Times New Roman" w:hAnsi="Times New Roman"/>
          <w:sz w:val="20"/>
          <w:szCs w:val="20"/>
        </w:rPr>
        <w:t xml:space="preserve">value directly indicates strong light-absorption capability and high electron-injection efficiency for a photoexcited dye. Hence, a high </w:t>
      </w:r>
      <w:r w:rsidRPr="004F28FC">
        <w:rPr>
          <w:rFonts w:ascii="Times New Roman" w:hAnsi="Times New Roman"/>
          <w:i/>
          <w:sz w:val="20"/>
          <w:szCs w:val="20"/>
        </w:rPr>
        <w:t>J</w:t>
      </w:r>
      <w:r w:rsidRPr="004F28FC">
        <w:rPr>
          <w:rFonts w:ascii="Times New Roman" w:hAnsi="Times New Roman"/>
          <w:sz w:val="20"/>
          <w:szCs w:val="20"/>
          <w:vertAlign w:val="subscript"/>
        </w:rPr>
        <w:t xml:space="preserve">sc </w:t>
      </w:r>
      <w:r w:rsidRPr="004F28FC">
        <w:rPr>
          <w:rFonts w:ascii="Times New Roman" w:hAnsi="Times New Roman"/>
          <w:sz w:val="20"/>
          <w:szCs w:val="20"/>
        </w:rPr>
        <w:t>value will contribute to increasing conversion efficiency (</w:t>
      </w:r>
      <w:r w:rsidRPr="004F28FC">
        <w:rPr>
          <w:rFonts w:ascii="Times New Roman" w:hAnsi="Times New Roman"/>
          <w:i/>
          <w:sz w:val="20"/>
          <w:szCs w:val="20"/>
        </w:rPr>
        <w:t>ŋ</w:t>
      </w:r>
      <w:r w:rsidRPr="004F28FC">
        <w:rPr>
          <w:rFonts w:ascii="Times New Roman" w:hAnsi="Times New Roman"/>
          <w:sz w:val="20"/>
          <w:szCs w:val="20"/>
        </w:rPr>
        <w:t>).</w:t>
      </w:r>
    </w:p>
    <w:p w:rsidR="009F04F4" w:rsidRPr="004F28FC" w:rsidRDefault="009F04F4" w:rsidP="009F04F4">
      <w:pPr>
        <w:spacing w:after="120" w:line="240" w:lineRule="auto"/>
        <w:jc w:val="both"/>
        <w:rPr>
          <w:rFonts w:ascii="Times New Roman" w:hAnsi="Times New Roman"/>
          <w:sz w:val="20"/>
          <w:szCs w:val="20"/>
        </w:rPr>
      </w:pPr>
    </w:p>
    <w:p w:rsidR="004F28FC" w:rsidRPr="004F28FC" w:rsidRDefault="009F04F4" w:rsidP="009F04F4">
      <w:pPr>
        <w:spacing w:after="120" w:line="240" w:lineRule="auto"/>
        <w:jc w:val="center"/>
        <w:rPr>
          <w:rFonts w:ascii="Times New Roman" w:hAnsi="Times New Roman"/>
          <w:sz w:val="20"/>
          <w:szCs w:val="20"/>
        </w:rPr>
      </w:pPr>
      <w:r w:rsidRPr="004F28FC">
        <w:rPr>
          <w:rFonts w:ascii="Times New Roman" w:hAnsi="Times New Roman"/>
          <w:noProof/>
          <w:sz w:val="20"/>
          <w:szCs w:val="20"/>
          <w:lang w:bidi="ar-SA"/>
        </w:rPr>
        <w:lastRenderedPageBreak/>
        <w:drawing>
          <wp:inline distT="0" distB="0" distL="0" distR="0" wp14:anchorId="2947DA1A" wp14:editId="4486CFDE">
            <wp:extent cx="3961263" cy="2468880"/>
            <wp:effectExtent l="19050" t="19050" r="2032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1263" cy="2468880"/>
                    </a:xfrm>
                    <a:prstGeom prst="rect">
                      <a:avLst/>
                    </a:prstGeom>
                    <a:noFill/>
                    <a:ln>
                      <a:solidFill>
                        <a:schemeClr val="tx1"/>
                      </a:solidFill>
                    </a:ln>
                  </pic:spPr>
                </pic:pic>
              </a:graphicData>
            </a:graphic>
          </wp:inline>
        </w:drawing>
      </w:r>
    </w:p>
    <w:p w:rsidR="009F04F4" w:rsidRDefault="004F28FC" w:rsidP="00D245BC">
      <w:pPr>
        <w:spacing w:after="0" w:line="240" w:lineRule="auto"/>
        <w:ind w:left="851" w:hanging="851"/>
        <w:jc w:val="both"/>
        <w:rPr>
          <w:rFonts w:ascii="Times New Roman" w:hAnsi="Times New Roman"/>
          <w:sz w:val="20"/>
          <w:szCs w:val="20"/>
        </w:rPr>
      </w:pPr>
      <w:r w:rsidRPr="004F28FC">
        <w:rPr>
          <w:rFonts w:ascii="Times New Roman" w:hAnsi="Times New Roman"/>
          <w:bCs/>
          <w:sz w:val="20"/>
          <w:szCs w:val="20"/>
        </w:rPr>
        <w:t xml:space="preserve">Figure 8. </w:t>
      </w:r>
      <w:r w:rsidR="009F04F4">
        <w:rPr>
          <w:rFonts w:ascii="Times New Roman" w:hAnsi="Times New Roman"/>
          <w:bCs/>
          <w:sz w:val="20"/>
          <w:szCs w:val="20"/>
        </w:rPr>
        <w:tab/>
      </w:r>
      <w:r w:rsidRPr="004F28FC">
        <w:rPr>
          <w:rFonts w:ascii="Times New Roman" w:hAnsi="Times New Roman"/>
          <w:sz w:val="20"/>
          <w:szCs w:val="20"/>
        </w:rPr>
        <w:t xml:space="preserve">Comparison of the </w:t>
      </w:r>
      <w:r w:rsidRPr="004F28FC">
        <w:rPr>
          <w:rFonts w:ascii="Times New Roman" w:hAnsi="Times New Roman"/>
          <w:i/>
          <w:sz w:val="20"/>
          <w:szCs w:val="20"/>
        </w:rPr>
        <w:t>I–V</w:t>
      </w:r>
      <w:r w:rsidRPr="004F28FC">
        <w:rPr>
          <w:rFonts w:ascii="Times New Roman" w:hAnsi="Times New Roman"/>
          <w:sz w:val="20"/>
          <w:szCs w:val="20"/>
        </w:rPr>
        <w:t xml:space="preserve"> characteristics of the individual and mixed sensitizers (M stands for mengkulang; N denotes N719; and R indicates rengas)</w:t>
      </w:r>
    </w:p>
    <w:p w:rsidR="009F04F4" w:rsidRPr="004F28FC" w:rsidRDefault="009F04F4" w:rsidP="009F04F4">
      <w:pPr>
        <w:spacing w:after="120" w:line="240" w:lineRule="auto"/>
        <w:ind w:left="850" w:hanging="850"/>
        <w:jc w:val="both"/>
        <w:rPr>
          <w:rFonts w:ascii="Times New Roman" w:hAnsi="Times New Roman"/>
          <w:sz w:val="20"/>
          <w:szCs w:val="20"/>
        </w:rPr>
      </w:pPr>
    </w:p>
    <w:p w:rsidR="004F28FC" w:rsidRPr="004F28FC" w:rsidRDefault="004F28FC" w:rsidP="009F04F4">
      <w:pPr>
        <w:spacing w:after="0" w:line="240" w:lineRule="auto"/>
        <w:jc w:val="center"/>
        <w:rPr>
          <w:rFonts w:ascii="Times New Roman" w:hAnsi="Times New Roman"/>
          <w:sz w:val="20"/>
          <w:szCs w:val="20"/>
        </w:rPr>
      </w:pPr>
      <w:r w:rsidRPr="004F28FC">
        <w:rPr>
          <w:rFonts w:ascii="Times New Roman" w:hAnsi="Times New Roman"/>
          <w:bCs/>
          <w:sz w:val="20"/>
          <w:szCs w:val="20"/>
        </w:rPr>
        <w:t xml:space="preserve">Table 3. </w:t>
      </w:r>
      <w:r w:rsidR="009F04F4">
        <w:rPr>
          <w:rFonts w:ascii="Times New Roman" w:hAnsi="Times New Roman"/>
          <w:bCs/>
          <w:sz w:val="20"/>
          <w:szCs w:val="20"/>
        </w:rPr>
        <w:t xml:space="preserve"> </w:t>
      </w:r>
      <w:r w:rsidRPr="004F28FC">
        <w:rPr>
          <w:rFonts w:ascii="Times New Roman" w:hAnsi="Times New Roman"/>
          <w:bCs/>
          <w:i/>
          <w:sz w:val="20"/>
          <w:szCs w:val="20"/>
        </w:rPr>
        <w:t>I–V</w:t>
      </w:r>
      <w:r w:rsidRPr="004F28FC">
        <w:rPr>
          <w:rFonts w:ascii="Times New Roman" w:hAnsi="Times New Roman"/>
          <w:bCs/>
          <w:sz w:val="20"/>
          <w:szCs w:val="20"/>
        </w:rPr>
        <w:t xml:space="preserve"> characteristics and power conversion efficiencies (</w:t>
      </w:r>
      <w:r w:rsidRPr="004F28FC">
        <w:rPr>
          <w:rFonts w:ascii="Times New Roman" w:hAnsi="Times New Roman"/>
          <w:bCs/>
          <w:i/>
          <w:sz w:val="20"/>
          <w:szCs w:val="20"/>
        </w:rPr>
        <w:t>ŋ</w:t>
      </w:r>
      <w:r w:rsidRPr="004F28FC">
        <w:rPr>
          <w:rFonts w:ascii="Times New Roman" w:hAnsi="Times New Roman"/>
          <w:bCs/>
          <w:sz w:val="20"/>
          <w:szCs w:val="20"/>
        </w:rPr>
        <w:t>) of DSSCs with different type of sensitizers</w:t>
      </w:r>
    </w:p>
    <w:tbl>
      <w:tblPr>
        <w:tblStyle w:val="LightShading1"/>
        <w:tblpPr w:leftFromText="180" w:rightFromText="180" w:vertAnchor="text" w:horzAnchor="margin" w:tblpXSpec="center" w:tblpY="152"/>
        <w:tblW w:w="0" w:type="auto"/>
        <w:tblLook w:val="04A0" w:firstRow="1" w:lastRow="0" w:firstColumn="1" w:lastColumn="0" w:noHBand="0" w:noVBand="1"/>
      </w:tblPr>
      <w:tblGrid>
        <w:gridCol w:w="2699"/>
        <w:gridCol w:w="566"/>
        <w:gridCol w:w="1074"/>
        <w:gridCol w:w="666"/>
        <w:gridCol w:w="1115"/>
      </w:tblGrid>
      <w:tr w:rsidR="009F04F4" w:rsidRPr="004F28FC" w:rsidTr="009F04F4">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bottom w:val="single" w:sz="4" w:space="0" w:color="auto"/>
            </w:tcBorders>
            <w:shd w:val="clear" w:color="auto" w:fill="auto"/>
            <w:vAlign w:val="center"/>
          </w:tcPr>
          <w:p w:rsidR="009F04F4" w:rsidRPr="004F28FC" w:rsidRDefault="009F04F4" w:rsidP="009F04F4">
            <w:pPr>
              <w:spacing w:after="0" w:line="240" w:lineRule="auto"/>
              <w:jc w:val="both"/>
              <w:rPr>
                <w:rFonts w:ascii="Times New Roman" w:hAnsi="Times New Roman" w:cs="Times New Roman"/>
                <w:color w:val="auto"/>
                <w:sz w:val="20"/>
                <w:szCs w:val="20"/>
              </w:rPr>
            </w:pPr>
            <w:r w:rsidRPr="004F28FC">
              <w:rPr>
                <w:rFonts w:ascii="Times New Roman" w:hAnsi="Times New Roman" w:cs="Times New Roman"/>
                <w:color w:val="auto"/>
                <w:sz w:val="20"/>
                <w:szCs w:val="20"/>
              </w:rPr>
              <w:t>Sensitizer</w:t>
            </w:r>
          </w:p>
        </w:tc>
        <w:tc>
          <w:tcPr>
            <w:tcW w:w="0" w:type="auto"/>
            <w:tcBorders>
              <w:top w:val="single" w:sz="4" w:space="0" w:color="auto"/>
              <w:bottom w:val="single" w:sz="4" w:space="0" w:color="auto"/>
            </w:tcBorders>
            <w:shd w:val="clear" w:color="auto" w:fill="auto"/>
            <w:vAlign w:val="center"/>
          </w:tcPr>
          <w:p w:rsidR="009F04F4" w:rsidRPr="004F28FC" w:rsidRDefault="009F04F4" w:rsidP="009F04F4">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4F28FC">
              <w:rPr>
                <w:rFonts w:ascii="Times New Roman" w:hAnsi="Times New Roman" w:cs="Times New Roman"/>
                <w:i/>
                <w:color w:val="auto"/>
                <w:sz w:val="20"/>
                <w:szCs w:val="20"/>
              </w:rPr>
              <w:t>V</w:t>
            </w:r>
            <w:r w:rsidRPr="004F28FC">
              <w:rPr>
                <w:rFonts w:ascii="Times New Roman" w:hAnsi="Times New Roman" w:cs="Times New Roman"/>
                <w:color w:val="auto"/>
                <w:sz w:val="20"/>
                <w:szCs w:val="20"/>
                <w:vertAlign w:val="subscript"/>
              </w:rPr>
              <w:t>oc</w:t>
            </w:r>
          </w:p>
          <w:p w:rsidR="009F04F4" w:rsidRPr="004F28FC" w:rsidRDefault="009F04F4" w:rsidP="009F04F4">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(V)</w:t>
            </w:r>
          </w:p>
        </w:tc>
        <w:tc>
          <w:tcPr>
            <w:tcW w:w="0" w:type="auto"/>
            <w:tcBorders>
              <w:top w:val="single" w:sz="4" w:space="0" w:color="auto"/>
              <w:bottom w:val="single" w:sz="4" w:space="0" w:color="auto"/>
            </w:tcBorders>
            <w:shd w:val="clear" w:color="auto" w:fill="auto"/>
            <w:vAlign w:val="center"/>
          </w:tcPr>
          <w:p w:rsidR="009F04F4" w:rsidRPr="004F28FC" w:rsidRDefault="009F04F4" w:rsidP="009F04F4">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4F28FC">
              <w:rPr>
                <w:rFonts w:ascii="Times New Roman" w:hAnsi="Times New Roman" w:cs="Times New Roman"/>
                <w:i/>
                <w:color w:val="auto"/>
                <w:sz w:val="20"/>
                <w:szCs w:val="20"/>
              </w:rPr>
              <w:t>J</w:t>
            </w:r>
            <w:r w:rsidRPr="004F28FC">
              <w:rPr>
                <w:rFonts w:ascii="Times New Roman" w:hAnsi="Times New Roman" w:cs="Times New Roman"/>
                <w:color w:val="auto"/>
                <w:sz w:val="20"/>
                <w:szCs w:val="20"/>
                <w:vertAlign w:val="subscript"/>
              </w:rPr>
              <w:t>sc</w:t>
            </w:r>
          </w:p>
          <w:p w:rsidR="009F04F4" w:rsidRPr="004F28FC" w:rsidRDefault="009F04F4" w:rsidP="009F04F4">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(mA cm</w:t>
            </w:r>
            <w:r w:rsidRPr="004F28FC">
              <w:rPr>
                <w:rFonts w:ascii="Times New Roman" w:hAnsi="Times New Roman" w:cs="Times New Roman"/>
                <w:color w:val="auto"/>
                <w:sz w:val="20"/>
                <w:szCs w:val="20"/>
                <w:vertAlign w:val="superscript"/>
              </w:rPr>
              <w:t>-2</w:t>
            </w:r>
            <w:r w:rsidRPr="004F28FC">
              <w:rPr>
                <w:rFonts w:ascii="Times New Roman" w:hAnsi="Times New Roman" w:cs="Times New Roman"/>
                <w:color w:val="auto"/>
                <w:sz w:val="20"/>
                <w:szCs w:val="20"/>
              </w:rPr>
              <w:t>)</w:t>
            </w:r>
          </w:p>
        </w:tc>
        <w:tc>
          <w:tcPr>
            <w:tcW w:w="0" w:type="auto"/>
            <w:tcBorders>
              <w:top w:val="single" w:sz="4" w:space="0" w:color="auto"/>
              <w:bottom w:val="single" w:sz="4" w:space="0" w:color="auto"/>
            </w:tcBorders>
            <w:shd w:val="clear" w:color="auto" w:fill="auto"/>
            <w:vAlign w:val="center"/>
          </w:tcPr>
          <w:p w:rsidR="009F04F4" w:rsidRPr="004F28FC" w:rsidRDefault="009F04F4" w:rsidP="009F04F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20"/>
                <w:szCs w:val="20"/>
              </w:rPr>
            </w:pPr>
            <w:r w:rsidRPr="004F28FC">
              <w:rPr>
                <w:rFonts w:ascii="Times New Roman" w:hAnsi="Times New Roman" w:cs="Times New Roman"/>
                <w:i/>
                <w:color w:val="auto"/>
                <w:sz w:val="20"/>
                <w:szCs w:val="20"/>
              </w:rPr>
              <w:t>ff</w:t>
            </w:r>
          </w:p>
        </w:tc>
        <w:tc>
          <w:tcPr>
            <w:tcW w:w="1115" w:type="dxa"/>
            <w:tcBorders>
              <w:top w:val="single" w:sz="4" w:space="0" w:color="auto"/>
              <w:bottom w:val="single" w:sz="4" w:space="0" w:color="auto"/>
            </w:tcBorders>
            <w:shd w:val="clear" w:color="auto" w:fill="auto"/>
            <w:vAlign w:val="center"/>
          </w:tcPr>
          <w:p w:rsidR="009F04F4" w:rsidRPr="004F28FC" w:rsidRDefault="009F04F4" w:rsidP="009F04F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i/>
                <w:color w:val="auto"/>
                <w:sz w:val="20"/>
                <w:szCs w:val="20"/>
              </w:rPr>
              <w:t>η</w:t>
            </w:r>
            <w:r w:rsidRPr="004F28FC">
              <w:rPr>
                <w:rFonts w:ascii="Times New Roman" w:hAnsi="Times New Roman" w:cs="Times New Roman"/>
                <w:color w:val="auto"/>
                <w:sz w:val="20"/>
                <w:szCs w:val="20"/>
              </w:rPr>
              <w:t>/%</w:t>
            </w:r>
          </w:p>
        </w:tc>
      </w:tr>
      <w:tr w:rsidR="009F04F4" w:rsidRPr="004F28FC" w:rsidTr="009F04F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tcBorders>
            <w:shd w:val="clear" w:color="auto" w:fill="auto"/>
            <w:vAlign w:val="center"/>
          </w:tcPr>
          <w:p w:rsidR="009F04F4" w:rsidRPr="004F28FC" w:rsidRDefault="009F04F4" w:rsidP="009F04F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Mengkulang (M)</w:t>
            </w:r>
          </w:p>
        </w:tc>
        <w:tc>
          <w:tcPr>
            <w:tcW w:w="0" w:type="auto"/>
            <w:tcBorders>
              <w:top w:val="single" w:sz="4" w:space="0" w:color="auto"/>
            </w:tcBorders>
            <w:shd w:val="clear" w:color="auto" w:fill="auto"/>
            <w:vAlign w:val="center"/>
          </w:tcPr>
          <w:p w:rsidR="009F04F4" w:rsidRPr="004F28FC" w:rsidRDefault="009F04F4" w:rsidP="009F04F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0.53</w:t>
            </w:r>
          </w:p>
        </w:tc>
        <w:tc>
          <w:tcPr>
            <w:tcW w:w="0" w:type="auto"/>
            <w:tcBorders>
              <w:top w:val="single" w:sz="4" w:space="0" w:color="auto"/>
            </w:tcBorders>
            <w:shd w:val="clear" w:color="auto" w:fill="auto"/>
            <w:vAlign w:val="center"/>
          </w:tcPr>
          <w:p w:rsidR="009F04F4" w:rsidRPr="004F28FC" w:rsidRDefault="009F04F4" w:rsidP="009F04F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0.40</w:t>
            </w:r>
          </w:p>
        </w:tc>
        <w:tc>
          <w:tcPr>
            <w:tcW w:w="0" w:type="auto"/>
            <w:tcBorders>
              <w:top w:val="single" w:sz="4" w:space="0" w:color="auto"/>
            </w:tcBorders>
            <w:shd w:val="clear" w:color="auto" w:fill="auto"/>
            <w:vAlign w:val="center"/>
          </w:tcPr>
          <w:p w:rsidR="009F04F4" w:rsidRPr="004F28FC" w:rsidRDefault="009F04F4" w:rsidP="009F04F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75.98</w:t>
            </w:r>
          </w:p>
        </w:tc>
        <w:tc>
          <w:tcPr>
            <w:tcW w:w="1115" w:type="dxa"/>
            <w:tcBorders>
              <w:top w:val="single" w:sz="4" w:space="0" w:color="auto"/>
            </w:tcBorders>
            <w:shd w:val="clear" w:color="auto" w:fill="auto"/>
            <w:vAlign w:val="center"/>
          </w:tcPr>
          <w:p w:rsidR="009F04F4" w:rsidRPr="004F28FC" w:rsidRDefault="009F04F4" w:rsidP="009F04F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0.16</w:t>
            </w:r>
          </w:p>
        </w:tc>
      </w:tr>
      <w:tr w:rsidR="009F04F4" w:rsidRPr="004F28FC" w:rsidTr="009F04F4">
        <w:trPr>
          <w:trHeight w:val="68"/>
        </w:trPr>
        <w:tc>
          <w:tcPr>
            <w:cnfStyle w:val="001000000000" w:firstRow="0" w:lastRow="0" w:firstColumn="1" w:lastColumn="0" w:oddVBand="0" w:evenVBand="0" w:oddHBand="0" w:evenHBand="0" w:firstRowFirstColumn="0" w:firstRowLastColumn="0" w:lastRowFirstColumn="0" w:lastRowLastColumn="0"/>
            <w:tcW w:w="2699" w:type="dxa"/>
            <w:shd w:val="clear" w:color="auto" w:fill="auto"/>
            <w:vAlign w:val="center"/>
          </w:tcPr>
          <w:p w:rsidR="009F04F4" w:rsidRPr="004F28FC" w:rsidRDefault="009F04F4" w:rsidP="009F04F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Rengas (R)</w:t>
            </w:r>
          </w:p>
        </w:tc>
        <w:tc>
          <w:tcPr>
            <w:tcW w:w="0" w:type="auto"/>
            <w:shd w:val="clear" w:color="auto" w:fill="auto"/>
            <w:vAlign w:val="center"/>
          </w:tcPr>
          <w:p w:rsidR="009F04F4" w:rsidRPr="004F28FC" w:rsidRDefault="009F04F4" w:rsidP="009F04F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0.50</w:t>
            </w:r>
          </w:p>
        </w:tc>
        <w:tc>
          <w:tcPr>
            <w:tcW w:w="0" w:type="auto"/>
            <w:shd w:val="clear" w:color="auto" w:fill="auto"/>
            <w:vAlign w:val="center"/>
          </w:tcPr>
          <w:p w:rsidR="009F04F4" w:rsidRPr="004F28FC" w:rsidRDefault="009F04F4" w:rsidP="009F04F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0.30</w:t>
            </w:r>
          </w:p>
        </w:tc>
        <w:tc>
          <w:tcPr>
            <w:tcW w:w="0" w:type="auto"/>
            <w:shd w:val="clear" w:color="auto" w:fill="auto"/>
            <w:vAlign w:val="center"/>
          </w:tcPr>
          <w:p w:rsidR="009F04F4" w:rsidRPr="004F28FC" w:rsidRDefault="009F04F4" w:rsidP="009F04F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72.88</w:t>
            </w:r>
          </w:p>
        </w:tc>
        <w:tc>
          <w:tcPr>
            <w:tcW w:w="1115" w:type="dxa"/>
            <w:shd w:val="clear" w:color="auto" w:fill="auto"/>
            <w:vAlign w:val="center"/>
          </w:tcPr>
          <w:p w:rsidR="009F04F4" w:rsidRPr="004F28FC" w:rsidRDefault="009F04F4" w:rsidP="009F04F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0.11</w:t>
            </w:r>
          </w:p>
        </w:tc>
      </w:tr>
      <w:tr w:rsidR="009F04F4" w:rsidRPr="004F28FC" w:rsidTr="009F04F4">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699" w:type="dxa"/>
            <w:shd w:val="clear" w:color="auto" w:fill="auto"/>
            <w:vAlign w:val="center"/>
          </w:tcPr>
          <w:p w:rsidR="009F04F4" w:rsidRPr="004F28FC" w:rsidRDefault="009F04F4" w:rsidP="009F04F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M:N (80%:20%)</w:t>
            </w:r>
          </w:p>
        </w:tc>
        <w:tc>
          <w:tcPr>
            <w:tcW w:w="0" w:type="auto"/>
            <w:shd w:val="clear" w:color="auto" w:fill="auto"/>
            <w:vAlign w:val="center"/>
          </w:tcPr>
          <w:p w:rsidR="009F04F4" w:rsidRPr="004F28FC" w:rsidRDefault="009F04F4" w:rsidP="009F04F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0.63</w:t>
            </w:r>
          </w:p>
        </w:tc>
        <w:tc>
          <w:tcPr>
            <w:tcW w:w="0" w:type="auto"/>
            <w:shd w:val="clear" w:color="auto" w:fill="auto"/>
            <w:vAlign w:val="center"/>
          </w:tcPr>
          <w:p w:rsidR="009F04F4" w:rsidRPr="004F28FC" w:rsidRDefault="009F04F4" w:rsidP="009F04F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2.10</w:t>
            </w:r>
          </w:p>
        </w:tc>
        <w:tc>
          <w:tcPr>
            <w:tcW w:w="0" w:type="auto"/>
            <w:shd w:val="clear" w:color="auto" w:fill="auto"/>
            <w:vAlign w:val="center"/>
          </w:tcPr>
          <w:p w:rsidR="009F04F4" w:rsidRPr="004F28FC" w:rsidRDefault="009F04F4" w:rsidP="009F04F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44.00</w:t>
            </w:r>
          </w:p>
        </w:tc>
        <w:tc>
          <w:tcPr>
            <w:tcW w:w="1115" w:type="dxa"/>
            <w:shd w:val="clear" w:color="auto" w:fill="auto"/>
            <w:vAlign w:val="center"/>
          </w:tcPr>
          <w:p w:rsidR="009F04F4" w:rsidRPr="004F28FC" w:rsidRDefault="009F04F4" w:rsidP="009F04F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0.58</w:t>
            </w:r>
          </w:p>
        </w:tc>
      </w:tr>
      <w:tr w:rsidR="009F04F4" w:rsidRPr="004F28FC" w:rsidTr="009F04F4">
        <w:trPr>
          <w:trHeight w:val="68"/>
        </w:trPr>
        <w:tc>
          <w:tcPr>
            <w:cnfStyle w:val="001000000000" w:firstRow="0" w:lastRow="0" w:firstColumn="1" w:lastColumn="0" w:oddVBand="0" w:evenVBand="0" w:oddHBand="0" w:evenHBand="0" w:firstRowFirstColumn="0" w:firstRowLastColumn="0" w:lastRowFirstColumn="0" w:lastRowLastColumn="0"/>
            <w:tcW w:w="2699" w:type="dxa"/>
            <w:shd w:val="clear" w:color="auto" w:fill="auto"/>
            <w:vAlign w:val="center"/>
          </w:tcPr>
          <w:p w:rsidR="009F04F4" w:rsidRPr="004F28FC" w:rsidRDefault="009F04F4" w:rsidP="009F04F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M:N (90%:10%)</w:t>
            </w:r>
          </w:p>
        </w:tc>
        <w:tc>
          <w:tcPr>
            <w:tcW w:w="0" w:type="auto"/>
            <w:shd w:val="clear" w:color="auto" w:fill="auto"/>
            <w:vAlign w:val="center"/>
          </w:tcPr>
          <w:p w:rsidR="009F04F4" w:rsidRPr="004F28FC" w:rsidRDefault="009F04F4" w:rsidP="009F04F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0.61</w:t>
            </w:r>
          </w:p>
        </w:tc>
        <w:tc>
          <w:tcPr>
            <w:tcW w:w="0" w:type="auto"/>
            <w:shd w:val="clear" w:color="auto" w:fill="auto"/>
            <w:vAlign w:val="center"/>
          </w:tcPr>
          <w:p w:rsidR="009F04F4" w:rsidRPr="004F28FC" w:rsidRDefault="009F04F4" w:rsidP="009F04F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1.70</w:t>
            </w:r>
          </w:p>
        </w:tc>
        <w:tc>
          <w:tcPr>
            <w:tcW w:w="0" w:type="auto"/>
            <w:shd w:val="clear" w:color="auto" w:fill="auto"/>
            <w:vAlign w:val="center"/>
          </w:tcPr>
          <w:p w:rsidR="009F04F4" w:rsidRPr="004F28FC" w:rsidRDefault="009F04F4" w:rsidP="009F04F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44.41</w:t>
            </w:r>
          </w:p>
        </w:tc>
        <w:tc>
          <w:tcPr>
            <w:tcW w:w="1115" w:type="dxa"/>
            <w:shd w:val="clear" w:color="auto" w:fill="auto"/>
            <w:vAlign w:val="center"/>
          </w:tcPr>
          <w:p w:rsidR="009F04F4" w:rsidRPr="004F28FC" w:rsidRDefault="009F04F4" w:rsidP="009F04F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0.46</w:t>
            </w:r>
          </w:p>
        </w:tc>
      </w:tr>
      <w:tr w:rsidR="009F04F4" w:rsidRPr="004F28FC" w:rsidTr="009F04F4">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699" w:type="dxa"/>
            <w:shd w:val="clear" w:color="auto" w:fill="auto"/>
            <w:vAlign w:val="center"/>
          </w:tcPr>
          <w:p w:rsidR="009F04F4" w:rsidRPr="004F28FC" w:rsidRDefault="009F04F4" w:rsidP="009F04F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M:R:N (40%:40%:20%)</w:t>
            </w:r>
          </w:p>
        </w:tc>
        <w:tc>
          <w:tcPr>
            <w:tcW w:w="0" w:type="auto"/>
            <w:shd w:val="clear" w:color="auto" w:fill="auto"/>
            <w:vAlign w:val="center"/>
          </w:tcPr>
          <w:p w:rsidR="009F04F4" w:rsidRPr="004F28FC" w:rsidRDefault="009F04F4" w:rsidP="009F04F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0.55</w:t>
            </w:r>
          </w:p>
        </w:tc>
        <w:tc>
          <w:tcPr>
            <w:tcW w:w="0" w:type="auto"/>
            <w:shd w:val="clear" w:color="auto" w:fill="auto"/>
            <w:vAlign w:val="center"/>
          </w:tcPr>
          <w:p w:rsidR="009F04F4" w:rsidRPr="004F28FC" w:rsidRDefault="009F04F4" w:rsidP="009F04F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1.60</w:t>
            </w:r>
          </w:p>
        </w:tc>
        <w:tc>
          <w:tcPr>
            <w:tcW w:w="0" w:type="auto"/>
            <w:shd w:val="clear" w:color="auto" w:fill="auto"/>
            <w:vAlign w:val="center"/>
          </w:tcPr>
          <w:p w:rsidR="009F04F4" w:rsidRPr="004F28FC" w:rsidRDefault="009F04F4" w:rsidP="009F04F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45.23</w:t>
            </w:r>
          </w:p>
        </w:tc>
        <w:tc>
          <w:tcPr>
            <w:tcW w:w="1115" w:type="dxa"/>
            <w:shd w:val="clear" w:color="auto" w:fill="auto"/>
            <w:vAlign w:val="center"/>
          </w:tcPr>
          <w:p w:rsidR="009F04F4" w:rsidRPr="004F28FC" w:rsidRDefault="009F04F4" w:rsidP="009F04F4">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0.39</w:t>
            </w:r>
          </w:p>
        </w:tc>
      </w:tr>
      <w:tr w:rsidR="009F04F4" w:rsidRPr="004F28FC" w:rsidTr="00262A39">
        <w:trPr>
          <w:trHeight w:val="68"/>
        </w:trPr>
        <w:tc>
          <w:tcPr>
            <w:cnfStyle w:val="001000000000" w:firstRow="0" w:lastRow="0" w:firstColumn="1" w:lastColumn="0" w:oddVBand="0" w:evenVBand="0" w:oddHBand="0" w:evenHBand="0" w:firstRowFirstColumn="0" w:firstRowLastColumn="0" w:lastRowFirstColumn="0" w:lastRowLastColumn="0"/>
            <w:tcW w:w="2699" w:type="dxa"/>
            <w:tcBorders>
              <w:bottom w:val="nil"/>
            </w:tcBorders>
            <w:shd w:val="clear" w:color="auto" w:fill="auto"/>
            <w:vAlign w:val="center"/>
          </w:tcPr>
          <w:p w:rsidR="009F04F4" w:rsidRPr="004F28FC" w:rsidRDefault="009F04F4" w:rsidP="009F04F4">
            <w:pPr>
              <w:spacing w:before="60" w:after="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R:N (80%:20%)</w:t>
            </w:r>
          </w:p>
        </w:tc>
        <w:tc>
          <w:tcPr>
            <w:tcW w:w="0" w:type="auto"/>
            <w:tcBorders>
              <w:bottom w:val="nil"/>
            </w:tcBorders>
            <w:shd w:val="clear" w:color="auto" w:fill="auto"/>
            <w:vAlign w:val="center"/>
          </w:tcPr>
          <w:p w:rsidR="009F04F4" w:rsidRPr="004F28FC" w:rsidRDefault="009F04F4" w:rsidP="009F04F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0.53</w:t>
            </w:r>
          </w:p>
        </w:tc>
        <w:tc>
          <w:tcPr>
            <w:tcW w:w="0" w:type="auto"/>
            <w:tcBorders>
              <w:bottom w:val="nil"/>
            </w:tcBorders>
            <w:shd w:val="clear" w:color="auto" w:fill="auto"/>
            <w:vAlign w:val="center"/>
          </w:tcPr>
          <w:p w:rsidR="009F04F4" w:rsidRPr="004F28FC" w:rsidRDefault="009F04F4" w:rsidP="009F04F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1.10</w:t>
            </w:r>
          </w:p>
        </w:tc>
        <w:tc>
          <w:tcPr>
            <w:tcW w:w="0" w:type="auto"/>
            <w:tcBorders>
              <w:bottom w:val="nil"/>
            </w:tcBorders>
            <w:shd w:val="clear" w:color="auto" w:fill="auto"/>
            <w:vAlign w:val="center"/>
          </w:tcPr>
          <w:p w:rsidR="009F04F4" w:rsidRPr="004F28FC" w:rsidRDefault="009F04F4" w:rsidP="009F04F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57.07</w:t>
            </w:r>
          </w:p>
        </w:tc>
        <w:tc>
          <w:tcPr>
            <w:tcW w:w="1115" w:type="dxa"/>
            <w:tcBorders>
              <w:bottom w:val="nil"/>
            </w:tcBorders>
            <w:shd w:val="clear" w:color="auto" w:fill="auto"/>
            <w:vAlign w:val="center"/>
          </w:tcPr>
          <w:p w:rsidR="009F04F4" w:rsidRPr="004F28FC" w:rsidRDefault="009F04F4" w:rsidP="009F04F4">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0.33</w:t>
            </w:r>
          </w:p>
        </w:tc>
      </w:tr>
      <w:tr w:rsidR="009F04F4" w:rsidRPr="004F28FC" w:rsidTr="00262A3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699" w:type="dxa"/>
            <w:tcBorders>
              <w:top w:val="nil"/>
              <w:bottom w:val="single" w:sz="4" w:space="0" w:color="auto"/>
            </w:tcBorders>
            <w:shd w:val="clear" w:color="auto" w:fill="auto"/>
            <w:vAlign w:val="center"/>
          </w:tcPr>
          <w:p w:rsidR="009F04F4" w:rsidRPr="004F28FC" w:rsidRDefault="009F04F4" w:rsidP="00262A39">
            <w:pPr>
              <w:spacing w:before="60" w:after="60" w:line="240" w:lineRule="auto"/>
              <w:jc w:val="both"/>
              <w:rPr>
                <w:rFonts w:ascii="Times New Roman" w:hAnsi="Times New Roman" w:cs="Times New Roman"/>
                <w:b w:val="0"/>
                <w:bCs w:val="0"/>
                <w:color w:val="auto"/>
                <w:sz w:val="20"/>
                <w:szCs w:val="20"/>
              </w:rPr>
            </w:pPr>
            <w:r w:rsidRPr="004F28FC">
              <w:rPr>
                <w:rFonts w:ascii="Times New Roman" w:hAnsi="Times New Roman" w:cs="Times New Roman"/>
                <w:b w:val="0"/>
                <w:bCs w:val="0"/>
                <w:color w:val="auto"/>
                <w:sz w:val="20"/>
                <w:szCs w:val="20"/>
              </w:rPr>
              <w:t>R:N (90%:10%)</w:t>
            </w:r>
          </w:p>
        </w:tc>
        <w:tc>
          <w:tcPr>
            <w:tcW w:w="0" w:type="auto"/>
            <w:tcBorders>
              <w:top w:val="nil"/>
              <w:bottom w:val="single" w:sz="4" w:space="0" w:color="auto"/>
            </w:tcBorders>
            <w:shd w:val="clear" w:color="auto" w:fill="auto"/>
            <w:vAlign w:val="center"/>
          </w:tcPr>
          <w:p w:rsidR="009F04F4" w:rsidRPr="004F28FC" w:rsidRDefault="009F04F4" w:rsidP="00262A3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0.56</w:t>
            </w:r>
          </w:p>
        </w:tc>
        <w:tc>
          <w:tcPr>
            <w:tcW w:w="0" w:type="auto"/>
            <w:tcBorders>
              <w:top w:val="nil"/>
              <w:bottom w:val="single" w:sz="4" w:space="0" w:color="auto"/>
            </w:tcBorders>
            <w:shd w:val="clear" w:color="auto" w:fill="auto"/>
            <w:vAlign w:val="center"/>
          </w:tcPr>
          <w:p w:rsidR="009F04F4" w:rsidRPr="004F28FC" w:rsidRDefault="009F04F4" w:rsidP="00262A3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0.70</w:t>
            </w:r>
          </w:p>
        </w:tc>
        <w:tc>
          <w:tcPr>
            <w:tcW w:w="0" w:type="auto"/>
            <w:tcBorders>
              <w:top w:val="nil"/>
              <w:bottom w:val="single" w:sz="4" w:space="0" w:color="auto"/>
            </w:tcBorders>
            <w:shd w:val="clear" w:color="auto" w:fill="auto"/>
            <w:vAlign w:val="center"/>
          </w:tcPr>
          <w:p w:rsidR="009F04F4" w:rsidRPr="004F28FC" w:rsidRDefault="009F04F4" w:rsidP="00262A3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65.03</w:t>
            </w:r>
          </w:p>
        </w:tc>
        <w:tc>
          <w:tcPr>
            <w:tcW w:w="1115" w:type="dxa"/>
            <w:tcBorders>
              <w:top w:val="nil"/>
              <w:bottom w:val="single" w:sz="4" w:space="0" w:color="auto"/>
            </w:tcBorders>
            <w:shd w:val="clear" w:color="auto" w:fill="auto"/>
            <w:vAlign w:val="center"/>
          </w:tcPr>
          <w:p w:rsidR="009F04F4" w:rsidRPr="004F28FC" w:rsidRDefault="009F04F4" w:rsidP="00262A3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28FC">
              <w:rPr>
                <w:rFonts w:ascii="Times New Roman" w:hAnsi="Times New Roman" w:cs="Times New Roman"/>
                <w:color w:val="auto"/>
                <w:sz w:val="20"/>
                <w:szCs w:val="20"/>
              </w:rPr>
              <w:t>0.25</w:t>
            </w:r>
          </w:p>
        </w:tc>
      </w:tr>
    </w:tbl>
    <w:p w:rsidR="004F28FC" w:rsidRPr="004F28FC" w:rsidRDefault="004F28FC" w:rsidP="004F28FC">
      <w:pPr>
        <w:spacing w:after="0" w:line="240" w:lineRule="auto"/>
        <w:jc w:val="both"/>
        <w:rPr>
          <w:rFonts w:ascii="Times New Roman" w:hAnsi="Times New Roman"/>
          <w:b/>
          <w:sz w:val="20"/>
          <w:szCs w:val="20"/>
        </w:rPr>
      </w:pPr>
    </w:p>
    <w:p w:rsidR="004F28FC" w:rsidRPr="004F28FC" w:rsidRDefault="004F28FC" w:rsidP="004F28FC">
      <w:pPr>
        <w:spacing w:after="0" w:line="240" w:lineRule="auto"/>
        <w:jc w:val="both"/>
        <w:rPr>
          <w:rFonts w:ascii="Times New Roman" w:hAnsi="Times New Roman"/>
          <w:i/>
          <w:sz w:val="20"/>
          <w:szCs w:val="20"/>
        </w:rPr>
      </w:pPr>
    </w:p>
    <w:p w:rsidR="004F28FC" w:rsidRPr="004F28FC" w:rsidRDefault="004F28FC" w:rsidP="004F28FC">
      <w:pPr>
        <w:spacing w:after="0" w:line="240" w:lineRule="auto"/>
        <w:jc w:val="both"/>
        <w:rPr>
          <w:rFonts w:ascii="Times New Roman" w:hAnsi="Times New Roman"/>
          <w:i/>
          <w:sz w:val="20"/>
          <w:szCs w:val="20"/>
        </w:rPr>
      </w:pPr>
    </w:p>
    <w:p w:rsidR="004F28FC" w:rsidRPr="004F28FC" w:rsidRDefault="004F28FC" w:rsidP="004F28FC">
      <w:pPr>
        <w:spacing w:after="0" w:line="240" w:lineRule="auto"/>
        <w:jc w:val="both"/>
        <w:rPr>
          <w:rFonts w:ascii="Times New Roman" w:hAnsi="Times New Roman"/>
          <w:i/>
          <w:sz w:val="20"/>
          <w:szCs w:val="20"/>
        </w:rPr>
      </w:pPr>
    </w:p>
    <w:p w:rsidR="004F28FC" w:rsidRPr="004F28FC" w:rsidRDefault="004F28FC" w:rsidP="004F28FC">
      <w:pPr>
        <w:spacing w:after="0" w:line="240" w:lineRule="auto"/>
        <w:jc w:val="both"/>
        <w:rPr>
          <w:rFonts w:ascii="Times New Roman" w:hAnsi="Times New Roman"/>
          <w:i/>
          <w:sz w:val="20"/>
          <w:szCs w:val="20"/>
        </w:rPr>
      </w:pPr>
    </w:p>
    <w:p w:rsidR="004F28FC" w:rsidRPr="004F28FC" w:rsidRDefault="004F28FC" w:rsidP="004F28FC">
      <w:pPr>
        <w:spacing w:after="0" w:line="240" w:lineRule="auto"/>
        <w:jc w:val="both"/>
        <w:rPr>
          <w:rFonts w:ascii="Times New Roman" w:hAnsi="Times New Roman"/>
          <w:i/>
          <w:sz w:val="20"/>
          <w:szCs w:val="20"/>
        </w:rPr>
      </w:pPr>
    </w:p>
    <w:p w:rsidR="004F28FC" w:rsidRPr="004F28FC" w:rsidRDefault="004F28FC" w:rsidP="004F28FC">
      <w:pPr>
        <w:spacing w:after="0" w:line="240" w:lineRule="auto"/>
        <w:jc w:val="both"/>
        <w:rPr>
          <w:rFonts w:ascii="Times New Roman" w:hAnsi="Times New Roman"/>
          <w:i/>
          <w:sz w:val="20"/>
          <w:szCs w:val="20"/>
        </w:rPr>
      </w:pPr>
    </w:p>
    <w:p w:rsidR="004F28FC" w:rsidRPr="004F28FC" w:rsidRDefault="004F28FC" w:rsidP="004F28FC">
      <w:pPr>
        <w:spacing w:after="0" w:line="240" w:lineRule="auto"/>
        <w:jc w:val="both"/>
        <w:rPr>
          <w:rFonts w:ascii="Times New Roman" w:hAnsi="Times New Roman"/>
          <w:i/>
          <w:sz w:val="20"/>
          <w:szCs w:val="20"/>
        </w:rPr>
      </w:pPr>
    </w:p>
    <w:p w:rsidR="004F28FC" w:rsidRPr="004F28FC" w:rsidRDefault="004F28FC" w:rsidP="004F28FC">
      <w:pPr>
        <w:spacing w:after="0" w:line="240" w:lineRule="auto"/>
        <w:jc w:val="both"/>
        <w:rPr>
          <w:rFonts w:ascii="Times New Roman" w:hAnsi="Times New Roman"/>
          <w:i/>
          <w:sz w:val="20"/>
          <w:szCs w:val="20"/>
        </w:rPr>
      </w:pPr>
    </w:p>
    <w:p w:rsidR="004F28FC" w:rsidRPr="004F28FC" w:rsidRDefault="004F28FC" w:rsidP="004F28FC">
      <w:pPr>
        <w:spacing w:after="0" w:line="240" w:lineRule="auto"/>
        <w:jc w:val="both"/>
        <w:rPr>
          <w:rFonts w:ascii="Times New Roman" w:hAnsi="Times New Roman"/>
          <w:i/>
          <w:sz w:val="20"/>
          <w:szCs w:val="20"/>
        </w:rPr>
      </w:pPr>
    </w:p>
    <w:p w:rsidR="004F28FC" w:rsidRPr="004F28FC" w:rsidRDefault="004F28FC" w:rsidP="004F28FC">
      <w:pPr>
        <w:spacing w:after="0" w:line="240" w:lineRule="auto"/>
        <w:jc w:val="both"/>
        <w:rPr>
          <w:rFonts w:ascii="Times New Roman" w:hAnsi="Times New Roman"/>
          <w:i/>
          <w:sz w:val="20"/>
          <w:szCs w:val="20"/>
        </w:rPr>
      </w:pPr>
    </w:p>
    <w:p w:rsidR="004F28FC" w:rsidRPr="004F28FC" w:rsidRDefault="004F28FC" w:rsidP="004F28FC">
      <w:pPr>
        <w:spacing w:after="0" w:line="240" w:lineRule="auto"/>
        <w:jc w:val="both"/>
        <w:rPr>
          <w:rFonts w:ascii="Times New Roman" w:hAnsi="Times New Roman"/>
          <w:i/>
          <w:sz w:val="20"/>
          <w:szCs w:val="20"/>
        </w:rPr>
      </w:pPr>
    </w:p>
    <w:p w:rsidR="00262A39" w:rsidRDefault="00262A39" w:rsidP="004F28FC">
      <w:pPr>
        <w:spacing w:after="0" w:line="240" w:lineRule="auto"/>
        <w:jc w:val="both"/>
        <w:rPr>
          <w:rFonts w:ascii="Times New Roman" w:hAnsi="Times New Roman"/>
          <w:b/>
          <w:bCs/>
          <w:iCs/>
          <w:sz w:val="20"/>
          <w:szCs w:val="20"/>
        </w:rPr>
      </w:pPr>
    </w:p>
    <w:p w:rsidR="00262A39" w:rsidRDefault="00262A39" w:rsidP="004F28FC">
      <w:pPr>
        <w:spacing w:after="0" w:line="240" w:lineRule="auto"/>
        <w:jc w:val="both"/>
        <w:rPr>
          <w:rFonts w:ascii="Times New Roman" w:hAnsi="Times New Roman"/>
          <w:b/>
          <w:bCs/>
          <w:iCs/>
          <w:sz w:val="20"/>
          <w:szCs w:val="20"/>
        </w:rPr>
      </w:pPr>
    </w:p>
    <w:p w:rsidR="004F28FC" w:rsidRPr="004F28FC" w:rsidRDefault="004F28FC" w:rsidP="004F28FC">
      <w:pPr>
        <w:spacing w:after="0" w:line="240" w:lineRule="auto"/>
        <w:jc w:val="both"/>
        <w:rPr>
          <w:rFonts w:ascii="Times New Roman" w:hAnsi="Times New Roman"/>
          <w:b/>
          <w:bCs/>
          <w:iCs/>
          <w:sz w:val="20"/>
          <w:szCs w:val="20"/>
        </w:rPr>
      </w:pPr>
      <w:r w:rsidRPr="004F28FC">
        <w:rPr>
          <w:rFonts w:ascii="Times New Roman" w:hAnsi="Times New Roman"/>
          <w:b/>
          <w:bCs/>
          <w:iCs/>
          <w:sz w:val="20"/>
          <w:szCs w:val="20"/>
        </w:rPr>
        <w:t>IPCE spectra</w:t>
      </w:r>
    </w:p>
    <w:p w:rsidR="004F28FC" w:rsidRDefault="004F28FC" w:rsidP="004F28FC">
      <w:pPr>
        <w:spacing w:after="0" w:line="240" w:lineRule="auto"/>
        <w:jc w:val="both"/>
        <w:rPr>
          <w:rFonts w:ascii="Times New Roman" w:hAnsi="Times New Roman"/>
          <w:sz w:val="20"/>
          <w:szCs w:val="20"/>
        </w:rPr>
      </w:pPr>
      <w:r w:rsidRPr="004F28FC">
        <w:rPr>
          <w:rFonts w:ascii="Times New Roman" w:hAnsi="Times New Roman"/>
          <w:sz w:val="20"/>
          <w:szCs w:val="20"/>
        </w:rPr>
        <w:t xml:space="preserve">Figure 9 shows the IPCE spectra of all the investigated sensitizers. As shown in the figure, the </w:t>
      </w:r>
      <w:r w:rsidRPr="004F28FC">
        <w:rPr>
          <w:rFonts w:ascii="Times New Roman" w:eastAsiaTheme="minorEastAsia" w:hAnsi="Times New Roman"/>
          <w:sz w:val="20"/>
          <w:szCs w:val="20"/>
        </w:rPr>
        <w:t>mengkulang: N719</w:t>
      </w:r>
      <w:r w:rsidRPr="004F28FC">
        <w:rPr>
          <w:rFonts w:ascii="Times New Roman" w:hAnsi="Times New Roman"/>
          <w:sz w:val="20"/>
          <w:szCs w:val="20"/>
        </w:rPr>
        <w:t xml:space="preserve"> (80%:20%) and </w:t>
      </w:r>
      <w:r w:rsidRPr="004F28FC">
        <w:rPr>
          <w:rFonts w:ascii="Times New Roman" w:eastAsiaTheme="minorEastAsia" w:hAnsi="Times New Roman"/>
          <w:sz w:val="20"/>
          <w:szCs w:val="20"/>
        </w:rPr>
        <w:t>mengkulang: N719</w:t>
      </w:r>
      <w:r w:rsidRPr="004F28FC">
        <w:rPr>
          <w:rFonts w:ascii="Times New Roman" w:hAnsi="Times New Roman"/>
          <w:sz w:val="20"/>
          <w:szCs w:val="20"/>
        </w:rPr>
        <w:t xml:space="preserve"> (90%:10%) sensitizers exhibit the highest efficiency with two similar intense peaks at 354 nm and 540 nm, respectively. Meanwhile, the </w:t>
      </w:r>
      <w:r w:rsidRPr="004F28FC">
        <w:rPr>
          <w:rFonts w:ascii="Times New Roman" w:eastAsiaTheme="minorEastAsia" w:hAnsi="Times New Roman"/>
          <w:sz w:val="20"/>
          <w:szCs w:val="20"/>
        </w:rPr>
        <w:t xml:space="preserve">mengkulang: rengas: N719 (40%:40%:20%),  rengas: N719 (80%:20%), and rengas: N719 (90%:10%) sensitizers present similar curve patterns, where mengkulang: rengas: N719 (40%:40%:20%) has the highest efficiency, followed by rengas: N719 (80%:20%) and rengas: N719 (90%:10%). Both the individual sensitizers, namely, mengkulang and rengas, exhibit lower efficiencies compared with the mixed sensitizers, </w:t>
      </w:r>
      <w:r w:rsidRPr="004F28FC">
        <w:rPr>
          <w:rFonts w:ascii="Times New Roman" w:hAnsi="Times New Roman"/>
          <w:sz w:val="20"/>
          <w:szCs w:val="20"/>
        </w:rPr>
        <w:t xml:space="preserve">which are parallel to their lower efficiency in </w:t>
      </w:r>
      <w:r w:rsidRPr="004F28FC">
        <w:rPr>
          <w:rFonts w:ascii="Times New Roman" w:hAnsi="Times New Roman"/>
          <w:i/>
          <w:sz w:val="20"/>
          <w:szCs w:val="20"/>
        </w:rPr>
        <w:t>I–V</w:t>
      </w:r>
      <w:r w:rsidRPr="004F28FC">
        <w:rPr>
          <w:rFonts w:ascii="Times New Roman" w:hAnsi="Times New Roman"/>
          <w:sz w:val="20"/>
          <w:szCs w:val="20"/>
        </w:rPr>
        <w:t xml:space="preserve"> characteristics. The results in IPCE percentage agree with the </w:t>
      </w:r>
      <w:r w:rsidRPr="004F28FC">
        <w:rPr>
          <w:rFonts w:ascii="Times New Roman" w:hAnsi="Times New Roman"/>
          <w:i/>
          <w:sz w:val="20"/>
          <w:szCs w:val="20"/>
        </w:rPr>
        <w:t>I–V</w:t>
      </w:r>
      <w:r w:rsidRPr="004F28FC">
        <w:rPr>
          <w:rFonts w:ascii="Times New Roman" w:hAnsi="Times New Roman"/>
          <w:sz w:val="20"/>
          <w:szCs w:val="20"/>
        </w:rPr>
        <w:t xml:space="preserve"> data collected in this study. They are consistent with the findings of Kumara et al. [23], wherein low IPCE contributes to the low energy conversion efficiency (</w:t>
      </w:r>
      <w:r w:rsidRPr="004F28FC">
        <w:rPr>
          <w:rFonts w:ascii="Times New Roman" w:hAnsi="Times New Roman"/>
          <w:i/>
          <w:sz w:val="20"/>
          <w:szCs w:val="20"/>
        </w:rPr>
        <w:t>ŋ</w:t>
      </w:r>
      <w:r w:rsidRPr="004F28FC">
        <w:rPr>
          <w:rFonts w:ascii="Times New Roman" w:hAnsi="Times New Roman"/>
          <w:sz w:val="20"/>
          <w:szCs w:val="20"/>
        </w:rPr>
        <w:t>) of a DSSC.</w:t>
      </w:r>
    </w:p>
    <w:p w:rsidR="00262A39" w:rsidRPr="004F28FC" w:rsidRDefault="00262A39" w:rsidP="00262A39">
      <w:pPr>
        <w:spacing w:after="120" w:line="240" w:lineRule="auto"/>
        <w:jc w:val="both"/>
        <w:rPr>
          <w:rFonts w:ascii="Times New Roman" w:hAnsi="Times New Roman"/>
          <w:sz w:val="20"/>
          <w:szCs w:val="20"/>
        </w:rPr>
      </w:pPr>
    </w:p>
    <w:p w:rsidR="004F28FC" w:rsidRPr="004F28FC" w:rsidRDefault="00262A39" w:rsidP="00262A39">
      <w:pPr>
        <w:spacing w:after="120" w:line="240" w:lineRule="auto"/>
        <w:jc w:val="center"/>
        <w:rPr>
          <w:rFonts w:ascii="Times New Roman" w:hAnsi="Times New Roman"/>
          <w:bCs/>
          <w:sz w:val="20"/>
          <w:szCs w:val="20"/>
        </w:rPr>
      </w:pPr>
      <w:r w:rsidRPr="004F28FC">
        <w:rPr>
          <w:rFonts w:ascii="Times New Roman" w:hAnsi="Times New Roman"/>
          <w:noProof/>
          <w:sz w:val="20"/>
          <w:szCs w:val="20"/>
          <w:lang w:bidi="ar-SA"/>
        </w:rPr>
        <w:lastRenderedPageBreak/>
        <w:drawing>
          <wp:inline distT="0" distB="0" distL="0" distR="0" wp14:anchorId="5AC7EB9D" wp14:editId="42A6D741">
            <wp:extent cx="3888750" cy="2377440"/>
            <wp:effectExtent l="19050" t="19050" r="1651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8750" cy="2377440"/>
                    </a:xfrm>
                    <a:prstGeom prst="rect">
                      <a:avLst/>
                    </a:prstGeom>
                    <a:noFill/>
                    <a:ln>
                      <a:solidFill>
                        <a:schemeClr val="tx1"/>
                      </a:solidFill>
                    </a:ln>
                  </pic:spPr>
                </pic:pic>
              </a:graphicData>
            </a:graphic>
          </wp:inline>
        </w:drawing>
      </w:r>
    </w:p>
    <w:p w:rsidR="004F28FC" w:rsidRPr="004F28FC" w:rsidRDefault="004F28FC" w:rsidP="004F28FC">
      <w:pPr>
        <w:spacing w:after="0" w:line="240" w:lineRule="auto"/>
        <w:ind w:left="851" w:hanging="851"/>
        <w:jc w:val="both"/>
        <w:rPr>
          <w:rFonts w:ascii="Times New Roman" w:hAnsi="Times New Roman"/>
          <w:sz w:val="20"/>
          <w:szCs w:val="20"/>
        </w:rPr>
      </w:pPr>
      <w:r w:rsidRPr="004F28FC">
        <w:rPr>
          <w:rFonts w:ascii="Times New Roman" w:hAnsi="Times New Roman"/>
          <w:bCs/>
          <w:sz w:val="20"/>
          <w:szCs w:val="20"/>
        </w:rPr>
        <w:t>Figure 9</w:t>
      </w:r>
      <w:r w:rsidRPr="004F28FC">
        <w:rPr>
          <w:rFonts w:ascii="Times New Roman" w:hAnsi="Times New Roman"/>
          <w:b/>
          <w:sz w:val="20"/>
          <w:szCs w:val="20"/>
        </w:rPr>
        <w:t xml:space="preserve">. </w:t>
      </w:r>
      <w:r w:rsidR="00262A39">
        <w:rPr>
          <w:rFonts w:ascii="Times New Roman" w:hAnsi="Times New Roman"/>
          <w:b/>
          <w:sz w:val="20"/>
          <w:szCs w:val="20"/>
        </w:rPr>
        <w:tab/>
      </w:r>
      <w:r w:rsidRPr="004F28FC">
        <w:rPr>
          <w:rFonts w:ascii="Times New Roman" w:hAnsi="Times New Roman"/>
          <w:sz w:val="20"/>
          <w:szCs w:val="20"/>
        </w:rPr>
        <w:t>IPCE spectra of the individual and mixed sensitizers (M stands for mengkulang; N denotes N719; and R indicates rengas)</w:t>
      </w:r>
    </w:p>
    <w:p w:rsidR="004F28FC" w:rsidRDefault="004F28FC" w:rsidP="004F28FC">
      <w:pPr>
        <w:spacing w:after="0" w:line="240" w:lineRule="auto"/>
        <w:jc w:val="center"/>
        <w:rPr>
          <w:rFonts w:ascii="Times New Roman" w:hAnsi="Times New Roman"/>
          <w:noProof/>
          <w:sz w:val="20"/>
          <w:szCs w:val="20"/>
          <w:lang w:bidi="ar-SA"/>
        </w:rPr>
      </w:pPr>
    </w:p>
    <w:p w:rsidR="00D245BC" w:rsidRPr="00F447A7" w:rsidRDefault="00D245BC" w:rsidP="004F28FC">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262A39" w:rsidRPr="0024297E" w:rsidRDefault="00262A39" w:rsidP="00262A39">
      <w:pPr>
        <w:spacing w:after="0" w:line="240" w:lineRule="auto"/>
        <w:jc w:val="both"/>
        <w:rPr>
          <w:rFonts w:ascii="Times New Roman" w:hAnsi="Times New Roman"/>
          <w:sz w:val="20"/>
          <w:szCs w:val="20"/>
        </w:rPr>
      </w:pPr>
      <w:r w:rsidRPr="0024297E">
        <w:rPr>
          <w:rFonts w:ascii="Times New Roman" w:hAnsi="Times New Roman"/>
          <w:sz w:val="20"/>
          <w:szCs w:val="20"/>
        </w:rPr>
        <w:t>This study reveals the enhanced performance of DSSCs with natural sensitizers extracted from rengas and mengkulang mixed with N719 sensitizer. The best performance is exhibited by the mengkulang:</w:t>
      </w:r>
      <w:r>
        <w:rPr>
          <w:rFonts w:ascii="Times New Roman" w:hAnsi="Times New Roman"/>
          <w:sz w:val="20"/>
          <w:szCs w:val="20"/>
        </w:rPr>
        <w:t xml:space="preserve"> </w:t>
      </w:r>
      <w:r w:rsidRPr="0024297E">
        <w:rPr>
          <w:rFonts w:ascii="Times New Roman" w:hAnsi="Times New Roman"/>
          <w:sz w:val="20"/>
          <w:szCs w:val="20"/>
        </w:rPr>
        <w:t>N719 (80%:20%) sensitizer, with a conversion efficiency (</w:t>
      </w:r>
      <w:r w:rsidRPr="0024297E">
        <w:rPr>
          <w:rFonts w:ascii="Times New Roman" w:hAnsi="Times New Roman"/>
          <w:i/>
          <w:sz w:val="20"/>
          <w:szCs w:val="20"/>
        </w:rPr>
        <w:t>ŋ</w:t>
      </w:r>
      <w:r w:rsidRPr="0024297E">
        <w:rPr>
          <w:rFonts w:ascii="Times New Roman" w:hAnsi="Times New Roman"/>
          <w:sz w:val="20"/>
          <w:szCs w:val="20"/>
        </w:rPr>
        <w:t xml:space="preserve">) of 0.584%. This conversion efficiency shows an increment compared with the individual mengkulang sensitizer (0.161%). The mixed sensitizers present better photovoltaic performance than the individual sensitizers across all analyses. Their IPCE and </w:t>
      </w:r>
      <w:r w:rsidRPr="0024297E">
        <w:rPr>
          <w:rFonts w:ascii="Times New Roman" w:hAnsi="Times New Roman"/>
          <w:i/>
          <w:sz w:val="20"/>
          <w:szCs w:val="20"/>
        </w:rPr>
        <w:t>I–V</w:t>
      </w:r>
      <w:r w:rsidRPr="0024297E">
        <w:rPr>
          <w:rFonts w:ascii="Times New Roman" w:hAnsi="Times New Roman"/>
          <w:sz w:val="20"/>
          <w:szCs w:val="20"/>
        </w:rPr>
        <w:t xml:space="preserve"> curves demonstrate parallel results. For example, mengkulang and rengas have low IPCE percentages, which contribute to low conversion efficiency. The HOMO and LUMO levels of all the investigated sensitizers have been calculated to determine their capability to inject electrons into the CB of TiO</w:t>
      </w:r>
      <w:r w:rsidRPr="0024297E">
        <w:rPr>
          <w:rFonts w:ascii="Times New Roman" w:hAnsi="Times New Roman"/>
          <w:sz w:val="20"/>
          <w:szCs w:val="20"/>
          <w:vertAlign w:val="subscript"/>
        </w:rPr>
        <w:t>2</w:t>
      </w:r>
      <w:r w:rsidRPr="0024297E">
        <w:rPr>
          <w:rFonts w:ascii="Times New Roman" w:hAnsi="Times New Roman"/>
          <w:sz w:val="20"/>
          <w:szCs w:val="20"/>
        </w:rPr>
        <w:t>. The LUMO levels of all the investigated sensitizers are located below the Fermi level of TiO</w:t>
      </w:r>
      <w:r w:rsidRPr="0024297E">
        <w:rPr>
          <w:rFonts w:ascii="Times New Roman" w:hAnsi="Times New Roman"/>
          <w:sz w:val="20"/>
          <w:szCs w:val="20"/>
          <w:vertAlign w:val="subscript"/>
        </w:rPr>
        <w:t>2</w:t>
      </w:r>
      <w:r w:rsidRPr="0024297E">
        <w:rPr>
          <w:rFonts w:ascii="Times New Roman" w:hAnsi="Times New Roman"/>
          <w:sz w:val="20"/>
          <w:szCs w:val="20"/>
        </w:rPr>
        <w:t xml:space="preserve">, which results in low conversion efficiency (ŋ). Although the efficiencies obtained using these natural sensitizers remain too low for large-scale practical applications, the obtained results may motivate researchers to conduct studies to explore these natural sensitizers further. </w:t>
      </w:r>
    </w:p>
    <w:p w:rsidR="00262A39" w:rsidRPr="0024297E" w:rsidRDefault="00262A39" w:rsidP="00262A39">
      <w:pPr>
        <w:spacing w:after="0" w:line="240" w:lineRule="auto"/>
        <w:jc w:val="center"/>
        <w:rPr>
          <w:rFonts w:ascii="Times New Roman" w:hAnsi="Times New Roman"/>
          <w:sz w:val="20"/>
          <w:szCs w:val="20"/>
        </w:rPr>
      </w:pPr>
    </w:p>
    <w:p w:rsidR="00262A39" w:rsidRPr="0024297E" w:rsidRDefault="00262A39" w:rsidP="00262A39">
      <w:pPr>
        <w:spacing w:after="0" w:line="240" w:lineRule="auto"/>
        <w:jc w:val="center"/>
        <w:rPr>
          <w:rFonts w:ascii="Times New Roman" w:hAnsi="Times New Roman"/>
          <w:b/>
          <w:sz w:val="20"/>
          <w:szCs w:val="20"/>
        </w:rPr>
      </w:pPr>
      <w:r w:rsidRPr="0024297E">
        <w:rPr>
          <w:rFonts w:ascii="Times New Roman" w:hAnsi="Times New Roman"/>
          <w:b/>
          <w:sz w:val="20"/>
          <w:szCs w:val="20"/>
        </w:rPr>
        <w:t>Acknowledgements</w:t>
      </w:r>
    </w:p>
    <w:p w:rsidR="00AC0033" w:rsidRPr="00262A39" w:rsidRDefault="00262A39" w:rsidP="00262A39">
      <w:pPr>
        <w:pStyle w:val="Default"/>
        <w:jc w:val="both"/>
        <w:rPr>
          <w:color w:val="auto"/>
          <w:sz w:val="20"/>
          <w:szCs w:val="20"/>
        </w:rPr>
      </w:pPr>
      <w:r w:rsidRPr="0024297E">
        <w:rPr>
          <w:color w:val="auto"/>
          <w:sz w:val="20"/>
          <w:szCs w:val="20"/>
        </w:rPr>
        <w:t>This research was supported by Universiti Kebangsaan Malaysia under Iconic Collaboration Grant (ICONIC-2013-006) and presented in UKM-UCA international joint seminar on Science and Technology 2016.</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C81A69">
        <w:rPr>
          <w:rFonts w:ascii="Times New Roman" w:hAnsi="Times New Roman"/>
          <w:sz w:val="20"/>
          <w:szCs w:val="20"/>
        </w:rPr>
        <w:t>Hua, Y., Chang, S., Wang, H., Huang, D., Zhao, J., Chen, T.</w:t>
      </w:r>
      <w:r>
        <w:rPr>
          <w:rFonts w:ascii="Times New Roman" w:hAnsi="Times New Roman"/>
          <w:sz w:val="20"/>
          <w:szCs w:val="20"/>
        </w:rPr>
        <w:t xml:space="preserve"> and </w:t>
      </w:r>
      <w:r w:rsidRPr="00C81A69">
        <w:rPr>
          <w:rFonts w:ascii="Times New Roman" w:hAnsi="Times New Roman"/>
          <w:sz w:val="20"/>
          <w:szCs w:val="20"/>
        </w:rPr>
        <w:t xml:space="preserve">Zhu, X. (2013). New phenothiazine-based dyes for efficient dye-sensitized solar cells: Positioning effect of a donor group on the cell performance. </w:t>
      </w:r>
      <w:r w:rsidRPr="00C81A69">
        <w:rPr>
          <w:rFonts w:ascii="Times New Roman" w:hAnsi="Times New Roman"/>
          <w:i/>
          <w:iCs/>
          <w:sz w:val="20"/>
          <w:szCs w:val="20"/>
        </w:rPr>
        <w:t>Journal of Power Sources</w:t>
      </w:r>
      <w:r w:rsidRPr="00C81A69">
        <w:rPr>
          <w:rFonts w:ascii="Times New Roman" w:hAnsi="Times New Roman"/>
          <w:sz w:val="20"/>
          <w:szCs w:val="20"/>
        </w:rPr>
        <w:t>, 243</w:t>
      </w:r>
      <w:r>
        <w:rPr>
          <w:rFonts w:ascii="Times New Roman" w:hAnsi="Times New Roman"/>
          <w:sz w:val="20"/>
          <w:szCs w:val="20"/>
        </w:rPr>
        <w:t>:</w:t>
      </w:r>
      <w:r w:rsidRPr="00C81A69">
        <w:rPr>
          <w:rFonts w:ascii="Times New Roman" w:hAnsi="Times New Roman"/>
          <w:sz w:val="20"/>
          <w:szCs w:val="20"/>
        </w:rPr>
        <w:t xml:space="preserve"> 253</w:t>
      </w:r>
      <w:r>
        <w:rPr>
          <w:rFonts w:ascii="Times New Roman" w:hAnsi="Times New Roman"/>
          <w:sz w:val="20"/>
          <w:szCs w:val="20"/>
        </w:rPr>
        <w:t>-</w:t>
      </w:r>
      <w:r w:rsidRPr="00C81A69">
        <w:rPr>
          <w:rFonts w:ascii="Times New Roman" w:hAnsi="Times New Roman"/>
          <w:sz w:val="20"/>
          <w:szCs w:val="20"/>
        </w:rPr>
        <w:t xml:space="preserve">259. </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C81A69">
        <w:rPr>
          <w:rFonts w:ascii="Times New Roman" w:hAnsi="Times New Roman"/>
          <w:sz w:val="20"/>
          <w:szCs w:val="20"/>
        </w:rPr>
        <w:t>Chang, J., Lee, C., Kumar, D., Chen, P., Lin, L., Thomas, K. R. J.</w:t>
      </w:r>
      <w:r>
        <w:rPr>
          <w:rFonts w:ascii="Times New Roman" w:hAnsi="Times New Roman"/>
          <w:sz w:val="20"/>
          <w:szCs w:val="20"/>
        </w:rPr>
        <w:t xml:space="preserve"> and </w:t>
      </w:r>
      <w:r w:rsidRPr="00C81A69">
        <w:rPr>
          <w:rFonts w:ascii="Times New Roman" w:hAnsi="Times New Roman"/>
          <w:sz w:val="20"/>
          <w:szCs w:val="20"/>
        </w:rPr>
        <w:t xml:space="preserve">Ho, K. (2013). Co-sensitization promoted light harvesting for organic dye-sensitized solar cells using unsymmetrical squaraine dye and novel. </w:t>
      </w:r>
      <w:r w:rsidRPr="00C81A69">
        <w:rPr>
          <w:rFonts w:ascii="Times New Roman" w:hAnsi="Times New Roman"/>
          <w:i/>
          <w:iCs/>
          <w:sz w:val="20"/>
          <w:szCs w:val="20"/>
        </w:rPr>
        <w:t>Journal of Power Sources</w:t>
      </w:r>
      <w:r w:rsidRPr="00C81A69">
        <w:rPr>
          <w:rFonts w:ascii="Times New Roman" w:hAnsi="Times New Roman"/>
          <w:sz w:val="20"/>
          <w:szCs w:val="20"/>
        </w:rPr>
        <w:t>, 240</w:t>
      </w:r>
      <w:r>
        <w:rPr>
          <w:rFonts w:ascii="Times New Roman" w:hAnsi="Times New Roman"/>
          <w:sz w:val="20"/>
          <w:szCs w:val="20"/>
        </w:rPr>
        <w:t>:</w:t>
      </w:r>
      <w:r w:rsidRPr="00C81A69">
        <w:rPr>
          <w:rFonts w:ascii="Times New Roman" w:hAnsi="Times New Roman"/>
          <w:sz w:val="20"/>
          <w:szCs w:val="20"/>
        </w:rPr>
        <w:t xml:space="preserve"> 779</w:t>
      </w:r>
      <w:r>
        <w:rPr>
          <w:rFonts w:ascii="Times New Roman" w:hAnsi="Times New Roman"/>
          <w:sz w:val="20"/>
          <w:szCs w:val="20"/>
        </w:rPr>
        <w:t>-</w:t>
      </w:r>
      <w:r w:rsidRPr="00C81A69">
        <w:rPr>
          <w:rFonts w:ascii="Times New Roman" w:hAnsi="Times New Roman"/>
          <w:sz w:val="20"/>
          <w:szCs w:val="20"/>
        </w:rPr>
        <w:t xml:space="preserve">785. </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C81A69">
        <w:rPr>
          <w:rFonts w:ascii="Times New Roman" w:hAnsi="Times New Roman"/>
          <w:sz w:val="20"/>
          <w:szCs w:val="20"/>
          <w:shd w:val="clear" w:color="auto" w:fill="FFFFFF"/>
        </w:rPr>
        <w:t>Namuangruk, S., Fukuda, R., Ehara, M., Meeprasert, J., Khanasa, T., Morada, S., Kaewin, T., Jungsuttiwong, S., Sudyoadsuk, T.</w:t>
      </w:r>
      <w:r>
        <w:rPr>
          <w:rFonts w:ascii="Times New Roman" w:hAnsi="Times New Roman"/>
          <w:sz w:val="20"/>
          <w:szCs w:val="20"/>
          <w:shd w:val="clear" w:color="auto" w:fill="FFFFFF"/>
        </w:rPr>
        <w:t xml:space="preserve"> and </w:t>
      </w:r>
      <w:r w:rsidRPr="00C81A69">
        <w:rPr>
          <w:rFonts w:ascii="Times New Roman" w:hAnsi="Times New Roman"/>
          <w:sz w:val="20"/>
          <w:szCs w:val="20"/>
          <w:shd w:val="clear" w:color="auto" w:fill="FFFFFF"/>
        </w:rPr>
        <w:t>Promarak, V. (2012). D–D− π–A-Type organic dyes for dye-sensitized solar cells with a potential for direct electron injection and a high extinction coefficient: synthesis, characterization, and theoretical investigation.</w:t>
      </w:r>
      <w:r w:rsidRPr="00C81A69">
        <w:rPr>
          <w:rStyle w:val="apple-converted-space"/>
          <w:rFonts w:ascii="Times New Roman" w:hAnsi="Times New Roman"/>
          <w:sz w:val="20"/>
          <w:szCs w:val="20"/>
          <w:shd w:val="clear" w:color="auto" w:fill="FFFFFF"/>
        </w:rPr>
        <w:t> </w:t>
      </w:r>
      <w:r w:rsidRPr="00C81A69">
        <w:rPr>
          <w:rFonts w:ascii="Times New Roman" w:hAnsi="Times New Roman"/>
          <w:i/>
          <w:iCs/>
          <w:sz w:val="20"/>
          <w:szCs w:val="20"/>
          <w:shd w:val="clear" w:color="auto" w:fill="FFFFFF"/>
        </w:rPr>
        <w:t>The Journal of Physical Chemistry C</w:t>
      </w:r>
      <w:r w:rsidRPr="00C81A69">
        <w:rPr>
          <w:rFonts w:ascii="Times New Roman" w:hAnsi="Times New Roman"/>
          <w:sz w:val="20"/>
          <w:szCs w:val="20"/>
          <w:shd w:val="clear" w:color="auto" w:fill="FFFFFF"/>
        </w:rPr>
        <w:t>,</w:t>
      </w:r>
      <w:r w:rsidRPr="00C81A69">
        <w:rPr>
          <w:rStyle w:val="apple-converted-space"/>
          <w:rFonts w:ascii="Times New Roman" w:hAnsi="Times New Roman"/>
          <w:sz w:val="20"/>
          <w:szCs w:val="20"/>
          <w:shd w:val="clear" w:color="auto" w:fill="FFFFFF"/>
        </w:rPr>
        <w:t> </w:t>
      </w:r>
      <w:r w:rsidRPr="00C81A69">
        <w:rPr>
          <w:rFonts w:ascii="Times New Roman" w:hAnsi="Times New Roman"/>
          <w:sz w:val="20"/>
          <w:szCs w:val="20"/>
          <w:shd w:val="clear" w:color="auto" w:fill="FFFFFF"/>
        </w:rPr>
        <w:t>116(49)</w:t>
      </w:r>
      <w:r>
        <w:rPr>
          <w:rFonts w:ascii="Times New Roman" w:hAnsi="Times New Roman"/>
          <w:sz w:val="20"/>
          <w:szCs w:val="20"/>
          <w:shd w:val="clear" w:color="auto" w:fill="FFFFFF"/>
        </w:rPr>
        <w:t>:</w:t>
      </w:r>
      <w:r w:rsidRPr="00C81A69">
        <w:rPr>
          <w:rFonts w:ascii="Times New Roman" w:hAnsi="Times New Roman"/>
          <w:sz w:val="20"/>
          <w:szCs w:val="20"/>
          <w:shd w:val="clear" w:color="auto" w:fill="FFFFFF"/>
        </w:rPr>
        <w:t xml:space="preserve"> 25653-25663.</w:t>
      </w:r>
      <w:bookmarkStart w:id="4" w:name="OLE_LINK7"/>
      <w:bookmarkStart w:id="5" w:name="OLE_LINK8"/>
    </w:p>
    <w:p w:rsidR="00262A39" w:rsidRPr="004B740C"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C81A69">
        <w:rPr>
          <w:rFonts w:ascii="Times New Roman" w:hAnsi="Times New Roman"/>
          <w:sz w:val="20"/>
          <w:szCs w:val="20"/>
        </w:rPr>
        <w:t>Pei, K., Wu, Y., Islam, A., Zhu, S., Han, L.,</w:t>
      </w:r>
      <w:r w:rsidRPr="00C81A69">
        <w:rPr>
          <w:rFonts w:ascii="Times New Roman" w:hAnsi="Times New Roman"/>
          <w:i/>
          <w:sz w:val="20"/>
          <w:szCs w:val="20"/>
        </w:rPr>
        <w:t xml:space="preserve"> </w:t>
      </w:r>
      <w:r w:rsidRPr="00C81A69">
        <w:rPr>
          <w:rFonts w:ascii="Times New Roman" w:hAnsi="Times New Roman"/>
          <w:sz w:val="20"/>
          <w:szCs w:val="20"/>
        </w:rPr>
        <w:t xml:space="preserve">Geng, Z. and Zhu, W. (2014). Dye-sensitized solar cells based on quinoxaline dyes: effect of  π – linker on absorption, energy levels, and photovoltaic performances, </w:t>
      </w:r>
      <w:r w:rsidRPr="00C81A69">
        <w:rPr>
          <w:rFonts w:ascii="Times New Roman" w:hAnsi="Times New Roman"/>
          <w:i/>
          <w:sz w:val="20"/>
          <w:szCs w:val="20"/>
        </w:rPr>
        <w:t>The Journal of Physical Chemistry C</w:t>
      </w:r>
      <w:r>
        <w:rPr>
          <w:rFonts w:ascii="Times New Roman" w:hAnsi="Times New Roman"/>
          <w:i/>
          <w:sz w:val="20"/>
          <w:szCs w:val="20"/>
        </w:rPr>
        <w:t>,</w:t>
      </w:r>
      <w:r w:rsidRPr="00C81A69">
        <w:rPr>
          <w:rFonts w:ascii="Times New Roman" w:hAnsi="Times New Roman"/>
          <w:i/>
          <w:sz w:val="20"/>
          <w:szCs w:val="20"/>
        </w:rPr>
        <w:t xml:space="preserve"> </w:t>
      </w:r>
      <w:r w:rsidRPr="00C81A69">
        <w:rPr>
          <w:rFonts w:ascii="Times New Roman" w:hAnsi="Times New Roman"/>
          <w:iCs/>
          <w:sz w:val="20"/>
          <w:szCs w:val="20"/>
        </w:rPr>
        <w:t>118(30)</w:t>
      </w:r>
      <w:r>
        <w:rPr>
          <w:rFonts w:ascii="Times New Roman" w:hAnsi="Times New Roman"/>
          <w:iCs/>
          <w:sz w:val="20"/>
          <w:szCs w:val="20"/>
        </w:rPr>
        <w:t>:</w:t>
      </w:r>
      <w:r w:rsidRPr="00C81A69">
        <w:rPr>
          <w:rFonts w:ascii="Times New Roman" w:hAnsi="Times New Roman"/>
          <w:i/>
          <w:sz w:val="20"/>
          <w:szCs w:val="20"/>
        </w:rPr>
        <w:t xml:space="preserve"> </w:t>
      </w:r>
      <w:r w:rsidRPr="00C81A69">
        <w:rPr>
          <w:rFonts w:ascii="Times New Roman" w:hAnsi="Times New Roman"/>
          <w:sz w:val="20"/>
          <w:szCs w:val="20"/>
        </w:rPr>
        <w:t>16552</w:t>
      </w:r>
      <w:r>
        <w:rPr>
          <w:rFonts w:ascii="Times New Roman" w:hAnsi="Times New Roman"/>
          <w:sz w:val="20"/>
          <w:szCs w:val="20"/>
        </w:rPr>
        <w:t>-</w:t>
      </w:r>
      <w:r w:rsidRPr="004B740C">
        <w:rPr>
          <w:rFonts w:ascii="Times New Roman" w:hAnsi="Times New Roman"/>
          <w:sz w:val="20"/>
          <w:szCs w:val="20"/>
        </w:rPr>
        <w:t xml:space="preserve">16561. </w:t>
      </w:r>
      <w:bookmarkEnd w:id="4"/>
      <w:bookmarkEnd w:id="5"/>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C81A69">
        <w:rPr>
          <w:rFonts w:ascii="Times New Roman" w:hAnsi="Times New Roman"/>
          <w:sz w:val="20"/>
          <w:szCs w:val="20"/>
        </w:rPr>
        <w:lastRenderedPageBreak/>
        <w:t>Hamadanian, M., Jabbari, V. and Gravand, A. (2012). Materials science in semiconductor processing dependence of energy conversion efficiency of dye-sensitized solar cells on the annealing temperature of TiO</w:t>
      </w:r>
      <w:r w:rsidRPr="00C81A69">
        <w:rPr>
          <w:rFonts w:ascii="Times New Roman" w:hAnsi="Times New Roman"/>
          <w:sz w:val="20"/>
          <w:szCs w:val="20"/>
          <w:vertAlign w:val="subscript"/>
        </w:rPr>
        <w:t>2</w:t>
      </w:r>
      <w:r w:rsidRPr="00C81A69">
        <w:rPr>
          <w:rFonts w:ascii="Times New Roman" w:hAnsi="Times New Roman"/>
          <w:sz w:val="20"/>
          <w:szCs w:val="20"/>
        </w:rPr>
        <w:t xml:space="preserve"> nanoparticles. </w:t>
      </w:r>
      <w:r w:rsidRPr="00C81A69">
        <w:rPr>
          <w:rFonts w:ascii="Times New Roman" w:hAnsi="Times New Roman"/>
          <w:i/>
          <w:iCs/>
          <w:sz w:val="20"/>
          <w:szCs w:val="20"/>
        </w:rPr>
        <w:t>Materials Science in  Semiconductor Processing</w:t>
      </w:r>
      <w:r w:rsidRPr="00C81A69">
        <w:rPr>
          <w:rFonts w:ascii="Times New Roman" w:hAnsi="Times New Roman"/>
          <w:sz w:val="20"/>
          <w:szCs w:val="20"/>
        </w:rPr>
        <w:t>, 15(4)</w:t>
      </w:r>
      <w:r>
        <w:rPr>
          <w:rFonts w:ascii="Times New Roman" w:hAnsi="Times New Roman"/>
          <w:sz w:val="20"/>
          <w:szCs w:val="20"/>
        </w:rPr>
        <w:t>:</w:t>
      </w:r>
      <w:r w:rsidRPr="00C81A69">
        <w:rPr>
          <w:rFonts w:ascii="Times New Roman" w:hAnsi="Times New Roman"/>
          <w:sz w:val="20"/>
          <w:szCs w:val="20"/>
        </w:rPr>
        <w:t xml:space="preserve"> 371</w:t>
      </w:r>
      <w:r>
        <w:rPr>
          <w:rFonts w:ascii="Times New Roman" w:hAnsi="Times New Roman"/>
          <w:sz w:val="20"/>
          <w:szCs w:val="20"/>
        </w:rPr>
        <w:t>-</w:t>
      </w:r>
      <w:r w:rsidRPr="00C81A69">
        <w:rPr>
          <w:rFonts w:ascii="Times New Roman" w:hAnsi="Times New Roman"/>
          <w:sz w:val="20"/>
          <w:szCs w:val="20"/>
        </w:rPr>
        <w:t>379.</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C81A69">
        <w:rPr>
          <w:rFonts w:ascii="Times New Roman" w:hAnsi="Times New Roman"/>
          <w:sz w:val="20"/>
          <w:szCs w:val="20"/>
        </w:rPr>
        <w:t>Lee, J. P., Yoo, B., Suresh, T., Kang, M. S., Vital, R.</w:t>
      </w:r>
      <w:r>
        <w:rPr>
          <w:rFonts w:ascii="Times New Roman" w:hAnsi="Times New Roman"/>
          <w:sz w:val="20"/>
          <w:szCs w:val="20"/>
        </w:rPr>
        <w:t xml:space="preserve"> and </w:t>
      </w:r>
      <w:r w:rsidRPr="00C81A69">
        <w:rPr>
          <w:rFonts w:ascii="Times New Roman" w:hAnsi="Times New Roman"/>
          <w:sz w:val="20"/>
          <w:szCs w:val="20"/>
        </w:rPr>
        <w:t xml:space="preserve">Kim, K. J. (2009). Novel silane-substituted benzimidazolium iodide as gel electrolyte for dye-sensitized solar cells. </w:t>
      </w:r>
      <w:r w:rsidRPr="00C81A69">
        <w:rPr>
          <w:rFonts w:ascii="Times New Roman" w:hAnsi="Times New Roman"/>
          <w:i/>
          <w:iCs/>
          <w:sz w:val="20"/>
          <w:szCs w:val="20"/>
        </w:rPr>
        <w:t>Electrochimica Acta</w:t>
      </w:r>
      <w:r w:rsidRPr="00C81A69">
        <w:rPr>
          <w:rFonts w:ascii="Times New Roman" w:hAnsi="Times New Roman"/>
          <w:sz w:val="20"/>
          <w:szCs w:val="20"/>
        </w:rPr>
        <w:t>, 54(18)</w:t>
      </w:r>
      <w:r>
        <w:rPr>
          <w:rFonts w:ascii="Times New Roman" w:hAnsi="Times New Roman"/>
          <w:sz w:val="20"/>
          <w:szCs w:val="20"/>
        </w:rPr>
        <w:t>:</w:t>
      </w:r>
      <w:r w:rsidRPr="00C81A69">
        <w:rPr>
          <w:rFonts w:ascii="Times New Roman" w:hAnsi="Times New Roman"/>
          <w:sz w:val="20"/>
          <w:szCs w:val="20"/>
        </w:rPr>
        <w:t xml:space="preserve"> 4365</w:t>
      </w:r>
      <w:r>
        <w:rPr>
          <w:rFonts w:ascii="Times New Roman" w:hAnsi="Times New Roman"/>
          <w:sz w:val="20"/>
          <w:szCs w:val="20"/>
        </w:rPr>
        <w:t>-</w:t>
      </w:r>
      <w:r w:rsidRPr="00C81A69">
        <w:rPr>
          <w:rFonts w:ascii="Times New Roman" w:hAnsi="Times New Roman"/>
          <w:sz w:val="20"/>
          <w:szCs w:val="20"/>
        </w:rPr>
        <w:t>4370.</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C81A69">
        <w:rPr>
          <w:rFonts w:ascii="Times New Roman" w:hAnsi="Times New Roman"/>
          <w:sz w:val="20"/>
          <w:szCs w:val="20"/>
        </w:rPr>
        <w:t>Torchani, A., Saadaoui, S., Gharbi, R.</w:t>
      </w:r>
      <w:r>
        <w:rPr>
          <w:rFonts w:ascii="Times New Roman" w:hAnsi="Times New Roman"/>
          <w:sz w:val="20"/>
          <w:szCs w:val="20"/>
        </w:rPr>
        <w:t xml:space="preserve"> and </w:t>
      </w:r>
      <w:r w:rsidRPr="00C81A69">
        <w:rPr>
          <w:rFonts w:ascii="Times New Roman" w:hAnsi="Times New Roman"/>
          <w:sz w:val="20"/>
          <w:szCs w:val="20"/>
        </w:rPr>
        <w:t xml:space="preserve">Fathallah, M. (2015). Sensitized solar cells based on natural dyes. </w:t>
      </w:r>
      <w:r w:rsidRPr="00C81A69">
        <w:rPr>
          <w:rFonts w:ascii="Times New Roman" w:hAnsi="Times New Roman"/>
          <w:i/>
          <w:iCs/>
          <w:sz w:val="20"/>
          <w:szCs w:val="20"/>
        </w:rPr>
        <w:t>Current Applied Physics</w:t>
      </w:r>
      <w:r w:rsidRPr="00C81A69">
        <w:rPr>
          <w:rFonts w:ascii="Times New Roman" w:hAnsi="Times New Roman"/>
          <w:sz w:val="20"/>
          <w:szCs w:val="20"/>
        </w:rPr>
        <w:t>, 15(3)</w:t>
      </w:r>
      <w:r>
        <w:rPr>
          <w:rFonts w:ascii="Times New Roman" w:hAnsi="Times New Roman"/>
          <w:sz w:val="20"/>
          <w:szCs w:val="20"/>
        </w:rPr>
        <w:t>:</w:t>
      </w:r>
      <w:r w:rsidRPr="00C81A69">
        <w:rPr>
          <w:rFonts w:ascii="Times New Roman" w:hAnsi="Times New Roman"/>
          <w:sz w:val="20"/>
          <w:szCs w:val="20"/>
        </w:rPr>
        <w:t xml:space="preserve"> 307</w:t>
      </w:r>
      <w:r>
        <w:rPr>
          <w:rFonts w:ascii="Times New Roman" w:hAnsi="Times New Roman"/>
          <w:sz w:val="20"/>
          <w:szCs w:val="20"/>
        </w:rPr>
        <w:t>-</w:t>
      </w:r>
      <w:r w:rsidRPr="00C81A69">
        <w:rPr>
          <w:rFonts w:ascii="Times New Roman" w:hAnsi="Times New Roman"/>
          <w:sz w:val="20"/>
          <w:szCs w:val="20"/>
        </w:rPr>
        <w:t xml:space="preserve">312. </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C81A69">
        <w:rPr>
          <w:rFonts w:ascii="Times New Roman" w:hAnsi="Times New Roman"/>
          <w:sz w:val="20"/>
          <w:szCs w:val="20"/>
        </w:rPr>
        <w:t xml:space="preserve">Ludin, N. </w:t>
      </w:r>
      <w:r>
        <w:rPr>
          <w:rFonts w:ascii="Times New Roman" w:hAnsi="Times New Roman"/>
          <w:sz w:val="20"/>
          <w:szCs w:val="20"/>
        </w:rPr>
        <w:t>A</w:t>
      </w:r>
      <w:r w:rsidRPr="00C81A69">
        <w:rPr>
          <w:rFonts w:ascii="Times New Roman" w:hAnsi="Times New Roman"/>
          <w:sz w:val="20"/>
          <w:szCs w:val="20"/>
        </w:rPr>
        <w:t xml:space="preserve">., Al-Alwani Mahmoud,  </w:t>
      </w:r>
      <w:r>
        <w:rPr>
          <w:rFonts w:ascii="Times New Roman" w:hAnsi="Times New Roman"/>
          <w:sz w:val="20"/>
          <w:szCs w:val="20"/>
        </w:rPr>
        <w:t>A</w:t>
      </w:r>
      <w:r w:rsidRPr="00C81A69">
        <w:rPr>
          <w:rFonts w:ascii="Times New Roman" w:hAnsi="Times New Roman"/>
          <w:sz w:val="20"/>
          <w:szCs w:val="20"/>
        </w:rPr>
        <w:t>. M., Bakar Mohamad, A., Kadhum, A. A. H., Sopian, K.</w:t>
      </w:r>
      <w:r>
        <w:rPr>
          <w:rFonts w:ascii="Times New Roman" w:hAnsi="Times New Roman"/>
          <w:sz w:val="20"/>
          <w:szCs w:val="20"/>
        </w:rPr>
        <w:t xml:space="preserve"> and</w:t>
      </w:r>
      <w:r w:rsidRPr="00C81A69">
        <w:rPr>
          <w:rFonts w:ascii="Times New Roman" w:hAnsi="Times New Roman"/>
          <w:sz w:val="20"/>
          <w:szCs w:val="20"/>
        </w:rPr>
        <w:t xml:space="preserve"> Abdul Karim, N. S. (2014). Review on the development of natural dye photosensitizer for dye-sensitized solar cells. </w:t>
      </w:r>
      <w:r w:rsidRPr="00C81A69">
        <w:rPr>
          <w:rFonts w:ascii="Times New Roman" w:hAnsi="Times New Roman"/>
          <w:i/>
          <w:iCs/>
          <w:sz w:val="20"/>
          <w:szCs w:val="20"/>
        </w:rPr>
        <w:t>Renewable and Sustainable Energy Reviews</w:t>
      </w:r>
      <w:r w:rsidRPr="00C81A69">
        <w:rPr>
          <w:rFonts w:ascii="Times New Roman" w:hAnsi="Times New Roman"/>
          <w:sz w:val="20"/>
          <w:szCs w:val="20"/>
        </w:rPr>
        <w:t>, 31</w:t>
      </w:r>
      <w:r>
        <w:rPr>
          <w:rFonts w:ascii="Times New Roman" w:hAnsi="Times New Roman"/>
          <w:sz w:val="20"/>
          <w:szCs w:val="20"/>
        </w:rPr>
        <w:t xml:space="preserve">: </w:t>
      </w:r>
      <w:r w:rsidRPr="00C81A69">
        <w:rPr>
          <w:rFonts w:ascii="Times New Roman" w:hAnsi="Times New Roman"/>
          <w:sz w:val="20"/>
          <w:szCs w:val="20"/>
        </w:rPr>
        <w:t>386</w:t>
      </w:r>
      <w:r>
        <w:rPr>
          <w:rFonts w:ascii="Times New Roman" w:hAnsi="Times New Roman"/>
          <w:sz w:val="20"/>
          <w:szCs w:val="20"/>
        </w:rPr>
        <w:t>-</w:t>
      </w:r>
      <w:r w:rsidRPr="00C81A69">
        <w:rPr>
          <w:rFonts w:ascii="Times New Roman" w:hAnsi="Times New Roman"/>
          <w:sz w:val="20"/>
          <w:szCs w:val="20"/>
        </w:rPr>
        <w:t xml:space="preserve">396. </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C81A69">
        <w:rPr>
          <w:rFonts w:ascii="Times New Roman" w:hAnsi="Times New Roman"/>
          <w:sz w:val="20"/>
          <w:szCs w:val="20"/>
        </w:rPr>
        <w:t>Gong, J., Liang, J.</w:t>
      </w:r>
      <w:r>
        <w:rPr>
          <w:rFonts w:ascii="Times New Roman" w:hAnsi="Times New Roman"/>
          <w:sz w:val="20"/>
          <w:szCs w:val="20"/>
        </w:rPr>
        <w:t xml:space="preserve"> and </w:t>
      </w:r>
      <w:r w:rsidRPr="00C81A69">
        <w:rPr>
          <w:rFonts w:ascii="Times New Roman" w:hAnsi="Times New Roman"/>
          <w:sz w:val="20"/>
          <w:szCs w:val="20"/>
        </w:rPr>
        <w:t xml:space="preserve">Sumathy, K. (2012). Review on dye-sensitized solar cells (DSSCs): Fundamental concepts and novel materials. </w:t>
      </w:r>
      <w:r w:rsidRPr="00C81A69">
        <w:rPr>
          <w:rFonts w:ascii="Times New Roman" w:hAnsi="Times New Roman"/>
          <w:i/>
          <w:sz w:val="20"/>
          <w:szCs w:val="20"/>
        </w:rPr>
        <w:t>Renewable and Sustainable Energy Reviews</w:t>
      </w:r>
      <w:r w:rsidRPr="00C81A69">
        <w:rPr>
          <w:rFonts w:ascii="Times New Roman" w:hAnsi="Times New Roman"/>
          <w:sz w:val="20"/>
          <w:szCs w:val="20"/>
        </w:rPr>
        <w:t>, 16(8), 5848</w:t>
      </w:r>
      <w:r>
        <w:rPr>
          <w:rFonts w:ascii="Times New Roman" w:hAnsi="Times New Roman"/>
          <w:sz w:val="20"/>
          <w:szCs w:val="20"/>
        </w:rPr>
        <w:t>-</w:t>
      </w:r>
      <w:r w:rsidRPr="00C81A69">
        <w:rPr>
          <w:rFonts w:ascii="Times New Roman" w:hAnsi="Times New Roman"/>
          <w:sz w:val="20"/>
          <w:szCs w:val="20"/>
        </w:rPr>
        <w:t xml:space="preserve">5860. </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C81A69">
        <w:rPr>
          <w:rFonts w:ascii="Times New Roman" w:hAnsi="Times New Roman"/>
          <w:sz w:val="20"/>
          <w:szCs w:val="20"/>
        </w:rPr>
        <w:t xml:space="preserve">Polo, A. S., Itokazu, M. K. and Murakami Iha, N. Y. (2004). Metal complex sensitizers in dye-sensitized solar cells. </w:t>
      </w:r>
      <w:r w:rsidRPr="00C81A69">
        <w:rPr>
          <w:rFonts w:ascii="Times New Roman" w:hAnsi="Times New Roman"/>
          <w:i/>
          <w:iCs/>
          <w:sz w:val="20"/>
          <w:szCs w:val="20"/>
        </w:rPr>
        <w:t>Coordination Chemistry Reviews</w:t>
      </w:r>
      <w:r w:rsidRPr="00C81A69">
        <w:rPr>
          <w:rFonts w:ascii="Times New Roman" w:hAnsi="Times New Roman"/>
          <w:sz w:val="20"/>
          <w:szCs w:val="20"/>
        </w:rPr>
        <w:t>, 248(13-14), 1343</w:t>
      </w:r>
      <w:r>
        <w:rPr>
          <w:rFonts w:ascii="Times New Roman" w:hAnsi="Times New Roman"/>
          <w:sz w:val="20"/>
          <w:szCs w:val="20"/>
        </w:rPr>
        <w:t>-</w:t>
      </w:r>
      <w:r w:rsidRPr="00C81A69">
        <w:rPr>
          <w:rFonts w:ascii="Times New Roman" w:hAnsi="Times New Roman"/>
          <w:sz w:val="20"/>
          <w:szCs w:val="20"/>
        </w:rPr>
        <w:t xml:space="preserve">1361. </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C81A69">
        <w:rPr>
          <w:rFonts w:ascii="Times New Roman" w:hAnsi="Times New Roman"/>
          <w:sz w:val="20"/>
          <w:szCs w:val="20"/>
        </w:rPr>
        <w:t>Richhariya, G., Kumar, A., Tekasakul, P.</w:t>
      </w:r>
      <w:r>
        <w:rPr>
          <w:rFonts w:ascii="Times New Roman" w:hAnsi="Times New Roman"/>
          <w:sz w:val="20"/>
          <w:szCs w:val="20"/>
        </w:rPr>
        <w:t xml:space="preserve"> and </w:t>
      </w:r>
      <w:r w:rsidRPr="00C81A69">
        <w:rPr>
          <w:rFonts w:ascii="Times New Roman" w:hAnsi="Times New Roman"/>
          <w:sz w:val="20"/>
          <w:szCs w:val="20"/>
        </w:rPr>
        <w:t xml:space="preserve">Gupta, B. (2017). Natural dyes for dye-sensitized solar cell: A review. </w:t>
      </w:r>
      <w:r w:rsidRPr="00C81A69">
        <w:rPr>
          <w:rFonts w:ascii="Times New Roman" w:hAnsi="Times New Roman"/>
          <w:i/>
          <w:sz w:val="20"/>
          <w:szCs w:val="20"/>
        </w:rPr>
        <w:t>Renewable and Sustainable Energy Reviews</w:t>
      </w:r>
      <w:r w:rsidRPr="00C81A69">
        <w:rPr>
          <w:rFonts w:ascii="Times New Roman" w:hAnsi="Times New Roman"/>
          <w:sz w:val="20"/>
          <w:szCs w:val="20"/>
        </w:rPr>
        <w:t xml:space="preserve">, </w:t>
      </w:r>
      <w:r w:rsidRPr="00C81A69">
        <w:rPr>
          <w:rFonts w:ascii="Times New Roman" w:hAnsi="Times New Roman"/>
          <w:iCs/>
          <w:sz w:val="20"/>
          <w:szCs w:val="20"/>
        </w:rPr>
        <w:t>69</w:t>
      </w:r>
      <w:r>
        <w:rPr>
          <w:rFonts w:ascii="Times New Roman" w:hAnsi="Times New Roman"/>
          <w:iCs/>
          <w:sz w:val="20"/>
          <w:szCs w:val="20"/>
        </w:rPr>
        <w:t xml:space="preserve">: </w:t>
      </w:r>
      <w:r w:rsidRPr="00C81A69">
        <w:rPr>
          <w:rFonts w:ascii="Times New Roman" w:hAnsi="Times New Roman"/>
          <w:sz w:val="20"/>
          <w:szCs w:val="20"/>
        </w:rPr>
        <w:t>705-718.</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C81A69">
        <w:rPr>
          <w:rFonts w:ascii="Times New Roman" w:hAnsi="Times New Roman"/>
          <w:sz w:val="20"/>
          <w:szCs w:val="20"/>
        </w:rPr>
        <w:t>Hamadanian, M., Safaei-Ghomi, J., Hosseinpour, M., Masoomi, R.</w:t>
      </w:r>
      <w:r>
        <w:rPr>
          <w:rFonts w:ascii="Times New Roman" w:hAnsi="Times New Roman"/>
          <w:sz w:val="20"/>
          <w:szCs w:val="20"/>
        </w:rPr>
        <w:t xml:space="preserve"> and </w:t>
      </w:r>
      <w:r w:rsidRPr="00C81A69">
        <w:rPr>
          <w:rFonts w:ascii="Times New Roman" w:hAnsi="Times New Roman"/>
          <w:sz w:val="20"/>
          <w:szCs w:val="20"/>
        </w:rPr>
        <w:t xml:space="preserve">Jabbari, V. (2014). Uses of new natural dye photosensitizers in fabrication of high potential dye-sensitized solar cells (DSSCs). </w:t>
      </w:r>
      <w:r w:rsidRPr="00C81A69">
        <w:rPr>
          <w:rFonts w:ascii="Times New Roman" w:hAnsi="Times New Roman"/>
          <w:i/>
          <w:iCs/>
          <w:sz w:val="20"/>
          <w:szCs w:val="20"/>
        </w:rPr>
        <w:t>Materials Science in Semiconductor Processing</w:t>
      </w:r>
      <w:r w:rsidRPr="00C81A69">
        <w:rPr>
          <w:rFonts w:ascii="Times New Roman" w:hAnsi="Times New Roman"/>
          <w:sz w:val="20"/>
          <w:szCs w:val="20"/>
        </w:rPr>
        <w:t xml:space="preserve">, </w:t>
      </w:r>
      <w:r w:rsidRPr="00EA4AB4">
        <w:rPr>
          <w:rFonts w:ascii="Times New Roman" w:hAnsi="Times New Roman"/>
          <w:sz w:val="20"/>
          <w:szCs w:val="20"/>
        </w:rPr>
        <w:t>27</w:t>
      </w:r>
      <w:r>
        <w:rPr>
          <w:rFonts w:ascii="Times New Roman" w:hAnsi="Times New Roman"/>
          <w:sz w:val="20"/>
          <w:szCs w:val="20"/>
        </w:rPr>
        <w:t xml:space="preserve">: </w:t>
      </w:r>
      <w:r w:rsidRPr="00C81A69">
        <w:rPr>
          <w:rFonts w:ascii="Times New Roman" w:hAnsi="Times New Roman"/>
          <w:sz w:val="20"/>
          <w:szCs w:val="20"/>
        </w:rPr>
        <w:t>733</w:t>
      </w:r>
      <w:r>
        <w:rPr>
          <w:rFonts w:ascii="Times New Roman" w:hAnsi="Times New Roman"/>
          <w:sz w:val="20"/>
          <w:szCs w:val="20"/>
        </w:rPr>
        <w:t>-</w:t>
      </w:r>
      <w:r w:rsidRPr="00C81A69">
        <w:rPr>
          <w:rFonts w:ascii="Times New Roman" w:hAnsi="Times New Roman"/>
          <w:sz w:val="20"/>
          <w:szCs w:val="20"/>
        </w:rPr>
        <w:t xml:space="preserve">739. </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EA4AB4">
        <w:rPr>
          <w:rFonts w:ascii="Times New Roman" w:hAnsi="Times New Roman"/>
          <w:sz w:val="20"/>
          <w:szCs w:val="20"/>
        </w:rPr>
        <w:t>Koyama, Y., Miki, T., Wang, X. F.</w:t>
      </w:r>
      <w:r>
        <w:rPr>
          <w:rFonts w:ascii="Times New Roman" w:hAnsi="Times New Roman"/>
          <w:sz w:val="20"/>
          <w:szCs w:val="20"/>
        </w:rPr>
        <w:t xml:space="preserve"> and </w:t>
      </w:r>
      <w:r w:rsidRPr="00EA4AB4">
        <w:rPr>
          <w:rFonts w:ascii="Times New Roman" w:hAnsi="Times New Roman"/>
          <w:sz w:val="20"/>
          <w:szCs w:val="20"/>
        </w:rPr>
        <w:t xml:space="preserve">Nagae, H. (2009). Dye-sensitized solar cells based on the principles and materials of photosynthesis: Mechanisms of suppression and enhancement of photocurrent and conversion efficiency. </w:t>
      </w:r>
      <w:r w:rsidRPr="00EA4AB4">
        <w:rPr>
          <w:rFonts w:ascii="Times New Roman" w:hAnsi="Times New Roman"/>
          <w:i/>
          <w:iCs/>
          <w:sz w:val="20"/>
          <w:szCs w:val="20"/>
        </w:rPr>
        <w:t>International Journal of Molecular Sciences</w:t>
      </w:r>
      <w:r w:rsidRPr="00EA4AB4">
        <w:rPr>
          <w:rFonts w:ascii="Times New Roman" w:hAnsi="Times New Roman"/>
          <w:sz w:val="20"/>
          <w:szCs w:val="20"/>
        </w:rPr>
        <w:t>, 10(11)</w:t>
      </w:r>
      <w:r>
        <w:rPr>
          <w:rFonts w:ascii="Times New Roman" w:hAnsi="Times New Roman"/>
          <w:sz w:val="20"/>
          <w:szCs w:val="20"/>
        </w:rPr>
        <w:t>:</w:t>
      </w:r>
      <w:r w:rsidRPr="00EA4AB4">
        <w:rPr>
          <w:rFonts w:ascii="Times New Roman" w:hAnsi="Times New Roman"/>
          <w:sz w:val="20"/>
          <w:szCs w:val="20"/>
        </w:rPr>
        <w:t xml:space="preserve"> 4575</w:t>
      </w:r>
      <w:r>
        <w:rPr>
          <w:rFonts w:ascii="Times New Roman" w:hAnsi="Times New Roman"/>
          <w:sz w:val="20"/>
          <w:szCs w:val="20"/>
        </w:rPr>
        <w:t>-</w:t>
      </w:r>
      <w:r w:rsidRPr="00EA4AB4">
        <w:rPr>
          <w:rFonts w:ascii="Times New Roman" w:hAnsi="Times New Roman"/>
          <w:sz w:val="20"/>
          <w:szCs w:val="20"/>
        </w:rPr>
        <w:t xml:space="preserve">4622. </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EA4AB4">
        <w:rPr>
          <w:rFonts w:ascii="Times New Roman" w:hAnsi="Times New Roman"/>
          <w:sz w:val="20"/>
          <w:szCs w:val="20"/>
        </w:rPr>
        <w:t>Kalyanasundaram, K.</w:t>
      </w:r>
      <w:r>
        <w:rPr>
          <w:rFonts w:ascii="Times New Roman" w:hAnsi="Times New Roman"/>
          <w:sz w:val="20"/>
          <w:szCs w:val="20"/>
        </w:rPr>
        <w:t xml:space="preserve"> and </w:t>
      </w:r>
      <w:r w:rsidRPr="00EA4AB4">
        <w:rPr>
          <w:rFonts w:ascii="Times New Roman" w:hAnsi="Times New Roman"/>
          <w:sz w:val="20"/>
          <w:szCs w:val="20"/>
        </w:rPr>
        <w:t xml:space="preserve">Graetzel, M. (2010). Artificial photosynthesis: Biomimetic approaches to solar energy conversion and storage. </w:t>
      </w:r>
      <w:r w:rsidRPr="00EA4AB4">
        <w:rPr>
          <w:rFonts w:ascii="Times New Roman" w:hAnsi="Times New Roman"/>
          <w:i/>
          <w:iCs/>
          <w:sz w:val="20"/>
          <w:szCs w:val="20"/>
        </w:rPr>
        <w:t>Current Opinion in Biotechnology</w:t>
      </w:r>
      <w:r w:rsidRPr="00EA4AB4">
        <w:rPr>
          <w:rFonts w:ascii="Times New Roman" w:hAnsi="Times New Roman"/>
          <w:sz w:val="20"/>
          <w:szCs w:val="20"/>
        </w:rPr>
        <w:t>, 21(3)</w:t>
      </w:r>
      <w:r>
        <w:rPr>
          <w:rFonts w:ascii="Times New Roman" w:hAnsi="Times New Roman"/>
          <w:sz w:val="20"/>
          <w:szCs w:val="20"/>
        </w:rPr>
        <w:t>:</w:t>
      </w:r>
      <w:r w:rsidRPr="00EA4AB4">
        <w:rPr>
          <w:rFonts w:ascii="Times New Roman" w:hAnsi="Times New Roman"/>
          <w:sz w:val="20"/>
          <w:szCs w:val="20"/>
        </w:rPr>
        <w:t xml:space="preserve"> 298</w:t>
      </w:r>
      <w:r>
        <w:rPr>
          <w:rFonts w:ascii="Times New Roman" w:hAnsi="Times New Roman"/>
          <w:sz w:val="20"/>
          <w:szCs w:val="20"/>
        </w:rPr>
        <w:t>-</w:t>
      </w:r>
      <w:r w:rsidRPr="00EA4AB4">
        <w:rPr>
          <w:rFonts w:ascii="Times New Roman" w:hAnsi="Times New Roman"/>
          <w:sz w:val="20"/>
          <w:szCs w:val="20"/>
        </w:rPr>
        <w:t>310.</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EA4AB4">
        <w:rPr>
          <w:rFonts w:ascii="Times New Roman" w:hAnsi="Times New Roman"/>
          <w:sz w:val="20"/>
          <w:szCs w:val="20"/>
        </w:rPr>
        <w:t>Shahid, M., Shahid-Ul-Islam</w:t>
      </w:r>
      <w:r>
        <w:rPr>
          <w:rFonts w:ascii="Times New Roman" w:hAnsi="Times New Roman"/>
          <w:sz w:val="20"/>
          <w:szCs w:val="20"/>
        </w:rPr>
        <w:t xml:space="preserve"> and </w:t>
      </w:r>
      <w:r w:rsidRPr="00EA4AB4">
        <w:rPr>
          <w:rFonts w:ascii="Times New Roman" w:hAnsi="Times New Roman"/>
          <w:sz w:val="20"/>
          <w:szCs w:val="20"/>
        </w:rPr>
        <w:t xml:space="preserve">Mohammad, F. (2013). Recent advancements in natural dye applications: A review. </w:t>
      </w:r>
      <w:r w:rsidRPr="00EA4AB4">
        <w:rPr>
          <w:rFonts w:ascii="Times New Roman" w:hAnsi="Times New Roman"/>
          <w:i/>
          <w:iCs/>
          <w:sz w:val="20"/>
          <w:szCs w:val="20"/>
        </w:rPr>
        <w:t>Journal of Cleaner Production</w:t>
      </w:r>
      <w:r w:rsidRPr="00EA4AB4">
        <w:rPr>
          <w:rFonts w:ascii="Times New Roman" w:hAnsi="Times New Roman"/>
          <w:sz w:val="20"/>
          <w:szCs w:val="20"/>
        </w:rPr>
        <w:t>, 53</w:t>
      </w:r>
      <w:r>
        <w:rPr>
          <w:rFonts w:ascii="Times New Roman" w:hAnsi="Times New Roman"/>
          <w:sz w:val="20"/>
          <w:szCs w:val="20"/>
        </w:rPr>
        <w:t xml:space="preserve">: </w:t>
      </w:r>
      <w:r w:rsidRPr="00EA4AB4">
        <w:rPr>
          <w:rFonts w:ascii="Times New Roman" w:hAnsi="Times New Roman"/>
          <w:sz w:val="20"/>
          <w:szCs w:val="20"/>
        </w:rPr>
        <w:t>310</w:t>
      </w:r>
      <w:r>
        <w:rPr>
          <w:rFonts w:ascii="Times New Roman" w:hAnsi="Times New Roman"/>
          <w:sz w:val="20"/>
          <w:szCs w:val="20"/>
        </w:rPr>
        <w:t>-</w:t>
      </w:r>
      <w:r w:rsidRPr="00EA4AB4">
        <w:rPr>
          <w:rFonts w:ascii="Times New Roman" w:hAnsi="Times New Roman"/>
          <w:sz w:val="20"/>
          <w:szCs w:val="20"/>
        </w:rPr>
        <w:t>331.</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EA4AB4">
        <w:rPr>
          <w:rFonts w:ascii="Times New Roman" w:hAnsi="Times New Roman"/>
          <w:sz w:val="20"/>
          <w:szCs w:val="20"/>
        </w:rPr>
        <w:t>Hao, S., Wu, J., Huang, Y.</w:t>
      </w:r>
      <w:r>
        <w:rPr>
          <w:rFonts w:ascii="Times New Roman" w:hAnsi="Times New Roman"/>
          <w:sz w:val="20"/>
          <w:szCs w:val="20"/>
        </w:rPr>
        <w:t xml:space="preserve"> and </w:t>
      </w:r>
      <w:r w:rsidRPr="00EA4AB4">
        <w:rPr>
          <w:rFonts w:ascii="Times New Roman" w:hAnsi="Times New Roman"/>
          <w:sz w:val="20"/>
          <w:szCs w:val="20"/>
        </w:rPr>
        <w:t xml:space="preserve">Lin, J. (2006). Natural dyes as photosensitizers for dye-sensitized solar cell. </w:t>
      </w:r>
      <w:r w:rsidRPr="00EA4AB4">
        <w:rPr>
          <w:rFonts w:ascii="Times New Roman" w:hAnsi="Times New Roman"/>
          <w:i/>
          <w:iCs/>
          <w:sz w:val="20"/>
          <w:szCs w:val="20"/>
        </w:rPr>
        <w:t>Solar Energy</w:t>
      </w:r>
      <w:r w:rsidRPr="00EA4AB4">
        <w:rPr>
          <w:rFonts w:ascii="Times New Roman" w:hAnsi="Times New Roman"/>
          <w:sz w:val="20"/>
          <w:szCs w:val="20"/>
        </w:rPr>
        <w:t>, 80(2)</w:t>
      </w:r>
      <w:r>
        <w:rPr>
          <w:rFonts w:ascii="Times New Roman" w:hAnsi="Times New Roman"/>
          <w:sz w:val="20"/>
          <w:szCs w:val="20"/>
        </w:rPr>
        <w:t>:</w:t>
      </w:r>
      <w:r w:rsidRPr="00EA4AB4">
        <w:rPr>
          <w:rFonts w:ascii="Times New Roman" w:hAnsi="Times New Roman"/>
          <w:sz w:val="20"/>
          <w:szCs w:val="20"/>
        </w:rPr>
        <w:t xml:space="preserve"> 209</w:t>
      </w:r>
      <w:r>
        <w:rPr>
          <w:rFonts w:ascii="Times New Roman" w:hAnsi="Times New Roman"/>
          <w:sz w:val="20"/>
          <w:szCs w:val="20"/>
        </w:rPr>
        <w:t>-</w:t>
      </w:r>
      <w:r w:rsidRPr="00EA4AB4">
        <w:rPr>
          <w:rFonts w:ascii="Times New Roman" w:hAnsi="Times New Roman"/>
          <w:sz w:val="20"/>
          <w:szCs w:val="20"/>
        </w:rPr>
        <w:t xml:space="preserve">216. </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EA4AB4">
        <w:rPr>
          <w:rFonts w:ascii="Times New Roman" w:hAnsi="Times New Roman"/>
          <w:sz w:val="20"/>
          <w:szCs w:val="20"/>
          <w:shd w:val="clear" w:color="auto" w:fill="FFFFFF"/>
        </w:rPr>
        <w:t>Nazeeruddin, M.</w:t>
      </w:r>
      <w:r>
        <w:rPr>
          <w:rFonts w:ascii="Times New Roman" w:hAnsi="Times New Roman"/>
          <w:sz w:val="20"/>
          <w:szCs w:val="20"/>
          <w:shd w:val="clear" w:color="auto" w:fill="FFFFFF"/>
        </w:rPr>
        <w:t xml:space="preserve"> </w:t>
      </w:r>
      <w:r w:rsidRPr="00EA4AB4">
        <w:rPr>
          <w:rFonts w:ascii="Times New Roman" w:hAnsi="Times New Roman"/>
          <w:sz w:val="20"/>
          <w:szCs w:val="20"/>
          <w:shd w:val="clear" w:color="auto" w:fill="FFFFFF"/>
        </w:rPr>
        <w:t>K., Péchy, P., Renouard, T., Zakeeruddin, S.</w:t>
      </w:r>
      <w:r>
        <w:rPr>
          <w:rFonts w:ascii="Times New Roman" w:hAnsi="Times New Roman"/>
          <w:sz w:val="20"/>
          <w:szCs w:val="20"/>
          <w:shd w:val="clear" w:color="auto" w:fill="FFFFFF"/>
        </w:rPr>
        <w:t xml:space="preserve"> </w:t>
      </w:r>
      <w:r w:rsidRPr="00EA4AB4">
        <w:rPr>
          <w:rFonts w:ascii="Times New Roman" w:hAnsi="Times New Roman"/>
          <w:sz w:val="20"/>
          <w:szCs w:val="20"/>
          <w:shd w:val="clear" w:color="auto" w:fill="FFFFFF"/>
        </w:rPr>
        <w:t>M., Humphry-Baker, R., Comte, P., Liska, P., Cevey, L., Costa, E., Shklover, V.</w:t>
      </w:r>
      <w:r>
        <w:rPr>
          <w:rFonts w:ascii="Times New Roman" w:hAnsi="Times New Roman"/>
          <w:sz w:val="20"/>
          <w:szCs w:val="20"/>
          <w:shd w:val="clear" w:color="auto" w:fill="FFFFFF"/>
        </w:rPr>
        <w:t xml:space="preserve"> and </w:t>
      </w:r>
      <w:r w:rsidRPr="00EA4AB4">
        <w:rPr>
          <w:rFonts w:ascii="Times New Roman" w:hAnsi="Times New Roman"/>
          <w:sz w:val="20"/>
          <w:szCs w:val="20"/>
          <w:shd w:val="clear" w:color="auto" w:fill="FFFFFF"/>
        </w:rPr>
        <w:t>Spiccia, L. (2001). Engineering of efficient panchromatic sensitizers for nanocrystalline TiO</w:t>
      </w:r>
      <w:r w:rsidRPr="00EA4AB4">
        <w:rPr>
          <w:rFonts w:ascii="Times New Roman" w:hAnsi="Times New Roman"/>
          <w:sz w:val="20"/>
          <w:szCs w:val="20"/>
          <w:shd w:val="clear" w:color="auto" w:fill="FFFFFF"/>
          <w:vertAlign w:val="subscript"/>
        </w:rPr>
        <w:t>2</w:t>
      </w:r>
      <w:r w:rsidRPr="00EA4AB4">
        <w:rPr>
          <w:rFonts w:ascii="Times New Roman" w:hAnsi="Times New Roman"/>
          <w:sz w:val="20"/>
          <w:szCs w:val="20"/>
          <w:shd w:val="clear" w:color="auto" w:fill="FFFFFF"/>
        </w:rPr>
        <w:t>-based solar cells.</w:t>
      </w:r>
      <w:r w:rsidRPr="00EA4AB4">
        <w:rPr>
          <w:rStyle w:val="apple-converted-space"/>
          <w:rFonts w:ascii="Times New Roman" w:hAnsi="Times New Roman"/>
          <w:sz w:val="20"/>
          <w:szCs w:val="20"/>
          <w:shd w:val="clear" w:color="auto" w:fill="FFFFFF"/>
        </w:rPr>
        <w:t> </w:t>
      </w:r>
      <w:r w:rsidRPr="00EA4AB4">
        <w:rPr>
          <w:rFonts w:ascii="Times New Roman" w:hAnsi="Times New Roman"/>
          <w:i/>
          <w:iCs/>
          <w:sz w:val="20"/>
          <w:szCs w:val="20"/>
          <w:shd w:val="clear" w:color="auto" w:fill="FFFFFF"/>
        </w:rPr>
        <w:t>Journal of the American Chemical Society</w:t>
      </w:r>
      <w:r w:rsidRPr="00EA4AB4">
        <w:rPr>
          <w:rFonts w:ascii="Times New Roman" w:hAnsi="Times New Roman"/>
          <w:sz w:val="20"/>
          <w:szCs w:val="20"/>
          <w:shd w:val="clear" w:color="auto" w:fill="FFFFFF"/>
        </w:rPr>
        <w:t>,</w:t>
      </w:r>
      <w:r w:rsidRPr="00EA4AB4">
        <w:rPr>
          <w:rStyle w:val="apple-converted-space"/>
          <w:rFonts w:ascii="Times New Roman" w:hAnsi="Times New Roman"/>
          <w:sz w:val="20"/>
          <w:szCs w:val="20"/>
          <w:shd w:val="clear" w:color="auto" w:fill="FFFFFF"/>
        </w:rPr>
        <w:t> </w:t>
      </w:r>
      <w:r w:rsidRPr="00EA4AB4">
        <w:rPr>
          <w:rFonts w:ascii="Times New Roman" w:hAnsi="Times New Roman"/>
          <w:sz w:val="20"/>
          <w:szCs w:val="20"/>
          <w:shd w:val="clear" w:color="auto" w:fill="FFFFFF"/>
        </w:rPr>
        <w:t>123(8)</w:t>
      </w:r>
      <w:r>
        <w:rPr>
          <w:rFonts w:ascii="Times New Roman" w:hAnsi="Times New Roman"/>
          <w:sz w:val="20"/>
          <w:szCs w:val="20"/>
          <w:shd w:val="clear" w:color="auto" w:fill="FFFFFF"/>
        </w:rPr>
        <w:t>:</w:t>
      </w:r>
      <w:r w:rsidRPr="00EA4AB4">
        <w:rPr>
          <w:rFonts w:ascii="Times New Roman" w:hAnsi="Times New Roman"/>
          <w:sz w:val="20"/>
          <w:szCs w:val="20"/>
          <w:shd w:val="clear" w:color="auto" w:fill="FFFFFF"/>
        </w:rPr>
        <w:t xml:space="preserve"> 1613-1624.</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EA4AB4">
        <w:rPr>
          <w:rFonts w:ascii="Times New Roman" w:hAnsi="Times New Roman"/>
          <w:sz w:val="20"/>
          <w:szCs w:val="20"/>
        </w:rPr>
        <w:t xml:space="preserve">Nwanya, A. C., Ezema, F. I. and Ejikeme, P. M. (2011). Dyed sensitized solar cells: A technically and economically alternative concept to p-n junction photovoltaic devices. </w:t>
      </w:r>
      <w:r w:rsidRPr="00EA4AB4">
        <w:rPr>
          <w:rFonts w:ascii="Times New Roman" w:hAnsi="Times New Roman"/>
          <w:i/>
          <w:iCs/>
          <w:sz w:val="20"/>
          <w:szCs w:val="20"/>
        </w:rPr>
        <w:t>International Journal of the Physical Sciences</w:t>
      </w:r>
      <w:r w:rsidRPr="00EA4AB4">
        <w:rPr>
          <w:rFonts w:ascii="Times New Roman" w:hAnsi="Times New Roman"/>
          <w:sz w:val="20"/>
          <w:szCs w:val="20"/>
        </w:rPr>
        <w:t>, 6(22)</w:t>
      </w:r>
      <w:r>
        <w:rPr>
          <w:rFonts w:ascii="Times New Roman" w:hAnsi="Times New Roman"/>
          <w:sz w:val="20"/>
          <w:szCs w:val="20"/>
        </w:rPr>
        <w:t>:</w:t>
      </w:r>
      <w:r w:rsidRPr="00EA4AB4">
        <w:rPr>
          <w:rFonts w:ascii="Times New Roman" w:hAnsi="Times New Roman"/>
          <w:sz w:val="20"/>
          <w:szCs w:val="20"/>
        </w:rPr>
        <w:t xml:space="preserve"> 5190</w:t>
      </w:r>
      <w:r>
        <w:rPr>
          <w:rFonts w:ascii="Times New Roman" w:hAnsi="Times New Roman"/>
          <w:sz w:val="20"/>
          <w:szCs w:val="20"/>
        </w:rPr>
        <w:t>-</w:t>
      </w:r>
      <w:r w:rsidRPr="00EA4AB4">
        <w:rPr>
          <w:rFonts w:ascii="Times New Roman" w:hAnsi="Times New Roman"/>
          <w:sz w:val="20"/>
          <w:szCs w:val="20"/>
        </w:rPr>
        <w:t xml:space="preserve">5201. </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EA4AB4">
        <w:rPr>
          <w:rFonts w:ascii="Times New Roman" w:hAnsi="Times New Roman"/>
          <w:sz w:val="20"/>
          <w:szCs w:val="20"/>
          <w:shd w:val="clear" w:color="auto" w:fill="FFFFFF"/>
        </w:rPr>
        <w:t>Ahn, J., Lee, K.C., Kim, D., Lee, C., Lee, S., Cho, D.W., Kyung, S.</w:t>
      </w:r>
      <w:r>
        <w:rPr>
          <w:rFonts w:ascii="Times New Roman" w:hAnsi="Times New Roman"/>
          <w:sz w:val="20"/>
          <w:szCs w:val="20"/>
          <w:shd w:val="clear" w:color="auto" w:fill="FFFFFF"/>
        </w:rPr>
        <w:t xml:space="preserve"> and </w:t>
      </w:r>
      <w:r w:rsidRPr="00EA4AB4">
        <w:rPr>
          <w:rFonts w:ascii="Times New Roman" w:hAnsi="Times New Roman"/>
          <w:sz w:val="20"/>
          <w:szCs w:val="20"/>
          <w:shd w:val="clear" w:color="auto" w:fill="FFFFFF"/>
        </w:rPr>
        <w:t>Im, C. (2013). Synthesis of novel ruthenium dyes with thiophene or thienothiophene substituted terpyridyl ligands and their characterization.</w:t>
      </w:r>
      <w:r w:rsidRPr="00EA4AB4">
        <w:rPr>
          <w:rStyle w:val="apple-converted-space"/>
          <w:rFonts w:ascii="Times New Roman" w:hAnsi="Times New Roman"/>
          <w:sz w:val="20"/>
          <w:szCs w:val="20"/>
          <w:shd w:val="clear" w:color="auto" w:fill="FFFFFF"/>
        </w:rPr>
        <w:t> </w:t>
      </w:r>
      <w:r w:rsidRPr="00EA4AB4">
        <w:rPr>
          <w:rFonts w:ascii="Times New Roman" w:hAnsi="Times New Roman"/>
          <w:i/>
          <w:iCs/>
          <w:sz w:val="20"/>
          <w:szCs w:val="20"/>
          <w:shd w:val="clear" w:color="auto" w:fill="FFFFFF"/>
        </w:rPr>
        <w:t>Molecular Crystals and Liquid Crystals</w:t>
      </w:r>
      <w:r w:rsidRPr="00EA4AB4">
        <w:rPr>
          <w:rFonts w:ascii="Times New Roman" w:hAnsi="Times New Roman"/>
          <w:sz w:val="20"/>
          <w:szCs w:val="20"/>
          <w:shd w:val="clear" w:color="auto" w:fill="FFFFFF"/>
        </w:rPr>
        <w:t>,</w:t>
      </w:r>
      <w:r w:rsidRPr="00EA4AB4">
        <w:rPr>
          <w:rStyle w:val="apple-converted-space"/>
          <w:rFonts w:ascii="Times New Roman" w:hAnsi="Times New Roman"/>
          <w:sz w:val="20"/>
          <w:szCs w:val="20"/>
          <w:shd w:val="clear" w:color="auto" w:fill="FFFFFF"/>
        </w:rPr>
        <w:t> </w:t>
      </w:r>
      <w:r w:rsidRPr="00EA4AB4">
        <w:rPr>
          <w:rFonts w:ascii="Times New Roman" w:hAnsi="Times New Roman"/>
          <w:sz w:val="20"/>
          <w:szCs w:val="20"/>
          <w:shd w:val="clear" w:color="auto" w:fill="FFFFFF"/>
        </w:rPr>
        <w:t>581(1)</w:t>
      </w:r>
      <w:r>
        <w:rPr>
          <w:rFonts w:ascii="Times New Roman" w:hAnsi="Times New Roman"/>
          <w:sz w:val="20"/>
          <w:szCs w:val="20"/>
          <w:shd w:val="clear" w:color="auto" w:fill="FFFFFF"/>
        </w:rPr>
        <w:t>:</w:t>
      </w:r>
      <w:r w:rsidRPr="00EA4AB4">
        <w:rPr>
          <w:rFonts w:ascii="Times New Roman" w:hAnsi="Times New Roman"/>
          <w:sz w:val="20"/>
          <w:szCs w:val="20"/>
          <w:shd w:val="clear" w:color="auto" w:fill="FFFFFF"/>
        </w:rPr>
        <w:t xml:space="preserve"> 45-51.</w:t>
      </w:r>
      <w:r w:rsidRPr="00EA4AB4">
        <w:rPr>
          <w:rFonts w:ascii="Times New Roman" w:hAnsi="Times New Roman"/>
          <w:sz w:val="20"/>
          <w:szCs w:val="20"/>
        </w:rPr>
        <w:t xml:space="preserve"> </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EA4AB4">
        <w:rPr>
          <w:rFonts w:ascii="Times New Roman" w:hAnsi="Times New Roman"/>
          <w:sz w:val="20"/>
          <w:szCs w:val="20"/>
        </w:rPr>
        <w:t>Zhang, J., Yu, C., Wang, L., Li, Y., Ren, Y.</w:t>
      </w:r>
      <w:r>
        <w:rPr>
          <w:rFonts w:ascii="Times New Roman" w:hAnsi="Times New Roman"/>
          <w:sz w:val="20"/>
          <w:szCs w:val="20"/>
        </w:rPr>
        <w:t xml:space="preserve"> and </w:t>
      </w:r>
      <w:r w:rsidRPr="00EA4AB4">
        <w:rPr>
          <w:rFonts w:ascii="Times New Roman" w:hAnsi="Times New Roman"/>
          <w:sz w:val="20"/>
          <w:szCs w:val="20"/>
        </w:rPr>
        <w:t>Shum, K. (2014). Energy barrier at the N719-dye/CsSnI</w:t>
      </w:r>
      <w:r w:rsidRPr="00EA4AB4">
        <w:rPr>
          <w:rFonts w:ascii="Times New Roman" w:hAnsi="Times New Roman"/>
          <w:sz w:val="20"/>
          <w:szCs w:val="20"/>
          <w:vertAlign w:val="subscript"/>
        </w:rPr>
        <w:t>3</w:t>
      </w:r>
      <w:r w:rsidRPr="00EA4AB4">
        <w:rPr>
          <w:rFonts w:ascii="Times New Roman" w:hAnsi="Times New Roman"/>
          <w:sz w:val="20"/>
          <w:szCs w:val="20"/>
        </w:rPr>
        <w:t xml:space="preserve"> interface for photogenerated holes in dye-sensitized solar cells</w:t>
      </w:r>
      <w:r>
        <w:rPr>
          <w:rFonts w:ascii="Times New Roman" w:hAnsi="Times New Roman"/>
          <w:sz w:val="20"/>
          <w:szCs w:val="20"/>
        </w:rPr>
        <w:t xml:space="preserve">. </w:t>
      </w:r>
      <w:r w:rsidRPr="00EA4AB4">
        <w:rPr>
          <w:rFonts w:ascii="Times New Roman" w:hAnsi="Times New Roman"/>
          <w:i/>
          <w:iCs/>
          <w:sz w:val="20"/>
          <w:szCs w:val="20"/>
        </w:rPr>
        <w:t>Scientific Reports,</w:t>
      </w:r>
      <w:r>
        <w:rPr>
          <w:rFonts w:ascii="Times New Roman" w:hAnsi="Times New Roman"/>
          <w:sz w:val="20"/>
          <w:szCs w:val="20"/>
        </w:rPr>
        <w:t xml:space="preserve"> </w:t>
      </w:r>
      <w:r w:rsidRPr="00EA4AB4">
        <w:rPr>
          <w:rFonts w:ascii="Times New Roman" w:hAnsi="Times New Roman"/>
          <w:sz w:val="20"/>
          <w:szCs w:val="20"/>
        </w:rPr>
        <w:t>4:</w:t>
      </w:r>
      <w:r>
        <w:rPr>
          <w:rFonts w:ascii="Times New Roman" w:hAnsi="Times New Roman"/>
          <w:sz w:val="20"/>
          <w:szCs w:val="20"/>
        </w:rPr>
        <w:t xml:space="preserve"> 6954</w:t>
      </w:r>
      <w:r w:rsidRPr="00EA4AB4">
        <w:rPr>
          <w:rFonts w:ascii="Times New Roman" w:hAnsi="Times New Roman"/>
          <w:sz w:val="20"/>
          <w:szCs w:val="20"/>
        </w:rPr>
        <w:t xml:space="preserve">. </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EA4AB4">
        <w:rPr>
          <w:rFonts w:ascii="Times New Roman" w:hAnsi="Times New Roman"/>
          <w:sz w:val="20"/>
          <w:szCs w:val="20"/>
          <w:shd w:val="clear" w:color="auto" w:fill="FFFFFF"/>
        </w:rPr>
        <w:t>Lim, A., Manaf, N., Tennakoon, K., Chandrakanthi, R.</w:t>
      </w:r>
      <w:r>
        <w:rPr>
          <w:rFonts w:ascii="Times New Roman" w:hAnsi="Times New Roman"/>
          <w:sz w:val="20"/>
          <w:szCs w:val="20"/>
          <w:shd w:val="clear" w:color="auto" w:fill="FFFFFF"/>
        </w:rPr>
        <w:t xml:space="preserve"> </w:t>
      </w:r>
      <w:r w:rsidRPr="00EA4AB4">
        <w:rPr>
          <w:rFonts w:ascii="Times New Roman" w:hAnsi="Times New Roman"/>
          <w:sz w:val="20"/>
          <w:szCs w:val="20"/>
          <w:shd w:val="clear" w:color="auto" w:fill="FFFFFF"/>
        </w:rPr>
        <w:t>L.</w:t>
      </w:r>
      <w:r>
        <w:rPr>
          <w:rFonts w:ascii="Times New Roman" w:hAnsi="Times New Roman"/>
          <w:sz w:val="20"/>
          <w:szCs w:val="20"/>
          <w:shd w:val="clear" w:color="auto" w:fill="FFFFFF"/>
        </w:rPr>
        <w:t xml:space="preserve"> </w:t>
      </w:r>
      <w:r w:rsidRPr="00EA4AB4">
        <w:rPr>
          <w:rFonts w:ascii="Times New Roman" w:hAnsi="Times New Roman"/>
          <w:sz w:val="20"/>
          <w:szCs w:val="20"/>
          <w:shd w:val="clear" w:color="auto" w:fill="FFFFFF"/>
        </w:rPr>
        <w:t>N., Lim, L.</w:t>
      </w:r>
      <w:r>
        <w:rPr>
          <w:rFonts w:ascii="Times New Roman" w:hAnsi="Times New Roman"/>
          <w:sz w:val="20"/>
          <w:szCs w:val="20"/>
          <w:shd w:val="clear" w:color="auto" w:fill="FFFFFF"/>
        </w:rPr>
        <w:t xml:space="preserve"> </w:t>
      </w:r>
      <w:r w:rsidRPr="00EA4AB4">
        <w:rPr>
          <w:rFonts w:ascii="Times New Roman" w:hAnsi="Times New Roman"/>
          <w:sz w:val="20"/>
          <w:szCs w:val="20"/>
          <w:shd w:val="clear" w:color="auto" w:fill="FFFFFF"/>
        </w:rPr>
        <w:t>B.</w:t>
      </w:r>
      <w:r>
        <w:rPr>
          <w:rFonts w:ascii="Times New Roman" w:hAnsi="Times New Roman"/>
          <w:sz w:val="20"/>
          <w:szCs w:val="20"/>
          <w:shd w:val="clear" w:color="auto" w:fill="FFFFFF"/>
        </w:rPr>
        <w:t xml:space="preserve"> </w:t>
      </w:r>
      <w:r w:rsidRPr="00EA4AB4">
        <w:rPr>
          <w:rFonts w:ascii="Times New Roman" w:hAnsi="Times New Roman"/>
          <w:sz w:val="20"/>
          <w:szCs w:val="20"/>
          <w:shd w:val="clear" w:color="auto" w:fill="FFFFFF"/>
        </w:rPr>
        <w:t>L., Bandara, J.</w:t>
      </w:r>
      <w:r>
        <w:rPr>
          <w:rFonts w:ascii="Times New Roman" w:hAnsi="Times New Roman"/>
          <w:sz w:val="20"/>
          <w:szCs w:val="20"/>
          <w:shd w:val="clear" w:color="auto" w:fill="FFFFFF"/>
        </w:rPr>
        <w:t xml:space="preserve"> </w:t>
      </w:r>
      <w:r w:rsidRPr="00EA4AB4">
        <w:rPr>
          <w:rFonts w:ascii="Times New Roman" w:hAnsi="Times New Roman"/>
          <w:sz w:val="20"/>
          <w:szCs w:val="20"/>
          <w:shd w:val="clear" w:color="auto" w:fill="FFFFFF"/>
        </w:rPr>
        <w:t>M.</w:t>
      </w:r>
      <w:r>
        <w:rPr>
          <w:rFonts w:ascii="Times New Roman" w:hAnsi="Times New Roman"/>
          <w:sz w:val="20"/>
          <w:szCs w:val="20"/>
          <w:shd w:val="clear" w:color="auto" w:fill="FFFFFF"/>
        </w:rPr>
        <w:t xml:space="preserve"> </w:t>
      </w:r>
      <w:r w:rsidRPr="00EA4AB4">
        <w:rPr>
          <w:rFonts w:ascii="Times New Roman" w:hAnsi="Times New Roman"/>
          <w:sz w:val="20"/>
          <w:szCs w:val="20"/>
          <w:shd w:val="clear" w:color="auto" w:fill="FFFFFF"/>
        </w:rPr>
        <w:t>R.</w:t>
      </w:r>
      <w:r>
        <w:rPr>
          <w:rFonts w:ascii="Times New Roman" w:hAnsi="Times New Roman"/>
          <w:sz w:val="20"/>
          <w:szCs w:val="20"/>
          <w:shd w:val="clear" w:color="auto" w:fill="FFFFFF"/>
        </w:rPr>
        <w:t xml:space="preserve"> and</w:t>
      </w:r>
      <w:r w:rsidRPr="00EA4AB4">
        <w:rPr>
          <w:rFonts w:ascii="Times New Roman" w:hAnsi="Times New Roman"/>
          <w:sz w:val="20"/>
          <w:szCs w:val="20"/>
          <w:shd w:val="clear" w:color="auto" w:fill="FFFFFF"/>
        </w:rPr>
        <w:t xml:space="preserve"> Ekanayake, P. (2015). Higher performance of DSSC with dyes from </w:t>
      </w:r>
      <w:r w:rsidRPr="00EA4AB4">
        <w:rPr>
          <w:rFonts w:ascii="Times New Roman" w:hAnsi="Times New Roman"/>
          <w:i/>
          <w:sz w:val="20"/>
          <w:szCs w:val="20"/>
          <w:shd w:val="clear" w:color="auto" w:fill="FFFFFF"/>
        </w:rPr>
        <w:t>Cladophora sp</w:t>
      </w:r>
      <w:r w:rsidRPr="00EA4AB4">
        <w:rPr>
          <w:rFonts w:ascii="Times New Roman" w:hAnsi="Times New Roman"/>
          <w:sz w:val="20"/>
          <w:szCs w:val="20"/>
          <w:shd w:val="clear" w:color="auto" w:fill="FFFFFF"/>
        </w:rPr>
        <w:t>. as mixed co-sensitizer through synergistic effect.</w:t>
      </w:r>
      <w:r w:rsidRPr="00EA4AB4">
        <w:rPr>
          <w:rStyle w:val="apple-converted-space"/>
          <w:rFonts w:ascii="Times New Roman" w:hAnsi="Times New Roman"/>
          <w:sz w:val="20"/>
          <w:szCs w:val="20"/>
          <w:shd w:val="clear" w:color="auto" w:fill="FFFFFF"/>
        </w:rPr>
        <w:t> </w:t>
      </w:r>
      <w:r w:rsidRPr="00EA4AB4">
        <w:rPr>
          <w:rFonts w:ascii="Times New Roman" w:hAnsi="Times New Roman"/>
          <w:i/>
          <w:iCs/>
          <w:sz w:val="20"/>
          <w:szCs w:val="20"/>
          <w:shd w:val="clear" w:color="auto" w:fill="FFFFFF"/>
        </w:rPr>
        <w:t>Journal of Biophysics</w:t>
      </w:r>
      <w:r>
        <w:rPr>
          <w:rFonts w:ascii="Times New Roman" w:hAnsi="Times New Roman"/>
          <w:sz w:val="20"/>
          <w:szCs w:val="20"/>
          <w:shd w:val="clear" w:color="auto" w:fill="FFFFFF"/>
        </w:rPr>
        <w:t xml:space="preserve">: </w:t>
      </w:r>
      <w:r w:rsidRPr="00EA4AB4">
        <w:rPr>
          <w:rFonts w:ascii="Times New Roman" w:hAnsi="Times New Roman"/>
          <w:sz w:val="20"/>
          <w:szCs w:val="20"/>
          <w:shd w:val="clear" w:color="auto" w:fill="FFFFFF"/>
        </w:rPr>
        <w:t>1</w:t>
      </w:r>
      <w:r>
        <w:rPr>
          <w:rFonts w:ascii="Times New Roman" w:hAnsi="Times New Roman"/>
          <w:sz w:val="20"/>
          <w:szCs w:val="20"/>
          <w:shd w:val="clear" w:color="auto" w:fill="FFFFFF"/>
        </w:rPr>
        <w:t>-</w:t>
      </w:r>
      <w:r w:rsidRPr="00EA4AB4">
        <w:rPr>
          <w:rFonts w:ascii="Times New Roman" w:hAnsi="Times New Roman"/>
          <w:sz w:val="20"/>
          <w:szCs w:val="20"/>
          <w:shd w:val="clear" w:color="auto" w:fill="FFFFFF"/>
        </w:rPr>
        <w:t>8.</w:t>
      </w:r>
      <w:r w:rsidRPr="00EA4AB4">
        <w:rPr>
          <w:rFonts w:ascii="Times New Roman" w:hAnsi="Times New Roman"/>
          <w:sz w:val="20"/>
          <w:szCs w:val="20"/>
        </w:rPr>
        <w:t xml:space="preserve"> </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EA4AB4">
        <w:rPr>
          <w:rFonts w:ascii="Times New Roman" w:hAnsi="Times New Roman"/>
          <w:sz w:val="20"/>
          <w:szCs w:val="20"/>
        </w:rPr>
        <w:t xml:space="preserve">Galoppini, E. (2004). Linkers for anchoring sensitizers to semiconductor nanoparticles. </w:t>
      </w:r>
      <w:r w:rsidRPr="00EA4AB4">
        <w:rPr>
          <w:rFonts w:ascii="Times New Roman" w:hAnsi="Times New Roman"/>
          <w:i/>
          <w:iCs/>
          <w:sz w:val="20"/>
          <w:szCs w:val="20"/>
        </w:rPr>
        <w:t>Coordination Chemistry Reviews</w:t>
      </w:r>
      <w:r w:rsidRPr="00EA4AB4">
        <w:rPr>
          <w:rFonts w:ascii="Times New Roman" w:hAnsi="Times New Roman"/>
          <w:sz w:val="20"/>
          <w:szCs w:val="20"/>
        </w:rPr>
        <w:t>, 248(13-14)</w:t>
      </w:r>
      <w:r>
        <w:rPr>
          <w:rFonts w:ascii="Times New Roman" w:hAnsi="Times New Roman"/>
          <w:sz w:val="20"/>
          <w:szCs w:val="20"/>
        </w:rPr>
        <w:t xml:space="preserve">: </w:t>
      </w:r>
      <w:r w:rsidRPr="00EA4AB4">
        <w:rPr>
          <w:rFonts w:ascii="Times New Roman" w:hAnsi="Times New Roman"/>
          <w:sz w:val="20"/>
          <w:szCs w:val="20"/>
        </w:rPr>
        <w:t>1283</w:t>
      </w:r>
      <w:r>
        <w:rPr>
          <w:rFonts w:ascii="Times New Roman" w:hAnsi="Times New Roman"/>
          <w:sz w:val="20"/>
          <w:szCs w:val="20"/>
        </w:rPr>
        <w:t>-</w:t>
      </w:r>
      <w:r w:rsidRPr="00EA4AB4">
        <w:rPr>
          <w:rFonts w:ascii="Times New Roman" w:hAnsi="Times New Roman"/>
          <w:sz w:val="20"/>
          <w:szCs w:val="20"/>
        </w:rPr>
        <w:t>1297.</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EA4AB4">
        <w:rPr>
          <w:rFonts w:ascii="Times New Roman" w:hAnsi="Times New Roman"/>
          <w:sz w:val="20"/>
          <w:szCs w:val="20"/>
        </w:rPr>
        <w:t>Kumara, N. T. R. N., Ekanayake, P., Lim, A., Iskandar, M.</w:t>
      </w:r>
      <w:r>
        <w:rPr>
          <w:rFonts w:ascii="Times New Roman" w:hAnsi="Times New Roman"/>
          <w:sz w:val="20"/>
          <w:szCs w:val="20"/>
        </w:rPr>
        <w:t xml:space="preserve"> and </w:t>
      </w:r>
      <w:r w:rsidRPr="00EA4AB4">
        <w:rPr>
          <w:rFonts w:ascii="Times New Roman" w:hAnsi="Times New Roman"/>
          <w:sz w:val="20"/>
          <w:szCs w:val="20"/>
        </w:rPr>
        <w:t xml:space="preserve">Ming, L. C. (2013). Study of the enhancement of cell performance of dye sensitized solar cells sensitized with </w:t>
      </w:r>
      <w:r w:rsidRPr="00EA4AB4">
        <w:rPr>
          <w:rFonts w:ascii="Times New Roman" w:hAnsi="Times New Roman"/>
          <w:i/>
          <w:sz w:val="20"/>
          <w:szCs w:val="20"/>
        </w:rPr>
        <w:t>Nephelium lappaceum</w:t>
      </w:r>
      <w:r w:rsidRPr="00EA4AB4">
        <w:rPr>
          <w:rFonts w:ascii="Times New Roman" w:hAnsi="Times New Roman"/>
          <w:sz w:val="20"/>
          <w:szCs w:val="20"/>
        </w:rPr>
        <w:t xml:space="preserve"> (</w:t>
      </w:r>
      <w:r w:rsidRPr="00EA4AB4">
        <w:rPr>
          <w:rFonts w:ascii="Times New Roman" w:hAnsi="Times New Roman"/>
          <w:i/>
          <w:sz w:val="20"/>
          <w:szCs w:val="20"/>
        </w:rPr>
        <w:t>F: Sapindaceae</w:t>
      </w:r>
      <w:r w:rsidRPr="00EA4AB4">
        <w:rPr>
          <w:rFonts w:ascii="Times New Roman" w:hAnsi="Times New Roman"/>
          <w:sz w:val="20"/>
          <w:szCs w:val="20"/>
        </w:rPr>
        <w:t xml:space="preserve">). </w:t>
      </w:r>
      <w:r w:rsidRPr="00EA4AB4">
        <w:rPr>
          <w:rFonts w:ascii="Times New Roman" w:hAnsi="Times New Roman"/>
          <w:i/>
          <w:iCs/>
          <w:sz w:val="20"/>
          <w:szCs w:val="20"/>
        </w:rPr>
        <w:t>Journal of Solar Energy Engineering</w:t>
      </w:r>
      <w:r w:rsidRPr="00EA4AB4">
        <w:rPr>
          <w:rFonts w:ascii="Times New Roman" w:hAnsi="Times New Roman"/>
          <w:sz w:val="20"/>
          <w:szCs w:val="20"/>
        </w:rPr>
        <w:t>, 135</w:t>
      </w:r>
      <w:r>
        <w:rPr>
          <w:rFonts w:ascii="Times New Roman" w:hAnsi="Times New Roman"/>
          <w:sz w:val="20"/>
          <w:szCs w:val="20"/>
        </w:rPr>
        <w:t>:</w:t>
      </w:r>
      <w:r w:rsidRPr="00EA4AB4">
        <w:rPr>
          <w:rFonts w:ascii="Times New Roman" w:hAnsi="Times New Roman"/>
          <w:sz w:val="20"/>
          <w:szCs w:val="20"/>
        </w:rPr>
        <w:t xml:space="preserve"> 031014.</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EA4AB4">
        <w:rPr>
          <w:rFonts w:ascii="Times New Roman" w:hAnsi="Times New Roman"/>
          <w:sz w:val="20"/>
          <w:szCs w:val="20"/>
        </w:rPr>
        <w:t>Leonat, L., Sbârcea, G.</w:t>
      </w:r>
      <w:r>
        <w:rPr>
          <w:rFonts w:ascii="Times New Roman" w:hAnsi="Times New Roman"/>
          <w:sz w:val="20"/>
          <w:szCs w:val="20"/>
        </w:rPr>
        <w:t xml:space="preserve"> and </w:t>
      </w:r>
      <w:r w:rsidRPr="00EA4AB4">
        <w:rPr>
          <w:rFonts w:ascii="Times New Roman" w:hAnsi="Times New Roman"/>
          <w:sz w:val="20"/>
          <w:szCs w:val="20"/>
        </w:rPr>
        <w:t xml:space="preserve">Bran̂zoi, I. V. (2013). Cyclic voltammetry for energy levels estimation of organic materials. </w:t>
      </w:r>
      <w:r w:rsidRPr="00EA4AB4">
        <w:rPr>
          <w:rFonts w:ascii="Times New Roman" w:hAnsi="Times New Roman"/>
          <w:i/>
          <w:iCs/>
          <w:sz w:val="20"/>
          <w:szCs w:val="20"/>
        </w:rPr>
        <w:t>UPB Scientific Bulletin, Series B: Chemistry and Materials Science</w:t>
      </w:r>
      <w:r w:rsidRPr="00EA4AB4">
        <w:rPr>
          <w:rFonts w:ascii="Times New Roman" w:hAnsi="Times New Roman"/>
          <w:sz w:val="20"/>
          <w:szCs w:val="20"/>
        </w:rPr>
        <w:t>, 75</w:t>
      </w:r>
      <w:r>
        <w:rPr>
          <w:rFonts w:ascii="Times New Roman" w:hAnsi="Times New Roman"/>
          <w:sz w:val="20"/>
          <w:szCs w:val="20"/>
        </w:rPr>
        <w:t>:</w:t>
      </w:r>
      <w:r w:rsidRPr="00EA4AB4">
        <w:rPr>
          <w:rFonts w:ascii="Times New Roman" w:hAnsi="Times New Roman"/>
          <w:sz w:val="20"/>
          <w:szCs w:val="20"/>
        </w:rPr>
        <w:t xml:space="preserve"> 111</w:t>
      </w:r>
      <w:r>
        <w:rPr>
          <w:rFonts w:ascii="Times New Roman" w:hAnsi="Times New Roman"/>
          <w:sz w:val="20"/>
          <w:szCs w:val="20"/>
        </w:rPr>
        <w:t>-</w:t>
      </w:r>
      <w:r w:rsidRPr="00EA4AB4">
        <w:rPr>
          <w:rFonts w:ascii="Times New Roman" w:hAnsi="Times New Roman"/>
          <w:sz w:val="20"/>
          <w:szCs w:val="20"/>
        </w:rPr>
        <w:t>118.</w:t>
      </w:r>
    </w:p>
    <w:p w:rsidR="00262A39"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EA4AB4">
        <w:rPr>
          <w:rFonts w:ascii="Times New Roman" w:hAnsi="Times New Roman"/>
          <w:sz w:val="20"/>
          <w:szCs w:val="20"/>
        </w:rPr>
        <w:t>Kumara, N. T. R. N., Ekanayake, P., Lim, A., Liew, L. Y. C., Iskandar, M., Ming, L. C.</w:t>
      </w:r>
      <w:r>
        <w:rPr>
          <w:rFonts w:ascii="Times New Roman" w:hAnsi="Times New Roman"/>
          <w:sz w:val="20"/>
          <w:szCs w:val="20"/>
        </w:rPr>
        <w:t xml:space="preserve"> and </w:t>
      </w:r>
      <w:r w:rsidRPr="00EA4AB4">
        <w:rPr>
          <w:rFonts w:ascii="Times New Roman" w:hAnsi="Times New Roman"/>
          <w:sz w:val="20"/>
          <w:szCs w:val="20"/>
        </w:rPr>
        <w:t xml:space="preserve">Senadeera, G. K. R. (2013). Layered co-sensitization for enhancement of conversion efficiency of natural dye sensitized solar cells. </w:t>
      </w:r>
      <w:r w:rsidRPr="00EA4AB4">
        <w:rPr>
          <w:rFonts w:ascii="Times New Roman" w:hAnsi="Times New Roman"/>
          <w:i/>
          <w:iCs/>
          <w:sz w:val="20"/>
          <w:szCs w:val="20"/>
        </w:rPr>
        <w:t>Journal of Alloys and Compounds</w:t>
      </w:r>
      <w:r w:rsidRPr="00EA4AB4">
        <w:rPr>
          <w:rFonts w:ascii="Times New Roman" w:hAnsi="Times New Roman"/>
          <w:sz w:val="20"/>
          <w:szCs w:val="20"/>
        </w:rPr>
        <w:t>, 581</w:t>
      </w:r>
      <w:r>
        <w:rPr>
          <w:rFonts w:ascii="Times New Roman" w:hAnsi="Times New Roman"/>
          <w:sz w:val="20"/>
          <w:szCs w:val="20"/>
        </w:rPr>
        <w:t xml:space="preserve">: </w:t>
      </w:r>
      <w:r w:rsidRPr="00EA4AB4">
        <w:rPr>
          <w:rFonts w:ascii="Times New Roman" w:hAnsi="Times New Roman"/>
          <w:sz w:val="20"/>
          <w:szCs w:val="20"/>
        </w:rPr>
        <w:t>186</w:t>
      </w:r>
      <w:r>
        <w:rPr>
          <w:rFonts w:ascii="Times New Roman" w:hAnsi="Times New Roman"/>
          <w:sz w:val="20"/>
          <w:szCs w:val="20"/>
        </w:rPr>
        <w:t>-</w:t>
      </w:r>
      <w:r w:rsidRPr="00EA4AB4">
        <w:rPr>
          <w:rFonts w:ascii="Times New Roman" w:hAnsi="Times New Roman"/>
          <w:sz w:val="20"/>
          <w:szCs w:val="20"/>
        </w:rPr>
        <w:t>191.</w:t>
      </w:r>
    </w:p>
    <w:p w:rsidR="00AC0033" w:rsidRDefault="00262A39" w:rsidP="00262A39">
      <w:pPr>
        <w:pStyle w:val="ListParagraph"/>
        <w:numPr>
          <w:ilvl w:val="0"/>
          <w:numId w:val="3"/>
        </w:numPr>
        <w:spacing w:after="0" w:line="240" w:lineRule="auto"/>
        <w:ind w:left="360"/>
        <w:contextualSpacing w:val="0"/>
        <w:jc w:val="both"/>
        <w:rPr>
          <w:rFonts w:ascii="Times New Roman" w:hAnsi="Times New Roman"/>
          <w:sz w:val="20"/>
          <w:szCs w:val="20"/>
        </w:rPr>
      </w:pPr>
      <w:r w:rsidRPr="00EA4AB4">
        <w:rPr>
          <w:rFonts w:ascii="Times New Roman" w:hAnsi="Times New Roman"/>
          <w:sz w:val="20"/>
          <w:szCs w:val="20"/>
        </w:rPr>
        <w:lastRenderedPageBreak/>
        <w:t>Ooyama, Y</w:t>
      </w:r>
      <w:r>
        <w:rPr>
          <w:rFonts w:ascii="Times New Roman" w:hAnsi="Times New Roman"/>
          <w:sz w:val="20"/>
          <w:szCs w:val="20"/>
        </w:rPr>
        <w:t xml:space="preserve">. and </w:t>
      </w:r>
      <w:r w:rsidRPr="00EA4AB4">
        <w:rPr>
          <w:rFonts w:ascii="Times New Roman" w:hAnsi="Times New Roman"/>
          <w:sz w:val="20"/>
          <w:szCs w:val="20"/>
        </w:rPr>
        <w:t xml:space="preserve">Harima, Y. (2012). Photophysical and electrochemical properties, and molecular structures of organic dyes for dye-sensitized solar cells. </w:t>
      </w:r>
      <w:r w:rsidRPr="00EA4AB4">
        <w:rPr>
          <w:rFonts w:ascii="Times New Roman" w:hAnsi="Times New Roman"/>
          <w:i/>
          <w:iCs/>
          <w:sz w:val="20"/>
          <w:szCs w:val="20"/>
        </w:rPr>
        <w:t>ChemPhysChem</w:t>
      </w:r>
      <w:r w:rsidRPr="00EA4AB4">
        <w:rPr>
          <w:rFonts w:ascii="Times New Roman" w:hAnsi="Times New Roman"/>
          <w:sz w:val="20"/>
          <w:szCs w:val="20"/>
        </w:rPr>
        <w:t>, 13(18)</w:t>
      </w:r>
      <w:r>
        <w:rPr>
          <w:rFonts w:ascii="Times New Roman" w:hAnsi="Times New Roman"/>
          <w:sz w:val="20"/>
          <w:szCs w:val="20"/>
        </w:rPr>
        <w:t xml:space="preserve">: </w:t>
      </w:r>
      <w:r w:rsidRPr="00EA4AB4">
        <w:rPr>
          <w:rFonts w:ascii="Times New Roman" w:hAnsi="Times New Roman"/>
          <w:sz w:val="20"/>
          <w:szCs w:val="20"/>
        </w:rPr>
        <w:t>4032</w:t>
      </w:r>
      <w:r>
        <w:rPr>
          <w:rFonts w:ascii="Times New Roman" w:hAnsi="Times New Roman"/>
          <w:sz w:val="20"/>
          <w:szCs w:val="20"/>
        </w:rPr>
        <w:t>-</w:t>
      </w:r>
      <w:r w:rsidRPr="00EA4AB4">
        <w:rPr>
          <w:rFonts w:ascii="Times New Roman" w:hAnsi="Times New Roman"/>
          <w:sz w:val="20"/>
          <w:szCs w:val="20"/>
        </w:rPr>
        <w:t xml:space="preserve">4080. </w:t>
      </w:r>
    </w:p>
    <w:p w:rsidR="00262A39" w:rsidRPr="00262A39" w:rsidRDefault="00262A39" w:rsidP="00262A39">
      <w:pPr>
        <w:pStyle w:val="ListParagraph"/>
        <w:spacing w:after="0" w:line="240" w:lineRule="auto"/>
        <w:ind w:left="709"/>
        <w:jc w:val="both"/>
        <w:rPr>
          <w:rFonts w:ascii="Times New Roman" w:hAnsi="Times New Roman"/>
          <w:sz w:val="20"/>
          <w:szCs w:val="20"/>
        </w:rPr>
      </w:pPr>
    </w:p>
    <w:sectPr w:rsidR="00262A39" w:rsidRPr="00262A39" w:rsidSect="00026A13">
      <w:headerReference w:type="even" r:id="rId20"/>
      <w:headerReference w:type="default" r:id="rId21"/>
      <w:footerReference w:type="even" r:id="rId22"/>
      <w:footerReference w:type="default" r:id="rId23"/>
      <w:pgSz w:w="12240" w:h="15840" w:code="1"/>
      <w:pgMar w:top="1800" w:right="1469" w:bottom="1699" w:left="1440" w:header="706" w:footer="706" w:gutter="0"/>
      <w:pgNumType w:start="9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4C332B">
      <w:rPr>
        <w:rFonts w:ascii="Times New Roman" w:hAnsi="Times New Roman"/>
        <w:noProof/>
      </w:rPr>
      <w:t>106</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4C332B">
      <w:rPr>
        <w:rFonts w:ascii="Times New Roman" w:hAnsi="Times New Roman"/>
        <w:noProof/>
      </w:rPr>
      <w:t>105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4F28FC" w:rsidRDefault="00372D64" w:rsidP="004F28FC">
    <w:pPr>
      <w:pStyle w:val="Style1"/>
      <w:spacing w:after="0" w:line="240" w:lineRule="auto"/>
      <w:ind w:left="1620" w:hanging="1620"/>
      <w:rPr>
        <w:bCs/>
        <w:sz w:val="20"/>
        <w:szCs w:val="20"/>
      </w:rPr>
    </w:pPr>
    <w:r>
      <w:rPr>
        <w:sz w:val="20"/>
        <w:szCs w:val="20"/>
      </w:rPr>
      <w:t>Nur Ezyanie et al</w:t>
    </w:r>
    <w:r w:rsidR="006B72B0" w:rsidRPr="00372D64">
      <w:rPr>
        <w:sz w:val="20"/>
        <w:szCs w:val="20"/>
      </w:rPr>
      <w:t xml:space="preserve">: </w:t>
    </w:r>
    <w:r w:rsidR="00070F31" w:rsidRPr="00372D64">
      <w:rPr>
        <w:sz w:val="20"/>
        <w:szCs w:val="20"/>
      </w:rPr>
      <w:t xml:space="preserve"> </w:t>
    </w:r>
    <w:r w:rsidRPr="00372D64">
      <w:rPr>
        <w:sz w:val="20"/>
        <w:szCs w:val="20"/>
      </w:rPr>
      <w:t xml:space="preserve"> </w:t>
    </w:r>
    <w:r w:rsidRPr="00372D64">
      <w:rPr>
        <w:bCs/>
        <w:sz w:val="20"/>
        <w:szCs w:val="20"/>
      </w:rPr>
      <w:t>CO-SENSITIZATION OF NATURAL SENSITIZERS EXTRACTED FROM RENGAS (</w:t>
    </w:r>
    <w:r w:rsidRPr="00372D64">
      <w:rPr>
        <w:bCs/>
        <w:i/>
        <w:sz w:val="20"/>
        <w:szCs w:val="20"/>
      </w:rPr>
      <w:t>Gluta spp.</w:t>
    </w:r>
    <w:r w:rsidRPr="00372D64">
      <w:rPr>
        <w:bCs/>
        <w:sz w:val="20"/>
        <w:szCs w:val="20"/>
      </w:rPr>
      <w:t>) AND MENGKULANG (</w:t>
    </w:r>
    <w:r w:rsidRPr="00372D64">
      <w:rPr>
        <w:bCs/>
        <w:i/>
        <w:sz w:val="20"/>
        <w:szCs w:val="20"/>
      </w:rPr>
      <w:t>Heritiera elata</w:t>
    </w:r>
    <w:r w:rsidRPr="00372D64">
      <w:rPr>
        <w:bCs/>
        <w:sz w:val="20"/>
        <w:szCs w:val="20"/>
      </w:rPr>
      <w:t>)</w:t>
    </w:r>
    <w:r w:rsidRPr="00372D64">
      <w:rPr>
        <w:bCs/>
        <w:i/>
        <w:sz w:val="20"/>
        <w:szCs w:val="20"/>
      </w:rPr>
      <w:t xml:space="preserve"> </w:t>
    </w:r>
    <w:r w:rsidRPr="00372D64">
      <w:rPr>
        <w:bCs/>
        <w:sz w:val="20"/>
        <w:szCs w:val="20"/>
      </w:rPr>
      <w:t>WOOD WITH RUTHENIUM DYE (N719) TO ENHANCE THE PERFORMANCE OF DYE-SENSITIZED SOLAR CELLS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47088F">
      <w:rPr>
        <w:rFonts w:ascii="Times New Roman" w:hAnsi="Times New Roman"/>
        <w:i/>
        <w:lang w:val="en-US"/>
      </w:rPr>
      <w:t>2</w:t>
    </w:r>
    <w:r>
      <w:rPr>
        <w:rFonts w:ascii="Times New Roman" w:hAnsi="Times New Roman"/>
        <w:i/>
      </w:rPr>
      <w:t xml:space="preserve"> </w:t>
    </w:r>
    <w:r w:rsidR="0047088F">
      <w:rPr>
        <w:rFonts w:ascii="Times New Roman" w:hAnsi="Times New Roman"/>
        <w:i/>
        <w:lang w:val="en-US"/>
      </w:rPr>
      <w:t>No 1</w:t>
    </w:r>
    <w:r>
      <w:rPr>
        <w:rFonts w:ascii="Times New Roman" w:hAnsi="Times New Roman"/>
        <w:i/>
      </w:rPr>
      <w:t xml:space="preserve"> (201</w:t>
    </w:r>
    <w:r w:rsidR="0047088F">
      <w:rPr>
        <w:rFonts w:ascii="Times New Roman" w:hAnsi="Times New Roman"/>
        <w:i/>
        <w:lang w:val="en-US"/>
      </w:rPr>
      <w:t>8</w:t>
    </w:r>
    <w:r w:rsidRPr="00D75B35">
      <w:rPr>
        <w:rFonts w:ascii="Times New Roman" w:hAnsi="Times New Roman"/>
        <w:i/>
      </w:rPr>
      <w:t xml:space="preserve">): </w:t>
    </w:r>
    <w:r w:rsidR="00026A13">
      <w:rPr>
        <w:rFonts w:ascii="Times New Roman" w:hAnsi="Times New Roman"/>
        <w:i/>
        <w:lang w:val="en-US"/>
      </w:rPr>
      <w:t>95</w:t>
    </w:r>
    <w:r>
      <w:rPr>
        <w:rFonts w:ascii="Times New Roman" w:hAnsi="Times New Roman"/>
        <w:i/>
        <w:lang w:val="en-US"/>
      </w:rPr>
      <w:t xml:space="preserve"> </w:t>
    </w:r>
    <w:r w:rsidR="007A0583">
      <w:rPr>
        <w:rFonts w:ascii="Times New Roman" w:hAnsi="Times New Roman"/>
        <w:i/>
        <w:lang w:val="en-US"/>
      </w:rPr>
      <w:t>-</w:t>
    </w:r>
    <w:r w:rsidR="00026A13">
      <w:rPr>
        <w:rFonts w:ascii="Times New Roman" w:hAnsi="Times New Roman"/>
        <w:i/>
        <w:lang w:val="en-US"/>
      </w:rPr>
      <w:t xml:space="preserve"> 106</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47088F">
      <w:rPr>
        <w:rFonts w:ascii="Times New Roman" w:hAnsi="Times New Roman"/>
        <w:i/>
        <w:lang w:val="en-US"/>
      </w:rPr>
      <w:t>doi.org/10.17576/mjas-2018-22</w:t>
    </w:r>
    <w:r w:rsidR="00B91DE7">
      <w:rPr>
        <w:rFonts w:ascii="Times New Roman" w:hAnsi="Times New Roman"/>
        <w:i/>
        <w:lang w:val="en-US"/>
      </w:rPr>
      <w:t>0</w:t>
    </w:r>
    <w:r w:rsidR="0047088F">
      <w:rPr>
        <w:rFonts w:ascii="Times New Roman" w:hAnsi="Times New Roman"/>
        <w:i/>
        <w:lang w:val="en-US"/>
      </w:rPr>
      <w:t>1</w:t>
    </w:r>
    <w:r w:rsidR="00026A13">
      <w:rPr>
        <w:rFonts w:ascii="Times New Roman" w:hAnsi="Times New Roman"/>
        <w:i/>
        <w:lang w:val="en-US"/>
      </w:rPr>
      <w:t>-12</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C15B82"/>
    <w:multiLevelType w:val="hybridMultilevel"/>
    <w:tmpl w:val="ADC4B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26A13"/>
    <w:rsid w:val="0003330A"/>
    <w:rsid w:val="00046406"/>
    <w:rsid w:val="00067E6B"/>
    <w:rsid w:val="00070F31"/>
    <w:rsid w:val="00084936"/>
    <w:rsid w:val="000875CD"/>
    <w:rsid w:val="000C49FF"/>
    <w:rsid w:val="000D16A1"/>
    <w:rsid w:val="000D2B0C"/>
    <w:rsid w:val="000F4A63"/>
    <w:rsid w:val="000F77DA"/>
    <w:rsid w:val="001068E8"/>
    <w:rsid w:val="001106D8"/>
    <w:rsid w:val="00117BCD"/>
    <w:rsid w:val="001D035A"/>
    <w:rsid w:val="001D3855"/>
    <w:rsid w:val="001D6F2C"/>
    <w:rsid w:val="00262A39"/>
    <w:rsid w:val="00277498"/>
    <w:rsid w:val="0028007D"/>
    <w:rsid w:val="002860B7"/>
    <w:rsid w:val="00290F4D"/>
    <w:rsid w:val="002A2FC0"/>
    <w:rsid w:val="002B188F"/>
    <w:rsid w:val="002B3BD8"/>
    <w:rsid w:val="002F3F91"/>
    <w:rsid w:val="00304767"/>
    <w:rsid w:val="00304B34"/>
    <w:rsid w:val="00361BAF"/>
    <w:rsid w:val="00362FCE"/>
    <w:rsid w:val="00367D1F"/>
    <w:rsid w:val="00372D64"/>
    <w:rsid w:val="003B6019"/>
    <w:rsid w:val="003D4CDD"/>
    <w:rsid w:val="003D585B"/>
    <w:rsid w:val="003E7DA6"/>
    <w:rsid w:val="003F12FF"/>
    <w:rsid w:val="00401EB9"/>
    <w:rsid w:val="00412204"/>
    <w:rsid w:val="0047088F"/>
    <w:rsid w:val="004760D4"/>
    <w:rsid w:val="00494C46"/>
    <w:rsid w:val="004B43FF"/>
    <w:rsid w:val="004C332B"/>
    <w:rsid w:val="004D7E25"/>
    <w:rsid w:val="004F28FC"/>
    <w:rsid w:val="00502641"/>
    <w:rsid w:val="005C6768"/>
    <w:rsid w:val="005E4871"/>
    <w:rsid w:val="00601C8A"/>
    <w:rsid w:val="00623CB8"/>
    <w:rsid w:val="006257E5"/>
    <w:rsid w:val="00634C25"/>
    <w:rsid w:val="006416AB"/>
    <w:rsid w:val="0065447F"/>
    <w:rsid w:val="006768E9"/>
    <w:rsid w:val="00687982"/>
    <w:rsid w:val="0069647A"/>
    <w:rsid w:val="006B3EC8"/>
    <w:rsid w:val="006B72B0"/>
    <w:rsid w:val="006D286E"/>
    <w:rsid w:val="006D695E"/>
    <w:rsid w:val="006E2BA8"/>
    <w:rsid w:val="00725A6A"/>
    <w:rsid w:val="007943F3"/>
    <w:rsid w:val="007A0583"/>
    <w:rsid w:val="007A738C"/>
    <w:rsid w:val="007B1349"/>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D030D"/>
    <w:rsid w:val="009F04F4"/>
    <w:rsid w:val="00A120CA"/>
    <w:rsid w:val="00A14DB9"/>
    <w:rsid w:val="00A4762A"/>
    <w:rsid w:val="00A74A7E"/>
    <w:rsid w:val="00A91EFF"/>
    <w:rsid w:val="00AC0033"/>
    <w:rsid w:val="00AD1B8A"/>
    <w:rsid w:val="00AE713F"/>
    <w:rsid w:val="00AF2305"/>
    <w:rsid w:val="00AF2821"/>
    <w:rsid w:val="00B1121C"/>
    <w:rsid w:val="00B25B65"/>
    <w:rsid w:val="00B2770A"/>
    <w:rsid w:val="00B314AD"/>
    <w:rsid w:val="00B62AF1"/>
    <w:rsid w:val="00B75BF6"/>
    <w:rsid w:val="00B7735A"/>
    <w:rsid w:val="00B91DE7"/>
    <w:rsid w:val="00BA1595"/>
    <w:rsid w:val="00BA1F7B"/>
    <w:rsid w:val="00BB58AF"/>
    <w:rsid w:val="00BE7C30"/>
    <w:rsid w:val="00C055BF"/>
    <w:rsid w:val="00C2226A"/>
    <w:rsid w:val="00C234BA"/>
    <w:rsid w:val="00C94D92"/>
    <w:rsid w:val="00C97340"/>
    <w:rsid w:val="00CA513F"/>
    <w:rsid w:val="00CB3AA6"/>
    <w:rsid w:val="00CC20C2"/>
    <w:rsid w:val="00CF05FF"/>
    <w:rsid w:val="00D245BC"/>
    <w:rsid w:val="00D340BB"/>
    <w:rsid w:val="00D505D5"/>
    <w:rsid w:val="00D75B35"/>
    <w:rsid w:val="00D76E09"/>
    <w:rsid w:val="00D9736F"/>
    <w:rsid w:val="00D9792A"/>
    <w:rsid w:val="00DD377F"/>
    <w:rsid w:val="00E16130"/>
    <w:rsid w:val="00E25547"/>
    <w:rsid w:val="00E3287E"/>
    <w:rsid w:val="00E54D12"/>
    <w:rsid w:val="00E66197"/>
    <w:rsid w:val="00E84CCE"/>
    <w:rsid w:val="00F31093"/>
    <w:rsid w:val="00F412AF"/>
    <w:rsid w:val="00F43667"/>
    <w:rsid w:val="00F447A7"/>
    <w:rsid w:val="00F4760B"/>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Style1">
    <w:name w:val="Style1"/>
    <w:basedOn w:val="Normal"/>
    <w:link w:val="Style1Char"/>
    <w:qFormat/>
    <w:rsid w:val="00A120CA"/>
    <w:rPr>
      <w:rFonts w:ascii="Times New Roman" w:eastAsiaTheme="minorHAnsi" w:hAnsi="Times New Roman"/>
      <w:sz w:val="24"/>
      <w:szCs w:val="24"/>
      <w:lang w:bidi="ar-SA"/>
    </w:rPr>
  </w:style>
  <w:style w:type="character" w:customStyle="1" w:styleId="Style1Char">
    <w:name w:val="Style1 Char"/>
    <w:basedOn w:val="DefaultParagraphFont"/>
    <w:link w:val="Style1"/>
    <w:rsid w:val="00A120CA"/>
    <w:rPr>
      <w:rFonts w:ascii="Times New Roman" w:eastAsiaTheme="minorHAnsi" w:hAnsi="Times New Roman"/>
      <w:sz w:val="24"/>
      <w:szCs w:val="24"/>
    </w:rPr>
  </w:style>
  <w:style w:type="table" w:styleId="TableGrid">
    <w:name w:val="Table Grid"/>
    <w:basedOn w:val="TableNormal"/>
    <w:uiPriority w:val="59"/>
    <w:rsid w:val="00A120C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R12">
    <w:name w:val="TNR12"/>
    <w:basedOn w:val="Normal"/>
    <w:qFormat/>
    <w:rsid w:val="00A120CA"/>
    <w:rPr>
      <w:rFonts w:ascii="Times New Roman" w:eastAsiaTheme="minorHAnsi" w:hAnsi="Times New Roman"/>
      <w:sz w:val="24"/>
      <w:szCs w:val="24"/>
      <w:lang w:bidi="ar-SA"/>
    </w:rPr>
  </w:style>
  <w:style w:type="paragraph" w:customStyle="1" w:styleId="Default">
    <w:name w:val="Default"/>
    <w:rsid w:val="00A120CA"/>
    <w:pPr>
      <w:autoSpaceDE w:val="0"/>
      <w:autoSpaceDN w:val="0"/>
      <w:adjustRightInd w:val="0"/>
    </w:pPr>
    <w:rPr>
      <w:rFonts w:ascii="Times New Roman" w:eastAsiaTheme="minorHAnsi" w:hAnsi="Times New Roman"/>
      <w:color w:val="000000"/>
      <w:sz w:val="24"/>
      <w:szCs w:val="24"/>
    </w:rPr>
  </w:style>
  <w:style w:type="character" w:customStyle="1" w:styleId="apple-converted-space">
    <w:name w:val="apple-converted-space"/>
    <w:basedOn w:val="DefaultParagraphFont"/>
    <w:rsid w:val="00A120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Style1">
    <w:name w:val="Style1"/>
    <w:basedOn w:val="Normal"/>
    <w:link w:val="Style1Char"/>
    <w:qFormat/>
    <w:rsid w:val="00A120CA"/>
    <w:rPr>
      <w:rFonts w:ascii="Times New Roman" w:eastAsiaTheme="minorHAnsi" w:hAnsi="Times New Roman"/>
      <w:sz w:val="24"/>
      <w:szCs w:val="24"/>
      <w:lang w:bidi="ar-SA"/>
    </w:rPr>
  </w:style>
  <w:style w:type="character" w:customStyle="1" w:styleId="Style1Char">
    <w:name w:val="Style1 Char"/>
    <w:basedOn w:val="DefaultParagraphFont"/>
    <w:link w:val="Style1"/>
    <w:rsid w:val="00A120CA"/>
    <w:rPr>
      <w:rFonts w:ascii="Times New Roman" w:eastAsiaTheme="minorHAnsi" w:hAnsi="Times New Roman"/>
      <w:sz w:val="24"/>
      <w:szCs w:val="24"/>
    </w:rPr>
  </w:style>
  <w:style w:type="table" w:styleId="TableGrid">
    <w:name w:val="Table Grid"/>
    <w:basedOn w:val="TableNormal"/>
    <w:uiPriority w:val="59"/>
    <w:rsid w:val="00A120C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R12">
    <w:name w:val="TNR12"/>
    <w:basedOn w:val="Normal"/>
    <w:qFormat/>
    <w:rsid w:val="00A120CA"/>
    <w:rPr>
      <w:rFonts w:ascii="Times New Roman" w:eastAsiaTheme="minorHAnsi" w:hAnsi="Times New Roman"/>
      <w:sz w:val="24"/>
      <w:szCs w:val="24"/>
      <w:lang w:bidi="ar-SA"/>
    </w:rPr>
  </w:style>
  <w:style w:type="paragraph" w:customStyle="1" w:styleId="Default">
    <w:name w:val="Default"/>
    <w:rsid w:val="00A120CA"/>
    <w:pPr>
      <w:autoSpaceDE w:val="0"/>
      <w:autoSpaceDN w:val="0"/>
      <w:adjustRightInd w:val="0"/>
    </w:pPr>
    <w:rPr>
      <w:rFonts w:ascii="Times New Roman" w:eastAsiaTheme="minorHAnsi" w:hAnsi="Times New Roman"/>
      <w:color w:val="000000"/>
      <w:sz w:val="24"/>
      <w:szCs w:val="24"/>
    </w:rPr>
  </w:style>
  <w:style w:type="character" w:customStyle="1" w:styleId="apple-converted-space">
    <w:name w:val="apple-converted-space"/>
    <w:basedOn w:val="DefaultParagraphFont"/>
    <w:rsid w:val="00A12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12C89-2946-455B-83EA-932B21EF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Pages>
  <Words>4522</Words>
  <Characters>25871</Characters>
  <Application>Microsoft Office Word</Application>
  <DocSecurity>0</DocSecurity>
  <Lines>562</Lines>
  <Paragraphs>241</Paragraphs>
  <ScaleCrop>false</ScaleCrop>
  <HeadingPairs>
    <vt:vector size="2" baseType="variant">
      <vt:variant>
        <vt:lpstr>Title</vt:lpstr>
      </vt:variant>
      <vt:variant>
        <vt:i4>1</vt:i4>
      </vt:variant>
    </vt:vector>
  </HeadingPairs>
  <TitlesOfParts>
    <vt:vector size="1" baseType="lpstr">
      <vt:lpstr>MJAS Vol 22 No 1 (2018)</vt:lpstr>
    </vt:vector>
  </TitlesOfParts>
  <Company>UKM</Company>
  <LinksUpToDate>false</LinksUpToDate>
  <CharactersWithSpaces>30152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1 (2018)</dc:title>
  <dc:creator>Harun Hj Hamzah</dc:creator>
  <cp:lastModifiedBy>Harun Hamzah</cp:lastModifiedBy>
  <cp:revision>12</cp:revision>
  <cp:lastPrinted>2018-02-15T01:57:00Z</cp:lastPrinted>
  <dcterms:created xsi:type="dcterms:W3CDTF">2018-02-04T10:04:00Z</dcterms:created>
  <dcterms:modified xsi:type="dcterms:W3CDTF">2018-02-15T01:57:00Z</dcterms:modified>
</cp:coreProperties>
</file>