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6612D9" w:rsidRPr="00810436" w:rsidRDefault="006612D9" w:rsidP="006612D9">
      <w:pPr>
        <w:spacing w:after="0" w:line="240" w:lineRule="auto"/>
        <w:jc w:val="center"/>
        <w:outlineLvl w:val="0"/>
        <w:rPr>
          <w:rFonts w:ascii="Times New Roman" w:hAnsi="Times New Roman"/>
          <w:sz w:val="28"/>
        </w:rPr>
      </w:pPr>
      <w:r w:rsidRPr="00810436">
        <w:rPr>
          <w:rFonts w:ascii="Times New Roman" w:hAnsi="Times New Roman"/>
          <w:sz w:val="28"/>
        </w:rPr>
        <w:t>SYNTHESIS AND CHARACTERIZATION OF MESOPOROUS POLYMER-SILICA HYBRID MONOLITH USING CONVENTIONAL SOL-GEL METHOD FOR ENZYME SUPPORT</w:t>
      </w:r>
    </w:p>
    <w:p w:rsidR="006612D9" w:rsidRPr="00810436" w:rsidRDefault="006612D9" w:rsidP="006612D9">
      <w:pPr>
        <w:spacing w:after="0" w:line="240" w:lineRule="auto"/>
        <w:jc w:val="center"/>
        <w:outlineLvl w:val="0"/>
        <w:rPr>
          <w:rFonts w:ascii="Times New Roman" w:hAnsi="Times New Roman"/>
          <w:b/>
          <w:sz w:val="24"/>
        </w:rPr>
      </w:pPr>
    </w:p>
    <w:p w:rsidR="006612D9" w:rsidRPr="00810436" w:rsidRDefault="006612D9" w:rsidP="006612D9">
      <w:pPr>
        <w:spacing w:after="0" w:line="240" w:lineRule="auto"/>
        <w:jc w:val="center"/>
        <w:outlineLvl w:val="0"/>
        <w:rPr>
          <w:rFonts w:ascii="Times New Roman" w:hAnsi="Times New Roman"/>
          <w:sz w:val="24"/>
        </w:rPr>
      </w:pPr>
      <w:r>
        <w:rPr>
          <w:rFonts w:ascii="Times New Roman" w:hAnsi="Times New Roman"/>
          <w:sz w:val="24"/>
        </w:rPr>
        <w:t>(</w:t>
      </w:r>
      <w:r w:rsidRPr="00810436">
        <w:rPr>
          <w:rFonts w:ascii="Times New Roman" w:hAnsi="Times New Roman"/>
          <w:sz w:val="24"/>
          <w:lang w:val="ms-MY"/>
        </w:rPr>
        <w:t>Sintesis dan Pencirian Monolit Hibrid Polimer-Silika Berliang-Meso Menggunakan Kaedah Konvensional Sol-Gel Untuk Bertindak Sebagai Sokongan Enzim</w:t>
      </w:r>
      <w:r>
        <w:rPr>
          <w:rFonts w:ascii="Times New Roman" w:hAnsi="Times New Roman"/>
          <w:sz w:val="24"/>
        </w:rPr>
        <w:t>)</w:t>
      </w:r>
    </w:p>
    <w:p w:rsidR="006612D9" w:rsidRPr="00810436" w:rsidRDefault="006612D9" w:rsidP="006612D9">
      <w:pPr>
        <w:spacing w:after="0" w:line="240" w:lineRule="auto"/>
        <w:jc w:val="center"/>
        <w:outlineLvl w:val="0"/>
        <w:rPr>
          <w:rFonts w:ascii="Times New Roman" w:hAnsi="Times New Roman"/>
          <w:b/>
          <w:szCs w:val="20"/>
        </w:rPr>
      </w:pPr>
    </w:p>
    <w:p w:rsidR="006612D9" w:rsidRPr="006612D9" w:rsidRDefault="006612D9" w:rsidP="006612D9">
      <w:pPr>
        <w:spacing w:after="0" w:line="240" w:lineRule="auto"/>
        <w:jc w:val="center"/>
        <w:outlineLvl w:val="0"/>
        <w:rPr>
          <w:rFonts w:ascii="Times New Roman" w:hAnsi="Times New Roman"/>
          <w:sz w:val="20"/>
          <w:szCs w:val="20"/>
        </w:rPr>
      </w:pPr>
      <w:r w:rsidRPr="006612D9">
        <w:rPr>
          <w:rFonts w:ascii="Times New Roman" w:hAnsi="Times New Roman"/>
          <w:sz w:val="20"/>
          <w:szCs w:val="20"/>
        </w:rPr>
        <w:t>Noor Hidayah Idrohani</w:t>
      </w:r>
      <w:r w:rsidRPr="006612D9">
        <w:rPr>
          <w:rFonts w:ascii="Times New Roman" w:hAnsi="Times New Roman"/>
          <w:sz w:val="20"/>
          <w:szCs w:val="20"/>
          <w:vertAlign w:val="superscript"/>
        </w:rPr>
        <w:t>1</w:t>
      </w:r>
      <w:r w:rsidRPr="006612D9">
        <w:rPr>
          <w:rFonts w:ascii="Times New Roman" w:hAnsi="Times New Roman"/>
          <w:sz w:val="20"/>
          <w:szCs w:val="20"/>
        </w:rPr>
        <w:t>, Samuel M. Mugo</w:t>
      </w:r>
      <w:r w:rsidRPr="006612D9">
        <w:rPr>
          <w:rFonts w:ascii="Times New Roman" w:hAnsi="Times New Roman"/>
          <w:sz w:val="20"/>
          <w:szCs w:val="20"/>
          <w:vertAlign w:val="superscript"/>
        </w:rPr>
        <w:t>2</w:t>
      </w:r>
      <w:r w:rsidRPr="006612D9">
        <w:rPr>
          <w:rFonts w:ascii="Times New Roman" w:hAnsi="Times New Roman"/>
          <w:sz w:val="20"/>
          <w:szCs w:val="20"/>
        </w:rPr>
        <w:t>, Sabiqah Tuan Anuar</w:t>
      </w:r>
      <w:r w:rsidRPr="006612D9">
        <w:rPr>
          <w:rFonts w:ascii="Times New Roman" w:hAnsi="Times New Roman"/>
          <w:sz w:val="20"/>
          <w:szCs w:val="20"/>
          <w:vertAlign w:val="superscript"/>
        </w:rPr>
        <w:t>1</w:t>
      </w:r>
      <w:r w:rsidRPr="006612D9">
        <w:rPr>
          <w:rFonts w:ascii="Times New Roman" w:hAnsi="Times New Roman"/>
          <w:sz w:val="20"/>
          <w:szCs w:val="20"/>
        </w:rPr>
        <w:t>*</w:t>
      </w:r>
    </w:p>
    <w:p w:rsidR="006612D9" w:rsidRPr="00810436" w:rsidRDefault="006612D9" w:rsidP="006612D9">
      <w:pPr>
        <w:spacing w:after="0" w:line="240" w:lineRule="auto"/>
        <w:jc w:val="center"/>
        <w:outlineLvl w:val="0"/>
        <w:rPr>
          <w:rFonts w:ascii="Times New Roman" w:hAnsi="Times New Roman"/>
          <w:b/>
          <w:sz w:val="18"/>
          <w:szCs w:val="18"/>
        </w:rPr>
      </w:pPr>
    </w:p>
    <w:p w:rsidR="006612D9" w:rsidRDefault="006612D9" w:rsidP="006612D9">
      <w:pPr>
        <w:spacing w:after="0" w:line="240" w:lineRule="auto"/>
        <w:jc w:val="center"/>
        <w:outlineLvl w:val="0"/>
        <w:rPr>
          <w:rFonts w:ascii="Times New Roman" w:hAnsi="Times New Roman"/>
          <w:i/>
          <w:sz w:val="18"/>
          <w:szCs w:val="18"/>
        </w:rPr>
      </w:pPr>
      <w:r w:rsidRPr="00810436">
        <w:rPr>
          <w:rFonts w:ascii="Times New Roman" w:hAnsi="Times New Roman"/>
          <w:i/>
          <w:sz w:val="18"/>
          <w:szCs w:val="18"/>
          <w:vertAlign w:val="superscript"/>
        </w:rPr>
        <w:t>1</w:t>
      </w:r>
      <w:r w:rsidRPr="00810436">
        <w:rPr>
          <w:rFonts w:ascii="Times New Roman" w:hAnsi="Times New Roman"/>
          <w:i/>
          <w:sz w:val="18"/>
          <w:szCs w:val="18"/>
        </w:rPr>
        <w:t xml:space="preserve">School of Marine and Environmental Sciences, </w:t>
      </w:r>
    </w:p>
    <w:p w:rsidR="006612D9" w:rsidRPr="00810436" w:rsidRDefault="006612D9" w:rsidP="006612D9">
      <w:pPr>
        <w:spacing w:after="0" w:line="240" w:lineRule="auto"/>
        <w:jc w:val="center"/>
        <w:outlineLvl w:val="0"/>
        <w:rPr>
          <w:rFonts w:ascii="Times New Roman" w:hAnsi="Times New Roman"/>
          <w:i/>
          <w:sz w:val="18"/>
          <w:szCs w:val="18"/>
        </w:rPr>
      </w:pPr>
      <w:r w:rsidRPr="00810436">
        <w:rPr>
          <w:rFonts w:ascii="Times New Roman" w:hAnsi="Times New Roman"/>
          <w:i/>
          <w:sz w:val="18"/>
          <w:szCs w:val="18"/>
        </w:rPr>
        <w:t>Universiti Malaysia Terengganu, 21030 Kuala Nerus, Terengganu, Malaysia</w:t>
      </w:r>
    </w:p>
    <w:p w:rsidR="006612D9" w:rsidRDefault="006612D9" w:rsidP="006612D9">
      <w:pPr>
        <w:spacing w:after="0" w:line="240" w:lineRule="auto"/>
        <w:jc w:val="center"/>
        <w:outlineLvl w:val="0"/>
        <w:rPr>
          <w:rFonts w:ascii="Times New Roman" w:hAnsi="Times New Roman"/>
          <w:i/>
          <w:sz w:val="18"/>
          <w:szCs w:val="18"/>
        </w:rPr>
      </w:pPr>
      <w:r w:rsidRPr="00810436">
        <w:rPr>
          <w:rFonts w:ascii="Times New Roman" w:hAnsi="Times New Roman"/>
          <w:i/>
          <w:sz w:val="18"/>
          <w:szCs w:val="18"/>
          <w:vertAlign w:val="superscript"/>
        </w:rPr>
        <w:t>2</w:t>
      </w:r>
      <w:r w:rsidRPr="00810436">
        <w:rPr>
          <w:rFonts w:ascii="Times New Roman" w:hAnsi="Times New Roman"/>
          <w:i/>
          <w:sz w:val="18"/>
          <w:szCs w:val="18"/>
        </w:rPr>
        <w:t xml:space="preserve">Department of Physical Sciences, </w:t>
      </w:r>
    </w:p>
    <w:p w:rsidR="006612D9" w:rsidRPr="00810436" w:rsidRDefault="006612D9" w:rsidP="006612D9">
      <w:pPr>
        <w:spacing w:after="0" w:line="240" w:lineRule="auto"/>
        <w:jc w:val="center"/>
        <w:outlineLvl w:val="0"/>
        <w:rPr>
          <w:rFonts w:ascii="Times New Roman" w:hAnsi="Times New Roman"/>
          <w:i/>
          <w:sz w:val="18"/>
          <w:szCs w:val="18"/>
        </w:rPr>
      </w:pPr>
      <w:r w:rsidRPr="00810436">
        <w:rPr>
          <w:rFonts w:ascii="Times New Roman" w:hAnsi="Times New Roman"/>
          <w:i/>
          <w:sz w:val="18"/>
          <w:szCs w:val="18"/>
        </w:rPr>
        <w:t>Mac Ewan University, Edmonton, Alberta, T5J 4S2, Canada</w:t>
      </w:r>
    </w:p>
    <w:p w:rsidR="006612D9" w:rsidRPr="00810436" w:rsidRDefault="006612D9" w:rsidP="006612D9">
      <w:pPr>
        <w:spacing w:after="0" w:line="240" w:lineRule="auto"/>
        <w:jc w:val="center"/>
        <w:outlineLvl w:val="0"/>
        <w:rPr>
          <w:rFonts w:ascii="Times New Roman" w:hAnsi="Times New Roman"/>
          <w:b/>
          <w:sz w:val="18"/>
          <w:szCs w:val="18"/>
        </w:rPr>
      </w:pPr>
    </w:p>
    <w:p w:rsidR="006612D9" w:rsidRPr="00810436" w:rsidRDefault="006612D9" w:rsidP="006612D9">
      <w:pPr>
        <w:spacing w:after="0" w:line="240" w:lineRule="auto"/>
        <w:jc w:val="center"/>
        <w:outlineLvl w:val="0"/>
        <w:rPr>
          <w:rFonts w:ascii="Times New Roman" w:hAnsi="Times New Roman"/>
          <w:i/>
          <w:sz w:val="18"/>
        </w:rPr>
      </w:pPr>
      <w:r w:rsidRPr="00810436">
        <w:rPr>
          <w:rFonts w:ascii="Times New Roman" w:hAnsi="Times New Roman"/>
          <w:i/>
          <w:sz w:val="18"/>
          <w:vertAlign w:val="superscript"/>
        </w:rPr>
        <w:t>*</w:t>
      </w:r>
      <w:r w:rsidRPr="00810436">
        <w:rPr>
          <w:rFonts w:ascii="Times New Roman" w:hAnsi="Times New Roman"/>
          <w:i/>
          <w:sz w:val="18"/>
        </w:rPr>
        <w:t xml:space="preserve">Corresponding author: </w:t>
      </w:r>
      <w:r>
        <w:rPr>
          <w:rFonts w:ascii="Times New Roman" w:hAnsi="Times New Roman"/>
          <w:i/>
          <w:sz w:val="18"/>
        </w:rPr>
        <w:t xml:space="preserve"> </w:t>
      </w:r>
      <w:r w:rsidRPr="00810436">
        <w:rPr>
          <w:rFonts w:ascii="Times New Roman" w:hAnsi="Times New Roman"/>
          <w:i/>
          <w:sz w:val="18"/>
        </w:rPr>
        <w:t>sabiqahanuar@umt.edu.my</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D32228">
        <w:rPr>
          <w:rFonts w:ascii="Times New Roman" w:hAnsi="Times New Roman"/>
          <w:noProof/>
          <w:sz w:val="18"/>
          <w:szCs w:val="18"/>
          <w:lang w:bidi="ar-SA"/>
        </w:rPr>
        <w:t>26 August 2017</w:t>
      </w:r>
      <w:r>
        <w:rPr>
          <w:rFonts w:ascii="Times New Roman" w:hAnsi="Times New Roman"/>
          <w:noProof/>
          <w:sz w:val="18"/>
          <w:szCs w:val="18"/>
          <w:lang w:bidi="ar-SA"/>
        </w:rPr>
        <w:t xml:space="preserve">; Accepted: </w:t>
      </w:r>
      <w:r w:rsidR="00D32228">
        <w:rPr>
          <w:rFonts w:ascii="Times New Roman" w:hAnsi="Times New Roman"/>
          <w:noProof/>
          <w:sz w:val="18"/>
          <w:szCs w:val="18"/>
          <w:lang w:bidi="ar-SA"/>
        </w:rPr>
        <w:t>2 January 2018</w:t>
      </w:r>
    </w:p>
    <w:p w:rsidR="00AC0033"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6612D9" w:rsidRPr="00810436" w:rsidRDefault="006612D9" w:rsidP="006612D9">
      <w:pPr>
        <w:spacing w:after="0" w:line="240" w:lineRule="auto"/>
        <w:jc w:val="both"/>
        <w:outlineLvl w:val="0"/>
        <w:rPr>
          <w:rFonts w:ascii="Times New Roman" w:hAnsi="Times New Roman"/>
          <w:sz w:val="18"/>
          <w:szCs w:val="18"/>
        </w:rPr>
      </w:pPr>
      <w:r w:rsidRPr="00810436">
        <w:rPr>
          <w:rFonts w:ascii="Times New Roman" w:hAnsi="Times New Roman"/>
          <w:sz w:val="18"/>
          <w:szCs w:val="18"/>
        </w:rPr>
        <w:t xml:space="preserve">This research involved developing a novel solid support for an enzyme attachment, focusing on synthesizing a polymer-silica hybrid monolith </w:t>
      </w:r>
      <w:r w:rsidRPr="00810436">
        <w:rPr>
          <w:rFonts w:ascii="Times New Roman" w:hAnsi="Times New Roman"/>
          <w:i/>
          <w:sz w:val="18"/>
          <w:szCs w:val="18"/>
        </w:rPr>
        <w:t>via</w:t>
      </w:r>
      <w:r w:rsidRPr="00810436">
        <w:rPr>
          <w:rFonts w:ascii="Times New Roman" w:hAnsi="Times New Roman"/>
          <w:sz w:val="18"/>
          <w:szCs w:val="18"/>
        </w:rPr>
        <w:t xml:space="preserve"> </w:t>
      </w:r>
      <w:r w:rsidRPr="00810436">
        <w:rPr>
          <w:rFonts w:ascii="Times New Roman" w:hAnsi="Times New Roman"/>
          <w:i/>
          <w:iCs/>
          <w:sz w:val="18"/>
          <w:szCs w:val="18"/>
        </w:rPr>
        <w:t>in-situ</w:t>
      </w:r>
      <w:r w:rsidRPr="00810436">
        <w:rPr>
          <w:rFonts w:ascii="Times New Roman" w:hAnsi="Times New Roman"/>
          <w:sz w:val="18"/>
          <w:szCs w:val="18"/>
        </w:rPr>
        <w:t xml:space="preserve"> sol-gel polymerization method. The fabrication of a very large surface area of the monolith was done using a cold mixture of poly(ethylene-glycol) (PEG) with tetraethyl-orthosilicate (TEOS) and acetic acid with different ratios of PEG amount and molecular weights, namely PEG-0.1, PEG-0.2, and PEG-0.3. The experiments were conducted at a very low temperature of 0 °C, followed by overnight gelification and aging. The sol then underwent calcination at 200 °C forming a hybrid monolith. The characterizations of hybrid monoliths were performed by Attenuated-</w:t>
      </w:r>
      <w:r>
        <w:rPr>
          <w:rFonts w:ascii="Times New Roman" w:hAnsi="Times New Roman"/>
          <w:sz w:val="18"/>
          <w:szCs w:val="18"/>
        </w:rPr>
        <w:t>T</w:t>
      </w:r>
      <w:r w:rsidRPr="00810436">
        <w:rPr>
          <w:rFonts w:ascii="Times New Roman" w:hAnsi="Times New Roman"/>
          <w:sz w:val="18"/>
          <w:szCs w:val="18"/>
        </w:rPr>
        <w:t xml:space="preserve">otal </w:t>
      </w:r>
      <w:r>
        <w:rPr>
          <w:rFonts w:ascii="Times New Roman" w:hAnsi="Times New Roman"/>
          <w:sz w:val="18"/>
          <w:szCs w:val="18"/>
        </w:rPr>
        <w:t>R</w:t>
      </w:r>
      <w:r w:rsidRPr="00810436">
        <w:rPr>
          <w:rFonts w:ascii="Times New Roman" w:hAnsi="Times New Roman"/>
          <w:sz w:val="18"/>
          <w:szCs w:val="18"/>
        </w:rPr>
        <w:t>eflection–Fourier Transformed Infrared Spectroscopy (ATR-FTIR), Scanning Electron Microscope (SEM), and Surface Area and Porosity Analyzer using both Brunauer-Emmett-Teller (BET) and Barrett-Joyner-Halenda (BJH) methods to describe the developed monoliths. FTIR shows the presence of Si-O-Si stretching associated with the monolith network due to the polymerization process together with the presence of silanol functional group (Si-OH) that can be exploited further for covalent attachment with the enzyme. Results also showed that the optimum ratios for the hybrid polymer-silica synthesis were PEG-0.1with 10,000 M</w:t>
      </w:r>
      <w:r w:rsidRPr="00810436">
        <w:rPr>
          <w:rFonts w:ascii="Times New Roman" w:hAnsi="Times New Roman"/>
          <w:sz w:val="18"/>
          <w:szCs w:val="18"/>
          <w:vertAlign w:val="subscript"/>
        </w:rPr>
        <w:t>n</w:t>
      </w:r>
      <w:r w:rsidRPr="00810436">
        <w:rPr>
          <w:rFonts w:ascii="Times New Roman" w:hAnsi="Times New Roman"/>
          <w:sz w:val="18"/>
          <w:szCs w:val="18"/>
        </w:rPr>
        <w:t xml:space="preserve"> surface area of mesoporous network recorded for 494.121 m</w:t>
      </w:r>
      <w:r w:rsidRPr="00810436">
        <w:rPr>
          <w:rFonts w:ascii="Times New Roman" w:hAnsi="Times New Roman"/>
          <w:sz w:val="18"/>
          <w:szCs w:val="18"/>
          <w:vertAlign w:val="superscript"/>
        </w:rPr>
        <w:t>2</w:t>
      </w:r>
      <w:r w:rsidRPr="00810436">
        <w:rPr>
          <w:rFonts w:ascii="Times New Roman" w:hAnsi="Times New Roman"/>
          <w:sz w:val="18"/>
          <w:szCs w:val="18"/>
        </w:rPr>
        <w:t>/g and pore volume of 0.265 cm</w:t>
      </w:r>
      <w:r w:rsidRPr="00810436">
        <w:rPr>
          <w:rFonts w:ascii="Times New Roman" w:hAnsi="Times New Roman"/>
          <w:sz w:val="18"/>
          <w:szCs w:val="18"/>
          <w:vertAlign w:val="superscript"/>
        </w:rPr>
        <w:t>3</w:t>
      </w:r>
      <w:r w:rsidRPr="00810436">
        <w:rPr>
          <w:rFonts w:ascii="Times New Roman" w:hAnsi="Times New Roman"/>
          <w:sz w:val="18"/>
          <w:szCs w:val="18"/>
        </w:rPr>
        <w:t xml:space="preserve">/g. These findings showed that the synthesized hybrid monolith on fused silica capillary will provide a vast surface area with desirable functional groups; thus, very promising for lipase immobilization support that can be used in future small-scale lipid transformation. </w:t>
      </w:r>
    </w:p>
    <w:p w:rsidR="006612D9" w:rsidRPr="00810436" w:rsidRDefault="006612D9" w:rsidP="006612D9">
      <w:pPr>
        <w:spacing w:after="0" w:line="240" w:lineRule="auto"/>
        <w:jc w:val="both"/>
        <w:outlineLvl w:val="0"/>
        <w:rPr>
          <w:rFonts w:ascii="Times New Roman" w:hAnsi="Times New Roman"/>
          <w:sz w:val="18"/>
          <w:szCs w:val="18"/>
        </w:rPr>
      </w:pPr>
    </w:p>
    <w:p w:rsidR="006612D9" w:rsidRPr="00810436" w:rsidRDefault="006612D9" w:rsidP="006612D9">
      <w:pPr>
        <w:spacing w:after="0" w:line="240" w:lineRule="auto"/>
        <w:jc w:val="both"/>
        <w:outlineLvl w:val="0"/>
        <w:rPr>
          <w:rFonts w:ascii="Times New Roman" w:hAnsi="Times New Roman"/>
          <w:sz w:val="18"/>
          <w:szCs w:val="18"/>
        </w:rPr>
      </w:pPr>
      <w:r w:rsidRPr="00810436">
        <w:rPr>
          <w:rFonts w:ascii="Times New Roman" w:hAnsi="Times New Roman"/>
          <w:b/>
          <w:sz w:val="18"/>
          <w:szCs w:val="18"/>
        </w:rPr>
        <w:t>Keywords</w:t>
      </w:r>
      <w:r w:rsidRPr="00810436">
        <w:rPr>
          <w:rFonts w:ascii="Times New Roman" w:hAnsi="Times New Roman"/>
          <w:sz w:val="18"/>
          <w:szCs w:val="18"/>
        </w:rPr>
        <w:t xml:space="preserve">: </w:t>
      </w:r>
      <w:r>
        <w:rPr>
          <w:rFonts w:ascii="Times New Roman" w:hAnsi="Times New Roman"/>
          <w:sz w:val="18"/>
          <w:szCs w:val="18"/>
        </w:rPr>
        <w:t xml:space="preserve"> </w:t>
      </w:r>
      <w:r w:rsidRPr="00810436">
        <w:rPr>
          <w:rFonts w:ascii="Times New Roman" w:hAnsi="Times New Roman"/>
          <w:sz w:val="18"/>
          <w:szCs w:val="18"/>
        </w:rPr>
        <w:t>hybrid monolith, fused silica capillary, sol-gel polymerization, enzyme support, mesoporous monolith</w:t>
      </w:r>
    </w:p>
    <w:p w:rsidR="006612D9" w:rsidRPr="00810436" w:rsidRDefault="006612D9" w:rsidP="006612D9">
      <w:pPr>
        <w:spacing w:after="0" w:line="240" w:lineRule="auto"/>
        <w:jc w:val="center"/>
        <w:outlineLvl w:val="0"/>
        <w:rPr>
          <w:rFonts w:ascii="Times New Roman" w:hAnsi="Times New Roman"/>
          <w:b/>
          <w:sz w:val="18"/>
          <w:szCs w:val="18"/>
        </w:rPr>
      </w:pPr>
    </w:p>
    <w:p w:rsidR="006612D9" w:rsidRPr="00810436" w:rsidRDefault="006612D9" w:rsidP="006612D9">
      <w:pPr>
        <w:spacing w:after="0" w:line="240" w:lineRule="auto"/>
        <w:jc w:val="center"/>
        <w:outlineLvl w:val="0"/>
        <w:rPr>
          <w:rFonts w:ascii="Times New Roman" w:hAnsi="Times New Roman"/>
          <w:b/>
          <w:sz w:val="18"/>
          <w:szCs w:val="18"/>
          <w:lang w:val="ms-MY"/>
        </w:rPr>
      </w:pPr>
      <w:r w:rsidRPr="00810436">
        <w:rPr>
          <w:rFonts w:ascii="Times New Roman" w:hAnsi="Times New Roman"/>
          <w:b/>
          <w:sz w:val="18"/>
          <w:szCs w:val="18"/>
          <w:lang w:val="ms-MY"/>
        </w:rPr>
        <w:t>Abstrak</w:t>
      </w:r>
    </w:p>
    <w:p w:rsidR="006612D9" w:rsidRPr="00810436" w:rsidRDefault="006612D9" w:rsidP="006612D9">
      <w:pPr>
        <w:spacing w:after="0" w:line="240" w:lineRule="auto"/>
        <w:jc w:val="both"/>
        <w:outlineLvl w:val="0"/>
        <w:rPr>
          <w:rFonts w:ascii="Times New Roman" w:hAnsi="Times New Roman"/>
          <w:sz w:val="18"/>
          <w:szCs w:val="18"/>
          <w:lang w:val="ms-MY"/>
        </w:rPr>
      </w:pPr>
      <w:r w:rsidRPr="00810436">
        <w:rPr>
          <w:rFonts w:ascii="Times New Roman" w:hAnsi="Times New Roman"/>
          <w:sz w:val="18"/>
          <w:szCs w:val="18"/>
          <w:lang w:val="ms-MY"/>
        </w:rPr>
        <w:t>Penyelidikan ini melibatkan penghasilan satu sokongan baru untuk tautan enzim yang mana berfokuskan kepada sintesis monolit h</w:t>
      </w:r>
      <w:r>
        <w:rPr>
          <w:rFonts w:ascii="Times New Roman" w:hAnsi="Times New Roman"/>
          <w:sz w:val="18"/>
          <w:szCs w:val="18"/>
          <w:lang w:val="ms-MY"/>
        </w:rPr>
        <w:t>i</w:t>
      </w:r>
      <w:r w:rsidRPr="00810436">
        <w:rPr>
          <w:rFonts w:ascii="Times New Roman" w:hAnsi="Times New Roman"/>
          <w:sz w:val="18"/>
          <w:szCs w:val="18"/>
          <w:lang w:val="ms-MY"/>
        </w:rPr>
        <w:t xml:space="preserve">brid polimer-silika melalui kaedah pempolimeran sol-gel secara </w:t>
      </w:r>
      <w:r w:rsidRPr="00DD2A17">
        <w:rPr>
          <w:rFonts w:ascii="Times New Roman" w:hAnsi="Times New Roman"/>
          <w:i/>
          <w:iCs/>
          <w:sz w:val="18"/>
          <w:szCs w:val="18"/>
          <w:lang w:val="ms-MY"/>
        </w:rPr>
        <w:t>in-situ</w:t>
      </w:r>
      <w:r w:rsidRPr="00810436">
        <w:rPr>
          <w:rFonts w:ascii="Times New Roman" w:hAnsi="Times New Roman"/>
          <w:sz w:val="18"/>
          <w:szCs w:val="18"/>
          <w:lang w:val="ms-MY"/>
        </w:rPr>
        <w:t>. Pemfabrikatan monolit yang mempunyai luas permukaan yang sangat besar telah dilakukan menggunakan campuran sejuk daripada poli(et</w:t>
      </w:r>
      <w:r>
        <w:rPr>
          <w:rFonts w:ascii="Times New Roman" w:hAnsi="Times New Roman"/>
          <w:sz w:val="18"/>
          <w:szCs w:val="18"/>
          <w:lang w:val="ms-MY"/>
        </w:rPr>
        <w:t>i</w:t>
      </w:r>
      <w:r w:rsidRPr="00810436">
        <w:rPr>
          <w:rFonts w:ascii="Times New Roman" w:hAnsi="Times New Roman"/>
          <w:sz w:val="18"/>
          <w:szCs w:val="18"/>
          <w:lang w:val="ms-MY"/>
        </w:rPr>
        <w:t xml:space="preserve">lina-glikol)(PEG) dengan tetraetil-ortosilikat (TEOS) dan  asid asetik pada nisbah bagi jumlah dan berat molekular PEG yang berbeza, dan dinamakan PEG-0.1, PEG-0.2 </w:t>
      </w:r>
      <w:r>
        <w:rPr>
          <w:rFonts w:ascii="Times New Roman" w:hAnsi="Times New Roman"/>
          <w:sz w:val="18"/>
          <w:szCs w:val="18"/>
          <w:lang w:val="ms-MY"/>
        </w:rPr>
        <w:t>dan</w:t>
      </w:r>
      <w:r w:rsidRPr="00810436">
        <w:rPr>
          <w:rFonts w:ascii="Times New Roman" w:hAnsi="Times New Roman"/>
          <w:sz w:val="18"/>
          <w:szCs w:val="18"/>
          <w:lang w:val="ms-MY"/>
        </w:rPr>
        <w:t xml:space="preserve"> PEG-0.3. Eksperimen telah dijalankan dalam suhu yang sangat rendah pada 0°C diikuti dengan pengegelan dan penuaan untuk semalaman. Sol tersebut kemudiannya melalui proses kalsinasi pada suhu 200 °C lalu membentuk h</w:t>
      </w:r>
      <w:r>
        <w:rPr>
          <w:rFonts w:ascii="Times New Roman" w:hAnsi="Times New Roman"/>
          <w:sz w:val="18"/>
          <w:szCs w:val="18"/>
          <w:lang w:val="ms-MY"/>
        </w:rPr>
        <w:t>i</w:t>
      </w:r>
      <w:r w:rsidRPr="00810436">
        <w:rPr>
          <w:rFonts w:ascii="Times New Roman" w:hAnsi="Times New Roman"/>
          <w:sz w:val="18"/>
          <w:szCs w:val="18"/>
          <w:lang w:val="ms-MY"/>
        </w:rPr>
        <w:t xml:space="preserve">brid monolit. Hibrid monolit yang dihasilkan telah dicirikan melalui </w:t>
      </w:r>
      <w:r>
        <w:rPr>
          <w:rFonts w:ascii="Times New Roman" w:hAnsi="Times New Roman"/>
          <w:sz w:val="18"/>
          <w:szCs w:val="18"/>
          <w:lang w:val="ms-MY"/>
        </w:rPr>
        <w:t xml:space="preserve">inframerah transformasi Fourier </w:t>
      </w:r>
      <w:r w:rsidRPr="00810436">
        <w:rPr>
          <w:rFonts w:ascii="Times New Roman" w:hAnsi="Times New Roman"/>
          <w:sz w:val="18"/>
          <w:szCs w:val="18"/>
          <w:lang w:val="ms-MY"/>
        </w:rPr>
        <w:t xml:space="preserve">(FTIR), mikroskop pengimbas elektron (SEM) dan penganalisa rongga dan luas permukaan menggunakan kaedah Brunauer-Emmett-Teller (BET) dan Barrett-Joyner-Halenda (BJH) untuk menggambarkan monolit yang telah terbentuk. Keputusan dari FTIR menunjukkan kehadiran regangan Si-O-Si daripada jaringan monolit disebabkan proses pempolimeran, bersama-sama dengan kehadiran kumpulan berfungsi silanol </w:t>
      </w:r>
      <w:r w:rsidRPr="00810436">
        <w:rPr>
          <w:rFonts w:ascii="Times New Roman" w:hAnsi="Times New Roman"/>
          <w:sz w:val="18"/>
          <w:szCs w:val="18"/>
          <w:lang w:val="ms-MY"/>
        </w:rPr>
        <w:lastRenderedPageBreak/>
        <w:t>(Si-OH) yang boleh dieksplotasi untuk digunakan di dalam tautan kovalen dengan enzim.  Didapati bahawa nisbah optima bagi sintesis polimer-silika h</w:t>
      </w:r>
      <w:r>
        <w:rPr>
          <w:rFonts w:ascii="Times New Roman" w:hAnsi="Times New Roman"/>
          <w:sz w:val="18"/>
          <w:szCs w:val="18"/>
          <w:lang w:val="ms-MY"/>
        </w:rPr>
        <w:t>i</w:t>
      </w:r>
      <w:r w:rsidRPr="00810436">
        <w:rPr>
          <w:rFonts w:ascii="Times New Roman" w:hAnsi="Times New Roman"/>
          <w:sz w:val="18"/>
          <w:szCs w:val="18"/>
          <w:lang w:val="ms-MY"/>
        </w:rPr>
        <w:t>brid adalah PEG-0.1 dengan berat mole</w:t>
      </w:r>
      <w:r>
        <w:rPr>
          <w:rFonts w:ascii="Times New Roman" w:hAnsi="Times New Roman"/>
          <w:sz w:val="18"/>
          <w:szCs w:val="18"/>
          <w:lang w:val="ms-MY"/>
        </w:rPr>
        <w:t>kul</w:t>
      </w:r>
      <w:r w:rsidRPr="00810436">
        <w:rPr>
          <w:rFonts w:ascii="Times New Roman" w:hAnsi="Times New Roman"/>
          <w:sz w:val="18"/>
          <w:szCs w:val="18"/>
          <w:lang w:val="ms-MY"/>
        </w:rPr>
        <w:t xml:space="preserve"> 10,000 M</w:t>
      </w:r>
      <w:r w:rsidRPr="00810436">
        <w:rPr>
          <w:rFonts w:ascii="Times New Roman" w:hAnsi="Times New Roman"/>
          <w:sz w:val="18"/>
          <w:szCs w:val="18"/>
          <w:vertAlign w:val="subscript"/>
          <w:lang w:val="ms-MY"/>
        </w:rPr>
        <w:t>n</w:t>
      </w:r>
      <w:r w:rsidRPr="00810436">
        <w:rPr>
          <w:rFonts w:ascii="Times New Roman" w:hAnsi="Times New Roman"/>
          <w:sz w:val="18"/>
          <w:szCs w:val="18"/>
          <w:lang w:val="ms-MY"/>
        </w:rPr>
        <w:t xml:space="preserve">, yang mempunyai luas permukaan bagi jaringan </w:t>
      </w:r>
      <w:r>
        <w:rPr>
          <w:rFonts w:ascii="Times New Roman" w:hAnsi="Times New Roman"/>
          <w:sz w:val="18"/>
          <w:szCs w:val="18"/>
          <w:lang w:val="ms-MY"/>
        </w:rPr>
        <w:t>liang-</w:t>
      </w:r>
      <w:r w:rsidRPr="00810436">
        <w:rPr>
          <w:rFonts w:ascii="Times New Roman" w:hAnsi="Times New Roman"/>
          <w:sz w:val="18"/>
          <w:szCs w:val="18"/>
          <w:lang w:val="ms-MY"/>
        </w:rPr>
        <w:t>meso sebanyak 494.121 m</w:t>
      </w:r>
      <w:r w:rsidRPr="00810436">
        <w:rPr>
          <w:rFonts w:ascii="Times New Roman" w:hAnsi="Times New Roman"/>
          <w:sz w:val="18"/>
          <w:szCs w:val="18"/>
          <w:vertAlign w:val="superscript"/>
          <w:lang w:val="ms-MY"/>
        </w:rPr>
        <w:t>2</w:t>
      </w:r>
      <w:r w:rsidRPr="00810436">
        <w:rPr>
          <w:rFonts w:ascii="Times New Roman" w:hAnsi="Times New Roman"/>
          <w:sz w:val="18"/>
          <w:szCs w:val="18"/>
          <w:lang w:val="ms-MY"/>
        </w:rPr>
        <w:t>/g dan isipadu liang 0.265 cm</w:t>
      </w:r>
      <w:r w:rsidRPr="00810436">
        <w:rPr>
          <w:rFonts w:ascii="Times New Roman" w:hAnsi="Times New Roman"/>
          <w:sz w:val="18"/>
          <w:szCs w:val="18"/>
          <w:vertAlign w:val="superscript"/>
          <w:lang w:val="ms-MY"/>
        </w:rPr>
        <w:t>3</w:t>
      </w:r>
      <w:r w:rsidRPr="00810436">
        <w:rPr>
          <w:rFonts w:ascii="Times New Roman" w:hAnsi="Times New Roman"/>
          <w:sz w:val="18"/>
          <w:szCs w:val="18"/>
          <w:lang w:val="ms-MY"/>
        </w:rPr>
        <w:t xml:space="preserve">/g. Keputusan tersebut menunjukkan hibrid </w:t>
      </w:r>
      <w:r>
        <w:rPr>
          <w:rFonts w:ascii="Times New Roman" w:hAnsi="Times New Roman"/>
          <w:sz w:val="18"/>
          <w:szCs w:val="18"/>
          <w:lang w:val="ms-MY"/>
        </w:rPr>
        <w:t xml:space="preserve">monolit </w:t>
      </w:r>
      <w:r w:rsidRPr="00810436">
        <w:rPr>
          <w:rFonts w:ascii="Times New Roman" w:hAnsi="Times New Roman"/>
          <w:sz w:val="18"/>
          <w:szCs w:val="18"/>
          <w:lang w:val="ms-MY"/>
        </w:rPr>
        <w:t>yang disintesis di dalam kapilari sili</w:t>
      </w:r>
      <w:r>
        <w:rPr>
          <w:rFonts w:ascii="Times New Roman" w:hAnsi="Times New Roman"/>
          <w:sz w:val="18"/>
          <w:szCs w:val="18"/>
          <w:lang w:val="ms-MY"/>
        </w:rPr>
        <w:t>k</w:t>
      </w:r>
      <w:r w:rsidRPr="00810436">
        <w:rPr>
          <w:rFonts w:ascii="Times New Roman" w:hAnsi="Times New Roman"/>
          <w:sz w:val="18"/>
          <w:szCs w:val="18"/>
          <w:lang w:val="ms-MY"/>
        </w:rPr>
        <w:t>a kosong boleh menghasilkan luas permukaan yang sangat besar, dan berpotensi sebagai sokongan untuk</w:t>
      </w:r>
      <w:r>
        <w:rPr>
          <w:rFonts w:ascii="Times New Roman" w:hAnsi="Times New Roman"/>
          <w:sz w:val="18"/>
          <w:szCs w:val="18"/>
          <w:lang w:val="ms-MY"/>
        </w:rPr>
        <w:t xml:space="preserve"> pemegunan </w:t>
      </w:r>
      <w:r w:rsidRPr="00810436">
        <w:rPr>
          <w:rFonts w:ascii="Times New Roman" w:hAnsi="Times New Roman"/>
          <w:sz w:val="18"/>
          <w:szCs w:val="18"/>
          <w:lang w:val="ms-MY"/>
        </w:rPr>
        <w:t xml:space="preserve">lipase bagi transformasi lipid berskala kecil di masa hadapan. </w:t>
      </w:r>
    </w:p>
    <w:p w:rsidR="006612D9" w:rsidRPr="00810436" w:rsidRDefault="006612D9" w:rsidP="006612D9">
      <w:pPr>
        <w:spacing w:after="0" w:line="240" w:lineRule="auto"/>
        <w:jc w:val="both"/>
        <w:outlineLvl w:val="0"/>
        <w:rPr>
          <w:rFonts w:ascii="Times New Roman" w:hAnsi="Times New Roman"/>
          <w:b/>
          <w:sz w:val="18"/>
          <w:szCs w:val="18"/>
          <w:lang w:val="ms-MY"/>
        </w:rPr>
      </w:pPr>
    </w:p>
    <w:p w:rsidR="006612D9" w:rsidRPr="00810436" w:rsidRDefault="006612D9" w:rsidP="006612D9">
      <w:pPr>
        <w:spacing w:after="0" w:line="240" w:lineRule="auto"/>
        <w:jc w:val="both"/>
        <w:outlineLvl w:val="0"/>
        <w:rPr>
          <w:rFonts w:ascii="Times New Roman" w:hAnsi="Times New Roman"/>
          <w:b/>
          <w:szCs w:val="20"/>
          <w:lang w:val="ms-MY"/>
        </w:rPr>
      </w:pPr>
      <w:r w:rsidRPr="00810436">
        <w:rPr>
          <w:rFonts w:ascii="Times New Roman" w:hAnsi="Times New Roman"/>
          <w:b/>
          <w:sz w:val="18"/>
          <w:szCs w:val="18"/>
          <w:lang w:val="ms-MY"/>
        </w:rPr>
        <w:t>Kata kunci:</w:t>
      </w:r>
      <w:r>
        <w:rPr>
          <w:rFonts w:ascii="Times New Roman" w:hAnsi="Times New Roman"/>
          <w:b/>
          <w:sz w:val="18"/>
          <w:szCs w:val="18"/>
          <w:lang w:val="ms-MY"/>
        </w:rPr>
        <w:t xml:space="preserve">  </w:t>
      </w:r>
      <w:r w:rsidRPr="00810436">
        <w:rPr>
          <w:rFonts w:ascii="Times New Roman" w:hAnsi="Times New Roman"/>
          <w:sz w:val="18"/>
          <w:szCs w:val="18"/>
          <w:lang w:val="ms-MY"/>
        </w:rPr>
        <w:t>campuran monolit, kapilari sili</w:t>
      </w:r>
      <w:r>
        <w:rPr>
          <w:rFonts w:ascii="Times New Roman" w:hAnsi="Times New Roman"/>
          <w:sz w:val="18"/>
          <w:szCs w:val="18"/>
          <w:lang w:val="ms-MY"/>
        </w:rPr>
        <w:t>k</w:t>
      </w:r>
      <w:r w:rsidRPr="00810436">
        <w:rPr>
          <w:rFonts w:ascii="Times New Roman" w:hAnsi="Times New Roman"/>
          <w:sz w:val="18"/>
          <w:szCs w:val="18"/>
          <w:lang w:val="ms-MY"/>
        </w:rPr>
        <w:t>a kosong, pempolimeran sol-gel, sokongan enzim, monolit berliang-meso</w:t>
      </w:r>
    </w:p>
    <w:p w:rsidR="00AC0033" w:rsidRDefault="00AC0033" w:rsidP="00AC0033">
      <w:pPr>
        <w:spacing w:after="0" w:line="240" w:lineRule="auto"/>
        <w:jc w:val="center"/>
        <w:rPr>
          <w:rFonts w:ascii="Times New Roman" w:hAnsi="Times New Roman"/>
          <w:noProof/>
          <w:sz w:val="20"/>
          <w:szCs w:val="20"/>
          <w:lang w:bidi="ar-SA"/>
        </w:rPr>
      </w:pPr>
    </w:p>
    <w:p w:rsidR="00AC0033" w:rsidRPr="00BE7C30"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6612D9" w:rsidRPr="006612D9" w:rsidRDefault="006612D9" w:rsidP="006612D9">
      <w:pPr>
        <w:spacing w:after="0" w:line="240" w:lineRule="auto"/>
        <w:jc w:val="both"/>
        <w:outlineLvl w:val="0"/>
        <w:rPr>
          <w:rFonts w:ascii="Times New Roman" w:hAnsi="Times New Roman"/>
          <w:sz w:val="20"/>
          <w:szCs w:val="20"/>
        </w:rPr>
      </w:pPr>
      <w:r w:rsidRPr="006612D9">
        <w:rPr>
          <w:rFonts w:ascii="Times New Roman" w:hAnsi="Times New Roman"/>
          <w:sz w:val="20"/>
          <w:szCs w:val="20"/>
        </w:rPr>
        <w:t xml:space="preserve">To date, there are great interests in monolith fabrications for various analytical applications, especially in chromatography and catalysis. The wide range of monoliths has been developed with a variety and versatile class of materials as they can be easily prepared with varying porosity, pore size, and various chemical functionalities during the polymerization process [1]. Generally, monolith can be defined as a column or capillary that consists of a single large block of stone, particularly derived from the Greek word </w:t>
      </w:r>
      <w:r w:rsidRPr="006612D9">
        <w:rPr>
          <w:rFonts w:ascii="Times New Roman" w:hAnsi="Times New Roman"/>
          <w:i/>
          <w:sz w:val="20"/>
          <w:szCs w:val="20"/>
        </w:rPr>
        <w:t>monolithos</w:t>
      </w:r>
      <w:r w:rsidRPr="006612D9">
        <w:rPr>
          <w:rFonts w:ascii="Times New Roman" w:hAnsi="Times New Roman"/>
          <w:sz w:val="20"/>
          <w:szCs w:val="20"/>
        </w:rPr>
        <w:t xml:space="preserve"> with </w:t>
      </w:r>
      <w:r w:rsidRPr="006612D9">
        <w:rPr>
          <w:rFonts w:ascii="Times New Roman" w:hAnsi="Times New Roman"/>
          <w:i/>
          <w:sz w:val="20"/>
          <w:szCs w:val="20"/>
        </w:rPr>
        <w:t>monos</w:t>
      </w:r>
      <w:r w:rsidRPr="006612D9">
        <w:rPr>
          <w:rFonts w:ascii="Times New Roman" w:hAnsi="Times New Roman"/>
          <w:sz w:val="20"/>
          <w:szCs w:val="20"/>
        </w:rPr>
        <w:t xml:space="preserve"> meaning “single” and </w:t>
      </w:r>
      <w:r w:rsidRPr="006612D9">
        <w:rPr>
          <w:rFonts w:ascii="Times New Roman" w:hAnsi="Times New Roman"/>
          <w:i/>
          <w:sz w:val="20"/>
          <w:szCs w:val="20"/>
        </w:rPr>
        <w:t>lithos</w:t>
      </w:r>
      <w:r w:rsidRPr="006612D9">
        <w:rPr>
          <w:rFonts w:ascii="Times New Roman" w:hAnsi="Times New Roman"/>
          <w:sz w:val="20"/>
          <w:szCs w:val="20"/>
        </w:rPr>
        <w:t xml:space="preserve">, “stone”, respectively [2]. A monolith can be described as a continuously interconnected skeleton with large through-pores [3]. Meanwhile, according to IUPAC, a monolith is a shaped and intractable network with a homogenous fabricated microstructure in which it does not show any structural components discernible by optical microscopy [4, 5]. Fundamentally, the monolith structures comprise of a honeycomb-like structure accompanied by many thin, vertical, and parallel channels of layers of a continuous uniform porous support material [6]. Monoliths are broadly categorized but the organic- and inorganic-based monoliths are widely used for their classification purpose. Most of the monoliths are made by a combination of several monomers or can simply be one monomer being transformed with certain modifications [2]. For an organic monolith, the pre-polymerization mixture of monolith can contain monomers or porogen, crosslinkers, initiators, and porogenic solvents in a mold before polymerization takes place [7]. </w:t>
      </w:r>
    </w:p>
    <w:p w:rsidR="006612D9" w:rsidRPr="006612D9" w:rsidRDefault="006612D9" w:rsidP="006612D9">
      <w:pPr>
        <w:spacing w:after="0" w:line="240" w:lineRule="auto"/>
        <w:jc w:val="both"/>
        <w:outlineLvl w:val="0"/>
        <w:rPr>
          <w:rFonts w:ascii="Times New Roman" w:hAnsi="Times New Roman"/>
          <w:sz w:val="20"/>
          <w:szCs w:val="20"/>
        </w:rPr>
      </w:pPr>
    </w:p>
    <w:p w:rsidR="006612D9" w:rsidRPr="006612D9" w:rsidRDefault="006612D9" w:rsidP="006612D9">
      <w:pPr>
        <w:spacing w:after="0" w:line="240" w:lineRule="auto"/>
        <w:jc w:val="both"/>
        <w:outlineLvl w:val="0"/>
        <w:rPr>
          <w:rFonts w:ascii="Times New Roman" w:hAnsi="Times New Roman"/>
          <w:sz w:val="20"/>
          <w:szCs w:val="20"/>
        </w:rPr>
      </w:pPr>
      <w:r w:rsidRPr="006612D9">
        <w:rPr>
          <w:rFonts w:ascii="Times New Roman" w:hAnsi="Times New Roman"/>
          <w:sz w:val="20"/>
          <w:szCs w:val="20"/>
        </w:rPr>
        <w:t xml:space="preserve">Common materials being utilized in the polymeric monolith include styrene and methacrylate together with other acrylamide-based monomers where the polymerizable vinyl groups can be prepared in-situ within the capillary or column by radical polymerization using heat or UV reaction [2, 7, 8]. To date, a vast variety of organic polymer based-monoliths have been prepared, for instance, poly(glycidyl methacrylate-co-ethylene dimethacrylate) [9, 10], poly(N-acryloyltris (hydroxymethyl)aminomethane-co-pentaerythritol triacrylate) (NAHAM- co-PETA) [11], poly(butyl methacrylate-co-ethylene glycol dimethacrylate) [12], 3-(trimethoxysilyl)propylmethacrylate modified graphene oxide [13], and palladium-Schiff-base functionalized methyl methacrylate-glycidyl methacrylate (MMA-GMA) [14]. The monoliths prepared with this technique can still maintain their stability and have even gone through very high pH conditions. However, in the major scenarios, shrinkage and swelling cannot be avoided, especially when they were exposed to other mobile phases such as organic solvents, hence resulting in the low mechanical stability [15] that limits their application. </w:t>
      </w:r>
    </w:p>
    <w:p w:rsidR="006612D9" w:rsidRPr="006612D9" w:rsidRDefault="006612D9" w:rsidP="006612D9">
      <w:pPr>
        <w:spacing w:after="0" w:line="240" w:lineRule="auto"/>
        <w:jc w:val="both"/>
        <w:outlineLvl w:val="0"/>
        <w:rPr>
          <w:rFonts w:ascii="Times New Roman" w:hAnsi="Times New Roman"/>
          <w:sz w:val="20"/>
          <w:szCs w:val="20"/>
        </w:rPr>
      </w:pPr>
    </w:p>
    <w:p w:rsidR="006612D9" w:rsidRPr="006612D9" w:rsidRDefault="006612D9" w:rsidP="006612D9">
      <w:pPr>
        <w:spacing w:after="0" w:line="240" w:lineRule="auto"/>
        <w:jc w:val="both"/>
        <w:outlineLvl w:val="0"/>
        <w:rPr>
          <w:rFonts w:ascii="Times New Roman" w:hAnsi="Times New Roman"/>
          <w:sz w:val="20"/>
          <w:szCs w:val="20"/>
        </w:rPr>
      </w:pPr>
      <w:r w:rsidRPr="006612D9">
        <w:rPr>
          <w:rFonts w:ascii="Times New Roman" w:hAnsi="Times New Roman"/>
          <w:sz w:val="20"/>
          <w:szCs w:val="20"/>
        </w:rPr>
        <w:t xml:space="preserve">Thus, the modification of this type of monolith with an inorganic material such as silica is needed in order to increase their application. Previously, silica-based (inorganic) monoliths were generally prepared by the process of sol-gel and their surface eventually underwent silanization modifications [16]. On the contrary to the polymer monoliths that are easily swelled and undergone decomposition under solvent or temperature changes, silica monoliths are sufficiently great, even under extreme conditions [16, 17]. However, the drawbacks that cannot be fully neglected in preparing silica monolith are the shrinkage and cracking of the monolith itself [2, 16, 18, 19]. Therefore, the sol-gel hybrid materials have attracted huge attentions and proven to be promising since they have the merits from both earlier types of monolith, especially their outstanding mechanical strength and stability, as well as excellent pH stability [2, 20]. Nevertheless, the fabrication of polymer-silica hybrid monolith presented herein showed the improvements of this type of support due to the ease of preparation with the higher surface area and minimal shrinkage as the major benefits. Moreover, it was demonstrated in this study that the mesoporous networks of the monolith could be tailored differently with different ratios of monomer or porogen. </w:t>
      </w:r>
    </w:p>
    <w:p w:rsidR="006612D9" w:rsidRPr="006612D9" w:rsidRDefault="006612D9" w:rsidP="006612D9">
      <w:pPr>
        <w:spacing w:after="0" w:line="240" w:lineRule="auto"/>
        <w:jc w:val="center"/>
        <w:outlineLvl w:val="0"/>
        <w:rPr>
          <w:rFonts w:ascii="Times New Roman" w:hAnsi="Times New Roman"/>
          <w:sz w:val="20"/>
          <w:szCs w:val="20"/>
        </w:rPr>
      </w:pPr>
    </w:p>
    <w:p w:rsidR="006612D9" w:rsidRPr="006612D9" w:rsidRDefault="006612D9" w:rsidP="006612D9">
      <w:pPr>
        <w:spacing w:after="0" w:line="240" w:lineRule="auto"/>
        <w:jc w:val="center"/>
        <w:outlineLvl w:val="0"/>
        <w:rPr>
          <w:rFonts w:ascii="Times New Roman" w:hAnsi="Times New Roman"/>
          <w:b/>
          <w:sz w:val="20"/>
          <w:szCs w:val="20"/>
        </w:rPr>
      </w:pPr>
      <w:r w:rsidRPr="006612D9">
        <w:rPr>
          <w:rFonts w:ascii="Times New Roman" w:hAnsi="Times New Roman"/>
          <w:b/>
          <w:sz w:val="20"/>
          <w:szCs w:val="20"/>
        </w:rPr>
        <w:t>Materials and Methods</w:t>
      </w:r>
    </w:p>
    <w:p w:rsidR="006612D9" w:rsidRPr="006612D9" w:rsidRDefault="006612D9" w:rsidP="006612D9">
      <w:pPr>
        <w:spacing w:after="0" w:line="240" w:lineRule="auto"/>
        <w:jc w:val="both"/>
        <w:rPr>
          <w:rFonts w:ascii="Times New Roman" w:hAnsi="Times New Roman"/>
          <w:sz w:val="20"/>
          <w:szCs w:val="20"/>
        </w:rPr>
      </w:pPr>
      <w:r w:rsidRPr="006612D9">
        <w:rPr>
          <w:rFonts w:ascii="Times New Roman" w:hAnsi="Times New Roman"/>
          <w:sz w:val="20"/>
          <w:szCs w:val="20"/>
        </w:rPr>
        <w:t>Polyethylene glycol (PEG; M</w:t>
      </w:r>
      <w:r w:rsidRPr="006612D9">
        <w:rPr>
          <w:rFonts w:ascii="Times New Roman" w:hAnsi="Times New Roman"/>
          <w:sz w:val="20"/>
          <w:szCs w:val="20"/>
          <w:vertAlign w:val="subscript"/>
        </w:rPr>
        <w:t>n</w:t>
      </w:r>
      <w:r w:rsidRPr="006612D9">
        <w:rPr>
          <w:rFonts w:ascii="Times New Roman" w:hAnsi="Times New Roman"/>
          <w:sz w:val="20"/>
          <w:szCs w:val="20"/>
        </w:rPr>
        <w:t xml:space="preserve"> = 10,000 and 20,000), tetraethylorthosilicate (TEOS, 98%), acetic acid glacial, sodium hydroxide, hydrochloric acid, and methanol were purchased from Fluka/Sigma-Aldrich (Sigma-Aldrich, </w:t>
      </w:r>
      <w:r w:rsidRPr="006612D9">
        <w:rPr>
          <w:rFonts w:ascii="Times New Roman" w:hAnsi="Times New Roman"/>
          <w:sz w:val="20"/>
          <w:szCs w:val="20"/>
        </w:rPr>
        <w:lastRenderedPageBreak/>
        <w:t>Missouri, USA). The fused-silica capillary of 530-µm I.D and 700-µm O.D was purchased from Polymicro Technologies (Molex Singapore Pte. Ltd., Singapore). A precise NE-300 infusion syringe pump (New Era Pump System Inc., New York, USA) was used to infuse the substrates through capillaries.</w:t>
      </w:r>
    </w:p>
    <w:p w:rsidR="006612D9" w:rsidRPr="006612D9" w:rsidRDefault="006612D9" w:rsidP="006612D9">
      <w:pPr>
        <w:spacing w:after="0" w:line="240" w:lineRule="auto"/>
        <w:jc w:val="both"/>
        <w:rPr>
          <w:rFonts w:ascii="Times New Roman" w:hAnsi="Times New Roman"/>
          <w:sz w:val="20"/>
          <w:szCs w:val="20"/>
        </w:rPr>
      </w:pPr>
    </w:p>
    <w:p w:rsidR="006612D9" w:rsidRPr="006612D9" w:rsidRDefault="006612D9" w:rsidP="006612D9">
      <w:pPr>
        <w:spacing w:after="0" w:line="240" w:lineRule="auto"/>
        <w:jc w:val="both"/>
        <w:rPr>
          <w:rFonts w:ascii="Times New Roman" w:hAnsi="Times New Roman"/>
          <w:b/>
          <w:sz w:val="20"/>
          <w:szCs w:val="20"/>
        </w:rPr>
      </w:pPr>
      <w:r w:rsidRPr="006612D9">
        <w:rPr>
          <w:rFonts w:ascii="Times New Roman" w:hAnsi="Times New Roman"/>
          <w:b/>
          <w:sz w:val="20"/>
          <w:szCs w:val="20"/>
        </w:rPr>
        <w:t>Preparation of polymer-silica hybrid monolith capillary</w:t>
      </w:r>
    </w:p>
    <w:p w:rsidR="006612D9" w:rsidRPr="006612D9" w:rsidRDefault="006612D9" w:rsidP="006612D9">
      <w:pPr>
        <w:spacing w:after="0" w:line="240" w:lineRule="auto"/>
        <w:jc w:val="both"/>
        <w:rPr>
          <w:rFonts w:ascii="Times New Roman" w:hAnsi="Times New Roman"/>
          <w:sz w:val="20"/>
          <w:szCs w:val="20"/>
        </w:rPr>
      </w:pPr>
      <w:r w:rsidRPr="006612D9">
        <w:rPr>
          <w:rFonts w:ascii="Times New Roman" w:hAnsi="Times New Roman"/>
          <w:sz w:val="20"/>
          <w:szCs w:val="20"/>
        </w:rPr>
        <w:t>The preparation conditions of the monolithic silica-hybrid columns were similar to those reported previously but with some modification [19, 21, 22]. Prior to use, a fused-silica capillary was cut into 15 – 20 cm in length and treated with 0.1 mol HCl for 2 hours, water for 0.5 hour, 0.1 mol NaOH for 2 hours, water for 0.5 hour, and methanol for 0.5 hour, respectively. The resultant capillary was dried by a flow of nitrogen. The polymerization mixture was prepared by mixing 0.45 ml TEOS and 1 ml 0.01 M acetic acid with either 0.1 g PEG (PEG-0.1), 0.2 g PEG (PEG-0.2) or 0.3 g PEG (PEG-0.3). The optimum PEG weight (PEG-0.1) was later evaluated for different molecular weights (PEG-0.1 at 10,000 M</w:t>
      </w:r>
      <w:r w:rsidRPr="006612D9">
        <w:rPr>
          <w:rFonts w:ascii="Times New Roman" w:hAnsi="Times New Roman"/>
          <w:sz w:val="20"/>
          <w:szCs w:val="20"/>
          <w:vertAlign w:val="subscript"/>
        </w:rPr>
        <w:t>n</w:t>
      </w:r>
      <w:r w:rsidRPr="006612D9">
        <w:rPr>
          <w:rFonts w:ascii="Times New Roman" w:hAnsi="Times New Roman"/>
          <w:sz w:val="20"/>
          <w:szCs w:val="20"/>
        </w:rPr>
        <w:t xml:space="preserve"> and 20,000 M</w:t>
      </w:r>
      <w:r w:rsidRPr="006612D9">
        <w:rPr>
          <w:rFonts w:ascii="Times New Roman" w:hAnsi="Times New Roman"/>
          <w:sz w:val="20"/>
          <w:szCs w:val="20"/>
          <w:vertAlign w:val="subscript"/>
        </w:rPr>
        <w:t>n</w:t>
      </w:r>
      <w:r w:rsidRPr="006612D9">
        <w:rPr>
          <w:rFonts w:ascii="Times New Roman" w:hAnsi="Times New Roman"/>
          <w:sz w:val="20"/>
          <w:szCs w:val="20"/>
        </w:rPr>
        <w:t>). The mixture was then agitated using a vortex mixer to promote the hydrolytic reaction in an ice that was maintained at 0 °C for 40 minutes. The pretreated fused silica capillary was then filled with the transparent cold sol using a flow infusion pump at a flow rate of 5 µl/min for 1.5 hour. Both ends of the capillary were then sealed with septum before being submerged into the thermostatic bath at 42 °C for 24 hours. Lastly, calcination was carried out at 200 °C for 24 hours in a furnace oven, resulting in the decomposition of organic moieties in the capillary. After this, the polymer-silica hybrid monolith was ready for characterizations.</w:t>
      </w:r>
    </w:p>
    <w:p w:rsidR="006612D9" w:rsidRPr="006612D9" w:rsidRDefault="006612D9" w:rsidP="006612D9">
      <w:pPr>
        <w:spacing w:after="0" w:line="240" w:lineRule="auto"/>
        <w:jc w:val="both"/>
        <w:rPr>
          <w:rFonts w:ascii="Times New Roman" w:hAnsi="Times New Roman"/>
          <w:sz w:val="20"/>
          <w:szCs w:val="20"/>
        </w:rPr>
      </w:pPr>
    </w:p>
    <w:p w:rsidR="006612D9" w:rsidRPr="006612D9" w:rsidRDefault="006612D9" w:rsidP="006612D9">
      <w:pPr>
        <w:spacing w:after="0" w:line="240" w:lineRule="auto"/>
        <w:jc w:val="both"/>
        <w:rPr>
          <w:rFonts w:ascii="Times New Roman" w:hAnsi="Times New Roman"/>
          <w:b/>
          <w:sz w:val="20"/>
          <w:szCs w:val="20"/>
        </w:rPr>
      </w:pPr>
      <w:r w:rsidRPr="006612D9">
        <w:rPr>
          <w:rFonts w:ascii="Times New Roman" w:hAnsi="Times New Roman"/>
          <w:b/>
          <w:sz w:val="20"/>
          <w:szCs w:val="20"/>
        </w:rPr>
        <w:t>Evaluation of the hybrid monolithic capillary</w:t>
      </w:r>
    </w:p>
    <w:p w:rsidR="006612D9" w:rsidRDefault="006612D9" w:rsidP="006612D9">
      <w:pPr>
        <w:adjustRightInd w:val="0"/>
        <w:spacing w:after="0" w:line="240" w:lineRule="auto"/>
        <w:jc w:val="both"/>
        <w:rPr>
          <w:rFonts w:ascii="Times New Roman" w:hAnsi="Times New Roman"/>
          <w:sz w:val="20"/>
          <w:szCs w:val="20"/>
        </w:rPr>
      </w:pPr>
      <w:r w:rsidRPr="006612D9">
        <w:rPr>
          <w:rFonts w:ascii="Times New Roman" w:hAnsi="Times New Roman"/>
          <w:sz w:val="20"/>
          <w:szCs w:val="20"/>
        </w:rPr>
        <w:t xml:space="preserve">Attenuated-Total Reflection (ATR) Fourier Transform Infrared (FTIR) spectroscopy (IR Tracer-100 SHIMADZU, Kyoto, Japan) was used to characterize the surface functional groups of the monolith. Before the characterization, the diamond ATR crystal was solvent washed and dried, then an infrared background was collected. A small amount of monolith sample was prepared and loaded onto the ATR crystal and scanned to acquire the IR spectra. The scan rate was set to 20 spectra per seconds. </w:t>
      </w:r>
    </w:p>
    <w:p w:rsidR="006612D9" w:rsidRPr="006612D9" w:rsidRDefault="006612D9" w:rsidP="006612D9">
      <w:pPr>
        <w:adjustRightInd w:val="0"/>
        <w:spacing w:after="0" w:line="240" w:lineRule="auto"/>
        <w:jc w:val="both"/>
        <w:rPr>
          <w:rFonts w:ascii="Times New Roman" w:hAnsi="Times New Roman"/>
          <w:sz w:val="20"/>
          <w:szCs w:val="20"/>
        </w:rPr>
      </w:pPr>
    </w:p>
    <w:p w:rsidR="006612D9" w:rsidRPr="006612D9" w:rsidRDefault="006612D9" w:rsidP="006612D9">
      <w:pPr>
        <w:adjustRightInd w:val="0"/>
        <w:spacing w:after="0" w:line="240" w:lineRule="auto"/>
        <w:jc w:val="both"/>
        <w:rPr>
          <w:rFonts w:ascii="Times New Roman" w:hAnsi="Times New Roman"/>
          <w:sz w:val="20"/>
          <w:szCs w:val="20"/>
        </w:rPr>
      </w:pPr>
      <w:r w:rsidRPr="006612D9">
        <w:rPr>
          <w:rFonts w:ascii="Times New Roman" w:hAnsi="Times New Roman"/>
          <w:sz w:val="20"/>
          <w:szCs w:val="20"/>
        </w:rPr>
        <w:t>The surface morphology of monolith was determined using SEM (JOEL JSM-6360LA, Massachusetts, USA). Samples were prepared by cutting the fused silica capillary to a length of 1-2 mm and mounted on stainless steel stub. The mounted samples were coated with a thin layer of gold before being placed into a holder. Subsequently, all the samples were transferred into the SEM chamber. SEM was operated at 16kV with magnifications of 3000 magnification and 5000 magnifications.</w:t>
      </w:r>
    </w:p>
    <w:p w:rsidR="006612D9" w:rsidRPr="006612D9" w:rsidRDefault="006612D9" w:rsidP="006612D9">
      <w:pPr>
        <w:adjustRightInd w:val="0"/>
        <w:spacing w:after="0" w:line="240" w:lineRule="auto"/>
        <w:jc w:val="both"/>
        <w:rPr>
          <w:rFonts w:ascii="Times New Roman" w:hAnsi="Times New Roman"/>
          <w:sz w:val="20"/>
          <w:szCs w:val="20"/>
        </w:rPr>
      </w:pPr>
    </w:p>
    <w:p w:rsidR="006612D9" w:rsidRPr="006612D9" w:rsidRDefault="006612D9" w:rsidP="006612D9">
      <w:pPr>
        <w:adjustRightInd w:val="0"/>
        <w:spacing w:after="0" w:line="240" w:lineRule="auto"/>
        <w:jc w:val="both"/>
        <w:rPr>
          <w:rFonts w:ascii="Times New Roman" w:hAnsi="Times New Roman"/>
          <w:sz w:val="20"/>
          <w:szCs w:val="20"/>
        </w:rPr>
      </w:pPr>
      <w:r w:rsidRPr="006612D9">
        <w:rPr>
          <w:rFonts w:ascii="Times New Roman" w:hAnsi="Times New Roman"/>
          <w:sz w:val="20"/>
          <w:szCs w:val="20"/>
        </w:rPr>
        <w:t>The Surface Area and Porosity Analyzer (Micromeritics, Georgia, USA) was used for evaluating the monoliths. Nitrogen adsorption/desorption isotherms were measured by ASAP 2020 Micromeritics surface area analyzer at -196 °C. The specific surface areas of monoliths were assessed according to the standard Brunauer- Emmett-Teller (BET) method. The pore size distributions and total pore volume were also determined from the adsorption branches of isotherms by the Barrett-Joyner-Halenda (BJH) method.</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6612D9" w:rsidRPr="006612D9" w:rsidRDefault="006612D9" w:rsidP="006612D9">
      <w:pPr>
        <w:spacing w:after="0" w:line="240" w:lineRule="auto"/>
        <w:jc w:val="both"/>
        <w:outlineLvl w:val="0"/>
        <w:rPr>
          <w:rFonts w:ascii="Times New Roman" w:hAnsi="Times New Roman"/>
          <w:b/>
          <w:sz w:val="20"/>
          <w:szCs w:val="20"/>
        </w:rPr>
      </w:pPr>
      <w:r w:rsidRPr="006612D9">
        <w:rPr>
          <w:rFonts w:ascii="Times New Roman" w:hAnsi="Times New Roman"/>
          <w:sz w:val="20"/>
          <w:szCs w:val="20"/>
        </w:rPr>
        <w:t xml:space="preserve">In this paper, the synthesis and characterization of polymer-silica hybrid monolith support prepared </w:t>
      </w:r>
      <w:r w:rsidRPr="006612D9">
        <w:rPr>
          <w:rFonts w:ascii="Times New Roman" w:hAnsi="Times New Roman"/>
          <w:i/>
          <w:iCs/>
          <w:sz w:val="20"/>
          <w:szCs w:val="20"/>
        </w:rPr>
        <w:t>in-situ</w:t>
      </w:r>
      <w:r w:rsidRPr="006612D9">
        <w:rPr>
          <w:rFonts w:ascii="Times New Roman" w:hAnsi="Times New Roman"/>
          <w:sz w:val="20"/>
          <w:szCs w:val="20"/>
        </w:rPr>
        <w:t xml:space="preserve"> and rapidly in fused silica capillary tubing were demonstrated. The monolith was synthesized using poly(ethylene-glycol) (PEG) as an organic sol-gel precursor and monomer into the sol-gel solution which consisted of tetraethyl orthosilicate (TEOS) and acetic acid (AA). The PEG that also acted as a porogen in the synthesis monomers where the polymerizable vinyl groups from PEG were utilized to make mesopore networks with the TEOS. In this process, the incorporation of the precursor was proven to be vital as it possessed an octadecyl moiety [23]. The effects of adding different types and weights of PEG (PEG with molecular weights of 10,000 M</w:t>
      </w:r>
      <w:r w:rsidRPr="006612D9">
        <w:rPr>
          <w:rFonts w:ascii="Times New Roman" w:hAnsi="Times New Roman"/>
          <w:sz w:val="20"/>
          <w:szCs w:val="20"/>
          <w:vertAlign w:val="subscript"/>
        </w:rPr>
        <w:t>n</w:t>
      </w:r>
      <w:r w:rsidRPr="006612D9">
        <w:rPr>
          <w:rFonts w:ascii="Times New Roman" w:hAnsi="Times New Roman"/>
          <w:sz w:val="20"/>
          <w:szCs w:val="20"/>
        </w:rPr>
        <w:t xml:space="preserve"> and 20,000 M</w:t>
      </w:r>
      <w:r w:rsidRPr="006612D9">
        <w:rPr>
          <w:rFonts w:ascii="Times New Roman" w:hAnsi="Times New Roman"/>
          <w:sz w:val="20"/>
          <w:szCs w:val="20"/>
          <w:vertAlign w:val="subscript"/>
        </w:rPr>
        <w:t xml:space="preserve">n </w:t>
      </w:r>
      <w:r w:rsidRPr="006612D9">
        <w:rPr>
          <w:rFonts w:ascii="Times New Roman" w:hAnsi="Times New Roman"/>
          <w:sz w:val="20"/>
          <w:szCs w:val="20"/>
        </w:rPr>
        <w:t xml:space="preserve">at 0.1 g, 0.2 g, and 0.3 g) to a pre-polymerization mixture were studied in order to understand the effect of porogen addition for the purpose of making very porous monolith that can still provide a higher surface area. The introduction of PEG as a porogen material will eventually provide the mesoporous structure of a monolithic network. To evaluate this, ATR-FTIR, SEM, and Surface Area and Porosity Analyzer using BET and BJH methods were all used in the characterization. </w:t>
      </w:r>
    </w:p>
    <w:p w:rsidR="006612D9" w:rsidRPr="006612D9" w:rsidRDefault="006612D9" w:rsidP="006612D9">
      <w:pPr>
        <w:spacing w:after="0" w:line="240" w:lineRule="auto"/>
        <w:jc w:val="both"/>
        <w:outlineLvl w:val="0"/>
        <w:rPr>
          <w:rFonts w:ascii="Times New Roman" w:hAnsi="Times New Roman"/>
          <w:sz w:val="20"/>
          <w:szCs w:val="20"/>
        </w:rPr>
      </w:pPr>
    </w:p>
    <w:p w:rsidR="006612D9" w:rsidRPr="006612D9" w:rsidRDefault="006612D9" w:rsidP="006612D9">
      <w:pPr>
        <w:spacing w:after="0" w:line="240" w:lineRule="auto"/>
        <w:jc w:val="both"/>
        <w:outlineLvl w:val="0"/>
        <w:rPr>
          <w:rFonts w:ascii="Times New Roman" w:hAnsi="Times New Roman"/>
          <w:sz w:val="20"/>
          <w:szCs w:val="20"/>
        </w:rPr>
      </w:pPr>
      <w:r w:rsidRPr="006612D9">
        <w:rPr>
          <w:rFonts w:ascii="Times New Roman" w:hAnsi="Times New Roman"/>
          <w:sz w:val="20"/>
          <w:szCs w:val="20"/>
        </w:rPr>
        <w:lastRenderedPageBreak/>
        <w:t>The surface functional groups presented on the polymer-silica hybrid monolith were depicted by ATR-FTIR analysis. Similar spectral peaks were observed for all samples, revealing no significant contribution of difference in the weight and type of PEG content on the type of functional groups. Figure 1 exhibits FTIR spectra for monoliths with different ratios of the amount and molecular weight for PEG used, with respect to Figure 1(a) for hybrid monolith with PEG 10,000 M</w:t>
      </w:r>
      <w:r w:rsidRPr="006612D9">
        <w:rPr>
          <w:rFonts w:ascii="Times New Roman" w:hAnsi="Times New Roman"/>
          <w:sz w:val="20"/>
          <w:szCs w:val="20"/>
          <w:vertAlign w:val="subscript"/>
        </w:rPr>
        <w:t xml:space="preserve">n </w:t>
      </w:r>
      <w:r w:rsidRPr="006612D9">
        <w:rPr>
          <w:rFonts w:ascii="Times New Roman" w:hAnsi="Times New Roman"/>
          <w:sz w:val="20"/>
          <w:szCs w:val="20"/>
        </w:rPr>
        <w:t>while Figure 1(b) for hybrid monolith with PEG 20,000 M</w:t>
      </w:r>
      <w:r w:rsidRPr="006612D9">
        <w:rPr>
          <w:rFonts w:ascii="Times New Roman" w:hAnsi="Times New Roman"/>
          <w:sz w:val="20"/>
          <w:szCs w:val="20"/>
          <w:vertAlign w:val="subscript"/>
        </w:rPr>
        <w:t>n</w:t>
      </w:r>
      <w:r w:rsidRPr="006612D9">
        <w:rPr>
          <w:rFonts w:ascii="Times New Roman" w:hAnsi="Times New Roman"/>
          <w:sz w:val="20"/>
          <w:szCs w:val="20"/>
        </w:rPr>
        <w:t>, both in different amounts of 0.1 g, 0.2 g, and 0.3 g. All samples of monoliths showed strong peaks at around 790 – 800 cm</w:t>
      </w:r>
      <w:r w:rsidRPr="006612D9">
        <w:rPr>
          <w:rFonts w:ascii="Times New Roman" w:hAnsi="Times New Roman"/>
          <w:sz w:val="20"/>
          <w:szCs w:val="20"/>
          <w:vertAlign w:val="superscript"/>
        </w:rPr>
        <w:t>-1</w:t>
      </w:r>
      <w:r w:rsidRPr="006612D9">
        <w:rPr>
          <w:rFonts w:ascii="Times New Roman" w:hAnsi="Times New Roman"/>
          <w:sz w:val="20"/>
          <w:szCs w:val="20"/>
        </w:rPr>
        <w:t xml:space="preserve"> ascribed to the Si-O-Si symmetric stretching vibrations, similar to the previously described silica nanostructure gel and microstructure capillary prepared by sol-gel synthesis [18, 24]. </w:t>
      </w:r>
    </w:p>
    <w:p w:rsidR="006612D9" w:rsidRPr="006612D9" w:rsidRDefault="006612D9" w:rsidP="006612D9">
      <w:pPr>
        <w:spacing w:after="0" w:line="240" w:lineRule="auto"/>
        <w:jc w:val="both"/>
        <w:outlineLvl w:val="0"/>
        <w:rPr>
          <w:rFonts w:ascii="Times New Roman" w:hAnsi="Times New Roman"/>
          <w:sz w:val="20"/>
          <w:szCs w:val="20"/>
        </w:rPr>
      </w:pPr>
    </w:p>
    <w:p w:rsidR="006612D9" w:rsidRPr="006612D9" w:rsidRDefault="006612D9" w:rsidP="006612D9">
      <w:pPr>
        <w:spacing w:after="0" w:line="240" w:lineRule="auto"/>
        <w:jc w:val="both"/>
        <w:outlineLvl w:val="0"/>
        <w:rPr>
          <w:rFonts w:ascii="Times New Roman" w:hAnsi="Times New Roman"/>
          <w:sz w:val="20"/>
          <w:szCs w:val="20"/>
        </w:rPr>
      </w:pPr>
      <w:r w:rsidRPr="006612D9">
        <w:rPr>
          <w:rFonts w:ascii="Times New Roman" w:hAnsi="Times New Roman"/>
          <w:sz w:val="20"/>
          <w:szCs w:val="20"/>
        </w:rPr>
        <w:t>The vibrational bands around 945 – 955 cm</w:t>
      </w:r>
      <w:r w:rsidRPr="006612D9">
        <w:rPr>
          <w:rFonts w:ascii="Times New Roman" w:hAnsi="Times New Roman"/>
          <w:sz w:val="20"/>
          <w:szCs w:val="20"/>
          <w:vertAlign w:val="superscript"/>
        </w:rPr>
        <w:t xml:space="preserve">-1 </w:t>
      </w:r>
      <w:r w:rsidRPr="006612D9">
        <w:rPr>
          <w:rFonts w:ascii="Times New Roman" w:hAnsi="Times New Roman"/>
          <w:sz w:val="20"/>
          <w:szCs w:val="20"/>
        </w:rPr>
        <w:t xml:space="preserve">showed the presence of Si-OH groups from the silanol functionality of the hybrid monolith, where this is the band that strongly represented the mesoporous structure of silica monolith. This finding is also similar to those reported previously for the mesoporous silica with </w:t>
      </w:r>
      <w:r w:rsidRPr="006612D9">
        <w:rPr>
          <w:rFonts w:ascii="Times New Roman" w:hAnsi="Times New Roman"/>
          <w:noProof/>
          <w:sz w:val="20"/>
          <w:szCs w:val="20"/>
        </w:rPr>
        <w:t>with alkoxysilane groups</w:t>
      </w:r>
      <w:r w:rsidRPr="006612D9">
        <w:rPr>
          <w:rFonts w:ascii="Times New Roman" w:hAnsi="Times New Roman"/>
          <w:sz w:val="20"/>
          <w:szCs w:val="20"/>
        </w:rPr>
        <w:t xml:space="preserve"> </w:t>
      </w:r>
      <w:r w:rsidRPr="006612D9">
        <w:rPr>
          <w:rFonts w:ascii="Times New Roman" w:hAnsi="Times New Roman"/>
          <w:sz w:val="20"/>
          <w:szCs w:val="20"/>
        </w:rPr>
        <w:fldChar w:fldCharType="begin" w:fldLock="1"/>
      </w:r>
      <w:r w:rsidRPr="006612D9">
        <w:rPr>
          <w:rFonts w:ascii="Times New Roman" w:hAnsi="Times New Roman"/>
          <w:sz w:val="20"/>
          <w:szCs w:val="20"/>
        </w:rPr>
        <w:instrText>ADDIN CSL_CITATION { "citationItems" : [ { "id" : "ITEM-1", "itemData" : { "DOI" : "10.1155/2012/816496", "ISSN" : "16874110", "abstract" : "A mesoporous material sphere based on silica, SBA-16, was chemically modified with alkoxysilane using two different solvents: methanol and toluene. The influence of the chemical modification of the matrix on the release rate of a model drug was also studied. The structural characteristics of the materials were evaluated by small-angle X-ray diffraction, N2 adsorption, and transmission electron microscopy. The functionalization of the matrix was evaluated using thermal analysis, FTIR spectroscopy, 13C and 29Si solid-state nuclear magnetic resonance, and elemental analysis, CHN. The results show that alkoxysilane groups have been chemically bonded to silicon atoms on the surface of cubic Im3m mesoporous silica. The influence of the release rate of atenolol molecules from chemically modified mesoporous SBA-16 could be identified, since significant differences could be observed among the release patterns of the different materials. Copyright B) 2012 Gracielle Ferreira Andrade et al.", "author" : [ { "dropping-particle" : "", "family" : "Andrade", "given" : "Gracielle Ferreira", "non-dropping-particle" : "", "parse-names" : false, "suffix" : "" }, { "dropping-particle" : "", "family" : "Soares", "given" : "Daniel Cristian Ferreira", "non-dropping-particle" : "", "parse-names" : false, "suffix" : "" }, { "dropping-particle" : "", "family" : "Almeida", "given" : "Ramon Kenned De Sousa", "non-dropping-particle" : "", "parse-names" : false, "suffix" : "" }, { "dropping-particle" : "", "family" : "Sousa", "given" : "Ed\u00e9sia Martins Barros", "non-dropping-particle" : "", "parse-names" : false, "suffix" : "" } ], "container-title" : "Journal of Nanomaterials", "id" : "ITEM-1", "issued" : { "date-parts" : [ [ "2012" ] ] }, "title" : "Mesoporous silica SBA-16 functionalized with alkoxysilane groups: Preparation, characterization, and release profile study", "type" : "article-journal", "volume" : "2012" }, "uris" : [ "http://www.mendeley.com/documents/?uuid=b3385b5f-58b2-426a-b625-9032d8e9ceb9" ] } ], "mendeley" : { "formattedCitation" : "(Andrade, Soares, Almeida, &amp; Sousa, 2012)", "manualFormatting" : "[23]", "plainTextFormattedCitation" : "(Andrade, Soares, Almeida, &amp; Sousa, 2012)", "previouslyFormattedCitation" : "(Andrade, Soares, Almeida, &amp; Sousa, 2012)" }, "properties" : { "noteIndex" : 0 }, "schema" : "https://github.com/citation-style-language/schema/raw/master/csl-citation.json" }</w:instrText>
      </w:r>
      <w:r w:rsidRPr="006612D9">
        <w:rPr>
          <w:rFonts w:ascii="Times New Roman" w:hAnsi="Times New Roman"/>
          <w:sz w:val="20"/>
          <w:szCs w:val="20"/>
        </w:rPr>
        <w:fldChar w:fldCharType="separate"/>
      </w:r>
      <w:r w:rsidRPr="006612D9">
        <w:rPr>
          <w:rFonts w:ascii="Times New Roman" w:hAnsi="Times New Roman"/>
          <w:noProof/>
          <w:sz w:val="20"/>
          <w:szCs w:val="20"/>
        </w:rPr>
        <w:t>[25]</w:t>
      </w:r>
      <w:r w:rsidRPr="006612D9">
        <w:rPr>
          <w:rFonts w:ascii="Times New Roman" w:hAnsi="Times New Roman"/>
          <w:sz w:val="20"/>
          <w:szCs w:val="20"/>
        </w:rPr>
        <w:fldChar w:fldCharType="end"/>
      </w:r>
      <w:r w:rsidRPr="006612D9">
        <w:rPr>
          <w:rFonts w:ascii="Times New Roman" w:hAnsi="Times New Roman"/>
          <w:sz w:val="20"/>
          <w:szCs w:val="20"/>
        </w:rPr>
        <w:t>. This silanol group is significant to the monolith formation in order to provide a hydroxyl functional group which is important in the subsequent covalent attachment of enzyme by means of a crosslinker [19]. Intense peaks were observed around 1050 – 1080 cm</w:t>
      </w:r>
      <w:r w:rsidRPr="006612D9">
        <w:rPr>
          <w:rFonts w:ascii="Times New Roman" w:hAnsi="Times New Roman"/>
          <w:sz w:val="20"/>
          <w:szCs w:val="20"/>
          <w:vertAlign w:val="superscript"/>
        </w:rPr>
        <w:t xml:space="preserve">-1 </w:t>
      </w:r>
      <w:r w:rsidRPr="006612D9">
        <w:rPr>
          <w:rFonts w:ascii="Times New Roman" w:hAnsi="Times New Roman"/>
          <w:sz w:val="20"/>
          <w:szCs w:val="20"/>
        </w:rPr>
        <w:t>showing the Si-O-Si asymmetric stretching vibrations. Previously, Nocuń et al. [26] suggested that the hybrid monolith will transmit a strong absorption band for Si-O-Si as a characteristic after the modification of pure silica gel [26]. List of functional groups in polymer-silica hybrid monolith tabulated in Table 1.</w:t>
      </w:r>
    </w:p>
    <w:p w:rsidR="006612D9" w:rsidRPr="006612D9" w:rsidRDefault="006612D9" w:rsidP="006612D9">
      <w:pPr>
        <w:spacing w:after="0" w:line="240" w:lineRule="auto"/>
        <w:jc w:val="both"/>
        <w:outlineLvl w:val="0"/>
        <w:rPr>
          <w:rFonts w:ascii="Times New Roman" w:hAnsi="Times New Roman"/>
          <w:sz w:val="20"/>
          <w:szCs w:val="20"/>
        </w:rPr>
      </w:pPr>
    </w:p>
    <w:p w:rsidR="006612D9" w:rsidRPr="006612D9" w:rsidRDefault="006612D9" w:rsidP="006612D9">
      <w:pPr>
        <w:spacing w:after="0" w:line="240" w:lineRule="auto"/>
        <w:jc w:val="both"/>
        <w:outlineLvl w:val="0"/>
        <w:rPr>
          <w:rFonts w:ascii="Times New Roman" w:hAnsi="Times New Roman"/>
          <w:sz w:val="20"/>
          <w:szCs w:val="20"/>
        </w:rPr>
      </w:pPr>
    </w:p>
    <w:p w:rsidR="006612D9" w:rsidRPr="006612D9" w:rsidRDefault="006612D9" w:rsidP="006612D9">
      <w:pPr>
        <w:spacing w:after="0" w:line="240" w:lineRule="auto"/>
        <w:jc w:val="center"/>
        <w:rPr>
          <w:rFonts w:ascii="Times New Roman" w:hAnsi="Times New Roman"/>
          <w:sz w:val="20"/>
          <w:szCs w:val="20"/>
        </w:rPr>
      </w:pPr>
      <w:r w:rsidRPr="006612D9">
        <w:rPr>
          <w:rFonts w:ascii="Times New Roman" w:hAnsi="Times New Roman"/>
          <w:noProof/>
          <w:sz w:val="20"/>
          <w:szCs w:val="20"/>
          <w:lang w:bidi="ar-SA"/>
        </w:rPr>
        <w:drawing>
          <wp:inline distT="0" distB="0" distL="0" distR="0" wp14:anchorId="25319D2B" wp14:editId="7B6736C9">
            <wp:extent cx="3438000" cy="3729600"/>
            <wp:effectExtent l="19050" t="19050" r="10160" b="23495"/>
            <wp:docPr id="6" name="Picture 6" descr="D:\Users\HP\Desktop\MJAS 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HP\Desktop\MJAS Figure 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8000" cy="3729600"/>
                    </a:xfrm>
                    <a:prstGeom prst="rect">
                      <a:avLst/>
                    </a:prstGeom>
                    <a:noFill/>
                    <a:ln>
                      <a:solidFill>
                        <a:schemeClr val="tx1"/>
                      </a:solidFill>
                    </a:ln>
                  </pic:spPr>
                </pic:pic>
              </a:graphicData>
            </a:graphic>
          </wp:inline>
        </w:drawing>
      </w:r>
    </w:p>
    <w:p w:rsidR="006612D9" w:rsidRPr="006612D9" w:rsidRDefault="006612D9" w:rsidP="006612D9">
      <w:pPr>
        <w:spacing w:after="0" w:line="240" w:lineRule="auto"/>
        <w:jc w:val="both"/>
        <w:rPr>
          <w:rFonts w:ascii="Times New Roman" w:hAnsi="Times New Roman"/>
          <w:sz w:val="20"/>
          <w:szCs w:val="20"/>
        </w:rPr>
      </w:pPr>
    </w:p>
    <w:p w:rsidR="006612D9" w:rsidRPr="006612D9" w:rsidRDefault="006612D9" w:rsidP="006612D9">
      <w:pPr>
        <w:spacing w:after="0" w:line="240" w:lineRule="auto"/>
        <w:ind w:left="810" w:hanging="810"/>
        <w:jc w:val="both"/>
        <w:rPr>
          <w:rFonts w:ascii="Times New Roman" w:hAnsi="Times New Roman"/>
          <w:sz w:val="20"/>
          <w:szCs w:val="20"/>
        </w:rPr>
      </w:pPr>
      <w:r w:rsidRPr="006612D9">
        <w:rPr>
          <w:rFonts w:ascii="Times New Roman" w:hAnsi="Times New Roman"/>
          <w:sz w:val="20"/>
          <w:szCs w:val="20"/>
        </w:rPr>
        <w:t xml:space="preserve">Figure 1. </w:t>
      </w:r>
      <w:r>
        <w:rPr>
          <w:rFonts w:ascii="Times New Roman" w:hAnsi="Times New Roman"/>
          <w:sz w:val="20"/>
          <w:szCs w:val="20"/>
        </w:rPr>
        <w:t xml:space="preserve"> </w:t>
      </w:r>
      <w:r w:rsidRPr="006612D9">
        <w:rPr>
          <w:rFonts w:ascii="Times New Roman" w:hAnsi="Times New Roman"/>
          <w:sz w:val="20"/>
          <w:szCs w:val="20"/>
        </w:rPr>
        <w:t>FTIR spectrum of polymer-silica hybrid monolith (a) PEG (M</w:t>
      </w:r>
      <w:r w:rsidRPr="006612D9">
        <w:rPr>
          <w:rFonts w:ascii="Times New Roman" w:hAnsi="Times New Roman"/>
          <w:sz w:val="20"/>
          <w:szCs w:val="20"/>
          <w:vertAlign w:val="subscript"/>
        </w:rPr>
        <w:t>n</w:t>
      </w:r>
      <w:r w:rsidRPr="006612D9">
        <w:rPr>
          <w:rFonts w:ascii="Times New Roman" w:hAnsi="Times New Roman"/>
          <w:sz w:val="20"/>
          <w:szCs w:val="20"/>
        </w:rPr>
        <w:t xml:space="preserve"> = 10,000) with different weight used, (b) PEG (M</w:t>
      </w:r>
      <w:r w:rsidRPr="006612D9">
        <w:rPr>
          <w:rFonts w:ascii="Times New Roman" w:hAnsi="Times New Roman"/>
          <w:sz w:val="20"/>
          <w:szCs w:val="20"/>
          <w:vertAlign w:val="subscript"/>
        </w:rPr>
        <w:t>n</w:t>
      </w:r>
      <w:r w:rsidRPr="006612D9">
        <w:rPr>
          <w:rFonts w:ascii="Times New Roman" w:hAnsi="Times New Roman"/>
          <w:sz w:val="20"/>
          <w:szCs w:val="20"/>
        </w:rPr>
        <w:t xml:space="preserve"> = 20,000) with different weight used</w:t>
      </w:r>
    </w:p>
    <w:p w:rsidR="006612D9" w:rsidRDefault="006612D9" w:rsidP="006612D9">
      <w:pPr>
        <w:spacing w:after="0" w:line="240" w:lineRule="auto"/>
        <w:jc w:val="both"/>
        <w:outlineLvl w:val="0"/>
        <w:rPr>
          <w:rFonts w:ascii="Times New Roman" w:hAnsi="Times New Roman"/>
          <w:sz w:val="20"/>
          <w:szCs w:val="20"/>
        </w:rPr>
      </w:pPr>
    </w:p>
    <w:p w:rsidR="006612D9" w:rsidRDefault="006612D9" w:rsidP="006612D9">
      <w:pPr>
        <w:spacing w:after="0" w:line="240" w:lineRule="auto"/>
        <w:jc w:val="both"/>
        <w:outlineLvl w:val="0"/>
        <w:rPr>
          <w:rFonts w:ascii="Times New Roman" w:hAnsi="Times New Roman"/>
          <w:sz w:val="20"/>
          <w:szCs w:val="20"/>
        </w:rPr>
      </w:pPr>
    </w:p>
    <w:p w:rsidR="006612D9" w:rsidRDefault="006612D9" w:rsidP="006612D9">
      <w:pPr>
        <w:spacing w:after="0" w:line="240" w:lineRule="auto"/>
        <w:jc w:val="both"/>
        <w:outlineLvl w:val="0"/>
        <w:rPr>
          <w:rFonts w:ascii="Times New Roman" w:hAnsi="Times New Roman"/>
          <w:sz w:val="20"/>
          <w:szCs w:val="20"/>
        </w:rPr>
      </w:pPr>
    </w:p>
    <w:p w:rsidR="006612D9" w:rsidRPr="006612D9" w:rsidRDefault="006612D9" w:rsidP="006612D9">
      <w:pPr>
        <w:spacing w:after="0" w:line="240" w:lineRule="auto"/>
        <w:jc w:val="both"/>
        <w:outlineLvl w:val="0"/>
        <w:rPr>
          <w:rFonts w:ascii="Times New Roman" w:hAnsi="Times New Roman"/>
          <w:sz w:val="20"/>
          <w:szCs w:val="20"/>
        </w:rPr>
      </w:pPr>
    </w:p>
    <w:p w:rsidR="006612D9" w:rsidRPr="006612D9" w:rsidRDefault="006612D9" w:rsidP="006612D9">
      <w:pPr>
        <w:spacing w:after="120" w:line="240" w:lineRule="auto"/>
        <w:jc w:val="center"/>
        <w:outlineLvl w:val="0"/>
        <w:rPr>
          <w:rFonts w:ascii="Times New Roman" w:hAnsi="Times New Roman"/>
          <w:sz w:val="20"/>
          <w:szCs w:val="20"/>
        </w:rPr>
      </w:pPr>
      <w:r w:rsidRPr="006612D9">
        <w:rPr>
          <w:rFonts w:ascii="Times New Roman" w:hAnsi="Times New Roman"/>
          <w:sz w:val="20"/>
          <w:szCs w:val="20"/>
        </w:rPr>
        <w:lastRenderedPageBreak/>
        <w:t xml:space="preserve">Table 1.  </w:t>
      </w:r>
      <w:r>
        <w:rPr>
          <w:rFonts w:ascii="Times New Roman" w:hAnsi="Times New Roman"/>
          <w:sz w:val="20"/>
          <w:szCs w:val="20"/>
        </w:rPr>
        <w:t xml:space="preserve"> </w:t>
      </w:r>
      <w:r w:rsidRPr="006612D9">
        <w:rPr>
          <w:rFonts w:ascii="Times New Roman" w:hAnsi="Times New Roman"/>
          <w:sz w:val="20"/>
          <w:szCs w:val="20"/>
        </w:rPr>
        <w:t>List of functional groups in polymer-silica hybrid monolith</w:t>
      </w:r>
    </w:p>
    <w:tbl>
      <w:tblPr>
        <w:tblW w:w="0" w:type="auto"/>
        <w:jc w:val="center"/>
        <w:tblBorders>
          <w:top w:val="single" w:sz="4" w:space="0" w:color="auto"/>
          <w:bottom w:val="single" w:sz="4" w:space="0" w:color="auto"/>
        </w:tblBorders>
        <w:tblLook w:val="04A0" w:firstRow="1" w:lastRow="0" w:firstColumn="1" w:lastColumn="0" w:noHBand="0" w:noVBand="1"/>
      </w:tblPr>
      <w:tblGrid>
        <w:gridCol w:w="1188"/>
        <w:gridCol w:w="3163"/>
        <w:gridCol w:w="866"/>
        <w:gridCol w:w="866"/>
        <w:gridCol w:w="866"/>
        <w:gridCol w:w="866"/>
        <w:gridCol w:w="866"/>
        <w:gridCol w:w="866"/>
      </w:tblGrid>
      <w:tr w:rsidR="006612D9" w:rsidRPr="006612D9" w:rsidTr="00171B11">
        <w:trPr>
          <w:jc w:val="center"/>
        </w:trPr>
        <w:tc>
          <w:tcPr>
            <w:tcW w:w="1188" w:type="dxa"/>
            <w:vMerge w:val="restart"/>
            <w:tcBorders>
              <w:top w:val="single" w:sz="4" w:space="0" w:color="auto"/>
              <w:bottom w:val="nil"/>
            </w:tcBorders>
            <w:shd w:val="clear" w:color="auto" w:fill="auto"/>
          </w:tcPr>
          <w:p w:rsidR="006612D9" w:rsidRPr="006612D9" w:rsidRDefault="006612D9" w:rsidP="006612D9">
            <w:pPr>
              <w:spacing w:before="60" w:after="0" w:line="240" w:lineRule="auto"/>
              <w:jc w:val="both"/>
              <w:outlineLvl w:val="0"/>
              <w:rPr>
                <w:rFonts w:ascii="Times New Roman" w:hAnsi="Times New Roman"/>
                <w:sz w:val="20"/>
                <w:szCs w:val="20"/>
              </w:rPr>
            </w:pPr>
            <w:r w:rsidRPr="006612D9">
              <w:rPr>
                <w:rFonts w:ascii="Times New Roman" w:hAnsi="Times New Roman"/>
                <w:b/>
                <w:bCs/>
                <w:sz w:val="20"/>
                <w:szCs w:val="20"/>
              </w:rPr>
              <w:t>Functional Group</w:t>
            </w:r>
          </w:p>
        </w:tc>
        <w:tc>
          <w:tcPr>
            <w:tcW w:w="3163" w:type="dxa"/>
            <w:vMerge w:val="restart"/>
            <w:tcBorders>
              <w:top w:val="single" w:sz="4" w:space="0" w:color="auto"/>
              <w:bottom w:val="nil"/>
            </w:tcBorders>
            <w:shd w:val="clear" w:color="auto" w:fill="auto"/>
          </w:tcPr>
          <w:p w:rsidR="006612D9" w:rsidRPr="006612D9" w:rsidRDefault="006612D9" w:rsidP="00171B11">
            <w:pPr>
              <w:spacing w:before="60" w:after="0" w:line="240" w:lineRule="auto"/>
              <w:outlineLvl w:val="0"/>
              <w:rPr>
                <w:rFonts w:ascii="Times New Roman" w:hAnsi="Times New Roman"/>
                <w:sz w:val="20"/>
                <w:szCs w:val="20"/>
              </w:rPr>
            </w:pPr>
            <w:r w:rsidRPr="006612D9">
              <w:rPr>
                <w:rFonts w:ascii="Times New Roman" w:hAnsi="Times New Roman"/>
                <w:b/>
                <w:bCs/>
                <w:sz w:val="20"/>
                <w:szCs w:val="20"/>
              </w:rPr>
              <w:t>Type of Vibration</w:t>
            </w:r>
          </w:p>
        </w:tc>
        <w:tc>
          <w:tcPr>
            <w:tcW w:w="0" w:type="auto"/>
            <w:gridSpan w:val="6"/>
            <w:tcBorders>
              <w:top w:val="single" w:sz="4" w:space="0" w:color="auto"/>
              <w:bottom w:val="single" w:sz="4" w:space="0" w:color="auto"/>
            </w:tcBorders>
            <w:shd w:val="clear" w:color="auto" w:fill="auto"/>
          </w:tcPr>
          <w:p w:rsidR="006612D9" w:rsidRPr="006612D9" w:rsidRDefault="006612D9" w:rsidP="006612D9">
            <w:pPr>
              <w:spacing w:before="60" w:after="0" w:line="240" w:lineRule="auto"/>
              <w:jc w:val="center"/>
              <w:outlineLvl w:val="0"/>
              <w:rPr>
                <w:rFonts w:ascii="Times New Roman" w:hAnsi="Times New Roman"/>
                <w:sz w:val="20"/>
                <w:szCs w:val="20"/>
              </w:rPr>
            </w:pPr>
            <w:r w:rsidRPr="006612D9">
              <w:rPr>
                <w:rFonts w:ascii="Times New Roman" w:hAnsi="Times New Roman"/>
                <w:b/>
                <w:bCs/>
                <w:sz w:val="20"/>
                <w:szCs w:val="20"/>
              </w:rPr>
              <w:t>Frequency (cm</w:t>
            </w:r>
            <w:r w:rsidRPr="006612D9">
              <w:rPr>
                <w:rFonts w:ascii="Times New Roman" w:hAnsi="Times New Roman"/>
                <w:b/>
                <w:bCs/>
                <w:sz w:val="20"/>
                <w:szCs w:val="20"/>
                <w:vertAlign w:val="superscript"/>
              </w:rPr>
              <w:t>-1</w:t>
            </w:r>
            <w:r w:rsidRPr="006612D9">
              <w:rPr>
                <w:rFonts w:ascii="Times New Roman" w:hAnsi="Times New Roman"/>
                <w:b/>
                <w:bCs/>
                <w:sz w:val="20"/>
                <w:szCs w:val="20"/>
              </w:rPr>
              <w:t>)</w:t>
            </w:r>
          </w:p>
        </w:tc>
      </w:tr>
      <w:tr w:rsidR="006612D9" w:rsidRPr="006612D9" w:rsidTr="00171B11">
        <w:trPr>
          <w:jc w:val="center"/>
        </w:trPr>
        <w:tc>
          <w:tcPr>
            <w:tcW w:w="1188" w:type="dxa"/>
            <w:vMerge/>
            <w:tcBorders>
              <w:top w:val="nil"/>
              <w:bottom w:val="nil"/>
            </w:tcBorders>
            <w:shd w:val="clear" w:color="auto" w:fill="auto"/>
          </w:tcPr>
          <w:p w:rsidR="006612D9" w:rsidRPr="006612D9" w:rsidRDefault="006612D9" w:rsidP="006612D9">
            <w:pPr>
              <w:spacing w:after="0" w:line="240" w:lineRule="auto"/>
              <w:jc w:val="both"/>
              <w:outlineLvl w:val="0"/>
              <w:rPr>
                <w:rFonts w:ascii="Times New Roman" w:hAnsi="Times New Roman"/>
                <w:sz w:val="20"/>
                <w:szCs w:val="20"/>
              </w:rPr>
            </w:pPr>
          </w:p>
        </w:tc>
        <w:tc>
          <w:tcPr>
            <w:tcW w:w="3163" w:type="dxa"/>
            <w:vMerge/>
            <w:tcBorders>
              <w:top w:val="nil"/>
              <w:bottom w:val="nil"/>
            </w:tcBorders>
            <w:shd w:val="clear" w:color="auto" w:fill="auto"/>
          </w:tcPr>
          <w:p w:rsidR="006612D9" w:rsidRPr="006612D9" w:rsidRDefault="006612D9" w:rsidP="006612D9">
            <w:pPr>
              <w:spacing w:after="0" w:line="240" w:lineRule="auto"/>
              <w:jc w:val="both"/>
              <w:outlineLvl w:val="0"/>
              <w:rPr>
                <w:rFonts w:ascii="Times New Roman" w:hAnsi="Times New Roman"/>
                <w:sz w:val="20"/>
                <w:szCs w:val="20"/>
              </w:rPr>
            </w:pPr>
          </w:p>
        </w:tc>
        <w:tc>
          <w:tcPr>
            <w:tcW w:w="0" w:type="auto"/>
            <w:gridSpan w:val="3"/>
            <w:tcBorders>
              <w:top w:val="single" w:sz="4" w:space="0" w:color="auto"/>
              <w:bottom w:val="single" w:sz="4" w:space="0" w:color="auto"/>
            </w:tcBorders>
            <w:shd w:val="clear" w:color="auto" w:fill="auto"/>
          </w:tcPr>
          <w:p w:rsidR="006612D9" w:rsidRPr="006612D9" w:rsidRDefault="006612D9" w:rsidP="006612D9">
            <w:pPr>
              <w:spacing w:after="0" w:line="240" w:lineRule="auto"/>
              <w:jc w:val="center"/>
              <w:outlineLvl w:val="0"/>
              <w:rPr>
                <w:rFonts w:ascii="Times New Roman" w:hAnsi="Times New Roman"/>
                <w:b/>
                <w:bCs/>
                <w:sz w:val="20"/>
                <w:szCs w:val="20"/>
              </w:rPr>
            </w:pPr>
            <w:r w:rsidRPr="006612D9">
              <w:rPr>
                <w:rFonts w:ascii="Times New Roman" w:hAnsi="Times New Roman"/>
                <w:b/>
                <w:bCs/>
                <w:sz w:val="20"/>
                <w:szCs w:val="20"/>
              </w:rPr>
              <w:t>PEG (M</w:t>
            </w:r>
            <w:r w:rsidRPr="006612D9">
              <w:rPr>
                <w:rFonts w:ascii="Times New Roman" w:hAnsi="Times New Roman"/>
                <w:b/>
                <w:bCs/>
                <w:sz w:val="20"/>
                <w:szCs w:val="20"/>
                <w:vertAlign w:val="subscript"/>
              </w:rPr>
              <w:t>n</w:t>
            </w:r>
            <w:r w:rsidRPr="006612D9">
              <w:rPr>
                <w:rFonts w:ascii="Times New Roman" w:hAnsi="Times New Roman"/>
                <w:b/>
                <w:bCs/>
                <w:sz w:val="20"/>
                <w:szCs w:val="20"/>
              </w:rPr>
              <w:t xml:space="preserve"> = 10,000)</w:t>
            </w:r>
          </w:p>
        </w:tc>
        <w:tc>
          <w:tcPr>
            <w:tcW w:w="0" w:type="auto"/>
            <w:gridSpan w:val="3"/>
            <w:tcBorders>
              <w:top w:val="single" w:sz="4" w:space="0" w:color="auto"/>
              <w:bottom w:val="single" w:sz="4" w:space="0" w:color="auto"/>
            </w:tcBorders>
            <w:shd w:val="clear" w:color="auto" w:fill="auto"/>
          </w:tcPr>
          <w:p w:rsidR="006612D9" w:rsidRPr="006612D9" w:rsidRDefault="006612D9" w:rsidP="006612D9">
            <w:pPr>
              <w:spacing w:after="0" w:line="240" w:lineRule="auto"/>
              <w:jc w:val="center"/>
              <w:outlineLvl w:val="0"/>
              <w:rPr>
                <w:rFonts w:ascii="Times New Roman" w:hAnsi="Times New Roman"/>
                <w:b/>
                <w:bCs/>
                <w:sz w:val="20"/>
                <w:szCs w:val="20"/>
              </w:rPr>
            </w:pPr>
            <w:r w:rsidRPr="006612D9">
              <w:rPr>
                <w:rFonts w:ascii="Times New Roman" w:hAnsi="Times New Roman"/>
                <w:b/>
                <w:bCs/>
                <w:sz w:val="20"/>
                <w:szCs w:val="20"/>
              </w:rPr>
              <w:t>PEG (M</w:t>
            </w:r>
            <w:r w:rsidRPr="006612D9">
              <w:rPr>
                <w:rFonts w:ascii="Times New Roman" w:hAnsi="Times New Roman"/>
                <w:b/>
                <w:bCs/>
                <w:sz w:val="20"/>
                <w:szCs w:val="20"/>
                <w:vertAlign w:val="subscript"/>
              </w:rPr>
              <w:t>n</w:t>
            </w:r>
            <w:r w:rsidRPr="006612D9">
              <w:rPr>
                <w:rFonts w:ascii="Times New Roman" w:hAnsi="Times New Roman"/>
                <w:b/>
                <w:bCs/>
                <w:sz w:val="20"/>
                <w:szCs w:val="20"/>
              </w:rPr>
              <w:t xml:space="preserve"> = 20,000)</w:t>
            </w:r>
          </w:p>
        </w:tc>
      </w:tr>
      <w:tr w:rsidR="006612D9" w:rsidRPr="006612D9" w:rsidTr="00171B11">
        <w:trPr>
          <w:jc w:val="center"/>
        </w:trPr>
        <w:tc>
          <w:tcPr>
            <w:tcW w:w="1188" w:type="dxa"/>
            <w:vMerge/>
            <w:tcBorders>
              <w:top w:val="nil"/>
              <w:bottom w:val="single" w:sz="4" w:space="0" w:color="auto"/>
            </w:tcBorders>
            <w:shd w:val="clear" w:color="auto" w:fill="auto"/>
          </w:tcPr>
          <w:p w:rsidR="006612D9" w:rsidRPr="006612D9" w:rsidRDefault="006612D9" w:rsidP="006612D9">
            <w:pPr>
              <w:spacing w:after="0" w:line="240" w:lineRule="auto"/>
              <w:jc w:val="both"/>
              <w:outlineLvl w:val="0"/>
              <w:rPr>
                <w:rFonts w:ascii="Times New Roman" w:hAnsi="Times New Roman"/>
                <w:sz w:val="20"/>
                <w:szCs w:val="20"/>
              </w:rPr>
            </w:pPr>
          </w:p>
        </w:tc>
        <w:tc>
          <w:tcPr>
            <w:tcW w:w="3163" w:type="dxa"/>
            <w:vMerge/>
            <w:tcBorders>
              <w:top w:val="nil"/>
              <w:bottom w:val="single" w:sz="4" w:space="0" w:color="auto"/>
            </w:tcBorders>
            <w:shd w:val="clear" w:color="auto" w:fill="auto"/>
          </w:tcPr>
          <w:p w:rsidR="006612D9" w:rsidRPr="006612D9" w:rsidRDefault="006612D9" w:rsidP="006612D9">
            <w:pPr>
              <w:spacing w:after="0" w:line="240" w:lineRule="auto"/>
              <w:jc w:val="both"/>
              <w:outlineLvl w:val="0"/>
              <w:rPr>
                <w:rFonts w:ascii="Times New Roman" w:hAnsi="Times New Roman"/>
                <w:sz w:val="20"/>
                <w:szCs w:val="20"/>
              </w:rPr>
            </w:pPr>
          </w:p>
        </w:tc>
        <w:tc>
          <w:tcPr>
            <w:tcW w:w="0" w:type="auto"/>
            <w:tcBorders>
              <w:top w:val="single" w:sz="4" w:space="0" w:color="auto"/>
              <w:bottom w:val="single" w:sz="4" w:space="0" w:color="auto"/>
            </w:tcBorders>
            <w:shd w:val="clear" w:color="auto" w:fill="auto"/>
          </w:tcPr>
          <w:p w:rsidR="006612D9" w:rsidRPr="006612D9" w:rsidRDefault="006612D9" w:rsidP="00171B11">
            <w:pPr>
              <w:spacing w:after="60" w:line="240" w:lineRule="auto"/>
              <w:jc w:val="center"/>
              <w:outlineLvl w:val="0"/>
              <w:rPr>
                <w:rFonts w:ascii="Times New Roman" w:hAnsi="Times New Roman"/>
                <w:b/>
                <w:sz w:val="20"/>
                <w:szCs w:val="20"/>
              </w:rPr>
            </w:pPr>
            <w:r w:rsidRPr="006612D9">
              <w:rPr>
                <w:rFonts w:ascii="Times New Roman" w:hAnsi="Times New Roman"/>
                <w:b/>
                <w:sz w:val="20"/>
                <w:szCs w:val="20"/>
              </w:rPr>
              <w:t>0.1g</w:t>
            </w:r>
          </w:p>
        </w:tc>
        <w:tc>
          <w:tcPr>
            <w:tcW w:w="0" w:type="auto"/>
            <w:tcBorders>
              <w:top w:val="single" w:sz="4" w:space="0" w:color="auto"/>
              <w:bottom w:val="single" w:sz="4" w:space="0" w:color="auto"/>
            </w:tcBorders>
            <w:shd w:val="clear" w:color="auto" w:fill="auto"/>
          </w:tcPr>
          <w:p w:rsidR="006612D9" w:rsidRPr="006612D9" w:rsidRDefault="006612D9" w:rsidP="00171B11">
            <w:pPr>
              <w:spacing w:after="0" w:line="240" w:lineRule="auto"/>
              <w:jc w:val="center"/>
              <w:outlineLvl w:val="0"/>
              <w:rPr>
                <w:rFonts w:ascii="Times New Roman" w:hAnsi="Times New Roman"/>
                <w:b/>
                <w:sz w:val="20"/>
                <w:szCs w:val="20"/>
              </w:rPr>
            </w:pPr>
            <w:r w:rsidRPr="006612D9">
              <w:rPr>
                <w:rFonts w:ascii="Times New Roman" w:hAnsi="Times New Roman"/>
                <w:b/>
                <w:sz w:val="20"/>
                <w:szCs w:val="20"/>
              </w:rPr>
              <w:t>0.2g</w:t>
            </w:r>
          </w:p>
        </w:tc>
        <w:tc>
          <w:tcPr>
            <w:tcW w:w="0" w:type="auto"/>
            <w:tcBorders>
              <w:top w:val="single" w:sz="4" w:space="0" w:color="auto"/>
              <w:bottom w:val="single" w:sz="4" w:space="0" w:color="auto"/>
            </w:tcBorders>
            <w:shd w:val="clear" w:color="auto" w:fill="auto"/>
          </w:tcPr>
          <w:p w:rsidR="006612D9" w:rsidRPr="006612D9" w:rsidRDefault="006612D9" w:rsidP="00171B11">
            <w:pPr>
              <w:spacing w:after="0" w:line="240" w:lineRule="auto"/>
              <w:jc w:val="center"/>
              <w:outlineLvl w:val="0"/>
              <w:rPr>
                <w:rFonts w:ascii="Times New Roman" w:hAnsi="Times New Roman"/>
                <w:b/>
                <w:sz w:val="20"/>
                <w:szCs w:val="20"/>
              </w:rPr>
            </w:pPr>
            <w:r w:rsidRPr="006612D9">
              <w:rPr>
                <w:rFonts w:ascii="Times New Roman" w:hAnsi="Times New Roman"/>
                <w:b/>
                <w:sz w:val="20"/>
                <w:szCs w:val="20"/>
              </w:rPr>
              <w:t>0.3g</w:t>
            </w:r>
          </w:p>
        </w:tc>
        <w:tc>
          <w:tcPr>
            <w:tcW w:w="0" w:type="auto"/>
            <w:tcBorders>
              <w:top w:val="single" w:sz="4" w:space="0" w:color="auto"/>
              <w:bottom w:val="single" w:sz="4" w:space="0" w:color="auto"/>
            </w:tcBorders>
            <w:shd w:val="clear" w:color="auto" w:fill="auto"/>
          </w:tcPr>
          <w:p w:rsidR="006612D9" w:rsidRPr="006612D9" w:rsidRDefault="006612D9" w:rsidP="00171B11">
            <w:pPr>
              <w:spacing w:after="0" w:line="240" w:lineRule="auto"/>
              <w:jc w:val="center"/>
              <w:outlineLvl w:val="0"/>
              <w:rPr>
                <w:rFonts w:ascii="Times New Roman" w:hAnsi="Times New Roman"/>
                <w:b/>
                <w:sz w:val="20"/>
                <w:szCs w:val="20"/>
              </w:rPr>
            </w:pPr>
            <w:r w:rsidRPr="006612D9">
              <w:rPr>
                <w:rFonts w:ascii="Times New Roman" w:hAnsi="Times New Roman"/>
                <w:b/>
                <w:sz w:val="20"/>
                <w:szCs w:val="20"/>
              </w:rPr>
              <w:t>0.1g</w:t>
            </w:r>
          </w:p>
        </w:tc>
        <w:tc>
          <w:tcPr>
            <w:tcW w:w="0" w:type="auto"/>
            <w:tcBorders>
              <w:top w:val="single" w:sz="4" w:space="0" w:color="auto"/>
              <w:bottom w:val="single" w:sz="4" w:space="0" w:color="auto"/>
            </w:tcBorders>
            <w:shd w:val="clear" w:color="auto" w:fill="auto"/>
          </w:tcPr>
          <w:p w:rsidR="006612D9" w:rsidRPr="006612D9" w:rsidRDefault="006612D9" w:rsidP="00171B11">
            <w:pPr>
              <w:spacing w:after="0" w:line="240" w:lineRule="auto"/>
              <w:jc w:val="center"/>
              <w:outlineLvl w:val="0"/>
              <w:rPr>
                <w:rFonts w:ascii="Times New Roman" w:hAnsi="Times New Roman"/>
                <w:b/>
                <w:sz w:val="20"/>
                <w:szCs w:val="20"/>
              </w:rPr>
            </w:pPr>
            <w:r w:rsidRPr="006612D9">
              <w:rPr>
                <w:rFonts w:ascii="Times New Roman" w:hAnsi="Times New Roman"/>
                <w:b/>
                <w:sz w:val="20"/>
                <w:szCs w:val="20"/>
              </w:rPr>
              <w:t>0.2g</w:t>
            </w:r>
          </w:p>
        </w:tc>
        <w:tc>
          <w:tcPr>
            <w:tcW w:w="0" w:type="auto"/>
            <w:tcBorders>
              <w:top w:val="single" w:sz="4" w:space="0" w:color="auto"/>
              <w:bottom w:val="single" w:sz="4" w:space="0" w:color="auto"/>
            </w:tcBorders>
            <w:shd w:val="clear" w:color="auto" w:fill="auto"/>
          </w:tcPr>
          <w:p w:rsidR="006612D9" w:rsidRPr="006612D9" w:rsidRDefault="006612D9" w:rsidP="00171B11">
            <w:pPr>
              <w:spacing w:after="0" w:line="240" w:lineRule="auto"/>
              <w:jc w:val="center"/>
              <w:outlineLvl w:val="0"/>
              <w:rPr>
                <w:rFonts w:ascii="Times New Roman" w:hAnsi="Times New Roman"/>
                <w:b/>
                <w:sz w:val="20"/>
                <w:szCs w:val="20"/>
              </w:rPr>
            </w:pPr>
            <w:r w:rsidRPr="006612D9">
              <w:rPr>
                <w:rFonts w:ascii="Times New Roman" w:hAnsi="Times New Roman"/>
                <w:b/>
                <w:sz w:val="20"/>
                <w:szCs w:val="20"/>
              </w:rPr>
              <w:t>0.3g</w:t>
            </w:r>
          </w:p>
        </w:tc>
      </w:tr>
      <w:tr w:rsidR="006612D9" w:rsidRPr="006612D9" w:rsidTr="00171B11">
        <w:trPr>
          <w:jc w:val="center"/>
        </w:trPr>
        <w:tc>
          <w:tcPr>
            <w:tcW w:w="1188" w:type="dxa"/>
            <w:tcBorders>
              <w:top w:val="single" w:sz="4" w:space="0" w:color="auto"/>
              <w:left w:val="nil"/>
              <w:right w:val="nil"/>
            </w:tcBorders>
            <w:shd w:val="clear" w:color="auto" w:fill="auto"/>
          </w:tcPr>
          <w:p w:rsidR="006612D9" w:rsidRPr="006612D9" w:rsidRDefault="006612D9" w:rsidP="00171B11">
            <w:pPr>
              <w:spacing w:before="60" w:after="0" w:line="240" w:lineRule="auto"/>
              <w:jc w:val="both"/>
              <w:outlineLvl w:val="0"/>
              <w:rPr>
                <w:rFonts w:ascii="Times New Roman" w:hAnsi="Times New Roman"/>
                <w:sz w:val="20"/>
                <w:szCs w:val="20"/>
              </w:rPr>
            </w:pPr>
            <w:r w:rsidRPr="006612D9">
              <w:rPr>
                <w:rFonts w:ascii="Times New Roman" w:hAnsi="Times New Roman"/>
                <w:bCs/>
                <w:sz w:val="20"/>
                <w:szCs w:val="20"/>
              </w:rPr>
              <w:t>Si-O-Si</w:t>
            </w:r>
          </w:p>
        </w:tc>
        <w:tc>
          <w:tcPr>
            <w:tcW w:w="3163" w:type="dxa"/>
            <w:tcBorders>
              <w:top w:val="single" w:sz="4" w:space="0" w:color="auto"/>
              <w:left w:val="nil"/>
              <w:right w:val="nil"/>
            </w:tcBorders>
            <w:shd w:val="clear" w:color="auto" w:fill="auto"/>
          </w:tcPr>
          <w:p w:rsidR="006612D9" w:rsidRPr="006612D9" w:rsidRDefault="006612D9" w:rsidP="00171B11">
            <w:pPr>
              <w:spacing w:before="60" w:after="0" w:line="240" w:lineRule="auto"/>
              <w:outlineLvl w:val="0"/>
              <w:rPr>
                <w:rFonts w:ascii="Times New Roman" w:hAnsi="Times New Roman"/>
                <w:sz w:val="20"/>
                <w:szCs w:val="20"/>
              </w:rPr>
            </w:pPr>
            <w:r w:rsidRPr="006612D9">
              <w:rPr>
                <w:rFonts w:ascii="Times New Roman" w:hAnsi="Times New Roman"/>
                <w:sz w:val="20"/>
                <w:szCs w:val="20"/>
              </w:rPr>
              <w:t>Symmetric stretching vibrations</w:t>
            </w:r>
          </w:p>
        </w:tc>
        <w:tc>
          <w:tcPr>
            <w:tcW w:w="0" w:type="auto"/>
            <w:tcBorders>
              <w:top w:val="single" w:sz="4" w:space="0" w:color="auto"/>
              <w:left w:val="nil"/>
              <w:right w:val="nil"/>
            </w:tcBorders>
            <w:shd w:val="clear" w:color="auto" w:fill="auto"/>
          </w:tcPr>
          <w:p w:rsidR="006612D9" w:rsidRPr="006612D9" w:rsidRDefault="006612D9" w:rsidP="00171B11">
            <w:pPr>
              <w:spacing w:before="60" w:after="0" w:line="240" w:lineRule="auto"/>
              <w:jc w:val="center"/>
              <w:outlineLvl w:val="0"/>
              <w:rPr>
                <w:rFonts w:ascii="Times New Roman" w:hAnsi="Times New Roman"/>
                <w:sz w:val="20"/>
                <w:szCs w:val="20"/>
              </w:rPr>
            </w:pPr>
            <w:r w:rsidRPr="006612D9">
              <w:rPr>
                <w:rFonts w:ascii="Times New Roman" w:hAnsi="Times New Roman"/>
                <w:sz w:val="20"/>
                <w:szCs w:val="20"/>
              </w:rPr>
              <w:t>790.81</w:t>
            </w:r>
          </w:p>
        </w:tc>
        <w:tc>
          <w:tcPr>
            <w:tcW w:w="0" w:type="auto"/>
            <w:tcBorders>
              <w:top w:val="single" w:sz="4" w:space="0" w:color="auto"/>
              <w:left w:val="nil"/>
              <w:right w:val="nil"/>
            </w:tcBorders>
            <w:shd w:val="clear" w:color="auto" w:fill="auto"/>
          </w:tcPr>
          <w:p w:rsidR="006612D9" w:rsidRPr="00171B11" w:rsidRDefault="006612D9" w:rsidP="00171B11">
            <w:pPr>
              <w:spacing w:before="60" w:after="0" w:line="240" w:lineRule="auto"/>
              <w:jc w:val="center"/>
              <w:outlineLvl w:val="0"/>
              <w:rPr>
                <w:rFonts w:ascii="Times New Roman" w:hAnsi="Times New Roman"/>
                <w:sz w:val="20"/>
                <w:szCs w:val="20"/>
              </w:rPr>
            </w:pPr>
            <w:r w:rsidRPr="006612D9">
              <w:rPr>
                <w:rFonts w:ascii="Times New Roman" w:hAnsi="Times New Roman"/>
                <w:sz w:val="20"/>
                <w:szCs w:val="20"/>
                <w:lang w:val="en-MY"/>
              </w:rPr>
              <w:t>790.81</w:t>
            </w:r>
          </w:p>
        </w:tc>
        <w:tc>
          <w:tcPr>
            <w:tcW w:w="0" w:type="auto"/>
            <w:tcBorders>
              <w:top w:val="single" w:sz="4" w:space="0" w:color="auto"/>
              <w:left w:val="nil"/>
              <w:right w:val="nil"/>
            </w:tcBorders>
            <w:shd w:val="clear" w:color="auto" w:fill="auto"/>
          </w:tcPr>
          <w:p w:rsidR="006612D9" w:rsidRPr="00171B11" w:rsidRDefault="006612D9" w:rsidP="00171B11">
            <w:pPr>
              <w:spacing w:before="60" w:after="0" w:line="240" w:lineRule="auto"/>
              <w:jc w:val="center"/>
              <w:outlineLvl w:val="0"/>
              <w:rPr>
                <w:rFonts w:ascii="Times New Roman" w:hAnsi="Times New Roman"/>
                <w:sz w:val="20"/>
                <w:szCs w:val="20"/>
              </w:rPr>
            </w:pPr>
            <w:r w:rsidRPr="006612D9">
              <w:rPr>
                <w:rFonts w:ascii="Times New Roman" w:hAnsi="Times New Roman"/>
                <w:sz w:val="20"/>
                <w:szCs w:val="20"/>
                <w:lang w:val="en-MY"/>
              </w:rPr>
              <w:t>792.74</w:t>
            </w:r>
          </w:p>
        </w:tc>
        <w:tc>
          <w:tcPr>
            <w:tcW w:w="0" w:type="auto"/>
            <w:tcBorders>
              <w:top w:val="single" w:sz="4" w:space="0" w:color="auto"/>
              <w:left w:val="nil"/>
              <w:right w:val="nil"/>
            </w:tcBorders>
            <w:shd w:val="clear" w:color="auto" w:fill="auto"/>
          </w:tcPr>
          <w:p w:rsidR="006612D9" w:rsidRPr="00171B11" w:rsidRDefault="006612D9" w:rsidP="00171B11">
            <w:pPr>
              <w:spacing w:before="60" w:after="0" w:line="240" w:lineRule="auto"/>
              <w:jc w:val="center"/>
              <w:outlineLvl w:val="0"/>
              <w:rPr>
                <w:rFonts w:ascii="Times New Roman" w:hAnsi="Times New Roman"/>
                <w:sz w:val="20"/>
                <w:szCs w:val="20"/>
              </w:rPr>
            </w:pPr>
            <w:r w:rsidRPr="006612D9">
              <w:rPr>
                <w:rFonts w:ascii="Times New Roman" w:hAnsi="Times New Roman"/>
                <w:sz w:val="20"/>
                <w:szCs w:val="20"/>
                <w:lang w:val="en-MY"/>
              </w:rPr>
              <w:t>796.60</w:t>
            </w:r>
          </w:p>
        </w:tc>
        <w:tc>
          <w:tcPr>
            <w:tcW w:w="0" w:type="auto"/>
            <w:tcBorders>
              <w:top w:val="single" w:sz="4" w:space="0" w:color="auto"/>
              <w:left w:val="nil"/>
              <w:right w:val="nil"/>
            </w:tcBorders>
            <w:shd w:val="clear" w:color="auto" w:fill="auto"/>
          </w:tcPr>
          <w:p w:rsidR="006612D9" w:rsidRPr="00171B11" w:rsidRDefault="006612D9" w:rsidP="00171B11">
            <w:pPr>
              <w:spacing w:before="60" w:after="0" w:line="240" w:lineRule="auto"/>
              <w:jc w:val="center"/>
              <w:outlineLvl w:val="0"/>
              <w:rPr>
                <w:rFonts w:ascii="Times New Roman" w:hAnsi="Times New Roman"/>
                <w:sz w:val="20"/>
                <w:szCs w:val="20"/>
              </w:rPr>
            </w:pPr>
            <w:r w:rsidRPr="006612D9">
              <w:rPr>
                <w:rFonts w:ascii="Times New Roman" w:hAnsi="Times New Roman"/>
                <w:sz w:val="20"/>
                <w:szCs w:val="20"/>
                <w:lang w:val="en-MY"/>
              </w:rPr>
              <w:t>796.6</w:t>
            </w:r>
          </w:p>
        </w:tc>
        <w:tc>
          <w:tcPr>
            <w:tcW w:w="0" w:type="auto"/>
            <w:tcBorders>
              <w:top w:val="single" w:sz="4" w:space="0" w:color="auto"/>
              <w:left w:val="nil"/>
              <w:right w:val="nil"/>
            </w:tcBorders>
            <w:shd w:val="clear" w:color="auto" w:fill="auto"/>
          </w:tcPr>
          <w:p w:rsidR="006612D9" w:rsidRPr="00171B11" w:rsidRDefault="006612D9" w:rsidP="00171B11">
            <w:pPr>
              <w:spacing w:before="60" w:after="0" w:line="240" w:lineRule="auto"/>
              <w:jc w:val="center"/>
              <w:outlineLvl w:val="0"/>
              <w:rPr>
                <w:rFonts w:ascii="Times New Roman" w:hAnsi="Times New Roman"/>
                <w:sz w:val="20"/>
                <w:szCs w:val="20"/>
              </w:rPr>
            </w:pPr>
            <w:r w:rsidRPr="006612D9">
              <w:rPr>
                <w:rFonts w:ascii="Times New Roman" w:hAnsi="Times New Roman"/>
                <w:sz w:val="20"/>
                <w:szCs w:val="20"/>
                <w:lang w:val="en-MY"/>
              </w:rPr>
              <w:t>798.53</w:t>
            </w:r>
          </w:p>
        </w:tc>
      </w:tr>
      <w:tr w:rsidR="006612D9" w:rsidRPr="006612D9" w:rsidTr="00171B11">
        <w:trPr>
          <w:trHeight w:val="105"/>
          <w:jc w:val="center"/>
        </w:trPr>
        <w:tc>
          <w:tcPr>
            <w:tcW w:w="1188" w:type="dxa"/>
            <w:tcBorders>
              <w:bottom w:val="nil"/>
            </w:tcBorders>
            <w:shd w:val="clear" w:color="auto" w:fill="auto"/>
          </w:tcPr>
          <w:p w:rsidR="006612D9" w:rsidRPr="006612D9" w:rsidRDefault="006612D9" w:rsidP="00171B11">
            <w:pPr>
              <w:spacing w:before="60" w:after="0" w:line="240" w:lineRule="auto"/>
              <w:jc w:val="both"/>
              <w:outlineLvl w:val="0"/>
              <w:rPr>
                <w:rFonts w:ascii="Times New Roman" w:hAnsi="Times New Roman"/>
                <w:sz w:val="20"/>
                <w:szCs w:val="20"/>
              </w:rPr>
            </w:pPr>
            <w:r w:rsidRPr="006612D9">
              <w:rPr>
                <w:rFonts w:ascii="Times New Roman" w:hAnsi="Times New Roman"/>
                <w:bCs/>
                <w:sz w:val="20"/>
                <w:szCs w:val="20"/>
              </w:rPr>
              <w:t>Si-OH</w:t>
            </w:r>
          </w:p>
        </w:tc>
        <w:tc>
          <w:tcPr>
            <w:tcW w:w="3163" w:type="dxa"/>
            <w:tcBorders>
              <w:bottom w:val="nil"/>
            </w:tcBorders>
            <w:shd w:val="clear" w:color="auto" w:fill="auto"/>
          </w:tcPr>
          <w:p w:rsidR="006612D9" w:rsidRPr="006612D9" w:rsidRDefault="006612D9" w:rsidP="00171B11">
            <w:pPr>
              <w:spacing w:before="60" w:after="0" w:line="240" w:lineRule="auto"/>
              <w:outlineLvl w:val="0"/>
              <w:rPr>
                <w:rFonts w:ascii="Times New Roman" w:hAnsi="Times New Roman"/>
                <w:sz w:val="20"/>
                <w:szCs w:val="20"/>
              </w:rPr>
            </w:pPr>
            <w:r w:rsidRPr="006612D9">
              <w:rPr>
                <w:rFonts w:ascii="Times New Roman" w:hAnsi="Times New Roman"/>
                <w:sz w:val="20"/>
                <w:szCs w:val="20"/>
              </w:rPr>
              <w:t>Bond vibration</w:t>
            </w:r>
          </w:p>
        </w:tc>
        <w:tc>
          <w:tcPr>
            <w:tcW w:w="0" w:type="auto"/>
            <w:tcBorders>
              <w:bottom w:val="nil"/>
            </w:tcBorders>
            <w:shd w:val="clear" w:color="auto" w:fill="auto"/>
          </w:tcPr>
          <w:p w:rsidR="006612D9" w:rsidRPr="006612D9" w:rsidRDefault="006612D9" w:rsidP="00171B11">
            <w:pPr>
              <w:spacing w:before="60" w:after="0" w:line="240" w:lineRule="auto"/>
              <w:jc w:val="center"/>
              <w:outlineLvl w:val="0"/>
              <w:rPr>
                <w:rFonts w:ascii="Times New Roman" w:hAnsi="Times New Roman"/>
                <w:sz w:val="20"/>
                <w:szCs w:val="20"/>
              </w:rPr>
            </w:pPr>
            <w:r w:rsidRPr="006612D9">
              <w:rPr>
                <w:rFonts w:ascii="Times New Roman" w:hAnsi="Times New Roman"/>
                <w:sz w:val="20"/>
                <w:szCs w:val="20"/>
              </w:rPr>
              <w:t>947.81</w:t>
            </w:r>
          </w:p>
        </w:tc>
        <w:tc>
          <w:tcPr>
            <w:tcW w:w="0" w:type="auto"/>
            <w:tcBorders>
              <w:bottom w:val="nil"/>
            </w:tcBorders>
            <w:shd w:val="clear" w:color="auto" w:fill="auto"/>
          </w:tcPr>
          <w:p w:rsidR="006612D9" w:rsidRPr="006612D9" w:rsidRDefault="006612D9" w:rsidP="00171B11">
            <w:pPr>
              <w:spacing w:before="60" w:after="0" w:line="240" w:lineRule="auto"/>
              <w:jc w:val="center"/>
              <w:outlineLvl w:val="0"/>
              <w:rPr>
                <w:rFonts w:ascii="Times New Roman" w:hAnsi="Times New Roman"/>
                <w:sz w:val="20"/>
                <w:szCs w:val="20"/>
              </w:rPr>
            </w:pPr>
            <w:r w:rsidRPr="006612D9">
              <w:rPr>
                <w:rFonts w:ascii="Times New Roman" w:hAnsi="Times New Roman"/>
                <w:sz w:val="20"/>
                <w:szCs w:val="20"/>
                <w:lang w:val="en-MY"/>
              </w:rPr>
              <w:t>952.84</w:t>
            </w:r>
          </w:p>
        </w:tc>
        <w:tc>
          <w:tcPr>
            <w:tcW w:w="0" w:type="auto"/>
            <w:tcBorders>
              <w:bottom w:val="nil"/>
            </w:tcBorders>
            <w:shd w:val="clear" w:color="auto" w:fill="auto"/>
          </w:tcPr>
          <w:p w:rsidR="006612D9" w:rsidRPr="006612D9" w:rsidRDefault="006612D9" w:rsidP="00171B11">
            <w:pPr>
              <w:spacing w:before="60" w:after="0" w:line="240" w:lineRule="auto"/>
              <w:jc w:val="center"/>
              <w:outlineLvl w:val="0"/>
              <w:rPr>
                <w:rFonts w:ascii="Times New Roman" w:hAnsi="Times New Roman"/>
                <w:sz w:val="20"/>
                <w:szCs w:val="20"/>
              </w:rPr>
            </w:pPr>
            <w:r w:rsidRPr="006612D9">
              <w:rPr>
                <w:rFonts w:ascii="Times New Roman" w:hAnsi="Times New Roman"/>
                <w:sz w:val="20"/>
                <w:szCs w:val="20"/>
                <w:lang w:val="en-MY"/>
              </w:rPr>
              <w:t>952.84</w:t>
            </w:r>
          </w:p>
        </w:tc>
        <w:tc>
          <w:tcPr>
            <w:tcW w:w="0" w:type="auto"/>
            <w:tcBorders>
              <w:bottom w:val="nil"/>
            </w:tcBorders>
            <w:shd w:val="clear" w:color="auto" w:fill="auto"/>
          </w:tcPr>
          <w:p w:rsidR="006612D9" w:rsidRPr="006612D9" w:rsidRDefault="006612D9" w:rsidP="00171B11">
            <w:pPr>
              <w:spacing w:before="60" w:after="0" w:line="240" w:lineRule="auto"/>
              <w:jc w:val="center"/>
              <w:outlineLvl w:val="0"/>
              <w:rPr>
                <w:rFonts w:ascii="Times New Roman" w:hAnsi="Times New Roman"/>
                <w:sz w:val="20"/>
                <w:szCs w:val="20"/>
              </w:rPr>
            </w:pPr>
            <w:r w:rsidRPr="006612D9">
              <w:rPr>
                <w:rFonts w:ascii="Times New Roman" w:hAnsi="Times New Roman"/>
                <w:sz w:val="20"/>
                <w:szCs w:val="20"/>
                <w:lang w:val="en-MY"/>
              </w:rPr>
              <w:t>941.26</w:t>
            </w:r>
          </w:p>
        </w:tc>
        <w:tc>
          <w:tcPr>
            <w:tcW w:w="0" w:type="auto"/>
            <w:tcBorders>
              <w:bottom w:val="nil"/>
            </w:tcBorders>
            <w:shd w:val="clear" w:color="auto" w:fill="auto"/>
          </w:tcPr>
          <w:p w:rsidR="006612D9" w:rsidRPr="006612D9" w:rsidRDefault="006612D9" w:rsidP="00171B11">
            <w:pPr>
              <w:spacing w:before="60" w:after="0" w:line="240" w:lineRule="auto"/>
              <w:jc w:val="center"/>
              <w:outlineLvl w:val="0"/>
              <w:rPr>
                <w:rFonts w:ascii="Times New Roman" w:hAnsi="Times New Roman"/>
                <w:sz w:val="20"/>
                <w:szCs w:val="20"/>
              </w:rPr>
            </w:pPr>
            <w:r w:rsidRPr="006612D9">
              <w:rPr>
                <w:rFonts w:ascii="Times New Roman" w:hAnsi="Times New Roman"/>
                <w:sz w:val="20"/>
                <w:szCs w:val="20"/>
                <w:lang w:val="en-MY"/>
              </w:rPr>
              <w:t>945.12</w:t>
            </w:r>
          </w:p>
        </w:tc>
        <w:tc>
          <w:tcPr>
            <w:tcW w:w="0" w:type="auto"/>
            <w:tcBorders>
              <w:bottom w:val="nil"/>
            </w:tcBorders>
            <w:shd w:val="clear" w:color="auto" w:fill="auto"/>
          </w:tcPr>
          <w:p w:rsidR="006612D9" w:rsidRPr="006612D9" w:rsidRDefault="006612D9" w:rsidP="00171B11">
            <w:pPr>
              <w:spacing w:before="60" w:after="0" w:line="240" w:lineRule="auto"/>
              <w:jc w:val="center"/>
              <w:outlineLvl w:val="0"/>
              <w:rPr>
                <w:rFonts w:ascii="Times New Roman" w:hAnsi="Times New Roman"/>
                <w:sz w:val="20"/>
                <w:szCs w:val="20"/>
              </w:rPr>
            </w:pPr>
            <w:r w:rsidRPr="006612D9">
              <w:rPr>
                <w:rFonts w:ascii="Times New Roman" w:hAnsi="Times New Roman"/>
                <w:sz w:val="20"/>
                <w:szCs w:val="20"/>
                <w:lang w:val="en-MY"/>
              </w:rPr>
              <w:t>945.12</w:t>
            </w:r>
          </w:p>
        </w:tc>
      </w:tr>
      <w:tr w:rsidR="006612D9" w:rsidRPr="006612D9" w:rsidTr="00171B11">
        <w:trPr>
          <w:jc w:val="center"/>
        </w:trPr>
        <w:tc>
          <w:tcPr>
            <w:tcW w:w="1188" w:type="dxa"/>
            <w:tcBorders>
              <w:top w:val="nil"/>
              <w:left w:val="nil"/>
              <w:bottom w:val="single" w:sz="4" w:space="0" w:color="auto"/>
              <w:right w:val="nil"/>
            </w:tcBorders>
            <w:shd w:val="clear" w:color="auto" w:fill="auto"/>
          </w:tcPr>
          <w:p w:rsidR="006612D9" w:rsidRPr="006612D9" w:rsidRDefault="006612D9" w:rsidP="00171B11">
            <w:pPr>
              <w:spacing w:before="60" w:after="60" w:line="240" w:lineRule="auto"/>
              <w:jc w:val="both"/>
              <w:outlineLvl w:val="0"/>
              <w:rPr>
                <w:rFonts w:ascii="Times New Roman" w:hAnsi="Times New Roman"/>
                <w:sz w:val="20"/>
                <w:szCs w:val="20"/>
              </w:rPr>
            </w:pPr>
            <w:r w:rsidRPr="006612D9">
              <w:rPr>
                <w:rFonts w:ascii="Times New Roman" w:hAnsi="Times New Roman"/>
                <w:bCs/>
                <w:sz w:val="20"/>
                <w:szCs w:val="20"/>
              </w:rPr>
              <w:t>Si-O-Si</w:t>
            </w:r>
          </w:p>
        </w:tc>
        <w:tc>
          <w:tcPr>
            <w:tcW w:w="3163" w:type="dxa"/>
            <w:tcBorders>
              <w:top w:val="nil"/>
              <w:left w:val="nil"/>
              <w:bottom w:val="single" w:sz="4" w:space="0" w:color="auto"/>
              <w:right w:val="nil"/>
            </w:tcBorders>
            <w:shd w:val="clear" w:color="auto" w:fill="auto"/>
          </w:tcPr>
          <w:p w:rsidR="006612D9" w:rsidRPr="006612D9" w:rsidRDefault="006612D9" w:rsidP="00171B11">
            <w:pPr>
              <w:spacing w:before="60" w:after="60" w:line="240" w:lineRule="auto"/>
              <w:outlineLvl w:val="0"/>
              <w:rPr>
                <w:rFonts w:ascii="Times New Roman" w:hAnsi="Times New Roman"/>
                <w:sz w:val="20"/>
                <w:szCs w:val="20"/>
              </w:rPr>
            </w:pPr>
            <w:r w:rsidRPr="006612D9">
              <w:rPr>
                <w:rFonts w:ascii="Times New Roman" w:hAnsi="Times New Roman"/>
                <w:sz w:val="20"/>
                <w:szCs w:val="20"/>
              </w:rPr>
              <w:t>Asymmetric stretching vibrations</w:t>
            </w:r>
          </w:p>
        </w:tc>
        <w:tc>
          <w:tcPr>
            <w:tcW w:w="0" w:type="auto"/>
            <w:tcBorders>
              <w:top w:val="nil"/>
              <w:left w:val="nil"/>
              <w:bottom w:val="single" w:sz="4" w:space="0" w:color="auto"/>
              <w:right w:val="nil"/>
            </w:tcBorders>
            <w:shd w:val="clear" w:color="auto" w:fill="auto"/>
          </w:tcPr>
          <w:p w:rsidR="006612D9" w:rsidRPr="006612D9" w:rsidRDefault="006612D9" w:rsidP="00171B11">
            <w:pPr>
              <w:spacing w:before="60" w:after="60" w:line="240" w:lineRule="auto"/>
              <w:jc w:val="center"/>
              <w:outlineLvl w:val="0"/>
              <w:rPr>
                <w:rFonts w:ascii="Times New Roman" w:hAnsi="Times New Roman"/>
                <w:sz w:val="20"/>
                <w:szCs w:val="20"/>
              </w:rPr>
            </w:pPr>
            <w:r w:rsidRPr="006612D9">
              <w:rPr>
                <w:rFonts w:ascii="Times New Roman" w:hAnsi="Times New Roman"/>
                <w:sz w:val="20"/>
                <w:szCs w:val="20"/>
              </w:rPr>
              <w:t>1053.13</w:t>
            </w:r>
          </w:p>
        </w:tc>
        <w:tc>
          <w:tcPr>
            <w:tcW w:w="0" w:type="auto"/>
            <w:tcBorders>
              <w:top w:val="nil"/>
              <w:left w:val="nil"/>
              <w:bottom w:val="single" w:sz="4" w:space="0" w:color="auto"/>
              <w:right w:val="nil"/>
            </w:tcBorders>
            <w:shd w:val="clear" w:color="auto" w:fill="auto"/>
          </w:tcPr>
          <w:p w:rsidR="006612D9" w:rsidRPr="00171B11" w:rsidRDefault="006612D9" w:rsidP="00171B11">
            <w:pPr>
              <w:spacing w:before="60" w:after="60" w:line="240" w:lineRule="auto"/>
              <w:jc w:val="center"/>
              <w:outlineLvl w:val="0"/>
              <w:rPr>
                <w:rFonts w:ascii="Times New Roman" w:hAnsi="Times New Roman"/>
                <w:sz w:val="20"/>
                <w:szCs w:val="20"/>
              </w:rPr>
            </w:pPr>
            <w:r w:rsidRPr="006612D9">
              <w:rPr>
                <w:rFonts w:ascii="Times New Roman" w:hAnsi="Times New Roman"/>
                <w:sz w:val="20"/>
                <w:szCs w:val="20"/>
                <w:lang w:val="en-MY"/>
              </w:rPr>
              <w:t>1060.85</w:t>
            </w:r>
          </w:p>
        </w:tc>
        <w:tc>
          <w:tcPr>
            <w:tcW w:w="0" w:type="auto"/>
            <w:tcBorders>
              <w:top w:val="nil"/>
              <w:left w:val="nil"/>
              <w:bottom w:val="single" w:sz="4" w:space="0" w:color="auto"/>
              <w:right w:val="nil"/>
            </w:tcBorders>
            <w:shd w:val="clear" w:color="auto" w:fill="auto"/>
          </w:tcPr>
          <w:p w:rsidR="006612D9" w:rsidRPr="00171B11" w:rsidRDefault="006612D9" w:rsidP="00171B11">
            <w:pPr>
              <w:spacing w:before="60" w:after="60" w:line="240" w:lineRule="auto"/>
              <w:jc w:val="center"/>
              <w:outlineLvl w:val="0"/>
              <w:rPr>
                <w:rFonts w:ascii="Times New Roman" w:hAnsi="Times New Roman"/>
                <w:sz w:val="20"/>
                <w:szCs w:val="20"/>
              </w:rPr>
            </w:pPr>
            <w:r w:rsidRPr="006612D9">
              <w:rPr>
                <w:rFonts w:ascii="Times New Roman" w:hAnsi="Times New Roman"/>
                <w:sz w:val="20"/>
                <w:szCs w:val="20"/>
                <w:lang w:val="en-MY"/>
              </w:rPr>
              <w:t>1060.85</w:t>
            </w:r>
          </w:p>
        </w:tc>
        <w:tc>
          <w:tcPr>
            <w:tcW w:w="0" w:type="auto"/>
            <w:tcBorders>
              <w:top w:val="nil"/>
              <w:left w:val="nil"/>
              <w:bottom w:val="single" w:sz="4" w:space="0" w:color="auto"/>
              <w:right w:val="nil"/>
            </w:tcBorders>
            <w:shd w:val="clear" w:color="auto" w:fill="auto"/>
          </w:tcPr>
          <w:p w:rsidR="006612D9" w:rsidRPr="00171B11" w:rsidRDefault="006612D9" w:rsidP="00171B11">
            <w:pPr>
              <w:spacing w:before="60" w:after="60" w:line="240" w:lineRule="auto"/>
              <w:jc w:val="center"/>
              <w:outlineLvl w:val="0"/>
              <w:rPr>
                <w:rFonts w:ascii="Times New Roman" w:hAnsi="Times New Roman"/>
                <w:sz w:val="20"/>
                <w:szCs w:val="20"/>
              </w:rPr>
            </w:pPr>
            <w:r w:rsidRPr="006612D9">
              <w:rPr>
                <w:rFonts w:ascii="Times New Roman" w:hAnsi="Times New Roman"/>
                <w:sz w:val="20"/>
                <w:szCs w:val="20"/>
                <w:lang w:val="en-MY"/>
              </w:rPr>
              <w:t>1049.28</w:t>
            </w:r>
          </w:p>
        </w:tc>
        <w:tc>
          <w:tcPr>
            <w:tcW w:w="0" w:type="auto"/>
            <w:tcBorders>
              <w:top w:val="nil"/>
              <w:left w:val="nil"/>
              <w:bottom w:val="single" w:sz="4" w:space="0" w:color="auto"/>
              <w:right w:val="nil"/>
            </w:tcBorders>
            <w:shd w:val="clear" w:color="auto" w:fill="auto"/>
          </w:tcPr>
          <w:p w:rsidR="006612D9" w:rsidRPr="00171B11" w:rsidRDefault="006612D9" w:rsidP="00171B11">
            <w:pPr>
              <w:spacing w:before="60" w:after="60" w:line="240" w:lineRule="auto"/>
              <w:jc w:val="center"/>
              <w:outlineLvl w:val="0"/>
              <w:rPr>
                <w:rFonts w:ascii="Times New Roman" w:hAnsi="Times New Roman"/>
                <w:sz w:val="20"/>
                <w:szCs w:val="20"/>
              </w:rPr>
            </w:pPr>
            <w:r w:rsidRPr="006612D9">
              <w:rPr>
                <w:rFonts w:ascii="Times New Roman" w:hAnsi="Times New Roman"/>
                <w:sz w:val="20"/>
                <w:szCs w:val="20"/>
                <w:lang w:val="en-MY"/>
              </w:rPr>
              <w:t>1053.13</w:t>
            </w:r>
          </w:p>
        </w:tc>
        <w:tc>
          <w:tcPr>
            <w:tcW w:w="0" w:type="auto"/>
            <w:tcBorders>
              <w:top w:val="nil"/>
              <w:left w:val="nil"/>
              <w:bottom w:val="single" w:sz="4" w:space="0" w:color="auto"/>
              <w:right w:val="nil"/>
            </w:tcBorders>
            <w:shd w:val="clear" w:color="auto" w:fill="auto"/>
          </w:tcPr>
          <w:p w:rsidR="006612D9" w:rsidRPr="00171B11" w:rsidRDefault="006612D9" w:rsidP="00171B11">
            <w:pPr>
              <w:spacing w:before="60" w:after="60" w:line="240" w:lineRule="auto"/>
              <w:jc w:val="center"/>
              <w:outlineLvl w:val="0"/>
              <w:rPr>
                <w:rFonts w:ascii="Times New Roman" w:hAnsi="Times New Roman"/>
                <w:sz w:val="20"/>
                <w:szCs w:val="20"/>
              </w:rPr>
            </w:pPr>
            <w:r w:rsidRPr="006612D9">
              <w:rPr>
                <w:rFonts w:ascii="Times New Roman" w:hAnsi="Times New Roman"/>
                <w:sz w:val="20"/>
                <w:szCs w:val="20"/>
                <w:lang w:val="en-MY"/>
              </w:rPr>
              <w:t>1068.56</w:t>
            </w:r>
          </w:p>
        </w:tc>
      </w:tr>
    </w:tbl>
    <w:p w:rsidR="006612D9" w:rsidRPr="006612D9" w:rsidRDefault="006612D9" w:rsidP="00171B11">
      <w:pPr>
        <w:spacing w:after="120" w:line="240" w:lineRule="auto"/>
        <w:jc w:val="both"/>
        <w:outlineLvl w:val="0"/>
        <w:rPr>
          <w:rFonts w:ascii="Times New Roman" w:hAnsi="Times New Roman"/>
          <w:sz w:val="20"/>
          <w:szCs w:val="20"/>
        </w:rPr>
      </w:pPr>
    </w:p>
    <w:p w:rsidR="006612D9" w:rsidRPr="006612D9" w:rsidRDefault="006612D9" w:rsidP="006612D9">
      <w:pPr>
        <w:adjustRightInd w:val="0"/>
        <w:spacing w:after="0" w:line="240" w:lineRule="auto"/>
        <w:jc w:val="both"/>
        <w:rPr>
          <w:rFonts w:ascii="Times New Roman" w:hAnsi="Times New Roman"/>
          <w:b/>
          <w:sz w:val="20"/>
          <w:szCs w:val="20"/>
        </w:rPr>
      </w:pPr>
      <w:r w:rsidRPr="006612D9">
        <w:rPr>
          <w:rFonts w:ascii="Times New Roman" w:hAnsi="Times New Roman"/>
          <w:b/>
          <w:sz w:val="20"/>
          <w:szCs w:val="20"/>
        </w:rPr>
        <w:t>Effect of variation in the PEG porogen concentrations</w:t>
      </w:r>
    </w:p>
    <w:p w:rsidR="006612D9" w:rsidRPr="006612D9" w:rsidRDefault="006612D9" w:rsidP="006612D9">
      <w:pPr>
        <w:spacing w:after="0" w:line="240" w:lineRule="auto"/>
        <w:jc w:val="both"/>
        <w:outlineLvl w:val="0"/>
        <w:rPr>
          <w:rFonts w:ascii="Times New Roman" w:hAnsi="Times New Roman"/>
          <w:sz w:val="20"/>
          <w:szCs w:val="20"/>
        </w:rPr>
      </w:pPr>
      <w:r w:rsidRPr="006612D9">
        <w:rPr>
          <w:rFonts w:ascii="Times New Roman" w:hAnsi="Times New Roman"/>
          <w:sz w:val="20"/>
          <w:szCs w:val="20"/>
        </w:rPr>
        <w:t>The effect of porogen concentrations onto monolithic textural properties was investigated with varying amounts of PEG (M</w:t>
      </w:r>
      <w:r w:rsidRPr="006612D9">
        <w:rPr>
          <w:rFonts w:ascii="Times New Roman" w:hAnsi="Times New Roman"/>
          <w:sz w:val="20"/>
          <w:szCs w:val="20"/>
          <w:vertAlign w:val="subscript"/>
        </w:rPr>
        <w:t>n</w:t>
      </w:r>
      <w:r w:rsidRPr="006612D9">
        <w:rPr>
          <w:rFonts w:ascii="Times New Roman" w:hAnsi="Times New Roman"/>
          <w:sz w:val="20"/>
          <w:szCs w:val="20"/>
        </w:rPr>
        <w:t xml:space="preserve"> = 10,000) from 0.1g to 0.3 g. The samples were denoted as PEG-0.1 10 K, PEG-0.2 10 K, and PEG-0.3 10 K, respectively. Figures 2(a) and (b) show that a mesoporous structure can be seen for the hybrid monolith with 0.1 g and 0. 2 g of PEG added while for Figure 2(c), the increasing amount of porogen to 0.3 g PEG will make the hybrid monolith to become a homogeneous and porous monolithic structure. The addition of different amounts of PEG acted as an organic porogen will provide higher porosity to the monolithic network, where the then organic modifier will make the structure less compact [26]. However, our findings also show that this structure will eventually become agglomerated when the concentration of porogen increased. </w:t>
      </w:r>
    </w:p>
    <w:p w:rsidR="006612D9" w:rsidRPr="006612D9" w:rsidRDefault="006612D9" w:rsidP="006612D9">
      <w:pPr>
        <w:adjustRightInd w:val="0"/>
        <w:spacing w:after="0" w:line="240" w:lineRule="auto"/>
        <w:jc w:val="both"/>
        <w:rPr>
          <w:rFonts w:ascii="Times New Roman" w:hAnsi="Times New Roman"/>
          <w:sz w:val="20"/>
          <w:szCs w:val="20"/>
        </w:rPr>
      </w:pPr>
    </w:p>
    <w:p w:rsidR="006612D9" w:rsidRPr="006612D9" w:rsidRDefault="006612D9" w:rsidP="006612D9">
      <w:pPr>
        <w:spacing w:after="0" w:line="240" w:lineRule="auto"/>
        <w:jc w:val="both"/>
        <w:outlineLvl w:val="0"/>
        <w:rPr>
          <w:rFonts w:ascii="Times New Roman" w:hAnsi="Times New Roman"/>
          <w:b/>
          <w:sz w:val="20"/>
          <w:szCs w:val="20"/>
        </w:rPr>
      </w:pPr>
    </w:p>
    <w:p w:rsidR="006612D9" w:rsidRPr="006612D9" w:rsidRDefault="00171B11" w:rsidP="00171B11">
      <w:pPr>
        <w:spacing w:after="120" w:line="240" w:lineRule="auto"/>
        <w:jc w:val="center"/>
        <w:outlineLvl w:val="0"/>
        <w:rPr>
          <w:rFonts w:ascii="Times New Roman" w:hAnsi="Times New Roman"/>
          <w:sz w:val="20"/>
          <w:szCs w:val="20"/>
        </w:rPr>
      </w:pPr>
      <w:r w:rsidRPr="006612D9">
        <w:rPr>
          <w:rFonts w:ascii="Times New Roman" w:hAnsi="Times New Roman"/>
          <w:noProof/>
          <w:sz w:val="20"/>
          <w:szCs w:val="20"/>
          <w:lang w:bidi="ar-SA"/>
        </w:rPr>
        <mc:AlternateContent>
          <mc:Choice Requires="wps">
            <w:drawing>
              <wp:anchor distT="0" distB="0" distL="114300" distR="114300" simplePos="0" relativeHeight="251668992" behindDoc="0" locked="0" layoutInCell="1" allowOverlap="1" wp14:anchorId="17D75601" wp14:editId="3B0B1631">
                <wp:simplePos x="0" y="0"/>
                <wp:positionH relativeFrom="column">
                  <wp:posOffset>3807460</wp:posOffset>
                </wp:positionH>
                <wp:positionV relativeFrom="paragraph">
                  <wp:posOffset>31115</wp:posOffset>
                </wp:positionV>
                <wp:extent cx="396240" cy="237490"/>
                <wp:effectExtent l="0" t="0" r="0" b="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37490"/>
                        </a:xfrm>
                        <a:prstGeom prst="rect">
                          <a:avLst/>
                        </a:prstGeom>
                        <a:noFill/>
                        <a:ln w="9525">
                          <a:noFill/>
                          <a:miter lim="800000"/>
                          <a:headEnd/>
                          <a:tailEnd/>
                        </a:ln>
                      </wps:spPr>
                      <wps:txbx>
                        <w:txbxContent>
                          <w:p w:rsidR="006612D9" w:rsidRPr="00E37A9B" w:rsidRDefault="006612D9" w:rsidP="006612D9">
                            <w:pPr>
                              <w:rPr>
                                <w:rFonts w:ascii="Times New Roman" w:hAnsi="Times New Roman"/>
                                <w:color w:val="FFFFFF"/>
                              </w:rPr>
                            </w:pPr>
                            <w:r w:rsidRPr="00E37A9B">
                              <w:rPr>
                                <w:rFonts w:ascii="Times New Roman" w:hAnsi="Times New Roman"/>
                                <w:color w:val="FFFFFF"/>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27" type="#_x0000_t202" style="position:absolute;left:0;text-align:left;margin-left:299.8pt;margin-top:2.45pt;width:31.2pt;height:18.7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" filled="f" stroked="f">
                <v:textbox style="mso-fit-shape-to-text:t">
                  <w:txbxContent>
                    <w:p w:rsidR="006612D9" w:rsidRPr="00E37A9B" w:rsidRDefault="006612D9" w:rsidP="006612D9">
                      <w:pPr>
                        <w:rPr>
                          <w:rFonts w:ascii="Times New Roman" w:hAnsi="Times New Roman"/>
                          <w:color w:val="FFFFFF"/>
                        </w:rPr>
                      </w:pPr>
                      <w:r w:rsidRPr="00E37A9B">
                        <w:rPr>
                          <w:rFonts w:ascii="Times New Roman" w:hAnsi="Times New Roman"/>
                          <w:color w:val="FFFFFF"/>
                        </w:rPr>
                        <w:t>(c)</w:t>
                      </w:r>
                    </w:p>
                  </w:txbxContent>
                </v:textbox>
              </v:shape>
            </w:pict>
          </mc:Fallback>
        </mc:AlternateContent>
      </w:r>
      <w:r w:rsidRPr="006612D9">
        <w:rPr>
          <w:rFonts w:ascii="Times New Roman" w:hAnsi="Times New Roman"/>
          <w:noProof/>
          <w:sz w:val="20"/>
          <w:szCs w:val="20"/>
          <w:lang w:bidi="ar-SA"/>
        </w:rPr>
        <mc:AlternateContent>
          <mc:Choice Requires="wps">
            <w:drawing>
              <wp:anchor distT="0" distB="0" distL="114300" distR="114300" simplePos="0" relativeHeight="251667968" behindDoc="0" locked="0" layoutInCell="1" allowOverlap="1" wp14:anchorId="335F27A0" wp14:editId="647FE616">
                <wp:simplePos x="0" y="0"/>
                <wp:positionH relativeFrom="column">
                  <wp:posOffset>2114550</wp:posOffset>
                </wp:positionH>
                <wp:positionV relativeFrom="paragraph">
                  <wp:posOffset>40640</wp:posOffset>
                </wp:positionV>
                <wp:extent cx="396240" cy="237490"/>
                <wp:effectExtent l="0" t="0" r="0" b="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37490"/>
                        </a:xfrm>
                        <a:prstGeom prst="rect">
                          <a:avLst/>
                        </a:prstGeom>
                        <a:noFill/>
                        <a:ln w="9525">
                          <a:noFill/>
                          <a:miter lim="800000"/>
                          <a:headEnd/>
                          <a:tailEnd/>
                        </a:ln>
                      </wps:spPr>
                      <wps:txbx>
                        <w:txbxContent>
                          <w:p w:rsidR="006612D9" w:rsidRPr="00E37A9B" w:rsidRDefault="006612D9" w:rsidP="006612D9">
                            <w:pPr>
                              <w:rPr>
                                <w:rFonts w:ascii="Times New Roman" w:hAnsi="Times New Roman"/>
                                <w:color w:val="FFFFFF"/>
                              </w:rPr>
                            </w:pPr>
                            <w:r w:rsidRPr="00E37A9B">
                              <w:rPr>
                                <w:rFonts w:ascii="Times New Roman" w:hAnsi="Times New Roman"/>
                                <w:color w:val="FFFFFF"/>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8" type="#_x0000_t202" style="position:absolute;left:0;text-align:left;margin-left:166.5pt;margin-top:3.2pt;width:31.2pt;height:18.7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" filled="f" stroked="f">
                <v:textbox style="mso-fit-shape-to-text:t">
                  <w:txbxContent>
                    <w:p w:rsidR="006612D9" w:rsidRPr="00E37A9B" w:rsidRDefault="006612D9" w:rsidP="006612D9">
                      <w:pPr>
                        <w:rPr>
                          <w:rFonts w:ascii="Times New Roman" w:hAnsi="Times New Roman"/>
                          <w:color w:val="FFFFFF"/>
                        </w:rPr>
                      </w:pPr>
                      <w:r w:rsidRPr="00E37A9B">
                        <w:rPr>
                          <w:rFonts w:ascii="Times New Roman" w:hAnsi="Times New Roman"/>
                          <w:color w:val="FFFFFF"/>
                        </w:rPr>
                        <w:t>(b)</w:t>
                      </w:r>
                    </w:p>
                  </w:txbxContent>
                </v:textbox>
              </v:shape>
            </w:pict>
          </mc:Fallback>
        </mc:AlternateContent>
      </w:r>
      <w:r w:rsidRPr="006612D9">
        <w:rPr>
          <w:rFonts w:ascii="Times New Roman" w:hAnsi="Times New Roman"/>
          <w:noProof/>
          <w:sz w:val="20"/>
          <w:szCs w:val="20"/>
          <w:lang w:bidi="ar-SA"/>
        </w:rPr>
        <mc:AlternateContent>
          <mc:Choice Requires="wps">
            <w:drawing>
              <wp:anchor distT="0" distB="0" distL="114300" distR="114300" simplePos="0" relativeHeight="251666944" behindDoc="0" locked="0" layoutInCell="1" allowOverlap="1" wp14:anchorId="19AAC657" wp14:editId="4787C41B">
                <wp:simplePos x="0" y="0"/>
                <wp:positionH relativeFrom="column">
                  <wp:posOffset>419100</wp:posOffset>
                </wp:positionH>
                <wp:positionV relativeFrom="paragraph">
                  <wp:posOffset>40640</wp:posOffset>
                </wp:positionV>
                <wp:extent cx="396240" cy="237490"/>
                <wp:effectExtent l="0" t="0" r="0" b="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37490"/>
                        </a:xfrm>
                        <a:prstGeom prst="rect">
                          <a:avLst/>
                        </a:prstGeom>
                        <a:noFill/>
                        <a:ln w="9525">
                          <a:noFill/>
                          <a:miter lim="800000"/>
                          <a:headEnd/>
                          <a:tailEnd/>
                        </a:ln>
                      </wps:spPr>
                      <wps:txbx>
                        <w:txbxContent>
                          <w:p w:rsidR="006612D9" w:rsidRPr="00E37A9B" w:rsidRDefault="006612D9" w:rsidP="00171B11">
                            <w:pPr>
                              <w:jc w:val="center"/>
                              <w:rPr>
                                <w:rFonts w:ascii="Times New Roman" w:hAnsi="Times New Roman"/>
                                <w:color w:val="FFFFFF"/>
                              </w:rPr>
                            </w:pPr>
                            <w:r w:rsidRPr="00E37A9B">
                              <w:rPr>
                                <w:rFonts w:ascii="Times New Roman" w:hAnsi="Times New Roman"/>
                                <w:color w:val="FFFFFF"/>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29" type="#_x0000_t202" style="position:absolute;left:0;text-align:left;margin-left:33pt;margin-top:3.2pt;width:31.2pt;height:18.7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" filled="f" stroked="f">
                <v:textbox style="mso-fit-shape-to-text:t">
                  <w:txbxContent>
                    <w:p w:rsidR="006612D9" w:rsidRPr="00E37A9B" w:rsidRDefault="006612D9" w:rsidP="00171B11">
                      <w:pPr>
                        <w:jc w:val="center"/>
                        <w:rPr>
                          <w:rFonts w:ascii="Times New Roman" w:hAnsi="Times New Roman"/>
                          <w:color w:val="FFFFFF"/>
                        </w:rPr>
                      </w:pPr>
                      <w:r w:rsidRPr="00E37A9B">
                        <w:rPr>
                          <w:rFonts w:ascii="Times New Roman" w:hAnsi="Times New Roman"/>
                          <w:color w:val="FFFFFF"/>
                        </w:rPr>
                        <w:t>(a)</w:t>
                      </w:r>
                    </w:p>
                  </w:txbxContent>
                </v:textbox>
              </v:shape>
            </w:pict>
          </mc:Fallback>
        </mc:AlternateContent>
      </w:r>
      <w:r w:rsidR="006612D9" w:rsidRPr="006612D9">
        <w:rPr>
          <w:rFonts w:ascii="Times New Roman" w:hAnsi="Times New Roman"/>
          <w:noProof/>
          <w:sz w:val="20"/>
          <w:szCs w:val="20"/>
          <w:lang w:bidi="ar-SA"/>
        </w:rPr>
        <w:drawing>
          <wp:inline distT="0" distB="0" distL="0" distR="0" wp14:anchorId="3E7B2B1B" wp14:editId="163188D9">
            <wp:extent cx="1647825" cy="1592580"/>
            <wp:effectExtent l="0" t="0" r="9525"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647825" cy="1592580"/>
                    </a:xfrm>
                    <a:prstGeom prst="rect">
                      <a:avLst/>
                    </a:prstGeom>
                    <a:noFill/>
                    <a:ln w="9525">
                      <a:noFill/>
                      <a:miter lim="800000"/>
                      <a:headEnd/>
                      <a:tailEnd/>
                    </a:ln>
                  </pic:spPr>
                </pic:pic>
              </a:graphicData>
            </a:graphic>
          </wp:inline>
        </w:drawing>
      </w:r>
      <w:r w:rsidR="006612D9" w:rsidRPr="006612D9">
        <w:rPr>
          <w:rFonts w:ascii="Times New Roman" w:hAnsi="Times New Roman"/>
          <w:noProof/>
          <w:sz w:val="20"/>
          <w:szCs w:val="20"/>
          <w:lang w:bidi="ar-SA"/>
        </w:rPr>
        <w:drawing>
          <wp:inline distT="0" distB="0" distL="0" distR="0" wp14:anchorId="055B9EBD" wp14:editId="26E56B17">
            <wp:extent cx="1647825" cy="1600200"/>
            <wp:effectExtent l="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647825" cy="1600200"/>
                    </a:xfrm>
                    <a:prstGeom prst="rect">
                      <a:avLst/>
                    </a:prstGeom>
                    <a:noFill/>
                    <a:ln w="9525">
                      <a:noFill/>
                      <a:miter lim="800000"/>
                      <a:headEnd/>
                      <a:tailEnd/>
                    </a:ln>
                  </pic:spPr>
                </pic:pic>
              </a:graphicData>
            </a:graphic>
          </wp:inline>
        </w:drawing>
      </w:r>
      <w:r w:rsidR="006612D9" w:rsidRPr="006612D9">
        <w:rPr>
          <w:rFonts w:ascii="Times New Roman" w:hAnsi="Times New Roman"/>
          <w:noProof/>
          <w:sz w:val="20"/>
          <w:szCs w:val="20"/>
          <w:lang w:bidi="ar-SA"/>
        </w:rPr>
        <w:drawing>
          <wp:inline distT="0" distB="0" distL="0" distR="0" wp14:anchorId="4A4A0E32" wp14:editId="160F80E3">
            <wp:extent cx="1647825" cy="1600200"/>
            <wp:effectExtent l="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1647825" cy="1600200"/>
                    </a:xfrm>
                    <a:prstGeom prst="rect">
                      <a:avLst/>
                    </a:prstGeom>
                    <a:noFill/>
                    <a:ln w="9525">
                      <a:noFill/>
                      <a:miter lim="800000"/>
                      <a:headEnd/>
                      <a:tailEnd/>
                    </a:ln>
                  </pic:spPr>
                </pic:pic>
              </a:graphicData>
            </a:graphic>
          </wp:inline>
        </w:drawing>
      </w:r>
    </w:p>
    <w:p w:rsidR="006612D9" w:rsidRPr="006612D9" w:rsidRDefault="006612D9" w:rsidP="006612D9">
      <w:pPr>
        <w:spacing w:after="0" w:line="240" w:lineRule="auto"/>
        <w:ind w:left="851" w:hanging="851"/>
        <w:jc w:val="both"/>
        <w:outlineLvl w:val="0"/>
        <w:rPr>
          <w:rFonts w:ascii="Times New Roman" w:hAnsi="Times New Roman"/>
          <w:noProof/>
          <w:sz w:val="20"/>
          <w:szCs w:val="20"/>
        </w:rPr>
      </w:pPr>
      <w:r w:rsidRPr="006612D9">
        <w:rPr>
          <w:rFonts w:ascii="Times New Roman" w:hAnsi="Times New Roman"/>
          <w:noProof/>
          <w:sz w:val="20"/>
          <w:szCs w:val="20"/>
        </w:rPr>
        <w:t xml:space="preserve">Figure 2. </w:t>
      </w:r>
      <w:r w:rsidR="00171B11">
        <w:rPr>
          <w:rFonts w:ascii="Times New Roman" w:hAnsi="Times New Roman"/>
          <w:noProof/>
          <w:sz w:val="20"/>
          <w:szCs w:val="20"/>
        </w:rPr>
        <w:tab/>
      </w:r>
      <w:r w:rsidRPr="006612D9">
        <w:rPr>
          <w:rFonts w:ascii="Times New Roman" w:hAnsi="Times New Roman"/>
          <w:noProof/>
          <w:sz w:val="20"/>
          <w:szCs w:val="20"/>
        </w:rPr>
        <w:t>SEM images of polymer-silica hybrid monolith</w:t>
      </w:r>
      <w:r w:rsidR="002654C3">
        <w:rPr>
          <w:rFonts w:ascii="Times New Roman" w:hAnsi="Times New Roman"/>
          <w:noProof/>
          <w:sz w:val="20"/>
          <w:szCs w:val="20"/>
        </w:rPr>
        <w:t xml:space="preserve"> </w:t>
      </w:r>
      <w:r w:rsidRPr="006612D9">
        <w:rPr>
          <w:rFonts w:ascii="Times New Roman" w:hAnsi="Times New Roman"/>
          <w:noProof/>
          <w:sz w:val="20"/>
          <w:szCs w:val="20"/>
        </w:rPr>
        <w:t>made with different amount of PEG 10,000 M</w:t>
      </w:r>
      <w:r w:rsidRPr="006612D9">
        <w:rPr>
          <w:rFonts w:ascii="Times New Roman" w:hAnsi="Times New Roman"/>
          <w:noProof/>
          <w:sz w:val="20"/>
          <w:szCs w:val="20"/>
          <w:vertAlign w:val="subscript"/>
        </w:rPr>
        <w:t xml:space="preserve">n </w:t>
      </w:r>
      <w:r w:rsidRPr="006612D9">
        <w:rPr>
          <w:rFonts w:ascii="Times New Roman" w:hAnsi="Times New Roman"/>
          <w:noProof/>
          <w:sz w:val="20"/>
          <w:szCs w:val="20"/>
        </w:rPr>
        <w:t>used:         (a) PEG-0.1, (b) PEG-0.2, (c) PEG-0.3, at 3000x magnification</w:t>
      </w:r>
    </w:p>
    <w:p w:rsidR="006612D9" w:rsidRPr="006612D9" w:rsidRDefault="006612D9" w:rsidP="00171B11">
      <w:pPr>
        <w:spacing w:after="120" w:line="240" w:lineRule="auto"/>
        <w:jc w:val="both"/>
        <w:outlineLvl w:val="0"/>
        <w:rPr>
          <w:rFonts w:ascii="Times New Roman" w:hAnsi="Times New Roman"/>
          <w:noProof/>
          <w:sz w:val="20"/>
          <w:szCs w:val="20"/>
        </w:rPr>
      </w:pPr>
      <w:r w:rsidRPr="006612D9">
        <w:rPr>
          <w:rFonts w:ascii="Times New Roman" w:hAnsi="Times New Roman"/>
          <w:noProof/>
          <w:sz w:val="20"/>
          <w:szCs w:val="20"/>
          <w:lang w:bidi="ar-SA"/>
        </w:rPr>
        <mc:AlternateContent>
          <mc:Choice Requires="wps">
            <w:drawing>
              <wp:anchor distT="0" distB="0" distL="114300" distR="114300" simplePos="0" relativeHeight="251663872" behindDoc="0" locked="0" layoutInCell="1" allowOverlap="1" wp14:anchorId="5AA0C7D7" wp14:editId="651F59D6">
                <wp:simplePos x="0" y="0"/>
                <wp:positionH relativeFrom="column">
                  <wp:posOffset>3712210</wp:posOffset>
                </wp:positionH>
                <wp:positionV relativeFrom="paragraph">
                  <wp:posOffset>48260</wp:posOffset>
                </wp:positionV>
                <wp:extent cx="396240" cy="237490"/>
                <wp:effectExtent l="0" t="0" r="0" b="127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37490"/>
                        </a:xfrm>
                        <a:prstGeom prst="rect">
                          <a:avLst/>
                        </a:prstGeom>
                        <a:noFill/>
                        <a:ln w="9525">
                          <a:noFill/>
                          <a:miter lim="800000"/>
                          <a:headEnd/>
                          <a:tailEnd/>
                        </a:ln>
                      </wps:spPr>
                      <wps:txbx>
                        <w:txbxContent>
                          <w:p w:rsidR="006612D9" w:rsidRPr="00E37A9B" w:rsidRDefault="006612D9" w:rsidP="006612D9">
                            <w:pPr>
                              <w:rPr>
                                <w:rFonts w:ascii="Times New Roman" w:hAnsi="Times New Roman"/>
                                <w:color w:val="FFFFFF"/>
                              </w:rPr>
                            </w:pPr>
                            <w:r w:rsidRPr="00E37A9B">
                              <w:rPr>
                                <w:rFonts w:ascii="Times New Roman" w:hAnsi="Times New Roman"/>
                                <w:color w:val="FFFFFF"/>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92.3pt;margin-top:3.8pt;width:31.2pt;height:18.7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" filled="f" stroked="f">
                <v:textbox style="mso-fit-shape-to-text:t">
                  <w:txbxContent>
                    <w:p w:rsidR="006612D9" w:rsidRPr="00E37A9B" w:rsidRDefault="006612D9" w:rsidP="006612D9">
                      <w:pPr>
                        <w:rPr>
                          <w:rFonts w:ascii="Times New Roman" w:hAnsi="Times New Roman"/>
                          <w:color w:val="FFFFFF"/>
                        </w:rPr>
                      </w:pPr>
                      <w:r w:rsidRPr="00E37A9B">
                        <w:rPr>
                          <w:rFonts w:ascii="Times New Roman" w:hAnsi="Times New Roman"/>
                          <w:color w:val="FFFFFF"/>
                        </w:rPr>
                        <w:t>(c)</w:t>
                      </w:r>
                    </w:p>
                  </w:txbxContent>
                </v:textbox>
              </v:shape>
            </w:pict>
          </mc:Fallback>
        </mc:AlternateContent>
      </w:r>
      <w:r w:rsidRPr="006612D9">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7EC64273" wp14:editId="16F04292">
                <wp:simplePos x="0" y="0"/>
                <wp:positionH relativeFrom="column">
                  <wp:posOffset>2080260</wp:posOffset>
                </wp:positionH>
                <wp:positionV relativeFrom="paragraph">
                  <wp:posOffset>48260</wp:posOffset>
                </wp:positionV>
                <wp:extent cx="396240" cy="237490"/>
                <wp:effectExtent l="0" t="0" r="0" b="1270"/>
                <wp:wrapNone/>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37490"/>
                        </a:xfrm>
                        <a:prstGeom prst="rect">
                          <a:avLst/>
                        </a:prstGeom>
                        <a:noFill/>
                        <a:ln w="9525">
                          <a:noFill/>
                          <a:miter lim="800000"/>
                          <a:headEnd/>
                          <a:tailEnd/>
                        </a:ln>
                      </wps:spPr>
                      <wps:txbx>
                        <w:txbxContent>
                          <w:p w:rsidR="006612D9" w:rsidRPr="00E37A9B" w:rsidRDefault="006612D9" w:rsidP="006612D9">
                            <w:pPr>
                              <w:rPr>
                                <w:rFonts w:ascii="Times New Roman" w:hAnsi="Times New Roman"/>
                                <w:color w:val="FFFFFF"/>
                              </w:rPr>
                            </w:pPr>
                            <w:r w:rsidRPr="00E37A9B">
                              <w:rPr>
                                <w:rFonts w:ascii="Times New Roman" w:hAnsi="Times New Roman"/>
                                <w:color w:val="FFFFFF"/>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63.8pt;margin-top:3.8pt;width:31.2pt;height:18.7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" filled="f" stroked="f">
                <v:textbox style="mso-fit-shape-to-text:t">
                  <w:txbxContent>
                    <w:p w:rsidR="006612D9" w:rsidRPr="00E37A9B" w:rsidRDefault="006612D9" w:rsidP="006612D9">
                      <w:pPr>
                        <w:rPr>
                          <w:rFonts w:ascii="Times New Roman" w:hAnsi="Times New Roman"/>
                          <w:color w:val="FFFFFF"/>
                        </w:rPr>
                      </w:pPr>
                      <w:r w:rsidRPr="00E37A9B">
                        <w:rPr>
                          <w:rFonts w:ascii="Times New Roman" w:hAnsi="Times New Roman"/>
                          <w:color w:val="FFFFFF"/>
                        </w:rPr>
                        <w:t>(b)</w:t>
                      </w:r>
                    </w:p>
                  </w:txbxContent>
                </v:textbox>
              </v:shape>
            </w:pict>
          </mc:Fallback>
        </mc:AlternateContent>
      </w:r>
      <w:r w:rsidRPr="006612D9">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1A369A35" wp14:editId="3BC69B73">
                <wp:simplePos x="0" y="0"/>
                <wp:positionH relativeFrom="column">
                  <wp:posOffset>419100</wp:posOffset>
                </wp:positionH>
                <wp:positionV relativeFrom="paragraph">
                  <wp:posOffset>48260</wp:posOffset>
                </wp:positionV>
                <wp:extent cx="396240" cy="237490"/>
                <wp:effectExtent l="0" t="0" r="0" b="127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37490"/>
                        </a:xfrm>
                        <a:prstGeom prst="rect">
                          <a:avLst/>
                        </a:prstGeom>
                        <a:noFill/>
                        <a:ln w="9525">
                          <a:noFill/>
                          <a:miter lim="800000"/>
                          <a:headEnd/>
                          <a:tailEnd/>
                        </a:ln>
                      </wps:spPr>
                      <wps:txbx>
                        <w:txbxContent>
                          <w:p w:rsidR="006612D9" w:rsidRPr="00E37A9B" w:rsidRDefault="006612D9" w:rsidP="006612D9">
                            <w:pPr>
                              <w:rPr>
                                <w:rFonts w:ascii="Times New Roman" w:hAnsi="Times New Roman"/>
                                <w:color w:val="FFFFFF"/>
                              </w:rPr>
                            </w:pPr>
                            <w:r w:rsidRPr="00E37A9B">
                              <w:rPr>
                                <w:rFonts w:ascii="Times New Roman" w:hAnsi="Times New Roman"/>
                                <w:color w:val="FFFFFF"/>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3pt;margin-top:3.8pt;width:31.2pt;height:18.7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" filled="f" stroked="f">
                <v:textbox style="mso-fit-shape-to-text:t">
                  <w:txbxContent>
                    <w:p w:rsidR="006612D9" w:rsidRPr="00E37A9B" w:rsidRDefault="006612D9" w:rsidP="006612D9">
                      <w:pPr>
                        <w:rPr>
                          <w:rFonts w:ascii="Times New Roman" w:hAnsi="Times New Roman"/>
                          <w:color w:val="FFFFFF"/>
                        </w:rPr>
                      </w:pPr>
                      <w:r w:rsidRPr="00E37A9B">
                        <w:rPr>
                          <w:rFonts w:ascii="Times New Roman" w:hAnsi="Times New Roman"/>
                          <w:color w:val="FFFFFF"/>
                        </w:rPr>
                        <w:t>(a)</w:t>
                      </w:r>
                    </w:p>
                  </w:txbxContent>
                </v:textbox>
              </v:shape>
            </w:pict>
          </mc:Fallback>
        </mc:AlternateContent>
      </w:r>
    </w:p>
    <w:p w:rsidR="006612D9" w:rsidRPr="006612D9" w:rsidRDefault="006612D9" w:rsidP="006612D9">
      <w:pPr>
        <w:spacing w:after="0" w:line="240" w:lineRule="auto"/>
        <w:jc w:val="both"/>
        <w:outlineLvl w:val="0"/>
        <w:rPr>
          <w:rFonts w:ascii="Times New Roman" w:hAnsi="Times New Roman"/>
          <w:sz w:val="20"/>
          <w:szCs w:val="20"/>
        </w:rPr>
      </w:pPr>
      <w:r w:rsidRPr="006612D9">
        <w:rPr>
          <w:rFonts w:ascii="Times New Roman" w:hAnsi="Times New Roman"/>
          <w:sz w:val="20"/>
          <w:szCs w:val="20"/>
        </w:rPr>
        <w:t>Figure 3 shows the isothermal linear plots for all the monolith samples made from PEG 10,000 M</w:t>
      </w:r>
      <w:r w:rsidRPr="006612D9">
        <w:rPr>
          <w:rFonts w:ascii="Times New Roman" w:hAnsi="Times New Roman"/>
          <w:sz w:val="20"/>
          <w:szCs w:val="20"/>
          <w:vertAlign w:val="subscript"/>
        </w:rPr>
        <w:t xml:space="preserve">n </w:t>
      </w:r>
      <w:r w:rsidRPr="006612D9">
        <w:rPr>
          <w:rFonts w:ascii="Times New Roman" w:hAnsi="Times New Roman"/>
          <w:sz w:val="20"/>
          <w:szCs w:val="20"/>
        </w:rPr>
        <w:t>for 0.1 g to 0.3 g. The nitrogen gas adsorption/desorption isotherm study from Brunauer–Emmett–Teller (BET) method of the hybrid monoliths presented the applicability of H</w:t>
      </w:r>
      <w:r w:rsidRPr="006612D9">
        <w:rPr>
          <w:rFonts w:ascii="Times New Roman" w:hAnsi="Times New Roman"/>
          <w:sz w:val="20"/>
          <w:szCs w:val="20"/>
          <w:vertAlign w:val="subscript"/>
        </w:rPr>
        <w:t>3</w:t>
      </w:r>
      <w:r w:rsidRPr="006612D9">
        <w:rPr>
          <w:rFonts w:ascii="Times New Roman" w:hAnsi="Times New Roman"/>
          <w:sz w:val="20"/>
          <w:szCs w:val="20"/>
        </w:rPr>
        <w:t>-type hysteresis loop with well-defined Type IV(a) isotherm for all the synthesized samples, which confirmed the presence of mesopore structures in the monolith. In the case of Type IV(a) isotherm, the capillary condensation might occur when the pore width exceeded to a certain critical width, depending on the adsorption system and temperature [27]. These findings were supported by the measurement of BET surface area as shown in Table 2. The specific surface determined by BET method was related to the total surface area (reactive surface) as all porous structures adsorb the small gas molecules. The results showed that increased amount of porogen used made the monolith surface area became smaller, for instance, the use of 0.1 g PEG 10,000 Mn showed a significant amount of 494.121 m</w:t>
      </w:r>
      <w:r w:rsidRPr="006612D9">
        <w:rPr>
          <w:rFonts w:ascii="Times New Roman" w:hAnsi="Times New Roman"/>
          <w:sz w:val="20"/>
          <w:szCs w:val="20"/>
          <w:vertAlign w:val="superscript"/>
        </w:rPr>
        <w:t>2</w:t>
      </w:r>
      <w:r w:rsidRPr="006612D9">
        <w:rPr>
          <w:rFonts w:ascii="Times New Roman" w:hAnsi="Times New Roman"/>
          <w:sz w:val="20"/>
          <w:szCs w:val="20"/>
        </w:rPr>
        <w:t>/g surface area, compared to when using 0.2 g (457.586 m</w:t>
      </w:r>
      <w:r w:rsidRPr="006612D9">
        <w:rPr>
          <w:rFonts w:ascii="Times New Roman" w:hAnsi="Times New Roman"/>
          <w:sz w:val="20"/>
          <w:szCs w:val="20"/>
          <w:vertAlign w:val="superscript"/>
        </w:rPr>
        <w:t>2</w:t>
      </w:r>
      <w:r w:rsidRPr="006612D9">
        <w:rPr>
          <w:rFonts w:ascii="Times New Roman" w:hAnsi="Times New Roman"/>
          <w:sz w:val="20"/>
          <w:szCs w:val="20"/>
        </w:rPr>
        <w:t>/g) and 0.3 g (431.102 m</w:t>
      </w:r>
      <w:r w:rsidRPr="006612D9">
        <w:rPr>
          <w:rFonts w:ascii="Times New Roman" w:hAnsi="Times New Roman"/>
          <w:sz w:val="20"/>
          <w:szCs w:val="20"/>
          <w:vertAlign w:val="superscript"/>
        </w:rPr>
        <w:t>2</w:t>
      </w:r>
      <w:r w:rsidRPr="006612D9">
        <w:rPr>
          <w:rFonts w:ascii="Times New Roman" w:hAnsi="Times New Roman"/>
          <w:sz w:val="20"/>
          <w:szCs w:val="20"/>
        </w:rPr>
        <w:t>/g) of PEG. This might be due to the reactive surface that decreased as the surface area became smaller. Additionally, the results measured for the pore volume and size that were obtained by the Barrett-Joyner-Halenda (BJH) method showed that as the amount of PEG used increased, the pore size for each monolith also increased where the 0.1 g PEG of 10,000 M</w:t>
      </w:r>
      <w:r w:rsidRPr="006612D9">
        <w:rPr>
          <w:rFonts w:ascii="Times New Roman" w:hAnsi="Times New Roman"/>
          <w:sz w:val="20"/>
          <w:szCs w:val="20"/>
          <w:vertAlign w:val="subscript"/>
        </w:rPr>
        <w:t>n</w:t>
      </w:r>
      <w:r w:rsidRPr="006612D9">
        <w:rPr>
          <w:rFonts w:ascii="Times New Roman" w:hAnsi="Times New Roman"/>
          <w:sz w:val="20"/>
          <w:szCs w:val="20"/>
        </w:rPr>
        <w:t xml:space="preserve"> resulted with 2.797 nm, 0.2 g PEG of 10,000 M</w:t>
      </w:r>
      <w:r w:rsidRPr="006612D9">
        <w:rPr>
          <w:rFonts w:ascii="Times New Roman" w:hAnsi="Times New Roman"/>
          <w:sz w:val="20"/>
          <w:szCs w:val="20"/>
          <w:vertAlign w:val="subscript"/>
        </w:rPr>
        <w:t>n</w:t>
      </w:r>
      <w:r w:rsidRPr="006612D9">
        <w:rPr>
          <w:rFonts w:ascii="Times New Roman" w:hAnsi="Times New Roman"/>
          <w:sz w:val="20"/>
          <w:szCs w:val="20"/>
        </w:rPr>
        <w:t xml:space="preserve"> resulted with 3.49 nm, and 0.3 g PEG of 10,000 M</w:t>
      </w:r>
      <w:r w:rsidRPr="006612D9">
        <w:rPr>
          <w:rFonts w:ascii="Times New Roman" w:hAnsi="Times New Roman"/>
          <w:sz w:val="20"/>
          <w:szCs w:val="20"/>
          <w:vertAlign w:val="subscript"/>
        </w:rPr>
        <w:t>n</w:t>
      </w:r>
      <w:r w:rsidRPr="006612D9">
        <w:rPr>
          <w:rFonts w:ascii="Times New Roman" w:hAnsi="Times New Roman"/>
          <w:sz w:val="20"/>
          <w:szCs w:val="20"/>
        </w:rPr>
        <w:t xml:space="preserve"> resulted in 9.348 nm in pore diameters. On the other hand, the pore volume of each monolith also became bigger, as described in Table 2.</w:t>
      </w:r>
    </w:p>
    <w:p w:rsidR="006612D9" w:rsidRPr="006612D9" w:rsidRDefault="006612D9" w:rsidP="00171B11">
      <w:pPr>
        <w:spacing w:after="120" w:line="240" w:lineRule="auto"/>
        <w:jc w:val="center"/>
        <w:outlineLvl w:val="0"/>
        <w:rPr>
          <w:rFonts w:ascii="Times New Roman" w:hAnsi="Times New Roman"/>
          <w:sz w:val="20"/>
          <w:szCs w:val="20"/>
        </w:rPr>
      </w:pPr>
      <w:r w:rsidRPr="006612D9">
        <w:rPr>
          <w:rFonts w:ascii="Times New Roman" w:hAnsi="Times New Roman"/>
          <w:noProof/>
          <w:sz w:val="20"/>
          <w:szCs w:val="20"/>
          <w:lang w:bidi="ar-SA"/>
        </w:rPr>
        <w:lastRenderedPageBreak/>
        <w:drawing>
          <wp:inline distT="0" distB="0" distL="0" distR="0" wp14:anchorId="6E3A3D6C" wp14:editId="4B5338E4">
            <wp:extent cx="2955600" cy="5090400"/>
            <wp:effectExtent l="19050" t="19050" r="16510" b="15240"/>
            <wp:docPr id="7" name="Picture 7" descr="D:\Users\HP\Desktop\MJAS 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HP\Desktop\MJAS Figure 3.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5600" cy="5090400"/>
                    </a:xfrm>
                    <a:prstGeom prst="rect">
                      <a:avLst/>
                    </a:prstGeom>
                    <a:noFill/>
                    <a:ln>
                      <a:solidFill>
                        <a:schemeClr val="tx1"/>
                      </a:solidFill>
                    </a:ln>
                  </pic:spPr>
                </pic:pic>
              </a:graphicData>
            </a:graphic>
          </wp:inline>
        </w:drawing>
      </w:r>
    </w:p>
    <w:p w:rsidR="006612D9" w:rsidRPr="006612D9" w:rsidRDefault="006612D9" w:rsidP="006612D9">
      <w:pPr>
        <w:spacing w:after="0" w:line="240" w:lineRule="auto"/>
        <w:ind w:left="851" w:hanging="851"/>
        <w:jc w:val="both"/>
        <w:outlineLvl w:val="0"/>
        <w:rPr>
          <w:rFonts w:ascii="Times New Roman" w:hAnsi="Times New Roman"/>
          <w:noProof/>
          <w:sz w:val="20"/>
          <w:szCs w:val="20"/>
        </w:rPr>
      </w:pPr>
      <w:r w:rsidRPr="006612D9">
        <w:rPr>
          <w:rFonts w:ascii="Times New Roman" w:hAnsi="Times New Roman"/>
          <w:sz w:val="20"/>
          <w:szCs w:val="20"/>
        </w:rPr>
        <w:t>Figure 3. N</w:t>
      </w:r>
      <w:r w:rsidRPr="006612D9">
        <w:rPr>
          <w:rFonts w:ascii="Times New Roman" w:hAnsi="Times New Roman"/>
          <w:sz w:val="20"/>
          <w:szCs w:val="20"/>
          <w:vertAlign w:val="subscript"/>
        </w:rPr>
        <w:t>2</w:t>
      </w:r>
      <w:r w:rsidRPr="006612D9">
        <w:rPr>
          <w:rFonts w:ascii="Times New Roman" w:hAnsi="Times New Roman"/>
          <w:sz w:val="20"/>
          <w:szCs w:val="20"/>
        </w:rPr>
        <w:t xml:space="preserve"> adsorption–desorption isotherm of polymer-silica hybrid monoliths with PEG 10,000 M</w:t>
      </w:r>
      <w:r w:rsidRPr="006612D9">
        <w:rPr>
          <w:rFonts w:ascii="Times New Roman" w:hAnsi="Times New Roman"/>
          <w:sz w:val="20"/>
          <w:szCs w:val="20"/>
          <w:vertAlign w:val="subscript"/>
        </w:rPr>
        <w:t>n</w:t>
      </w:r>
      <w:r w:rsidRPr="006612D9">
        <w:rPr>
          <w:rFonts w:ascii="Times New Roman" w:hAnsi="Times New Roman"/>
          <w:sz w:val="20"/>
          <w:szCs w:val="20"/>
        </w:rPr>
        <w:t xml:space="preserve"> for                      </w:t>
      </w:r>
      <w:r w:rsidRPr="006612D9">
        <w:rPr>
          <w:rFonts w:ascii="Times New Roman" w:hAnsi="Times New Roman"/>
          <w:noProof/>
          <w:sz w:val="20"/>
          <w:szCs w:val="20"/>
        </w:rPr>
        <w:t>(a) PEG-0.1, (b) PEG-0.2, (c) PEG-0.3</w:t>
      </w:r>
    </w:p>
    <w:p w:rsidR="006612D9" w:rsidRDefault="006612D9" w:rsidP="006612D9">
      <w:pPr>
        <w:adjustRightInd w:val="0"/>
        <w:spacing w:after="0" w:line="240" w:lineRule="auto"/>
        <w:jc w:val="both"/>
        <w:rPr>
          <w:rFonts w:ascii="Times New Roman" w:hAnsi="Times New Roman"/>
          <w:sz w:val="20"/>
          <w:szCs w:val="20"/>
        </w:rPr>
      </w:pPr>
    </w:p>
    <w:p w:rsidR="00171B11" w:rsidRPr="006612D9" w:rsidRDefault="00171B11" w:rsidP="006612D9">
      <w:pPr>
        <w:adjustRightInd w:val="0"/>
        <w:spacing w:after="0" w:line="240" w:lineRule="auto"/>
        <w:jc w:val="both"/>
        <w:rPr>
          <w:rFonts w:ascii="Times New Roman" w:hAnsi="Times New Roman"/>
          <w:sz w:val="20"/>
          <w:szCs w:val="20"/>
        </w:rPr>
      </w:pPr>
    </w:p>
    <w:p w:rsidR="006612D9" w:rsidRPr="006612D9" w:rsidRDefault="006612D9" w:rsidP="00171B11">
      <w:pPr>
        <w:adjustRightInd w:val="0"/>
        <w:spacing w:after="120" w:line="240" w:lineRule="auto"/>
        <w:jc w:val="center"/>
        <w:rPr>
          <w:rFonts w:ascii="Times New Roman" w:hAnsi="Times New Roman"/>
          <w:sz w:val="20"/>
          <w:szCs w:val="20"/>
        </w:rPr>
      </w:pPr>
      <w:r w:rsidRPr="006612D9">
        <w:rPr>
          <w:rFonts w:ascii="Times New Roman" w:hAnsi="Times New Roman"/>
          <w:sz w:val="20"/>
          <w:szCs w:val="20"/>
        </w:rPr>
        <w:t xml:space="preserve">Table 2. </w:t>
      </w:r>
      <w:r w:rsidR="00171B11">
        <w:rPr>
          <w:rFonts w:ascii="Times New Roman" w:hAnsi="Times New Roman"/>
          <w:sz w:val="20"/>
          <w:szCs w:val="20"/>
        </w:rPr>
        <w:t xml:space="preserve"> </w:t>
      </w:r>
      <w:r w:rsidRPr="006612D9">
        <w:rPr>
          <w:rFonts w:ascii="Times New Roman" w:hAnsi="Times New Roman"/>
          <w:sz w:val="20"/>
          <w:szCs w:val="20"/>
        </w:rPr>
        <w:t>Surface area, pore size and pore volume measurement for PEG of 10,000 M</w:t>
      </w:r>
      <w:r w:rsidRPr="006612D9">
        <w:rPr>
          <w:rFonts w:ascii="Times New Roman" w:hAnsi="Times New Roman"/>
          <w:sz w:val="20"/>
          <w:szCs w:val="20"/>
          <w:vertAlign w:val="subscript"/>
        </w:rPr>
        <w:t>n</w:t>
      </w:r>
      <w:r w:rsidRPr="006612D9">
        <w:rPr>
          <w:rFonts w:ascii="Times New Roman" w:hAnsi="Times New Roman"/>
          <w:sz w:val="20"/>
          <w:szCs w:val="20"/>
        </w:rPr>
        <w:t xml:space="preserve"> using BET and BJH methods</w:t>
      </w:r>
    </w:p>
    <w:tbl>
      <w:tblPr>
        <w:tblW w:w="0" w:type="auto"/>
        <w:jc w:val="center"/>
        <w:tblBorders>
          <w:insideH w:val="single" w:sz="4" w:space="0" w:color="auto"/>
        </w:tblBorders>
        <w:tblLook w:val="04A0" w:firstRow="1" w:lastRow="0" w:firstColumn="1" w:lastColumn="0" w:noHBand="0" w:noVBand="1"/>
      </w:tblPr>
      <w:tblGrid>
        <w:gridCol w:w="839"/>
        <w:gridCol w:w="2498"/>
        <w:gridCol w:w="1654"/>
        <w:gridCol w:w="1212"/>
      </w:tblGrid>
      <w:tr w:rsidR="006612D9" w:rsidRPr="006612D9" w:rsidTr="00171B11">
        <w:trPr>
          <w:jc w:val="center"/>
        </w:trPr>
        <w:tc>
          <w:tcPr>
            <w:tcW w:w="0" w:type="auto"/>
            <w:vMerge w:val="restart"/>
            <w:tcBorders>
              <w:top w:val="single" w:sz="4" w:space="0" w:color="auto"/>
              <w:bottom w:val="nil"/>
            </w:tcBorders>
            <w:shd w:val="clear" w:color="auto" w:fill="auto"/>
          </w:tcPr>
          <w:p w:rsidR="006612D9" w:rsidRPr="006612D9" w:rsidRDefault="006612D9" w:rsidP="00171B11">
            <w:pPr>
              <w:spacing w:before="120" w:after="0" w:line="240" w:lineRule="auto"/>
              <w:jc w:val="both"/>
              <w:outlineLvl w:val="0"/>
              <w:rPr>
                <w:rFonts w:ascii="Times New Roman" w:hAnsi="Times New Roman"/>
                <w:b/>
                <w:sz w:val="20"/>
                <w:szCs w:val="20"/>
              </w:rPr>
            </w:pPr>
            <w:r w:rsidRPr="006612D9">
              <w:rPr>
                <w:rFonts w:ascii="Times New Roman" w:hAnsi="Times New Roman"/>
                <w:b/>
                <w:sz w:val="20"/>
                <w:szCs w:val="20"/>
              </w:rPr>
              <w:t>Weight</w:t>
            </w:r>
          </w:p>
          <w:p w:rsidR="006612D9" w:rsidRPr="006612D9" w:rsidRDefault="006612D9" w:rsidP="006612D9">
            <w:pPr>
              <w:spacing w:after="0" w:line="240" w:lineRule="auto"/>
              <w:jc w:val="both"/>
              <w:rPr>
                <w:rFonts w:ascii="Times New Roman" w:hAnsi="Times New Roman"/>
                <w:sz w:val="20"/>
                <w:szCs w:val="20"/>
              </w:rPr>
            </w:pPr>
            <w:r w:rsidRPr="006612D9">
              <w:rPr>
                <w:rFonts w:ascii="Times New Roman" w:hAnsi="Times New Roman"/>
                <w:b/>
                <w:sz w:val="20"/>
                <w:szCs w:val="20"/>
              </w:rPr>
              <w:t>(g)</w:t>
            </w:r>
          </w:p>
        </w:tc>
        <w:tc>
          <w:tcPr>
            <w:tcW w:w="0" w:type="auto"/>
            <w:vMerge w:val="restart"/>
            <w:tcBorders>
              <w:top w:val="single" w:sz="4" w:space="0" w:color="auto"/>
              <w:bottom w:val="nil"/>
            </w:tcBorders>
            <w:shd w:val="clear" w:color="auto" w:fill="auto"/>
          </w:tcPr>
          <w:p w:rsidR="006612D9" w:rsidRPr="006612D9" w:rsidRDefault="006612D9" w:rsidP="00171B11">
            <w:pPr>
              <w:spacing w:before="120" w:after="0" w:line="240" w:lineRule="auto"/>
              <w:jc w:val="center"/>
              <w:rPr>
                <w:rFonts w:ascii="Times New Roman" w:hAnsi="Times New Roman"/>
                <w:b/>
                <w:sz w:val="20"/>
                <w:szCs w:val="20"/>
              </w:rPr>
            </w:pPr>
            <w:r w:rsidRPr="006612D9">
              <w:rPr>
                <w:rFonts w:ascii="Times New Roman" w:hAnsi="Times New Roman"/>
                <w:b/>
                <w:sz w:val="20"/>
                <w:szCs w:val="20"/>
              </w:rPr>
              <w:t>Brunauer- Emmett-Teller</w:t>
            </w:r>
          </w:p>
          <w:p w:rsidR="006612D9" w:rsidRPr="006612D9" w:rsidRDefault="006612D9" w:rsidP="00171B11">
            <w:pPr>
              <w:spacing w:after="0" w:line="240" w:lineRule="auto"/>
              <w:jc w:val="center"/>
              <w:rPr>
                <w:rFonts w:ascii="Times New Roman" w:hAnsi="Times New Roman"/>
                <w:b/>
                <w:sz w:val="20"/>
                <w:szCs w:val="20"/>
              </w:rPr>
            </w:pPr>
            <w:r w:rsidRPr="006612D9">
              <w:rPr>
                <w:rFonts w:ascii="Times New Roman" w:hAnsi="Times New Roman"/>
                <w:b/>
                <w:sz w:val="20"/>
                <w:szCs w:val="20"/>
              </w:rPr>
              <w:t>(BET) Surface Area (m</w:t>
            </w:r>
            <w:r w:rsidRPr="006612D9">
              <w:rPr>
                <w:rFonts w:ascii="Times New Roman" w:hAnsi="Times New Roman"/>
                <w:b/>
                <w:sz w:val="20"/>
                <w:szCs w:val="20"/>
                <w:vertAlign w:val="superscript"/>
              </w:rPr>
              <w:t>2</w:t>
            </w:r>
            <w:r w:rsidRPr="006612D9">
              <w:rPr>
                <w:rFonts w:ascii="Times New Roman" w:hAnsi="Times New Roman"/>
                <w:b/>
                <w:sz w:val="20"/>
                <w:szCs w:val="20"/>
              </w:rPr>
              <w:t>/g)</w:t>
            </w:r>
          </w:p>
        </w:tc>
        <w:tc>
          <w:tcPr>
            <w:tcW w:w="0" w:type="auto"/>
            <w:gridSpan w:val="2"/>
            <w:tcBorders>
              <w:top w:val="single" w:sz="4" w:space="0" w:color="auto"/>
              <w:bottom w:val="single" w:sz="4" w:space="0" w:color="auto"/>
            </w:tcBorders>
            <w:shd w:val="clear" w:color="auto" w:fill="auto"/>
          </w:tcPr>
          <w:p w:rsidR="006612D9" w:rsidRPr="006612D9" w:rsidRDefault="006612D9" w:rsidP="00171B11">
            <w:pPr>
              <w:spacing w:before="60" w:after="0" w:line="240" w:lineRule="auto"/>
              <w:jc w:val="center"/>
              <w:rPr>
                <w:rFonts w:ascii="Times New Roman" w:hAnsi="Times New Roman"/>
                <w:b/>
                <w:sz w:val="20"/>
                <w:szCs w:val="20"/>
              </w:rPr>
            </w:pPr>
            <w:r w:rsidRPr="006612D9">
              <w:rPr>
                <w:rFonts w:ascii="Times New Roman" w:hAnsi="Times New Roman"/>
                <w:b/>
                <w:sz w:val="20"/>
                <w:szCs w:val="20"/>
              </w:rPr>
              <w:t>Barrett-Joyner-Halenda (BJH)</w:t>
            </w:r>
          </w:p>
        </w:tc>
      </w:tr>
      <w:tr w:rsidR="006612D9" w:rsidRPr="006612D9" w:rsidTr="00171B11">
        <w:trPr>
          <w:jc w:val="center"/>
        </w:trPr>
        <w:tc>
          <w:tcPr>
            <w:tcW w:w="0" w:type="auto"/>
            <w:vMerge/>
            <w:tcBorders>
              <w:top w:val="nil"/>
              <w:bottom w:val="single" w:sz="4" w:space="0" w:color="auto"/>
            </w:tcBorders>
            <w:shd w:val="clear" w:color="auto" w:fill="auto"/>
          </w:tcPr>
          <w:p w:rsidR="006612D9" w:rsidRPr="006612D9" w:rsidRDefault="006612D9" w:rsidP="006612D9">
            <w:pPr>
              <w:spacing w:after="0" w:line="240" w:lineRule="auto"/>
              <w:jc w:val="both"/>
              <w:rPr>
                <w:rFonts w:ascii="Times New Roman" w:hAnsi="Times New Roman"/>
                <w:sz w:val="20"/>
                <w:szCs w:val="20"/>
              </w:rPr>
            </w:pPr>
          </w:p>
        </w:tc>
        <w:tc>
          <w:tcPr>
            <w:tcW w:w="0" w:type="auto"/>
            <w:vMerge/>
            <w:tcBorders>
              <w:top w:val="nil"/>
              <w:bottom w:val="single" w:sz="4" w:space="0" w:color="auto"/>
            </w:tcBorders>
            <w:shd w:val="clear" w:color="auto" w:fill="auto"/>
          </w:tcPr>
          <w:p w:rsidR="006612D9" w:rsidRPr="006612D9" w:rsidRDefault="006612D9" w:rsidP="00171B11">
            <w:pPr>
              <w:spacing w:after="0" w:line="240" w:lineRule="auto"/>
              <w:jc w:val="center"/>
              <w:rPr>
                <w:rFonts w:ascii="Times New Roman" w:hAnsi="Times New Roman"/>
                <w:sz w:val="20"/>
                <w:szCs w:val="20"/>
              </w:rPr>
            </w:pPr>
          </w:p>
        </w:tc>
        <w:tc>
          <w:tcPr>
            <w:tcW w:w="0" w:type="auto"/>
            <w:tcBorders>
              <w:top w:val="single" w:sz="4" w:space="0" w:color="auto"/>
              <w:bottom w:val="single" w:sz="4" w:space="0" w:color="auto"/>
            </w:tcBorders>
            <w:shd w:val="clear" w:color="auto" w:fill="auto"/>
          </w:tcPr>
          <w:p w:rsidR="006612D9" w:rsidRPr="006612D9" w:rsidRDefault="006612D9" w:rsidP="00171B11">
            <w:pPr>
              <w:spacing w:after="0" w:line="240" w:lineRule="auto"/>
              <w:jc w:val="center"/>
              <w:outlineLvl w:val="0"/>
              <w:rPr>
                <w:rFonts w:ascii="Times New Roman" w:hAnsi="Times New Roman"/>
                <w:b/>
                <w:sz w:val="20"/>
                <w:szCs w:val="20"/>
              </w:rPr>
            </w:pPr>
            <w:r w:rsidRPr="006612D9">
              <w:rPr>
                <w:rFonts w:ascii="Times New Roman" w:hAnsi="Times New Roman"/>
                <w:b/>
                <w:sz w:val="20"/>
                <w:szCs w:val="20"/>
              </w:rPr>
              <w:t>Pore Volume</w:t>
            </w:r>
          </w:p>
          <w:p w:rsidR="006612D9" w:rsidRPr="006612D9" w:rsidRDefault="006612D9" w:rsidP="00171B11">
            <w:pPr>
              <w:spacing w:after="60" w:line="240" w:lineRule="auto"/>
              <w:jc w:val="center"/>
              <w:outlineLvl w:val="0"/>
              <w:rPr>
                <w:rFonts w:ascii="Times New Roman" w:hAnsi="Times New Roman"/>
                <w:b/>
                <w:sz w:val="20"/>
                <w:szCs w:val="20"/>
              </w:rPr>
            </w:pPr>
            <w:r w:rsidRPr="006612D9">
              <w:rPr>
                <w:rFonts w:ascii="Times New Roman" w:hAnsi="Times New Roman"/>
                <w:b/>
                <w:sz w:val="20"/>
                <w:szCs w:val="20"/>
              </w:rPr>
              <w:t>(cm</w:t>
            </w:r>
            <w:r w:rsidRPr="006612D9">
              <w:rPr>
                <w:rFonts w:ascii="Times New Roman" w:hAnsi="Times New Roman"/>
                <w:b/>
                <w:sz w:val="20"/>
                <w:szCs w:val="20"/>
                <w:vertAlign w:val="superscript"/>
              </w:rPr>
              <w:t>3</w:t>
            </w:r>
            <w:r w:rsidRPr="006612D9">
              <w:rPr>
                <w:rFonts w:ascii="Times New Roman" w:hAnsi="Times New Roman"/>
                <w:b/>
                <w:sz w:val="20"/>
                <w:szCs w:val="20"/>
              </w:rPr>
              <w:t>/g)</w:t>
            </w:r>
          </w:p>
        </w:tc>
        <w:tc>
          <w:tcPr>
            <w:tcW w:w="0" w:type="auto"/>
            <w:tcBorders>
              <w:top w:val="single" w:sz="4" w:space="0" w:color="auto"/>
              <w:bottom w:val="single" w:sz="4" w:space="0" w:color="auto"/>
            </w:tcBorders>
            <w:shd w:val="clear" w:color="auto" w:fill="auto"/>
          </w:tcPr>
          <w:p w:rsidR="006612D9" w:rsidRPr="006612D9" w:rsidRDefault="006612D9" w:rsidP="00171B11">
            <w:pPr>
              <w:spacing w:after="0" w:line="240" w:lineRule="auto"/>
              <w:jc w:val="center"/>
              <w:outlineLvl w:val="0"/>
              <w:rPr>
                <w:rFonts w:ascii="Times New Roman" w:hAnsi="Times New Roman"/>
                <w:b/>
                <w:sz w:val="20"/>
                <w:szCs w:val="20"/>
              </w:rPr>
            </w:pPr>
            <w:r w:rsidRPr="006612D9">
              <w:rPr>
                <w:rFonts w:ascii="Times New Roman" w:hAnsi="Times New Roman"/>
                <w:b/>
                <w:sz w:val="20"/>
                <w:szCs w:val="20"/>
              </w:rPr>
              <w:t>Pore size</w:t>
            </w:r>
          </w:p>
          <w:p w:rsidR="006612D9" w:rsidRPr="006612D9" w:rsidRDefault="006612D9" w:rsidP="00171B11">
            <w:pPr>
              <w:spacing w:after="0" w:line="240" w:lineRule="auto"/>
              <w:jc w:val="center"/>
              <w:outlineLvl w:val="0"/>
              <w:rPr>
                <w:rFonts w:ascii="Times New Roman" w:hAnsi="Times New Roman"/>
                <w:b/>
                <w:sz w:val="20"/>
                <w:szCs w:val="20"/>
              </w:rPr>
            </w:pPr>
            <w:r w:rsidRPr="006612D9">
              <w:rPr>
                <w:rFonts w:ascii="Times New Roman" w:hAnsi="Times New Roman"/>
                <w:b/>
                <w:sz w:val="20"/>
                <w:szCs w:val="20"/>
              </w:rPr>
              <w:t>(nm)</w:t>
            </w:r>
          </w:p>
        </w:tc>
      </w:tr>
      <w:tr w:rsidR="006612D9" w:rsidRPr="006612D9" w:rsidTr="00171B11">
        <w:trPr>
          <w:jc w:val="center"/>
        </w:trPr>
        <w:tc>
          <w:tcPr>
            <w:tcW w:w="0" w:type="auto"/>
            <w:tcBorders>
              <w:top w:val="single" w:sz="4" w:space="0" w:color="auto"/>
              <w:bottom w:val="nil"/>
            </w:tcBorders>
            <w:shd w:val="clear" w:color="auto" w:fill="auto"/>
          </w:tcPr>
          <w:p w:rsidR="006612D9" w:rsidRPr="006612D9" w:rsidRDefault="006612D9" w:rsidP="00171B11">
            <w:pPr>
              <w:spacing w:before="60" w:after="0" w:line="240" w:lineRule="auto"/>
              <w:jc w:val="both"/>
              <w:rPr>
                <w:rFonts w:ascii="Times New Roman" w:hAnsi="Times New Roman"/>
                <w:sz w:val="20"/>
                <w:szCs w:val="20"/>
              </w:rPr>
            </w:pPr>
            <w:r w:rsidRPr="006612D9">
              <w:rPr>
                <w:rFonts w:ascii="Times New Roman" w:hAnsi="Times New Roman"/>
                <w:sz w:val="20"/>
                <w:szCs w:val="20"/>
              </w:rPr>
              <w:t>0.1</w:t>
            </w:r>
          </w:p>
        </w:tc>
        <w:tc>
          <w:tcPr>
            <w:tcW w:w="0" w:type="auto"/>
            <w:tcBorders>
              <w:top w:val="single" w:sz="4" w:space="0" w:color="auto"/>
              <w:bottom w:val="nil"/>
            </w:tcBorders>
            <w:shd w:val="clear" w:color="auto" w:fill="auto"/>
          </w:tcPr>
          <w:p w:rsidR="006612D9" w:rsidRPr="006612D9" w:rsidRDefault="006612D9" w:rsidP="00171B11">
            <w:pPr>
              <w:spacing w:before="60" w:after="0" w:line="240" w:lineRule="auto"/>
              <w:jc w:val="center"/>
              <w:rPr>
                <w:rFonts w:ascii="Times New Roman" w:hAnsi="Times New Roman"/>
                <w:sz w:val="20"/>
                <w:szCs w:val="20"/>
              </w:rPr>
            </w:pPr>
            <w:r w:rsidRPr="006612D9">
              <w:rPr>
                <w:rFonts w:ascii="Times New Roman" w:hAnsi="Times New Roman"/>
                <w:sz w:val="20"/>
                <w:szCs w:val="20"/>
              </w:rPr>
              <w:t>494.121</w:t>
            </w:r>
          </w:p>
        </w:tc>
        <w:tc>
          <w:tcPr>
            <w:tcW w:w="0" w:type="auto"/>
            <w:tcBorders>
              <w:top w:val="single" w:sz="4" w:space="0" w:color="auto"/>
              <w:bottom w:val="nil"/>
            </w:tcBorders>
            <w:shd w:val="clear" w:color="auto" w:fill="auto"/>
          </w:tcPr>
          <w:p w:rsidR="006612D9" w:rsidRPr="006612D9" w:rsidRDefault="006612D9" w:rsidP="00171B11">
            <w:pPr>
              <w:spacing w:before="60" w:after="0" w:line="240" w:lineRule="auto"/>
              <w:jc w:val="center"/>
              <w:rPr>
                <w:rFonts w:ascii="Times New Roman" w:hAnsi="Times New Roman"/>
                <w:sz w:val="20"/>
                <w:szCs w:val="20"/>
              </w:rPr>
            </w:pPr>
            <w:r w:rsidRPr="006612D9">
              <w:rPr>
                <w:rFonts w:ascii="Times New Roman" w:hAnsi="Times New Roman"/>
                <w:sz w:val="20"/>
                <w:szCs w:val="20"/>
              </w:rPr>
              <w:t>0.265</w:t>
            </w:r>
          </w:p>
        </w:tc>
        <w:tc>
          <w:tcPr>
            <w:tcW w:w="0" w:type="auto"/>
            <w:tcBorders>
              <w:top w:val="single" w:sz="4" w:space="0" w:color="auto"/>
              <w:bottom w:val="nil"/>
            </w:tcBorders>
            <w:shd w:val="clear" w:color="auto" w:fill="auto"/>
          </w:tcPr>
          <w:p w:rsidR="006612D9" w:rsidRPr="006612D9" w:rsidRDefault="006612D9" w:rsidP="00171B11">
            <w:pPr>
              <w:spacing w:before="60" w:after="0" w:line="240" w:lineRule="auto"/>
              <w:jc w:val="center"/>
              <w:rPr>
                <w:rFonts w:ascii="Times New Roman" w:hAnsi="Times New Roman"/>
                <w:sz w:val="20"/>
                <w:szCs w:val="20"/>
              </w:rPr>
            </w:pPr>
            <w:r w:rsidRPr="006612D9">
              <w:rPr>
                <w:rFonts w:ascii="Times New Roman" w:hAnsi="Times New Roman"/>
                <w:sz w:val="20"/>
                <w:szCs w:val="20"/>
              </w:rPr>
              <w:t>2.797</w:t>
            </w:r>
          </w:p>
        </w:tc>
      </w:tr>
      <w:tr w:rsidR="006612D9" w:rsidRPr="006612D9" w:rsidTr="00171B11">
        <w:trPr>
          <w:jc w:val="center"/>
        </w:trPr>
        <w:tc>
          <w:tcPr>
            <w:tcW w:w="0" w:type="auto"/>
            <w:tcBorders>
              <w:top w:val="nil"/>
              <w:bottom w:val="nil"/>
            </w:tcBorders>
            <w:shd w:val="clear" w:color="auto" w:fill="auto"/>
          </w:tcPr>
          <w:p w:rsidR="006612D9" w:rsidRPr="006612D9" w:rsidRDefault="006612D9" w:rsidP="00171B11">
            <w:pPr>
              <w:spacing w:before="60" w:after="0" w:line="240" w:lineRule="auto"/>
              <w:jc w:val="both"/>
              <w:rPr>
                <w:rFonts w:ascii="Times New Roman" w:hAnsi="Times New Roman"/>
                <w:sz w:val="20"/>
                <w:szCs w:val="20"/>
              </w:rPr>
            </w:pPr>
            <w:r w:rsidRPr="006612D9">
              <w:rPr>
                <w:rFonts w:ascii="Times New Roman" w:hAnsi="Times New Roman"/>
                <w:sz w:val="20"/>
                <w:szCs w:val="20"/>
              </w:rPr>
              <w:t>0.2</w:t>
            </w:r>
          </w:p>
        </w:tc>
        <w:tc>
          <w:tcPr>
            <w:tcW w:w="0" w:type="auto"/>
            <w:tcBorders>
              <w:top w:val="nil"/>
              <w:bottom w:val="nil"/>
            </w:tcBorders>
            <w:shd w:val="clear" w:color="auto" w:fill="auto"/>
          </w:tcPr>
          <w:p w:rsidR="006612D9" w:rsidRPr="006612D9" w:rsidRDefault="006612D9" w:rsidP="00171B11">
            <w:pPr>
              <w:spacing w:before="60" w:after="0" w:line="240" w:lineRule="auto"/>
              <w:jc w:val="center"/>
              <w:rPr>
                <w:rFonts w:ascii="Times New Roman" w:hAnsi="Times New Roman"/>
                <w:sz w:val="20"/>
                <w:szCs w:val="20"/>
              </w:rPr>
            </w:pPr>
            <w:r w:rsidRPr="006612D9">
              <w:rPr>
                <w:rFonts w:ascii="Times New Roman" w:hAnsi="Times New Roman"/>
                <w:sz w:val="20"/>
                <w:szCs w:val="20"/>
              </w:rPr>
              <w:t>457.586</w:t>
            </w:r>
          </w:p>
        </w:tc>
        <w:tc>
          <w:tcPr>
            <w:tcW w:w="0" w:type="auto"/>
            <w:tcBorders>
              <w:top w:val="nil"/>
              <w:bottom w:val="nil"/>
            </w:tcBorders>
            <w:shd w:val="clear" w:color="auto" w:fill="auto"/>
          </w:tcPr>
          <w:p w:rsidR="006612D9" w:rsidRPr="006612D9" w:rsidRDefault="006612D9" w:rsidP="00171B11">
            <w:pPr>
              <w:spacing w:before="60" w:after="0" w:line="240" w:lineRule="auto"/>
              <w:jc w:val="center"/>
              <w:rPr>
                <w:rFonts w:ascii="Times New Roman" w:hAnsi="Times New Roman"/>
                <w:sz w:val="20"/>
                <w:szCs w:val="20"/>
              </w:rPr>
            </w:pPr>
            <w:r w:rsidRPr="006612D9">
              <w:rPr>
                <w:rFonts w:ascii="Times New Roman" w:hAnsi="Times New Roman"/>
                <w:sz w:val="20"/>
                <w:szCs w:val="20"/>
              </w:rPr>
              <w:t>0.467</w:t>
            </w:r>
          </w:p>
        </w:tc>
        <w:tc>
          <w:tcPr>
            <w:tcW w:w="0" w:type="auto"/>
            <w:tcBorders>
              <w:top w:val="nil"/>
              <w:bottom w:val="nil"/>
            </w:tcBorders>
            <w:shd w:val="clear" w:color="auto" w:fill="auto"/>
          </w:tcPr>
          <w:p w:rsidR="006612D9" w:rsidRPr="006612D9" w:rsidRDefault="006612D9" w:rsidP="00171B11">
            <w:pPr>
              <w:spacing w:before="60" w:after="0" w:line="240" w:lineRule="auto"/>
              <w:jc w:val="center"/>
              <w:rPr>
                <w:rFonts w:ascii="Times New Roman" w:hAnsi="Times New Roman"/>
                <w:sz w:val="20"/>
                <w:szCs w:val="20"/>
              </w:rPr>
            </w:pPr>
            <w:r w:rsidRPr="006612D9">
              <w:rPr>
                <w:rFonts w:ascii="Times New Roman" w:hAnsi="Times New Roman"/>
                <w:sz w:val="20"/>
                <w:szCs w:val="20"/>
              </w:rPr>
              <w:t>3.549</w:t>
            </w:r>
          </w:p>
        </w:tc>
      </w:tr>
      <w:tr w:rsidR="006612D9" w:rsidRPr="006612D9" w:rsidTr="00171B11">
        <w:trPr>
          <w:jc w:val="center"/>
        </w:trPr>
        <w:tc>
          <w:tcPr>
            <w:tcW w:w="0" w:type="auto"/>
            <w:tcBorders>
              <w:top w:val="nil"/>
              <w:left w:val="nil"/>
              <w:bottom w:val="single" w:sz="4" w:space="0" w:color="auto"/>
            </w:tcBorders>
            <w:shd w:val="clear" w:color="auto" w:fill="auto"/>
          </w:tcPr>
          <w:p w:rsidR="006612D9" w:rsidRPr="006612D9" w:rsidRDefault="006612D9" w:rsidP="00171B11">
            <w:pPr>
              <w:spacing w:before="60" w:after="60" w:line="240" w:lineRule="auto"/>
              <w:jc w:val="both"/>
              <w:rPr>
                <w:rFonts w:ascii="Times New Roman" w:hAnsi="Times New Roman"/>
                <w:sz w:val="20"/>
                <w:szCs w:val="20"/>
              </w:rPr>
            </w:pPr>
            <w:r w:rsidRPr="006612D9">
              <w:rPr>
                <w:rFonts w:ascii="Times New Roman" w:hAnsi="Times New Roman"/>
                <w:sz w:val="20"/>
                <w:szCs w:val="20"/>
              </w:rPr>
              <w:t>0.3</w:t>
            </w:r>
          </w:p>
        </w:tc>
        <w:tc>
          <w:tcPr>
            <w:tcW w:w="0" w:type="auto"/>
            <w:tcBorders>
              <w:top w:val="nil"/>
              <w:bottom w:val="single" w:sz="4" w:space="0" w:color="auto"/>
            </w:tcBorders>
            <w:shd w:val="clear" w:color="auto" w:fill="auto"/>
          </w:tcPr>
          <w:p w:rsidR="006612D9" w:rsidRPr="006612D9" w:rsidRDefault="006612D9" w:rsidP="00171B11">
            <w:pPr>
              <w:spacing w:before="60" w:after="60" w:line="240" w:lineRule="auto"/>
              <w:jc w:val="center"/>
              <w:rPr>
                <w:rFonts w:ascii="Times New Roman" w:hAnsi="Times New Roman"/>
                <w:sz w:val="20"/>
                <w:szCs w:val="20"/>
              </w:rPr>
            </w:pPr>
            <w:r w:rsidRPr="006612D9">
              <w:rPr>
                <w:rFonts w:ascii="Times New Roman" w:hAnsi="Times New Roman"/>
                <w:sz w:val="20"/>
                <w:szCs w:val="20"/>
              </w:rPr>
              <w:t>431.102</w:t>
            </w:r>
          </w:p>
        </w:tc>
        <w:tc>
          <w:tcPr>
            <w:tcW w:w="0" w:type="auto"/>
            <w:tcBorders>
              <w:top w:val="nil"/>
              <w:bottom w:val="single" w:sz="4" w:space="0" w:color="auto"/>
            </w:tcBorders>
            <w:shd w:val="clear" w:color="auto" w:fill="auto"/>
          </w:tcPr>
          <w:p w:rsidR="006612D9" w:rsidRPr="006612D9" w:rsidRDefault="006612D9" w:rsidP="00171B11">
            <w:pPr>
              <w:spacing w:before="60" w:after="60" w:line="240" w:lineRule="auto"/>
              <w:jc w:val="center"/>
              <w:rPr>
                <w:rFonts w:ascii="Times New Roman" w:hAnsi="Times New Roman"/>
                <w:sz w:val="20"/>
                <w:szCs w:val="20"/>
              </w:rPr>
            </w:pPr>
            <w:r w:rsidRPr="006612D9">
              <w:rPr>
                <w:rFonts w:ascii="Times New Roman" w:hAnsi="Times New Roman"/>
                <w:sz w:val="20"/>
                <w:szCs w:val="20"/>
              </w:rPr>
              <w:t>0.949</w:t>
            </w:r>
          </w:p>
        </w:tc>
        <w:tc>
          <w:tcPr>
            <w:tcW w:w="0" w:type="auto"/>
            <w:tcBorders>
              <w:top w:val="nil"/>
              <w:bottom w:val="single" w:sz="4" w:space="0" w:color="auto"/>
              <w:right w:val="nil"/>
            </w:tcBorders>
            <w:shd w:val="clear" w:color="auto" w:fill="auto"/>
          </w:tcPr>
          <w:p w:rsidR="006612D9" w:rsidRPr="006612D9" w:rsidRDefault="006612D9" w:rsidP="00171B11">
            <w:pPr>
              <w:spacing w:before="60" w:after="60" w:line="240" w:lineRule="auto"/>
              <w:jc w:val="center"/>
              <w:rPr>
                <w:rFonts w:ascii="Times New Roman" w:hAnsi="Times New Roman"/>
                <w:sz w:val="20"/>
                <w:szCs w:val="20"/>
              </w:rPr>
            </w:pPr>
            <w:r w:rsidRPr="006612D9">
              <w:rPr>
                <w:rFonts w:ascii="Times New Roman" w:hAnsi="Times New Roman"/>
                <w:sz w:val="20"/>
                <w:szCs w:val="20"/>
              </w:rPr>
              <w:t>9.348</w:t>
            </w:r>
          </w:p>
        </w:tc>
      </w:tr>
    </w:tbl>
    <w:p w:rsidR="006612D9" w:rsidRPr="006612D9" w:rsidRDefault="006612D9" w:rsidP="00171B11">
      <w:pPr>
        <w:adjustRightInd w:val="0"/>
        <w:spacing w:after="120" w:line="240" w:lineRule="auto"/>
        <w:jc w:val="both"/>
        <w:rPr>
          <w:rFonts w:ascii="Times New Roman" w:hAnsi="Times New Roman"/>
          <w:sz w:val="20"/>
          <w:szCs w:val="20"/>
        </w:rPr>
      </w:pPr>
    </w:p>
    <w:p w:rsidR="006612D9" w:rsidRPr="006612D9" w:rsidRDefault="006612D9" w:rsidP="006612D9">
      <w:pPr>
        <w:adjustRightInd w:val="0"/>
        <w:spacing w:after="0" w:line="240" w:lineRule="auto"/>
        <w:jc w:val="both"/>
        <w:rPr>
          <w:rFonts w:ascii="Times New Roman" w:hAnsi="Times New Roman"/>
          <w:b/>
          <w:sz w:val="20"/>
          <w:szCs w:val="20"/>
        </w:rPr>
      </w:pPr>
      <w:r w:rsidRPr="006612D9">
        <w:rPr>
          <w:rFonts w:ascii="Times New Roman" w:hAnsi="Times New Roman"/>
          <w:b/>
          <w:sz w:val="20"/>
          <w:szCs w:val="20"/>
        </w:rPr>
        <w:t>Effect of variations in porogen type</w:t>
      </w:r>
    </w:p>
    <w:p w:rsidR="006612D9" w:rsidRPr="006612D9" w:rsidRDefault="006612D9" w:rsidP="00171B11">
      <w:pPr>
        <w:adjustRightInd w:val="0"/>
        <w:spacing w:after="120" w:line="240" w:lineRule="auto"/>
        <w:jc w:val="both"/>
        <w:rPr>
          <w:rFonts w:ascii="Times New Roman" w:hAnsi="Times New Roman"/>
          <w:sz w:val="20"/>
          <w:szCs w:val="20"/>
        </w:rPr>
      </w:pPr>
      <w:r w:rsidRPr="006612D9">
        <w:rPr>
          <w:rFonts w:ascii="Times New Roman" w:hAnsi="Times New Roman"/>
          <w:sz w:val="20"/>
          <w:szCs w:val="20"/>
        </w:rPr>
        <w:t>The effect of different porogen types onto monolithic textural properties was also assessed by using different molecular weights for 0.1 g of poly(ethylene-glycol)(PEG) with M</w:t>
      </w:r>
      <w:r w:rsidRPr="006612D9">
        <w:rPr>
          <w:rFonts w:ascii="Times New Roman" w:hAnsi="Times New Roman"/>
          <w:sz w:val="20"/>
          <w:szCs w:val="20"/>
          <w:vertAlign w:val="subscript"/>
        </w:rPr>
        <w:t xml:space="preserve">n </w:t>
      </w:r>
      <w:r w:rsidRPr="006612D9">
        <w:rPr>
          <w:rFonts w:ascii="Times New Roman" w:hAnsi="Times New Roman"/>
          <w:sz w:val="20"/>
          <w:szCs w:val="20"/>
        </w:rPr>
        <w:t xml:space="preserve">of 10,000 and 20,000. The samples were </w:t>
      </w:r>
      <w:r w:rsidRPr="006612D9">
        <w:rPr>
          <w:rFonts w:ascii="Times New Roman" w:hAnsi="Times New Roman"/>
          <w:sz w:val="20"/>
          <w:szCs w:val="20"/>
        </w:rPr>
        <w:lastRenderedPageBreak/>
        <w:t xml:space="preserve">denoted as PEG-0.1-10K and PEG-0.1-20K, respectively. Figure 4 shows the SEM images with different magnifications, verifying that very porous structure and interconnecting network are visible for both PEG-0.1-10K and PEG-0.1-20K synthesized in TEOS, that yielded to a continuous skeleton structure monolith. This result is consistent with the previous study that used 3-mercaptopropyltrimethoxysilane (MPTMS) as a porogen precursor for silica monolith synthesis in the presence of TEOS where the addition of organic monomer helped in introducing the organic moiety to the silica backbone during the preparation of monolith [15, 20, 28]. In Figure 4, the higher magnification images for 5000x magnification (inset) displayed that the skeleton of the monolithic network joined together, building up interconnected spheres in globules form (Figure 4(a)) and also in very homogenous spheres form (Figure 4(b)). The SEM images show that both types of PEG resulted in different characteristics of mesoporous structures. Therefore, the surface area and porosity of each monolith were analyzed using the BET and BJH method, respectively in order to determine the porosity and surface area of the monoliths. </w:t>
      </w:r>
    </w:p>
    <w:p w:rsidR="006612D9" w:rsidRPr="006612D9" w:rsidRDefault="00171B11" w:rsidP="00171B11">
      <w:pPr>
        <w:spacing w:after="120" w:line="240" w:lineRule="auto"/>
        <w:jc w:val="both"/>
        <w:outlineLvl w:val="0"/>
        <w:rPr>
          <w:rFonts w:ascii="Times New Roman" w:hAnsi="Times New Roman"/>
          <w:noProof/>
          <w:sz w:val="20"/>
          <w:szCs w:val="20"/>
        </w:rPr>
      </w:pPr>
      <w:r w:rsidRPr="006612D9">
        <w:rPr>
          <w:rFonts w:ascii="Times New Roman" w:hAnsi="Times New Roman"/>
          <w:noProof/>
          <w:sz w:val="20"/>
          <w:szCs w:val="20"/>
          <w:lang w:bidi="ar-SA"/>
        </w:rPr>
        <w:drawing>
          <wp:anchor distT="0" distB="0" distL="114300" distR="114300" simplePos="0" relativeHeight="251670016" behindDoc="0" locked="0" layoutInCell="1" allowOverlap="1" wp14:anchorId="6E90EF68" wp14:editId="493D4FCF">
            <wp:simplePos x="0" y="0"/>
            <wp:positionH relativeFrom="column">
              <wp:posOffset>3169920</wp:posOffset>
            </wp:positionH>
            <wp:positionV relativeFrom="paragraph">
              <wp:posOffset>122555</wp:posOffset>
            </wp:positionV>
            <wp:extent cx="2019300" cy="1515110"/>
            <wp:effectExtent l="0" t="0" r="0" b="8890"/>
            <wp:wrapNone/>
            <wp:docPr id="9" name="Picture 39" descr="Description: C:\Users\DELL UMT\Desktop\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C:\Users\DELL UMT\Desktop\Picture1.tif"/>
                    <pic:cNvPicPr>
                      <a:picLocks noChangeAspect="1" noChangeArrowheads="1"/>
                    </pic:cNvPicPr>
                  </pic:nvPicPr>
                  <pic:blipFill>
                    <a:blip r:embed="rId16" cstate="print"/>
                    <a:srcRect/>
                    <a:stretch>
                      <a:fillRect/>
                    </a:stretch>
                  </pic:blipFill>
                  <pic:spPr bwMode="auto">
                    <a:xfrm>
                      <a:off x="0" y="0"/>
                      <a:ext cx="2019300" cy="15151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612D9">
        <w:rPr>
          <w:rFonts w:ascii="Times New Roman" w:hAnsi="Times New Roman"/>
          <w:noProof/>
          <w:sz w:val="20"/>
          <w:szCs w:val="20"/>
          <w:lang w:bidi="ar-SA"/>
        </w:rPr>
        <w:drawing>
          <wp:anchor distT="0" distB="0" distL="114300" distR="114300" simplePos="0" relativeHeight="251660800" behindDoc="0" locked="0" layoutInCell="1" allowOverlap="1" wp14:anchorId="1E67DA29" wp14:editId="11290AD3">
            <wp:simplePos x="0" y="0"/>
            <wp:positionH relativeFrom="column">
              <wp:posOffset>719455</wp:posOffset>
            </wp:positionH>
            <wp:positionV relativeFrom="paragraph">
              <wp:posOffset>122555</wp:posOffset>
            </wp:positionV>
            <wp:extent cx="1958340" cy="1515110"/>
            <wp:effectExtent l="0" t="0" r="3810" b="8890"/>
            <wp:wrapNone/>
            <wp:docPr id="8" name="Picture 40" descr="Description: C:\Users\DELL UMT\Desktop\Pict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C:\Users\DELL UMT\Desktop\Picture2.tif"/>
                    <pic:cNvPicPr>
                      <a:picLocks noChangeAspect="1" noChangeArrowheads="1"/>
                    </pic:cNvPicPr>
                  </pic:nvPicPr>
                  <pic:blipFill>
                    <a:blip r:embed="rId17"/>
                    <a:srcRect/>
                    <a:stretch>
                      <a:fillRect/>
                    </a:stretch>
                  </pic:blipFill>
                  <pic:spPr bwMode="auto">
                    <a:xfrm>
                      <a:off x="0" y="0"/>
                      <a:ext cx="1958340" cy="15151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612D9" w:rsidRPr="006612D9">
        <w:rPr>
          <w:rFonts w:ascii="Times New Roman" w:hAnsi="Times New Roman"/>
          <w:noProof/>
          <w:sz w:val="20"/>
          <w:szCs w:val="20"/>
          <w:lang w:bidi="ar-SA"/>
        </w:rPr>
        <mc:AlternateContent>
          <mc:Choice Requires="wps">
            <w:drawing>
              <wp:anchor distT="0" distB="0" distL="114300" distR="114300" simplePos="0" relativeHeight="251671040" behindDoc="0" locked="0" layoutInCell="1" allowOverlap="1" wp14:anchorId="6B7301D9" wp14:editId="361AC7A9">
                <wp:simplePos x="0" y="0"/>
                <wp:positionH relativeFrom="column">
                  <wp:posOffset>2774950</wp:posOffset>
                </wp:positionH>
                <wp:positionV relativeFrom="paragraph">
                  <wp:posOffset>149860</wp:posOffset>
                </wp:positionV>
                <wp:extent cx="396240" cy="237490"/>
                <wp:effectExtent l="0" t="0" r="0" b="127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37490"/>
                        </a:xfrm>
                        <a:prstGeom prst="rect">
                          <a:avLst/>
                        </a:prstGeom>
                        <a:noFill/>
                        <a:ln w="9525">
                          <a:noFill/>
                          <a:miter lim="800000"/>
                          <a:headEnd/>
                          <a:tailEnd/>
                        </a:ln>
                      </wps:spPr>
                      <wps:txbx>
                        <w:txbxContent>
                          <w:p w:rsidR="006612D9" w:rsidRPr="00E37A9B" w:rsidRDefault="006612D9" w:rsidP="006612D9">
                            <w:pPr>
                              <w:rPr>
                                <w:rFonts w:ascii="Times New Roman" w:hAnsi="Times New Roman"/>
                                <w:b/>
                                <w:color w:val="FFFFFF"/>
                              </w:rPr>
                            </w:pPr>
                            <w:r w:rsidRPr="00E37A9B">
                              <w:rPr>
                                <w:rFonts w:ascii="Times New Roman" w:hAnsi="Times New Roman"/>
                                <w:b/>
                                <w:color w:val="FFFFFF"/>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 o:spid="_x0000_s1033" type="#_x0000_t202" style="position:absolute;left:0;text-align:left;margin-left:218.5pt;margin-top:11.8pt;width:31.2pt;height:18.7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" filled="f" stroked="f">
                <v:textbox style="mso-fit-shape-to-text:t">
                  <w:txbxContent>
                    <w:p w:rsidR="006612D9" w:rsidRPr="00E37A9B" w:rsidRDefault="006612D9" w:rsidP="006612D9">
                      <w:pPr>
                        <w:rPr>
                          <w:rFonts w:ascii="Times New Roman" w:hAnsi="Times New Roman"/>
                          <w:b/>
                          <w:color w:val="FFFFFF"/>
                        </w:rPr>
                      </w:pPr>
                      <w:r w:rsidRPr="00E37A9B">
                        <w:rPr>
                          <w:rFonts w:ascii="Times New Roman" w:hAnsi="Times New Roman"/>
                          <w:b/>
                          <w:color w:val="FFFFFF"/>
                        </w:rPr>
                        <w:t>(b)</w:t>
                      </w:r>
                    </w:p>
                  </w:txbxContent>
                </v:textbox>
              </v:shape>
            </w:pict>
          </mc:Fallback>
        </mc:AlternateContent>
      </w:r>
      <w:r w:rsidR="006612D9" w:rsidRPr="006612D9">
        <w:rPr>
          <w:rFonts w:ascii="Times New Roman" w:hAnsi="Times New Roman"/>
          <w:noProof/>
          <w:sz w:val="20"/>
          <w:szCs w:val="20"/>
          <w:lang w:bidi="ar-SA"/>
        </w:rPr>
        <mc:AlternateContent>
          <mc:Choice Requires="wps">
            <w:drawing>
              <wp:anchor distT="0" distB="0" distL="114300" distR="114300" simplePos="0" relativeHeight="251672064" behindDoc="0" locked="0" layoutInCell="1" allowOverlap="1" wp14:anchorId="3C6A728A" wp14:editId="5AB8F14C">
                <wp:simplePos x="0" y="0"/>
                <wp:positionH relativeFrom="column">
                  <wp:posOffset>640715</wp:posOffset>
                </wp:positionH>
                <wp:positionV relativeFrom="paragraph">
                  <wp:posOffset>153035</wp:posOffset>
                </wp:positionV>
                <wp:extent cx="396240" cy="237490"/>
                <wp:effectExtent l="0" t="0" r="0" b="127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37490"/>
                        </a:xfrm>
                        <a:prstGeom prst="rect">
                          <a:avLst/>
                        </a:prstGeom>
                        <a:noFill/>
                        <a:ln w="9525">
                          <a:noFill/>
                          <a:miter lim="800000"/>
                          <a:headEnd/>
                          <a:tailEnd/>
                        </a:ln>
                      </wps:spPr>
                      <wps:txbx>
                        <w:txbxContent>
                          <w:p w:rsidR="006612D9" w:rsidRPr="00E37A9B" w:rsidRDefault="006612D9" w:rsidP="006612D9">
                            <w:pPr>
                              <w:rPr>
                                <w:rFonts w:ascii="Times New Roman" w:hAnsi="Times New Roman"/>
                                <w:b/>
                                <w:color w:val="FFFFFF"/>
                              </w:rPr>
                            </w:pPr>
                            <w:r w:rsidRPr="00E37A9B">
                              <w:rPr>
                                <w:rFonts w:ascii="Times New Roman" w:hAnsi="Times New Roman"/>
                                <w:b/>
                                <w:color w:val="FFFFFF"/>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 o:spid="_x0000_s1034" type="#_x0000_t202" style="position:absolute;left:0;text-align:left;margin-left:50.45pt;margin-top:12.05pt;width:31.2pt;height:18.7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" filled="f" stroked="f">
                <v:textbox style="mso-fit-shape-to-text:t">
                  <w:txbxContent>
                    <w:p w:rsidR="006612D9" w:rsidRPr="00E37A9B" w:rsidRDefault="006612D9" w:rsidP="006612D9">
                      <w:pPr>
                        <w:rPr>
                          <w:rFonts w:ascii="Times New Roman" w:hAnsi="Times New Roman"/>
                          <w:b/>
                          <w:color w:val="FFFFFF"/>
                        </w:rPr>
                      </w:pPr>
                      <w:r w:rsidRPr="00E37A9B">
                        <w:rPr>
                          <w:rFonts w:ascii="Times New Roman" w:hAnsi="Times New Roman"/>
                          <w:b/>
                          <w:color w:val="FFFFFF"/>
                        </w:rPr>
                        <w:t>(a)</w:t>
                      </w:r>
                    </w:p>
                  </w:txbxContent>
                </v:textbox>
              </v:shape>
            </w:pict>
          </mc:Fallback>
        </mc:AlternateContent>
      </w:r>
    </w:p>
    <w:p w:rsidR="006612D9" w:rsidRPr="006612D9" w:rsidRDefault="006612D9" w:rsidP="006612D9">
      <w:pPr>
        <w:spacing w:after="0" w:line="240" w:lineRule="auto"/>
        <w:jc w:val="both"/>
        <w:outlineLvl w:val="0"/>
        <w:rPr>
          <w:rFonts w:ascii="Times New Roman" w:hAnsi="Times New Roman"/>
          <w:noProof/>
          <w:sz w:val="20"/>
          <w:szCs w:val="20"/>
        </w:rPr>
      </w:pPr>
    </w:p>
    <w:p w:rsidR="006612D9" w:rsidRPr="006612D9" w:rsidRDefault="006612D9" w:rsidP="006612D9">
      <w:pPr>
        <w:spacing w:after="0" w:line="240" w:lineRule="auto"/>
        <w:jc w:val="both"/>
        <w:outlineLvl w:val="0"/>
        <w:rPr>
          <w:rFonts w:ascii="Times New Roman" w:hAnsi="Times New Roman"/>
          <w:noProof/>
          <w:sz w:val="20"/>
          <w:szCs w:val="20"/>
        </w:rPr>
      </w:pPr>
    </w:p>
    <w:p w:rsidR="006612D9" w:rsidRPr="006612D9" w:rsidRDefault="006612D9" w:rsidP="006612D9">
      <w:pPr>
        <w:spacing w:after="0" w:line="240" w:lineRule="auto"/>
        <w:jc w:val="both"/>
        <w:outlineLvl w:val="0"/>
        <w:rPr>
          <w:rFonts w:ascii="Times New Roman" w:hAnsi="Times New Roman"/>
          <w:sz w:val="20"/>
          <w:szCs w:val="20"/>
        </w:rPr>
      </w:pPr>
    </w:p>
    <w:p w:rsidR="006612D9" w:rsidRPr="006612D9" w:rsidRDefault="006612D9" w:rsidP="006612D9">
      <w:pPr>
        <w:spacing w:after="0" w:line="240" w:lineRule="auto"/>
        <w:jc w:val="both"/>
        <w:outlineLvl w:val="0"/>
        <w:rPr>
          <w:rFonts w:ascii="Times New Roman" w:hAnsi="Times New Roman"/>
          <w:sz w:val="20"/>
          <w:szCs w:val="20"/>
        </w:rPr>
      </w:pPr>
    </w:p>
    <w:p w:rsidR="006612D9" w:rsidRPr="006612D9" w:rsidRDefault="006612D9" w:rsidP="006612D9">
      <w:pPr>
        <w:spacing w:after="0" w:line="240" w:lineRule="auto"/>
        <w:jc w:val="both"/>
        <w:outlineLvl w:val="0"/>
        <w:rPr>
          <w:rFonts w:ascii="Times New Roman" w:hAnsi="Times New Roman"/>
          <w:sz w:val="20"/>
          <w:szCs w:val="20"/>
        </w:rPr>
      </w:pPr>
    </w:p>
    <w:p w:rsidR="006612D9" w:rsidRPr="006612D9" w:rsidRDefault="006612D9" w:rsidP="006612D9">
      <w:pPr>
        <w:spacing w:after="0" w:line="240" w:lineRule="auto"/>
        <w:jc w:val="both"/>
        <w:outlineLvl w:val="0"/>
        <w:rPr>
          <w:rFonts w:ascii="Times New Roman" w:hAnsi="Times New Roman"/>
          <w:sz w:val="20"/>
          <w:szCs w:val="20"/>
        </w:rPr>
      </w:pPr>
    </w:p>
    <w:p w:rsidR="006612D9" w:rsidRPr="006612D9" w:rsidRDefault="006612D9" w:rsidP="006612D9">
      <w:pPr>
        <w:spacing w:after="0" w:line="240" w:lineRule="auto"/>
        <w:jc w:val="both"/>
        <w:outlineLvl w:val="0"/>
        <w:rPr>
          <w:rFonts w:ascii="Times New Roman" w:hAnsi="Times New Roman"/>
          <w:sz w:val="20"/>
          <w:szCs w:val="20"/>
        </w:rPr>
      </w:pPr>
    </w:p>
    <w:p w:rsidR="006612D9" w:rsidRPr="006612D9" w:rsidRDefault="006612D9" w:rsidP="006612D9">
      <w:pPr>
        <w:spacing w:after="0" w:line="240" w:lineRule="auto"/>
        <w:jc w:val="both"/>
        <w:outlineLvl w:val="0"/>
        <w:rPr>
          <w:rFonts w:ascii="Times New Roman" w:hAnsi="Times New Roman"/>
          <w:sz w:val="20"/>
          <w:szCs w:val="20"/>
        </w:rPr>
      </w:pPr>
    </w:p>
    <w:p w:rsidR="006612D9" w:rsidRPr="006612D9" w:rsidRDefault="006612D9" w:rsidP="006612D9">
      <w:pPr>
        <w:spacing w:after="0" w:line="240" w:lineRule="auto"/>
        <w:jc w:val="both"/>
        <w:outlineLvl w:val="0"/>
        <w:rPr>
          <w:rFonts w:ascii="Times New Roman" w:hAnsi="Times New Roman"/>
          <w:sz w:val="20"/>
          <w:szCs w:val="20"/>
        </w:rPr>
      </w:pPr>
    </w:p>
    <w:p w:rsidR="006612D9" w:rsidRPr="006612D9" w:rsidRDefault="00171B11" w:rsidP="00171B11">
      <w:pPr>
        <w:spacing w:after="120" w:line="240" w:lineRule="auto"/>
        <w:jc w:val="both"/>
        <w:outlineLvl w:val="0"/>
        <w:rPr>
          <w:rFonts w:ascii="Times New Roman" w:hAnsi="Times New Roman"/>
          <w:sz w:val="20"/>
          <w:szCs w:val="20"/>
        </w:rPr>
      </w:pPr>
      <w:r>
        <w:rPr>
          <w:rFonts w:ascii="Times New Roman" w:hAnsi="Times New Roman"/>
          <w:sz w:val="20"/>
          <w:szCs w:val="20"/>
        </w:rPr>
        <w:t xml:space="preserve"> </w:t>
      </w:r>
    </w:p>
    <w:p w:rsidR="006612D9" w:rsidRPr="006612D9" w:rsidRDefault="006612D9" w:rsidP="006612D9">
      <w:pPr>
        <w:spacing w:after="0" w:line="240" w:lineRule="auto"/>
        <w:ind w:left="851" w:hanging="851"/>
        <w:jc w:val="both"/>
        <w:outlineLvl w:val="0"/>
        <w:rPr>
          <w:rFonts w:ascii="Times New Roman" w:hAnsi="Times New Roman"/>
          <w:sz w:val="20"/>
          <w:szCs w:val="20"/>
        </w:rPr>
      </w:pPr>
      <w:r w:rsidRPr="006612D9">
        <w:rPr>
          <w:rFonts w:ascii="Times New Roman" w:hAnsi="Times New Roman"/>
          <w:sz w:val="20"/>
          <w:szCs w:val="20"/>
        </w:rPr>
        <w:t xml:space="preserve">Figure 4. </w:t>
      </w:r>
      <w:r w:rsidR="00171B11">
        <w:rPr>
          <w:rFonts w:ascii="Times New Roman" w:hAnsi="Times New Roman"/>
          <w:sz w:val="20"/>
          <w:szCs w:val="20"/>
        </w:rPr>
        <w:tab/>
      </w:r>
      <w:r w:rsidRPr="006612D9">
        <w:rPr>
          <w:rFonts w:ascii="Times New Roman" w:hAnsi="Times New Roman"/>
          <w:sz w:val="20"/>
          <w:szCs w:val="20"/>
        </w:rPr>
        <w:t>SEM images of polymer silica-hybrid monolith with different molecular weight (a) PEG-0.1-10K for 5000x magnification (inset: 1000x), (b) PEG-0.1-20K for 5000 x magnification (inset: 1000x)</w:t>
      </w:r>
    </w:p>
    <w:p w:rsidR="006612D9" w:rsidRPr="006612D9" w:rsidRDefault="006612D9" w:rsidP="00171B11">
      <w:pPr>
        <w:spacing w:after="120" w:line="240" w:lineRule="auto"/>
        <w:jc w:val="both"/>
        <w:outlineLvl w:val="0"/>
        <w:rPr>
          <w:rFonts w:ascii="Times New Roman" w:hAnsi="Times New Roman"/>
          <w:noProof/>
          <w:sz w:val="20"/>
          <w:szCs w:val="20"/>
        </w:rPr>
      </w:pPr>
      <w:r w:rsidRPr="006612D9">
        <w:rPr>
          <w:rFonts w:ascii="Times New Roman" w:hAnsi="Times New Roman"/>
          <w:noProof/>
          <w:sz w:val="20"/>
          <w:szCs w:val="20"/>
          <w:lang w:bidi="ar-SA"/>
        </w:rPr>
        <mc:AlternateContent>
          <mc:Choice Requires="wps">
            <w:drawing>
              <wp:anchor distT="0" distB="0" distL="114300" distR="114300" simplePos="0" relativeHeight="251664896" behindDoc="0" locked="0" layoutInCell="1" allowOverlap="1" wp14:anchorId="247996D4" wp14:editId="679C13B6">
                <wp:simplePos x="0" y="0"/>
                <wp:positionH relativeFrom="column">
                  <wp:posOffset>3061970</wp:posOffset>
                </wp:positionH>
                <wp:positionV relativeFrom="paragraph">
                  <wp:posOffset>41275</wp:posOffset>
                </wp:positionV>
                <wp:extent cx="396240" cy="237490"/>
                <wp:effectExtent l="0" t="0" r="0" b="1270"/>
                <wp:wrapNone/>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37490"/>
                        </a:xfrm>
                        <a:prstGeom prst="rect">
                          <a:avLst/>
                        </a:prstGeom>
                        <a:noFill/>
                        <a:ln w="9525">
                          <a:noFill/>
                          <a:miter lim="800000"/>
                          <a:headEnd/>
                          <a:tailEnd/>
                        </a:ln>
                      </wps:spPr>
                      <wps:txbx>
                        <w:txbxContent>
                          <w:p w:rsidR="006612D9" w:rsidRPr="00E37A9B" w:rsidRDefault="006612D9" w:rsidP="006612D9">
                            <w:pPr>
                              <w:rPr>
                                <w:rFonts w:ascii="Times New Roman" w:hAnsi="Times New Roman"/>
                                <w:b/>
                                <w:color w:val="FFFFFF"/>
                              </w:rPr>
                            </w:pPr>
                            <w:r w:rsidRPr="00E37A9B">
                              <w:rPr>
                                <w:rFonts w:ascii="Times New Roman" w:hAnsi="Times New Roman"/>
                                <w:b/>
                                <w:color w:val="FFFFFF"/>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241.1pt;margin-top:3.25pt;width:31.2pt;height:18.7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" filled="f" stroked="f">
                <v:textbox style="mso-fit-shape-to-text:t">
                  <w:txbxContent>
                    <w:p w:rsidR="006612D9" w:rsidRPr="00E37A9B" w:rsidRDefault="006612D9" w:rsidP="006612D9">
                      <w:pPr>
                        <w:rPr>
                          <w:rFonts w:ascii="Times New Roman" w:hAnsi="Times New Roman"/>
                          <w:b/>
                          <w:color w:val="FFFFFF"/>
                        </w:rPr>
                      </w:pPr>
                      <w:r w:rsidRPr="00E37A9B">
                        <w:rPr>
                          <w:rFonts w:ascii="Times New Roman" w:hAnsi="Times New Roman"/>
                          <w:b/>
                          <w:color w:val="FFFFFF"/>
                        </w:rPr>
                        <w:t>(b)</w:t>
                      </w:r>
                    </w:p>
                  </w:txbxContent>
                </v:textbox>
              </v:shape>
            </w:pict>
          </mc:Fallback>
        </mc:AlternateContent>
      </w:r>
    </w:p>
    <w:p w:rsidR="006612D9" w:rsidRPr="006612D9" w:rsidRDefault="006612D9" w:rsidP="006612D9">
      <w:pPr>
        <w:spacing w:after="0" w:line="240" w:lineRule="auto"/>
        <w:jc w:val="both"/>
        <w:outlineLvl w:val="0"/>
        <w:rPr>
          <w:rFonts w:ascii="Times New Roman" w:hAnsi="Times New Roman"/>
          <w:noProof/>
          <w:sz w:val="20"/>
          <w:szCs w:val="20"/>
        </w:rPr>
      </w:pPr>
      <w:r w:rsidRPr="006612D9">
        <w:rPr>
          <w:rFonts w:ascii="Times New Roman" w:hAnsi="Times New Roman"/>
          <w:sz w:val="20"/>
          <w:szCs w:val="20"/>
        </w:rPr>
        <w:t>The nitrogen gas adsorption-desorption isotherm of the hybrid monoliths with 0.1g PEG with10,000 M</w:t>
      </w:r>
      <w:r w:rsidRPr="006612D9">
        <w:rPr>
          <w:rFonts w:ascii="Times New Roman" w:hAnsi="Times New Roman"/>
          <w:sz w:val="20"/>
          <w:szCs w:val="20"/>
          <w:vertAlign w:val="subscript"/>
        </w:rPr>
        <w:t>n</w:t>
      </w:r>
      <w:r w:rsidRPr="006612D9">
        <w:rPr>
          <w:rFonts w:ascii="Times New Roman" w:hAnsi="Times New Roman"/>
          <w:sz w:val="20"/>
          <w:szCs w:val="20"/>
        </w:rPr>
        <w:t xml:space="preserve"> (PEG-0.1-10K) and 0.1g PEG with 20,000M</w:t>
      </w:r>
      <w:r w:rsidRPr="006612D9">
        <w:rPr>
          <w:rFonts w:ascii="Times New Roman" w:hAnsi="Times New Roman"/>
          <w:sz w:val="20"/>
          <w:szCs w:val="20"/>
          <w:vertAlign w:val="subscript"/>
        </w:rPr>
        <w:t xml:space="preserve">n </w:t>
      </w:r>
      <w:r w:rsidRPr="006612D9">
        <w:rPr>
          <w:rFonts w:ascii="Times New Roman" w:hAnsi="Times New Roman"/>
          <w:sz w:val="20"/>
          <w:szCs w:val="20"/>
        </w:rPr>
        <w:t>(PEG-0.1-20K) are tabulated in Figures 5(a) and (b). The isothermal linear plots for both samples revealed a H</w:t>
      </w:r>
      <w:r w:rsidRPr="006612D9">
        <w:rPr>
          <w:rFonts w:ascii="Times New Roman" w:hAnsi="Times New Roman"/>
          <w:sz w:val="20"/>
          <w:szCs w:val="20"/>
          <w:vertAlign w:val="subscript"/>
        </w:rPr>
        <w:t>3</w:t>
      </w:r>
      <w:r w:rsidRPr="006612D9">
        <w:rPr>
          <w:rFonts w:ascii="Times New Roman" w:hAnsi="Times New Roman"/>
          <w:sz w:val="20"/>
          <w:szCs w:val="20"/>
        </w:rPr>
        <w:t>-type hysteresis loop with well-defined type IV isotherms. The surface area calculated using the BET method gave a value of 494.121 m</w:t>
      </w:r>
      <w:r w:rsidRPr="006612D9">
        <w:rPr>
          <w:rFonts w:ascii="Times New Roman" w:hAnsi="Times New Roman"/>
          <w:sz w:val="20"/>
          <w:szCs w:val="20"/>
          <w:vertAlign w:val="superscript"/>
        </w:rPr>
        <w:t>2</w:t>
      </w:r>
      <w:r w:rsidRPr="006612D9">
        <w:rPr>
          <w:rFonts w:ascii="Times New Roman" w:hAnsi="Times New Roman"/>
          <w:sz w:val="20"/>
          <w:szCs w:val="20"/>
        </w:rPr>
        <w:t>/g for hybrid monolith PEG-0.1-10K used and 468.830 m</w:t>
      </w:r>
      <w:r w:rsidRPr="006612D9">
        <w:rPr>
          <w:rFonts w:ascii="Times New Roman" w:hAnsi="Times New Roman"/>
          <w:sz w:val="20"/>
          <w:szCs w:val="20"/>
          <w:vertAlign w:val="superscript"/>
        </w:rPr>
        <w:t>2</w:t>
      </w:r>
      <w:r w:rsidRPr="006612D9">
        <w:rPr>
          <w:rFonts w:ascii="Times New Roman" w:hAnsi="Times New Roman"/>
          <w:sz w:val="20"/>
          <w:szCs w:val="20"/>
        </w:rPr>
        <w:t>/g for hybrid monolith PEG-0.1-20K. This shows that the lower molecular weight of porogen is more desirable for the synthesis of the higher surface value of support. The volume of nitrogen gas adsorbed for the isotherms increased sharply, starting from 0.5 of relative pressure (p=p0) (Figure 5(a)). This behavior might signify the capillary condensation of nitrogen gas within the continuous mesoporous structures [29</w:t>
      </w:r>
      <w:r w:rsidR="00295B9D">
        <w:rPr>
          <w:rFonts w:ascii="Times New Roman" w:hAnsi="Times New Roman"/>
          <w:sz w:val="20"/>
          <w:szCs w:val="20"/>
        </w:rPr>
        <w:t>, 30</w:t>
      </w:r>
      <w:r w:rsidRPr="006612D9">
        <w:rPr>
          <w:rFonts w:ascii="Times New Roman" w:hAnsi="Times New Roman"/>
          <w:sz w:val="20"/>
          <w:szCs w:val="20"/>
        </w:rPr>
        <w:t>]. Additionally, based on the BJH report for the porosity study (report not included), for the sample with 0.1g of PEG with 10,000 molecular weight (PEG-0.1-10K), the pore volume and size appeared to be 0.265 cm³/g and 2.797 nm, respectively while the same amount of PEG with 20,000 molecular weight ((PEG-0.1-20K) only gave a slightly different pore value of 0.264 cm³/g pore volume and 2.762 nm pore size. Therefore, while the surface area can be different for both types of the monolith, it can be agreed that there is not much different in the monolith porosity of using different molecular weights of PEG as porogen as compared to the different amounts of PEG used in each hybrid monolith sample preparation.</w:t>
      </w:r>
    </w:p>
    <w:p w:rsidR="006612D9" w:rsidRPr="006612D9" w:rsidRDefault="006612D9" w:rsidP="006612D9">
      <w:pPr>
        <w:spacing w:after="0" w:line="240" w:lineRule="auto"/>
        <w:jc w:val="both"/>
        <w:outlineLvl w:val="0"/>
        <w:rPr>
          <w:rFonts w:ascii="Times New Roman" w:hAnsi="Times New Roman"/>
          <w:noProof/>
          <w:sz w:val="20"/>
          <w:szCs w:val="20"/>
        </w:rPr>
      </w:pPr>
    </w:p>
    <w:p w:rsidR="006612D9" w:rsidRPr="006612D9" w:rsidRDefault="006612D9" w:rsidP="00171B11">
      <w:pPr>
        <w:spacing w:after="120" w:line="240" w:lineRule="auto"/>
        <w:jc w:val="center"/>
        <w:outlineLvl w:val="0"/>
        <w:rPr>
          <w:rFonts w:ascii="Times New Roman" w:hAnsi="Times New Roman"/>
          <w:sz w:val="20"/>
          <w:szCs w:val="20"/>
        </w:rPr>
      </w:pPr>
      <w:r w:rsidRPr="006612D9">
        <w:rPr>
          <w:rFonts w:ascii="Times New Roman" w:hAnsi="Times New Roman"/>
          <w:noProof/>
          <w:sz w:val="20"/>
          <w:szCs w:val="20"/>
          <w:lang w:bidi="ar-SA"/>
        </w:rPr>
        <w:lastRenderedPageBreak/>
        <w:drawing>
          <wp:inline distT="0" distB="0" distL="0" distR="0" wp14:anchorId="621A6383" wp14:editId="29689533">
            <wp:extent cx="3150000" cy="3790800"/>
            <wp:effectExtent l="19050" t="19050" r="12700" b="19685"/>
            <wp:docPr id="10" name="Picture 10" descr="D:\Users\HP\Desktop\MJAS 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HP\Desktop\MJAS Figure 5.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0000" cy="3790800"/>
                    </a:xfrm>
                    <a:prstGeom prst="rect">
                      <a:avLst/>
                    </a:prstGeom>
                    <a:noFill/>
                    <a:ln>
                      <a:solidFill>
                        <a:schemeClr val="tx1"/>
                      </a:solidFill>
                    </a:ln>
                  </pic:spPr>
                </pic:pic>
              </a:graphicData>
            </a:graphic>
          </wp:inline>
        </w:drawing>
      </w:r>
    </w:p>
    <w:p w:rsidR="006612D9" w:rsidRPr="006612D9" w:rsidRDefault="006612D9" w:rsidP="00171B11">
      <w:pPr>
        <w:spacing w:after="0" w:line="240" w:lineRule="auto"/>
        <w:ind w:left="810" w:hanging="810"/>
        <w:jc w:val="both"/>
        <w:outlineLvl w:val="0"/>
        <w:rPr>
          <w:rFonts w:ascii="Times New Roman" w:hAnsi="Times New Roman"/>
          <w:sz w:val="20"/>
          <w:szCs w:val="20"/>
        </w:rPr>
      </w:pPr>
      <w:r w:rsidRPr="006612D9">
        <w:rPr>
          <w:rFonts w:ascii="Times New Roman" w:hAnsi="Times New Roman"/>
          <w:sz w:val="20"/>
          <w:szCs w:val="20"/>
        </w:rPr>
        <w:t xml:space="preserve">Figure 5. </w:t>
      </w:r>
      <w:r w:rsidR="007E4271">
        <w:rPr>
          <w:rFonts w:ascii="Times New Roman" w:hAnsi="Times New Roman"/>
          <w:sz w:val="20"/>
          <w:szCs w:val="20"/>
        </w:rPr>
        <w:tab/>
      </w:r>
      <w:r w:rsidRPr="006612D9">
        <w:rPr>
          <w:rFonts w:ascii="Times New Roman" w:hAnsi="Times New Roman"/>
          <w:sz w:val="20"/>
          <w:szCs w:val="20"/>
        </w:rPr>
        <w:t>The Nitrogen gas adsorption-desorption isotherm of the hybrid monoliths with (a) PEG-0.1-10K and (b) PEG-0.1-20K</w:t>
      </w:r>
    </w:p>
    <w:p w:rsidR="00AC0033" w:rsidRDefault="00AC0033" w:rsidP="00AC0033">
      <w:pPr>
        <w:spacing w:after="0" w:line="240" w:lineRule="auto"/>
        <w:jc w:val="center"/>
        <w:rPr>
          <w:rFonts w:ascii="Times New Roman" w:hAnsi="Times New Roman"/>
          <w:noProof/>
          <w:sz w:val="20"/>
          <w:szCs w:val="20"/>
          <w:lang w:bidi="ar-SA"/>
        </w:rPr>
      </w:pPr>
    </w:p>
    <w:p w:rsidR="00171B11" w:rsidRPr="00F447A7" w:rsidRDefault="00171B11"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FD2EE3" w:rsidRPr="00FD2EE3" w:rsidRDefault="00FD2EE3" w:rsidP="00FD2EE3">
      <w:pPr>
        <w:spacing w:after="0" w:line="240" w:lineRule="auto"/>
        <w:jc w:val="both"/>
        <w:outlineLvl w:val="0"/>
        <w:rPr>
          <w:rFonts w:ascii="Times New Roman" w:hAnsi="Times New Roman"/>
          <w:sz w:val="20"/>
          <w:szCs w:val="20"/>
        </w:rPr>
      </w:pPr>
      <w:r w:rsidRPr="00FD2EE3">
        <w:rPr>
          <w:rFonts w:ascii="Times New Roman" w:hAnsi="Times New Roman"/>
          <w:sz w:val="20"/>
          <w:szCs w:val="20"/>
        </w:rPr>
        <w:t xml:space="preserve">The fabrications of the hybrid monolith as a precursor for manufacturing enzyme support were accomplished by employing </w:t>
      </w:r>
      <w:r w:rsidRPr="00FD2EE3">
        <w:rPr>
          <w:rFonts w:ascii="Times New Roman" w:hAnsi="Times New Roman"/>
          <w:i/>
          <w:sz w:val="20"/>
          <w:szCs w:val="20"/>
        </w:rPr>
        <w:t>in-situ</w:t>
      </w:r>
      <w:r w:rsidRPr="00FD2EE3">
        <w:rPr>
          <w:rFonts w:ascii="Times New Roman" w:hAnsi="Times New Roman"/>
          <w:sz w:val="20"/>
          <w:szCs w:val="20"/>
        </w:rPr>
        <w:t xml:space="preserve"> conventional sol gel method as described. All the synthesized monoliths were found to be having a porous structure. It was proven that diversified mesoporous structures can be tuned using different amounts and types of the porogen. Results showed that the most optimum condition for hybrid monolith synthesis was using PEG-0.1-10K. It can be concluded that the synthesized polymer-silica hybrid monolith permits a great surface area with a desirable functional group of silanol for further enzyme immobilization support. In future, this kind of support will be such a good platform for lipid modification and rapid lipid analysis, especially in a small scale analytical reaction.</w:t>
      </w:r>
    </w:p>
    <w:p w:rsidR="00FD2EE3" w:rsidRPr="00FD2EE3" w:rsidRDefault="00FD2EE3" w:rsidP="00FD2EE3">
      <w:pPr>
        <w:spacing w:after="0" w:line="240" w:lineRule="auto"/>
        <w:jc w:val="center"/>
        <w:outlineLvl w:val="0"/>
        <w:rPr>
          <w:rFonts w:ascii="Times New Roman" w:hAnsi="Times New Roman"/>
          <w:sz w:val="20"/>
          <w:szCs w:val="20"/>
        </w:rPr>
      </w:pPr>
    </w:p>
    <w:p w:rsidR="00FD2EE3" w:rsidRPr="00FD2EE3" w:rsidRDefault="00FD2EE3" w:rsidP="00FD2EE3">
      <w:pPr>
        <w:spacing w:after="0" w:line="240" w:lineRule="auto"/>
        <w:jc w:val="center"/>
        <w:outlineLvl w:val="0"/>
        <w:rPr>
          <w:rFonts w:ascii="Times New Roman" w:hAnsi="Times New Roman"/>
          <w:b/>
          <w:sz w:val="20"/>
          <w:szCs w:val="20"/>
        </w:rPr>
      </w:pPr>
      <w:r w:rsidRPr="00FD2EE3">
        <w:rPr>
          <w:rFonts w:ascii="Times New Roman" w:hAnsi="Times New Roman"/>
          <w:b/>
          <w:sz w:val="20"/>
          <w:szCs w:val="20"/>
        </w:rPr>
        <w:t>Acknowledgements</w:t>
      </w:r>
    </w:p>
    <w:p w:rsidR="00AC0033" w:rsidRPr="00FD2EE3" w:rsidRDefault="00FD2EE3" w:rsidP="00FD2EE3">
      <w:pPr>
        <w:spacing w:after="0" w:line="240" w:lineRule="auto"/>
        <w:jc w:val="both"/>
        <w:outlineLvl w:val="0"/>
        <w:rPr>
          <w:rFonts w:ascii="Times New Roman" w:hAnsi="Times New Roman"/>
          <w:b/>
          <w:sz w:val="20"/>
          <w:szCs w:val="20"/>
        </w:rPr>
      </w:pPr>
      <w:r w:rsidRPr="00FD2EE3">
        <w:rPr>
          <w:rFonts w:ascii="Times New Roman" w:hAnsi="Times New Roman"/>
          <w:sz w:val="20"/>
          <w:szCs w:val="20"/>
        </w:rPr>
        <w:t>The authors would like to thank the Malaysian Ministry of Higher Education (MOHE) for FRGS Research grant given to Dr. Sabiqah T. Anuar (59327) and MOHE MyBrain15 for providing graduate student funding (Noor Hidayah Idrohani). The authors also acknowledge the analytical and technical supports from Dr. Alyza A. Azmi for technical advice and Dr. Mohd Hasmizam Bin Razali from the School of Fundamental Sciences, UMT for providing technical help on the BET and BJH analyses.</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FD2EE3" w:rsidRPr="00FD2EE3" w:rsidRDefault="00FD2EE3" w:rsidP="00FD2EE3">
      <w:pPr>
        <w:pStyle w:val="ListParagraph"/>
        <w:widowControl w:val="0"/>
        <w:numPr>
          <w:ilvl w:val="0"/>
          <w:numId w:val="3"/>
        </w:numPr>
        <w:wordWrap w:val="0"/>
        <w:autoSpaceDE w:val="0"/>
        <w:autoSpaceDN w:val="0"/>
        <w:spacing w:after="0" w:line="240" w:lineRule="auto"/>
        <w:ind w:hanging="363"/>
        <w:contextualSpacing w:val="0"/>
        <w:jc w:val="both"/>
        <w:outlineLvl w:val="0"/>
        <w:rPr>
          <w:rFonts w:ascii="Times New Roman" w:hAnsi="Times New Roman"/>
          <w:sz w:val="20"/>
          <w:szCs w:val="20"/>
        </w:rPr>
      </w:pPr>
      <w:r w:rsidRPr="00FD2EE3">
        <w:rPr>
          <w:rFonts w:ascii="Times New Roman" w:hAnsi="Times New Roman"/>
          <w:sz w:val="20"/>
          <w:szCs w:val="20"/>
        </w:rPr>
        <w:t xml:space="preserve">Vázquez, M. and Paull, B. (2010). Review on recent and advanced applications of monoliths and related porous polymer gels in micro-fluidic devices. </w:t>
      </w:r>
      <w:r w:rsidRPr="00FD2EE3">
        <w:rPr>
          <w:rFonts w:ascii="Times New Roman" w:hAnsi="Times New Roman"/>
          <w:i/>
          <w:iCs/>
          <w:sz w:val="20"/>
          <w:szCs w:val="20"/>
        </w:rPr>
        <w:t>Analytica Chimica Acta</w:t>
      </w:r>
      <w:r w:rsidRPr="00FD2EE3">
        <w:rPr>
          <w:rFonts w:ascii="Times New Roman" w:hAnsi="Times New Roman"/>
          <w:sz w:val="20"/>
          <w:szCs w:val="20"/>
        </w:rPr>
        <w:t xml:space="preserve">, </w:t>
      </w:r>
      <w:r w:rsidRPr="00FD2EE3">
        <w:rPr>
          <w:rFonts w:ascii="Times New Roman" w:hAnsi="Times New Roman"/>
          <w:iCs/>
          <w:sz w:val="20"/>
          <w:szCs w:val="20"/>
        </w:rPr>
        <w:t>668</w:t>
      </w:r>
      <w:r w:rsidRPr="00FD2EE3">
        <w:rPr>
          <w:rFonts w:ascii="Times New Roman" w:hAnsi="Times New Roman"/>
          <w:sz w:val="20"/>
          <w:szCs w:val="20"/>
        </w:rPr>
        <w:t>(2): 100 – 113.</w:t>
      </w:r>
    </w:p>
    <w:p w:rsidR="00FD2EE3" w:rsidRPr="00FD2EE3" w:rsidRDefault="00FD2EE3" w:rsidP="00FD2EE3">
      <w:pPr>
        <w:pStyle w:val="ListParagraph"/>
        <w:widowControl w:val="0"/>
        <w:numPr>
          <w:ilvl w:val="0"/>
          <w:numId w:val="3"/>
        </w:numPr>
        <w:wordWrap w:val="0"/>
        <w:autoSpaceDE w:val="0"/>
        <w:autoSpaceDN w:val="0"/>
        <w:spacing w:after="0" w:line="240" w:lineRule="auto"/>
        <w:ind w:hanging="363"/>
        <w:contextualSpacing w:val="0"/>
        <w:jc w:val="both"/>
        <w:outlineLvl w:val="0"/>
        <w:rPr>
          <w:rFonts w:ascii="Times New Roman" w:hAnsi="Times New Roman"/>
          <w:sz w:val="20"/>
          <w:szCs w:val="20"/>
        </w:rPr>
      </w:pPr>
      <w:r w:rsidRPr="00FD2EE3">
        <w:rPr>
          <w:rFonts w:ascii="Times New Roman" w:hAnsi="Times New Roman"/>
          <w:sz w:val="20"/>
          <w:szCs w:val="20"/>
        </w:rPr>
        <w:t>Nema, T., Chan, E. C. Y. and Ho, P. C. (2014).</w:t>
      </w:r>
      <w:r>
        <w:rPr>
          <w:rFonts w:ascii="Times New Roman" w:hAnsi="Times New Roman"/>
          <w:sz w:val="20"/>
          <w:szCs w:val="20"/>
        </w:rPr>
        <w:t xml:space="preserve"> </w:t>
      </w:r>
      <w:r w:rsidRPr="00FD2EE3">
        <w:rPr>
          <w:rFonts w:ascii="Times New Roman" w:hAnsi="Times New Roman"/>
          <w:sz w:val="20"/>
          <w:szCs w:val="20"/>
        </w:rPr>
        <w:t xml:space="preserve"> Applications </w:t>
      </w:r>
      <w:r>
        <w:rPr>
          <w:rFonts w:ascii="Times New Roman" w:hAnsi="Times New Roman"/>
          <w:sz w:val="20"/>
          <w:szCs w:val="20"/>
        </w:rPr>
        <w:t xml:space="preserve"> </w:t>
      </w:r>
      <w:r w:rsidRPr="00FD2EE3">
        <w:rPr>
          <w:rFonts w:ascii="Times New Roman" w:hAnsi="Times New Roman"/>
          <w:sz w:val="20"/>
          <w:szCs w:val="20"/>
        </w:rPr>
        <w:t>of</w:t>
      </w:r>
      <w:r>
        <w:rPr>
          <w:rFonts w:ascii="Times New Roman" w:hAnsi="Times New Roman"/>
          <w:sz w:val="20"/>
          <w:szCs w:val="20"/>
        </w:rPr>
        <w:t xml:space="preserve"> </w:t>
      </w:r>
      <w:r w:rsidRPr="00FD2EE3">
        <w:rPr>
          <w:rFonts w:ascii="Times New Roman" w:hAnsi="Times New Roman"/>
          <w:sz w:val="20"/>
          <w:szCs w:val="20"/>
        </w:rPr>
        <w:t xml:space="preserve"> monolithic </w:t>
      </w:r>
      <w:r>
        <w:rPr>
          <w:rFonts w:ascii="Times New Roman" w:hAnsi="Times New Roman"/>
          <w:sz w:val="20"/>
          <w:szCs w:val="20"/>
        </w:rPr>
        <w:t xml:space="preserve"> </w:t>
      </w:r>
      <w:r w:rsidRPr="00FD2EE3">
        <w:rPr>
          <w:rFonts w:ascii="Times New Roman" w:hAnsi="Times New Roman"/>
          <w:sz w:val="20"/>
          <w:szCs w:val="20"/>
        </w:rPr>
        <w:t xml:space="preserve">materials for sample preparation. </w:t>
      </w:r>
      <w:r w:rsidRPr="00FD2EE3">
        <w:rPr>
          <w:rFonts w:ascii="Times New Roman" w:hAnsi="Times New Roman"/>
          <w:i/>
          <w:iCs/>
          <w:sz w:val="20"/>
          <w:szCs w:val="20"/>
        </w:rPr>
        <w:t>Journal of Pharmaceutical and Biomedical Analysis</w:t>
      </w:r>
      <w:r w:rsidRPr="00FD2EE3">
        <w:rPr>
          <w:rFonts w:ascii="Times New Roman" w:hAnsi="Times New Roman"/>
          <w:sz w:val="20"/>
          <w:szCs w:val="20"/>
        </w:rPr>
        <w:t xml:space="preserve">, </w:t>
      </w:r>
      <w:r w:rsidRPr="00FD2EE3">
        <w:rPr>
          <w:rFonts w:ascii="Times New Roman" w:hAnsi="Times New Roman"/>
          <w:iCs/>
          <w:sz w:val="20"/>
          <w:szCs w:val="20"/>
        </w:rPr>
        <w:t>87</w:t>
      </w:r>
      <w:r w:rsidRPr="00FD2EE3">
        <w:rPr>
          <w:rFonts w:ascii="Times New Roman" w:hAnsi="Times New Roman"/>
          <w:sz w:val="20"/>
          <w:szCs w:val="20"/>
        </w:rPr>
        <w:t>: 130 – 141.</w:t>
      </w:r>
    </w:p>
    <w:p w:rsidR="00FD2EE3" w:rsidRPr="00FD2EE3" w:rsidRDefault="00FD2EE3" w:rsidP="00FD2EE3">
      <w:pPr>
        <w:pStyle w:val="ListParagraph"/>
        <w:widowControl w:val="0"/>
        <w:numPr>
          <w:ilvl w:val="0"/>
          <w:numId w:val="3"/>
        </w:numPr>
        <w:wordWrap w:val="0"/>
        <w:autoSpaceDE w:val="0"/>
        <w:autoSpaceDN w:val="0"/>
        <w:spacing w:after="0" w:line="240" w:lineRule="auto"/>
        <w:ind w:hanging="363"/>
        <w:contextualSpacing w:val="0"/>
        <w:jc w:val="both"/>
        <w:outlineLvl w:val="0"/>
        <w:rPr>
          <w:rFonts w:ascii="Times New Roman" w:hAnsi="Times New Roman"/>
          <w:sz w:val="20"/>
          <w:szCs w:val="20"/>
        </w:rPr>
      </w:pPr>
      <w:r w:rsidRPr="00FD2EE3">
        <w:rPr>
          <w:rFonts w:ascii="Times New Roman" w:hAnsi="Times New Roman"/>
          <w:sz w:val="20"/>
          <w:szCs w:val="20"/>
        </w:rPr>
        <w:lastRenderedPageBreak/>
        <w:t xml:space="preserve">Bakry, R., Huck, C. W. and Bonn, G. K. (2009). </w:t>
      </w:r>
      <w:r>
        <w:rPr>
          <w:rFonts w:ascii="Times New Roman" w:hAnsi="Times New Roman"/>
          <w:sz w:val="20"/>
          <w:szCs w:val="20"/>
        </w:rPr>
        <w:t xml:space="preserve"> </w:t>
      </w:r>
      <w:r w:rsidRPr="00FD2EE3">
        <w:rPr>
          <w:rFonts w:ascii="Times New Roman" w:hAnsi="Times New Roman"/>
          <w:sz w:val="20"/>
          <w:szCs w:val="20"/>
        </w:rPr>
        <w:t xml:space="preserve">Recent </w:t>
      </w:r>
      <w:r>
        <w:rPr>
          <w:rFonts w:ascii="Times New Roman" w:hAnsi="Times New Roman"/>
          <w:sz w:val="20"/>
          <w:szCs w:val="20"/>
        </w:rPr>
        <w:t xml:space="preserve"> </w:t>
      </w:r>
      <w:r w:rsidRPr="00FD2EE3">
        <w:rPr>
          <w:rFonts w:ascii="Times New Roman" w:hAnsi="Times New Roman"/>
          <w:sz w:val="20"/>
          <w:szCs w:val="20"/>
        </w:rPr>
        <w:t xml:space="preserve">applications </w:t>
      </w:r>
      <w:r>
        <w:rPr>
          <w:rFonts w:ascii="Times New Roman" w:hAnsi="Times New Roman"/>
          <w:sz w:val="20"/>
          <w:szCs w:val="20"/>
        </w:rPr>
        <w:t xml:space="preserve"> </w:t>
      </w:r>
      <w:r w:rsidRPr="00FD2EE3">
        <w:rPr>
          <w:rFonts w:ascii="Times New Roman" w:hAnsi="Times New Roman"/>
          <w:sz w:val="20"/>
          <w:szCs w:val="20"/>
        </w:rPr>
        <w:t xml:space="preserve">of </w:t>
      </w:r>
      <w:r>
        <w:rPr>
          <w:rFonts w:ascii="Times New Roman" w:hAnsi="Times New Roman"/>
          <w:sz w:val="20"/>
          <w:szCs w:val="20"/>
        </w:rPr>
        <w:t xml:space="preserve"> </w:t>
      </w:r>
      <w:r w:rsidRPr="00FD2EE3">
        <w:rPr>
          <w:rFonts w:ascii="Times New Roman" w:hAnsi="Times New Roman"/>
          <w:sz w:val="20"/>
          <w:szCs w:val="20"/>
        </w:rPr>
        <w:t xml:space="preserve">organic monoliths in capillary liquid chromatographic separation of biomolecules. </w:t>
      </w:r>
      <w:r w:rsidRPr="00FD2EE3">
        <w:rPr>
          <w:rFonts w:ascii="Times New Roman" w:hAnsi="Times New Roman"/>
          <w:i/>
          <w:iCs/>
          <w:sz w:val="20"/>
          <w:szCs w:val="20"/>
        </w:rPr>
        <w:t>Journal of Chromatographic Science</w:t>
      </w:r>
      <w:r w:rsidRPr="00FD2EE3">
        <w:rPr>
          <w:rFonts w:ascii="Times New Roman" w:hAnsi="Times New Roman"/>
          <w:sz w:val="20"/>
          <w:szCs w:val="20"/>
        </w:rPr>
        <w:t xml:space="preserve">, </w:t>
      </w:r>
      <w:r w:rsidRPr="00FD2EE3">
        <w:rPr>
          <w:rFonts w:ascii="Times New Roman" w:hAnsi="Times New Roman"/>
          <w:iCs/>
          <w:sz w:val="20"/>
          <w:szCs w:val="20"/>
        </w:rPr>
        <w:t>47</w:t>
      </w:r>
      <w:r w:rsidRPr="00FD2EE3">
        <w:rPr>
          <w:rFonts w:ascii="Times New Roman" w:hAnsi="Times New Roman"/>
          <w:sz w:val="20"/>
          <w:szCs w:val="20"/>
        </w:rPr>
        <w:t>(6): 418 – 431.</w:t>
      </w:r>
    </w:p>
    <w:p w:rsidR="00FD2EE3" w:rsidRPr="00FD2EE3" w:rsidRDefault="00FD2EE3" w:rsidP="00FD2EE3">
      <w:pPr>
        <w:pStyle w:val="ListParagraph"/>
        <w:widowControl w:val="0"/>
        <w:numPr>
          <w:ilvl w:val="0"/>
          <w:numId w:val="3"/>
        </w:numPr>
        <w:wordWrap w:val="0"/>
        <w:autoSpaceDE w:val="0"/>
        <w:autoSpaceDN w:val="0"/>
        <w:spacing w:after="0" w:line="240" w:lineRule="auto"/>
        <w:ind w:hanging="363"/>
        <w:contextualSpacing w:val="0"/>
        <w:jc w:val="both"/>
        <w:outlineLvl w:val="0"/>
        <w:rPr>
          <w:rFonts w:ascii="Times New Roman" w:hAnsi="Times New Roman"/>
          <w:sz w:val="20"/>
          <w:szCs w:val="20"/>
        </w:rPr>
      </w:pPr>
      <w:r w:rsidRPr="00FD2EE3">
        <w:rPr>
          <w:rFonts w:ascii="Times New Roman" w:hAnsi="Times New Roman"/>
          <w:noProof/>
          <w:sz w:val="20"/>
          <w:szCs w:val="20"/>
        </w:rPr>
        <w:t xml:space="preserve">Gaweł, B., Gaweł, K. and Øye, G. (2010). Sol-gel synthesis of non-silica monolithic materials. </w:t>
      </w:r>
      <w:r w:rsidRPr="00FD2EE3">
        <w:rPr>
          <w:rFonts w:ascii="Times New Roman" w:hAnsi="Times New Roman"/>
          <w:i/>
          <w:noProof/>
          <w:sz w:val="20"/>
          <w:szCs w:val="20"/>
        </w:rPr>
        <w:t xml:space="preserve">Materials, </w:t>
      </w:r>
      <w:r w:rsidRPr="00FD2EE3">
        <w:rPr>
          <w:rFonts w:ascii="Times New Roman" w:hAnsi="Times New Roman"/>
          <w:noProof/>
          <w:sz w:val="20"/>
          <w:szCs w:val="20"/>
        </w:rPr>
        <w:t>3(4): 2815 – 2833.</w:t>
      </w:r>
    </w:p>
    <w:p w:rsidR="00FD2EE3" w:rsidRPr="00FD2EE3" w:rsidRDefault="00FD2EE3" w:rsidP="00FD2EE3">
      <w:pPr>
        <w:pStyle w:val="ListParagraph"/>
        <w:widowControl w:val="0"/>
        <w:numPr>
          <w:ilvl w:val="0"/>
          <w:numId w:val="3"/>
        </w:numPr>
        <w:wordWrap w:val="0"/>
        <w:autoSpaceDE w:val="0"/>
        <w:autoSpaceDN w:val="0"/>
        <w:spacing w:after="0" w:line="240" w:lineRule="auto"/>
        <w:ind w:hanging="363"/>
        <w:contextualSpacing w:val="0"/>
        <w:jc w:val="both"/>
        <w:outlineLvl w:val="0"/>
        <w:rPr>
          <w:rFonts w:ascii="Times New Roman" w:hAnsi="Times New Roman"/>
          <w:sz w:val="20"/>
          <w:szCs w:val="20"/>
        </w:rPr>
      </w:pPr>
      <w:r w:rsidRPr="00FD2EE3">
        <w:rPr>
          <w:rFonts w:ascii="Times New Roman" w:hAnsi="Times New Roman"/>
          <w:noProof/>
          <w:sz w:val="20"/>
          <w:szCs w:val="20"/>
        </w:rPr>
        <w:t>Nic, M., Jirat, J., and Kosata, B. (2012). IUPAC gold book. http://goldbook.iupac.org/MT07559.html. [</w:t>
      </w:r>
      <w:r w:rsidRPr="00FD2EE3">
        <w:rPr>
          <w:rFonts w:ascii="Times New Roman" w:hAnsi="Times New Roman"/>
          <w:sz w:val="20"/>
          <w:szCs w:val="20"/>
        </w:rPr>
        <w:t xml:space="preserve">Access online 02 </w:t>
      </w:r>
      <w:r w:rsidRPr="00FD2EE3">
        <w:rPr>
          <w:rFonts w:ascii="Times New Roman" w:hAnsi="Times New Roman"/>
          <w:noProof/>
          <w:sz w:val="20"/>
          <w:szCs w:val="20"/>
        </w:rPr>
        <w:t>April 2016].</w:t>
      </w:r>
    </w:p>
    <w:p w:rsidR="00FD2EE3" w:rsidRPr="00FD2EE3" w:rsidRDefault="00FD2EE3" w:rsidP="00FD2EE3">
      <w:pPr>
        <w:pStyle w:val="ListParagraph"/>
        <w:widowControl w:val="0"/>
        <w:numPr>
          <w:ilvl w:val="0"/>
          <w:numId w:val="3"/>
        </w:numPr>
        <w:wordWrap w:val="0"/>
        <w:autoSpaceDE w:val="0"/>
        <w:autoSpaceDN w:val="0"/>
        <w:spacing w:after="0" w:line="240" w:lineRule="auto"/>
        <w:ind w:hanging="363"/>
        <w:contextualSpacing w:val="0"/>
        <w:jc w:val="both"/>
        <w:outlineLvl w:val="0"/>
        <w:rPr>
          <w:rFonts w:ascii="Times New Roman" w:hAnsi="Times New Roman"/>
          <w:sz w:val="20"/>
          <w:szCs w:val="20"/>
        </w:rPr>
      </w:pPr>
      <w:r w:rsidRPr="00FD2EE3">
        <w:rPr>
          <w:rFonts w:ascii="Times New Roman" w:hAnsi="Times New Roman"/>
          <w:noProof/>
          <w:sz w:val="20"/>
          <w:szCs w:val="20"/>
        </w:rPr>
        <w:t xml:space="preserve">Svec, F. (2002). </w:t>
      </w:r>
      <w:r>
        <w:rPr>
          <w:rFonts w:ascii="Times New Roman" w:hAnsi="Times New Roman"/>
          <w:noProof/>
          <w:sz w:val="20"/>
          <w:szCs w:val="20"/>
        </w:rPr>
        <w:t xml:space="preserve"> </w:t>
      </w:r>
      <w:r w:rsidRPr="00FD2EE3">
        <w:rPr>
          <w:rFonts w:ascii="Times New Roman" w:hAnsi="Times New Roman"/>
          <w:iCs/>
          <w:noProof/>
          <w:sz w:val="20"/>
          <w:szCs w:val="20"/>
        </w:rPr>
        <w:t>Advances</w:t>
      </w:r>
      <w:r>
        <w:rPr>
          <w:rFonts w:ascii="Times New Roman" w:hAnsi="Times New Roman"/>
          <w:iCs/>
          <w:noProof/>
          <w:sz w:val="20"/>
          <w:szCs w:val="20"/>
        </w:rPr>
        <w:t xml:space="preserve"> </w:t>
      </w:r>
      <w:r w:rsidRPr="00FD2EE3">
        <w:rPr>
          <w:rFonts w:ascii="Times New Roman" w:hAnsi="Times New Roman"/>
          <w:iCs/>
          <w:noProof/>
          <w:sz w:val="20"/>
          <w:szCs w:val="20"/>
        </w:rPr>
        <w:t xml:space="preserve"> in </w:t>
      </w:r>
      <w:r>
        <w:rPr>
          <w:rFonts w:ascii="Times New Roman" w:hAnsi="Times New Roman"/>
          <w:iCs/>
          <w:noProof/>
          <w:sz w:val="20"/>
          <w:szCs w:val="20"/>
        </w:rPr>
        <w:t xml:space="preserve"> </w:t>
      </w:r>
      <w:r w:rsidRPr="00FD2EE3">
        <w:rPr>
          <w:rFonts w:ascii="Times New Roman" w:hAnsi="Times New Roman"/>
          <w:iCs/>
          <w:noProof/>
          <w:sz w:val="20"/>
          <w:szCs w:val="20"/>
        </w:rPr>
        <w:t>biochemical engineering/biotechnology: Modern advances in chromatography.</w:t>
      </w:r>
      <w:r w:rsidRPr="00FD2EE3">
        <w:rPr>
          <w:rFonts w:ascii="Times New Roman" w:hAnsi="Times New Roman"/>
          <w:i/>
          <w:iCs/>
          <w:noProof/>
          <w:sz w:val="20"/>
          <w:szCs w:val="20"/>
        </w:rPr>
        <w:t xml:space="preserve"> </w:t>
      </w:r>
      <w:r w:rsidRPr="00FD2EE3">
        <w:rPr>
          <w:rFonts w:ascii="Times New Roman" w:hAnsi="Times New Roman"/>
          <w:iCs/>
          <w:noProof/>
          <w:sz w:val="20"/>
          <w:szCs w:val="20"/>
        </w:rPr>
        <w:t>Springer-Verlag Berlin Heidelberg, New York. 76</w:t>
      </w:r>
      <w:r w:rsidRPr="00FD2EE3">
        <w:rPr>
          <w:rFonts w:ascii="Times New Roman" w:hAnsi="Times New Roman"/>
          <w:i/>
          <w:iCs/>
          <w:noProof/>
          <w:sz w:val="20"/>
          <w:szCs w:val="20"/>
        </w:rPr>
        <w:t xml:space="preserve">: </w:t>
      </w:r>
      <w:r w:rsidRPr="00FD2EE3">
        <w:rPr>
          <w:rFonts w:ascii="Times New Roman" w:hAnsi="Times New Roman"/>
          <w:iCs/>
          <w:noProof/>
          <w:sz w:val="20"/>
          <w:szCs w:val="20"/>
        </w:rPr>
        <w:t>pp. 1 – 47.</w:t>
      </w:r>
      <w:r w:rsidRPr="00FD2EE3">
        <w:rPr>
          <w:rFonts w:ascii="Times New Roman" w:hAnsi="Times New Roman"/>
          <w:noProof/>
          <w:sz w:val="20"/>
          <w:szCs w:val="20"/>
        </w:rPr>
        <w:t xml:space="preserve"> </w:t>
      </w:r>
    </w:p>
    <w:p w:rsidR="00FD2EE3" w:rsidRPr="00FD2EE3" w:rsidRDefault="00FD2EE3" w:rsidP="00FD2EE3">
      <w:pPr>
        <w:pStyle w:val="ListParagraph"/>
        <w:widowControl w:val="0"/>
        <w:numPr>
          <w:ilvl w:val="0"/>
          <w:numId w:val="3"/>
        </w:numPr>
        <w:wordWrap w:val="0"/>
        <w:autoSpaceDE w:val="0"/>
        <w:autoSpaceDN w:val="0"/>
        <w:spacing w:after="0" w:line="240" w:lineRule="auto"/>
        <w:ind w:hanging="363"/>
        <w:contextualSpacing w:val="0"/>
        <w:jc w:val="both"/>
        <w:outlineLvl w:val="0"/>
        <w:rPr>
          <w:rFonts w:ascii="Times New Roman" w:hAnsi="Times New Roman"/>
          <w:sz w:val="20"/>
          <w:szCs w:val="20"/>
        </w:rPr>
      </w:pPr>
      <w:r w:rsidRPr="00FD2EE3">
        <w:rPr>
          <w:rFonts w:ascii="Times New Roman" w:hAnsi="Times New Roman"/>
          <w:sz w:val="20"/>
          <w:szCs w:val="20"/>
        </w:rPr>
        <w:t xml:space="preserve">Rieux, L., </w:t>
      </w:r>
      <w:r>
        <w:rPr>
          <w:rFonts w:ascii="Times New Roman" w:hAnsi="Times New Roman"/>
          <w:sz w:val="20"/>
          <w:szCs w:val="20"/>
        </w:rPr>
        <w:t xml:space="preserve"> </w:t>
      </w:r>
      <w:r w:rsidRPr="00FD2EE3">
        <w:rPr>
          <w:rFonts w:ascii="Times New Roman" w:hAnsi="Times New Roman"/>
          <w:sz w:val="20"/>
          <w:szCs w:val="20"/>
        </w:rPr>
        <w:t xml:space="preserve">Niederländer, H., </w:t>
      </w:r>
      <w:r>
        <w:rPr>
          <w:rFonts w:ascii="Times New Roman" w:hAnsi="Times New Roman"/>
          <w:sz w:val="20"/>
          <w:szCs w:val="20"/>
        </w:rPr>
        <w:t xml:space="preserve"> </w:t>
      </w:r>
      <w:r w:rsidRPr="00FD2EE3">
        <w:rPr>
          <w:rFonts w:ascii="Times New Roman" w:hAnsi="Times New Roman"/>
          <w:sz w:val="20"/>
          <w:szCs w:val="20"/>
        </w:rPr>
        <w:t xml:space="preserve">Verpoorte, E. </w:t>
      </w:r>
      <w:r>
        <w:rPr>
          <w:rFonts w:ascii="Times New Roman" w:hAnsi="Times New Roman"/>
          <w:sz w:val="20"/>
          <w:szCs w:val="20"/>
        </w:rPr>
        <w:t xml:space="preserve"> </w:t>
      </w:r>
      <w:r w:rsidRPr="00FD2EE3">
        <w:rPr>
          <w:rFonts w:ascii="Times New Roman" w:hAnsi="Times New Roman"/>
          <w:sz w:val="20"/>
          <w:szCs w:val="20"/>
        </w:rPr>
        <w:t xml:space="preserve">and </w:t>
      </w:r>
      <w:r>
        <w:rPr>
          <w:rFonts w:ascii="Times New Roman" w:hAnsi="Times New Roman"/>
          <w:sz w:val="20"/>
          <w:szCs w:val="20"/>
        </w:rPr>
        <w:t xml:space="preserve"> </w:t>
      </w:r>
      <w:r w:rsidRPr="00FD2EE3">
        <w:rPr>
          <w:rFonts w:ascii="Times New Roman" w:hAnsi="Times New Roman"/>
          <w:sz w:val="20"/>
          <w:szCs w:val="20"/>
        </w:rPr>
        <w:t xml:space="preserve">Bischoff, R. (2005). </w:t>
      </w:r>
      <w:r>
        <w:rPr>
          <w:rFonts w:ascii="Times New Roman" w:hAnsi="Times New Roman"/>
          <w:sz w:val="20"/>
          <w:szCs w:val="20"/>
        </w:rPr>
        <w:t xml:space="preserve"> </w:t>
      </w:r>
      <w:r w:rsidRPr="00FD2EE3">
        <w:rPr>
          <w:rFonts w:ascii="Times New Roman" w:hAnsi="Times New Roman"/>
          <w:sz w:val="20"/>
          <w:szCs w:val="20"/>
        </w:rPr>
        <w:t xml:space="preserve">Silica </w:t>
      </w:r>
      <w:r>
        <w:rPr>
          <w:rFonts w:ascii="Times New Roman" w:hAnsi="Times New Roman"/>
          <w:sz w:val="20"/>
          <w:szCs w:val="20"/>
        </w:rPr>
        <w:t xml:space="preserve"> </w:t>
      </w:r>
      <w:r w:rsidRPr="00FD2EE3">
        <w:rPr>
          <w:rFonts w:ascii="Times New Roman" w:hAnsi="Times New Roman"/>
          <w:sz w:val="20"/>
          <w:szCs w:val="20"/>
        </w:rPr>
        <w:t xml:space="preserve">monolithic </w:t>
      </w:r>
      <w:r>
        <w:rPr>
          <w:rFonts w:ascii="Times New Roman" w:hAnsi="Times New Roman"/>
          <w:sz w:val="20"/>
          <w:szCs w:val="20"/>
        </w:rPr>
        <w:t xml:space="preserve"> </w:t>
      </w:r>
      <w:r w:rsidRPr="00FD2EE3">
        <w:rPr>
          <w:rFonts w:ascii="Times New Roman" w:hAnsi="Times New Roman"/>
          <w:sz w:val="20"/>
          <w:szCs w:val="20"/>
        </w:rPr>
        <w:t xml:space="preserve">columns: </w:t>
      </w:r>
      <w:r>
        <w:rPr>
          <w:rFonts w:ascii="Times New Roman" w:hAnsi="Times New Roman"/>
          <w:sz w:val="20"/>
          <w:szCs w:val="20"/>
        </w:rPr>
        <w:t xml:space="preserve"> </w:t>
      </w:r>
      <w:r w:rsidRPr="00FD2EE3">
        <w:rPr>
          <w:rFonts w:ascii="Times New Roman" w:hAnsi="Times New Roman"/>
          <w:sz w:val="20"/>
          <w:szCs w:val="20"/>
        </w:rPr>
        <w:t xml:space="preserve">Synthesis, characterisation and applications to the analysis of biological molecules. </w:t>
      </w:r>
      <w:r w:rsidRPr="00FD2EE3">
        <w:rPr>
          <w:rFonts w:ascii="Times New Roman" w:hAnsi="Times New Roman"/>
          <w:i/>
          <w:iCs/>
          <w:sz w:val="20"/>
          <w:szCs w:val="20"/>
        </w:rPr>
        <w:t>Journal of Separation Science</w:t>
      </w:r>
      <w:r w:rsidRPr="00FD2EE3">
        <w:rPr>
          <w:rFonts w:ascii="Times New Roman" w:hAnsi="Times New Roman"/>
          <w:sz w:val="20"/>
          <w:szCs w:val="20"/>
        </w:rPr>
        <w:t xml:space="preserve">, </w:t>
      </w:r>
      <w:r w:rsidRPr="00FD2EE3">
        <w:rPr>
          <w:rFonts w:ascii="Times New Roman" w:hAnsi="Times New Roman"/>
          <w:iCs/>
          <w:sz w:val="20"/>
          <w:szCs w:val="20"/>
        </w:rPr>
        <w:t>28</w:t>
      </w:r>
      <w:r w:rsidRPr="00FD2EE3">
        <w:rPr>
          <w:rFonts w:ascii="Times New Roman" w:hAnsi="Times New Roman"/>
          <w:sz w:val="20"/>
          <w:szCs w:val="20"/>
        </w:rPr>
        <w:t>(14): 1628 – 1641.</w:t>
      </w:r>
    </w:p>
    <w:p w:rsidR="00FD2EE3" w:rsidRPr="00FD2EE3" w:rsidRDefault="00FD2EE3" w:rsidP="00FD2EE3">
      <w:pPr>
        <w:pStyle w:val="ListParagraph"/>
        <w:widowControl w:val="0"/>
        <w:numPr>
          <w:ilvl w:val="0"/>
          <w:numId w:val="3"/>
        </w:numPr>
        <w:wordWrap w:val="0"/>
        <w:autoSpaceDE w:val="0"/>
        <w:autoSpaceDN w:val="0"/>
        <w:spacing w:after="0" w:line="240" w:lineRule="auto"/>
        <w:ind w:hanging="363"/>
        <w:contextualSpacing w:val="0"/>
        <w:jc w:val="both"/>
        <w:outlineLvl w:val="0"/>
        <w:rPr>
          <w:rFonts w:ascii="Times New Roman" w:hAnsi="Times New Roman"/>
          <w:sz w:val="20"/>
          <w:szCs w:val="20"/>
        </w:rPr>
      </w:pPr>
      <w:r w:rsidRPr="00FD2EE3">
        <w:rPr>
          <w:rFonts w:ascii="Times New Roman" w:hAnsi="Times New Roman"/>
          <w:noProof/>
          <w:sz w:val="20"/>
          <w:szCs w:val="20"/>
        </w:rPr>
        <w:t xml:space="preserve">Nordborg, A. and Hilder, E. F. (2009). </w:t>
      </w:r>
      <w:r>
        <w:rPr>
          <w:rFonts w:ascii="Times New Roman" w:hAnsi="Times New Roman"/>
          <w:noProof/>
          <w:sz w:val="20"/>
          <w:szCs w:val="20"/>
        </w:rPr>
        <w:t xml:space="preserve"> </w:t>
      </w:r>
      <w:r w:rsidRPr="00FD2EE3">
        <w:rPr>
          <w:rFonts w:ascii="Times New Roman" w:hAnsi="Times New Roman"/>
          <w:noProof/>
          <w:sz w:val="20"/>
          <w:szCs w:val="20"/>
        </w:rPr>
        <w:t>Recent</w:t>
      </w:r>
      <w:r>
        <w:rPr>
          <w:rFonts w:ascii="Times New Roman" w:hAnsi="Times New Roman"/>
          <w:noProof/>
          <w:sz w:val="20"/>
          <w:szCs w:val="20"/>
        </w:rPr>
        <w:t xml:space="preserve"> </w:t>
      </w:r>
      <w:r w:rsidRPr="00FD2EE3">
        <w:rPr>
          <w:rFonts w:ascii="Times New Roman" w:hAnsi="Times New Roman"/>
          <w:noProof/>
          <w:sz w:val="20"/>
          <w:szCs w:val="20"/>
        </w:rPr>
        <w:t xml:space="preserve"> advances </w:t>
      </w:r>
      <w:r>
        <w:rPr>
          <w:rFonts w:ascii="Times New Roman" w:hAnsi="Times New Roman"/>
          <w:noProof/>
          <w:sz w:val="20"/>
          <w:szCs w:val="20"/>
        </w:rPr>
        <w:t xml:space="preserve"> </w:t>
      </w:r>
      <w:r w:rsidRPr="00FD2EE3">
        <w:rPr>
          <w:rFonts w:ascii="Times New Roman" w:hAnsi="Times New Roman"/>
          <w:noProof/>
          <w:sz w:val="20"/>
          <w:szCs w:val="20"/>
        </w:rPr>
        <w:t xml:space="preserve">in </w:t>
      </w:r>
      <w:r>
        <w:rPr>
          <w:rFonts w:ascii="Times New Roman" w:hAnsi="Times New Roman"/>
          <w:noProof/>
          <w:sz w:val="20"/>
          <w:szCs w:val="20"/>
        </w:rPr>
        <w:t xml:space="preserve"> </w:t>
      </w:r>
      <w:r w:rsidRPr="00FD2EE3">
        <w:rPr>
          <w:rFonts w:ascii="Times New Roman" w:hAnsi="Times New Roman"/>
          <w:noProof/>
          <w:sz w:val="20"/>
          <w:szCs w:val="20"/>
        </w:rPr>
        <w:t xml:space="preserve">polymer </w:t>
      </w:r>
      <w:r>
        <w:rPr>
          <w:rFonts w:ascii="Times New Roman" w:hAnsi="Times New Roman"/>
          <w:noProof/>
          <w:sz w:val="20"/>
          <w:szCs w:val="20"/>
        </w:rPr>
        <w:t xml:space="preserve"> </w:t>
      </w:r>
      <w:r w:rsidRPr="00FD2EE3">
        <w:rPr>
          <w:rFonts w:ascii="Times New Roman" w:hAnsi="Times New Roman"/>
          <w:noProof/>
          <w:sz w:val="20"/>
          <w:szCs w:val="20"/>
        </w:rPr>
        <w:t xml:space="preserve">monoliths </w:t>
      </w:r>
      <w:r>
        <w:rPr>
          <w:rFonts w:ascii="Times New Roman" w:hAnsi="Times New Roman"/>
          <w:noProof/>
          <w:sz w:val="20"/>
          <w:szCs w:val="20"/>
        </w:rPr>
        <w:t xml:space="preserve"> </w:t>
      </w:r>
      <w:r w:rsidRPr="00FD2EE3">
        <w:rPr>
          <w:rFonts w:ascii="Times New Roman" w:hAnsi="Times New Roman"/>
          <w:noProof/>
          <w:sz w:val="20"/>
          <w:szCs w:val="20"/>
        </w:rPr>
        <w:t xml:space="preserve">for </w:t>
      </w:r>
      <w:r>
        <w:rPr>
          <w:rFonts w:ascii="Times New Roman" w:hAnsi="Times New Roman"/>
          <w:noProof/>
          <w:sz w:val="20"/>
          <w:szCs w:val="20"/>
        </w:rPr>
        <w:t xml:space="preserve"> </w:t>
      </w:r>
      <w:r w:rsidRPr="00FD2EE3">
        <w:rPr>
          <w:rFonts w:ascii="Times New Roman" w:hAnsi="Times New Roman"/>
          <w:noProof/>
          <w:sz w:val="20"/>
          <w:szCs w:val="20"/>
        </w:rPr>
        <w:t>ion-exchange chromato</w:t>
      </w:r>
      <w:r>
        <w:rPr>
          <w:rFonts w:ascii="Times New Roman" w:hAnsi="Times New Roman"/>
          <w:noProof/>
          <w:sz w:val="20"/>
          <w:szCs w:val="20"/>
        </w:rPr>
        <w:t>-</w:t>
      </w:r>
      <w:r w:rsidRPr="00FD2EE3">
        <w:rPr>
          <w:rFonts w:ascii="Times New Roman" w:hAnsi="Times New Roman"/>
          <w:noProof/>
          <w:sz w:val="20"/>
          <w:szCs w:val="20"/>
        </w:rPr>
        <w:t xml:space="preserve">graphy. </w:t>
      </w:r>
      <w:r w:rsidRPr="00FD2EE3">
        <w:rPr>
          <w:rFonts w:ascii="Times New Roman" w:hAnsi="Times New Roman"/>
          <w:i/>
          <w:iCs/>
          <w:noProof/>
          <w:sz w:val="20"/>
          <w:szCs w:val="20"/>
        </w:rPr>
        <w:t>Analytical and Bioanalytical Chemistry</w:t>
      </w:r>
      <w:r w:rsidRPr="00FD2EE3">
        <w:rPr>
          <w:rFonts w:ascii="Times New Roman" w:hAnsi="Times New Roman"/>
          <w:noProof/>
          <w:sz w:val="20"/>
          <w:szCs w:val="20"/>
        </w:rPr>
        <w:t xml:space="preserve">, </w:t>
      </w:r>
      <w:r w:rsidRPr="00FD2EE3">
        <w:rPr>
          <w:rFonts w:ascii="Times New Roman" w:hAnsi="Times New Roman"/>
          <w:iCs/>
          <w:noProof/>
          <w:sz w:val="20"/>
          <w:szCs w:val="20"/>
        </w:rPr>
        <w:t>394</w:t>
      </w:r>
      <w:r w:rsidRPr="00FD2EE3">
        <w:rPr>
          <w:rFonts w:ascii="Times New Roman" w:hAnsi="Times New Roman"/>
          <w:noProof/>
          <w:sz w:val="20"/>
          <w:szCs w:val="20"/>
        </w:rPr>
        <w:t>(1): 71 – 84.</w:t>
      </w:r>
    </w:p>
    <w:p w:rsidR="00FD2EE3" w:rsidRPr="00FD2EE3" w:rsidRDefault="00FD2EE3" w:rsidP="00FD2EE3">
      <w:pPr>
        <w:pStyle w:val="ListParagraph"/>
        <w:widowControl w:val="0"/>
        <w:numPr>
          <w:ilvl w:val="0"/>
          <w:numId w:val="3"/>
        </w:numPr>
        <w:wordWrap w:val="0"/>
        <w:autoSpaceDE w:val="0"/>
        <w:autoSpaceDN w:val="0"/>
        <w:spacing w:after="0" w:line="240" w:lineRule="auto"/>
        <w:ind w:hanging="363"/>
        <w:contextualSpacing w:val="0"/>
        <w:jc w:val="both"/>
        <w:outlineLvl w:val="0"/>
        <w:rPr>
          <w:rFonts w:ascii="Times New Roman" w:hAnsi="Times New Roman"/>
          <w:sz w:val="20"/>
          <w:szCs w:val="20"/>
        </w:rPr>
      </w:pPr>
      <w:r w:rsidRPr="00FD2EE3">
        <w:rPr>
          <w:rFonts w:ascii="Times New Roman" w:hAnsi="Times New Roman"/>
          <w:sz w:val="20"/>
          <w:szCs w:val="20"/>
        </w:rPr>
        <w:t xml:space="preserve">Xu, Y., Cao, Q., Svec, F. and Fréchet, J. M. J. (2010). </w:t>
      </w:r>
      <w:r>
        <w:rPr>
          <w:rFonts w:ascii="Times New Roman" w:hAnsi="Times New Roman"/>
          <w:sz w:val="20"/>
          <w:szCs w:val="20"/>
        </w:rPr>
        <w:t xml:space="preserve"> </w:t>
      </w:r>
      <w:r w:rsidRPr="00FD2EE3">
        <w:rPr>
          <w:rFonts w:ascii="Times New Roman" w:hAnsi="Times New Roman"/>
          <w:sz w:val="20"/>
          <w:szCs w:val="20"/>
        </w:rPr>
        <w:t xml:space="preserve">Porous polymer monolithic column with surface-bound gold nanoparticles </w:t>
      </w:r>
      <w:r>
        <w:rPr>
          <w:rFonts w:ascii="Times New Roman" w:hAnsi="Times New Roman"/>
          <w:sz w:val="20"/>
          <w:szCs w:val="20"/>
        </w:rPr>
        <w:t xml:space="preserve"> </w:t>
      </w:r>
      <w:r w:rsidRPr="00FD2EE3">
        <w:rPr>
          <w:rFonts w:ascii="Times New Roman" w:hAnsi="Times New Roman"/>
          <w:sz w:val="20"/>
          <w:szCs w:val="20"/>
        </w:rPr>
        <w:t xml:space="preserve">for </w:t>
      </w:r>
      <w:r>
        <w:rPr>
          <w:rFonts w:ascii="Times New Roman" w:hAnsi="Times New Roman"/>
          <w:sz w:val="20"/>
          <w:szCs w:val="20"/>
        </w:rPr>
        <w:t xml:space="preserve"> </w:t>
      </w:r>
      <w:r w:rsidRPr="00FD2EE3">
        <w:rPr>
          <w:rFonts w:ascii="Times New Roman" w:hAnsi="Times New Roman"/>
          <w:sz w:val="20"/>
          <w:szCs w:val="20"/>
        </w:rPr>
        <w:t xml:space="preserve">the capture and separation of cysteine-containing peptides. </w:t>
      </w:r>
      <w:r w:rsidRPr="00FD2EE3">
        <w:rPr>
          <w:rFonts w:ascii="Times New Roman" w:hAnsi="Times New Roman"/>
          <w:i/>
          <w:iCs/>
          <w:sz w:val="20"/>
          <w:szCs w:val="20"/>
        </w:rPr>
        <w:t>Analytical Chemistry</w:t>
      </w:r>
      <w:r w:rsidRPr="00FD2EE3">
        <w:rPr>
          <w:rFonts w:ascii="Times New Roman" w:hAnsi="Times New Roman"/>
          <w:sz w:val="20"/>
          <w:szCs w:val="20"/>
        </w:rPr>
        <w:t xml:space="preserve">, </w:t>
      </w:r>
      <w:r w:rsidRPr="00FD2EE3">
        <w:rPr>
          <w:rFonts w:ascii="Times New Roman" w:hAnsi="Times New Roman"/>
          <w:iCs/>
          <w:sz w:val="20"/>
          <w:szCs w:val="20"/>
        </w:rPr>
        <w:t>82</w:t>
      </w:r>
      <w:r w:rsidRPr="00FD2EE3">
        <w:rPr>
          <w:rFonts w:ascii="Times New Roman" w:hAnsi="Times New Roman"/>
          <w:sz w:val="20"/>
          <w:szCs w:val="20"/>
        </w:rPr>
        <w:t xml:space="preserve">(8): 3352 – </w:t>
      </w:r>
      <w:r w:rsidR="008E2943">
        <w:rPr>
          <w:rFonts w:ascii="Times New Roman" w:hAnsi="Times New Roman"/>
          <w:sz w:val="20"/>
          <w:szCs w:val="20"/>
        </w:rPr>
        <w:t>3358</w:t>
      </w:r>
      <w:r w:rsidRPr="00FD2EE3">
        <w:rPr>
          <w:rFonts w:ascii="Times New Roman" w:hAnsi="Times New Roman"/>
          <w:sz w:val="20"/>
          <w:szCs w:val="20"/>
        </w:rPr>
        <w:t xml:space="preserve">. </w:t>
      </w:r>
    </w:p>
    <w:p w:rsidR="00FD2EE3" w:rsidRPr="00FD2EE3" w:rsidRDefault="00FD2EE3" w:rsidP="00FD2EE3">
      <w:pPr>
        <w:pStyle w:val="ListParagraph"/>
        <w:widowControl w:val="0"/>
        <w:numPr>
          <w:ilvl w:val="0"/>
          <w:numId w:val="3"/>
        </w:numPr>
        <w:wordWrap w:val="0"/>
        <w:autoSpaceDE w:val="0"/>
        <w:autoSpaceDN w:val="0"/>
        <w:spacing w:after="0" w:line="240" w:lineRule="auto"/>
        <w:ind w:hanging="363"/>
        <w:contextualSpacing w:val="0"/>
        <w:jc w:val="both"/>
        <w:outlineLvl w:val="0"/>
        <w:rPr>
          <w:rFonts w:ascii="Times New Roman" w:hAnsi="Times New Roman"/>
          <w:sz w:val="20"/>
          <w:szCs w:val="20"/>
        </w:rPr>
      </w:pPr>
      <w:r w:rsidRPr="00FD2EE3">
        <w:rPr>
          <w:rFonts w:ascii="Times New Roman" w:hAnsi="Times New Roman"/>
          <w:sz w:val="20"/>
          <w:szCs w:val="20"/>
        </w:rPr>
        <w:t xml:space="preserve">Lv, Y.-Q., Fu, D.-Y., Tan, T.-W. and Wang, M.-Y. (2010). </w:t>
      </w:r>
      <w:r>
        <w:rPr>
          <w:rFonts w:ascii="Times New Roman" w:hAnsi="Times New Roman"/>
          <w:sz w:val="20"/>
          <w:szCs w:val="20"/>
        </w:rPr>
        <w:t xml:space="preserve"> </w:t>
      </w:r>
      <w:r w:rsidRPr="00FD2EE3">
        <w:rPr>
          <w:rFonts w:ascii="Times New Roman" w:hAnsi="Times New Roman"/>
          <w:sz w:val="20"/>
          <w:szCs w:val="20"/>
        </w:rPr>
        <w:t xml:space="preserve">One-step </w:t>
      </w:r>
      <w:r>
        <w:rPr>
          <w:rFonts w:ascii="Times New Roman" w:hAnsi="Times New Roman"/>
          <w:sz w:val="20"/>
          <w:szCs w:val="20"/>
        </w:rPr>
        <w:t xml:space="preserve"> </w:t>
      </w:r>
      <w:r w:rsidRPr="00FD2EE3">
        <w:rPr>
          <w:rFonts w:ascii="Times New Roman" w:hAnsi="Times New Roman"/>
          <w:sz w:val="20"/>
          <w:szCs w:val="20"/>
        </w:rPr>
        <w:t xml:space="preserve">purification </w:t>
      </w:r>
      <w:r>
        <w:rPr>
          <w:rFonts w:ascii="Times New Roman" w:hAnsi="Times New Roman"/>
          <w:sz w:val="20"/>
          <w:szCs w:val="20"/>
        </w:rPr>
        <w:t xml:space="preserve"> </w:t>
      </w:r>
      <w:r w:rsidRPr="00FD2EE3">
        <w:rPr>
          <w:rFonts w:ascii="Times New Roman" w:hAnsi="Times New Roman"/>
          <w:sz w:val="20"/>
          <w:szCs w:val="20"/>
        </w:rPr>
        <w:t xml:space="preserve">of </w:t>
      </w:r>
      <w:r>
        <w:rPr>
          <w:rFonts w:ascii="Times New Roman" w:hAnsi="Times New Roman"/>
          <w:sz w:val="20"/>
          <w:szCs w:val="20"/>
        </w:rPr>
        <w:t xml:space="preserve"> </w:t>
      </w:r>
      <w:r w:rsidRPr="00FD2EE3">
        <w:rPr>
          <w:rFonts w:ascii="Times New Roman" w:hAnsi="Times New Roman"/>
          <w:sz w:val="20"/>
          <w:szCs w:val="20"/>
        </w:rPr>
        <w:t xml:space="preserve">YLLIP2 isoforms from </w:t>
      </w:r>
      <w:r w:rsidRPr="00FD2EE3">
        <w:rPr>
          <w:rFonts w:ascii="Times New Roman" w:hAnsi="Times New Roman"/>
          <w:i/>
          <w:iCs/>
          <w:sz w:val="20"/>
          <w:szCs w:val="20"/>
        </w:rPr>
        <w:t>Candida</w:t>
      </w:r>
      <w:r w:rsidRPr="00FD2EE3">
        <w:rPr>
          <w:rFonts w:ascii="Times New Roman" w:hAnsi="Times New Roman"/>
          <w:sz w:val="20"/>
          <w:szCs w:val="20"/>
        </w:rPr>
        <w:t xml:space="preserve"> sp. 99–125 </w:t>
      </w:r>
      <w:r>
        <w:rPr>
          <w:rFonts w:ascii="Times New Roman" w:hAnsi="Times New Roman"/>
          <w:sz w:val="20"/>
          <w:szCs w:val="20"/>
        </w:rPr>
        <w:t xml:space="preserve"> </w:t>
      </w:r>
      <w:r w:rsidRPr="00FD2EE3">
        <w:rPr>
          <w:rFonts w:ascii="Times New Roman" w:hAnsi="Times New Roman"/>
          <w:sz w:val="20"/>
          <w:szCs w:val="20"/>
        </w:rPr>
        <w:t xml:space="preserve">by </w:t>
      </w:r>
      <w:r>
        <w:rPr>
          <w:rFonts w:ascii="Times New Roman" w:hAnsi="Times New Roman"/>
          <w:sz w:val="20"/>
          <w:szCs w:val="20"/>
        </w:rPr>
        <w:t xml:space="preserve"> </w:t>
      </w:r>
      <w:r w:rsidRPr="00FD2EE3">
        <w:rPr>
          <w:rFonts w:ascii="Times New Roman" w:hAnsi="Times New Roman"/>
          <w:sz w:val="20"/>
          <w:szCs w:val="20"/>
        </w:rPr>
        <w:t xml:space="preserve">polyethyleneimine </w:t>
      </w:r>
      <w:r>
        <w:rPr>
          <w:rFonts w:ascii="Times New Roman" w:hAnsi="Times New Roman"/>
          <w:sz w:val="20"/>
          <w:szCs w:val="20"/>
        </w:rPr>
        <w:t xml:space="preserve"> </w:t>
      </w:r>
      <w:r w:rsidRPr="00FD2EE3">
        <w:rPr>
          <w:rFonts w:ascii="Times New Roman" w:hAnsi="Times New Roman"/>
          <w:sz w:val="20"/>
          <w:szCs w:val="20"/>
        </w:rPr>
        <w:t>modified</w:t>
      </w:r>
      <w:r>
        <w:rPr>
          <w:rFonts w:ascii="Times New Roman" w:hAnsi="Times New Roman"/>
          <w:sz w:val="20"/>
          <w:szCs w:val="20"/>
        </w:rPr>
        <w:t xml:space="preserve"> </w:t>
      </w:r>
      <w:r w:rsidRPr="00FD2EE3">
        <w:rPr>
          <w:rFonts w:ascii="Times New Roman" w:hAnsi="Times New Roman"/>
          <w:sz w:val="20"/>
          <w:szCs w:val="20"/>
        </w:rPr>
        <w:t xml:space="preserve"> poly(glycidyl methacrylate-co-ethylene glycol dimetha</w:t>
      </w:r>
      <w:r>
        <w:rPr>
          <w:rFonts w:ascii="Times New Roman" w:hAnsi="Times New Roman"/>
          <w:sz w:val="20"/>
          <w:szCs w:val="20"/>
        </w:rPr>
        <w:t>-</w:t>
      </w:r>
      <w:r w:rsidRPr="00FD2EE3">
        <w:rPr>
          <w:rFonts w:ascii="Times New Roman" w:hAnsi="Times New Roman"/>
          <w:sz w:val="20"/>
          <w:szCs w:val="20"/>
        </w:rPr>
        <w:t xml:space="preserve">crylate) monolith. </w:t>
      </w:r>
      <w:r w:rsidRPr="00FD2EE3">
        <w:rPr>
          <w:rFonts w:ascii="Times New Roman" w:hAnsi="Times New Roman"/>
          <w:i/>
          <w:iCs/>
          <w:sz w:val="20"/>
          <w:szCs w:val="20"/>
        </w:rPr>
        <w:t>Journal of Molecular Catalysis B: Enzymatic</w:t>
      </w:r>
      <w:r w:rsidRPr="00FD2EE3">
        <w:rPr>
          <w:rFonts w:ascii="Times New Roman" w:hAnsi="Times New Roman"/>
          <w:sz w:val="20"/>
          <w:szCs w:val="20"/>
        </w:rPr>
        <w:t xml:space="preserve">, </w:t>
      </w:r>
      <w:r w:rsidRPr="00FD2EE3">
        <w:rPr>
          <w:rFonts w:ascii="Times New Roman" w:hAnsi="Times New Roman"/>
          <w:iCs/>
          <w:sz w:val="20"/>
          <w:szCs w:val="20"/>
        </w:rPr>
        <w:t>62</w:t>
      </w:r>
      <w:r w:rsidRPr="00FD2EE3">
        <w:rPr>
          <w:rFonts w:ascii="Times New Roman" w:hAnsi="Times New Roman"/>
          <w:sz w:val="20"/>
          <w:szCs w:val="20"/>
        </w:rPr>
        <w:t xml:space="preserve">(2): 149 – 154. </w:t>
      </w:r>
    </w:p>
    <w:p w:rsidR="00FD2EE3" w:rsidRPr="00FD2EE3" w:rsidRDefault="00FD2EE3" w:rsidP="00FD2EE3">
      <w:pPr>
        <w:pStyle w:val="ListParagraph"/>
        <w:widowControl w:val="0"/>
        <w:numPr>
          <w:ilvl w:val="0"/>
          <w:numId w:val="3"/>
        </w:numPr>
        <w:wordWrap w:val="0"/>
        <w:autoSpaceDE w:val="0"/>
        <w:autoSpaceDN w:val="0"/>
        <w:spacing w:after="0" w:line="240" w:lineRule="auto"/>
        <w:ind w:hanging="363"/>
        <w:contextualSpacing w:val="0"/>
        <w:jc w:val="both"/>
        <w:outlineLvl w:val="0"/>
        <w:rPr>
          <w:rFonts w:ascii="Times New Roman" w:hAnsi="Times New Roman"/>
          <w:sz w:val="20"/>
          <w:szCs w:val="20"/>
        </w:rPr>
      </w:pPr>
      <w:r w:rsidRPr="00FD2EE3">
        <w:rPr>
          <w:rFonts w:ascii="Times New Roman" w:hAnsi="Times New Roman"/>
          <w:sz w:val="20"/>
          <w:szCs w:val="20"/>
        </w:rPr>
        <w:t xml:space="preserve">Chen, M. L., Wei, S. S., Yuan, B. F. and Feng, Y. Q. (2012). </w:t>
      </w:r>
      <w:r>
        <w:rPr>
          <w:rFonts w:ascii="Times New Roman" w:hAnsi="Times New Roman"/>
          <w:sz w:val="20"/>
          <w:szCs w:val="20"/>
        </w:rPr>
        <w:t xml:space="preserve"> </w:t>
      </w:r>
      <w:r w:rsidRPr="00FD2EE3">
        <w:rPr>
          <w:rFonts w:ascii="Times New Roman" w:hAnsi="Times New Roman"/>
          <w:sz w:val="20"/>
          <w:szCs w:val="20"/>
        </w:rPr>
        <w:t xml:space="preserve">Preparation </w:t>
      </w:r>
      <w:r>
        <w:rPr>
          <w:rFonts w:ascii="Times New Roman" w:hAnsi="Times New Roman"/>
          <w:sz w:val="20"/>
          <w:szCs w:val="20"/>
        </w:rPr>
        <w:t xml:space="preserve"> </w:t>
      </w:r>
      <w:r w:rsidRPr="00FD2EE3">
        <w:rPr>
          <w:rFonts w:ascii="Times New Roman" w:hAnsi="Times New Roman"/>
          <w:sz w:val="20"/>
          <w:szCs w:val="20"/>
        </w:rPr>
        <w:t xml:space="preserve">of </w:t>
      </w:r>
      <w:r>
        <w:rPr>
          <w:rFonts w:ascii="Times New Roman" w:hAnsi="Times New Roman"/>
          <w:sz w:val="20"/>
          <w:szCs w:val="20"/>
        </w:rPr>
        <w:t xml:space="preserve"> </w:t>
      </w:r>
      <w:r w:rsidRPr="00FD2EE3">
        <w:rPr>
          <w:rFonts w:ascii="Times New Roman" w:hAnsi="Times New Roman"/>
          <w:sz w:val="20"/>
          <w:szCs w:val="20"/>
        </w:rPr>
        <w:t xml:space="preserve">methacrylate-based monolith for capillary hydrophilic interaction chromatography and its application in determination of nucleosides in urine. </w:t>
      </w:r>
      <w:r w:rsidRPr="00FD2EE3">
        <w:rPr>
          <w:rFonts w:ascii="Times New Roman" w:hAnsi="Times New Roman"/>
          <w:i/>
          <w:sz w:val="20"/>
          <w:szCs w:val="20"/>
        </w:rPr>
        <w:t>Journal of Chromatography A,</w:t>
      </w:r>
      <w:r w:rsidRPr="00FD2EE3">
        <w:rPr>
          <w:rFonts w:ascii="Times New Roman" w:hAnsi="Times New Roman"/>
          <w:sz w:val="20"/>
          <w:szCs w:val="20"/>
        </w:rPr>
        <w:t xml:space="preserve"> 1228: 183 – 192.</w:t>
      </w:r>
    </w:p>
    <w:p w:rsidR="00FD2EE3" w:rsidRPr="00FD2EE3" w:rsidRDefault="00FD2EE3" w:rsidP="00FD2EE3">
      <w:pPr>
        <w:pStyle w:val="ListParagraph"/>
        <w:widowControl w:val="0"/>
        <w:numPr>
          <w:ilvl w:val="0"/>
          <w:numId w:val="3"/>
        </w:numPr>
        <w:wordWrap w:val="0"/>
        <w:autoSpaceDE w:val="0"/>
        <w:autoSpaceDN w:val="0"/>
        <w:spacing w:after="0" w:line="240" w:lineRule="auto"/>
        <w:ind w:hanging="363"/>
        <w:contextualSpacing w:val="0"/>
        <w:jc w:val="both"/>
        <w:outlineLvl w:val="0"/>
        <w:rPr>
          <w:rFonts w:ascii="Times New Roman" w:hAnsi="Times New Roman"/>
          <w:sz w:val="20"/>
          <w:szCs w:val="20"/>
        </w:rPr>
      </w:pPr>
      <w:r w:rsidRPr="00FD2EE3">
        <w:rPr>
          <w:rFonts w:ascii="Times New Roman" w:hAnsi="Times New Roman"/>
          <w:sz w:val="20"/>
          <w:szCs w:val="20"/>
        </w:rPr>
        <w:t xml:space="preserve">Liu, W., Qi, J., Yan, L., Jia, Q. and Yu, C. (2011). </w:t>
      </w:r>
      <w:r>
        <w:rPr>
          <w:rFonts w:ascii="Times New Roman" w:hAnsi="Times New Roman"/>
          <w:sz w:val="20"/>
          <w:szCs w:val="20"/>
        </w:rPr>
        <w:t xml:space="preserve"> </w:t>
      </w:r>
      <w:r w:rsidRPr="00FD2EE3">
        <w:rPr>
          <w:rFonts w:ascii="Times New Roman" w:hAnsi="Times New Roman"/>
          <w:sz w:val="20"/>
          <w:szCs w:val="20"/>
        </w:rPr>
        <w:t xml:space="preserve">Application </w:t>
      </w:r>
      <w:r>
        <w:rPr>
          <w:rFonts w:ascii="Times New Roman" w:hAnsi="Times New Roman"/>
          <w:sz w:val="20"/>
          <w:szCs w:val="20"/>
        </w:rPr>
        <w:t xml:space="preserve"> </w:t>
      </w:r>
      <w:r w:rsidRPr="00FD2EE3">
        <w:rPr>
          <w:rFonts w:ascii="Times New Roman" w:hAnsi="Times New Roman"/>
          <w:sz w:val="20"/>
          <w:szCs w:val="20"/>
        </w:rPr>
        <w:t xml:space="preserve">of </w:t>
      </w:r>
      <w:r>
        <w:rPr>
          <w:rFonts w:ascii="Times New Roman" w:hAnsi="Times New Roman"/>
          <w:sz w:val="20"/>
          <w:szCs w:val="20"/>
        </w:rPr>
        <w:t xml:space="preserve"> </w:t>
      </w:r>
      <w:r w:rsidRPr="00FD2EE3">
        <w:rPr>
          <w:rFonts w:ascii="Times New Roman" w:hAnsi="Times New Roman"/>
          <w:sz w:val="20"/>
          <w:szCs w:val="20"/>
        </w:rPr>
        <w:t xml:space="preserve">poly(butyl methacrylate-co-ethylene glycol dimethacrylate) monolith microextraction coupled with high performance </w:t>
      </w:r>
      <w:r>
        <w:rPr>
          <w:rFonts w:ascii="Times New Roman" w:hAnsi="Times New Roman"/>
          <w:sz w:val="20"/>
          <w:szCs w:val="20"/>
        </w:rPr>
        <w:t xml:space="preserve"> </w:t>
      </w:r>
      <w:r w:rsidRPr="00FD2EE3">
        <w:rPr>
          <w:rFonts w:ascii="Times New Roman" w:hAnsi="Times New Roman"/>
          <w:sz w:val="20"/>
          <w:szCs w:val="20"/>
        </w:rPr>
        <w:t>liquid chromatography to the deter</w:t>
      </w:r>
      <w:r>
        <w:rPr>
          <w:rFonts w:ascii="Times New Roman" w:hAnsi="Times New Roman"/>
          <w:sz w:val="20"/>
          <w:szCs w:val="20"/>
        </w:rPr>
        <w:t>-</w:t>
      </w:r>
      <w:r w:rsidRPr="00FD2EE3">
        <w:rPr>
          <w:rFonts w:ascii="Times New Roman" w:hAnsi="Times New Roman"/>
          <w:sz w:val="20"/>
          <w:szCs w:val="20"/>
        </w:rPr>
        <w:t xml:space="preserve">mination </w:t>
      </w:r>
      <w:r>
        <w:rPr>
          <w:rFonts w:ascii="Times New Roman" w:hAnsi="Times New Roman"/>
          <w:sz w:val="20"/>
          <w:szCs w:val="20"/>
        </w:rPr>
        <w:t xml:space="preserve"> </w:t>
      </w:r>
      <w:r w:rsidRPr="00FD2EE3">
        <w:rPr>
          <w:rFonts w:ascii="Times New Roman" w:hAnsi="Times New Roman"/>
          <w:sz w:val="20"/>
          <w:szCs w:val="20"/>
        </w:rPr>
        <w:t xml:space="preserve">of </w:t>
      </w:r>
      <w:r>
        <w:rPr>
          <w:rFonts w:ascii="Times New Roman" w:hAnsi="Times New Roman"/>
          <w:sz w:val="20"/>
          <w:szCs w:val="20"/>
        </w:rPr>
        <w:t xml:space="preserve"> </w:t>
      </w:r>
      <w:r w:rsidRPr="00FD2EE3">
        <w:rPr>
          <w:rFonts w:ascii="Times New Roman" w:hAnsi="Times New Roman"/>
          <w:sz w:val="20"/>
          <w:szCs w:val="20"/>
        </w:rPr>
        <w:t xml:space="preserve">polycyclic </w:t>
      </w:r>
      <w:r>
        <w:rPr>
          <w:rFonts w:ascii="Times New Roman" w:hAnsi="Times New Roman"/>
          <w:sz w:val="20"/>
          <w:szCs w:val="20"/>
        </w:rPr>
        <w:t xml:space="preserve"> </w:t>
      </w:r>
      <w:r w:rsidRPr="00FD2EE3">
        <w:rPr>
          <w:rFonts w:ascii="Times New Roman" w:hAnsi="Times New Roman"/>
          <w:sz w:val="20"/>
          <w:szCs w:val="20"/>
        </w:rPr>
        <w:t xml:space="preserve">aromatic hydrocarbons in smoked meat products. </w:t>
      </w:r>
      <w:r w:rsidRPr="00FD2EE3">
        <w:rPr>
          <w:rFonts w:ascii="Times New Roman" w:hAnsi="Times New Roman"/>
          <w:i/>
          <w:sz w:val="20"/>
          <w:szCs w:val="20"/>
        </w:rPr>
        <w:t>Journal of Chromatography  B</w:t>
      </w:r>
      <w:r w:rsidRPr="00FD2EE3">
        <w:rPr>
          <w:rFonts w:ascii="Times New Roman" w:hAnsi="Times New Roman"/>
          <w:sz w:val="20"/>
          <w:szCs w:val="20"/>
        </w:rPr>
        <w:t>, 879 (28): 3012 – 3016.</w:t>
      </w:r>
    </w:p>
    <w:p w:rsidR="00FD2EE3" w:rsidRPr="00FD2EE3" w:rsidRDefault="00FD2EE3" w:rsidP="00FD2EE3">
      <w:pPr>
        <w:pStyle w:val="ListParagraph"/>
        <w:widowControl w:val="0"/>
        <w:numPr>
          <w:ilvl w:val="0"/>
          <w:numId w:val="3"/>
        </w:numPr>
        <w:wordWrap w:val="0"/>
        <w:autoSpaceDE w:val="0"/>
        <w:autoSpaceDN w:val="0"/>
        <w:spacing w:after="0" w:line="240" w:lineRule="auto"/>
        <w:ind w:hanging="363"/>
        <w:contextualSpacing w:val="0"/>
        <w:jc w:val="both"/>
        <w:outlineLvl w:val="0"/>
        <w:rPr>
          <w:rFonts w:ascii="Times New Roman" w:hAnsi="Times New Roman"/>
          <w:sz w:val="20"/>
          <w:szCs w:val="20"/>
        </w:rPr>
      </w:pPr>
      <w:r w:rsidRPr="00FD2EE3">
        <w:rPr>
          <w:rFonts w:ascii="Times New Roman" w:hAnsi="Times New Roman"/>
          <w:noProof/>
          <w:sz w:val="20"/>
          <w:szCs w:val="20"/>
        </w:rPr>
        <w:t xml:space="preserve">Li, Y., Qi, L. </w:t>
      </w:r>
      <w:r>
        <w:rPr>
          <w:rFonts w:ascii="Times New Roman" w:hAnsi="Times New Roman"/>
          <w:noProof/>
          <w:sz w:val="20"/>
          <w:szCs w:val="20"/>
        </w:rPr>
        <w:t xml:space="preserve"> </w:t>
      </w:r>
      <w:r w:rsidRPr="00FD2EE3">
        <w:rPr>
          <w:rFonts w:ascii="Times New Roman" w:hAnsi="Times New Roman"/>
          <w:noProof/>
          <w:sz w:val="20"/>
          <w:szCs w:val="20"/>
        </w:rPr>
        <w:t xml:space="preserve">and </w:t>
      </w:r>
      <w:r>
        <w:rPr>
          <w:rFonts w:ascii="Times New Roman" w:hAnsi="Times New Roman"/>
          <w:noProof/>
          <w:sz w:val="20"/>
          <w:szCs w:val="20"/>
        </w:rPr>
        <w:t xml:space="preserve"> </w:t>
      </w:r>
      <w:r w:rsidRPr="00FD2EE3">
        <w:rPr>
          <w:rFonts w:ascii="Times New Roman" w:hAnsi="Times New Roman"/>
          <w:noProof/>
          <w:sz w:val="20"/>
          <w:szCs w:val="20"/>
        </w:rPr>
        <w:t xml:space="preserve">Ma, H. (2013). </w:t>
      </w:r>
      <w:r>
        <w:rPr>
          <w:rFonts w:ascii="Times New Roman" w:hAnsi="Times New Roman"/>
          <w:noProof/>
          <w:sz w:val="20"/>
          <w:szCs w:val="20"/>
        </w:rPr>
        <w:t xml:space="preserve"> </w:t>
      </w:r>
      <w:r w:rsidRPr="00FD2EE3">
        <w:rPr>
          <w:rFonts w:ascii="Times New Roman" w:hAnsi="Times New Roman"/>
          <w:noProof/>
          <w:sz w:val="20"/>
          <w:szCs w:val="20"/>
        </w:rPr>
        <w:t xml:space="preserve">Preparation </w:t>
      </w:r>
      <w:r>
        <w:rPr>
          <w:rFonts w:ascii="Times New Roman" w:hAnsi="Times New Roman"/>
          <w:noProof/>
          <w:sz w:val="20"/>
          <w:szCs w:val="20"/>
        </w:rPr>
        <w:t xml:space="preserve"> </w:t>
      </w:r>
      <w:r w:rsidRPr="00FD2EE3">
        <w:rPr>
          <w:rFonts w:ascii="Times New Roman" w:hAnsi="Times New Roman"/>
          <w:noProof/>
          <w:sz w:val="20"/>
          <w:szCs w:val="20"/>
        </w:rPr>
        <w:t xml:space="preserve">of </w:t>
      </w:r>
      <w:r>
        <w:rPr>
          <w:rFonts w:ascii="Times New Roman" w:hAnsi="Times New Roman"/>
          <w:noProof/>
          <w:sz w:val="20"/>
          <w:szCs w:val="20"/>
        </w:rPr>
        <w:t xml:space="preserve"> </w:t>
      </w:r>
      <w:r w:rsidRPr="00FD2EE3">
        <w:rPr>
          <w:rFonts w:ascii="Times New Roman" w:hAnsi="Times New Roman"/>
          <w:noProof/>
          <w:sz w:val="20"/>
          <w:szCs w:val="20"/>
        </w:rPr>
        <w:t>porous</w:t>
      </w:r>
      <w:r>
        <w:rPr>
          <w:rFonts w:ascii="Times New Roman" w:hAnsi="Times New Roman"/>
          <w:noProof/>
          <w:sz w:val="20"/>
          <w:szCs w:val="20"/>
        </w:rPr>
        <w:t xml:space="preserve"> </w:t>
      </w:r>
      <w:r w:rsidRPr="00FD2EE3">
        <w:rPr>
          <w:rFonts w:ascii="Times New Roman" w:hAnsi="Times New Roman"/>
          <w:noProof/>
          <w:sz w:val="20"/>
          <w:szCs w:val="20"/>
        </w:rPr>
        <w:t xml:space="preserve"> polymer </w:t>
      </w:r>
      <w:r>
        <w:rPr>
          <w:rFonts w:ascii="Times New Roman" w:hAnsi="Times New Roman"/>
          <w:noProof/>
          <w:sz w:val="20"/>
          <w:szCs w:val="20"/>
        </w:rPr>
        <w:t xml:space="preserve"> </w:t>
      </w:r>
      <w:r w:rsidRPr="00FD2EE3">
        <w:rPr>
          <w:rFonts w:ascii="Times New Roman" w:hAnsi="Times New Roman"/>
          <w:noProof/>
          <w:sz w:val="20"/>
          <w:szCs w:val="20"/>
        </w:rPr>
        <w:t xml:space="preserve">monolithic </w:t>
      </w:r>
      <w:r>
        <w:rPr>
          <w:rFonts w:ascii="Times New Roman" w:hAnsi="Times New Roman"/>
          <w:noProof/>
          <w:sz w:val="20"/>
          <w:szCs w:val="20"/>
        </w:rPr>
        <w:t xml:space="preserve"> </w:t>
      </w:r>
      <w:r w:rsidRPr="00FD2EE3">
        <w:rPr>
          <w:rFonts w:ascii="Times New Roman" w:hAnsi="Times New Roman"/>
          <w:noProof/>
          <w:sz w:val="20"/>
          <w:szCs w:val="20"/>
        </w:rPr>
        <w:t xml:space="preserve">column </w:t>
      </w:r>
      <w:r>
        <w:rPr>
          <w:rFonts w:ascii="Times New Roman" w:hAnsi="Times New Roman"/>
          <w:noProof/>
          <w:sz w:val="20"/>
          <w:szCs w:val="20"/>
        </w:rPr>
        <w:t xml:space="preserve"> </w:t>
      </w:r>
      <w:r w:rsidRPr="00FD2EE3">
        <w:rPr>
          <w:rFonts w:ascii="Times New Roman" w:hAnsi="Times New Roman"/>
          <w:noProof/>
          <w:sz w:val="20"/>
          <w:szCs w:val="20"/>
        </w:rPr>
        <w:t>using</w:t>
      </w:r>
      <w:r>
        <w:rPr>
          <w:rFonts w:ascii="Times New Roman" w:hAnsi="Times New Roman"/>
          <w:noProof/>
          <w:sz w:val="20"/>
          <w:szCs w:val="20"/>
        </w:rPr>
        <w:t xml:space="preserve"> </w:t>
      </w:r>
      <w:r w:rsidRPr="00FD2EE3">
        <w:rPr>
          <w:rFonts w:ascii="Times New Roman" w:hAnsi="Times New Roman"/>
          <w:noProof/>
          <w:sz w:val="20"/>
          <w:szCs w:val="20"/>
        </w:rPr>
        <w:t xml:space="preserve"> functionalized graphene oxide as a functional </w:t>
      </w:r>
      <w:r>
        <w:rPr>
          <w:rFonts w:ascii="Times New Roman" w:hAnsi="Times New Roman"/>
          <w:noProof/>
          <w:sz w:val="20"/>
          <w:szCs w:val="20"/>
        </w:rPr>
        <w:t xml:space="preserve"> </w:t>
      </w:r>
      <w:r w:rsidRPr="00FD2EE3">
        <w:rPr>
          <w:rFonts w:ascii="Times New Roman" w:hAnsi="Times New Roman"/>
          <w:noProof/>
          <w:sz w:val="20"/>
          <w:szCs w:val="20"/>
        </w:rPr>
        <w:t xml:space="preserve">crosslinker for </w:t>
      </w:r>
      <w:r>
        <w:rPr>
          <w:rFonts w:ascii="Times New Roman" w:hAnsi="Times New Roman"/>
          <w:noProof/>
          <w:sz w:val="20"/>
          <w:szCs w:val="20"/>
        </w:rPr>
        <w:t xml:space="preserve"> </w:t>
      </w:r>
      <w:r w:rsidRPr="00FD2EE3">
        <w:rPr>
          <w:rFonts w:ascii="Times New Roman" w:hAnsi="Times New Roman"/>
          <w:noProof/>
          <w:sz w:val="20"/>
          <w:szCs w:val="20"/>
        </w:rPr>
        <w:t xml:space="preserve">high performance </w:t>
      </w:r>
      <w:r>
        <w:rPr>
          <w:rFonts w:ascii="Times New Roman" w:hAnsi="Times New Roman"/>
          <w:noProof/>
          <w:sz w:val="20"/>
          <w:szCs w:val="20"/>
        </w:rPr>
        <w:t xml:space="preserve"> </w:t>
      </w:r>
      <w:r w:rsidRPr="00FD2EE3">
        <w:rPr>
          <w:rFonts w:ascii="Times New Roman" w:hAnsi="Times New Roman"/>
          <w:noProof/>
          <w:sz w:val="20"/>
          <w:szCs w:val="20"/>
        </w:rPr>
        <w:t xml:space="preserve">liquid chromatography </w:t>
      </w:r>
      <w:r>
        <w:rPr>
          <w:rFonts w:ascii="Times New Roman" w:hAnsi="Times New Roman"/>
          <w:noProof/>
          <w:sz w:val="20"/>
          <w:szCs w:val="20"/>
        </w:rPr>
        <w:t xml:space="preserve"> </w:t>
      </w:r>
      <w:r w:rsidRPr="00FD2EE3">
        <w:rPr>
          <w:rFonts w:ascii="Times New Roman" w:hAnsi="Times New Roman"/>
          <w:noProof/>
          <w:sz w:val="20"/>
          <w:szCs w:val="20"/>
        </w:rPr>
        <w:t xml:space="preserve">separation of small molecules. </w:t>
      </w:r>
      <w:r w:rsidRPr="00FD2EE3">
        <w:rPr>
          <w:rFonts w:ascii="Times New Roman" w:hAnsi="Times New Roman"/>
          <w:i/>
          <w:iCs/>
          <w:noProof/>
          <w:sz w:val="20"/>
          <w:szCs w:val="20"/>
        </w:rPr>
        <w:t>The Analyst</w:t>
      </w:r>
      <w:r w:rsidRPr="00FD2EE3">
        <w:rPr>
          <w:rFonts w:ascii="Times New Roman" w:hAnsi="Times New Roman"/>
          <w:noProof/>
          <w:sz w:val="20"/>
          <w:szCs w:val="20"/>
        </w:rPr>
        <w:t xml:space="preserve">, </w:t>
      </w:r>
      <w:r w:rsidRPr="00FD2EE3">
        <w:rPr>
          <w:rFonts w:ascii="Times New Roman" w:hAnsi="Times New Roman"/>
          <w:iCs/>
          <w:noProof/>
          <w:sz w:val="20"/>
          <w:szCs w:val="20"/>
        </w:rPr>
        <w:t>138</w:t>
      </w:r>
      <w:r w:rsidRPr="00FD2EE3">
        <w:rPr>
          <w:rFonts w:ascii="Times New Roman" w:hAnsi="Times New Roman"/>
          <w:noProof/>
          <w:sz w:val="20"/>
          <w:szCs w:val="20"/>
        </w:rPr>
        <w:t>(18): 5470 – 5478.</w:t>
      </w:r>
    </w:p>
    <w:p w:rsidR="00FD2EE3" w:rsidRPr="00FD2EE3" w:rsidRDefault="00FD2EE3" w:rsidP="00FD2EE3">
      <w:pPr>
        <w:pStyle w:val="ListParagraph"/>
        <w:widowControl w:val="0"/>
        <w:numPr>
          <w:ilvl w:val="0"/>
          <w:numId w:val="3"/>
        </w:numPr>
        <w:wordWrap w:val="0"/>
        <w:autoSpaceDE w:val="0"/>
        <w:autoSpaceDN w:val="0"/>
        <w:spacing w:after="0" w:line="240" w:lineRule="auto"/>
        <w:ind w:hanging="363"/>
        <w:contextualSpacing w:val="0"/>
        <w:jc w:val="both"/>
        <w:outlineLvl w:val="0"/>
        <w:rPr>
          <w:rFonts w:ascii="Times New Roman" w:hAnsi="Times New Roman"/>
          <w:sz w:val="20"/>
          <w:szCs w:val="20"/>
        </w:rPr>
      </w:pPr>
      <w:r w:rsidRPr="00FD2EE3">
        <w:rPr>
          <w:rFonts w:ascii="Times New Roman" w:hAnsi="Times New Roman"/>
          <w:noProof/>
          <w:sz w:val="20"/>
          <w:szCs w:val="20"/>
        </w:rPr>
        <w:t xml:space="preserve">Nandi, M. and Uyama, H. (2014). </w:t>
      </w:r>
      <w:r>
        <w:rPr>
          <w:rFonts w:ascii="Times New Roman" w:hAnsi="Times New Roman"/>
          <w:noProof/>
          <w:sz w:val="20"/>
          <w:szCs w:val="20"/>
        </w:rPr>
        <w:t xml:space="preserve"> </w:t>
      </w:r>
      <w:r w:rsidRPr="00FD2EE3">
        <w:rPr>
          <w:rFonts w:ascii="Times New Roman" w:hAnsi="Times New Roman"/>
          <w:noProof/>
          <w:sz w:val="20"/>
          <w:szCs w:val="20"/>
        </w:rPr>
        <w:t xml:space="preserve">Porous </w:t>
      </w:r>
      <w:r>
        <w:rPr>
          <w:rFonts w:ascii="Times New Roman" w:hAnsi="Times New Roman"/>
          <w:noProof/>
          <w:sz w:val="20"/>
          <w:szCs w:val="20"/>
        </w:rPr>
        <w:t xml:space="preserve"> </w:t>
      </w:r>
      <w:r w:rsidRPr="00FD2EE3">
        <w:rPr>
          <w:rFonts w:ascii="Times New Roman" w:hAnsi="Times New Roman"/>
          <w:noProof/>
          <w:sz w:val="20"/>
          <w:szCs w:val="20"/>
        </w:rPr>
        <w:t xml:space="preserve">acrylate </w:t>
      </w:r>
      <w:r>
        <w:rPr>
          <w:rFonts w:ascii="Times New Roman" w:hAnsi="Times New Roman"/>
          <w:noProof/>
          <w:sz w:val="20"/>
          <w:szCs w:val="20"/>
        </w:rPr>
        <w:t xml:space="preserve"> </w:t>
      </w:r>
      <w:r w:rsidRPr="00FD2EE3">
        <w:rPr>
          <w:rFonts w:ascii="Times New Roman" w:hAnsi="Times New Roman"/>
          <w:noProof/>
          <w:sz w:val="20"/>
          <w:szCs w:val="20"/>
        </w:rPr>
        <w:t xml:space="preserve">monolith </w:t>
      </w:r>
      <w:r>
        <w:rPr>
          <w:rFonts w:ascii="Times New Roman" w:hAnsi="Times New Roman"/>
          <w:noProof/>
          <w:sz w:val="20"/>
          <w:szCs w:val="20"/>
        </w:rPr>
        <w:t xml:space="preserve"> </w:t>
      </w:r>
      <w:r w:rsidRPr="00FD2EE3">
        <w:rPr>
          <w:rFonts w:ascii="Times New Roman" w:hAnsi="Times New Roman"/>
          <w:noProof/>
          <w:sz w:val="20"/>
          <w:szCs w:val="20"/>
        </w:rPr>
        <w:t xml:space="preserve">supported </w:t>
      </w:r>
      <w:r>
        <w:rPr>
          <w:rFonts w:ascii="Times New Roman" w:hAnsi="Times New Roman"/>
          <w:noProof/>
          <w:sz w:val="20"/>
          <w:szCs w:val="20"/>
        </w:rPr>
        <w:t xml:space="preserve"> </w:t>
      </w:r>
      <w:r w:rsidRPr="00FD2EE3">
        <w:rPr>
          <w:rFonts w:ascii="Times New Roman" w:hAnsi="Times New Roman"/>
          <w:noProof/>
          <w:sz w:val="20"/>
          <w:szCs w:val="20"/>
        </w:rPr>
        <w:t xml:space="preserve">Pd </w:t>
      </w:r>
      <w:r>
        <w:rPr>
          <w:rFonts w:ascii="Times New Roman" w:hAnsi="Times New Roman"/>
          <w:noProof/>
          <w:sz w:val="20"/>
          <w:szCs w:val="20"/>
        </w:rPr>
        <w:t xml:space="preserve"> </w:t>
      </w:r>
      <w:r w:rsidRPr="00FD2EE3">
        <w:rPr>
          <w:rFonts w:ascii="Times New Roman" w:hAnsi="Times New Roman"/>
          <w:noProof/>
          <w:sz w:val="20"/>
          <w:szCs w:val="20"/>
        </w:rPr>
        <w:t xml:space="preserve">nanoparticles: </w:t>
      </w:r>
      <w:r>
        <w:rPr>
          <w:rFonts w:ascii="Times New Roman" w:hAnsi="Times New Roman"/>
          <w:noProof/>
          <w:sz w:val="20"/>
          <w:szCs w:val="20"/>
        </w:rPr>
        <w:t xml:space="preserve"> </w:t>
      </w:r>
      <w:r w:rsidRPr="00FD2EE3">
        <w:rPr>
          <w:rFonts w:ascii="Times New Roman" w:hAnsi="Times New Roman"/>
          <w:noProof/>
          <w:sz w:val="20"/>
          <w:szCs w:val="20"/>
        </w:rPr>
        <w:t xml:space="preserve">Highly active and reusable catalyst for Suzuki–Miyaura reaction in water. </w:t>
      </w:r>
      <w:r w:rsidRPr="00FD2EE3">
        <w:rPr>
          <w:rFonts w:ascii="Times New Roman" w:hAnsi="Times New Roman"/>
          <w:i/>
          <w:iCs/>
          <w:noProof/>
          <w:sz w:val="20"/>
          <w:szCs w:val="20"/>
        </w:rPr>
        <w:t>RSC Advances</w:t>
      </w:r>
      <w:r w:rsidRPr="00FD2EE3">
        <w:rPr>
          <w:rFonts w:ascii="Times New Roman" w:hAnsi="Times New Roman"/>
          <w:noProof/>
          <w:sz w:val="20"/>
          <w:szCs w:val="20"/>
        </w:rPr>
        <w:t xml:space="preserve">, </w:t>
      </w:r>
      <w:r w:rsidRPr="00FD2EE3">
        <w:rPr>
          <w:rFonts w:ascii="Times New Roman" w:hAnsi="Times New Roman"/>
          <w:iCs/>
          <w:noProof/>
          <w:sz w:val="20"/>
          <w:szCs w:val="20"/>
        </w:rPr>
        <w:t>4(40)</w:t>
      </w:r>
      <w:r w:rsidRPr="00FD2EE3">
        <w:rPr>
          <w:rFonts w:ascii="Times New Roman" w:hAnsi="Times New Roman"/>
          <w:noProof/>
          <w:sz w:val="20"/>
          <w:szCs w:val="20"/>
        </w:rPr>
        <w:t>: 20847 – 20855.</w:t>
      </w:r>
    </w:p>
    <w:p w:rsidR="00FD2EE3" w:rsidRPr="00FD2EE3" w:rsidRDefault="00FD2EE3" w:rsidP="00FD2EE3">
      <w:pPr>
        <w:pStyle w:val="ListParagraph"/>
        <w:widowControl w:val="0"/>
        <w:numPr>
          <w:ilvl w:val="0"/>
          <w:numId w:val="3"/>
        </w:numPr>
        <w:wordWrap w:val="0"/>
        <w:autoSpaceDE w:val="0"/>
        <w:autoSpaceDN w:val="0"/>
        <w:spacing w:after="0" w:line="240" w:lineRule="auto"/>
        <w:ind w:hanging="363"/>
        <w:contextualSpacing w:val="0"/>
        <w:jc w:val="both"/>
        <w:outlineLvl w:val="0"/>
        <w:rPr>
          <w:rFonts w:ascii="Times New Roman" w:hAnsi="Times New Roman"/>
          <w:sz w:val="20"/>
          <w:szCs w:val="20"/>
        </w:rPr>
      </w:pPr>
      <w:r w:rsidRPr="00FD2EE3">
        <w:rPr>
          <w:rFonts w:ascii="Times New Roman" w:hAnsi="Times New Roman"/>
          <w:noProof/>
          <w:sz w:val="20"/>
          <w:szCs w:val="20"/>
        </w:rPr>
        <w:t xml:space="preserve">Ou, J., Lin, H., Zhang, Z., Huang, G., Dong, J. and Zou, H. (2013). </w:t>
      </w:r>
      <w:r>
        <w:rPr>
          <w:rFonts w:ascii="Times New Roman" w:hAnsi="Times New Roman"/>
          <w:noProof/>
          <w:sz w:val="20"/>
          <w:szCs w:val="20"/>
        </w:rPr>
        <w:t xml:space="preserve"> </w:t>
      </w:r>
      <w:r w:rsidRPr="00FD2EE3">
        <w:rPr>
          <w:rFonts w:ascii="Times New Roman" w:hAnsi="Times New Roman"/>
          <w:noProof/>
          <w:sz w:val="20"/>
          <w:szCs w:val="20"/>
        </w:rPr>
        <w:t xml:space="preserve">Recent </w:t>
      </w:r>
      <w:r>
        <w:rPr>
          <w:rFonts w:ascii="Times New Roman" w:hAnsi="Times New Roman"/>
          <w:noProof/>
          <w:sz w:val="20"/>
          <w:szCs w:val="20"/>
        </w:rPr>
        <w:t xml:space="preserve"> </w:t>
      </w:r>
      <w:r w:rsidRPr="00FD2EE3">
        <w:rPr>
          <w:rFonts w:ascii="Times New Roman" w:hAnsi="Times New Roman"/>
          <w:noProof/>
          <w:sz w:val="20"/>
          <w:szCs w:val="20"/>
        </w:rPr>
        <w:t>advances</w:t>
      </w:r>
      <w:r>
        <w:rPr>
          <w:rFonts w:ascii="Times New Roman" w:hAnsi="Times New Roman"/>
          <w:noProof/>
          <w:sz w:val="20"/>
          <w:szCs w:val="20"/>
        </w:rPr>
        <w:t xml:space="preserve"> </w:t>
      </w:r>
      <w:r w:rsidRPr="00FD2EE3">
        <w:rPr>
          <w:rFonts w:ascii="Times New Roman" w:hAnsi="Times New Roman"/>
          <w:noProof/>
          <w:sz w:val="20"/>
          <w:szCs w:val="20"/>
        </w:rPr>
        <w:t xml:space="preserve"> in preparation and appli</w:t>
      </w:r>
      <w:r>
        <w:rPr>
          <w:rFonts w:ascii="Times New Roman" w:hAnsi="Times New Roman"/>
          <w:noProof/>
          <w:sz w:val="20"/>
          <w:szCs w:val="20"/>
        </w:rPr>
        <w:t>-</w:t>
      </w:r>
      <w:r w:rsidRPr="00FD2EE3">
        <w:rPr>
          <w:rFonts w:ascii="Times New Roman" w:hAnsi="Times New Roman"/>
          <w:noProof/>
          <w:sz w:val="20"/>
          <w:szCs w:val="20"/>
        </w:rPr>
        <w:t xml:space="preserve">cation of hybrid organic-silica monolithic capillary columns. </w:t>
      </w:r>
      <w:r w:rsidRPr="00FD2EE3">
        <w:rPr>
          <w:rFonts w:ascii="Times New Roman" w:hAnsi="Times New Roman"/>
          <w:i/>
          <w:iCs/>
          <w:noProof/>
          <w:sz w:val="20"/>
          <w:szCs w:val="20"/>
        </w:rPr>
        <w:t>Electrophoresis</w:t>
      </w:r>
      <w:r w:rsidRPr="00FD2EE3">
        <w:rPr>
          <w:rFonts w:ascii="Times New Roman" w:hAnsi="Times New Roman"/>
          <w:noProof/>
          <w:sz w:val="20"/>
          <w:szCs w:val="20"/>
        </w:rPr>
        <w:t xml:space="preserve">, </w:t>
      </w:r>
      <w:r w:rsidRPr="00FD2EE3">
        <w:rPr>
          <w:rFonts w:ascii="Times New Roman" w:hAnsi="Times New Roman"/>
          <w:iCs/>
          <w:noProof/>
          <w:sz w:val="20"/>
          <w:szCs w:val="20"/>
        </w:rPr>
        <w:t>34</w:t>
      </w:r>
      <w:r w:rsidRPr="00FD2EE3">
        <w:rPr>
          <w:rFonts w:ascii="Times New Roman" w:hAnsi="Times New Roman"/>
          <w:noProof/>
          <w:sz w:val="20"/>
          <w:szCs w:val="20"/>
        </w:rPr>
        <w:t>(1): 126 – 140.</w:t>
      </w:r>
    </w:p>
    <w:p w:rsidR="00FD2EE3" w:rsidRPr="00FD2EE3" w:rsidRDefault="00FD2EE3" w:rsidP="00FD2EE3">
      <w:pPr>
        <w:pStyle w:val="ListParagraph"/>
        <w:widowControl w:val="0"/>
        <w:numPr>
          <w:ilvl w:val="0"/>
          <w:numId w:val="3"/>
        </w:numPr>
        <w:wordWrap w:val="0"/>
        <w:autoSpaceDE w:val="0"/>
        <w:autoSpaceDN w:val="0"/>
        <w:spacing w:after="0" w:line="240" w:lineRule="auto"/>
        <w:ind w:hanging="363"/>
        <w:contextualSpacing w:val="0"/>
        <w:jc w:val="both"/>
        <w:outlineLvl w:val="0"/>
        <w:rPr>
          <w:rFonts w:ascii="Times New Roman" w:hAnsi="Times New Roman"/>
          <w:sz w:val="20"/>
          <w:szCs w:val="20"/>
        </w:rPr>
      </w:pPr>
      <w:r w:rsidRPr="00FD2EE3">
        <w:rPr>
          <w:rFonts w:ascii="Times New Roman" w:hAnsi="Times New Roman"/>
          <w:noProof/>
          <w:sz w:val="20"/>
          <w:szCs w:val="20"/>
        </w:rPr>
        <w:t>Yuan, H.,</w:t>
      </w:r>
      <w:r w:rsidR="00906363">
        <w:rPr>
          <w:rFonts w:ascii="Times New Roman" w:hAnsi="Times New Roman"/>
          <w:noProof/>
          <w:sz w:val="20"/>
          <w:szCs w:val="20"/>
        </w:rPr>
        <w:t xml:space="preserve"> </w:t>
      </w:r>
      <w:r w:rsidRPr="00FD2EE3">
        <w:rPr>
          <w:rFonts w:ascii="Times New Roman" w:hAnsi="Times New Roman"/>
          <w:noProof/>
          <w:sz w:val="20"/>
          <w:szCs w:val="20"/>
        </w:rPr>
        <w:t xml:space="preserve"> Zhang, L. and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Zhang, Y.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(2012). </w:t>
      </w:r>
      <w:r>
        <w:rPr>
          <w:rFonts w:ascii="Times New Roman" w:hAnsi="Times New Roman"/>
          <w:noProof/>
          <w:sz w:val="20"/>
          <w:szCs w:val="20"/>
        </w:rPr>
        <w:t xml:space="preserve"> </w:t>
      </w:r>
      <w:r w:rsidRPr="00FD2EE3">
        <w:rPr>
          <w:rFonts w:ascii="Times New Roman" w:hAnsi="Times New Roman"/>
          <w:iCs/>
          <w:noProof/>
          <w:sz w:val="20"/>
          <w:szCs w:val="20"/>
        </w:rPr>
        <w:t>Comprehensive</w:t>
      </w:r>
      <w:r>
        <w:rPr>
          <w:rFonts w:ascii="Times New Roman" w:hAnsi="Times New Roman"/>
          <w:iCs/>
          <w:noProof/>
          <w:sz w:val="20"/>
          <w:szCs w:val="20"/>
        </w:rPr>
        <w:t xml:space="preserve"> </w:t>
      </w:r>
      <w:r w:rsidRPr="00FD2EE3">
        <w:rPr>
          <w:rFonts w:ascii="Times New Roman" w:hAnsi="Times New Roman"/>
          <w:iCs/>
          <w:noProof/>
          <w:sz w:val="20"/>
          <w:szCs w:val="20"/>
        </w:rPr>
        <w:t xml:space="preserve"> sampling </w:t>
      </w:r>
      <w:r>
        <w:rPr>
          <w:rFonts w:ascii="Times New Roman" w:hAnsi="Times New Roman"/>
          <w:iCs/>
          <w:noProof/>
          <w:sz w:val="20"/>
          <w:szCs w:val="20"/>
        </w:rPr>
        <w:t xml:space="preserve"> </w:t>
      </w:r>
      <w:r w:rsidRPr="00FD2EE3">
        <w:rPr>
          <w:rFonts w:ascii="Times New Roman" w:hAnsi="Times New Roman"/>
          <w:iCs/>
          <w:noProof/>
          <w:sz w:val="20"/>
          <w:szCs w:val="20"/>
        </w:rPr>
        <w:t xml:space="preserve">and </w:t>
      </w:r>
      <w:r>
        <w:rPr>
          <w:rFonts w:ascii="Times New Roman" w:hAnsi="Times New Roman"/>
          <w:iCs/>
          <w:noProof/>
          <w:sz w:val="20"/>
          <w:szCs w:val="20"/>
        </w:rPr>
        <w:t xml:space="preserve"> </w:t>
      </w:r>
      <w:r w:rsidRPr="00FD2EE3">
        <w:rPr>
          <w:rFonts w:ascii="Times New Roman" w:hAnsi="Times New Roman"/>
          <w:iCs/>
          <w:noProof/>
          <w:sz w:val="20"/>
          <w:szCs w:val="20"/>
        </w:rPr>
        <w:t>sample</w:t>
      </w:r>
      <w:r>
        <w:rPr>
          <w:rFonts w:ascii="Times New Roman" w:hAnsi="Times New Roman"/>
          <w:iCs/>
          <w:noProof/>
          <w:sz w:val="20"/>
          <w:szCs w:val="20"/>
        </w:rPr>
        <w:t xml:space="preserve"> </w:t>
      </w:r>
      <w:r w:rsidRPr="00FD2EE3">
        <w:rPr>
          <w:rFonts w:ascii="Times New Roman" w:hAnsi="Times New Roman"/>
          <w:iCs/>
          <w:noProof/>
          <w:sz w:val="20"/>
          <w:szCs w:val="20"/>
        </w:rPr>
        <w:t xml:space="preserve"> preparation: </w:t>
      </w:r>
      <w:r>
        <w:rPr>
          <w:rFonts w:ascii="Times New Roman" w:hAnsi="Times New Roman"/>
          <w:iCs/>
          <w:noProof/>
          <w:sz w:val="20"/>
          <w:szCs w:val="20"/>
        </w:rPr>
        <w:t xml:space="preserve"> </w:t>
      </w:r>
      <w:r w:rsidRPr="00FD2EE3">
        <w:rPr>
          <w:rFonts w:ascii="Times New Roman" w:hAnsi="Times New Roman"/>
          <w:iCs/>
          <w:noProof/>
          <w:sz w:val="20"/>
          <w:szCs w:val="20"/>
        </w:rPr>
        <w:t>Analytical techniques for scientists</w:t>
      </w:r>
      <w:r w:rsidRPr="00FD2EE3">
        <w:rPr>
          <w:rFonts w:ascii="Times New Roman" w:hAnsi="Times New Roman"/>
          <w:noProof/>
          <w:sz w:val="20"/>
          <w:szCs w:val="20"/>
        </w:rPr>
        <w:t xml:space="preserve">. Academic Press, Elsevier Inc, Amsterdam.  </w:t>
      </w:r>
      <w:r w:rsidRPr="00FD2EE3">
        <w:rPr>
          <w:rFonts w:ascii="Times New Roman" w:hAnsi="Times New Roman"/>
          <w:iCs/>
          <w:noProof/>
          <w:sz w:val="20"/>
          <w:szCs w:val="20"/>
        </w:rPr>
        <w:t>2</w:t>
      </w:r>
      <w:r w:rsidRPr="00FD2EE3">
        <w:rPr>
          <w:rFonts w:ascii="Times New Roman" w:hAnsi="Times New Roman"/>
          <w:noProof/>
          <w:sz w:val="20"/>
          <w:szCs w:val="20"/>
        </w:rPr>
        <w:t>: pp. 345 – 358.</w:t>
      </w:r>
    </w:p>
    <w:p w:rsidR="00FD2EE3" w:rsidRPr="00FD2EE3" w:rsidRDefault="00FD2EE3" w:rsidP="00FD2EE3">
      <w:pPr>
        <w:pStyle w:val="ListParagraph"/>
        <w:widowControl w:val="0"/>
        <w:numPr>
          <w:ilvl w:val="0"/>
          <w:numId w:val="3"/>
        </w:numPr>
        <w:wordWrap w:val="0"/>
        <w:autoSpaceDE w:val="0"/>
        <w:autoSpaceDN w:val="0"/>
        <w:spacing w:after="0" w:line="240" w:lineRule="auto"/>
        <w:ind w:hanging="363"/>
        <w:contextualSpacing w:val="0"/>
        <w:jc w:val="both"/>
        <w:outlineLvl w:val="0"/>
        <w:rPr>
          <w:rFonts w:ascii="Times New Roman" w:hAnsi="Times New Roman"/>
          <w:sz w:val="20"/>
          <w:szCs w:val="20"/>
        </w:rPr>
      </w:pPr>
      <w:r w:rsidRPr="00FD2EE3">
        <w:rPr>
          <w:rFonts w:ascii="Times New Roman" w:hAnsi="Times New Roman"/>
          <w:noProof/>
          <w:sz w:val="20"/>
          <w:szCs w:val="20"/>
        </w:rPr>
        <w:t xml:space="preserve">Xu, L. and Lee, H. K. (2008).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Preparation,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characterization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and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analytical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application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of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a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hybrid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organic-inorganic silica-based monolith. </w:t>
      </w:r>
      <w:r w:rsidRPr="00FD2EE3">
        <w:rPr>
          <w:rFonts w:ascii="Times New Roman" w:hAnsi="Times New Roman"/>
          <w:i/>
          <w:iCs/>
          <w:noProof/>
          <w:sz w:val="20"/>
          <w:szCs w:val="20"/>
        </w:rPr>
        <w:t>Journal of Chromatography A</w:t>
      </w:r>
      <w:r w:rsidRPr="00FD2EE3">
        <w:rPr>
          <w:rFonts w:ascii="Times New Roman" w:hAnsi="Times New Roman"/>
          <w:noProof/>
          <w:sz w:val="20"/>
          <w:szCs w:val="20"/>
        </w:rPr>
        <w:t xml:space="preserve">, </w:t>
      </w:r>
      <w:r w:rsidRPr="00FD2EE3">
        <w:rPr>
          <w:rFonts w:ascii="Times New Roman" w:hAnsi="Times New Roman"/>
          <w:iCs/>
          <w:noProof/>
          <w:sz w:val="20"/>
          <w:szCs w:val="20"/>
        </w:rPr>
        <w:t xml:space="preserve">1195 </w:t>
      </w:r>
      <w:r w:rsidRPr="00FD2EE3">
        <w:rPr>
          <w:rFonts w:ascii="Times New Roman" w:hAnsi="Times New Roman"/>
          <w:noProof/>
          <w:sz w:val="20"/>
          <w:szCs w:val="20"/>
        </w:rPr>
        <w:t>(1–2): 78 – 84.</w:t>
      </w:r>
    </w:p>
    <w:p w:rsidR="00FD2EE3" w:rsidRPr="00FD2EE3" w:rsidRDefault="00FD2EE3" w:rsidP="00FD2EE3">
      <w:pPr>
        <w:pStyle w:val="ListParagraph"/>
        <w:widowControl w:val="0"/>
        <w:numPr>
          <w:ilvl w:val="0"/>
          <w:numId w:val="3"/>
        </w:numPr>
        <w:wordWrap w:val="0"/>
        <w:autoSpaceDE w:val="0"/>
        <w:autoSpaceDN w:val="0"/>
        <w:spacing w:after="0" w:line="240" w:lineRule="auto"/>
        <w:ind w:hanging="363"/>
        <w:contextualSpacing w:val="0"/>
        <w:jc w:val="both"/>
        <w:outlineLvl w:val="0"/>
        <w:rPr>
          <w:rFonts w:ascii="Times New Roman" w:hAnsi="Times New Roman"/>
          <w:sz w:val="20"/>
          <w:szCs w:val="20"/>
        </w:rPr>
      </w:pPr>
      <w:r w:rsidRPr="00FD2EE3">
        <w:rPr>
          <w:rFonts w:ascii="Times New Roman" w:hAnsi="Times New Roman"/>
          <w:sz w:val="20"/>
          <w:szCs w:val="20"/>
        </w:rPr>
        <w:t xml:space="preserve">Anuar, S. T., Zhao, Y-Y., Mugo, S. M. and Curtis, J. M. (2013). </w:t>
      </w:r>
      <w:r w:rsidR="00906363">
        <w:rPr>
          <w:rFonts w:ascii="Times New Roman" w:hAnsi="Times New Roman"/>
          <w:sz w:val="20"/>
          <w:szCs w:val="20"/>
        </w:rPr>
        <w:t xml:space="preserve"> </w:t>
      </w:r>
      <w:r w:rsidRPr="00FD2EE3">
        <w:rPr>
          <w:rFonts w:ascii="Times New Roman" w:hAnsi="Times New Roman"/>
          <w:sz w:val="20"/>
          <w:szCs w:val="20"/>
        </w:rPr>
        <w:t xml:space="preserve">The </w:t>
      </w:r>
      <w:r w:rsidR="00906363">
        <w:rPr>
          <w:rFonts w:ascii="Times New Roman" w:hAnsi="Times New Roman"/>
          <w:sz w:val="20"/>
          <w:szCs w:val="20"/>
        </w:rPr>
        <w:t xml:space="preserve"> </w:t>
      </w:r>
      <w:r w:rsidRPr="00FD2EE3">
        <w:rPr>
          <w:rFonts w:ascii="Times New Roman" w:hAnsi="Times New Roman"/>
          <w:sz w:val="20"/>
          <w:szCs w:val="20"/>
        </w:rPr>
        <w:t xml:space="preserve">development of </w:t>
      </w:r>
      <w:r w:rsidR="00906363">
        <w:rPr>
          <w:rFonts w:ascii="Times New Roman" w:hAnsi="Times New Roman"/>
          <w:sz w:val="20"/>
          <w:szCs w:val="20"/>
        </w:rPr>
        <w:t xml:space="preserve"> </w:t>
      </w:r>
      <w:r w:rsidRPr="00FD2EE3">
        <w:rPr>
          <w:rFonts w:ascii="Times New Roman" w:hAnsi="Times New Roman"/>
          <w:sz w:val="20"/>
          <w:szCs w:val="20"/>
        </w:rPr>
        <w:t xml:space="preserve">a capillary microreactor for transesterification reactions using lipase immobilized onto a silica monolith. </w:t>
      </w:r>
      <w:r w:rsidRPr="00FD2EE3">
        <w:rPr>
          <w:rFonts w:ascii="Times New Roman" w:hAnsi="Times New Roman"/>
          <w:i/>
          <w:iCs/>
          <w:sz w:val="20"/>
          <w:szCs w:val="20"/>
        </w:rPr>
        <w:t xml:space="preserve">Journal of Molecular Catalysis B: Enzymatic, </w:t>
      </w:r>
      <w:r w:rsidRPr="00FD2EE3">
        <w:rPr>
          <w:rFonts w:ascii="Times New Roman" w:hAnsi="Times New Roman"/>
          <w:sz w:val="20"/>
          <w:szCs w:val="20"/>
        </w:rPr>
        <w:t>92: 62 – 70.</w:t>
      </w:r>
    </w:p>
    <w:p w:rsidR="00FD2EE3" w:rsidRPr="00FD2EE3" w:rsidRDefault="00FD2EE3" w:rsidP="00FD2EE3">
      <w:pPr>
        <w:pStyle w:val="ListParagraph"/>
        <w:widowControl w:val="0"/>
        <w:numPr>
          <w:ilvl w:val="0"/>
          <w:numId w:val="3"/>
        </w:numPr>
        <w:wordWrap w:val="0"/>
        <w:autoSpaceDE w:val="0"/>
        <w:autoSpaceDN w:val="0"/>
        <w:spacing w:after="0" w:line="240" w:lineRule="auto"/>
        <w:ind w:hanging="363"/>
        <w:contextualSpacing w:val="0"/>
        <w:jc w:val="both"/>
        <w:outlineLvl w:val="0"/>
        <w:rPr>
          <w:rFonts w:ascii="Times New Roman" w:hAnsi="Times New Roman"/>
          <w:sz w:val="20"/>
          <w:szCs w:val="20"/>
        </w:rPr>
      </w:pPr>
      <w:r w:rsidRPr="00FD2EE3">
        <w:rPr>
          <w:rFonts w:ascii="Times New Roman" w:hAnsi="Times New Roman"/>
          <w:sz w:val="20"/>
          <w:szCs w:val="20"/>
        </w:rPr>
        <w:t>Anuar, S. T.,</w:t>
      </w:r>
      <w:r w:rsidR="00906363">
        <w:rPr>
          <w:rFonts w:ascii="Times New Roman" w:hAnsi="Times New Roman"/>
          <w:sz w:val="20"/>
          <w:szCs w:val="20"/>
        </w:rPr>
        <w:t xml:space="preserve"> </w:t>
      </w:r>
      <w:r w:rsidRPr="00FD2EE3">
        <w:rPr>
          <w:rFonts w:ascii="Times New Roman" w:hAnsi="Times New Roman"/>
          <w:sz w:val="20"/>
          <w:szCs w:val="20"/>
        </w:rPr>
        <w:t xml:space="preserve"> Mugo, S. M. and </w:t>
      </w:r>
      <w:r w:rsidR="00906363">
        <w:rPr>
          <w:rFonts w:ascii="Times New Roman" w:hAnsi="Times New Roman"/>
          <w:sz w:val="20"/>
          <w:szCs w:val="20"/>
        </w:rPr>
        <w:t xml:space="preserve"> </w:t>
      </w:r>
      <w:r w:rsidRPr="00FD2EE3">
        <w:rPr>
          <w:rFonts w:ascii="Times New Roman" w:hAnsi="Times New Roman"/>
          <w:sz w:val="20"/>
          <w:szCs w:val="20"/>
        </w:rPr>
        <w:t xml:space="preserve">Curtis, J. M. (2015). </w:t>
      </w:r>
      <w:r w:rsidR="00906363">
        <w:rPr>
          <w:rFonts w:ascii="Times New Roman" w:hAnsi="Times New Roman"/>
          <w:sz w:val="20"/>
          <w:szCs w:val="20"/>
        </w:rPr>
        <w:t xml:space="preserve"> </w:t>
      </w:r>
      <w:r w:rsidRPr="00FD2EE3">
        <w:rPr>
          <w:rFonts w:ascii="Times New Roman" w:hAnsi="Times New Roman"/>
          <w:sz w:val="20"/>
          <w:szCs w:val="20"/>
        </w:rPr>
        <w:t xml:space="preserve">A </w:t>
      </w:r>
      <w:r w:rsidR="00906363">
        <w:rPr>
          <w:rFonts w:ascii="Times New Roman" w:hAnsi="Times New Roman"/>
          <w:sz w:val="20"/>
          <w:szCs w:val="20"/>
        </w:rPr>
        <w:t xml:space="preserve"> </w:t>
      </w:r>
      <w:r w:rsidRPr="00FD2EE3">
        <w:rPr>
          <w:rFonts w:ascii="Times New Roman" w:hAnsi="Times New Roman"/>
          <w:sz w:val="20"/>
          <w:szCs w:val="20"/>
        </w:rPr>
        <w:t>flow-through</w:t>
      </w:r>
      <w:r w:rsidR="00906363">
        <w:rPr>
          <w:rFonts w:ascii="Times New Roman" w:hAnsi="Times New Roman"/>
          <w:sz w:val="20"/>
          <w:szCs w:val="20"/>
        </w:rPr>
        <w:t xml:space="preserve"> </w:t>
      </w:r>
      <w:r w:rsidRPr="00FD2EE3">
        <w:rPr>
          <w:rFonts w:ascii="Times New Roman" w:hAnsi="Times New Roman"/>
          <w:sz w:val="20"/>
          <w:szCs w:val="20"/>
        </w:rPr>
        <w:t xml:space="preserve"> enzymatic </w:t>
      </w:r>
      <w:r w:rsidR="00906363">
        <w:rPr>
          <w:rFonts w:ascii="Times New Roman" w:hAnsi="Times New Roman"/>
          <w:sz w:val="20"/>
          <w:szCs w:val="20"/>
        </w:rPr>
        <w:t xml:space="preserve"> </w:t>
      </w:r>
      <w:r w:rsidRPr="00FD2EE3">
        <w:rPr>
          <w:rFonts w:ascii="Times New Roman" w:hAnsi="Times New Roman"/>
          <w:sz w:val="20"/>
          <w:szCs w:val="20"/>
        </w:rPr>
        <w:t xml:space="preserve">microreactor </w:t>
      </w:r>
      <w:r w:rsidR="00906363">
        <w:rPr>
          <w:rFonts w:ascii="Times New Roman" w:hAnsi="Times New Roman"/>
          <w:sz w:val="20"/>
          <w:szCs w:val="20"/>
        </w:rPr>
        <w:t xml:space="preserve"> </w:t>
      </w:r>
      <w:r w:rsidRPr="00FD2EE3">
        <w:rPr>
          <w:rFonts w:ascii="Times New Roman" w:hAnsi="Times New Roman"/>
          <w:sz w:val="20"/>
          <w:szCs w:val="20"/>
        </w:rPr>
        <w:t>for</w:t>
      </w:r>
      <w:r w:rsidR="00906363">
        <w:rPr>
          <w:rFonts w:ascii="Times New Roman" w:hAnsi="Times New Roman"/>
          <w:sz w:val="20"/>
          <w:szCs w:val="20"/>
        </w:rPr>
        <w:t xml:space="preserve"> </w:t>
      </w:r>
      <w:r w:rsidRPr="00FD2EE3">
        <w:rPr>
          <w:rFonts w:ascii="Times New Roman" w:hAnsi="Times New Roman"/>
          <w:sz w:val="20"/>
          <w:szCs w:val="20"/>
        </w:rPr>
        <w:t xml:space="preserve"> the </w:t>
      </w:r>
      <w:r w:rsidR="00906363">
        <w:rPr>
          <w:rFonts w:ascii="Times New Roman" w:hAnsi="Times New Roman"/>
          <w:sz w:val="20"/>
          <w:szCs w:val="20"/>
        </w:rPr>
        <w:t xml:space="preserve"> </w:t>
      </w:r>
      <w:r w:rsidRPr="00FD2EE3">
        <w:rPr>
          <w:rFonts w:ascii="Times New Roman" w:hAnsi="Times New Roman"/>
          <w:sz w:val="20"/>
          <w:szCs w:val="20"/>
        </w:rPr>
        <w:t xml:space="preserve">rapid conversion of triacylglycerols into fatty acid ethyl ester and fatty acid methyl ester derivatives for GC analysis. </w:t>
      </w:r>
      <w:r w:rsidRPr="00FD2EE3">
        <w:rPr>
          <w:rFonts w:ascii="Times New Roman" w:hAnsi="Times New Roman"/>
          <w:i/>
          <w:iCs/>
          <w:sz w:val="20"/>
          <w:szCs w:val="20"/>
        </w:rPr>
        <w:t>Analytical Methods</w:t>
      </w:r>
      <w:r w:rsidRPr="00FD2EE3">
        <w:rPr>
          <w:rFonts w:ascii="Times New Roman" w:hAnsi="Times New Roman"/>
          <w:sz w:val="20"/>
          <w:szCs w:val="20"/>
        </w:rPr>
        <w:t xml:space="preserve">, </w:t>
      </w:r>
      <w:r w:rsidRPr="00FD2EE3">
        <w:rPr>
          <w:rFonts w:ascii="Times New Roman" w:hAnsi="Times New Roman"/>
          <w:iCs/>
          <w:sz w:val="20"/>
          <w:szCs w:val="20"/>
        </w:rPr>
        <w:t>7</w:t>
      </w:r>
      <w:r w:rsidRPr="00FD2EE3">
        <w:rPr>
          <w:rFonts w:ascii="Times New Roman" w:hAnsi="Times New Roman"/>
          <w:sz w:val="20"/>
          <w:szCs w:val="20"/>
        </w:rPr>
        <w:t>(14): 5898 – 5906.</w:t>
      </w:r>
    </w:p>
    <w:p w:rsidR="00FD2EE3" w:rsidRPr="00FD2EE3" w:rsidRDefault="00FD2EE3" w:rsidP="00FD2EE3">
      <w:pPr>
        <w:pStyle w:val="ListParagraph"/>
        <w:widowControl w:val="0"/>
        <w:numPr>
          <w:ilvl w:val="0"/>
          <w:numId w:val="3"/>
        </w:numPr>
        <w:wordWrap w:val="0"/>
        <w:autoSpaceDE w:val="0"/>
        <w:autoSpaceDN w:val="0"/>
        <w:spacing w:after="0" w:line="240" w:lineRule="auto"/>
        <w:ind w:hanging="363"/>
        <w:contextualSpacing w:val="0"/>
        <w:jc w:val="both"/>
        <w:outlineLvl w:val="0"/>
        <w:rPr>
          <w:rFonts w:ascii="Times New Roman" w:hAnsi="Times New Roman"/>
          <w:sz w:val="20"/>
          <w:szCs w:val="20"/>
        </w:rPr>
      </w:pPr>
      <w:r w:rsidRPr="00FD2EE3">
        <w:rPr>
          <w:rFonts w:ascii="Times New Roman" w:hAnsi="Times New Roman"/>
          <w:noProof/>
          <w:sz w:val="20"/>
          <w:szCs w:val="20"/>
        </w:rPr>
        <w:t xml:space="preserve">Wu, M., Wu, R., Zhang, Z. and Zou, H. (2011). Preparation and application of organic-silica hybrid monolithic capillary columns. </w:t>
      </w:r>
      <w:r w:rsidRPr="00FD2EE3">
        <w:rPr>
          <w:rFonts w:ascii="Times New Roman" w:hAnsi="Times New Roman"/>
          <w:i/>
          <w:iCs/>
          <w:noProof/>
          <w:sz w:val="20"/>
          <w:szCs w:val="20"/>
        </w:rPr>
        <w:t>Electrophoresis</w:t>
      </w:r>
      <w:r w:rsidRPr="00FD2EE3">
        <w:rPr>
          <w:rFonts w:ascii="Times New Roman" w:hAnsi="Times New Roman"/>
          <w:noProof/>
          <w:sz w:val="20"/>
          <w:szCs w:val="20"/>
        </w:rPr>
        <w:t xml:space="preserve">, </w:t>
      </w:r>
      <w:r w:rsidRPr="00FD2EE3">
        <w:rPr>
          <w:rFonts w:ascii="Times New Roman" w:hAnsi="Times New Roman"/>
          <w:iCs/>
          <w:noProof/>
          <w:sz w:val="20"/>
          <w:szCs w:val="20"/>
        </w:rPr>
        <w:t>32</w:t>
      </w:r>
      <w:r w:rsidRPr="00FD2EE3">
        <w:rPr>
          <w:rFonts w:ascii="Times New Roman" w:hAnsi="Times New Roman"/>
          <w:noProof/>
          <w:sz w:val="20"/>
          <w:szCs w:val="20"/>
        </w:rPr>
        <w:t>(1): 105 – 115.</w:t>
      </w:r>
    </w:p>
    <w:p w:rsidR="00FD2EE3" w:rsidRPr="00FD2EE3" w:rsidRDefault="00FD2EE3" w:rsidP="00FD2EE3">
      <w:pPr>
        <w:pStyle w:val="ListParagraph"/>
        <w:widowControl w:val="0"/>
        <w:numPr>
          <w:ilvl w:val="0"/>
          <w:numId w:val="3"/>
        </w:numPr>
        <w:wordWrap w:val="0"/>
        <w:autoSpaceDE w:val="0"/>
        <w:autoSpaceDN w:val="0"/>
        <w:spacing w:after="0" w:line="240" w:lineRule="auto"/>
        <w:ind w:hanging="363"/>
        <w:contextualSpacing w:val="0"/>
        <w:jc w:val="both"/>
        <w:outlineLvl w:val="0"/>
        <w:rPr>
          <w:rFonts w:ascii="Times New Roman" w:hAnsi="Times New Roman"/>
          <w:sz w:val="20"/>
          <w:szCs w:val="20"/>
        </w:rPr>
      </w:pPr>
      <w:r w:rsidRPr="00FD2EE3">
        <w:rPr>
          <w:rFonts w:ascii="Times New Roman" w:hAnsi="Times New Roman"/>
          <w:sz w:val="20"/>
          <w:szCs w:val="20"/>
        </w:rPr>
        <w:t>Wang, J., Wu, F., Xia, R., Zhao, Q., Lin, X. and Xie, Z. (2016). Rapid fabrication of ionic liquid-functionalized monolithic</w:t>
      </w:r>
      <w:r w:rsidR="00906363">
        <w:rPr>
          <w:rFonts w:ascii="Times New Roman" w:hAnsi="Times New Roman"/>
          <w:sz w:val="20"/>
          <w:szCs w:val="20"/>
        </w:rPr>
        <w:t xml:space="preserve"> </w:t>
      </w:r>
      <w:r w:rsidRPr="00FD2EE3">
        <w:rPr>
          <w:rFonts w:ascii="Times New Roman" w:hAnsi="Times New Roman"/>
          <w:sz w:val="20"/>
          <w:szCs w:val="20"/>
        </w:rPr>
        <w:t xml:space="preserve"> column via</w:t>
      </w:r>
      <w:r w:rsidR="00906363">
        <w:rPr>
          <w:rFonts w:ascii="Times New Roman" w:hAnsi="Times New Roman"/>
          <w:sz w:val="20"/>
          <w:szCs w:val="20"/>
        </w:rPr>
        <w:t xml:space="preserve"> </w:t>
      </w:r>
      <w:r w:rsidRPr="00FD2EE3">
        <w:rPr>
          <w:rFonts w:ascii="Times New Roman" w:hAnsi="Times New Roman"/>
          <w:sz w:val="20"/>
          <w:szCs w:val="20"/>
        </w:rPr>
        <w:t xml:space="preserve"> in-situ urea-formaldehyde polycondensation for pressurized capillary electrochromato</w:t>
      </w:r>
      <w:r w:rsidR="00906363">
        <w:rPr>
          <w:rFonts w:ascii="Times New Roman" w:hAnsi="Times New Roman"/>
          <w:sz w:val="20"/>
          <w:szCs w:val="20"/>
        </w:rPr>
        <w:t>-</w:t>
      </w:r>
      <w:r w:rsidRPr="00FD2EE3">
        <w:rPr>
          <w:rFonts w:ascii="Times New Roman" w:hAnsi="Times New Roman"/>
          <w:sz w:val="20"/>
          <w:szCs w:val="20"/>
        </w:rPr>
        <w:t xml:space="preserve">graphy. </w:t>
      </w:r>
      <w:r w:rsidRPr="00FD2EE3">
        <w:rPr>
          <w:rFonts w:ascii="Times New Roman" w:hAnsi="Times New Roman"/>
          <w:i/>
          <w:iCs/>
          <w:sz w:val="20"/>
          <w:szCs w:val="20"/>
        </w:rPr>
        <w:t>Journal of Chromatography A</w:t>
      </w:r>
      <w:r w:rsidRPr="00FD2EE3">
        <w:rPr>
          <w:rFonts w:ascii="Times New Roman" w:hAnsi="Times New Roman"/>
          <w:sz w:val="20"/>
          <w:szCs w:val="20"/>
        </w:rPr>
        <w:t xml:space="preserve">, </w:t>
      </w:r>
      <w:r w:rsidRPr="00FD2EE3">
        <w:rPr>
          <w:rFonts w:ascii="Times New Roman" w:hAnsi="Times New Roman"/>
          <w:iCs/>
          <w:sz w:val="20"/>
          <w:szCs w:val="20"/>
        </w:rPr>
        <w:t>1449</w:t>
      </w:r>
      <w:r w:rsidRPr="00FD2EE3">
        <w:rPr>
          <w:rFonts w:ascii="Times New Roman" w:hAnsi="Times New Roman"/>
          <w:sz w:val="20"/>
          <w:szCs w:val="20"/>
        </w:rPr>
        <w:t xml:space="preserve">: 100 – 108. </w:t>
      </w:r>
    </w:p>
    <w:p w:rsidR="00FD2EE3" w:rsidRPr="00FD2EE3" w:rsidRDefault="00FD2EE3" w:rsidP="00FD2EE3">
      <w:pPr>
        <w:pStyle w:val="ListParagraph"/>
        <w:widowControl w:val="0"/>
        <w:numPr>
          <w:ilvl w:val="0"/>
          <w:numId w:val="3"/>
        </w:numPr>
        <w:wordWrap w:val="0"/>
        <w:autoSpaceDE w:val="0"/>
        <w:autoSpaceDN w:val="0"/>
        <w:spacing w:after="0" w:line="240" w:lineRule="auto"/>
        <w:ind w:hanging="363"/>
        <w:contextualSpacing w:val="0"/>
        <w:jc w:val="both"/>
        <w:outlineLvl w:val="0"/>
        <w:rPr>
          <w:rFonts w:ascii="Times New Roman" w:hAnsi="Times New Roman"/>
          <w:sz w:val="20"/>
          <w:szCs w:val="20"/>
        </w:rPr>
      </w:pPr>
      <w:r w:rsidRPr="00FD2EE3">
        <w:rPr>
          <w:rFonts w:ascii="Times New Roman" w:hAnsi="Times New Roman"/>
          <w:noProof/>
          <w:sz w:val="20"/>
          <w:szCs w:val="20"/>
        </w:rPr>
        <w:t xml:space="preserve">Xie, C., Ye, M., Jiang, X., Jin, W. and Zou, H. (2006). </w:t>
      </w:r>
      <w:r w:rsidR="00906363">
        <w:rPr>
          <w:rFonts w:ascii="Times New Roman" w:hAnsi="Times New Roman"/>
          <w:noProof/>
          <w:sz w:val="20"/>
          <w:szCs w:val="20"/>
        </w:rPr>
        <w:t xml:space="preserve"> </w:t>
      </w:r>
      <w:r w:rsidRPr="00FD2EE3">
        <w:rPr>
          <w:rFonts w:ascii="Times New Roman" w:hAnsi="Times New Roman"/>
          <w:noProof/>
          <w:sz w:val="20"/>
          <w:szCs w:val="20"/>
        </w:rPr>
        <w:t>Octadecylated</w:t>
      </w:r>
      <w:r w:rsidR="00906363">
        <w:rPr>
          <w:rFonts w:ascii="Times New Roman" w:hAnsi="Times New Roman"/>
          <w:noProof/>
          <w:sz w:val="20"/>
          <w:szCs w:val="20"/>
        </w:rPr>
        <w:t xml:space="preserve"> </w:t>
      </w:r>
      <w:r w:rsidRPr="00FD2EE3">
        <w:rPr>
          <w:rFonts w:ascii="Times New Roman" w:hAnsi="Times New Roman"/>
          <w:noProof/>
          <w:sz w:val="20"/>
          <w:szCs w:val="20"/>
        </w:rPr>
        <w:t xml:space="preserve"> silica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monolith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capillary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column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with integrated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nanoelectrospray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ionization emitter for highly efficient proteome analysis. </w:t>
      </w:r>
      <w:r w:rsidRPr="00FD2EE3">
        <w:rPr>
          <w:rFonts w:ascii="Times New Roman" w:hAnsi="Times New Roman"/>
          <w:i/>
          <w:noProof/>
          <w:sz w:val="20"/>
          <w:szCs w:val="20"/>
        </w:rPr>
        <w:t>Molecular and Cellular Proteomics</w:t>
      </w:r>
      <w:r w:rsidRPr="00FD2EE3">
        <w:rPr>
          <w:rFonts w:ascii="Times New Roman" w:hAnsi="Times New Roman"/>
          <w:noProof/>
          <w:sz w:val="20"/>
          <w:szCs w:val="20"/>
        </w:rPr>
        <w:t>, 454 – 461.</w:t>
      </w:r>
    </w:p>
    <w:p w:rsidR="00FD2EE3" w:rsidRPr="00FD2EE3" w:rsidRDefault="00FD2EE3" w:rsidP="00FD2EE3">
      <w:pPr>
        <w:pStyle w:val="ListParagraph"/>
        <w:widowControl w:val="0"/>
        <w:numPr>
          <w:ilvl w:val="0"/>
          <w:numId w:val="3"/>
        </w:numPr>
        <w:wordWrap w:val="0"/>
        <w:autoSpaceDE w:val="0"/>
        <w:autoSpaceDN w:val="0"/>
        <w:spacing w:after="0" w:line="240" w:lineRule="auto"/>
        <w:ind w:hanging="363"/>
        <w:contextualSpacing w:val="0"/>
        <w:jc w:val="both"/>
        <w:outlineLvl w:val="0"/>
        <w:rPr>
          <w:rFonts w:ascii="Times New Roman" w:hAnsi="Times New Roman"/>
          <w:sz w:val="20"/>
          <w:szCs w:val="20"/>
        </w:rPr>
      </w:pPr>
      <w:r w:rsidRPr="00FD2EE3">
        <w:rPr>
          <w:rFonts w:ascii="Times New Roman" w:hAnsi="Times New Roman"/>
          <w:sz w:val="20"/>
          <w:szCs w:val="20"/>
        </w:rPr>
        <w:t xml:space="preserve">Hayes, J. and Malik, A. (2000). </w:t>
      </w:r>
      <w:r w:rsidR="00906363">
        <w:rPr>
          <w:rFonts w:ascii="Times New Roman" w:hAnsi="Times New Roman"/>
          <w:sz w:val="20"/>
          <w:szCs w:val="20"/>
        </w:rPr>
        <w:t xml:space="preserve"> </w:t>
      </w:r>
      <w:r w:rsidRPr="00FD2EE3">
        <w:rPr>
          <w:rFonts w:ascii="Times New Roman" w:hAnsi="Times New Roman"/>
          <w:sz w:val="20"/>
          <w:szCs w:val="20"/>
        </w:rPr>
        <w:t xml:space="preserve">Sol-gel </w:t>
      </w:r>
      <w:r w:rsidR="00906363">
        <w:rPr>
          <w:rFonts w:ascii="Times New Roman" w:hAnsi="Times New Roman"/>
          <w:sz w:val="20"/>
          <w:szCs w:val="20"/>
        </w:rPr>
        <w:t xml:space="preserve"> </w:t>
      </w:r>
      <w:r w:rsidRPr="00FD2EE3">
        <w:rPr>
          <w:rFonts w:ascii="Times New Roman" w:hAnsi="Times New Roman"/>
          <w:sz w:val="20"/>
          <w:szCs w:val="20"/>
        </w:rPr>
        <w:t xml:space="preserve">monolithic </w:t>
      </w:r>
      <w:r w:rsidR="00906363">
        <w:rPr>
          <w:rFonts w:ascii="Times New Roman" w:hAnsi="Times New Roman"/>
          <w:sz w:val="20"/>
          <w:szCs w:val="20"/>
        </w:rPr>
        <w:t xml:space="preserve"> </w:t>
      </w:r>
      <w:r w:rsidRPr="00FD2EE3">
        <w:rPr>
          <w:rFonts w:ascii="Times New Roman" w:hAnsi="Times New Roman"/>
          <w:sz w:val="20"/>
          <w:szCs w:val="20"/>
        </w:rPr>
        <w:t>columns</w:t>
      </w:r>
      <w:r w:rsidR="00906363">
        <w:rPr>
          <w:rFonts w:ascii="Times New Roman" w:hAnsi="Times New Roman"/>
          <w:sz w:val="20"/>
          <w:szCs w:val="20"/>
        </w:rPr>
        <w:t xml:space="preserve"> </w:t>
      </w:r>
      <w:r w:rsidRPr="00FD2EE3">
        <w:rPr>
          <w:rFonts w:ascii="Times New Roman" w:hAnsi="Times New Roman"/>
          <w:sz w:val="20"/>
          <w:szCs w:val="20"/>
        </w:rPr>
        <w:t xml:space="preserve"> with</w:t>
      </w:r>
      <w:r w:rsidR="00906363">
        <w:rPr>
          <w:rFonts w:ascii="Times New Roman" w:hAnsi="Times New Roman"/>
          <w:sz w:val="20"/>
          <w:szCs w:val="20"/>
        </w:rPr>
        <w:t xml:space="preserve"> </w:t>
      </w:r>
      <w:r w:rsidRPr="00FD2EE3">
        <w:rPr>
          <w:rFonts w:ascii="Times New Roman" w:hAnsi="Times New Roman"/>
          <w:sz w:val="20"/>
          <w:szCs w:val="20"/>
        </w:rPr>
        <w:t xml:space="preserve"> reversed electroosmotic flow for capillary electrochromatography. </w:t>
      </w:r>
      <w:r w:rsidRPr="00FD2EE3">
        <w:rPr>
          <w:rFonts w:ascii="Times New Roman" w:hAnsi="Times New Roman"/>
          <w:i/>
          <w:iCs/>
          <w:sz w:val="20"/>
          <w:szCs w:val="20"/>
        </w:rPr>
        <w:t>Analytical Chemistry</w:t>
      </w:r>
      <w:r w:rsidRPr="00FD2EE3">
        <w:rPr>
          <w:rFonts w:ascii="Times New Roman" w:hAnsi="Times New Roman"/>
          <w:sz w:val="20"/>
          <w:szCs w:val="20"/>
        </w:rPr>
        <w:t xml:space="preserve">, </w:t>
      </w:r>
      <w:r w:rsidRPr="00FD2EE3">
        <w:rPr>
          <w:rFonts w:ascii="Times New Roman" w:hAnsi="Times New Roman"/>
          <w:iCs/>
          <w:sz w:val="20"/>
          <w:szCs w:val="20"/>
        </w:rPr>
        <w:t>72</w:t>
      </w:r>
      <w:r w:rsidRPr="00FD2EE3">
        <w:rPr>
          <w:rFonts w:ascii="Times New Roman" w:hAnsi="Times New Roman"/>
          <w:sz w:val="20"/>
          <w:szCs w:val="20"/>
        </w:rPr>
        <w:t>(17): 4090 – 4099.</w:t>
      </w:r>
    </w:p>
    <w:p w:rsidR="00FD2EE3" w:rsidRPr="00FD2EE3" w:rsidRDefault="00FD2EE3" w:rsidP="00FD2EE3">
      <w:pPr>
        <w:pStyle w:val="ListParagraph"/>
        <w:widowControl w:val="0"/>
        <w:numPr>
          <w:ilvl w:val="0"/>
          <w:numId w:val="3"/>
        </w:numPr>
        <w:wordWrap w:val="0"/>
        <w:autoSpaceDE w:val="0"/>
        <w:autoSpaceDN w:val="0"/>
        <w:spacing w:after="0" w:line="240" w:lineRule="auto"/>
        <w:ind w:hanging="363"/>
        <w:contextualSpacing w:val="0"/>
        <w:jc w:val="both"/>
        <w:outlineLvl w:val="0"/>
        <w:rPr>
          <w:rFonts w:ascii="Times New Roman" w:hAnsi="Times New Roman"/>
          <w:sz w:val="20"/>
          <w:szCs w:val="20"/>
        </w:rPr>
      </w:pPr>
      <w:r w:rsidRPr="00FD2EE3">
        <w:rPr>
          <w:rFonts w:ascii="Times New Roman" w:hAnsi="Times New Roman"/>
          <w:sz w:val="20"/>
          <w:szCs w:val="20"/>
        </w:rPr>
        <w:lastRenderedPageBreak/>
        <w:t xml:space="preserve">Battisha, I. K., El Beyally, A., Abd El Mongy, S. and Nahrawi, A. M. (2007). </w:t>
      </w:r>
      <w:r w:rsidR="00906363">
        <w:rPr>
          <w:rFonts w:ascii="Times New Roman" w:hAnsi="Times New Roman"/>
          <w:sz w:val="20"/>
          <w:szCs w:val="20"/>
        </w:rPr>
        <w:t xml:space="preserve"> </w:t>
      </w:r>
      <w:r w:rsidRPr="00FD2EE3">
        <w:rPr>
          <w:rFonts w:ascii="Times New Roman" w:hAnsi="Times New Roman"/>
          <w:sz w:val="20"/>
          <w:szCs w:val="20"/>
        </w:rPr>
        <w:t xml:space="preserve">Development </w:t>
      </w:r>
      <w:r w:rsidR="00906363">
        <w:rPr>
          <w:rFonts w:ascii="Times New Roman" w:hAnsi="Times New Roman"/>
          <w:sz w:val="20"/>
          <w:szCs w:val="20"/>
        </w:rPr>
        <w:t xml:space="preserve"> </w:t>
      </w:r>
      <w:r w:rsidRPr="00FD2EE3">
        <w:rPr>
          <w:rFonts w:ascii="Times New Roman" w:hAnsi="Times New Roman"/>
          <w:sz w:val="20"/>
          <w:szCs w:val="20"/>
        </w:rPr>
        <w:t>of</w:t>
      </w:r>
      <w:r w:rsidR="00906363">
        <w:rPr>
          <w:rFonts w:ascii="Times New Roman" w:hAnsi="Times New Roman"/>
          <w:sz w:val="20"/>
          <w:szCs w:val="20"/>
        </w:rPr>
        <w:t xml:space="preserve"> </w:t>
      </w:r>
      <w:r w:rsidRPr="00FD2EE3">
        <w:rPr>
          <w:rFonts w:ascii="Times New Roman" w:hAnsi="Times New Roman"/>
          <w:sz w:val="20"/>
          <w:szCs w:val="20"/>
        </w:rPr>
        <w:t xml:space="preserve"> the </w:t>
      </w:r>
      <w:r w:rsidR="00906363">
        <w:rPr>
          <w:rFonts w:ascii="Times New Roman" w:hAnsi="Times New Roman"/>
          <w:sz w:val="20"/>
          <w:szCs w:val="20"/>
        </w:rPr>
        <w:t xml:space="preserve"> </w:t>
      </w:r>
      <w:r w:rsidRPr="00FD2EE3">
        <w:rPr>
          <w:rFonts w:ascii="Times New Roman" w:hAnsi="Times New Roman"/>
          <w:sz w:val="20"/>
          <w:szCs w:val="20"/>
        </w:rPr>
        <w:t>FTIR pro</w:t>
      </w:r>
      <w:r w:rsidR="00906363">
        <w:rPr>
          <w:rFonts w:ascii="Times New Roman" w:hAnsi="Times New Roman"/>
          <w:sz w:val="20"/>
          <w:szCs w:val="20"/>
        </w:rPr>
        <w:t>-</w:t>
      </w:r>
      <w:r w:rsidRPr="00FD2EE3">
        <w:rPr>
          <w:rFonts w:ascii="Times New Roman" w:hAnsi="Times New Roman"/>
          <w:sz w:val="20"/>
          <w:szCs w:val="20"/>
        </w:rPr>
        <w:t xml:space="preserve">perties of nano-structure silica gel doped with different rare earth elements, </w:t>
      </w:r>
      <w:r w:rsidR="00906363">
        <w:rPr>
          <w:rFonts w:ascii="Times New Roman" w:hAnsi="Times New Roman"/>
          <w:sz w:val="20"/>
          <w:szCs w:val="20"/>
        </w:rPr>
        <w:t xml:space="preserve"> </w:t>
      </w:r>
      <w:r w:rsidRPr="00FD2EE3">
        <w:rPr>
          <w:rFonts w:ascii="Times New Roman" w:hAnsi="Times New Roman"/>
          <w:sz w:val="20"/>
          <w:szCs w:val="20"/>
        </w:rPr>
        <w:t xml:space="preserve">prepared by sol-gel route. </w:t>
      </w:r>
      <w:r w:rsidRPr="00FD2EE3">
        <w:rPr>
          <w:rFonts w:ascii="Times New Roman" w:hAnsi="Times New Roman"/>
          <w:i/>
          <w:iCs/>
          <w:sz w:val="20"/>
          <w:szCs w:val="20"/>
        </w:rPr>
        <w:t>Journal of Sol-Gel Science and Technology</w:t>
      </w:r>
      <w:r w:rsidRPr="00FD2EE3">
        <w:rPr>
          <w:rFonts w:ascii="Times New Roman" w:hAnsi="Times New Roman"/>
          <w:sz w:val="20"/>
          <w:szCs w:val="20"/>
        </w:rPr>
        <w:t xml:space="preserve">, </w:t>
      </w:r>
      <w:r w:rsidRPr="00FD2EE3">
        <w:rPr>
          <w:rFonts w:ascii="Times New Roman" w:hAnsi="Times New Roman"/>
          <w:iCs/>
          <w:sz w:val="20"/>
          <w:szCs w:val="20"/>
        </w:rPr>
        <w:t xml:space="preserve">41 </w:t>
      </w:r>
      <w:r w:rsidRPr="00FD2EE3">
        <w:rPr>
          <w:rFonts w:ascii="Times New Roman" w:hAnsi="Times New Roman"/>
          <w:sz w:val="20"/>
          <w:szCs w:val="20"/>
        </w:rPr>
        <w:t>(2): 129 – 137.</w:t>
      </w:r>
    </w:p>
    <w:p w:rsidR="00FD2EE3" w:rsidRPr="00FD2EE3" w:rsidRDefault="00FD2EE3" w:rsidP="00FD2EE3">
      <w:pPr>
        <w:pStyle w:val="ListParagraph"/>
        <w:widowControl w:val="0"/>
        <w:numPr>
          <w:ilvl w:val="0"/>
          <w:numId w:val="3"/>
        </w:numPr>
        <w:wordWrap w:val="0"/>
        <w:autoSpaceDE w:val="0"/>
        <w:autoSpaceDN w:val="0"/>
        <w:spacing w:after="0" w:line="240" w:lineRule="auto"/>
        <w:ind w:hanging="363"/>
        <w:contextualSpacing w:val="0"/>
        <w:jc w:val="both"/>
        <w:outlineLvl w:val="0"/>
        <w:rPr>
          <w:rFonts w:ascii="Times New Roman" w:hAnsi="Times New Roman"/>
          <w:sz w:val="20"/>
          <w:szCs w:val="20"/>
        </w:rPr>
      </w:pPr>
      <w:r w:rsidRPr="00FD2EE3">
        <w:rPr>
          <w:rFonts w:ascii="Times New Roman" w:hAnsi="Times New Roman"/>
          <w:noProof/>
          <w:sz w:val="20"/>
          <w:szCs w:val="20"/>
        </w:rPr>
        <w:t xml:space="preserve">Andrade, G. F., Soares, D. C. F., Almeida, R. K. D. S. and Sousa, E. M. B. (2012).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Mesoporous silica SBA-16 functionalized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with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alkoxysilane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groups: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preparation,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characterization, and release profile study. </w:t>
      </w:r>
      <w:r w:rsidRPr="00FD2EE3">
        <w:rPr>
          <w:rFonts w:ascii="Times New Roman" w:hAnsi="Times New Roman"/>
          <w:i/>
          <w:iCs/>
          <w:noProof/>
          <w:sz w:val="20"/>
          <w:szCs w:val="20"/>
        </w:rPr>
        <w:t>Journal of Nanomaterials</w:t>
      </w:r>
      <w:r w:rsidRPr="00FD2EE3">
        <w:rPr>
          <w:rFonts w:ascii="Times New Roman" w:hAnsi="Times New Roman"/>
          <w:noProof/>
          <w:sz w:val="20"/>
          <w:szCs w:val="20"/>
        </w:rPr>
        <w:t xml:space="preserve">, </w:t>
      </w:r>
      <w:r w:rsidRPr="00FD2EE3">
        <w:rPr>
          <w:rFonts w:ascii="Times New Roman" w:hAnsi="Times New Roman"/>
          <w:iCs/>
          <w:noProof/>
          <w:sz w:val="20"/>
          <w:szCs w:val="20"/>
        </w:rPr>
        <w:t>2012</w:t>
      </w:r>
      <w:r w:rsidRPr="00FD2EE3">
        <w:rPr>
          <w:rFonts w:ascii="Times New Roman" w:hAnsi="Times New Roman"/>
          <w:noProof/>
          <w:sz w:val="20"/>
          <w:szCs w:val="20"/>
        </w:rPr>
        <w:t>: 1 – 10.</w:t>
      </w:r>
    </w:p>
    <w:p w:rsidR="00FD2EE3" w:rsidRPr="00FD2EE3" w:rsidRDefault="00FD2EE3" w:rsidP="00FD2EE3">
      <w:pPr>
        <w:pStyle w:val="ListParagraph"/>
        <w:widowControl w:val="0"/>
        <w:numPr>
          <w:ilvl w:val="0"/>
          <w:numId w:val="3"/>
        </w:numPr>
        <w:wordWrap w:val="0"/>
        <w:autoSpaceDE w:val="0"/>
        <w:autoSpaceDN w:val="0"/>
        <w:spacing w:after="0" w:line="240" w:lineRule="auto"/>
        <w:ind w:hanging="363"/>
        <w:contextualSpacing w:val="0"/>
        <w:jc w:val="both"/>
        <w:outlineLvl w:val="0"/>
        <w:rPr>
          <w:rFonts w:ascii="Times New Roman" w:hAnsi="Times New Roman"/>
          <w:sz w:val="20"/>
          <w:szCs w:val="20"/>
        </w:rPr>
      </w:pPr>
      <w:r w:rsidRPr="00FD2EE3">
        <w:rPr>
          <w:rFonts w:ascii="Times New Roman" w:hAnsi="Times New Roman"/>
          <w:noProof/>
          <w:sz w:val="20"/>
          <w:szCs w:val="20"/>
        </w:rPr>
        <w:t xml:space="preserve">Nocuń, M., Siwulski, S., Leja, E. and Jedliński, J. (2005). Structural studies of TEOS-tetraethoxytitanate based hybrids. </w:t>
      </w:r>
      <w:r w:rsidRPr="00FD2EE3">
        <w:rPr>
          <w:rFonts w:ascii="Times New Roman" w:hAnsi="Times New Roman"/>
          <w:i/>
          <w:iCs/>
          <w:noProof/>
          <w:sz w:val="20"/>
          <w:szCs w:val="20"/>
        </w:rPr>
        <w:t>Optical Materials</w:t>
      </w:r>
      <w:r w:rsidRPr="00FD2EE3">
        <w:rPr>
          <w:rFonts w:ascii="Times New Roman" w:hAnsi="Times New Roman"/>
          <w:noProof/>
          <w:sz w:val="20"/>
          <w:szCs w:val="20"/>
        </w:rPr>
        <w:t xml:space="preserve">, </w:t>
      </w:r>
      <w:r w:rsidRPr="00FD2EE3">
        <w:rPr>
          <w:rFonts w:ascii="Times New Roman" w:hAnsi="Times New Roman"/>
          <w:iCs/>
          <w:noProof/>
          <w:sz w:val="20"/>
          <w:szCs w:val="20"/>
        </w:rPr>
        <w:t>27</w:t>
      </w:r>
      <w:r w:rsidRPr="00FD2EE3">
        <w:rPr>
          <w:rFonts w:ascii="Times New Roman" w:hAnsi="Times New Roman"/>
          <w:noProof/>
          <w:sz w:val="20"/>
          <w:szCs w:val="20"/>
        </w:rPr>
        <w:t>(9): 1523 – 1528.</w:t>
      </w:r>
    </w:p>
    <w:p w:rsidR="00FD2EE3" w:rsidRPr="00FD2EE3" w:rsidRDefault="00FD2EE3" w:rsidP="00FD2EE3">
      <w:pPr>
        <w:pStyle w:val="ListParagraph"/>
        <w:widowControl w:val="0"/>
        <w:numPr>
          <w:ilvl w:val="0"/>
          <w:numId w:val="3"/>
        </w:numPr>
        <w:wordWrap w:val="0"/>
        <w:autoSpaceDE w:val="0"/>
        <w:autoSpaceDN w:val="0"/>
        <w:spacing w:after="0" w:line="240" w:lineRule="auto"/>
        <w:ind w:hanging="363"/>
        <w:contextualSpacing w:val="0"/>
        <w:jc w:val="both"/>
        <w:outlineLvl w:val="0"/>
        <w:rPr>
          <w:rFonts w:ascii="Times New Roman" w:hAnsi="Times New Roman"/>
          <w:sz w:val="20"/>
          <w:szCs w:val="20"/>
        </w:rPr>
      </w:pPr>
      <w:r w:rsidRPr="00FD2EE3">
        <w:rPr>
          <w:rFonts w:ascii="Times New Roman" w:hAnsi="Times New Roman"/>
          <w:noProof/>
          <w:sz w:val="20"/>
          <w:szCs w:val="20"/>
          <w:lang w:val="es-ES"/>
        </w:rPr>
        <w:t xml:space="preserve">Thommes, M., </w:t>
      </w:r>
      <w:r w:rsidR="00906363">
        <w:rPr>
          <w:rFonts w:ascii="Times New Roman" w:hAnsi="Times New Roman"/>
          <w:noProof/>
          <w:sz w:val="20"/>
          <w:szCs w:val="20"/>
          <w:lang w:val="es-ES"/>
        </w:rPr>
        <w:t xml:space="preserve"> </w:t>
      </w:r>
      <w:r w:rsidRPr="00FD2EE3">
        <w:rPr>
          <w:rFonts w:ascii="Times New Roman" w:hAnsi="Times New Roman"/>
          <w:noProof/>
          <w:sz w:val="20"/>
          <w:szCs w:val="20"/>
          <w:lang w:val="es-ES"/>
        </w:rPr>
        <w:t xml:space="preserve">Kaneko, K., </w:t>
      </w:r>
      <w:r w:rsidR="00906363">
        <w:rPr>
          <w:rFonts w:ascii="Times New Roman" w:hAnsi="Times New Roman"/>
          <w:noProof/>
          <w:sz w:val="20"/>
          <w:szCs w:val="20"/>
          <w:lang w:val="es-ES"/>
        </w:rPr>
        <w:t xml:space="preserve"> </w:t>
      </w:r>
      <w:r w:rsidRPr="00FD2EE3">
        <w:rPr>
          <w:rFonts w:ascii="Times New Roman" w:hAnsi="Times New Roman"/>
          <w:noProof/>
          <w:sz w:val="20"/>
          <w:szCs w:val="20"/>
          <w:lang w:val="es-ES"/>
        </w:rPr>
        <w:t xml:space="preserve">Neimark, A. V., </w:t>
      </w:r>
      <w:r w:rsidR="00906363">
        <w:rPr>
          <w:rFonts w:ascii="Times New Roman" w:hAnsi="Times New Roman"/>
          <w:noProof/>
          <w:sz w:val="20"/>
          <w:szCs w:val="20"/>
          <w:lang w:val="es-ES"/>
        </w:rPr>
        <w:t xml:space="preserve"> </w:t>
      </w:r>
      <w:r w:rsidRPr="00FD2EE3">
        <w:rPr>
          <w:rFonts w:ascii="Times New Roman" w:hAnsi="Times New Roman"/>
          <w:noProof/>
          <w:sz w:val="20"/>
          <w:szCs w:val="20"/>
          <w:lang w:val="es-ES"/>
        </w:rPr>
        <w:t xml:space="preserve">Olivier, J. P., </w:t>
      </w:r>
      <w:r w:rsidR="00906363">
        <w:rPr>
          <w:rFonts w:ascii="Times New Roman" w:hAnsi="Times New Roman"/>
          <w:noProof/>
          <w:sz w:val="20"/>
          <w:szCs w:val="20"/>
          <w:lang w:val="es-ES"/>
        </w:rPr>
        <w:t xml:space="preserve"> </w:t>
      </w:r>
      <w:r w:rsidRPr="00FD2EE3">
        <w:rPr>
          <w:rFonts w:ascii="Times New Roman" w:hAnsi="Times New Roman"/>
          <w:noProof/>
          <w:sz w:val="20"/>
          <w:szCs w:val="20"/>
          <w:lang w:val="es-ES"/>
        </w:rPr>
        <w:t xml:space="preserve">Rodriguez-reinoso, F., </w:t>
      </w:r>
      <w:r w:rsidR="00906363">
        <w:rPr>
          <w:rFonts w:ascii="Times New Roman" w:hAnsi="Times New Roman"/>
          <w:noProof/>
          <w:sz w:val="20"/>
          <w:szCs w:val="20"/>
          <w:lang w:val="es-ES"/>
        </w:rPr>
        <w:t xml:space="preserve"> </w:t>
      </w:r>
      <w:r w:rsidRPr="00FD2EE3">
        <w:rPr>
          <w:rFonts w:ascii="Times New Roman" w:hAnsi="Times New Roman"/>
          <w:noProof/>
          <w:sz w:val="20"/>
          <w:szCs w:val="20"/>
          <w:lang w:val="es-ES"/>
        </w:rPr>
        <w:t xml:space="preserve">Rouquerol, J. </w:t>
      </w:r>
      <w:r w:rsidR="00906363">
        <w:rPr>
          <w:rFonts w:ascii="Times New Roman" w:hAnsi="Times New Roman"/>
          <w:noProof/>
          <w:sz w:val="20"/>
          <w:szCs w:val="20"/>
          <w:lang w:val="es-ES"/>
        </w:rPr>
        <w:t xml:space="preserve"> </w:t>
      </w:r>
      <w:r w:rsidRPr="00FD2EE3">
        <w:rPr>
          <w:rFonts w:ascii="Times New Roman" w:hAnsi="Times New Roman"/>
          <w:noProof/>
          <w:sz w:val="20"/>
          <w:szCs w:val="20"/>
          <w:lang w:val="es-ES"/>
        </w:rPr>
        <w:t xml:space="preserve">and Sing, K. S. W. (2015). </w:t>
      </w:r>
      <w:r w:rsidR="00906363">
        <w:rPr>
          <w:rFonts w:ascii="Times New Roman" w:hAnsi="Times New Roman"/>
          <w:noProof/>
          <w:sz w:val="20"/>
          <w:szCs w:val="20"/>
          <w:lang w:val="es-ES"/>
        </w:rPr>
        <w:t xml:space="preserve"> </w:t>
      </w:r>
      <w:r w:rsidRPr="00FD2EE3">
        <w:rPr>
          <w:rFonts w:ascii="Times New Roman" w:hAnsi="Times New Roman"/>
          <w:noProof/>
          <w:sz w:val="20"/>
          <w:szCs w:val="20"/>
        </w:rPr>
        <w:t xml:space="preserve">Physisorption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of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gases, </w:t>
      </w:r>
      <w:r w:rsidR="00906363">
        <w:rPr>
          <w:rFonts w:ascii="Times New Roman" w:hAnsi="Times New Roman"/>
          <w:noProof/>
          <w:sz w:val="20"/>
          <w:szCs w:val="20"/>
        </w:rPr>
        <w:t xml:space="preserve"> </w:t>
      </w:r>
      <w:r w:rsidRPr="00FD2EE3">
        <w:rPr>
          <w:rFonts w:ascii="Times New Roman" w:hAnsi="Times New Roman"/>
          <w:noProof/>
          <w:sz w:val="20"/>
          <w:szCs w:val="20"/>
        </w:rPr>
        <w:t>with</w:t>
      </w:r>
      <w:r w:rsidR="00906363">
        <w:rPr>
          <w:rFonts w:ascii="Times New Roman" w:hAnsi="Times New Roman"/>
          <w:noProof/>
          <w:sz w:val="20"/>
          <w:szCs w:val="20"/>
        </w:rPr>
        <w:t xml:space="preserve"> </w:t>
      </w:r>
      <w:r w:rsidRPr="00FD2EE3">
        <w:rPr>
          <w:rFonts w:ascii="Times New Roman" w:hAnsi="Times New Roman"/>
          <w:noProof/>
          <w:sz w:val="20"/>
          <w:szCs w:val="20"/>
        </w:rPr>
        <w:t xml:space="preserve"> special</w:t>
      </w:r>
      <w:r w:rsidR="00906363">
        <w:rPr>
          <w:rFonts w:ascii="Times New Roman" w:hAnsi="Times New Roman"/>
          <w:noProof/>
          <w:sz w:val="20"/>
          <w:szCs w:val="20"/>
        </w:rPr>
        <w:t xml:space="preserve"> </w:t>
      </w:r>
      <w:r w:rsidRPr="00FD2EE3">
        <w:rPr>
          <w:rFonts w:ascii="Times New Roman" w:hAnsi="Times New Roman"/>
          <w:noProof/>
          <w:sz w:val="20"/>
          <w:szCs w:val="20"/>
        </w:rPr>
        <w:t xml:space="preserve"> reference</w:t>
      </w:r>
      <w:r w:rsidR="00906363">
        <w:rPr>
          <w:rFonts w:ascii="Times New Roman" w:hAnsi="Times New Roman"/>
          <w:noProof/>
          <w:sz w:val="20"/>
          <w:szCs w:val="20"/>
        </w:rPr>
        <w:t xml:space="preserve"> </w:t>
      </w:r>
      <w:r w:rsidRPr="00FD2EE3">
        <w:rPr>
          <w:rFonts w:ascii="Times New Roman" w:hAnsi="Times New Roman"/>
          <w:noProof/>
          <w:sz w:val="20"/>
          <w:szCs w:val="20"/>
        </w:rPr>
        <w:t xml:space="preserve"> to the evaluation of surface area and pore size distribution (IUPAC Technical Report), </w:t>
      </w:r>
      <w:r w:rsidRPr="00FD2EE3">
        <w:rPr>
          <w:rFonts w:ascii="Times New Roman" w:hAnsi="Times New Roman"/>
          <w:i/>
          <w:noProof/>
          <w:sz w:val="20"/>
          <w:szCs w:val="20"/>
        </w:rPr>
        <w:t>Pure and Applied Chemistry,</w:t>
      </w:r>
      <w:r w:rsidRPr="00FD2EE3">
        <w:rPr>
          <w:rFonts w:ascii="Times New Roman" w:hAnsi="Times New Roman"/>
          <w:noProof/>
          <w:sz w:val="20"/>
          <w:szCs w:val="20"/>
        </w:rPr>
        <w:t xml:space="preserve"> </w:t>
      </w:r>
      <w:r w:rsidRPr="00FD2EE3">
        <w:rPr>
          <w:rFonts w:ascii="Times New Roman" w:hAnsi="Times New Roman"/>
          <w:iCs/>
          <w:noProof/>
          <w:sz w:val="20"/>
          <w:szCs w:val="20"/>
        </w:rPr>
        <w:t>87(9-10)</w:t>
      </w:r>
      <w:r w:rsidRPr="00FD2EE3">
        <w:rPr>
          <w:rFonts w:ascii="Times New Roman" w:hAnsi="Times New Roman"/>
          <w:noProof/>
          <w:sz w:val="20"/>
          <w:szCs w:val="20"/>
        </w:rPr>
        <w:t xml:space="preserve">: 1051 – 1069. </w:t>
      </w:r>
    </w:p>
    <w:p w:rsidR="00FD2EE3" w:rsidRPr="00FD2EE3" w:rsidRDefault="00FD2EE3" w:rsidP="00FD2EE3">
      <w:pPr>
        <w:pStyle w:val="ListParagraph"/>
        <w:widowControl w:val="0"/>
        <w:numPr>
          <w:ilvl w:val="0"/>
          <w:numId w:val="3"/>
        </w:numPr>
        <w:wordWrap w:val="0"/>
        <w:autoSpaceDE w:val="0"/>
        <w:autoSpaceDN w:val="0"/>
        <w:spacing w:after="0" w:line="240" w:lineRule="auto"/>
        <w:ind w:hanging="363"/>
        <w:contextualSpacing w:val="0"/>
        <w:jc w:val="both"/>
        <w:outlineLvl w:val="0"/>
        <w:rPr>
          <w:rFonts w:ascii="Times New Roman" w:hAnsi="Times New Roman"/>
          <w:sz w:val="20"/>
          <w:szCs w:val="20"/>
        </w:rPr>
      </w:pPr>
      <w:r w:rsidRPr="00FD2EE3">
        <w:rPr>
          <w:rFonts w:ascii="Times New Roman" w:hAnsi="Times New Roman"/>
          <w:noProof/>
          <w:sz w:val="20"/>
          <w:szCs w:val="20"/>
        </w:rPr>
        <w:t xml:space="preserve">Zheng, M. M., Ruan, G. D. and Feng, Y. Q. (2009). Hybrid organic-inorganic silica monolith with hydrophobic/strong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cation-exchange functional groups as a sorbent for micro-solid phase extraction. </w:t>
      </w:r>
      <w:r w:rsidRPr="00FD2EE3">
        <w:rPr>
          <w:rFonts w:ascii="Times New Roman" w:hAnsi="Times New Roman"/>
          <w:i/>
          <w:iCs/>
          <w:noProof/>
          <w:sz w:val="20"/>
          <w:szCs w:val="20"/>
        </w:rPr>
        <w:t>Journal of Chromato</w:t>
      </w:r>
      <w:r w:rsidR="00906363">
        <w:rPr>
          <w:rFonts w:ascii="Times New Roman" w:hAnsi="Times New Roman"/>
          <w:i/>
          <w:iCs/>
          <w:noProof/>
          <w:sz w:val="20"/>
          <w:szCs w:val="20"/>
        </w:rPr>
        <w:t>-</w:t>
      </w:r>
      <w:r w:rsidRPr="00FD2EE3">
        <w:rPr>
          <w:rFonts w:ascii="Times New Roman" w:hAnsi="Times New Roman"/>
          <w:i/>
          <w:iCs/>
          <w:noProof/>
          <w:sz w:val="20"/>
          <w:szCs w:val="20"/>
        </w:rPr>
        <w:t>graphy A</w:t>
      </w:r>
      <w:r w:rsidRPr="00FD2EE3">
        <w:rPr>
          <w:rFonts w:ascii="Times New Roman" w:hAnsi="Times New Roman"/>
          <w:noProof/>
          <w:sz w:val="20"/>
          <w:szCs w:val="20"/>
        </w:rPr>
        <w:t xml:space="preserve">, </w:t>
      </w:r>
      <w:r w:rsidRPr="00FD2EE3">
        <w:rPr>
          <w:rFonts w:ascii="Times New Roman" w:hAnsi="Times New Roman"/>
          <w:iCs/>
          <w:noProof/>
          <w:sz w:val="20"/>
          <w:szCs w:val="20"/>
        </w:rPr>
        <w:t>1216</w:t>
      </w:r>
      <w:r w:rsidRPr="00FD2EE3">
        <w:rPr>
          <w:rFonts w:ascii="Times New Roman" w:hAnsi="Times New Roman"/>
          <w:noProof/>
          <w:sz w:val="20"/>
          <w:szCs w:val="20"/>
        </w:rPr>
        <w:t>(45): 7739 – 7746.</w:t>
      </w:r>
    </w:p>
    <w:p w:rsidR="00FD2EE3" w:rsidRDefault="00FD2EE3" w:rsidP="00FD2EE3">
      <w:pPr>
        <w:pStyle w:val="ListParagraph"/>
        <w:widowControl w:val="0"/>
        <w:numPr>
          <w:ilvl w:val="0"/>
          <w:numId w:val="3"/>
        </w:numPr>
        <w:wordWrap w:val="0"/>
        <w:autoSpaceDE w:val="0"/>
        <w:autoSpaceDN w:val="0"/>
        <w:spacing w:after="0" w:line="240" w:lineRule="auto"/>
        <w:ind w:hanging="363"/>
        <w:contextualSpacing w:val="0"/>
        <w:jc w:val="both"/>
        <w:outlineLvl w:val="0"/>
        <w:rPr>
          <w:rFonts w:ascii="Times New Roman" w:hAnsi="Times New Roman"/>
          <w:sz w:val="20"/>
          <w:szCs w:val="20"/>
        </w:rPr>
      </w:pPr>
      <w:r w:rsidRPr="00FD2EE3">
        <w:rPr>
          <w:rFonts w:ascii="Times New Roman" w:hAnsi="Times New Roman"/>
          <w:noProof/>
          <w:sz w:val="20"/>
          <w:szCs w:val="20"/>
        </w:rPr>
        <w:t xml:space="preserve">Thejaswini,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T. V. L.,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Prabhakaran, D.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and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Maheswari,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M. A. (2017).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Structurally </w:t>
      </w:r>
      <w:r w:rsidR="00906363">
        <w:rPr>
          <w:rFonts w:ascii="Times New Roman" w:hAnsi="Times New Roman"/>
          <w:noProof/>
          <w:sz w:val="20"/>
          <w:szCs w:val="20"/>
        </w:rPr>
        <w:t xml:space="preserve"> </w:t>
      </w:r>
      <w:r w:rsidRPr="00FD2EE3">
        <w:rPr>
          <w:rFonts w:ascii="Times New Roman" w:hAnsi="Times New Roman"/>
          <w:noProof/>
          <w:sz w:val="20"/>
          <w:szCs w:val="20"/>
        </w:rPr>
        <w:t xml:space="preserve">engineered </w:t>
      </w:r>
      <w:r w:rsidR="00906363">
        <w:rPr>
          <w:rFonts w:ascii="Times New Roman" w:hAnsi="Times New Roman"/>
          <w:noProof/>
          <w:sz w:val="20"/>
          <w:szCs w:val="20"/>
        </w:rPr>
        <w:t xml:space="preserve"> </w:t>
      </w:r>
      <w:r w:rsidRPr="00FD2EE3">
        <w:rPr>
          <w:rFonts w:ascii="Times New Roman" w:hAnsi="Times New Roman"/>
          <w:noProof/>
          <w:sz w:val="20"/>
          <w:szCs w:val="20"/>
        </w:rPr>
        <w:t>TiO</w:t>
      </w:r>
      <w:r w:rsidRPr="00FD2EE3">
        <w:rPr>
          <w:rFonts w:ascii="Times New Roman" w:hAnsi="Times New Roman"/>
          <w:noProof/>
          <w:sz w:val="20"/>
          <w:szCs w:val="20"/>
          <w:vertAlign w:val="subscript"/>
        </w:rPr>
        <w:t>2</w:t>
      </w:r>
      <w:r w:rsidRPr="00FD2EE3">
        <w:rPr>
          <w:rFonts w:ascii="Times New Roman" w:hAnsi="Times New Roman"/>
          <w:noProof/>
          <w:sz w:val="20"/>
          <w:szCs w:val="20"/>
        </w:rPr>
        <w:t>–SiO</w:t>
      </w:r>
      <w:r w:rsidRPr="00FD2EE3">
        <w:rPr>
          <w:rFonts w:ascii="Times New Roman" w:hAnsi="Times New Roman"/>
          <w:noProof/>
          <w:sz w:val="20"/>
          <w:szCs w:val="20"/>
          <w:vertAlign w:val="subscript"/>
        </w:rPr>
        <w:t>2</w:t>
      </w:r>
      <w:r w:rsidRPr="00FD2EE3">
        <w:rPr>
          <w:rFonts w:ascii="Times New Roman" w:hAnsi="Times New Roman"/>
          <w:noProof/>
          <w:sz w:val="20"/>
          <w:szCs w:val="20"/>
        </w:rPr>
        <w:t xml:space="preserve"> monolithic designs for the enhanced photocatalytic degradation of organic textile dye pollutants. </w:t>
      </w:r>
      <w:r w:rsidRPr="00FD2EE3">
        <w:rPr>
          <w:rFonts w:ascii="Times New Roman" w:hAnsi="Times New Roman"/>
          <w:i/>
          <w:noProof/>
          <w:sz w:val="20"/>
          <w:szCs w:val="20"/>
          <w:lang w:val="en-MY"/>
        </w:rPr>
        <w:t>Functional Materials Letters</w:t>
      </w:r>
      <w:r w:rsidRPr="00FD2EE3">
        <w:rPr>
          <w:rFonts w:ascii="Times New Roman" w:hAnsi="Times New Roman"/>
          <w:noProof/>
          <w:sz w:val="20"/>
          <w:szCs w:val="20"/>
          <w:lang w:val="en-MY"/>
        </w:rPr>
        <w:t>,</w:t>
      </w:r>
      <w:r w:rsidRPr="00FD2EE3">
        <w:rPr>
          <w:rFonts w:ascii="Times New Roman" w:hAnsi="Times New Roman"/>
          <w:noProof/>
          <w:sz w:val="20"/>
          <w:szCs w:val="20"/>
        </w:rPr>
        <w:t xml:space="preserve"> </w:t>
      </w:r>
      <w:r w:rsidRPr="00FD2EE3">
        <w:rPr>
          <w:rFonts w:ascii="Times New Roman" w:hAnsi="Times New Roman"/>
          <w:iCs/>
          <w:noProof/>
          <w:sz w:val="20"/>
          <w:szCs w:val="20"/>
        </w:rPr>
        <w:t>10</w:t>
      </w:r>
      <w:r w:rsidRPr="00FD2EE3">
        <w:rPr>
          <w:rFonts w:ascii="Times New Roman" w:hAnsi="Times New Roman"/>
          <w:noProof/>
          <w:sz w:val="20"/>
          <w:szCs w:val="20"/>
        </w:rPr>
        <w:t xml:space="preserve">(2): 2 – 5. </w:t>
      </w:r>
    </w:p>
    <w:p w:rsidR="00AB17C9" w:rsidRPr="00AB17C9" w:rsidRDefault="00AB17C9" w:rsidP="00AB17C9">
      <w:pPr>
        <w:pStyle w:val="ListParagraph"/>
        <w:numPr>
          <w:ilvl w:val="0"/>
          <w:numId w:val="3"/>
        </w:numPr>
        <w:autoSpaceDE w:val="0"/>
        <w:autoSpaceDN w:val="0"/>
        <w:adjustRightInd w:val="0"/>
        <w:spacing w:after="0" w:line="240" w:lineRule="auto"/>
        <w:jc w:val="both"/>
        <w:rPr>
          <w:rFonts w:ascii="Times New Roman" w:eastAsia="Calibri" w:hAnsi="Times New Roman"/>
          <w:sz w:val="20"/>
          <w:szCs w:val="20"/>
          <w:lang w:bidi="ar-SA"/>
        </w:rPr>
      </w:pPr>
      <w:r w:rsidRPr="00AB17C9">
        <w:rPr>
          <w:rFonts w:ascii="Times New Roman" w:eastAsia="Calibri" w:hAnsi="Times New Roman"/>
          <w:color w:val="000000"/>
          <w:sz w:val="20"/>
          <w:szCs w:val="20"/>
          <w:lang w:bidi="ar-SA"/>
        </w:rPr>
        <w:t xml:space="preserve">Ahmad, A., Razali, M.H., Kassim, K. and Mat Amin, K.A. (2017). </w:t>
      </w:r>
      <w:r>
        <w:rPr>
          <w:rFonts w:ascii="Times New Roman" w:eastAsia="Calibri" w:hAnsi="Times New Roman"/>
          <w:color w:val="000000"/>
          <w:sz w:val="20"/>
          <w:szCs w:val="20"/>
          <w:lang w:bidi="ar-SA"/>
        </w:rPr>
        <w:t xml:space="preserve"> </w:t>
      </w:r>
      <w:r w:rsidRPr="00AB17C9">
        <w:rPr>
          <w:rFonts w:ascii="Times New Roman" w:eastAsia="Calibri" w:hAnsi="Times New Roman"/>
          <w:color w:val="000000"/>
          <w:sz w:val="20"/>
          <w:szCs w:val="20"/>
          <w:lang w:bidi="ar-SA"/>
        </w:rPr>
        <w:t xml:space="preserve">Synthesis of multiwalled carbon nanotubes supported on M/MCM-41 (M = Ni, Co and Fe) </w:t>
      </w:r>
      <w:r>
        <w:rPr>
          <w:rFonts w:ascii="Times New Roman" w:eastAsia="Calibri" w:hAnsi="Times New Roman"/>
          <w:color w:val="000000"/>
          <w:sz w:val="20"/>
          <w:szCs w:val="20"/>
          <w:lang w:bidi="ar-SA"/>
        </w:rPr>
        <w:t xml:space="preserve"> </w:t>
      </w:r>
      <w:r w:rsidRPr="00AB17C9">
        <w:rPr>
          <w:rFonts w:ascii="Times New Roman" w:eastAsia="Calibri" w:hAnsi="Times New Roman"/>
          <w:color w:val="000000"/>
          <w:sz w:val="20"/>
          <w:szCs w:val="20"/>
          <w:lang w:bidi="ar-SA"/>
        </w:rPr>
        <w:t xml:space="preserve">mesoporous </w:t>
      </w:r>
      <w:r>
        <w:rPr>
          <w:rFonts w:ascii="Times New Roman" w:eastAsia="Calibri" w:hAnsi="Times New Roman"/>
          <w:color w:val="000000"/>
          <w:sz w:val="20"/>
          <w:szCs w:val="20"/>
          <w:lang w:bidi="ar-SA"/>
        </w:rPr>
        <w:t xml:space="preserve"> </w:t>
      </w:r>
      <w:r w:rsidRPr="00AB17C9">
        <w:rPr>
          <w:rFonts w:ascii="Times New Roman" w:eastAsia="Calibri" w:hAnsi="Times New Roman"/>
          <w:color w:val="000000"/>
          <w:sz w:val="20"/>
          <w:szCs w:val="20"/>
          <w:lang w:bidi="ar-SA"/>
        </w:rPr>
        <w:t xml:space="preserve">catalyst </w:t>
      </w:r>
      <w:r>
        <w:rPr>
          <w:rFonts w:ascii="Times New Roman" w:eastAsia="Calibri" w:hAnsi="Times New Roman"/>
          <w:color w:val="000000"/>
          <w:sz w:val="20"/>
          <w:szCs w:val="20"/>
          <w:lang w:bidi="ar-SA"/>
        </w:rPr>
        <w:t xml:space="preserve"> </w:t>
      </w:r>
      <w:r w:rsidRPr="00AB17C9">
        <w:rPr>
          <w:rFonts w:ascii="Times New Roman" w:eastAsia="Calibri" w:hAnsi="Times New Roman"/>
          <w:color w:val="000000"/>
          <w:sz w:val="20"/>
          <w:szCs w:val="20"/>
          <w:lang w:bidi="ar-SA"/>
        </w:rPr>
        <w:t>by che</w:t>
      </w:r>
      <w:r>
        <w:rPr>
          <w:rFonts w:ascii="Times New Roman" w:eastAsia="Calibri" w:hAnsi="Times New Roman"/>
          <w:color w:val="000000"/>
          <w:sz w:val="20"/>
          <w:szCs w:val="20"/>
          <w:lang w:bidi="ar-SA"/>
        </w:rPr>
        <w:t xml:space="preserve">mical vapour deposition method. </w:t>
      </w:r>
      <w:r w:rsidRPr="00AB17C9">
        <w:rPr>
          <w:rFonts w:ascii="Times New Roman" w:eastAsia="Calibri" w:hAnsi="Times New Roman"/>
          <w:i/>
          <w:color w:val="000000"/>
          <w:sz w:val="20"/>
          <w:szCs w:val="20"/>
          <w:lang w:bidi="ar-SA"/>
        </w:rPr>
        <w:t>Journal of Porous Materials</w:t>
      </w:r>
      <w:r>
        <w:rPr>
          <w:rFonts w:ascii="Times New Roman" w:eastAsia="Calibri" w:hAnsi="Times New Roman"/>
          <w:color w:val="000000"/>
          <w:sz w:val="20"/>
          <w:szCs w:val="20"/>
          <w:lang w:bidi="ar-SA"/>
        </w:rPr>
        <w:t>,</w:t>
      </w:r>
      <w:bookmarkStart w:id="0" w:name="_GoBack"/>
      <w:bookmarkEnd w:id="0"/>
      <w:r w:rsidRPr="00AB17C9">
        <w:rPr>
          <w:rFonts w:ascii="Times New Roman" w:eastAsia="Calibri" w:hAnsi="Times New Roman"/>
          <w:color w:val="000000"/>
          <w:sz w:val="20"/>
          <w:szCs w:val="20"/>
          <w:lang w:bidi="ar-SA"/>
        </w:rPr>
        <w:t xml:space="preserve"> 1-9.</w:t>
      </w:r>
    </w:p>
    <w:p w:rsidR="00AB17C9" w:rsidRPr="00FD2EE3" w:rsidRDefault="00AB17C9" w:rsidP="00AB17C9">
      <w:pPr>
        <w:pStyle w:val="ListParagraph"/>
        <w:widowControl w:val="0"/>
        <w:wordWrap w:val="0"/>
        <w:autoSpaceDE w:val="0"/>
        <w:autoSpaceDN w:val="0"/>
        <w:spacing w:after="0" w:line="240" w:lineRule="auto"/>
        <w:ind w:left="360"/>
        <w:contextualSpacing w:val="0"/>
        <w:jc w:val="both"/>
        <w:outlineLvl w:val="0"/>
        <w:rPr>
          <w:rFonts w:ascii="Times New Roman" w:hAnsi="Times New Roman"/>
          <w:sz w:val="20"/>
          <w:szCs w:val="20"/>
        </w:rPr>
      </w:pPr>
    </w:p>
    <w:p w:rsidR="00FD2EE3" w:rsidRPr="00FD2EE3" w:rsidRDefault="00FD2EE3" w:rsidP="00FD2EE3">
      <w:pPr>
        <w:pStyle w:val="ListParagraph"/>
        <w:widowControl w:val="0"/>
        <w:wordWrap w:val="0"/>
        <w:autoSpaceDE w:val="0"/>
        <w:autoSpaceDN w:val="0"/>
        <w:spacing w:after="0" w:line="240" w:lineRule="auto"/>
        <w:ind w:left="360" w:hanging="363"/>
        <w:contextualSpacing w:val="0"/>
        <w:jc w:val="both"/>
        <w:outlineLvl w:val="0"/>
        <w:rPr>
          <w:rFonts w:ascii="Times New Roman" w:hAnsi="Times New Roman"/>
          <w:sz w:val="20"/>
          <w:szCs w:val="20"/>
        </w:rPr>
      </w:pPr>
    </w:p>
    <w:sectPr w:rsidR="00FD2EE3" w:rsidRPr="00FD2EE3" w:rsidSect="00CA0347">
      <w:headerReference w:type="even" r:id="rId19"/>
      <w:headerReference w:type="default" r:id="rId20"/>
      <w:footerReference w:type="even" r:id="rId21"/>
      <w:footerReference w:type="default" r:id="rId22"/>
      <w:pgSz w:w="12240" w:h="15840" w:code="1"/>
      <w:pgMar w:top="1800" w:right="1469" w:bottom="1699" w:left="1440" w:header="706" w:footer="706" w:gutter="0"/>
      <w:pgNumType w:start="1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4D17AD">
      <w:rPr>
        <w:rFonts w:ascii="Times New Roman" w:hAnsi="Times New Roman"/>
        <w:noProof/>
      </w:rPr>
      <w:t>26</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4D17AD">
      <w:rPr>
        <w:rFonts w:ascii="Times New Roman" w:hAnsi="Times New Roman"/>
        <w:noProof/>
      </w:rPr>
      <w:t>25</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2D9" w:rsidRPr="006612D9" w:rsidRDefault="006612D9" w:rsidP="006612D9">
    <w:pPr>
      <w:spacing w:after="0" w:line="240" w:lineRule="auto"/>
      <w:ind w:left="1800" w:hanging="1800"/>
      <w:outlineLvl w:val="0"/>
      <w:rPr>
        <w:rFonts w:ascii="Times New Roman" w:hAnsi="Times New Roman"/>
        <w:sz w:val="20"/>
        <w:szCs w:val="20"/>
      </w:rPr>
    </w:pPr>
    <w:r>
      <w:rPr>
        <w:rFonts w:ascii="Times New Roman" w:hAnsi="Times New Roman"/>
        <w:sz w:val="20"/>
        <w:szCs w:val="20"/>
      </w:rPr>
      <w:t>Noor Hidayah et al</w:t>
    </w:r>
    <w:r w:rsidR="006B72B0" w:rsidRPr="006612D9">
      <w:rPr>
        <w:rFonts w:ascii="Times New Roman" w:hAnsi="Times New Roman"/>
        <w:sz w:val="20"/>
        <w:szCs w:val="20"/>
      </w:rPr>
      <w:t xml:space="preserve">: </w:t>
    </w:r>
    <w:r w:rsidR="00070F31" w:rsidRPr="006612D9">
      <w:rPr>
        <w:rFonts w:ascii="Times New Roman" w:hAnsi="Times New Roman"/>
        <w:sz w:val="20"/>
        <w:szCs w:val="20"/>
      </w:rPr>
      <w:t xml:space="preserve"> </w:t>
    </w:r>
    <w:r w:rsidRPr="006612D9">
      <w:rPr>
        <w:rFonts w:ascii="Times New Roman" w:hAnsi="Times New Roman"/>
        <w:sz w:val="20"/>
        <w:szCs w:val="20"/>
      </w:rPr>
      <w:t xml:space="preserve"> </w:t>
    </w:r>
    <w:r>
      <w:rPr>
        <w:rFonts w:ascii="Times New Roman" w:hAnsi="Times New Roman"/>
        <w:sz w:val="20"/>
        <w:szCs w:val="20"/>
      </w:rPr>
      <w:tab/>
    </w:r>
    <w:r w:rsidRPr="006612D9">
      <w:rPr>
        <w:rFonts w:ascii="Times New Roman" w:hAnsi="Times New Roman"/>
        <w:sz w:val="20"/>
        <w:szCs w:val="20"/>
      </w:rPr>
      <w:t>SYNTHESIS AND CHARACTERIZATION OF MESOPOROUS POLYMER-SILICA HYBRID MONOLITH USING CONVENTIONAL SOL-GEL METHOD FOR ENZYME SUPPORT</w:t>
    </w:r>
  </w:p>
  <w:p w:rsidR="00A14DB9" w:rsidRPr="00070F31" w:rsidRDefault="00A14DB9" w:rsidP="006612D9">
    <w:pPr>
      <w:autoSpaceDE w:val="0"/>
      <w:autoSpaceDN w:val="0"/>
      <w:adjustRightInd w:val="0"/>
      <w:spacing w:after="0" w:line="240" w:lineRule="auto"/>
      <w:ind w:left="1800" w:hanging="1800"/>
      <w:rPr>
        <w:rFonts w:ascii="Times New Roman" w:hAnsi="Times New Roman"/>
        <w:color w:val="000000" w:themeColor="text1"/>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w:t>
    </w:r>
    <w:r w:rsidR="0047088F">
      <w:rPr>
        <w:rFonts w:ascii="Times New Roman" w:hAnsi="Times New Roman"/>
        <w:i/>
        <w:lang w:val="en-US"/>
      </w:rPr>
      <w:t>2</w:t>
    </w:r>
    <w:r>
      <w:rPr>
        <w:rFonts w:ascii="Times New Roman" w:hAnsi="Times New Roman"/>
        <w:i/>
      </w:rPr>
      <w:t xml:space="preserve"> </w:t>
    </w:r>
    <w:r w:rsidR="0047088F">
      <w:rPr>
        <w:rFonts w:ascii="Times New Roman" w:hAnsi="Times New Roman"/>
        <w:i/>
        <w:lang w:val="en-US"/>
      </w:rPr>
      <w:t>No 1</w:t>
    </w:r>
    <w:r>
      <w:rPr>
        <w:rFonts w:ascii="Times New Roman" w:hAnsi="Times New Roman"/>
        <w:i/>
      </w:rPr>
      <w:t xml:space="preserve"> (201</w:t>
    </w:r>
    <w:r w:rsidR="0047088F">
      <w:rPr>
        <w:rFonts w:ascii="Times New Roman" w:hAnsi="Times New Roman"/>
        <w:i/>
        <w:lang w:val="en-US"/>
      </w:rPr>
      <w:t>8</w:t>
    </w:r>
    <w:r w:rsidRPr="00D75B35">
      <w:rPr>
        <w:rFonts w:ascii="Times New Roman" w:hAnsi="Times New Roman"/>
        <w:i/>
      </w:rPr>
      <w:t xml:space="preserve">): </w:t>
    </w:r>
    <w:r w:rsidR="002E762D">
      <w:rPr>
        <w:rFonts w:ascii="Times New Roman" w:hAnsi="Times New Roman"/>
        <w:i/>
        <w:lang w:val="en-US"/>
      </w:rPr>
      <w:t>17</w:t>
    </w:r>
    <w:r>
      <w:rPr>
        <w:rFonts w:ascii="Times New Roman" w:hAnsi="Times New Roman"/>
        <w:i/>
        <w:lang w:val="en-US"/>
      </w:rPr>
      <w:t xml:space="preserve"> </w:t>
    </w:r>
    <w:r w:rsidR="007A0583">
      <w:rPr>
        <w:rFonts w:ascii="Times New Roman" w:hAnsi="Times New Roman"/>
        <w:i/>
        <w:lang w:val="en-US"/>
      </w:rPr>
      <w:t>-</w:t>
    </w:r>
    <w:r w:rsidR="002E762D">
      <w:rPr>
        <w:rFonts w:ascii="Times New Roman" w:hAnsi="Times New Roman"/>
        <w:i/>
        <w:lang w:val="en-US"/>
      </w:rPr>
      <w:t xml:space="preserve"> 26</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47088F">
      <w:rPr>
        <w:rFonts w:ascii="Times New Roman" w:hAnsi="Times New Roman"/>
        <w:i/>
        <w:lang w:val="en-US"/>
      </w:rPr>
      <w:t>doi.org/10.17576/mjas-2018-22</w:t>
    </w:r>
    <w:r w:rsidR="00B91DE7">
      <w:rPr>
        <w:rFonts w:ascii="Times New Roman" w:hAnsi="Times New Roman"/>
        <w:i/>
        <w:lang w:val="en-US"/>
      </w:rPr>
      <w:t>0</w:t>
    </w:r>
    <w:r w:rsidR="0047088F">
      <w:rPr>
        <w:rFonts w:ascii="Times New Roman" w:hAnsi="Times New Roman"/>
        <w:i/>
        <w:lang w:val="en-US"/>
      </w:rPr>
      <w:t>1</w:t>
    </w:r>
    <w:r w:rsidR="002E762D">
      <w:rPr>
        <w:rFonts w:ascii="Times New Roman" w:hAnsi="Times New Roman"/>
        <w:i/>
        <w:lang w:val="en-US"/>
      </w:rPr>
      <w:t>-03</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E24D8"/>
    <w:multiLevelType w:val="multilevel"/>
    <w:tmpl w:val="70FC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902418"/>
    <w:multiLevelType w:val="hybridMultilevel"/>
    <w:tmpl w:val="C1C64BE2"/>
    <w:lvl w:ilvl="0" w:tplc="8B84E502">
      <w:start w:val="1"/>
      <w:numFmt w:val="bullet"/>
      <w:lvlText w:val="•"/>
      <w:lvlJc w:val="left"/>
      <w:pPr>
        <w:tabs>
          <w:tab w:val="num" w:pos="720"/>
        </w:tabs>
        <w:ind w:left="720" w:hanging="360"/>
      </w:pPr>
      <w:rPr>
        <w:rFonts w:ascii="Arial" w:hAnsi="Arial" w:hint="default"/>
      </w:rPr>
    </w:lvl>
    <w:lvl w:ilvl="1" w:tplc="0464ACB4" w:tentative="1">
      <w:start w:val="1"/>
      <w:numFmt w:val="bullet"/>
      <w:lvlText w:val="•"/>
      <w:lvlJc w:val="left"/>
      <w:pPr>
        <w:tabs>
          <w:tab w:val="num" w:pos="1440"/>
        </w:tabs>
        <w:ind w:left="1440" w:hanging="360"/>
      </w:pPr>
      <w:rPr>
        <w:rFonts w:ascii="Arial" w:hAnsi="Arial" w:hint="default"/>
      </w:rPr>
    </w:lvl>
    <w:lvl w:ilvl="2" w:tplc="1F3246BA" w:tentative="1">
      <w:start w:val="1"/>
      <w:numFmt w:val="bullet"/>
      <w:lvlText w:val="•"/>
      <w:lvlJc w:val="left"/>
      <w:pPr>
        <w:tabs>
          <w:tab w:val="num" w:pos="2160"/>
        </w:tabs>
        <w:ind w:left="2160" w:hanging="360"/>
      </w:pPr>
      <w:rPr>
        <w:rFonts w:ascii="Arial" w:hAnsi="Arial" w:hint="default"/>
      </w:rPr>
    </w:lvl>
    <w:lvl w:ilvl="3" w:tplc="ADD41C50" w:tentative="1">
      <w:start w:val="1"/>
      <w:numFmt w:val="bullet"/>
      <w:lvlText w:val="•"/>
      <w:lvlJc w:val="left"/>
      <w:pPr>
        <w:tabs>
          <w:tab w:val="num" w:pos="2880"/>
        </w:tabs>
        <w:ind w:left="2880" w:hanging="360"/>
      </w:pPr>
      <w:rPr>
        <w:rFonts w:ascii="Arial" w:hAnsi="Arial" w:hint="default"/>
      </w:rPr>
    </w:lvl>
    <w:lvl w:ilvl="4" w:tplc="AD424444" w:tentative="1">
      <w:start w:val="1"/>
      <w:numFmt w:val="bullet"/>
      <w:lvlText w:val="•"/>
      <w:lvlJc w:val="left"/>
      <w:pPr>
        <w:tabs>
          <w:tab w:val="num" w:pos="3600"/>
        </w:tabs>
        <w:ind w:left="3600" w:hanging="360"/>
      </w:pPr>
      <w:rPr>
        <w:rFonts w:ascii="Arial" w:hAnsi="Arial" w:hint="default"/>
      </w:rPr>
    </w:lvl>
    <w:lvl w:ilvl="5" w:tplc="668A516C" w:tentative="1">
      <w:start w:val="1"/>
      <w:numFmt w:val="bullet"/>
      <w:lvlText w:val="•"/>
      <w:lvlJc w:val="left"/>
      <w:pPr>
        <w:tabs>
          <w:tab w:val="num" w:pos="4320"/>
        </w:tabs>
        <w:ind w:left="4320" w:hanging="360"/>
      </w:pPr>
      <w:rPr>
        <w:rFonts w:ascii="Arial" w:hAnsi="Arial" w:hint="default"/>
      </w:rPr>
    </w:lvl>
    <w:lvl w:ilvl="6" w:tplc="05F60EA0" w:tentative="1">
      <w:start w:val="1"/>
      <w:numFmt w:val="bullet"/>
      <w:lvlText w:val="•"/>
      <w:lvlJc w:val="left"/>
      <w:pPr>
        <w:tabs>
          <w:tab w:val="num" w:pos="5040"/>
        </w:tabs>
        <w:ind w:left="5040" w:hanging="360"/>
      </w:pPr>
      <w:rPr>
        <w:rFonts w:ascii="Arial" w:hAnsi="Arial" w:hint="default"/>
      </w:rPr>
    </w:lvl>
    <w:lvl w:ilvl="7" w:tplc="95D0BA6A" w:tentative="1">
      <w:start w:val="1"/>
      <w:numFmt w:val="bullet"/>
      <w:lvlText w:val="•"/>
      <w:lvlJc w:val="left"/>
      <w:pPr>
        <w:tabs>
          <w:tab w:val="num" w:pos="5760"/>
        </w:tabs>
        <w:ind w:left="5760" w:hanging="360"/>
      </w:pPr>
      <w:rPr>
        <w:rFonts w:ascii="Arial" w:hAnsi="Arial" w:hint="default"/>
      </w:rPr>
    </w:lvl>
    <w:lvl w:ilvl="8" w:tplc="094CEBCE" w:tentative="1">
      <w:start w:val="1"/>
      <w:numFmt w:val="bullet"/>
      <w:lvlText w:val="•"/>
      <w:lvlJc w:val="left"/>
      <w:pPr>
        <w:tabs>
          <w:tab w:val="num" w:pos="6480"/>
        </w:tabs>
        <w:ind w:left="6480" w:hanging="360"/>
      </w:pPr>
      <w:rPr>
        <w:rFonts w:ascii="Arial" w:hAnsi="Arial" w:hint="default"/>
      </w:rPr>
    </w:lvl>
  </w:abstractNum>
  <w:abstractNum w:abstractNumId="3">
    <w:nsid w:val="3C374B46"/>
    <w:multiLevelType w:val="hybridMultilevel"/>
    <w:tmpl w:val="EE8E5CBC"/>
    <w:lvl w:ilvl="0" w:tplc="ECEA7B6C">
      <w:start w:val="1"/>
      <w:numFmt w:val="bullet"/>
      <w:lvlText w:val="•"/>
      <w:lvlJc w:val="left"/>
      <w:pPr>
        <w:tabs>
          <w:tab w:val="num" w:pos="720"/>
        </w:tabs>
        <w:ind w:left="720" w:hanging="360"/>
      </w:pPr>
      <w:rPr>
        <w:rFonts w:ascii="Arial" w:hAnsi="Arial" w:hint="default"/>
      </w:rPr>
    </w:lvl>
    <w:lvl w:ilvl="1" w:tplc="47A05BA2" w:tentative="1">
      <w:start w:val="1"/>
      <w:numFmt w:val="bullet"/>
      <w:lvlText w:val="•"/>
      <w:lvlJc w:val="left"/>
      <w:pPr>
        <w:tabs>
          <w:tab w:val="num" w:pos="1440"/>
        </w:tabs>
        <w:ind w:left="1440" w:hanging="360"/>
      </w:pPr>
      <w:rPr>
        <w:rFonts w:ascii="Arial" w:hAnsi="Arial" w:hint="default"/>
      </w:rPr>
    </w:lvl>
    <w:lvl w:ilvl="2" w:tplc="EE84D30E" w:tentative="1">
      <w:start w:val="1"/>
      <w:numFmt w:val="bullet"/>
      <w:lvlText w:val="•"/>
      <w:lvlJc w:val="left"/>
      <w:pPr>
        <w:tabs>
          <w:tab w:val="num" w:pos="2160"/>
        </w:tabs>
        <w:ind w:left="2160" w:hanging="360"/>
      </w:pPr>
      <w:rPr>
        <w:rFonts w:ascii="Arial" w:hAnsi="Arial" w:hint="default"/>
      </w:rPr>
    </w:lvl>
    <w:lvl w:ilvl="3" w:tplc="482E929E" w:tentative="1">
      <w:start w:val="1"/>
      <w:numFmt w:val="bullet"/>
      <w:lvlText w:val="•"/>
      <w:lvlJc w:val="left"/>
      <w:pPr>
        <w:tabs>
          <w:tab w:val="num" w:pos="2880"/>
        </w:tabs>
        <w:ind w:left="2880" w:hanging="360"/>
      </w:pPr>
      <w:rPr>
        <w:rFonts w:ascii="Arial" w:hAnsi="Arial" w:hint="default"/>
      </w:rPr>
    </w:lvl>
    <w:lvl w:ilvl="4" w:tplc="39F61350" w:tentative="1">
      <w:start w:val="1"/>
      <w:numFmt w:val="bullet"/>
      <w:lvlText w:val="•"/>
      <w:lvlJc w:val="left"/>
      <w:pPr>
        <w:tabs>
          <w:tab w:val="num" w:pos="3600"/>
        </w:tabs>
        <w:ind w:left="3600" w:hanging="360"/>
      </w:pPr>
      <w:rPr>
        <w:rFonts w:ascii="Arial" w:hAnsi="Arial" w:hint="default"/>
      </w:rPr>
    </w:lvl>
    <w:lvl w:ilvl="5" w:tplc="5C5E0228" w:tentative="1">
      <w:start w:val="1"/>
      <w:numFmt w:val="bullet"/>
      <w:lvlText w:val="•"/>
      <w:lvlJc w:val="left"/>
      <w:pPr>
        <w:tabs>
          <w:tab w:val="num" w:pos="4320"/>
        </w:tabs>
        <w:ind w:left="4320" w:hanging="360"/>
      </w:pPr>
      <w:rPr>
        <w:rFonts w:ascii="Arial" w:hAnsi="Arial" w:hint="default"/>
      </w:rPr>
    </w:lvl>
    <w:lvl w:ilvl="6" w:tplc="3110A86A" w:tentative="1">
      <w:start w:val="1"/>
      <w:numFmt w:val="bullet"/>
      <w:lvlText w:val="•"/>
      <w:lvlJc w:val="left"/>
      <w:pPr>
        <w:tabs>
          <w:tab w:val="num" w:pos="5040"/>
        </w:tabs>
        <w:ind w:left="5040" w:hanging="360"/>
      </w:pPr>
      <w:rPr>
        <w:rFonts w:ascii="Arial" w:hAnsi="Arial" w:hint="default"/>
      </w:rPr>
    </w:lvl>
    <w:lvl w:ilvl="7" w:tplc="5DB09A04" w:tentative="1">
      <w:start w:val="1"/>
      <w:numFmt w:val="bullet"/>
      <w:lvlText w:val="•"/>
      <w:lvlJc w:val="left"/>
      <w:pPr>
        <w:tabs>
          <w:tab w:val="num" w:pos="5760"/>
        </w:tabs>
        <w:ind w:left="5760" w:hanging="360"/>
      </w:pPr>
      <w:rPr>
        <w:rFonts w:ascii="Arial" w:hAnsi="Arial" w:hint="default"/>
      </w:rPr>
    </w:lvl>
    <w:lvl w:ilvl="8" w:tplc="22C8B008" w:tentative="1">
      <w:start w:val="1"/>
      <w:numFmt w:val="bullet"/>
      <w:lvlText w:val="•"/>
      <w:lvlJc w:val="left"/>
      <w:pPr>
        <w:tabs>
          <w:tab w:val="num" w:pos="6480"/>
        </w:tabs>
        <w:ind w:left="6480" w:hanging="360"/>
      </w:pPr>
      <w:rPr>
        <w:rFonts w:ascii="Arial" w:hAnsi="Arial" w:hint="default"/>
      </w:rPr>
    </w:lvl>
  </w:abstractNum>
  <w:abstractNum w:abstractNumId="4">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3DA93B1C"/>
    <w:multiLevelType w:val="hybridMultilevel"/>
    <w:tmpl w:val="9C06F9C2"/>
    <w:lvl w:ilvl="0" w:tplc="2C367B42">
      <w:start w:val="1"/>
      <w:numFmt w:val="bullet"/>
      <w:lvlText w:val="•"/>
      <w:lvlJc w:val="left"/>
      <w:pPr>
        <w:tabs>
          <w:tab w:val="num" w:pos="720"/>
        </w:tabs>
        <w:ind w:left="720" w:hanging="360"/>
      </w:pPr>
      <w:rPr>
        <w:rFonts w:ascii="Arial" w:hAnsi="Arial" w:hint="default"/>
      </w:rPr>
    </w:lvl>
    <w:lvl w:ilvl="1" w:tplc="F38E1AAE" w:tentative="1">
      <w:start w:val="1"/>
      <w:numFmt w:val="bullet"/>
      <w:lvlText w:val="•"/>
      <w:lvlJc w:val="left"/>
      <w:pPr>
        <w:tabs>
          <w:tab w:val="num" w:pos="1440"/>
        </w:tabs>
        <w:ind w:left="1440" w:hanging="360"/>
      </w:pPr>
      <w:rPr>
        <w:rFonts w:ascii="Arial" w:hAnsi="Arial" w:hint="default"/>
      </w:rPr>
    </w:lvl>
    <w:lvl w:ilvl="2" w:tplc="0D281358" w:tentative="1">
      <w:start w:val="1"/>
      <w:numFmt w:val="bullet"/>
      <w:lvlText w:val="•"/>
      <w:lvlJc w:val="left"/>
      <w:pPr>
        <w:tabs>
          <w:tab w:val="num" w:pos="2160"/>
        </w:tabs>
        <w:ind w:left="2160" w:hanging="360"/>
      </w:pPr>
      <w:rPr>
        <w:rFonts w:ascii="Arial" w:hAnsi="Arial" w:hint="default"/>
      </w:rPr>
    </w:lvl>
    <w:lvl w:ilvl="3" w:tplc="7278FCE6" w:tentative="1">
      <w:start w:val="1"/>
      <w:numFmt w:val="bullet"/>
      <w:lvlText w:val="•"/>
      <w:lvlJc w:val="left"/>
      <w:pPr>
        <w:tabs>
          <w:tab w:val="num" w:pos="2880"/>
        </w:tabs>
        <w:ind w:left="2880" w:hanging="360"/>
      </w:pPr>
      <w:rPr>
        <w:rFonts w:ascii="Arial" w:hAnsi="Arial" w:hint="default"/>
      </w:rPr>
    </w:lvl>
    <w:lvl w:ilvl="4" w:tplc="8D023120" w:tentative="1">
      <w:start w:val="1"/>
      <w:numFmt w:val="bullet"/>
      <w:lvlText w:val="•"/>
      <w:lvlJc w:val="left"/>
      <w:pPr>
        <w:tabs>
          <w:tab w:val="num" w:pos="3600"/>
        </w:tabs>
        <w:ind w:left="3600" w:hanging="360"/>
      </w:pPr>
      <w:rPr>
        <w:rFonts w:ascii="Arial" w:hAnsi="Arial" w:hint="default"/>
      </w:rPr>
    </w:lvl>
    <w:lvl w:ilvl="5" w:tplc="219CD92A" w:tentative="1">
      <w:start w:val="1"/>
      <w:numFmt w:val="bullet"/>
      <w:lvlText w:val="•"/>
      <w:lvlJc w:val="left"/>
      <w:pPr>
        <w:tabs>
          <w:tab w:val="num" w:pos="4320"/>
        </w:tabs>
        <w:ind w:left="4320" w:hanging="360"/>
      </w:pPr>
      <w:rPr>
        <w:rFonts w:ascii="Arial" w:hAnsi="Arial" w:hint="default"/>
      </w:rPr>
    </w:lvl>
    <w:lvl w:ilvl="6" w:tplc="E3B4FE28" w:tentative="1">
      <w:start w:val="1"/>
      <w:numFmt w:val="bullet"/>
      <w:lvlText w:val="•"/>
      <w:lvlJc w:val="left"/>
      <w:pPr>
        <w:tabs>
          <w:tab w:val="num" w:pos="5040"/>
        </w:tabs>
        <w:ind w:left="5040" w:hanging="360"/>
      </w:pPr>
      <w:rPr>
        <w:rFonts w:ascii="Arial" w:hAnsi="Arial" w:hint="default"/>
      </w:rPr>
    </w:lvl>
    <w:lvl w:ilvl="7" w:tplc="F23C6CDA" w:tentative="1">
      <w:start w:val="1"/>
      <w:numFmt w:val="bullet"/>
      <w:lvlText w:val="•"/>
      <w:lvlJc w:val="left"/>
      <w:pPr>
        <w:tabs>
          <w:tab w:val="num" w:pos="5760"/>
        </w:tabs>
        <w:ind w:left="5760" w:hanging="360"/>
      </w:pPr>
      <w:rPr>
        <w:rFonts w:ascii="Arial" w:hAnsi="Arial" w:hint="default"/>
      </w:rPr>
    </w:lvl>
    <w:lvl w:ilvl="8" w:tplc="4962C7BA" w:tentative="1">
      <w:start w:val="1"/>
      <w:numFmt w:val="bullet"/>
      <w:lvlText w:val="•"/>
      <w:lvlJc w:val="left"/>
      <w:pPr>
        <w:tabs>
          <w:tab w:val="num" w:pos="6480"/>
        </w:tabs>
        <w:ind w:left="6480" w:hanging="360"/>
      </w:pPr>
      <w:rPr>
        <w:rFonts w:ascii="Arial" w:hAnsi="Arial" w:hint="default"/>
      </w:rPr>
    </w:lvl>
  </w:abstractNum>
  <w:abstractNum w:abstractNumId="6">
    <w:nsid w:val="65CC0277"/>
    <w:multiLevelType w:val="hybridMultilevel"/>
    <w:tmpl w:val="5BF2C618"/>
    <w:lvl w:ilvl="0" w:tplc="3398B9FA">
      <w:start w:val="1"/>
      <w:numFmt w:val="bullet"/>
      <w:lvlText w:val="•"/>
      <w:lvlJc w:val="left"/>
      <w:pPr>
        <w:tabs>
          <w:tab w:val="num" w:pos="720"/>
        </w:tabs>
        <w:ind w:left="720" w:hanging="360"/>
      </w:pPr>
      <w:rPr>
        <w:rFonts w:ascii="Arial" w:hAnsi="Arial" w:hint="default"/>
      </w:rPr>
    </w:lvl>
    <w:lvl w:ilvl="1" w:tplc="230E23DC" w:tentative="1">
      <w:start w:val="1"/>
      <w:numFmt w:val="bullet"/>
      <w:lvlText w:val="•"/>
      <w:lvlJc w:val="left"/>
      <w:pPr>
        <w:tabs>
          <w:tab w:val="num" w:pos="1440"/>
        </w:tabs>
        <w:ind w:left="1440" w:hanging="360"/>
      </w:pPr>
      <w:rPr>
        <w:rFonts w:ascii="Arial" w:hAnsi="Arial" w:hint="default"/>
      </w:rPr>
    </w:lvl>
    <w:lvl w:ilvl="2" w:tplc="241CC818" w:tentative="1">
      <w:start w:val="1"/>
      <w:numFmt w:val="bullet"/>
      <w:lvlText w:val="•"/>
      <w:lvlJc w:val="left"/>
      <w:pPr>
        <w:tabs>
          <w:tab w:val="num" w:pos="2160"/>
        </w:tabs>
        <w:ind w:left="2160" w:hanging="360"/>
      </w:pPr>
      <w:rPr>
        <w:rFonts w:ascii="Arial" w:hAnsi="Arial" w:hint="default"/>
      </w:rPr>
    </w:lvl>
    <w:lvl w:ilvl="3" w:tplc="FCAE571E" w:tentative="1">
      <w:start w:val="1"/>
      <w:numFmt w:val="bullet"/>
      <w:lvlText w:val="•"/>
      <w:lvlJc w:val="left"/>
      <w:pPr>
        <w:tabs>
          <w:tab w:val="num" w:pos="2880"/>
        </w:tabs>
        <w:ind w:left="2880" w:hanging="360"/>
      </w:pPr>
      <w:rPr>
        <w:rFonts w:ascii="Arial" w:hAnsi="Arial" w:hint="default"/>
      </w:rPr>
    </w:lvl>
    <w:lvl w:ilvl="4" w:tplc="7584CA68" w:tentative="1">
      <w:start w:val="1"/>
      <w:numFmt w:val="bullet"/>
      <w:lvlText w:val="•"/>
      <w:lvlJc w:val="left"/>
      <w:pPr>
        <w:tabs>
          <w:tab w:val="num" w:pos="3600"/>
        </w:tabs>
        <w:ind w:left="3600" w:hanging="360"/>
      </w:pPr>
      <w:rPr>
        <w:rFonts w:ascii="Arial" w:hAnsi="Arial" w:hint="default"/>
      </w:rPr>
    </w:lvl>
    <w:lvl w:ilvl="5" w:tplc="89089E34" w:tentative="1">
      <w:start w:val="1"/>
      <w:numFmt w:val="bullet"/>
      <w:lvlText w:val="•"/>
      <w:lvlJc w:val="left"/>
      <w:pPr>
        <w:tabs>
          <w:tab w:val="num" w:pos="4320"/>
        </w:tabs>
        <w:ind w:left="4320" w:hanging="360"/>
      </w:pPr>
      <w:rPr>
        <w:rFonts w:ascii="Arial" w:hAnsi="Arial" w:hint="default"/>
      </w:rPr>
    </w:lvl>
    <w:lvl w:ilvl="6" w:tplc="BF54A14C" w:tentative="1">
      <w:start w:val="1"/>
      <w:numFmt w:val="bullet"/>
      <w:lvlText w:val="•"/>
      <w:lvlJc w:val="left"/>
      <w:pPr>
        <w:tabs>
          <w:tab w:val="num" w:pos="5040"/>
        </w:tabs>
        <w:ind w:left="5040" w:hanging="360"/>
      </w:pPr>
      <w:rPr>
        <w:rFonts w:ascii="Arial" w:hAnsi="Arial" w:hint="default"/>
      </w:rPr>
    </w:lvl>
    <w:lvl w:ilvl="7" w:tplc="74CC4576" w:tentative="1">
      <w:start w:val="1"/>
      <w:numFmt w:val="bullet"/>
      <w:lvlText w:val="•"/>
      <w:lvlJc w:val="left"/>
      <w:pPr>
        <w:tabs>
          <w:tab w:val="num" w:pos="5760"/>
        </w:tabs>
        <w:ind w:left="5760" w:hanging="360"/>
      </w:pPr>
      <w:rPr>
        <w:rFonts w:ascii="Arial" w:hAnsi="Arial" w:hint="default"/>
      </w:rPr>
    </w:lvl>
    <w:lvl w:ilvl="8" w:tplc="5186109A" w:tentative="1">
      <w:start w:val="1"/>
      <w:numFmt w:val="bullet"/>
      <w:lvlText w:val="•"/>
      <w:lvlJc w:val="left"/>
      <w:pPr>
        <w:tabs>
          <w:tab w:val="num" w:pos="6480"/>
        </w:tabs>
        <w:ind w:left="6480" w:hanging="360"/>
      </w:pPr>
      <w:rPr>
        <w:rFonts w:ascii="Arial" w:hAnsi="Arial" w:hint="default"/>
      </w:rPr>
    </w:lvl>
  </w:abstractNum>
  <w:abstractNum w:abstractNumId="7">
    <w:nsid w:val="77610EE6"/>
    <w:multiLevelType w:val="hybridMultilevel"/>
    <w:tmpl w:val="8DE61BB8"/>
    <w:lvl w:ilvl="0" w:tplc="DC068E3C">
      <w:start w:val="1"/>
      <w:numFmt w:val="bullet"/>
      <w:lvlText w:val="•"/>
      <w:lvlJc w:val="left"/>
      <w:pPr>
        <w:tabs>
          <w:tab w:val="num" w:pos="720"/>
        </w:tabs>
        <w:ind w:left="720" w:hanging="360"/>
      </w:pPr>
      <w:rPr>
        <w:rFonts w:ascii="Arial" w:hAnsi="Arial" w:hint="default"/>
      </w:rPr>
    </w:lvl>
    <w:lvl w:ilvl="1" w:tplc="18A24C0A" w:tentative="1">
      <w:start w:val="1"/>
      <w:numFmt w:val="bullet"/>
      <w:lvlText w:val="•"/>
      <w:lvlJc w:val="left"/>
      <w:pPr>
        <w:tabs>
          <w:tab w:val="num" w:pos="1440"/>
        </w:tabs>
        <w:ind w:left="1440" w:hanging="360"/>
      </w:pPr>
      <w:rPr>
        <w:rFonts w:ascii="Arial" w:hAnsi="Arial" w:hint="default"/>
      </w:rPr>
    </w:lvl>
    <w:lvl w:ilvl="2" w:tplc="9F6C5C0C" w:tentative="1">
      <w:start w:val="1"/>
      <w:numFmt w:val="bullet"/>
      <w:lvlText w:val="•"/>
      <w:lvlJc w:val="left"/>
      <w:pPr>
        <w:tabs>
          <w:tab w:val="num" w:pos="2160"/>
        </w:tabs>
        <w:ind w:left="2160" w:hanging="360"/>
      </w:pPr>
      <w:rPr>
        <w:rFonts w:ascii="Arial" w:hAnsi="Arial" w:hint="default"/>
      </w:rPr>
    </w:lvl>
    <w:lvl w:ilvl="3" w:tplc="8D4E8D36" w:tentative="1">
      <w:start w:val="1"/>
      <w:numFmt w:val="bullet"/>
      <w:lvlText w:val="•"/>
      <w:lvlJc w:val="left"/>
      <w:pPr>
        <w:tabs>
          <w:tab w:val="num" w:pos="2880"/>
        </w:tabs>
        <w:ind w:left="2880" w:hanging="360"/>
      </w:pPr>
      <w:rPr>
        <w:rFonts w:ascii="Arial" w:hAnsi="Arial" w:hint="default"/>
      </w:rPr>
    </w:lvl>
    <w:lvl w:ilvl="4" w:tplc="CCD24CDA" w:tentative="1">
      <w:start w:val="1"/>
      <w:numFmt w:val="bullet"/>
      <w:lvlText w:val="•"/>
      <w:lvlJc w:val="left"/>
      <w:pPr>
        <w:tabs>
          <w:tab w:val="num" w:pos="3600"/>
        </w:tabs>
        <w:ind w:left="3600" w:hanging="360"/>
      </w:pPr>
      <w:rPr>
        <w:rFonts w:ascii="Arial" w:hAnsi="Arial" w:hint="default"/>
      </w:rPr>
    </w:lvl>
    <w:lvl w:ilvl="5" w:tplc="CF885026" w:tentative="1">
      <w:start w:val="1"/>
      <w:numFmt w:val="bullet"/>
      <w:lvlText w:val="•"/>
      <w:lvlJc w:val="left"/>
      <w:pPr>
        <w:tabs>
          <w:tab w:val="num" w:pos="4320"/>
        </w:tabs>
        <w:ind w:left="4320" w:hanging="360"/>
      </w:pPr>
      <w:rPr>
        <w:rFonts w:ascii="Arial" w:hAnsi="Arial" w:hint="default"/>
      </w:rPr>
    </w:lvl>
    <w:lvl w:ilvl="6" w:tplc="5A166636" w:tentative="1">
      <w:start w:val="1"/>
      <w:numFmt w:val="bullet"/>
      <w:lvlText w:val="•"/>
      <w:lvlJc w:val="left"/>
      <w:pPr>
        <w:tabs>
          <w:tab w:val="num" w:pos="5040"/>
        </w:tabs>
        <w:ind w:left="5040" w:hanging="360"/>
      </w:pPr>
      <w:rPr>
        <w:rFonts w:ascii="Arial" w:hAnsi="Arial" w:hint="default"/>
      </w:rPr>
    </w:lvl>
    <w:lvl w:ilvl="7" w:tplc="B41C2B5C" w:tentative="1">
      <w:start w:val="1"/>
      <w:numFmt w:val="bullet"/>
      <w:lvlText w:val="•"/>
      <w:lvlJc w:val="left"/>
      <w:pPr>
        <w:tabs>
          <w:tab w:val="num" w:pos="5760"/>
        </w:tabs>
        <w:ind w:left="5760" w:hanging="360"/>
      </w:pPr>
      <w:rPr>
        <w:rFonts w:ascii="Arial" w:hAnsi="Arial" w:hint="default"/>
      </w:rPr>
    </w:lvl>
    <w:lvl w:ilvl="8" w:tplc="C9B2421C" w:tentative="1">
      <w:start w:val="1"/>
      <w:numFmt w:val="bullet"/>
      <w:lvlText w:val="•"/>
      <w:lvlJc w:val="left"/>
      <w:pPr>
        <w:tabs>
          <w:tab w:val="num" w:pos="6480"/>
        </w:tabs>
        <w:ind w:left="6480" w:hanging="360"/>
      </w:pPr>
      <w:rPr>
        <w:rFonts w:ascii="Arial" w:hAnsi="Arial" w:hint="default"/>
      </w:rPr>
    </w:lvl>
  </w:abstractNum>
  <w:abstractNum w:abstractNumId="8">
    <w:nsid w:val="7D2549A4"/>
    <w:multiLevelType w:val="hybridMultilevel"/>
    <w:tmpl w:val="A24E3C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8"/>
  </w:num>
  <w:num w:numId="4">
    <w:abstractNumId w:val="3"/>
  </w:num>
  <w:num w:numId="5">
    <w:abstractNumId w:val="5"/>
  </w:num>
  <w:num w:numId="6">
    <w:abstractNumId w:val="2"/>
  </w:num>
  <w:num w:numId="7">
    <w:abstractNumId w:val="7"/>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3330A"/>
    <w:rsid w:val="00067E6B"/>
    <w:rsid w:val="00070F31"/>
    <w:rsid w:val="00084936"/>
    <w:rsid w:val="000875CD"/>
    <w:rsid w:val="000C49FF"/>
    <w:rsid w:val="000D16A1"/>
    <w:rsid w:val="000D2B0C"/>
    <w:rsid w:val="000F77DA"/>
    <w:rsid w:val="001068E8"/>
    <w:rsid w:val="001106D8"/>
    <w:rsid w:val="00117BCD"/>
    <w:rsid w:val="00171B11"/>
    <w:rsid w:val="001D035A"/>
    <w:rsid w:val="001D3855"/>
    <w:rsid w:val="001D6F2C"/>
    <w:rsid w:val="002654C3"/>
    <w:rsid w:val="00277498"/>
    <w:rsid w:val="0028007D"/>
    <w:rsid w:val="002860B7"/>
    <w:rsid w:val="00290655"/>
    <w:rsid w:val="00290F4D"/>
    <w:rsid w:val="00295B9D"/>
    <w:rsid w:val="002A2FC0"/>
    <w:rsid w:val="002B188F"/>
    <w:rsid w:val="002B3BD8"/>
    <w:rsid w:val="002E762D"/>
    <w:rsid w:val="002F3F91"/>
    <w:rsid w:val="00304767"/>
    <w:rsid w:val="00304B34"/>
    <w:rsid w:val="00361BAF"/>
    <w:rsid w:val="00362FCE"/>
    <w:rsid w:val="00367D1F"/>
    <w:rsid w:val="003B6019"/>
    <w:rsid w:val="003D4CDD"/>
    <w:rsid w:val="003D585B"/>
    <w:rsid w:val="003E7DA6"/>
    <w:rsid w:val="003F12FF"/>
    <w:rsid w:val="00401EB9"/>
    <w:rsid w:val="0047088F"/>
    <w:rsid w:val="004760D4"/>
    <w:rsid w:val="00494C46"/>
    <w:rsid w:val="004B43FF"/>
    <w:rsid w:val="004D17AD"/>
    <w:rsid w:val="004D7E25"/>
    <w:rsid w:val="00502641"/>
    <w:rsid w:val="005C6768"/>
    <w:rsid w:val="005E4871"/>
    <w:rsid w:val="00601C8A"/>
    <w:rsid w:val="00623CB8"/>
    <w:rsid w:val="006257E5"/>
    <w:rsid w:val="00634C25"/>
    <w:rsid w:val="006416AB"/>
    <w:rsid w:val="0065447F"/>
    <w:rsid w:val="006612D9"/>
    <w:rsid w:val="006768E9"/>
    <w:rsid w:val="00687982"/>
    <w:rsid w:val="0069647A"/>
    <w:rsid w:val="006B3EC8"/>
    <w:rsid w:val="006B72B0"/>
    <w:rsid w:val="006D286E"/>
    <w:rsid w:val="006D695E"/>
    <w:rsid w:val="00725A6A"/>
    <w:rsid w:val="007943F3"/>
    <w:rsid w:val="007A0583"/>
    <w:rsid w:val="007A738C"/>
    <w:rsid w:val="007B1349"/>
    <w:rsid w:val="007D45AC"/>
    <w:rsid w:val="007E25BD"/>
    <w:rsid w:val="007E4271"/>
    <w:rsid w:val="00802C35"/>
    <w:rsid w:val="0082181A"/>
    <w:rsid w:val="00825624"/>
    <w:rsid w:val="0083587A"/>
    <w:rsid w:val="00883CC3"/>
    <w:rsid w:val="008B470E"/>
    <w:rsid w:val="008B5904"/>
    <w:rsid w:val="008D29BF"/>
    <w:rsid w:val="008E1211"/>
    <w:rsid w:val="008E2943"/>
    <w:rsid w:val="008E5BBF"/>
    <w:rsid w:val="008E6968"/>
    <w:rsid w:val="00906363"/>
    <w:rsid w:val="009211AF"/>
    <w:rsid w:val="009357B8"/>
    <w:rsid w:val="009866F6"/>
    <w:rsid w:val="009A6F2C"/>
    <w:rsid w:val="009D030D"/>
    <w:rsid w:val="00A023C1"/>
    <w:rsid w:val="00A14DB9"/>
    <w:rsid w:val="00A4762A"/>
    <w:rsid w:val="00A74A7E"/>
    <w:rsid w:val="00A91EFF"/>
    <w:rsid w:val="00AB17C9"/>
    <w:rsid w:val="00AC0033"/>
    <w:rsid w:val="00AD1B8A"/>
    <w:rsid w:val="00AE713F"/>
    <w:rsid w:val="00AF2305"/>
    <w:rsid w:val="00AF2821"/>
    <w:rsid w:val="00B1121C"/>
    <w:rsid w:val="00B25B65"/>
    <w:rsid w:val="00B2770A"/>
    <w:rsid w:val="00B314AD"/>
    <w:rsid w:val="00B75BF6"/>
    <w:rsid w:val="00B7735A"/>
    <w:rsid w:val="00B91DE7"/>
    <w:rsid w:val="00BA1595"/>
    <w:rsid w:val="00BA1F7B"/>
    <w:rsid w:val="00BB58AF"/>
    <w:rsid w:val="00BE7C30"/>
    <w:rsid w:val="00C055BF"/>
    <w:rsid w:val="00C2226A"/>
    <w:rsid w:val="00C234BA"/>
    <w:rsid w:val="00C94D92"/>
    <w:rsid w:val="00C97340"/>
    <w:rsid w:val="00CA0347"/>
    <w:rsid w:val="00CA513F"/>
    <w:rsid w:val="00CB3AA6"/>
    <w:rsid w:val="00CC20C2"/>
    <w:rsid w:val="00CF05FF"/>
    <w:rsid w:val="00D32228"/>
    <w:rsid w:val="00D340BB"/>
    <w:rsid w:val="00D505D5"/>
    <w:rsid w:val="00D75B35"/>
    <w:rsid w:val="00D76E09"/>
    <w:rsid w:val="00D9736F"/>
    <w:rsid w:val="00D9792A"/>
    <w:rsid w:val="00DD377F"/>
    <w:rsid w:val="00E16130"/>
    <w:rsid w:val="00E25547"/>
    <w:rsid w:val="00E3287E"/>
    <w:rsid w:val="00E54D12"/>
    <w:rsid w:val="00E66197"/>
    <w:rsid w:val="00F31093"/>
    <w:rsid w:val="00F412AF"/>
    <w:rsid w:val="00F43667"/>
    <w:rsid w:val="00F447A7"/>
    <w:rsid w:val="00F4760B"/>
    <w:rsid w:val="00F96247"/>
    <w:rsid w:val="00FB4C59"/>
    <w:rsid w:val="00FD2EE3"/>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customStyle="1" w:styleId="Default">
    <w:name w:val="Default"/>
    <w:rsid w:val="006612D9"/>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59"/>
    <w:rsid w:val="006612D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6612D9"/>
    <w:rPr>
      <w:sz w:val="16"/>
      <w:szCs w:val="16"/>
    </w:rPr>
  </w:style>
  <w:style w:type="paragraph" w:styleId="CommentText">
    <w:name w:val="annotation text"/>
    <w:basedOn w:val="Normal"/>
    <w:link w:val="CommentTextChar"/>
    <w:uiPriority w:val="99"/>
    <w:semiHidden/>
    <w:unhideWhenUsed/>
    <w:rsid w:val="006612D9"/>
    <w:pPr>
      <w:widowControl w:val="0"/>
      <w:wordWrap w:val="0"/>
      <w:autoSpaceDE w:val="0"/>
      <w:autoSpaceDN w:val="0"/>
      <w:spacing w:after="0" w:line="240" w:lineRule="auto"/>
      <w:jc w:val="both"/>
    </w:pPr>
    <w:rPr>
      <w:rFonts w:ascii="Calibri" w:hAnsi="Calibri"/>
      <w:kern w:val="2"/>
      <w:sz w:val="20"/>
      <w:szCs w:val="20"/>
      <w:lang w:eastAsia="ko-KR" w:bidi="ar-SA"/>
    </w:rPr>
  </w:style>
  <w:style w:type="character" w:customStyle="1" w:styleId="CommentTextChar">
    <w:name w:val="Comment Text Char"/>
    <w:basedOn w:val="DefaultParagraphFont"/>
    <w:link w:val="CommentText"/>
    <w:uiPriority w:val="99"/>
    <w:semiHidden/>
    <w:rsid w:val="006612D9"/>
    <w:rPr>
      <w:rFonts w:ascii="Calibri" w:eastAsia="Times New Roman" w:hAnsi="Calibri"/>
      <w:kern w:val="2"/>
      <w:lang w:eastAsia="ko-KR"/>
    </w:rPr>
  </w:style>
  <w:style w:type="paragraph" w:styleId="CommentSubject">
    <w:name w:val="annotation subject"/>
    <w:basedOn w:val="CommentText"/>
    <w:next w:val="CommentText"/>
    <w:link w:val="CommentSubjectChar"/>
    <w:uiPriority w:val="99"/>
    <w:semiHidden/>
    <w:unhideWhenUsed/>
    <w:rsid w:val="006612D9"/>
    <w:rPr>
      <w:b/>
      <w:bCs/>
    </w:rPr>
  </w:style>
  <w:style w:type="character" w:customStyle="1" w:styleId="CommentSubjectChar">
    <w:name w:val="Comment Subject Char"/>
    <w:basedOn w:val="CommentTextChar"/>
    <w:link w:val="CommentSubject"/>
    <w:uiPriority w:val="99"/>
    <w:semiHidden/>
    <w:rsid w:val="006612D9"/>
    <w:rPr>
      <w:rFonts w:ascii="Calibri" w:eastAsia="Times New Roman" w:hAnsi="Calibri"/>
      <w:b/>
      <w:bCs/>
      <w:kern w:val="2"/>
      <w:lang w:eastAsia="ko-KR"/>
    </w:rPr>
  </w:style>
  <w:style w:type="paragraph" w:styleId="Revision">
    <w:name w:val="Revision"/>
    <w:hidden/>
    <w:uiPriority w:val="99"/>
    <w:semiHidden/>
    <w:rsid w:val="006612D9"/>
    <w:rPr>
      <w:rFonts w:ascii="Calibri" w:eastAsia="Times New Roman" w:hAnsi="Calibri"/>
      <w:kern w:val="2"/>
      <w:szCs w:val="22"/>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customStyle="1" w:styleId="Default">
    <w:name w:val="Default"/>
    <w:rsid w:val="006612D9"/>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59"/>
    <w:rsid w:val="006612D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6612D9"/>
    <w:rPr>
      <w:sz w:val="16"/>
      <w:szCs w:val="16"/>
    </w:rPr>
  </w:style>
  <w:style w:type="paragraph" w:styleId="CommentText">
    <w:name w:val="annotation text"/>
    <w:basedOn w:val="Normal"/>
    <w:link w:val="CommentTextChar"/>
    <w:uiPriority w:val="99"/>
    <w:semiHidden/>
    <w:unhideWhenUsed/>
    <w:rsid w:val="006612D9"/>
    <w:pPr>
      <w:widowControl w:val="0"/>
      <w:wordWrap w:val="0"/>
      <w:autoSpaceDE w:val="0"/>
      <w:autoSpaceDN w:val="0"/>
      <w:spacing w:after="0" w:line="240" w:lineRule="auto"/>
      <w:jc w:val="both"/>
    </w:pPr>
    <w:rPr>
      <w:rFonts w:ascii="Calibri" w:hAnsi="Calibri"/>
      <w:kern w:val="2"/>
      <w:sz w:val="20"/>
      <w:szCs w:val="20"/>
      <w:lang w:eastAsia="ko-KR" w:bidi="ar-SA"/>
    </w:rPr>
  </w:style>
  <w:style w:type="character" w:customStyle="1" w:styleId="CommentTextChar">
    <w:name w:val="Comment Text Char"/>
    <w:basedOn w:val="DefaultParagraphFont"/>
    <w:link w:val="CommentText"/>
    <w:uiPriority w:val="99"/>
    <w:semiHidden/>
    <w:rsid w:val="006612D9"/>
    <w:rPr>
      <w:rFonts w:ascii="Calibri" w:eastAsia="Times New Roman" w:hAnsi="Calibri"/>
      <w:kern w:val="2"/>
      <w:lang w:eastAsia="ko-KR"/>
    </w:rPr>
  </w:style>
  <w:style w:type="paragraph" w:styleId="CommentSubject">
    <w:name w:val="annotation subject"/>
    <w:basedOn w:val="CommentText"/>
    <w:next w:val="CommentText"/>
    <w:link w:val="CommentSubjectChar"/>
    <w:uiPriority w:val="99"/>
    <w:semiHidden/>
    <w:unhideWhenUsed/>
    <w:rsid w:val="006612D9"/>
    <w:rPr>
      <w:b/>
      <w:bCs/>
    </w:rPr>
  </w:style>
  <w:style w:type="character" w:customStyle="1" w:styleId="CommentSubjectChar">
    <w:name w:val="Comment Subject Char"/>
    <w:basedOn w:val="CommentTextChar"/>
    <w:link w:val="CommentSubject"/>
    <w:uiPriority w:val="99"/>
    <w:semiHidden/>
    <w:rsid w:val="006612D9"/>
    <w:rPr>
      <w:rFonts w:ascii="Calibri" w:eastAsia="Times New Roman" w:hAnsi="Calibri"/>
      <w:b/>
      <w:bCs/>
      <w:kern w:val="2"/>
      <w:lang w:eastAsia="ko-KR"/>
    </w:rPr>
  </w:style>
  <w:style w:type="paragraph" w:styleId="Revision">
    <w:name w:val="Revision"/>
    <w:hidden/>
    <w:uiPriority w:val="99"/>
    <w:semiHidden/>
    <w:rsid w:val="006612D9"/>
    <w:rPr>
      <w:rFonts w:ascii="Calibri" w:eastAsia="Times New Roman" w:hAnsi="Calibri"/>
      <w:kern w:val="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DAA33-2EF6-4A83-B2ED-F2724AAC7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10</Pages>
  <Words>4446</Words>
  <Characters>25822</Characters>
  <Application>Microsoft Office Word</Application>
  <DocSecurity>0</DocSecurity>
  <Lines>436</Lines>
  <Paragraphs>137</Paragraphs>
  <ScaleCrop>false</ScaleCrop>
  <HeadingPairs>
    <vt:vector size="2" baseType="variant">
      <vt:variant>
        <vt:lpstr>Title</vt:lpstr>
      </vt:variant>
      <vt:variant>
        <vt:i4>1</vt:i4>
      </vt:variant>
    </vt:vector>
  </HeadingPairs>
  <TitlesOfParts>
    <vt:vector size="1" baseType="lpstr">
      <vt:lpstr>MJAS Vol 22 No 1 (2018)</vt:lpstr>
    </vt:vector>
  </TitlesOfParts>
  <Company>UKM</Company>
  <LinksUpToDate>false</LinksUpToDate>
  <CharactersWithSpaces>30372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1 (2018)</dc:title>
  <dc:creator>Harun Hj Hamzah</dc:creator>
  <cp:lastModifiedBy>Harun Hamzah</cp:lastModifiedBy>
  <cp:revision>16</cp:revision>
  <cp:lastPrinted>2018-02-14T15:17:00Z</cp:lastPrinted>
  <dcterms:created xsi:type="dcterms:W3CDTF">2018-01-16T00:44:00Z</dcterms:created>
  <dcterms:modified xsi:type="dcterms:W3CDTF">2018-02-14T15:17:00Z</dcterms:modified>
</cp:coreProperties>
</file>