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2F439B" w:rsidRPr="002F439B" w:rsidRDefault="002F439B" w:rsidP="002F439B">
      <w:pPr>
        <w:spacing w:after="0" w:line="240" w:lineRule="auto"/>
        <w:jc w:val="center"/>
        <w:rPr>
          <w:rFonts w:ascii="Times New Roman" w:eastAsia="Calibri" w:hAnsi="Times New Roman"/>
          <w:bCs/>
          <w:sz w:val="28"/>
          <w:szCs w:val="28"/>
          <w:lang w:val="en-MY"/>
        </w:rPr>
      </w:pPr>
      <w:r w:rsidRPr="002F439B">
        <w:rPr>
          <w:rFonts w:ascii="Times New Roman" w:eastAsia="Calibri" w:hAnsi="Times New Roman"/>
          <w:bCs/>
          <w:sz w:val="28"/>
          <w:szCs w:val="28"/>
          <w:lang w:val="en-MY"/>
        </w:rPr>
        <w:t>SIMPLE µ-SOLID PHASE EXTRACTION USING C</w:t>
      </w:r>
      <w:r w:rsidRPr="002F439B">
        <w:rPr>
          <w:rFonts w:ascii="Times New Roman" w:eastAsia="Calibri" w:hAnsi="Times New Roman"/>
          <w:bCs/>
          <w:sz w:val="28"/>
          <w:szCs w:val="28"/>
          <w:vertAlign w:val="subscript"/>
          <w:lang w:val="en-MY"/>
        </w:rPr>
        <w:t>18</w:t>
      </w:r>
      <w:r w:rsidRPr="002F439B">
        <w:rPr>
          <w:rFonts w:ascii="Times New Roman" w:eastAsia="Calibri" w:hAnsi="Times New Roman"/>
          <w:bCs/>
          <w:sz w:val="28"/>
          <w:szCs w:val="28"/>
          <w:lang w:val="en-MY"/>
        </w:rPr>
        <w:t xml:space="preserve"> FILM FOR THE EXTRACTION OF POLYCYCLIC AROMATIC HYDROCARBONS IN COFFEE BEVERAGE</w:t>
      </w:r>
    </w:p>
    <w:p w:rsidR="002F439B" w:rsidRPr="00584932" w:rsidRDefault="002F439B" w:rsidP="002F439B">
      <w:pPr>
        <w:spacing w:after="0" w:line="240" w:lineRule="auto"/>
        <w:jc w:val="center"/>
        <w:outlineLvl w:val="0"/>
        <w:rPr>
          <w:rFonts w:ascii="Times New Roman" w:hAnsi="Times New Roman"/>
          <w:b/>
          <w:sz w:val="24"/>
        </w:rPr>
      </w:pPr>
    </w:p>
    <w:p w:rsidR="002F439B" w:rsidRPr="00584932" w:rsidRDefault="002F439B" w:rsidP="002F439B">
      <w:pPr>
        <w:spacing w:after="0" w:line="240" w:lineRule="auto"/>
        <w:jc w:val="center"/>
        <w:outlineLvl w:val="0"/>
        <w:rPr>
          <w:rFonts w:ascii="Times New Roman" w:hAnsi="Times New Roman"/>
          <w:sz w:val="24"/>
          <w:lang w:val="ms-MY"/>
        </w:rPr>
      </w:pPr>
      <w:r w:rsidRPr="00584932">
        <w:rPr>
          <w:rFonts w:ascii="Times New Roman" w:hAnsi="Times New Roman"/>
          <w:sz w:val="24"/>
          <w:lang w:val="ms-MY"/>
        </w:rPr>
        <w:t>(Pengekstrakan µ-Fasa Pepejal yang Mudah Menggunakan Filem C</w:t>
      </w:r>
      <w:r w:rsidRPr="00584932">
        <w:rPr>
          <w:rFonts w:ascii="Times New Roman" w:hAnsi="Times New Roman"/>
          <w:sz w:val="24"/>
          <w:vertAlign w:val="subscript"/>
          <w:lang w:val="ms-MY"/>
        </w:rPr>
        <w:t>18</w:t>
      </w:r>
      <w:r w:rsidRPr="00584932">
        <w:rPr>
          <w:rFonts w:ascii="Times New Roman" w:hAnsi="Times New Roman"/>
          <w:sz w:val="24"/>
          <w:lang w:val="ms-MY"/>
        </w:rPr>
        <w:t xml:space="preserve"> untuk Pengekstrakan Hidrokarbon Aromatik Polisiklik dalam Minuman Kopi)</w:t>
      </w:r>
    </w:p>
    <w:p w:rsidR="002F439B" w:rsidRPr="002F439B" w:rsidRDefault="002F439B" w:rsidP="002F439B">
      <w:pPr>
        <w:spacing w:after="0" w:line="240" w:lineRule="auto"/>
        <w:jc w:val="center"/>
        <w:outlineLvl w:val="0"/>
        <w:rPr>
          <w:rFonts w:ascii="Times New Roman" w:hAnsi="Times New Roman"/>
          <w:b/>
          <w:sz w:val="20"/>
          <w:szCs w:val="20"/>
        </w:rPr>
      </w:pPr>
    </w:p>
    <w:p w:rsidR="002F439B" w:rsidRPr="002F439B" w:rsidRDefault="002F439B" w:rsidP="002F439B">
      <w:pPr>
        <w:spacing w:after="0" w:line="240" w:lineRule="auto"/>
        <w:jc w:val="center"/>
        <w:outlineLvl w:val="0"/>
        <w:rPr>
          <w:rFonts w:ascii="Times New Roman" w:hAnsi="Times New Roman"/>
          <w:sz w:val="20"/>
          <w:szCs w:val="20"/>
          <w:vertAlign w:val="superscript"/>
        </w:rPr>
      </w:pPr>
      <w:r w:rsidRPr="002F439B">
        <w:rPr>
          <w:rFonts w:ascii="Times New Roman" w:hAnsi="Times New Roman"/>
          <w:sz w:val="20"/>
          <w:szCs w:val="20"/>
        </w:rPr>
        <w:t>Saw Hong Loh</w:t>
      </w:r>
      <w:r w:rsidRPr="002F439B">
        <w:rPr>
          <w:rFonts w:ascii="Times New Roman" w:hAnsi="Times New Roman"/>
          <w:sz w:val="20"/>
          <w:szCs w:val="20"/>
          <w:vertAlign w:val="superscript"/>
        </w:rPr>
        <w:t>1</w:t>
      </w:r>
      <w:r w:rsidRPr="002F439B">
        <w:rPr>
          <w:rFonts w:ascii="Times New Roman" w:hAnsi="Times New Roman"/>
          <w:sz w:val="20"/>
          <w:szCs w:val="20"/>
        </w:rPr>
        <w:t>*, Pei Ee Neoh</w:t>
      </w:r>
      <w:r w:rsidRPr="002F439B">
        <w:rPr>
          <w:rFonts w:ascii="Times New Roman" w:hAnsi="Times New Roman"/>
          <w:sz w:val="20"/>
          <w:szCs w:val="20"/>
          <w:vertAlign w:val="superscript"/>
        </w:rPr>
        <w:t>1</w:t>
      </w:r>
      <w:r w:rsidRPr="002F439B">
        <w:rPr>
          <w:rFonts w:ascii="Times New Roman" w:hAnsi="Times New Roman"/>
          <w:sz w:val="20"/>
          <w:szCs w:val="20"/>
        </w:rPr>
        <w:t>, Chee Tung Tai</w:t>
      </w:r>
      <w:r w:rsidRPr="002F439B">
        <w:rPr>
          <w:rFonts w:ascii="Times New Roman" w:hAnsi="Times New Roman"/>
          <w:sz w:val="20"/>
          <w:szCs w:val="20"/>
          <w:vertAlign w:val="superscript"/>
        </w:rPr>
        <w:t>1</w:t>
      </w:r>
      <w:r w:rsidRPr="002F439B">
        <w:rPr>
          <w:rFonts w:ascii="Times New Roman" w:hAnsi="Times New Roman"/>
          <w:sz w:val="20"/>
          <w:szCs w:val="20"/>
        </w:rPr>
        <w:t>, Sazlinda Kamaruzaman</w:t>
      </w:r>
      <w:r w:rsidRPr="002F439B">
        <w:rPr>
          <w:rFonts w:ascii="Times New Roman" w:hAnsi="Times New Roman"/>
          <w:sz w:val="20"/>
          <w:szCs w:val="20"/>
          <w:vertAlign w:val="superscript"/>
        </w:rPr>
        <w:t>2</w:t>
      </w:r>
    </w:p>
    <w:p w:rsidR="002F439B" w:rsidRPr="00584932" w:rsidRDefault="002F439B" w:rsidP="002F439B">
      <w:pPr>
        <w:spacing w:after="0" w:line="240" w:lineRule="auto"/>
        <w:outlineLvl w:val="0"/>
        <w:rPr>
          <w:rFonts w:ascii="Times New Roman" w:hAnsi="Times New Roman"/>
          <w:b/>
          <w:sz w:val="18"/>
          <w:szCs w:val="18"/>
        </w:rPr>
      </w:pPr>
    </w:p>
    <w:p w:rsidR="002F439B" w:rsidRPr="00584932" w:rsidRDefault="002F439B" w:rsidP="002F439B">
      <w:pPr>
        <w:spacing w:after="0" w:line="240" w:lineRule="auto"/>
        <w:jc w:val="center"/>
        <w:outlineLvl w:val="0"/>
        <w:rPr>
          <w:rFonts w:ascii="Times New Roman" w:hAnsi="Times New Roman"/>
          <w:i/>
          <w:sz w:val="18"/>
          <w:szCs w:val="18"/>
        </w:rPr>
      </w:pPr>
      <w:r w:rsidRPr="00584932">
        <w:rPr>
          <w:rFonts w:ascii="Times New Roman" w:hAnsi="Times New Roman"/>
          <w:i/>
          <w:sz w:val="18"/>
          <w:szCs w:val="18"/>
          <w:vertAlign w:val="superscript"/>
        </w:rPr>
        <w:t>1</w:t>
      </w:r>
      <w:r w:rsidRPr="00584932">
        <w:rPr>
          <w:rFonts w:ascii="Times New Roman" w:hAnsi="Times New Roman"/>
          <w:i/>
          <w:sz w:val="18"/>
          <w:szCs w:val="18"/>
        </w:rPr>
        <w:t>School of Marine and Environmental Sciences,</w:t>
      </w:r>
    </w:p>
    <w:p w:rsidR="002F439B" w:rsidRPr="00584932" w:rsidRDefault="002F439B" w:rsidP="002F439B">
      <w:pPr>
        <w:spacing w:after="0" w:line="240" w:lineRule="auto"/>
        <w:jc w:val="center"/>
        <w:outlineLvl w:val="0"/>
        <w:rPr>
          <w:rFonts w:ascii="Times New Roman" w:hAnsi="Times New Roman"/>
          <w:i/>
          <w:sz w:val="18"/>
          <w:szCs w:val="18"/>
        </w:rPr>
      </w:pPr>
      <w:r w:rsidRPr="00584932">
        <w:rPr>
          <w:rFonts w:ascii="Times New Roman" w:hAnsi="Times New Roman"/>
          <w:i/>
          <w:sz w:val="18"/>
          <w:szCs w:val="18"/>
        </w:rPr>
        <w:t xml:space="preserve"> Universiti Malaysia Terengganu, 21030 Kuala Nerus, Terengganu, Malaysia</w:t>
      </w:r>
    </w:p>
    <w:p w:rsidR="002F439B" w:rsidRPr="00584932" w:rsidRDefault="002F439B" w:rsidP="002F439B">
      <w:pPr>
        <w:spacing w:after="0" w:line="240" w:lineRule="auto"/>
        <w:jc w:val="center"/>
        <w:outlineLvl w:val="0"/>
        <w:rPr>
          <w:rFonts w:ascii="Times New Roman" w:hAnsi="Times New Roman"/>
          <w:i/>
          <w:sz w:val="18"/>
          <w:szCs w:val="18"/>
        </w:rPr>
      </w:pPr>
      <w:r w:rsidRPr="00584932">
        <w:rPr>
          <w:rFonts w:ascii="Times New Roman" w:hAnsi="Times New Roman"/>
          <w:i/>
          <w:sz w:val="18"/>
          <w:szCs w:val="18"/>
          <w:vertAlign w:val="superscript"/>
        </w:rPr>
        <w:t>2</w:t>
      </w:r>
      <w:r w:rsidRPr="00584932">
        <w:rPr>
          <w:rFonts w:ascii="Times New Roman" w:hAnsi="Times New Roman"/>
          <w:i/>
          <w:sz w:val="18"/>
          <w:szCs w:val="18"/>
        </w:rPr>
        <w:t xml:space="preserve">Department of Chemistry, Faculty of Science, </w:t>
      </w:r>
    </w:p>
    <w:p w:rsidR="002F439B" w:rsidRPr="00584932" w:rsidRDefault="002F439B" w:rsidP="002F439B">
      <w:pPr>
        <w:spacing w:after="0" w:line="240" w:lineRule="auto"/>
        <w:jc w:val="center"/>
        <w:outlineLvl w:val="0"/>
        <w:rPr>
          <w:rFonts w:ascii="Times New Roman" w:hAnsi="Times New Roman"/>
          <w:i/>
          <w:sz w:val="18"/>
          <w:szCs w:val="18"/>
        </w:rPr>
      </w:pPr>
      <w:r w:rsidRPr="00584932">
        <w:rPr>
          <w:rFonts w:ascii="Times New Roman" w:hAnsi="Times New Roman"/>
          <w:i/>
          <w:sz w:val="18"/>
          <w:szCs w:val="18"/>
        </w:rPr>
        <w:t>Universiti Putra Malaysia, 43400 Serdang, Selangor, Malaysia</w:t>
      </w:r>
    </w:p>
    <w:p w:rsidR="00AC0033" w:rsidRPr="00F447A7" w:rsidRDefault="00AC0033" w:rsidP="002F439B">
      <w:pPr>
        <w:spacing w:after="0" w:line="240" w:lineRule="auto"/>
        <w:jc w:val="center"/>
        <w:rPr>
          <w:rFonts w:ascii="Times New Roman" w:hAnsi="Times New Roman"/>
          <w:noProof/>
          <w:sz w:val="18"/>
          <w:szCs w:val="18"/>
          <w:lang w:bidi="ar-SA"/>
        </w:rPr>
      </w:pPr>
    </w:p>
    <w:p w:rsidR="00AC0033" w:rsidRPr="002F439B" w:rsidRDefault="00AC0033" w:rsidP="002F439B">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2F439B" w:rsidRPr="00584932">
        <w:rPr>
          <w:rFonts w:ascii="Times New Roman" w:hAnsi="Times New Roman"/>
          <w:i/>
          <w:sz w:val="18"/>
        </w:rPr>
        <w:t>lohsh@umt.edu.my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F439B">
        <w:rPr>
          <w:rFonts w:ascii="Times New Roman" w:hAnsi="Times New Roman"/>
          <w:noProof/>
          <w:sz w:val="18"/>
          <w:szCs w:val="18"/>
          <w:lang w:bidi="ar-SA"/>
        </w:rPr>
        <w:t>6 July 2017</w:t>
      </w:r>
      <w:r>
        <w:rPr>
          <w:rFonts w:ascii="Times New Roman" w:hAnsi="Times New Roman"/>
          <w:noProof/>
          <w:sz w:val="18"/>
          <w:szCs w:val="18"/>
          <w:lang w:bidi="ar-SA"/>
        </w:rPr>
        <w:t xml:space="preserve">; Accepted: </w:t>
      </w:r>
      <w:r w:rsidR="002F439B">
        <w:rPr>
          <w:rFonts w:ascii="Times New Roman" w:hAnsi="Times New Roman"/>
          <w:noProof/>
          <w:sz w:val="18"/>
          <w:szCs w:val="18"/>
          <w:lang w:bidi="ar-SA"/>
        </w:rPr>
        <w:t>15 August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F439B" w:rsidRPr="00584932" w:rsidRDefault="002F439B" w:rsidP="002F439B">
      <w:pPr>
        <w:spacing w:after="0" w:line="240" w:lineRule="auto"/>
        <w:jc w:val="both"/>
        <w:outlineLvl w:val="0"/>
        <w:rPr>
          <w:rFonts w:ascii="Times New Roman" w:hAnsi="Times New Roman"/>
          <w:sz w:val="18"/>
          <w:szCs w:val="18"/>
        </w:rPr>
      </w:pPr>
      <w:r w:rsidRPr="00584932">
        <w:rPr>
          <w:rFonts w:ascii="Times New Roman" w:eastAsia="Calibri" w:hAnsi="Times New Roman"/>
          <w:sz w:val="18"/>
          <w:szCs w:val="18"/>
          <w:lang w:val="en-MY"/>
        </w:rPr>
        <w:t>Polycyclic aromatic hydrocarbons (PAHs) are produced as by-products in the coffee roasting process. A simple and efficient micro-solid phase extraction (µ-SPE) procedure coupled with high performance liquid chromatography and fluorescence detection has been developed for the simultaneous analysis of selected PAHs, namely phenanthrene (PHE) and benzo[a]pyrene (BaP) in coffee beverage. The method offered trace detection limits in the range of 0.003 to 0.1 µg/L and good relative recovery average in the range of 88.3 to 95.7%. The µ-SPE procedure has been simplified by employing C</w:t>
      </w:r>
      <w:r w:rsidRPr="00584932">
        <w:rPr>
          <w:rFonts w:ascii="Times New Roman" w:eastAsia="Calibri" w:hAnsi="Times New Roman"/>
          <w:sz w:val="18"/>
          <w:szCs w:val="18"/>
          <w:vertAlign w:val="subscript"/>
          <w:lang w:val="en-MY"/>
        </w:rPr>
        <w:t>18</w:t>
      </w:r>
      <w:r w:rsidRPr="00584932">
        <w:rPr>
          <w:rFonts w:ascii="Times New Roman" w:eastAsia="Calibri" w:hAnsi="Times New Roman"/>
          <w:sz w:val="18"/>
          <w:szCs w:val="18"/>
          <w:lang w:val="en-MY"/>
        </w:rPr>
        <w:t xml:space="preserve"> film as an adsorbent. The method is beneficial in terms of rapidity, simple operation, in-expensive, consumption of micro volumes of solvent and biodegradable agarose film as the adsorbent holder. The method was then applied to analyse five coffee beverage samples and the results indicated the presence of BaP in the range of 1.0 to 1.9 µg/L</w:t>
      </w:r>
      <w:r w:rsidRPr="00584932">
        <w:rPr>
          <w:rFonts w:ascii="Times New Roman" w:hAnsi="Times New Roman"/>
          <w:sz w:val="18"/>
          <w:szCs w:val="18"/>
        </w:rPr>
        <w:t xml:space="preserve">. </w:t>
      </w:r>
    </w:p>
    <w:p w:rsidR="002F439B" w:rsidRPr="00584932" w:rsidRDefault="002F439B" w:rsidP="002F439B">
      <w:pPr>
        <w:spacing w:after="0" w:line="240" w:lineRule="auto"/>
        <w:jc w:val="both"/>
        <w:outlineLvl w:val="0"/>
        <w:rPr>
          <w:rFonts w:ascii="Times New Roman" w:hAnsi="Times New Roman"/>
          <w:sz w:val="18"/>
          <w:szCs w:val="18"/>
        </w:rPr>
      </w:pPr>
    </w:p>
    <w:p w:rsidR="002F439B" w:rsidRPr="00584932" w:rsidRDefault="002F439B" w:rsidP="002F439B">
      <w:pPr>
        <w:spacing w:after="0" w:line="240" w:lineRule="auto"/>
        <w:jc w:val="both"/>
        <w:outlineLvl w:val="0"/>
        <w:rPr>
          <w:rFonts w:ascii="Times New Roman" w:hAnsi="Times New Roman"/>
        </w:rPr>
      </w:pPr>
      <w:r w:rsidRPr="00584932">
        <w:rPr>
          <w:rFonts w:ascii="Times New Roman" w:hAnsi="Times New Roman"/>
          <w:b/>
          <w:sz w:val="18"/>
          <w:szCs w:val="18"/>
        </w:rPr>
        <w:t>Keywords</w:t>
      </w:r>
      <w:r w:rsidRPr="00584932">
        <w:rPr>
          <w:rFonts w:ascii="Times New Roman" w:hAnsi="Times New Roman"/>
          <w:sz w:val="18"/>
          <w:szCs w:val="18"/>
        </w:rPr>
        <w:t>:</w:t>
      </w:r>
      <w:r>
        <w:rPr>
          <w:rFonts w:ascii="Times New Roman" w:hAnsi="Times New Roman"/>
        </w:rPr>
        <w:t xml:space="preserve">  </w:t>
      </w:r>
      <w:r w:rsidRPr="00584932">
        <w:rPr>
          <w:rFonts w:ascii="Times New Roman" w:hAnsi="Times New Roman"/>
          <w:sz w:val="18"/>
          <w:szCs w:val="18"/>
        </w:rPr>
        <w:t>a</w:t>
      </w:r>
      <w:r w:rsidRPr="00584932">
        <w:rPr>
          <w:rFonts w:ascii="Times New Roman" w:eastAsia="Calibri" w:hAnsi="Times New Roman"/>
          <w:sz w:val="18"/>
          <w:szCs w:val="18"/>
          <w:lang w:val="en-MY"/>
        </w:rPr>
        <w:t>garose, polycyclic aromatic hydrocarbons, coffee, C</w:t>
      </w:r>
      <w:r w:rsidRPr="00584932">
        <w:rPr>
          <w:rFonts w:ascii="Times New Roman" w:eastAsia="Calibri" w:hAnsi="Times New Roman"/>
          <w:sz w:val="18"/>
          <w:szCs w:val="18"/>
          <w:vertAlign w:val="subscript"/>
          <w:lang w:val="en-MY"/>
        </w:rPr>
        <w:t>18</w:t>
      </w:r>
      <w:r w:rsidRPr="00584932">
        <w:rPr>
          <w:rFonts w:ascii="Times New Roman" w:eastAsia="Calibri" w:hAnsi="Times New Roman"/>
          <w:sz w:val="18"/>
          <w:szCs w:val="18"/>
          <w:lang w:val="en-MY"/>
        </w:rPr>
        <w:t>, micro-solid phase extraction</w:t>
      </w:r>
    </w:p>
    <w:p w:rsidR="002F439B" w:rsidRPr="00584932" w:rsidRDefault="002F439B" w:rsidP="002F439B">
      <w:pPr>
        <w:spacing w:after="0" w:line="240" w:lineRule="auto"/>
        <w:jc w:val="center"/>
        <w:outlineLvl w:val="0"/>
        <w:rPr>
          <w:rFonts w:ascii="Times New Roman" w:hAnsi="Times New Roman"/>
          <w:b/>
          <w:sz w:val="18"/>
          <w:szCs w:val="18"/>
        </w:rPr>
      </w:pPr>
    </w:p>
    <w:p w:rsidR="002F439B" w:rsidRPr="00584932" w:rsidRDefault="002F439B" w:rsidP="002F439B">
      <w:pPr>
        <w:spacing w:after="0" w:line="240" w:lineRule="auto"/>
        <w:jc w:val="center"/>
        <w:outlineLvl w:val="0"/>
        <w:rPr>
          <w:rFonts w:ascii="Times New Roman" w:hAnsi="Times New Roman"/>
          <w:b/>
          <w:sz w:val="18"/>
          <w:szCs w:val="18"/>
        </w:rPr>
      </w:pPr>
      <w:r w:rsidRPr="00584932">
        <w:rPr>
          <w:rFonts w:ascii="Times New Roman" w:hAnsi="Times New Roman"/>
          <w:b/>
          <w:sz w:val="18"/>
          <w:szCs w:val="18"/>
        </w:rPr>
        <w:t>Abstrak</w:t>
      </w:r>
    </w:p>
    <w:p w:rsidR="002F439B" w:rsidRPr="00584932" w:rsidRDefault="002F439B" w:rsidP="002F439B">
      <w:pPr>
        <w:spacing w:after="0" w:line="240" w:lineRule="auto"/>
        <w:jc w:val="both"/>
        <w:outlineLvl w:val="0"/>
        <w:rPr>
          <w:rFonts w:ascii="Times New Roman" w:hAnsi="Times New Roman"/>
          <w:sz w:val="18"/>
          <w:szCs w:val="18"/>
          <w:lang w:val="ms-MY"/>
        </w:rPr>
      </w:pPr>
      <w:r w:rsidRPr="00584932">
        <w:rPr>
          <w:rFonts w:ascii="Times New Roman" w:hAnsi="Times New Roman"/>
          <w:sz w:val="18"/>
          <w:szCs w:val="18"/>
          <w:lang w:val="ms-MY"/>
        </w:rPr>
        <w:t>Hidrokarbon aromatik polisiklik (PAHs) dihasilkan sebagai produk sampingan dalam proses memanggang kopi. Suatu prosedur pengekstrakan mikro-fasa pepejal (µ-SPE) yang mudah dan cekap bergabung dengan kromatografi cecair berprestasi tinggi dan pengesanan pendarfluor telah dibangunkan untuk analisis serentak PAHs terpilih, iaitu fenanterena (PHE) dan benzo[a]pirena (BaP) dalam minuman kopi. Kaedah ini menawarkan had pengesanan surih dalam julat 0.003 hingga 0.1 µg/L dan purata perolehan semula relatif yang baik dalam julat 88.3 hingga 95.7%. Prosedur µ-SPE ini telah diringkaskan dengan menggunakan filem C</w:t>
      </w:r>
      <w:r w:rsidRPr="00584932">
        <w:rPr>
          <w:rFonts w:ascii="Times New Roman" w:hAnsi="Times New Roman"/>
          <w:sz w:val="18"/>
          <w:szCs w:val="18"/>
          <w:vertAlign w:val="subscript"/>
          <w:lang w:val="ms-MY"/>
        </w:rPr>
        <w:t>18</w:t>
      </w:r>
      <w:r w:rsidRPr="00584932">
        <w:rPr>
          <w:rFonts w:ascii="Times New Roman" w:hAnsi="Times New Roman"/>
          <w:sz w:val="18"/>
          <w:szCs w:val="18"/>
          <w:lang w:val="ms-MY"/>
        </w:rPr>
        <w:t xml:space="preserve"> sebagai penjerap. Kaedah ini berfaedah daripada aspek ianya cepat, beroperasi mudah, tidak mahal, penggunaan isipadu pelarut yang mikro dan filem agarosa yang terdegradasi-bio sebagai pemegang penjerap. Kaedah ini kemudian diaplikasikan untuk menganalisa lima sampel minuman kopi dan keputusan menunjukkan kehadiran BaP dalam julat </w:t>
      </w:r>
      <w:r w:rsidRPr="00584932">
        <w:rPr>
          <w:rFonts w:ascii="Times New Roman" w:eastAsia="Calibri" w:hAnsi="Times New Roman"/>
          <w:sz w:val="18"/>
          <w:szCs w:val="18"/>
          <w:lang w:val="ms-MY"/>
        </w:rPr>
        <w:t>1.0 hingga 1.9 µg/L.</w:t>
      </w:r>
    </w:p>
    <w:p w:rsidR="002F439B" w:rsidRPr="00584932" w:rsidRDefault="002F439B" w:rsidP="002F439B">
      <w:pPr>
        <w:spacing w:after="0" w:line="240" w:lineRule="auto"/>
        <w:jc w:val="both"/>
        <w:outlineLvl w:val="0"/>
        <w:rPr>
          <w:rFonts w:ascii="Times New Roman" w:hAnsi="Times New Roman"/>
          <w:sz w:val="18"/>
          <w:szCs w:val="18"/>
        </w:rPr>
      </w:pPr>
    </w:p>
    <w:p w:rsidR="002F439B" w:rsidRPr="00584932" w:rsidRDefault="002F439B" w:rsidP="002F439B">
      <w:pPr>
        <w:spacing w:after="0" w:line="240" w:lineRule="auto"/>
        <w:jc w:val="both"/>
        <w:outlineLvl w:val="0"/>
        <w:rPr>
          <w:rFonts w:ascii="Times New Roman" w:hAnsi="Times New Roman"/>
          <w:b/>
          <w:szCs w:val="20"/>
        </w:rPr>
      </w:pPr>
      <w:r w:rsidRPr="00584932">
        <w:rPr>
          <w:rFonts w:ascii="Times New Roman" w:hAnsi="Times New Roman"/>
          <w:b/>
          <w:sz w:val="18"/>
          <w:szCs w:val="18"/>
        </w:rPr>
        <w:t>Kata kunci:</w:t>
      </w:r>
      <w:r w:rsidRPr="00584932">
        <w:rPr>
          <w:rFonts w:ascii="Times New Roman" w:hAnsi="Times New Roman"/>
          <w:sz w:val="18"/>
          <w:szCs w:val="18"/>
        </w:rPr>
        <w:t xml:space="preserve"> </w:t>
      </w:r>
      <w:r>
        <w:rPr>
          <w:rFonts w:ascii="Times New Roman" w:hAnsi="Times New Roman"/>
          <w:sz w:val="18"/>
          <w:szCs w:val="18"/>
        </w:rPr>
        <w:t xml:space="preserve"> </w:t>
      </w:r>
      <w:r w:rsidRPr="00584932">
        <w:rPr>
          <w:rFonts w:ascii="Times New Roman" w:hAnsi="Times New Roman"/>
          <w:sz w:val="18"/>
          <w:szCs w:val="18"/>
        </w:rPr>
        <w:t>agarosa, hidrokarbon aromatik polisiklik, kopi,</w:t>
      </w:r>
      <w:r w:rsidRPr="00584932">
        <w:rPr>
          <w:rFonts w:ascii="Times New Roman" w:eastAsia="Calibri" w:hAnsi="Times New Roman"/>
          <w:sz w:val="18"/>
          <w:szCs w:val="18"/>
          <w:lang w:val="en-MY"/>
        </w:rPr>
        <w:t xml:space="preserve"> C</w:t>
      </w:r>
      <w:r w:rsidRPr="00584932">
        <w:rPr>
          <w:rFonts w:ascii="Times New Roman" w:eastAsia="Calibri" w:hAnsi="Times New Roman"/>
          <w:sz w:val="18"/>
          <w:szCs w:val="18"/>
          <w:vertAlign w:val="subscript"/>
          <w:lang w:val="en-MY"/>
        </w:rPr>
        <w:t>18</w:t>
      </w:r>
      <w:r w:rsidRPr="00584932">
        <w:rPr>
          <w:rFonts w:ascii="Times New Roman" w:eastAsia="Calibri" w:hAnsi="Times New Roman"/>
          <w:sz w:val="18"/>
          <w:szCs w:val="18"/>
          <w:lang w:val="en-MY"/>
        </w:rPr>
        <w:t>, pengekstrakan mikro-fasa pepejal</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F439B" w:rsidRPr="002F439B" w:rsidRDefault="002F439B" w:rsidP="002F439B">
      <w:pPr>
        <w:spacing w:after="0" w:line="240" w:lineRule="auto"/>
        <w:jc w:val="both"/>
        <w:outlineLvl w:val="0"/>
        <w:rPr>
          <w:rFonts w:ascii="Times New Roman" w:hAnsi="Times New Roman"/>
          <w:sz w:val="20"/>
          <w:szCs w:val="20"/>
        </w:rPr>
      </w:pPr>
      <w:r w:rsidRPr="002F439B">
        <w:rPr>
          <w:rFonts w:ascii="Times New Roman" w:eastAsia="Calibri" w:hAnsi="Times New Roman"/>
          <w:sz w:val="20"/>
          <w:szCs w:val="20"/>
          <w:lang w:val="en-MY"/>
        </w:rPr>
        <w:t xml:space="preserve">Polycyclic aromatic hydrocarbons (PAHs) are classified as relatively persistent organic environmental contaminants. Several PAHs, including benzo[a]pyrene (BaP) are classified as carcinogen and mutagen [1]. Human </w:t>
      </w:r>
      <w:r w:rsidRPr="002F439B">
        <w:rPr>
          <w:rFonts w:ascii="Times New Roman" w:eastAsia="Calibri" w:hAnsi="Times New Roman"/>
          <w:sz w:val="20"/>
          <w:szCs w:val="20"/>
          <w:lang w:val="en-MY"/>
        </w:rPr>
        <w:lastRenderedPageBreak/>
        <w:t>are usually exposed to PAHs via intake of food. Heat processing of food such as roasting, charcoal grilling and smoking are factors which cause the food contaminated with PAHs. PAHs are non-desirable by-products produced by incomplete combustion during the roasting step in coffee production [2].</w:t>
      </w:r>
      <w:r w:rsidRPr="002F439B">
        <w:rPr>
          <w:rFonts w:ascii="Times New Roman" w:hAnsi="Times New Roman"/>
          <w:sz w:val="20"/>
          <w:szCs w:val="20"/>
        </w:rPr>
        <w:t xml:space="preserve"> </w:t>
      </w:r>
      <w:r w:rsidRPr="002F439B">
        <w:rPr>
          <w:rFonts w:ascii="Times New Roman" w:eastAsia="Calibri" w:hAnsi="Times New Roman"/>
          <w:sz w:val="20"/>
          <w:szCs w:val="20"/>
          <w:lang w:val="en-MY"/>
        </w:rPr>
        <w:t>T</w:t>
      </w:r>
      <w:r w:rsidRPr="002F439B">
        <w:rPr>
          <w:rFonts w:ascii="Times New Roman" w:eastAsia="Calibri" w:hAnsi="Times New Roman"/>
          <w:sz w:val="20"/>
          <w:szCs w:val="20"/>
          <w:lang w:val="ms-MY"/>
        </w:rPr>
        <w:t>he 1971 World Health Organisation International Standards has recommended a guideline for six representative PAH compounds namely fluoranthene, 3,4-benzfluoranthene, 11,12-benzfluoranthene, 3,4-benzpyrene, 1,12-benzpyrene and indeno[1,2,3-cd]pyrene as not exceeding 0.0002 mg L</w:t>
      </w:r>
      <w:r w:rsidRPr="002F439B">
        <w:rPr>
          <w:rFonts w:ascii="Times New Roman" w:eastAsia="Calibri" w:hAnsi="Times New Roman"/>
          <w:sz w:val="20"/>
          <w:szCs w:val="20"/>
          <w:vertAlign w:val="superscript"/>
          <w:lang w:val="ms-MY"/>
        </w:rPr>
        <w:t>-1</w:t>
      </w:r>
      <w:r w:rsidRPr="002F439B">
        <w:rPr>
          <w:rFonts w:ascii="Times New Roman" w:eastAsia="Calibri" w:hAnsi="Times New Roman"/>
          <w:sz w:val="20"/>
          <w:szCs w:val="20"/>
          <w:lang w:val="ms-MY"/>
        </w:rPr>
        <w:t xml:space="preserve"> in drinking water [3]. </w:t>
      </w:r>
      <w:r w:rsidRPr="002F439B">
        <w:rPr>
          <w:rFonts w:ascii="Times New Roman" w:eastAsia="Calibri" w:hAnsi="Times New Roman"/>
          <w:sz w:val="20"/>
          <w:szCs w:val="20"/>
          <w:lang w:val="en-MY"/>
        </w:rPr>
        <w:t>To the best of our knowledge, there is no specific maximum residue guideline established for beverage</w:t>
      </w:r>
      <w:r w:rsidRPr="002F439B">
        <w:rPr>
          <w:rFonts w:ascii="Times New Roman" w:hAnsi="Times New Roman"/>
          <w:sz w:val="20"/>
          <w:szCs w:val="20"/>
        </w:rPr>
        <w:t xml:space="preserve">. </w:t>
      </w:r>
    </w:p>
    <w:p w:rsidR="002F439B" w:rsidRPr="002F439B" w:rsidRDefault="002F439B" w:rsidP="002F439B">
      <w:pPr>
        <w:spacing w:after="0" w:line="240" w:lineRule="auto"/>
        <w:jc w:val="both"/>
        <w:outlineLvl w:val="0"/>
        <w:rPr>
          <w:rFonts w:ascii="Times New Roman" w:hAnsi="Times New Roman"/>
          <w:sz w:val="20"/>
          <w:szCs w:val="20"/>
        </w:rPr>
      </w:pPr>
    </w:p>
    <w:p w:rsidR="002F439B" w:rsidRPr="002F439B" w:rsidRDefault="002F439B" w:rsidP="002F439B">
      <w:pPr>
        <w:spacing w:after="0" w:line="240" w:lineRule="auto"/>
        <w:jc w:val="both"/>
        <w:outlineLvl w:val="0"/>
        <w:rPr>
          <w:rFonts w:ascii="Times New Roman" w:eastAsia="Calibri" w:hAnsi="Times New Roman"/>
          <w:sz w:val="20"/>
          <w:szCs w:val="20"/>
          <w:lang w:val="en-MY"/>
        </w:rPr>
      </w:pPr>
      <w:r w:rsidRPr="002F439B">
        <w:rPr>
          <w:rFonts w:ascii="Times New Roman" w:eastAsia="Calibri" w:hAnsi="Times New Roman"/>
          <w:sz w:val="20"/>
          <w:szCs w:val="20"/>
          <w:lang w:val="en-MY"/>
        </w:rPr>
        <w:t>Classic techniques such as liquid-liquid extraction (LLE) and solid phase extraction (SPE) are frequently used to extract PAHs in various matrices [4-7]. However, these techniques are not eco-friendly as they applied large amounts of organic solvent during extraction. Therefore, micro-scale sample preparation techniques that work towards green chemistry are developed.</w:t>
      </w:r>
    </w:p>
    <w:p w:rsidR="002F439B" w:rsidRPr="002F439B" w:rsidRDefault="002F439B" w:rsidP="002F439B">
      <w:pPr>
        <w:spacing w:after="0" w:line="240" w:lineRule="auto"/>
        <w:jc w:val="both"/>
        <w:outlineLvl w:val="0"/>
        <w:rPr>
          <w:rFonts w:ascii="Times New Roman" w:eastAsia="Calibri" w:hAnsi="Times New Roman"/>
          <w:sz w:val="20"/>
          <w:szCs w:val="20"/>
          <w:lang w:val="en-MY"/>
        </w:rPr>
      </w:pPr>
    </w:p>
    <w:p w:rsidR="002F439B" w:rsidRPr="002F439B" w:rsidRDefault="002F439B" w:rsidP="002F439B">
      <w:pPr>
        <w:spacing w:after="0" w:line="240" w:lineRule="auto"/>
        <w:jc w:val="both"/>
        <w:rPr>
          <w:rFonts w:ascii="Times New Roman" w:eastAsia="Calibri" w:hAnsi="Times New Roman"/>
          <w:sz w:val="20"/>
          <w:szCs w:val="20"/>
          <w:lang w:val="en-MY"/>
        </w:rPr>
      </w:pPr>
      <w:r w:rsidRPr="002F439B">
        <w:rPr>
          <w:rFonts w:ascii="Times New Roman" w:eastAsia="Calibri" w:hAnsi="Times New Roman"/>
          <w:sz w:val="20"/>
          <w:szCs w:val="20"/>
          <w:lang w:val="en-MY"/>
        </w:rPr>
        <w:t xml:space="preserve">Membrane-assisted solvent extraction (MASE) required shorter extraction time (30 min) as compared to stir bar sorptive extraction (SBSE) (3 hours) for the analysis of pesticide and BaP residues in Brazilian sugarcane juice. MASE offered a faster and better analyte recovery technique whereas SBSE has greater sensitivity, repeatability and required lower amounts of sample [8]. Dispersive liquid-liquid microextraction (DLLME) is simple, sensitive and rapid for the extraction and pre-concentration of PAHs from beverage samples because it applies dispersive concept throughout the extraction [9]. Magnetic solid phase extraction simplified the collection of adsorbent disperse in the sample solution and offered ultra-trace analysis of PAHs in both coffee and tea samples [10]. Ishizaki and co-researchers demonstrated online in-tube solid phase microextraction (SPME) that was simple, selective, sensitive and rapid to extract PAHs from food samples [11]. These techniques minimize solvent usage and has gained significant attention. </w:t>
      </w:r>
    </w:p>
    <w:p w:rsidR="002F439B" w:rsidRPr="002F439B" w:rsidRDefault="002F439B" w:rsidP="002F439B">
      <w:pPr>
        <w:spacing w:after="0" w:line="240" w:lineRule="auto"/>
        <w:jc w:val="both"/>
        <w:rPr>
          <w:rFonts w:ascii="Times New Roman" w:eastAsia="Calibri" w:hAnsi="Times New Roman"/>
          <w:sz w:val="20"/>
          <w:szCs w:val="20"/>
          <w:lang w:val="en-MY"/>
        </w:rPr>
      </w:pPr>
    </w:p>
    <w:p w:rsidR="002F439B" w:rsidRPr="002F439B" w:rsidRDefault="002F439B" w:rsidP="002F439B">
      <w:pPr>
        <w:spacing w:after="0" w:line="240" w:lineRule="auto"/>
        <w:jc w:val="both"/>
        <w:outlineLvl w:val="0"/>
        <w:rPr>
          <w:rFonts w:ascii="Times New Roman" w:hAnsi="Times New Roman"/>
          <w:sz w:val="20"/>
          <w:szCs w:val="20"/>
        </w:rPr>
      </w:pPr>
      <w:r w:rsidRPr="002F439B">
        <w:rPr>
          <w:rFonts w:ascii="Times New Roman" w:eastAsia="Calibri" w:hAnsi="Times New Roman"/>
          <w:sz w:val="20"/>
          <w:szCs w:val="20"/>
          <w:lang w:val="en-MY"/>
        </w:rPr>
        <w:t>This study employs agarose as adsorbent holder, which is made up of natural polymer extracted from seaweed. It is a toxic-free and inert material. The</w:t>
      </w:r>
      <w:r w:rsidRPr="002F439B">
        <w:rPr>
          <w:rFonts w:ascii="Times New Roman" w:hAnsi="Times New Roman"/>
          <w:sz w:val="20"/>
          <w:szCs w:val="20"/>
          <w:lang w:val="en-MY"/>
        </w:rPr>
        <w:t xml:space="preserve"> proposed approach in this study displays a double "green chemistry" nature due to its micro-extraction format and the biodegradability of the adsorbent holder.</w:t>
      </w:r>
    </w:p>
    <w:p w:rsidR="002F439B" w:rsidRPr="002F439B" w:rsidRDefault="002F439B" w:rsidP="002F439B">
      <w:pPr>
        <w:spacing w:after="0" w:line="240" w:lineRule="auto"/>
        <w:jc w:val="center"/>
        <w:outlineLvl w:val="0"/>
        <w:rPr>
          <w:rFonts w:ascii="Times New Roman" w:hAnsi="Times New Roman"/>
          <w:sz w:val="20"/>
          <w:szCs w:val="20"/>
        </w:rPr>
      </w:pPr>
    </w:p>
    <w:p w:rsidR="002F439B" w:rsidRPr="002F439B" w:rsidRDefault="002F439B" w:rsidP="002F439B">
      <w:pPr>
        <w:spacing w:after="0" w:line="240" w:lineRule="auto"/>
        <w:jc w:val="center"/>
        <w:outlineLvl w:val="0"/>
        <w:rPr>
          <w:rFonts w:ascii="Times New Roman" w:hAnsi="Times New Roman"/>
          <w:b/>
          <w:sz w:val="20"/>
          <w:szCs w:val="20"/>
        </w:rPr>
      </w:pPr>
      <w:r w:rsidRPr="002F439B">
        <w:rPr>
          <w:rFonts w:ascii="Times New Roman" w:hAnsi="Times New Roman"/>
          <w:b/>
          <w:sz w:val="20"/>
          <w:szCs w:val="20"/>
        </w:rPr>
        <w:t>Materials and Methods</w:t>
      </w: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t>Chemicals and materials</w:t>
      </w:r>
    </w:p>
    <w:p w:rsidR="002F439B" w:rsidRPr="002F439B" w:rsidRDefault="002F439B" w:rsidP="002F439B">
      <w:pPr>
        <w:spacing w:after="0" w:line="240" w:lineRule="auto"/>
        <w:jc w:val="both"/>
        <w:outlineLvl w:val="0"/>
        <w:rPr>
          <w:rFonts w:ascii="Times New Roman" w:eastAsia="Calibri" w:hAnsi="Times New Roman"/>
          <w:sz w:val="20"/>
          <w:szCs w:val="20"/>
          <w:lang w:val="en-MY"/>
        </w:rPr>
      </w:pPr>
      <w:r w:rsidRPr="002F439B">
        <w:rPr>
          <w:rFonts w:ascii="Times New Roman" w:eastAsia="Calibri" w:hAnsi="Times New Roman"/>
          <w:sz w:val="20"/>
          <w:szCs w:val="20"/>
          <w:lang w:val="en-MY"/>
        </w:rPr>
        <w:t>Phenanthrene (PHE) and benzo[a]pyrene (BaP) were purchased from Sigma-Aldrich (</w:t>
      </w:r>
      <w:r w:rsidRPr="002F439B">
        <w:rPr>
          <w:rFonts w:ascii="Times New Roman" w:hAnsi="Times New Roman"/>
          <w:sz w:val="20"/>
          <w:szCs w:val="20"/>
        </w:rPr>
        <w:t>Missouri, United States</w:t>
      </w:r>
      <w:r w:rsidRPr="002F439B">
        <w:rPr>
          <w:rStyle w:val="xbe"/>
          <w:rFonts w:ascii="Times New Roman" w:hAnsi="Times New Roman"/>
          <w:sz w:val="20"/>
          <w:szCs w:val="20"/>
        </w:rPr>
        <w:t>)</w:t>
      </w:r>
      <w:r w:rsidRPr="002F439B">
        <w:rPr>
          <w:rFonts w:ascii="Times New Roman" w:eastAsia="Calibri" w:hAnsi="Times New Roman"/>
          <w:sz w:val="20"/>
          <w:szCs w:val="20"/>
          <w:lang w:val="en-MY"/>
        </w:rPr>
        <w:t>. HPLC grade isopropyl alcohol, methanol and acetonitrile were obtained from Merck (New Jersey, United States). Agarose and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adsorbent were purchased from Sigma-Aldrich (</w:t>
      </w:r>
      <w:r w:rsidRPr="002F439B">
        <w:rPr>
          <w:rFonts w:ascii="Times New Roman" w:hAnsi="Times New Roman"/>
          <w:sz w:val="20"/>
          <w:szCs w:val="20"/>
        </w:rPr>
        <w:t>Missouri, United States</w:t>
      </w:r>
      <w:r w:rsidRPr="002F439B">
        <w:rPr>
          <w:rStyle w:val="xbe"/>
          <w:rFonts w:ascii="Times New Roman" w:hAnsi="Times New Roman"/>
          <w:sz w:val="20"/>
          <w:szCs w:val="20"/>
        </w:rPr>
        <w:t>)</w:t>
      </w:r>
      <w:r w:rsidRPr="002F439B">
        <w:rPr>
          <w:rFonts w:ascii="Times New Roman" w:eastAsia="Calibri" w:hAnsi="Times New Roman"/>
          <w:sz w:val="20"/>
          <w:szCs w:val="20"/>
          <w:lang w:val="en-MY"/>
        </w:rPr>
        <w:t>.</w:t>
      </w:r>
    </w:p>
    <w:p w:rsidR="002F439B" w:rsidRPr="002F439B" w:rsidRDefault="002F439B" w:rsidP="002F439B">
      <w:pPr>
        <w:spacing w:after="0" w:line="240" w:lineRule="auto"/>
        <w:jc w:val="both"/>
        <w:outlineLvl w:val="0"/>
        <w:rPr>
          <w:rFonts w:ascii="Times New Roman" w:eastAsia="Calibri" w:hAnsi="Times New Roman"/>
          <w:sz w:val="20"/>
          <w:szCs w:val="20"/>
          <w:lang w:val="en-MY"/>
        </w:rPr>
      </w:pP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t>Preparation of standards and samples</w:t>
      </w:r>
    </w:p>
    <w:p w:rsidR="002F439B" w:rsidRPr="002F439B" w:rsidRDefault="002F439B" w:rsidP="002F439B">
      <w:pPr>
        <w:spacing w:after="0" w:line="240" w:lineRule="auto"/>
        <w:jc w:val="both"/>
        <w:rPr>
          <w:rFonts w:ascii="Times New Roman" w:eastAsia="Calibri" w:hAnsi="Times New Roman"/>
          <w:sz w:val="20"/>
          <w:szCs w:val="20"/>
          <w:lang w:val="en-MY"/>
        </w:rPr>
      </w:pPr>
      <w:r w:rsidRPr="002F439B">
        <w:rPr>
          <w:rFonts w:ascii="Times New Roman" w:eastAsia="Calibri" w:hAnsi="Times New Roman"/>
          <w:sz w:val="20"/>
          <w:szCs w:val="20"/>
          <w:lang w:val="en-MY"/>
        </w:rPr>
        <w:t>Standard stock solutions of PHE and BaP (500 mg/L) were prepared individually by weighing 0.005 g of each analyte in 10 mL of volumetric flask and diluted to volume with acetonitrile, respectively. A series of working mixture standard solutions were prepared by diluting the stock solutions with methanol. The solutions were stored at 0 ˚C in refrigerator when not in use.</w:t>
      </w:r>
    </w:p>
    <w:p w:rsidR="002F439B" w:rsidRPr="002F439B" w:rsidRDefault="002F439B" w:rsidP="002F439B">
      <w:pPr>
        <w:spacing w:after="0" w:line="240" w:lineRule="auto"/>
        <w:jc w:val="both"/>
        <w:rPr>
          <w:rFonts w:ascii="Times New Roman" w:eastAsia="Calibri" w:hAnsi="Times New Roman"/>
          <w:sz w:val="20"/>
          <w:szCs w:val="20"/>
          <w:lang w:val="en-MY"/>
        </w:rPr>
      </w:pPr>
    </w:p>
    <w:p w:rsidR="002F439B" w:rsidRPr="002F439B" w:rsidRDefault="002F439B" w:rsidP="002F439B">
      <w:pPr>
        <w:spacing w:after="0" w:line="240" w:lineRule="auto"/>
        <w:jc w:val="both"/>
        <w:rPr>
          <w:rFonts w:ascii="Times New Roman" w:eastAsia="Calibri" w:hAnsi="Times New Roman"/>
          <w:sz w:val="20"/>
          <w:szCs w:val="20"/>
          <w:lang w:val="en-MY"/>
        </w:rPr>
      </w:pPr>
      <w:r w:rsidRPr="002F439B">
        <w:rPr>
          <w:rFonts w:ascii="Times New Roman" w:eastAsia="Calibri" w:hAnsi="Times New Roman"/>
          <w:sz w:val="20"/>
          <w:szCs w:val="20"/>
          <w:lang w:val="en-MY"/>
        </w:rPr>
        <w:t xml:space="preserve">Coffee beverage samples were obtained from selected local enterprise shops. Samples selections were more preferred with different brands. Samples were extracted using optimized micro-solid phase extraction (µ-SPE) technique without pre-treatment. </w:t>
      </w:r>
    </w:p>
    <w:p w:rsidR="002F439B" w:rsidRPr="002F439B" w:rsidRDefault="002F439B" w:rsidP="002F439B">
      <w:pPr>
        <w:spacing w:after="0" w:line="240" w:lineRule="auto"/>
        <w:jc w:val="both"/>
        <w:outlineLvl w:val="0"/>
        <w:rPr>
          <w:rFonts w:ascii="Times New Roman" w:hAnsi="Times New Roman"/>
          <w:b/>
          <w:sz w:val="20"/>
          <w:szCs w:val="20"/>
        </w:rPr>
      </w:pP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t>Preparation of C</w:t>
      </w:r>
      <w:r w:rsidRPr="002F439B">
        <w:rPr>
          <w:rFonts w:ascii="Times New Roman" w:eastAsia="Calibri" w:hAnsi="Times New Roman"/>
          <w:b/>
          <w:sz w:val="20"/>
          <w:szCs w:val="20"/>
          <w:vertAlign w:val="subscript"/>
          <w:lang w:val="en-MY"/>
        </w:rPr>
        <w:t>18</w:t>
      </w:r>
      <w:r w:rsidRPr="002F439B">
        <w:rPr>
          <w:rFonts w:ascii="Times New Roman" w:eastAsia="Calibri" w:hAnsi="Times New Roman"/>
          <w:b/>
          <w:sz w:val="20"/>
          <w:szCs w:val="20"/>
          <w:lang w:val="en-MY"/>
        </w:rPr>
        <w:t xml:space="preserve"> film</w:t>
      </w:r>
    </w:p>
    <w:p w:rsidR="002F439B" w:rsidRPr="002F439B" w:rsidRDefault="002F439B" w:rsidP="002F439B">
      <w:pPr>
        <w:spacing w:after="0" w:line="240" w:lineRule="auto"/>
        <w:jc w:val="both"/>
        <w:rPr>
          <w:rFonts w:ascii="Times New Roman" w:eastAsia="Calibri" w:hAnsi="Times New Roman"/>
          <w:sz w:val="20"/>
          <w:szCs w:val="20"/>
          <w:lang w:val="en-MY"/>
        </w:rPr>
      </w:pPr>
      <w:r w:rsidRPr="002F439B">
        <w:rPr>
          <w:rFonts w:ascii="Times New Roman" w:eastAsia="Calibri" w:hAnsi="Times New Roman"/>
          <w:sz w:val="20"/>
          <w:szCs w:val="20"/>
          <w:lang w:val="en-MY"/>
        </w:rPr>
        <w:t>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(0.1 g) was dispersed and sonicated in 5 mL of ethanol. The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solution (1 mL) was pipetted into a petri dish (5 cm diameter). Agarose (0.1 g) was added into 10 mL of deionized water and the solution was heated to boil. The resulting hot agarose solution (3.5 mL) was pipetted into the petri dish containing the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solution. The mixture was allowed to cool and form a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-impregnated agarose gel. The gel was dried at room temperature for 2 days to form a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film. The film was cut into a small piece of square sheet (1.5 cm x 1.5 cm) to function as an adsorbent film. </w:t>
      </w:r>
    </w:p>
    <w:p w:rsidR="002F439B" w:rsidRDefault="002F439B" w:rsidP="002F439B">
      <w:pPr>
        <w:spacing w:after="0" w:line="240" w:lineRule="auto"/>
        <w:jc w:val="both"/>
        <w:rPr>
          <w:rFonts w:ascii="Times New Roman" w:eastAsia="Calibri" w:hAnsi="Times New Roman"/>
          <w:sz w:val="20"/>
          <w:szCs w:val="20"/>
          <w:lang w:val="en-MY"/>
        </w:rPr>
      </w:pPr>
    </w:p>
    <w:p w:rsidR="002F439B" w:rsidRDefault="002F439B" w:rsidP="002F439B">
      <w:pPr>
        <w:spacing w:after="0" w:line="240" w:lineRule="auto"/>
        <w:jc w:val="both"/>
        <w:rPr>
          <w:rFonts w:ascii="Times New Roman" w:eastAsia="Calibri" w:hAnsi="Times New Roman"/>
          <w:sz w:val="20"/>
          <w:szCs w:val="20"/>
          <w:lang w:val="en-MY"/>
        </w:rPr>
      </w:pPr>
    </w:p>
    <w:p w:rsidR="002F439B" w:rsidRPr="002F439B" w:rsidRDefault="002F439B" w:rsidP="002F439B">
      <w:pPr>
        <w:spacing w:after="0" w:line="240" w:lineRule="auto"/>
        <w:jc w:val="both"/>
        <w:rPr>
          <w:rFonts w:ascii="Times New Roman" w:eastAsia="Calibri" w:hAnsi="Times New Roman"/>
          <w:sz w:val="20"/>
          <w:szCs w:val="20"/>
          <w:lang w:val="en-MY"/>
        </w:rPr>
      </w:pPr>
    </w:p>
    <w:p w:rsidR="002F439B" w:rsidRPr="002F439B" w:rsidRDefault="002F439B" w:rsidP="002F439B">
      <w:pPr>
        <w:spacing w:after="0" w:line="240" w:lineRule="auto"/>
        <w:ind w:left="709" w:hanging="709"/>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lastRenderedPageBreak/>
        <w:t>Micro-solid phase extraction procedure</w:t>
      </w:r>
    </w:p>
    <w:p w:rsidR="002F439B" w:rsidRPr="002F439B" w:rsidRDefault="002F439B" w:rsidP="002F439B">
      <w:pPr>
        <w:spacing w:after="0" w:line="240" w:lineRule="auto"/>
        <w:jc w:val="both"/>
        <w:rPr>
          <w:rFonts w:ascii="Times New Roman" w:eastAsia="Calibri" w:hAnsi="Times New Roman"/>
          <w:bCs/>
          <w:sz w:val="20"/>
          <w:szCs w:val="20"/>
          <w:lang w:val="en-MY"/>
        </w:rPr>
      </w:pPr>
      <w:r w:rsidRPr="002F439B">
        <w:rPr>
          <w:rFonts w:ascii="Times New Roman" w:eastAsia="Calibri" w:hAnsi="Times New Roman"/>
          <w:sz w:val="20"/>
          <w:szCs w:val="20"/>
          <w:lang w:val="en-MY"/>
        </w:rPr>
        <w:t>The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film was dipped into methanol for 2 minutes and followed by deionized water for 30 s to activate and condition the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respectively. </w:t>
      </w:r>
      <w:r w:rsidRPr="002F439B">
        <w:rPr>
          <w:rFonts w:ascii="Times New Roman" w:eastAsia="Calibri" w:hAnsi="Times New Roman"/>
          <w:bCs/>
          <w:sz w:val="20"/>
          <w:szCs w:val="20"/>
          <w:lang w:val="en-MY"/>
        </w:rPr>
        <w:t xml:space="preserve">Sample solution (15 mL) was pipetted into a 25-mL sample vial and the </w:t>
      </w:r>
      <w:r w:rsidRPr="002F439B">
        <w:rPr>
          <w:rFonts w:ascii="Times New Roman" w:eastAsia="Calibri" w:hAnsi="Times New Roman"/>
          <w:sz w:val="20"/>
          <w:szCs w:val="20"/>
          <w:lang w:val="en-MY"/>
        </w:rPr>
        <w:t>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film was tumbled into the sample solution for extraction. The sample vial was capped and sonicated for 10 minutes. After sonication, the film was withdrawn and added into a safe-lock screw vial containing 100 µL of acetonitrile. The desorption of target analytes from the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film was performed by sonicating the screw vial for 10 minutes. The acetonitrile extract was then </w:t>
      </w:r>
      <w:r w:rsidRPr="002F439B">
        <w:rPr>
          <w:rFonts w:ascii="Times New Roman" w:eastAsia="Calibri" w:hAnsi="Times New Roman"/>
          <w:bCs/>
          <w:sz w:val="20"/>
          <w:szCs w:val="20"/>
          <w:lang w:val="en-MY"/>
        </w:rPr>
        <w:t>filtered through 0.2 µm nylon syringe filter prior to quantification using high performance liquid chromatography coupled with fluorescence detection (HPLC-FD). Figure 1 shows the schematic diagram of the proposed µ-SPE.</w:t>
      </w:r>
    </w:p>
    <w:p w:rsidR="002F439B" w:rsidRPr="002F439B" w:rsidRDefault="002F439B" w:rsidP="002F439B">
      <w:pPr>
        <w:spacing w:after="0" w:line="240" w:lineRule="auto"/>
        <w:jc w:val="center"/>
        <w:rPr>
          <w:rFonts w:ascii="Times New Roman" w:eastAsia="Calibri" w:hAnsi="Times New Roman"/>
          <w:bCs/>
          <w:sz w:val="20"/>
          <w:szCs w:val="20"/>
          <w:lang w:val="en-MY"/>
        </w:rPr>
      </w:pPr>
      <w:r w:rsidRPr="002F439B">
        <w:rPr>
          <w:rFonts w:ascii="Times New Roman" w:eastAsia="Calibri" w:hAnsi="Times New Roman"/>
          <w:bCs/>
          <w:noProof/>
          <w:sz w:val="20"/>
          <w:szCs w:val="20"/>
          <w:lang w:bidi="ar-SA"/>
        </w:rPr>
        <w:drawing>
          <wp:inline distT="0" distB="0" distL="0" distR="0" wp14:anchorId="53F14CED" wp14:editId="6B21033A">
            <wp:extent cx="3829050" cy="2153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3030" cy="2167275"/>
                    </a:xfrm>
                    <a:prstGeom prst="rect">
                      <a:avLst/>
                    </a:prstGeom>
                  </pic:spPr>
                </pic:pic>
              </a:graphicData>
            </a:graphic>
          </wp:inline>
        </w:drawing>
      </w:r>
      <w:bookmarkStart w:id="0" w:name="_GoBack"/>
      <w:bookmarkEnd w:id="0"/>
    </w:p>
    <w:p w:rsidR="002F439B" w:rsidRPr="002F439B" w:rsidRDefault="002F439B" w:rsidP="002F439B">
      <w:pPr>
        <w:spacing w:after="0" w:line="240" w:lineRule="auto"/>
        <w:jc w:val="center"/>
        <w:rPr>
          <w:rFonts w:ascii="Times New Roman" w:eastAsia="Calibri" w:hAnsi="Times New Roman"/>
          <w:bCs/>
          <w:sz w:val="20"/>
          <w:szCs w:val="20"/>
          <w:lang w:val="en-MY"/>
        </w:rPr>
      </w:pPr>
      <w:r w:rsidRPr="002F439B">
        <w:rPr>
          <w:rFonts w:ascii="Times New Roman" w:eastAsia="Calibri" w:hAnsi="Times New Roman"/>
          <w:bCs/>
          <w:sz w:val="20"/>
          <w:szCs w:val="20"/>
          <w:lang w:val="en-MY"/>
        </w:rPr>
        <w:t xml:space="preserve">Figure 1. </w:t>
      </w:r>
      <w:r>
        <w:rPr>
          <w:rFonts w:ascii="Times New Roman" w:eastAsia="Calibri" w:hAnsi="Times New Roman"/>
          <w:bCs/>
          <w:sz w:val="20"/>
          <w:szCs w:val="20"/>
          <w:lang w:val="en-MY"/>
        </w:rPr>
        <w:t xml:space="preserve"> </w:t>
      </w:r>
      <w:r w:rsidRPr="002F439B">
        <w:rPr>
          <w:rFonts w:ascii="Times New Roman" w:eastAsia="Calibri" w:hAnsi="Times New Roman"/>
          <w:bCs/>
          <w:sz w:val="20"/>
          <w:szCs w:val="20"/>
          <w:lang w:val="en-MY"/>
        </w:rPr>
        <w:t>Schematic diagram of µ-SPE</w:t>
      </w:r>
    </w:p>
    <w:p w:rsidR="002F439B" w:rsidRPr="002F439B" w:rsidRDefault="002F439B" w:rsidP="002F439B">
      <w:pPr>
        <w:spacing w:after="120" w:line="240" w:lineRule="auto"/>
        <w:jc w:val="both"/>
        <w:rPr>
          <w:rFonts w:ascii="Times New Roman" w:eastAsia="Calibri" w:hAnsi="Times New Roman"/>
          <w:b/>
          <w:sz w:val="20"/>
          <w:szCs w:val="20"/>
          <w:lang w:val="en-MY"/>
        </w:rPr>
      </w:pP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t>Chromatographic conditions</w:t>
      </w:r>
    </w:p>
    <w:p w:rsidR="002F439B" w:rsidRPr="002F439B" w:rsidRDefault="002F439B" w:rsidP="002F439B">
      <w:pPr>
        <w:spacing w:after="0" w:line="240" w:lineRule="auto"/>
        <w:jc w:val="both"/>
        <w:rPr>
          <w:rFonts w:ascii="Times New Roman" w:eastAsia="Calibri" w:hAnsi="Times New Roman"/>
          <w:sz w:val="20"/>
          <w:szCs w:val="20"/>
          <w:lang w:val="en-MY"/>
        </w:rPr>
      </w:pPr>
      <w:r w:rsidRPr="002F439B">
        <w:rPr>
          <w:rFonts w:ascii="Times New Roman" w:eastAsia="Calibri" w:hAnsi="Times New Roman"/>
          <w:sz w:val="20"/>
          <w:szCs w:val="20"/>
          <w:lang w:val="en-MY"/>
        </w:rPr>
        <w:t>Analytes quantification was performed using high performance liquid chromatography (Shimadzu, Kyoto, Japan) coupled with fluorescence detection (Shimadzu, Kyoto, Japan). The chromatographic separation of polycyclic aromatic hydrocarbons (PAHs) was carried out on a reversed phase Platinum EPS C</w:t>
      </w:r>
      <w:r w:rsidRPr="002F439B">
        <w:rPr>
          <w:rFonts w:ascii="Times New Roman" w:eastAsia="Calibri" w:hAnsi="Times New Roman"/>
          <w:sz w:val="20"/>
          <w:szCs w:val="20"/>
          <w:vertAlign w:val="subscript"/>
          <w:lang w:val="en-MY"/>
        </w:rPr>
        <w:t>18</w:t>
      </w:r>
      <w:r w:rsidRPr="002F439B">
        <w:rPr>
          <w:rFonts w:ascii="Times New Roman" w:eastAsia="Calibri" w:hAnsi="Times New Roman"/>
          <w:sz w:val="20"/>
          <w:szCs w:val="20"/>
          <w:lang w:val="en-MY"/>
        </w:rPr>
        <w:t xml:space="preserve"> column (4.6 × 250 mm, 5 µm). The separation was performed using isocratic mobile phase acetonitrile-water (80:20) (v/v) at column temperature of 30 ˚C. The flow rate, injection volume and detection wavelengths were fixed at 1.0 mL/min, 10 µL and 250/400 nm of excitation/emission wavelengths, respectively.</w:t>
      </w:r>
    </w:p>
    <w:p w:rsidR="002F439B" w:rsidRPr="002F439B" w:rsidRDefault="002F439B" w:rsidP="002F439B">
      <w:pPr>
        <w:spacing w:after="0" w:line="240" w:lineRule="auto"/>
        <w:jc w:val="both"/>
        <w:rPr>
          <w:rFonts w:ascii="Times New Roman" w:eastAsia="Calibri" w:hAnsi="Times New Roman"/>
          <w:sz w:val="20"/>
          <w:szCs w:val="20"/>
          <w:lang w:val="en-MY"/>
        </w:rPr>
      </w:pP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b/>
          <w:sz w:val="20"/>
          <w:szCs w:val="20"/>
          <w:lang w:val="en-MY"/>
        </w:rPr>
        <w:t>Optimization and validation of micro-solid phase extraction</w:t>
      </w:r>
    </w:p>
    <w:p w:rsidR="002F439B" w:rsidRPr="002F439B" w:rsidRDefault="002F439B" w:rsidP="002F439B">
      <w:pPr>
        <w:spacing w:after="0" w:line="240" w:lineRule="auto"/>
        <w:jc w:val="both"/>
        <w:rPr>
          <w:rFonts w:ascii="Times New Roman" w:eastAsia="Calibri" w:hAnsi="Times New Roman"/>
          <w:b/>
          <w:sz w:val="20"/>
          <w:szCs w:val="20"/>
          <w:lang w:val="en-MY"/>
        </w:rPr>
      </w:pPr>
      <w:r w:rsidRPr="002F439B">
        <w:rPr>
          <w:rFonts w:ascii="Times New Roman" w:eastAsia="Calibri" w:hAnsi="Times New Roman"/>
          <w:sz w:val="20"/>
          <w:szCs w:val="20"/>
          <w:lang w:val="en-MY"/>
        </w:rPr>
        <w:t>In this study, several extraction parameters were thoroughly investigated to enhance the analytes enrichment. Sample volume, extraction time, types of desorption solvents, desorption time and volume of desorption solvent were optimized before the application of the proposed method for the analysis of coffee beverage samples.</w:t>
      </w:r>
      <w:r w:rsidRPr="002F439B">
        <w:rPr>
          <w:rFonts w:ascii="Times New Roman" w:eastAsia="Calibri" w:hAnsi="Times New Roman"/>
          <w:b/>
          <w:sz w:val="20"/>
          <w:szCs w:val="20"/>
          <w:lang w:val="en-MY"/>
        </w:rPr>
        <w:t xml:space="preserve"> </w:t>
      </w:r>
      <w:r w:rsidRPr="002F439B">
        <w:rPr>
          <w:rFonts w:ascii="Times New Roman" w:eastAsia="Calibri" w:hAnsi="Times New Roman"/>
          <w:sz w:val="20"/>
          <w:szCs w:val="20"/>
          <w:lang w:val="en-MY"/>
        </w:rPr>
        <w:t>Minimal validation was carried out to assess the viability of method and these included linearity, repeatability, relative recovery, limit of detection (LOD) and limit of quantification (LOQ), which were determined based on signal to noise 3:1 and 10:1, respectively.</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D26BD" w:rsidRPr="006D26BD" w:rsidRDefault="006D26BD" w:rsidP="006D26BD">
      <w:pPr>
        <w:spacing w:after="0" w:line="240" w:lineRule="auto"/>
        <w:ind w:left="720" w:hanging="720"/>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Optimization of micro-solid phase extraction</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 xml:space="preserve">Five parameters which influenced the extraction efficiency of micro-solid phase extraction (µ-SPE) were optimized and these included sample volume, extraction time, type of desorption solvent, desorption time and desorption solvent volume. Optimization was carried out using deionized water sample spiked with 10 μg/L each of phenanthrene (PHE) and benzo[a]pyrene (BaP), respectively. Triplicate extractions were carried out for each parameter optimized in this study. </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Sample volume</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Sample volume was examined as it influenced the adsorption capacity of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Sample volume in the range of 10 to 20 mL was studied. Figure 2a shows that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adsorbed lesser PAHs when smaller sample volume </w:t>
      </w:r>
      <w:r w:rsidRPr="006D26BD">
        <w:rPr>
          <w:rFonts w:ascii="Times New Roman" w:eastAsia="Calibri" w:hAnsi="Times New Roman"/>
          <w:sz w:val="20"/>
          <w:szCs w:val="20"/>
          <w:lang w:val="en-MY"/>
        </w:rPr>
        <w:lastRenderedPageBreak/>
        <w:t>(10 mL) was extracted. The amount of analytes extracted increased as the sample volume increased and reached optimum at 15 mL and the extraction efficiency did not increase significantly with further increase in sample volume. This was due to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was saturated with the PAHs and further increase in sample volume would not result in the increment of the peak areas [12]. Therefore, 15 mL sample solution was applied for next parameter study. </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Extraction time</w:t>
      </w:r>
    </w:p>
    <w:p w:rsid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Extraction time ranging from 5 to 15 minutes was examined to identify the equilibrium time required for the analytes to adsorb onto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PAHs are hydrophobic compound. The octanol-water partition coefficient (K</w:t>
      </w:r>
      <w:r w:rsidRPr="006D26BD">
        <w:rPr>
          <w:rFonts w:ascii="Times New Roman" w:eastAsia="Calibri" w:hAnsi="Times New Roman"/>
          <w:sz w:val="20"/>
          <w:szCs w:val="20"/>
          <w:vertAlign w:val="subscript"/>
          <w:lang w:val="en-MY"/>
        </w:rPr>
        <w:t>ow</w:t>
      </w:r>
      <w:r w:rsidRPr="006D26BD">
        <w:rPr>
          <w:rFonts w:ascii="Times New Roman" w:eastAsia="Calibri" w:hAnsi="Times New Roman"/>
          <w:sz w:val="20"/>
          <w:szCs w:val="20"/>
          <w:lang w:val="en-MY"/>
        </w:rPr>
        <w:t>) increases from PHE to BaP with the increasing of their molecular weight. The hydrophobic PAHs required some time to diffuse through</w:t>
      </w:r>
      <w:r w:rsidRPr="006D26BD">
        <w:rPr>
          <w:rFonts w:ascii="Times New Roman" w:hAnsi="Times New Roman"/>
          <w:sz w:val="20"/>
          <w:szCs w:val="20"/>
        </w:rPr>
        <w:t xml:space="preserve"> </w:t>
      </w:r>
      <w:r w:rsidRPr="006D26BD">
        <w:rPr>
          <w:rFonts w:ascii="Times New Roman" w:eastAsia="Calibri" w:hAnsi="Times New Roman"/>
          <w:sz w:val="20"/>
          <w:szCs w:val="20"/>
          <w:lang w:val="en-MY"/>
        </w:rPr>
        <w:t>the static layer of water to be adsorbed onto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[13]. The extraction efficiency increased gradually when the extraction time increased as indicated in Figure 2b. Extraction time of 10 minutes was chosen over 15 minutes even though the extraction efficiency showed an increase at 15 minutes. Both PHE and BaP increased for 10.9 and 8.4%, respectively. However, the increment was not significant according to ANOVA-Tukey test, P &gt;0.05. Therefore 10 minutes extraction time was chosen for the subsequent study as it was sufficient to obtain a better extraction efficiency and save time for the extraction process. </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sz w:val="20"/>
          <w:szCs w:val="20"/>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900"/>
      </w:tblGrid>
      <w:tr w:rsidR="006D26BD" w:rsidRPr="006D26BD" w:rsidTr="006D26BD">
        <w:tc>
          <w:tcPr>
            <w:tcW w:w="4647" w:type="dxa"/>
          </w:tcPr>
          <w:p w:rsidR="006D26BD" w:rsidRPr="006D26BD" w:rsidRDefault="006D26BD" w:rsidP="006D26BD">
            <w:pPr>
              <w:spacing w:after="0" w:line="240" w:lineRule="auto"/>
              <w:mirrorIndents/>
              <w:jc w:val="center"/>
              <w:rPr>
                <w:rFonts w:ascii="Times New Roman" w:eastAsia="Calibri" w:hAnsi="Times New Roman" w:cs="Times New Roman"/>
                <w:sz w:val="20"/>
                <w:szCs w:val="20"/>
                <w:lang w:val="en-MY"/>
              </w:rPr>
            </w:pPr>
            <w:r w:rsidRPr="006D26BD">
              <w:rPr>
                <w:rFonts w:ascii="Times New Roman" w:eastAsia="Calibri" w:hAnsi="Times New Roman"/>
                <w:noProof/>
                <w:sz w:val="20"/>
                <w:szCs w:val="20"/>
                <w:lang w:bidi="ar-SA"/>
              </w:rPr>
              <mc:AlternateContent>
                <mc:Choice Requires="wps">
                  <w:drawing>
                    <wp:anchor distT="0" distB="0" distL="114300" distR="114300" simplePos="0" relativeHeight="251662848" behindDoc="0" locked="0" layoutInCell="1" allowOverlap="1" wp14:anchorId="17F7204A" wp14:editId="7E9E730C">
                      <wp:simplePos x="0" y="0"/>
                      <wp:positionH relativeFrom="column">
                        <wp:posOffset>923925</wp:posOffset>
                      </wp:positionH>
                      <wp:positionV relativeFrom="paragraph">
                        <wp:posOffset>67310</wp:posOffset>
                      </wp:positionV>
                      <wp:extent cx="419100" cy="34290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419100" cy="3429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6BD" w:rsidRPr="003411C5" w:rsidRDefault="006D26BD" w:rsidP="006D26BD">
                                  <w:pPr>
                                    <w:jc w:val="center"/>
                                    <w:rPr>
                                      <w:rFonts w:ascii="Times New Roman" w:hAnsi="Times New Roman"/>
                                      <w:szCs w:val="20"/>
                                    </w:rPr>
                                  </w:pPr>
                                  <w:r>
                                    <w:rPr>
                                      <w:rFonts w:ascii="Times New Roman" w:hAnsi="Times New Roman"/>
                                      <w:szCs w:val="20"/>
                                    </w:rPr>
                                    <w:t>(</w:t>
                                  </w:r>
                                  <w:r w:rsidRPr="003411C5">
                                    <w:rPr>
                                      <w:rFonts w:ascii="Times New Roman" w:hAnsi="Times New Roman"/>
                                      <w:szCs w:val="20"/>
                                    </w:rPr>
                                    <w:t>a</w:t>
                                  </w:r>
                                  <w:r>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72.75pt;margin-top:5.3pt;width:33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" filled="f" stroked="f" strokeweight="2pt">
                      <v:textbox>
                        <w:txbxContent>
                          <w:p w:rsidR="006D26BD" w:rsidRPr="003411C5" w:rsidRDefault="006D26BD" w:rsidP="006D26BD">
                            <w:pPr>
                              <w:jc w:val="center"/>
                              <w:rPr>
                                <w:rFonts w:ascii="Times New Roman" w:hAnsi="Times New Roman"/>
                                <w:szCs w:val="20"/>
                              </w:rPr>
                            </w:pPr>
                            <w:r>
                              <w:rPr>
                                <w:rFonts w:ascii="Times New Roman" w:hAnsi="Times New Roman"/>
                                <w:szCs w:val="20"/>
                              </w:rPr>
                              <w:t>(</w:t>
                            </w:r>
                            <w:r w:rsidRPr="003411C5">
                              <w:rPr>
                                <w:rFonts w:ascii="Times New Roman" w:hAnsi="Times New Roman"/>
                                <w:szCs w:val="20"/>
                              </w:rPr>
                              <w:t>a</w:t>
                            </w:r>
                            <w:r>
                              <w:rPr>
                                <w:rFonts w:ascii="Times New Roman" w:hAnsi="Times New Roman"/>
                                <w:szCs w:val="20"/>
                              </w:rPr>
                              <w:t>)</w:t>
                            </w:r>
                          </w:p>
                        </w:txbxContent>
                      </v:textbox>
                    </v:roundrect>
                  </w:pict>
                </mc:Fallback>
              </mc:AlternateContent>
            </w:r>
            <w:r w:rsidRPr="006D26BD">
              <w:rPr>
                <w:rFonts w:ascii="Times New Roman" w:eastAsia="Calibri" w:hAnsi="Times New Roman"/>
                <w:noProof/>
                <w:sz w:val="20"/>
                <w:szCs w:val="20"/>
                <w:lang w:bidi="ar-SA"/>
              </w:rPr>
              <w:drawing>
                <wp:inline distT="0" distB="0" distL="0" distR="0" wp14:anchorId="1FB08E18" wp14:editId="5347F66D">
                  <wp:extent cx="2828925" cy="20193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900" w:type="dxa"/>
          </w:tcPr>
          <w:p w:rsidR="006D26BD" w:rsidRPr="006D26BD" w:rsidRDefault="006D26BD" w:rsidP="006D26BD">
            <w:pPr>
              <w:spacing w:after="0" w:line="240" w:lineRule="auto"/>
              <w:mirrorIndents/>
              <w:jc w:val="both"/>
              <w:rPr>
                <w:rFonts w:ascii="Times New Roman" w:eastAsia="Calibri" w:hAnsi="Times New Roman" w:cs="Times New Roman"/>
                <w:sz w:val="20"/>
                <w:szCs w:val="20"/>
                <w:lang w:val="en-MY"/>
              </w:rPr>
            </w:pPr>
            <w:r w:rsidRPr="006D26BD">
              <w:rPr>
                <w:rFonts w:ascii="Times New Roman" w:eastAsia="Calibri" w:hAnsi="Times New Roman"/>
                <w:noProof/>
                <w:sz w:val="20"/>
                <w:szCs w:val="20"/>
                <w:lang w:bidi="ar-SA"/>
              </w:rPr>
              <mc:AlternateContent>
                <mc:Choice Requires="wps">
                  <w:drawing>
                    <wp:anchor distT="0" distB="0" distL="114300" distR="114300" simplePos="0" relativeHeight="251660800" behindDoc="0" locked="0" layoutInCell="1" allowOverlap="1" wp14:anchorId="0AC586EC" wp14:editId="56D5BE9C">
                      <wp:simplePos x="0" y="0"/>
                      <wp:positionH relativeFrom="column">
                        <wp:posOffset>868045</wp:posOffset>
                      </wp:positionH>
                      <wp:positionV relativeFrom="paragraph">
                        <wp:posOffset>38100</wp:posOffset>
                      </wp:positionV>
                      <wp:extent cx="485775" cy="390525"/>
                      <wp:effectExtent l="0" t="0" r="0" b="0"/>
                      <wp:wrapNone/>
                      <wp:docPr id="4" name="Rounded Rectangle 4"/>
                      <wp:cNvGraphicFramePr/>
                      <a:graphic xmlns:a="http://schemas.openxmlformats.org/drawingml/2006/main">
                        <a:graphicData uri="http://schemas.microsoft.com/office/word/2010/wordprocessingShape">
                          <wps:wsp>
                            <wps:cNvSpPr/>
                            <wps:spPr>
                              <a:xfrm>
                                <a:off x="0" y="0"/>
                                <a:ext cx="485775" cy="39052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6BD" w:rsidRPr="003E34A2" w:rsidRDefault="006D26BD" w:rsidP="006D26BD">
                                  <w:pPr>
                                    <w:jc w:val="center"/>
                                    <w:rPr>
                                      <w:rFonts w:ascii="Times New Roman" w:hAnsi="Times New Roman"/>
                                      <w:szCs w:val="20"/>
                                    </w:rPr>
                                  </w:pPr>
                                  <w:r w:rsidRPr="003E34A2">
                                    <w:rPr>
                                      <w:rFonts w:ascii="Times New Roman" w:hAnsi="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left:0;text-align:left;margin-left:68.35pt;margin-top:3pt;width:38.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" filled="f" stroked="f" strokeweight="2pt">
                      <v:textbox>
                        <w:txbxContent>
                          <w:p w:rsidR="006D26BD" w:rsidRPr="003E34A2" w:rsidRDefault="006D26BD" w:rsidP="006D26BD">
                            <w:pPr>
                              <w:jc w:val="center"/>
                              <w:rPr>
                                <w:rFonts w:ascii="Times New Roman" w:hAnsi="Times New Roman"/>
                                <w:szCs w:val="20"/>
                              </w:rPr>
                            </w:pPr>
                            <w:r w:rsidRPr="003E34A2">
                              <w:rPr>
                                <w:rFonts w:ascii="Times New Roman" w:hAnsi="Times New Roman"/>
                              </w:rPr>
                              <w:t>(b)</w:t>
                            </w:r>
                          </w:p>
                        </w:txbxContent>
                      </v:textbox>
                    </v:roundrect>
                  </w:pict>
                </mc:Fallback>
              </mc:AlternateContent>
            </w:r>
            <w:r w:rsidRPr="006D26BD">
              <w:rPr>
                <w:rFonts w:ascii="Times New Roman" w:eastAsia="Calibri" w:hAnsi="Times New Roman"/>
                <w:noProof/>
                <w:sz w:val="20"/>
                <w:szCs w:val="20"/>
                <w:lang w:bidi="ar-SA"/>
              </w:rPr>
              <w:drawing>
                <wp:inline distT="0" distB="0" distL="0" distR="0" wp14:anchorId="60FE4D52" wp14:editId="16E93D26">
                  <wp:extent cx="2987675" cy="2105025"/>
                  <wp:effectExtent l="0" t="0" r="317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6D26BD" w:rsidRDefault="006D26BD" w:rsidP="006D26BD">
      <w:pPr>
        <w:spacing w:after="0" w:line="240" w:lineRule="auto"/>
        <w:ind w:left="810" w:hanging="810"/>
        <w:mirrorIndents/>
        <w:jc w:val="both"/>
        <w:rPr>
          <w:rFonts w:ascii="Times New Roman" w:eastAsia="Calibri" w:hAnsi="Times New Roman"/>
          <w:b/>
          <w:sz w:val="20"/>
          <w:szCs w:val="20"/>
          <w:lang w:val="en-MY"/>
        </w:rPr>
      </w:pPr>
      <w:r w:rsidRPr="006D26BD">
        <w:rPr>
          <w:rFonts w:ascii="Times New Roman" w:eastAsia="Calibri" w:hAnsi="Times New Roman"/>
          <w:sz w:val="20"/>
          <w:szCs w:val="20"/>
          <w:lang w:val="en-MY"/>
        </w:rPr>
        <w:t xml:space="preserve">Figure 2. </w:t>
      </w:r>
      <w:r>
        <w:rPr>
          <w:rFonts w:ascii="Times New Roman" w:eastAsia="Calibri" w:hAnsi="Times New Roman"/>
          <w:sz w:val="20"/>
          <w:szCs w:val="20"/>
          <w:lang w:val="en-MY"/>
        </w:rPr>
        <w:tab/>
      </w:r>
      <w:r w:rsidRPr="006D26BD">
        <w:rPr>
          <w:rFonts w:ascii="Times New Roman" w:eastAsia="Calibri" w:hAnsi="Times New Roman"/>
          <w:sz w:val="20"/>
          <w:szCs w:val="20"/>
          <w:lang w:val="en-MY"/>
        </w:rPr>
        <w:t>Effect of sample volume (a) and extraction time (b) on the µ-SPE for t</w:t>
      </w:r>
      <w:r>
        <w:rPr>
          <w:rFonts w:ascii="Times New Roman" w:eastAsia="Calibri" w:hAnsi="Times New Roman"/>
          <w:sz w:val="20"/>
          <w:szCs w:val="20"/>
          <w:lang w:val="en-MY"/>
        </w:rPr>
        <w:t xml:space="preserve">he extraction of PHE and BaP in </w:t>
      </w:r>
      <w:r w:rsidRPr="006D26BD">
        <w:rPr>
          <w:rFonts w:ascii="Times New Roman" w:eastAsia="Calibri" w:hAnsi="Times New Roman"/>
          <w:sz w:val="20"/>
          <w:szCs w:val="20"/>
          <w:lang w:val="en-MY"/>
        </w:rPr>
        <w:t>the spiked deionized water samples</w:t>
      </w:r>
    </w:p>
    <w:p w:rsidR="006D26BD" w:rsidRDefault="006D26BD" w:rsidP="006D26BD">
      <w:pPr>
        <w:spacing w:after="120" w:line="240" w:lineRule="auto"/>
        <w:mirrorIndents/>
        <w:jc w:val="both"/>
        <w:rPr>
          <w:rFonts w:ascii="Times New Roman" w:eastAsia="Calibri" w:hAnsi="Times New Roman"/>
          <w:b/>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Type of desorption solvent</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Desorption solvent was used to desorb the PAHs from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The desorption solvents investigated were acetonitrile (ACN), methanol (MEOH) and isopropanol (IPA). PAHs are lipophilic and non-polar compounds, thus it will adsorb strongly on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Therefore, a stronger solvent which is relatively non-polar is required to desorb the PAHs from the film. Among the solvents, the elution strength of IPA is the strongest, it was then followed by ACN and MEOH. The results showed that ACN was a better choice as a desorption solvent for PHE, a PAH with lower molecular weight, as compared with MEOH and IPA. On the other hand, the IPA showed greater affinity to the BaP, a PAH with higher molecular weight. The desorption was less efficient when MEOH was applied. The desorption strengths of both ACN and IPA were comparable and no significant different. The ACN was chosen in subsequent studies as it was also applied as the mobile phase.</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Desorption Time</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Desorption time in the range of 5 to 15 minutes was investigated. Figure 3a shows the peak area of PHE increased as the desorption time increased and became stagnant at 10 minutes. However, the peak area of BaP was the highest at 5 minutes and decreased gradually when the desorption time was extended. Prolonged desorption time might lead to re-adsorption of the BaP onto the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and caused the drop in peak area [14]. The desorption time at 10 </w:t>
      </w:r>
      <w:r w:rsidRPr="006D26BD">
        <w:rPr>
          <w:rFonts w:ascii="Times New Roman" w:eastAsia="Calibri" w:hAnsi="Times New Roman"/>
          <w:sz w:val="20"/>
          <w:szCs w:val="20"/>
          <w:lang w:val="en-MY"/>
        </w:rPr>
        <w:lastRenderedPageBreak/>
        <w:t>minutes was chosen because greater peak area for PHE (increased 30%) was obtained while extraction efficiency for BaP decreased only slightly (declined for 20%).</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Volume of desorption solvent</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A range of 100 µL to 200 µL of acetonitrile was investigated in this study. Figure 3b indicates that when a lower volume of desorption solvent was used, the greater the peak areas. This is due to the lower volume enhanced the analyte enrichment [15]. In addition, the amount of solvent used should be as minimal as possible in order to obtain a greater sensitivity and the volume of the solvent must be sufficient to completely immerse the entire film [16]. A volume of 100 µL desorption solvent was chosen because it gave higher extraction efficiency for all of the analytes.</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6D26BD" w:rsidRPr="006D26BD" w:rsidTr="005B2722">
        <w:tc>
          <w:tcPr>
            <w:tcW w:w="4644" w:type="dxa"/>
          </w:tcPr>
          <w:p w:rsidR="006D26BD" w:rsidRPr="006D26BD" w:rsidRDefault="006D26BD" w:rsidP="006D26BD">
            <w:pPr>
              <w:spacing w:after="0" w:line="240" w:lineRule="auto"/>
              <w:mirrorIndents/>
              <w:jc w:val="center"/>
              <w:rPr>
                <w:rFonts w:ascii="Times New Roman" w:eastAsia="Calibri" w:hAnsi="Times New Roman" w:cs="Times New Roman"/>
                <w:sz w:val="20"/>
                <w:szCs w:val="20"/>
                <w:lang w:val="en-MY"/>
              </w:rPr>
            </w:pPr>
            <w:r w:rsidRPr="006D26BD">
              <w:rPr>
                <w:rFonts w:ascii="Times New Roman" w:eastAsia="Calibri" w:hAnsi="Times New Roman"/>
                <w:noProof/>
                <w:sz w:val="20"/>
                <w:szCs w:val="20"/>
                <w:lang w:bidi="ar-SA"/>
              </w:rPr>
              <mc:AlternateContent>
                <mc:Choice Requires="wps">
                  <w:drawing>
                    <wp:anchor distT="0" distB="0" distL="114300" distR="114300" simplePos="0" relativeHeight="251661824" behindDoc="0" locked="0" layoutInCell="1" allowOverlap="1" wp14:anchorId="3F6B9F98" wp14:editId="1ED658AC">
                      <wp:simplePos x="0" y="0"/>
                      <wp:positionH relativeFrom="column">
                        <wp:posOffset>1257300</wp:posOffset>
                      </wp:positionH>
                      <wp:positionV relativeFrom="paragraph">
                        <wp:posOffset>31750</wp:posOffset>
                      </wp:positionV>
                      <wp:extent cx="400050" cy="30480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400050"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6BD" w:rsidRPr="003411C5" w:rsidRDefault="006D26BD" w:rsidP="006D26BD">
                                  <w:pPr>
                                    <w:jc w:val="center"/>
                                    <w:rPr>
                                      <w:rFonts w:ascii="Times New Roman" w:hAnsi="Times New Roman"/>
                                      <w:szCs w:val="20"/>
                                    </w:rPr>
                                  </w:pPr>
                                  <w:r>
                                    <w:rPr>
                                      <w:rFonts w:ascii="Times New Roman" w:hAnsi="Times New Roman"/>
                                      <w:szCs w:val="20"/>
                                    </w:rPr>
                                    <w:t>(</w:t>
                                  </w:r>
                                  <w:r w:rsidRPr="003411C5">
                                    <w:rPr>
                                      <w:rFonts w:ascii="Times New Roman" w:hAnsi="Times New Roman"/>
                                      <w:szCs w:val="20"/>
                                    </w:rPr>
                                    <w:t>a</w:t>
                                  </w:r>
                                  <w:r>
                                    <w:rPr>
                                      <w:rFonts w:ascii="Times New Roman" w:hAnsi="Times New Roman"/>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9" style="position:absolute;left:0;text-align:left;margin-left:99pt;margin-top:2.5pt;width:31.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" filled="f" stroked="f" strokeweight="2pt">
                      <v:textbox>
                        <w:txbxContent>
                          <w:p w:rsidR="006D26BD" w:rsidRPr="003411C5" w:rsidRDefault="006D26BD" w:rsidP="006D26BD">
                            <w:pPr>
                              <w:jc w:val="center"/>
                              <w:rPr>
                                <w:rFonts w:ascii="Times New Roman" w:hAnsi="Times New Roman"/>
                                <w:szCs w:val="20"/>
                              </w:rPr>
                            </w:pPr>
                            <w:r>
                              <w:rPr>
                                <w:rFonts w:ascii="Times New Roman" w:hAnsi="Times New Roman"/>
                                <w:szCs w:val="20"/>
                              </w:rPr>
                              <w:t>(</w:t>
                            </w:r>
                            <w:r w:rsidRPr="003411C5">
                              <w:rPr>
                                <w:rFonts w:ascii="Times New Roman" w:hAnsi="Times New Roman"/>
                                <w:szCs w:val="20"/>
                              </w:rPr>
                              <w:t>a</w:t>
                            </w:r>
                            <w:r>
                              <w:rPr>
                                <w:rFonts w:ascii="Times New Roman" w:hAnsi="Times New Roman"/>
                                <w:szCs w:val="20"/>
                              </w:rPr>
                              <w:t>)</w:t>
                            </w:r>
                          </w:p>
                        </w:txbxContent>
                      </v:textbox>
                    </v:roundrect>
                  </w:pict>
                </mc:Fallback>
              </mc:AlternateContent>
            </w:r>
            <w:r w:rsidRPr="006D26BD">
              <w:rPr>
                <w:rFonts w:ascii="Times New Roman" w:eastAsia="Calibri" w:hAnsi="Times New Roman"/>
                <w:noProof/>
                <w:sz w:val="20"/>
                <w:szCs w:val="20"/>
                <w:lang w:bidi="ar-SA"/>
              </w:rPr>
              <w:drawing>
                <wp:inline distT="0" distB="0" distL="0" distR="0" wp14:anchorId="201478C8" wp14:editId="4C6A5045">
                  <wp:extent cx="2924175" cy="19526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98" w:type="dxa"/>
          </w:tcPr>
          <w:p w:rsidR="006D26BD" w:rsidRPr="006D26BD" w:rsidRDefault="006D26BD" w:rsidP="006D26BD">
            <w:pPr>
              <w:spacing w:after="0" w:line="240" w:lineRule="auto"/>
              <w:mirrorIndents/>
              <w:jc w:val="both"/>
              <w:rPr>
                <w:rFonts w:ascii="Times New Roman" w:eastAsia="Calibri" w:hAnsi="Times New Roman" w:cs="Times New Roman"/>
                <w:sz w:val="20"/>
                <w:szCs w:val="20"/>
                <w:lang w:val="en-MY"/>
              </w:rPr>
            </w:pPr>
            <w:r w:rsidRPr="006D26BD">
              <w:rPr>
                <w:rFonts w:ascii="Times New Roman" w:eastAsia="Calibri" w:hAnsi="Times New Roman"/>
                <w:noProof/>
                <w:sz w:val="20"/>
                <w:szCs w:val="20"/>
                <w:lang w:bidi="ar-SA"/>
              </w:rPr>
              <mc:AlternateContent>
                <mc:Choice Requires="wps">
                  <w:drawing>
                    <wp:anchor distT="0" distB="0" distL="114300" distR="114300" simplePos="0" relativeHeight="251663872" behindDoc="0" locked="0" layoutInCell="1" allowOverlap="1" wp14:anchorId="25964913" wp14:editId="117E27DC">
                      <wp:simplePos x="0" y="0"/>
                      <wp:positionH relativeFrom="column">
                        <wp:posOffset>1175385</wp:posOffset>
                      </wp:positionH>
                      <wp:positionV relativeFrom="paragraph">
                        <wp:posOffset>21590</wp:posOffset>
                      </wp:positionV>
                      <wp:extent cx="504825" cy="314325"/>
                      <wp:effectExtent l="0" t="0" r="0" b="0"/>
                      <wp:wrapNone/>
                      <wp:docPr id="8" name="Rounded Rectangle 8"/>
                      <wp:cNvGraphicFramePr/>
                      <a:graphic xmlns:a="http://schemas.openxmlformats.org/drawingml/2006/main">
                        <a:graphicData uri="http://schemas.microsoft.com/office/word/2010/wordprocessingShape">
                          <wps:wsp>
                            <wps:cNvSpPr/>
                            <wps:spPr>
                              <a:xfrm>
                                <a:off x="0" y="0"/>
                                <a:ext cx="504825" cy="314325"/>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D26BD" w:rsidRPr="003E34A2" w:rsidRDefault="006D26BD" w:rsidP="006D26BD">
                                  <w:pPr>
                                    <w:jc w:val="center"/>
                                    <w:rPr>
                                      <w:rFonts w:ascii="Times New Roman" w:hAnsi="Times New Roman"/>
                                      <w:szCs w:val="20"/>
                                    </w:rPr>
                                  </w:pPr>
                                  <w:r w:rsidRPr="003E34A2">
                                    <w:rPr>
                                      <w:rFonts w:ascii="Times New Roman" w:hAnsi="Times New Roman"/>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left:0;text-align:left;margin-left:92.55pt;margin-top:1.7pt;width:39.7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" filled="f" stroked="f" strokeweight="2pt">
                      <v:textbox>
                        <w:txbxContent>
                          <w:p w:rsidR="006D26BD" w:rsidRPr="003E34A2" w:rsidRDefault="006D26BD" w:rsidP="006D26BD">
                            <w:pPr>
                              <w:jc w:val="center"/>
                              <w:rPr>
                                <w:rFonts w:ascii="Times New Roman" w:hAnsi="Times New Roman"/>
                                <w:szCs w:val="20"/>
                              </w:rPr>
                            </w:pPr>
                            <w:r w:rsidRPr="003E34A2">
                              <w:rPr>
                                <w:rFonts w:ascii="Times New Roman" w:hAnsi="Times New Roman"/>
                              </w:rPr>
                              <w:t>(b)</w:t>
                            </w:r>
                          </w:p>
                        </w:txbxContent>
                      </v:textbox>
                    </v:roundrect>
                  </w:pict>
                </mc:Fallback>
              </mc:AlternateContent>
            </w:r>
            <w:r w:rsidRPr="006D26BD">
              <w:rPr>
                <w:rFonts w:ascii="Times New Roman" w:eastAsia="Calibri" w:hAnsi="Times New Roman"/>
                <w:noProof/>
                <w:sz w:val="20"/>
                <w:szCs w:val="20"/>
                <w:lang w:bidi="ar-SA"/>
              </w:rPr>
              <w:drawing>
                <wp:inline distT="0" distB="0" distL="0" distR="0" wp14:anchorId="2FCBE11D" wp14:editId="3B87E63C">
                  <wp:extent cx="2762250" cy="18859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6D26BD" w:rsidRDefault="006D26BD" w:rsidP="006D26BD">
      <w:pPr>
        <w:spacing w:after="0" w:line="240" w:lineRule="auto"/>
        <w:ind w:left="810" w:hanging="810"/>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 xml:space="preserve">Figure 3. </w:t>
      </w:r>
      <w:r>
        <w:rPr>
          <w:rFonts w:ascii="Times New Roman" w:eastAsia="Calibri" w:hAnsi="Times New Roman"/>
          <w:sz w:val="20"/>
          <w:szCs w:val="20"/>
          <w:lang w:val="en-MY"/>
        </w:rPr>
        <w:t xml:space="preserve"> </w:t>
      </w:r>
      <w:r w:rsidRPr="006D26BD">
        <w:rPr>
          <w:rFonts w:ascii="Times New Roman" w:eastAsia="Calibri" w:hAnsi="Times New Roman"/>
          <w:sz w:val="20"/>
          <w:szCs w:val="20"/>
          <w:lang w:val="en-MY"/>
        </w:rPr>
        <w:t>Effect of desorption time (a) and volume of desorption solvent (b) on the µ-SPE for the extraction of PHE and BaP in the spiked deionized water samples</w:t>
      </w:r>
    </w:p>
    <w:p w:rsidR="006D26BD" w:rsidRPr="006D26BD" w:rsidRDefault="006D26BD" w:rsidP="006D26BD">
      <w:pPr>
        <w:spacing w:after="12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Validation of micro-solid phase extraction</w:t>
      </w:r>
    </w:p>
    <w:p w:rsidR="006D26BD" w:rsidRP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 xml:space="preserve">Linearity of an analytical procedure is its ability (within a given range) to obtain test results that are directly proportional to the concentration (amount) of analyte in the sample [17]. Relative calibration for the two analytes of interest, namely PHE and BaP were performed because µ-SPE technique is a non-exhaustive extraction. Five deionized water samples spiked in a specified range were extracted and quantitated using optimized µ-SPE-HPLC-FD. The results indicated that a good linearity was obtained for both PHE and BaP in the range of 5 to 200 µg/L and 1 to 25 µg/L, respectively with correlation of coefficients, r ≥ 0.996.  </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Default="006D26BD" w:rsidP="006D26BD">
      <w:pPr>
        <w:spacing w:after="0" w:line="240" w:lineRule="auto"/>
        <w:mirrorIndents/>
        <w:jc w:val="both"/>
        <w:rPr>
          <w:rFonts w:ascii="Times New Roman" w:eastAsia="Calibri" w:hAnsi="Times New Roman"/>
          <w:sz w:val="20"/>
          <w:szCs w:val="20"/>
          <w:lang w:val="en-MY"/>
        </w:rPr>
      </w:pPr>
      <w:r w:rsidRPr="006D26BD">
        <w:rPr>
          <w:rFonts w:ascii="Times New Roman" w:eastAsia="Calibri" w:hAnsi="Times New Roman"/>
          <w:sz w:val="20"/>
          <w:szCs w:val="20"/>
          <w:lang w:val="en-MY"/>
        </w:rPr>
        <w:t>Limit of detection (LOD) is defined as the lowest amount of analyte in the sample which can be detected but not necessarily quantitated under stated experimental conditions. Whereas limit of quantification (LOQ) is defined as the lowest amount of analyte in a sample which can be quantitatively determined with suitable precision and accuracy [18]. LOD and LOQ can be determined by visual inspection, signal-to-noise ratio or the standard deviation of the response and the slope [19]. In this study, a signal-to-noise ratio of 3:1 and 10:1 were used to establish the LOD and LOQ, respectively. The results showed that the proposed µ-SPE-HPLC-FD was able to offer LODs in the range of 0.003 to 0.1 µg/L and LOQs in the range of 0.01 to 0.4 µg/L. This revealed that µ-SPE-HPLC-FD method using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as the adsorbent film was sensitive to analyse the ultra-trace PAHs in coffee beverage samples.</w:t>
      </w:r>
    </w:p>
    <w:p w:rsidR="006D26BD" w:rsidRPr="006D26BD" w:rsidRDefault="006D26BD" w:rsidP="006D26BD">
      <w:pPr>
        <w:spacing w:after="0" w:line="240" w:lineRule="auto"/>
        <w:mirrorIndents/>
        <w:jc w:val="both"/>
        <w:rPr>
          <w:rFonts w:ascii="Times New Roman" w:eastAsia="Calibri" w:hAnsi="Times New Roman"/>
          <w:sz w:val="20"/>
          <w:szCs w:val="20"/>
          <w:lang w:val="en-MY"/>
        </w:rPr>
      </w:pPr>
    </w:p>
    <w:p w:rsidR="006D26BD" w:rsidRPr="006D26BD" w:rsidRDefault="006D26BD" w:rsidP="006D26BD">
      <w:pPr>
        <w:spacing w:after="0" w:line="240" w:lineRule="auto"/>
        <w:jc w:val="both"/>
        <w:outlineLvl w:val="0"/>
        <w:rPr>
          <w:rFonts w:ascii="Times New Roman" w:eastAsia="Calibri" w:hAnsi="Times New Roman"/>
          <w:sz w:val="20"/>
          <w:szCs w:val="20"/>
          <w:lang w:val="en-MY"/>
        </w:rPr>
      </w:pPr>
      <w:r w:rsidRPr="006D26BD">
        <w:rPr>
          <w:rFonts w:ascii="Times New Roman" w:eastAsia="Calibri" w:hAnsi="Times New Roman"/>
          <w:sz w:val="20"/>
          <w:szCs w:val="20"/>
          <w:lang w:val="en-MY"/>
        </w:rPr>
        <w:t>Relative recovery study was performed by spiking the coffee beverage samples to give a final concentration of 30 µg/L of PHE and 25 µg/L of BaP. Table 1 shows that the µ-SPE was capable to recover PAHs from the spiked coffee beverage samples with relative recovery average ranging from 88.3 to 95.7% coupled with good repeatability with relative standard deviations (RSDs) of ≤ 7.6%. This revealed that matrix effect was not significant and thus the µ-SPE combined with C</w:t>
      </w:r>
      <w:r w:rsidRPr="006D26BD">
        <w:rPr>
          <w:rFonts w:ascii="Times New Roman" w:eastAsia="Calibri" w:hAnsi="Times New Roman"/>
          <w:sz w:val="20"/>
          <w:szCs w:val="20"/>
          <w:vertAlign w:val="subscript"/>
          <w:lang w:val="en-MY"/>
        </w:rPr>
        <w:t>18</w:t>
      </w:r>
      <w:r w:rsidRPr="006D26BD">
        <w:rPr>
          <w:rFonts w:ascii="Times New Roman" w:eastAsia="Calibri" w:hAnsi="Times New Roman"/>
          <w:sz w:val="20"/>
          <w:szCs w:val="20"/>
          <w:lang w:val="en-MY"/>
        </w:rPr>
        <w:t xml:space="preserve"> film can be employed in the analysis of PAHs residues in the coffee beverage samples.</w:t>
      </w:r>
    </w:p>
    <w:p w:rsidR="006D26BD" w:rsidRDefault="006D26BD" w:rsidP="006D26BD">
      <w:pPr>
        <w:spacing w:after="0" w:line="240" w:lineRule="auto"/>
        <w:jc w:val="both"/>
        <w:outlineLvl w:val="0"/>
        <w:rPr>
          <w:rFonts w:ascii="Times New Roman" w:eastAsia="Calibri" w:hAnsi="Times New Roman"/>
          <w:sz w:val="20"/>
          <w:szCs w:val="20"/>
          <w:lang w:val="en-MY"/>
        </w:rPr>
      </w:pPr>
    </w:p>
    <w:p w:rsidR="006D26BD" w:rsidRDefault="006D26BD" w:rsidP="006D26BD">
      <w:pPr>
        <w:spacing w:after="0" w:line="240" w:lineRule="auto"/>
        <w:jc w:val="both"/>
        <w:outlineLvl w:val="0"/>
        <w:rPr>
          <w:rFonts w:ascii="Times New Roman" w:eastAsia="Calibri" w:hAnsi="Times New Roman"/>
          <w:sz w:val="20"/>
          <w:szCs w:val="20"/>
          <w:lang w:val="en-MY"/>
        </w:rPr>
      </w:pPr>
    </w:p>
    <w:p w:rsidR="006D26BD" w:rsidRDefault="006D26BD" w:rsidP="006D26BD">
      <w:pPr>
        <w:spacing w:after="0" w:line="240" w:lineRule="auto"/>
        <w:jc w:val="both"/>
        <w:outlineLvl w:val="0"/>
        <w:rPr>
          <w:rFonts w:ascii="Times New Roman" w:eastAsia="Calibri" w:hAnsi="Times New Roman"/>
          <w:sz w:val="20"/>
          <w:szCs w:val="20"/>
          <w:lang w:val="en-MY"/>
        </w:rPr>
      </w:pPr>
    </w:p>
    <w:p w:rsidR="006D26BD" w:rsidRPr="006D26BD" w:rsidRDefault="006D26BD" w:rsidP="006D26BD">
      <w:pPr>
        <w:spacing w:after="0" w:line="240" w:lineRule="auto"/>
        <w:jc w:val="both"/>
        <w:outlineLvl w:val="0"/>
        <w:rPr>
          <w:rFonts w:ascii="Times New Roman" w:eastAsia="Calibri" w:hAnsi="Times New Roman"/>
          <w:sz w:val="20"/>
          <w:szCs w:val="20"/>
          <w:lang w:val="en-MY"/>
        </w:rPr>
      </w:pPr>
    </w:p>
    <w:p w:rsidR="006D26BD" w:rsidRPr="006D26BD" w:rsidRDefault="006D26BD" w:rsidP="006D26BD">
      <w:pPr>
        <w:spacing w:after="120" w:line="240" w:lineRule="auto"/>
        <w:jc w:val="center"/>
        <w:outlineLvl w:val="0"/>
        <w:rPr>
          <w:rFonts w:ascii="Times New Roman" w:hAnsi="Times New Roman"/>
          <w:sz w:val="20"/>
          <w:szCs w:val="20"/>
        </w:rPr>
      </w:pPr>
      <w:r w:rsidRPr="006D26BD">
        <w:rPr>
          <w:rFonts w:ascii="Times New Roman" w:hAnsi="Times New Roman"/>
          <w:sz w:val="20"/>
          <w:szCs w:val="20"/>
        </w:rPr>
        <w:lastRenderedPageBreak/>
        <w:t xml:space="preserve">Table 1.  </w:t>
      </w:r>
      <w:r>
        <w:rPr>
          <w:rFonts w:ascii="Times New Roman" w:hAnsi="Times New Roman"/>
          <w:sz w:val="20"/>
          <w:szCs w:val="20"/>
        </w:rPr>
        <w:t xml:space="preserve"> </w:t>
      </w:r>
      <w:r w:rsidRPr="006D26BD">
        <w:rPr>
          <w:rFonts w:ascii="Times New Roman" w:hAnsi="Times New Roman"/>
          <w:bCs/>
          <w:sz w:val="20"/>
          <w:szCs w:val="20"/>
        </w:rPr>
        <w:t>Validation data of the µ-SPE-HPLC-FD for the determination of PAHs in coffee beverage samples</w:t>
      </w:r>
    </w:p>
    <w:tbl>
      <w:tblPr>
        <w:tblStyle w:val="LightShading1"/>
        <w:tblW w:w="0" w:type="auto"/>
        <w:jc w:val="center"/>
        <w:tblLook w:val="04A0" w:firstRow="1" w:lastRow="0" w:firstColumn="1" w:lastColumn="0" w:noHBand="0" w:noVBand="1"/>
      </w:tblPr>
      <w:tblGrid>
        <w:gridCol w:w="639"/>
        <w:gridCol w:w="1605"/>
        <w:gridCol w:w="766"/>
        <w:gridCol w:w="700"/>
        <w:gridCol w:w="711"/>
        <w:gridCol w:w="3075"/>
      </w:tblGrid>
      <w:tr w:rsidR="00D15B83" w:rsidRPr="006D26BD" w:rsidTr="00D15B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outlineLvl w:val="0"/>
              <w:rPr>
                <w:rFonts w:ascii="Times New Roman" w:hAnsi="Times New Roman" w:cs="Times New Roman"/>
                <w:color w:val="auto"/>
                <w:sz w:val="20"/>
                <w:szCs w:val="20"/>
              </w:rPr>
            </w:pPr>
            <w:r w:rsidRPr="006D26BD">
              <w:rPr>
                <w:rFonts w:ascii="Times New Roman" w:hAnsi="Times New Roman" w:cs="Times New Roman"/>
                <w:color w:val="auto"/>
                <w:sz w:val="20"/>
                <w:szCs w:val="20"/>
              </w:rPr>
              <w:t>PAH</w:t>
            </w:r>
          </w:p>
        </w:tc>
        <w:tc>
          <w:tcPr>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Linearity range,</w:t>
            </w:r>
          </w:p>
          <w:p w:rsidR="006D26BD" w:rsidRPr="006D26BD" w:rsidRDefault="006D26BD" w:rsidP="006D26BD">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µg/L</w:t>
            </w:r>
          </w:p>
        </w:tc>
        <w:tc>
          <w:tcPr>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r</w:t>
            </w:r>
          </w:p>
        </w:tc>
        <w:tc>
          <w:tcPr>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LOD,</w:t>
            </w:r>
          </w:p>
          <w:p w:rsidR="006D26BD" w:rsidRPr="006D26BD" w:rsidRDefault="006D26BD" w:rsidP="006D26BD">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µg/L</w:t>
            </w:r>
          </w:p>
        </w:tc>
        <w:tc>
          <w:tcPr>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LOQ,</w:t>
            </w:r>
          </w:p>
          <w:p w:rsidR="006D26BD" w:rsidRPr="006D26BD" w:rsidRDefault="006D26BD" w:rsidP="006D26BD">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µg/L</w:t>
            </w:r>
          </w:p>
        </w:tc>
        <w:tc>
          <w:tcPr>
            <w:tcW w:w="0" w:type="auto"/>
            <w:tcBorders>
              <w:top w:val="single" w:sz="4" w:space="0" w:color="auto"/>
              <w:bottom w:val="single" w:sz="4" w:space="0" w:color="auto"/>
            </w:tcBorders>
            <w:shd w:val="clear" w:color="auto" w:fill="auto"/>
          </w:tcPr>
          <w:p w:rsidR="006D26BD" w:rsidRPr="006D26BD" w:rsidRDefault="006D26BD" w:rsidP="006D26BD">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Average relative recovery ± RSD,</w:t>
            </w:r>
          </w:p>
          <w:p w:rsidR="006D26BD" w:rsidRPr="006D26BD" w:rsidRDefault="006D26BD" w:rsidP="006D26BD">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 (n=3)</w:t>
            </w:r>
          </w:p>
        </w:tc>
      </w:tr>
      <w:tr w:rsidR="00D15B83" w:rsidRPr="006D26BD" w:rsidTr="00D15B83">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rsidR="006D26BD" w:rsidRPr="006D26BD" w:rsidRDefault="006D26BD" w:rsidP="00D15B83">
            <w:pPr>
              <w:spacing w:before="60" w:after="0" w:line="240" w:lineRule="auto"/>
              <w:outlineLvl w:val="0"/>
              <w:rPr>
                <w:rFonts w:ascii="Times New Roman" w:hAnsi="Times New Roman" w:cs="Times New Roman"/>
                <w:b w:val="0"/>
                <w:color w:val="auto"/>
                <w:sz w:val="20"/>
                <w:szCs w:val="20"/>
              </w:rPr>
            </w:pPr>
            <w:r w:rsidRPr="006D26BD">
              <w:rPr>
                <w:rFonts w:ascii="Times New Roman" w:hAnsi="Times New Roman" w:cs="Times New Roman"/>
                <w:b w:val="0"/>
                <w:color w:val="auto"/>
                <w:sz w:val="20"/>
                <w:szCs w:val="20"/>
              </w:rPr>
              <w:t>PHE</w:t>
            </w:r>
          </w:p>
        </w:tc>
        <w:tc>
          <w:tcPr>
            <w:tcW w:w="0" w:type="auto"/>
            <w:tcBorders>
              <w:top w:val="single" w:sz="4" w:space="0" w:color="auto"/>
              <w:bottom w:val="nil"/>
            </w:tcBorders>
            <w:shd w:val="clear" w:color="auto" w:fill="auto"/>
          </w:tcPr>
          <w:p w:rsidR="006D26BD" w:rsidRPr="006D26BD" w:rsidRDefault="006D26BD" w:rsidP="00D15B8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5-200</w:t>
            </w:r>
          </w:p>
        </w:tc>
        <w:tc>
          <w:tcPr>
            <w:tcW w:w="0" w:type="auto"/>
            <w:tcBorders>
              <w:top w:val="single" w:sz="4" w:space="0" w:color="auto"/>
              <w:bottom w:val="nil"/>
            </w:tcBorders>
            <w:shd w:val="clear" w:color="auto" w:fill="auto"/>
          </w:tcPr>
          <w:p w:rsidR="006D26BD" w:rsidRPr="006D26BD" w:rsidRDefault="006D26BD" w:rsidP="00D15B8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0.9961</w:t>
            </w:r>
          </w:p>
        </w:tc>
        <w:tc>
          <w:tcPr>
            <w:tcW w:w="0" w:type="auto"/>
            <w:tcBorders>
              <w:top w:val="single" w:sz="4" w:space="0" w:color="auto"/>
              <w:bottom w:val="nil"/>
            </w:tcBorders>
            <w:shd w:val="clear" w:color="auto" w:fill="auto"/>
          </w:tcPr>
          <w:p w:rsidR="006D26BD" w:rsidRPr="006D26BD" w:rsidRDefault="006D26BD" w:rsidP="00D15B8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0.1</w:t>
            </w:r>
          </w:p>
        </w:tc>
        <w:tc>
          <w:tcPr>
            <w:tcW w:w="0" w:type="auto"/>
            <w:tcBorders>
              <w:top w:val="single" w:sz="4" w:space="0" w:color="auto"/>
              <w:bottom w:val="nil"/>
            </w:tcBorders>
            <w:shd w:val="clear" w:color="auto" w:fill="auto"/>
          </w:tcPr>
          <w:p w:rsidR="006D26BD" w:rsidRPr="006D26BD" w:rsidRDefault="006D26BD" w:rsidP="00D15B8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0.4</w:t>
            </w:r>
          </w:p>
        </w:tc>
        <w:tc>
          <w:tcPr>
            <w:tcW w:w="0" w:type="auto"/>
            <w:tcBorders>
              <w:top w:val="single" w:sz="4" w:space="0" w:color="auto"/>
              <w:bottom w:val="nil"/>
            </w:tcBorders>
            <w:shd w:val="clear" w:color="auto" w:fill="auto"/>
          </w:tcPr>
          <w:p w:rsidR="006D26BD" w:rsidRPr="006D26BD" w:rsidRDefault="006D26BD" w:rsidP="00D15B83">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88.3±7.6</w:t>
            </w:r>
          </w:p>
        </w:tc>
      </w:tr>
      <w:tr w:rsidR="00D15B83" w:rsidRPr="006D26BD" w:rsidTr="00D15B8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6D26BD" w:rsidRPr="006D26BD" w:rsidRDefault="006D26BD" w:rsidP="00D15B83">
            <w:pPr>
              <w:spacing w:before="60" w:after="60" w:line="240" w:lineRule="auto"/>
              <w:outlineLvl w:val="0"/>
              <w:rPr>
                <w:rFonts w:ascii="Times New Roman" w:hAnsi="Times New Roman" w:cs="Times New Roman"/>
                <w:b w:val="0"/>
                <w:color w:val="auto"/>
                <w:sz w:val="20"/>
                <w:szCs w:val="20"/>
              </w:rPr>
            </w:pPr>
            <w:r w:rsidRPr="006D26BD">
              <w:rPr>
                <w:rFonts w:ascii="Times New Roman" w:hAnsi="Times New Roman" w:cs="Times New Roman"/>
                <w:b w:val="0"/>
                <w:color w:val="auto"/>
                <w:sz w:val="20"/>
                <w:szCs w:val="20"/>
              </w:rPr>
              <w:t>BaP</w:t>
            </w:r>
          </w:p>
        </w:tc>
        <w:tc>
          <w:tcPr>
            <w:tcW w:w="0" w:type="auto"/>
            <w:tcBorders>
              <w:top w:val="nil"/>
              <w:bottom w:val="single" w:sz="4" w:space="0" w:color="auto"/>
            </w:tcBorders>
            <w:shd w:val="clear" w:color="auto" w:fill="auto"/>
          </w:tcPr>
          <w:p w:rsidR="006D26BD" w:rsidRPr="006D26BD" w:rsidRDefault="006D26BD" w:rsidP="00D15B83">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1-25</w:t>
            </w:r>
          </w:p>
        </w:tc>
        <w:tc>
          <w:tcPr>
            <w:tcW w:w="0" w:type="auto"/>
            <w:tcBorders>
              <w:top w:val="nil"/>
              <w:bottom w:val="single" w:sz="4" w:space="0" w:color="auto"/>
            </w:tcBorders>
            <w:shd w:val="clear" w:color="auto" w:fill="auto"/>
          </w:tcPr>
          <w:p w:rsidR="006D26BD" w:rsidRPr="006D26BD" w:rsidRDefault="006D26BD" w:rsidP="00D15B83">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0.9985</w:t>
            </w:r>
          </w:p>
        </w:tc>
        <w:tc>
          <w:tcPr>
            <w:tcW w:w="0" w:type="auto"/>
            <w:tcBorders>
              <w:top w:val="nil"/>
              <w:bottom w:val="single" w:sz="4" w:space="0" w:color="auto"/>
            </w:tcBorders>
            <w:shd w:val="clear" w:color="auto" w:fill="auto"/>
          </w:tcPr>
          <w:p w:rsidR="006D26BD" w:rsidRPr="006D26BD" w:rsidRDefault="006D26BD" w:rsidP="00D15B83">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0.003</w:t>
            </w:r>
          </w:p>
        </w:tc>
        <w:tc>
          <w:tcPr>
            <w:tcW w:w="0" w:type="auto"/>
            <w:tcBorders>
              <w:top w:val="nil"/>
              <w:bottom w:val="single" w:sz="4" w:space="0" w:color="auto"/>
            </w:tcBorders>
            <w:shd w:val="clear" w:color="auto" w:fill="auto"/>
          </w:tcPr>
          <w:p w:rsidR="006D26BD" w:rsidRPr="006D26BD" w:rsidRDefault="006D26BD" w:rsidP="00D15B83">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0.01</w:t>
            </w:r>
          </w:p>
        </w:tc>
        <w:tc>
          <w:tcPr>
            <w:tcW w:w="0" w:type="auto"/>
            <w:tcBorders>
              <w:top w:val="nil"/>
              <w:bottom w:val="single" w:sz="4" w:space="0" w:color="auto"/>
            </w:tcBorders>
            <w:shd w:val="clear" w:color="auto" w:fill="auto"/>
          </w:tcPr>
          <w:p w:rsidR="006D26BD" w:rsidRPr="006D26BD" w:rsidRDefault="006D26BD" w:rsidP="00D15B83">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6D26BD">
              <w:rPr>
                <w:rFonts w:ascii="Times New Roman" w:hAnsi="Times New Roman" w:cs="Times New Roman"/>
                <w:color w:val="auto"/>
                <w:sz w:val="20"/>
                <w:szCs w:val="20"/>
              </w:rPr>
              <w:t>95.7±0.8</w:t>
            </w:r>
          </w:p>
        </w:tc>
      </w:tr>
    </w:tbl>
    <w:p w:rsidR="006D26BD" w:rsidRPr="006D26BD" w:rsidRDefault="006D26BD" w:rsidP="00D15B83">
      <w:pPr>
        <w:spacing w:after="120" w:line="240" w:lineRule="auto"/>
        <w:jc w:val="both"/>
        <w:outlineLvl w:val="0"/>
        <w:rPr>
          <w:rFonts w:ascii="Times New Roman" w:hAnsi="Times New Roman"/>
          <w:sz w:val="20"/>
          <w:szCs w:val="20"/>
        </w:rPr>
      </w:pPr>
    </w:p>
    <w:p w:rsidR="006D26BD" w:rsidRPr="006D26BD" w:rsidRDefault="006D26BD" w:rsidP="006D26BD">
      <w:pPr>
        <w:spacing w:after="0" w:line="240" w:lineRule="auto"/>
        <w:mirrorIndents/>
        <w:jc w:val="both"/>
        <w:rPr>
          <w:rFonts w:ascii="Times New Roman" w:eastAsia="Calibri" w:hAnsi="Times New Roman"/>
          <w:b/>
          <w:sz w:val="20"/>
          <w:szCs w:val="20"/>
          <w:lang w:val="en-MY"/>
        </w:rPr>
      </w:pPr>
      <w:r w:rsidRPr="006D26BD">
        <w:rPr>
          <w:rFonts w:ascii="Times New Roman" w:eastAsia="Calibri" w:hAnsi="Times New Roman"/>
          <w:b/>
          <w:sz w:val="20"/>
          <w:szCs w:val="20"/>
          <w:lang w:val="en-MY"/>
        </w:rPr>
        <w:t xml:space="preserve">Analysis of selected PAHs in coffee beverage samples </w:t>
      </w:r>
    </w:p>
    <w:p w:rsidR="006D26BD" w:rsidRPr="006D26BD" w:rsidRDefault="006D26BD" w:rsidP="006D26BD">
      <w:pPr>
        <w:spacing w:after="0" w:line="240" w:lineRule="auto"/>
        <w:jc w:val="both"/>
        <w:outlineLvl w:val="0"/>
        <w:rPr>
          <w:rFonts w:ascii="Times New Roman" w:hAnsi="Times New Roman"/>
          <w:sz w:val="20"/>
          <w:szCs w:val="20"/>
        </w:rPr>
      </w:pPr>
      <w:r w:rsidRPr="006D26BD">
        <w:rPr>
          <w:rFonts w:ascii="Times New Roman" w:eastAsia="Calibri" w:hAnsi="Times New Roman"/>
          <w:sz w:val="20"/>
          <w:szCs w:val="20"/>
          <w:lang w:val="en-MY"/>
        </w:rPr>
        <w:t xml:space="preserve">The optimized and validated µ-SPE technique was applied to extract the PAHs from five coffee beverage samples that were obtained from retail shops. The results show that BaP was detected in four out of five coffee beverage samples. The BaP concentration was detected in the range of 1.0 to 1.9 µg/L while PHE was not detected. Currently, there is no regulation that set a maximum limit for BaP level in coffee beverage.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15B83" w:rsidRPr="00D15B83" w:rsidRDefault="00D15B83" w:rsidP="00D15B83">
      <w:pPr>
        <w:spacing w:after="0" w:line="240" w:lineRule="auto"/>
        <w:jc w:val="both"/>
        <w:outlineLvl w:val="0"/>
        <w:rPr>
          <w:rFonts w:ascii="GulliverRM" w:hAnsi="GulliverRM"/>
          <w:sz w:val="20"/>
          <w:szCs w:val="20"/>
        </w:rPr>
      </w:pPr>
      <w:r w:rsidRPr="00D15B83">
        <w:rPr>
          <w:rFonts w:ascii="Times New Roman" w:eastAsia="Calibri" w:hAnsi="Times New Roman"/>
          <w:sz w:val="20"/>
          <w:szCs w:val="20"/>
          <w:lang w:val="en-MY"/>
        </w:rPr>
        <w:t>The micro-solid phase extraction using C</w:t>
      </w:r>
      <w:r w:rsidRPr="00D15B83">
        <w:rPr>
          <w:rFonts w:ascii="Times New Roman" w:eastAsia="Calibri" w:hAnsi="Times New Roman"/>
          <w:sz w:val="20"/>
          <w:szCs w:val="20"/>
          <w:vertAlign w:val="subscript"/>
          <w:lang w:val="en-MY"/>
        </w:rPr>
        <w:t>18</w:t>
      </w:r>
      <w:r w:rsidRPr="00D15B83">
        <w:rPr>
          <w:rFonts w:ascii="Times New Roman" w:eastAsia="Calibri" w:hAnsi="Times New Roman"/>
          <w:sz w:val="20"/>
          <w:szCs w:val="20"/>
          <w:lang w:val="en-MY"/>
        </w:rPr>
        <w:t xml:space="preserve"> film as the adsorbent is a sensitive, simple and green technique. The agarose used is a biodegradable material that makes it environmental friendly coupled with the reduction in the consumption of solvent due its micro-scale format. This technique fulfils the green chemistry concept that is widely approached these days. The technique shall then be applied for the extraction of 16 PAHs to examine the competition among the PAHs for the minute amounts of adsorption sites.</w:t>
      </w:r>
      <w:r w:rsidRPr="00D15B83">
        <w:rPr>
          <w:rFonts w:ascii="GulliverRM" w:hAnsi="GulliverRM"/>
          <w:sz w:val="20"/>
          <w:szCs w:val="20"/>
        </w:rPr>
        <w:t xml:space="preserve"> </w:t>
      </w:r>
    </w:p>
    <w:p w:rsidR="00D15B83" w:rsidRPr="00D15B83" w:rsidRDefault="00D15B83" w:rsidP="00D15B83">
      <w:pPr>
        <w:spacing w:after="0" w:line="240" w:lineRule="auto"/>
        <w:jc w:val="center"/>
        <w:outlineLvl w:val="0"/>
        <w:rPr>
          <w:rFonts w:ascii="Times New Roman" w:hAnsi="Times New Roman"/>
          <w:sz w:val="20"/>
          <w:szCs w:val="20"/>
        </w:rPr>
      </w:pPr>
    </w:p>
    <w:p w:rsidR="00D15B83" w:rsidRPr="00D15B83" w:rsidRDefault="00D15B83" w:rsidP="00D15B83">
      <w:pPr>
        <w:spacing w:after="0" w:line="240" w:lineRule="auto"/>
        <w:jc w:val="center"/>
        <w:outlineLvl w:val="0"/>
        <w:rPr>
          <w:rFonts w:ascii="Times New Roman" w:hAnsi="Times New Roman"/>
          <w:b/>
          <w:sz w:val="20"/>
          <w:szCs w:val="20"/>
        </w:rPr>
      </w:pPr>
      <w:r w:rsidRPr="00D15B83">
        <w:rPr>
          <w:rFonts w:ascii="Times New Roman" w:hAnsi="Times New Roman"/>
          <w:b/>
          <w:sz w:val="20"/>
          <w:szCs w:val="20"/>
        </w:rPr>
        <w:t>Acknowledgement</w:t>
      </w:r>
    </w:p>
    <w:p w:rsidR="00AC0033" w:rsidRPr="00D15B83" w:rsidRDefault="00D15B83" w:rsidP="00D15B83">
      <w:pPr>
        <w:pStyle w:val="Heading3"/>
        <w:tabs>
          <w:tab w:val="left" w:pos="0"/>
          <w:tab w:val="left" w:pos="709"/>
        </w:tabs>
        <w:spacing w:before="0" w:line="240" w:lineRule="auto"/>
        <w:jc w:val="both"/>
        <w:rPr>
          <w:rFonts w:ascii="Times New Roman" w:hAnsi="Times New Roman"/>
          <w:b/>
          <w:i w:val="0"/>
          <w:smallCaps w:val="0"/>
          <w:sz w:val="20"/>
          <w:szCs w:val="20"/>
          <w:lang w:val="en-US"/>
        </w:rPr>
      </w:pPr>
      <w:r w:rsidRPr="00D15B83">
        <w:rPr>
          <w:rFonts w:ascii="Times New Roman" w:hAnsi="Times New Roman"/>
          <w:i w:val="0"/>
          <w:smallCaps w:val="0"/>
          <w:sz w:val="20"/>
          <w:szCs w:val="20"/>
        </w:rPr>
        <w:t>The authors would like to thank Universiti Malaysia Terengganu and Ministry of Higher Education Malaysia for the financial supports through research grants with vote number: 68006/INSENTIF/57 and 59367, respectively.</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Public Health England. (2008). Polycyclic aromatic hydrocarbons (benzo[a]pyrene). General information https://www.gov.uk/government/uploads/system/uploads/attachment_data/file/341369/PAHs_General_Information_phe_v1.pdf [Accessed online on 5 July 2017].</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Oosterveld, A., Voragen, A. G. J. and Schols, H. A. (2003). Effect of roasting on the carbohydrate composition of Coffea arabica beans. </w:t>
      </w:r>
      <w:r w:rsidRPr="00D15B83">
        <w:rPr>
          <w:rFonts w:ascii="Times New Roman" w:eastAsia="Calibri" w:hAnsi="Times New Roman"/>
          <w:i/>
          <w:sz w:val="20"/>
          <w:szCs w:val="20"/>
          <w:lang w:val="en-MY"/>
        </w:rPr>
        <w:t xml:space="preserve">Carbohydrates Polymers, </w:t>
      </w:r>
      <w:r w:rsidRPr="00D15B83">
        <w:rPr>
          <w:rFonts w:ascii="Times New Roman" w:eastAsia="Calibri" w:hAnsi="Times New Roman"/>
          <w:sz w:val="20"/>
          <w:szCs w:val="20"/>
          <w:lang w:val="en-MY"/>
        </w:rPr>
        <w:t xml:space="preserve">54: 83-192. </w:t>
      </w:r>
    </w:p>
    <w:p w:rsidR="0002793B" w:rsidRPr="0002793B"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World Health Organization. (2003). Polynuclear aromatic hydrocarbons in drinking-water. Background document for </w:t>
      </w:r>
      <w:r w:rsidR="00C61795">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preparation </w:t>
      </w:r>
      <w:r w:rsidR="00C61795">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of </w:t>
      </w:r>
      <w:r w:rsidR="00C61795">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WHO </w:t>
      </w:r>
      <w:r w:rsidR="00C61795">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Guidelines for drinking-water quality.Geneva, World Health Organization</w:t>
      </w:r>
      <w:r w:rsidR="00C61795">
        <w:rPr>
          <w:rFonts w:ascii="Times New Roman" w:eastAsia="Calibri" w:hAnsi="Times New Roman"/>
          <w:sz w:val="20"/>
          <w:szCs w:val="20"/>
          <w:lang w:val="en-MY"/>
        </w:rPr>
        <w:t xml:space="preserve"> </w:t>
      </w:r>
      <w:r>
        <w:rPr>
          <w:rFonts w:ascii="Times New Roman" w:eastAsia="Calibri" w:hAnsi="Times New Roman"/>
          <w:sz w:val="20"/>
          <w:szCs w:val="20"/>
          <w:lang w:val="en-MY"/>
        </w:rPr>
        <w:t>(WHO/SDE/WSH/03.04/59).</w:t>
      </w:r>
      <w:r w:rsidR="00C61795">
        <w:rPr>
          <w:rFonts w:ascii="Times New Roman" w:eastAsia="Calibri" w:hAnsi="Times New Roman"/>
          <w:sz w:val="20"/>
          <w:szCs w:val="20"/>
          <w:lang w:val="en-MY"/>
        </w:rPr>
        <w:t xml:space="preserve"> </w:t>
      </w:r>
    </w:p>
    <w:p w:rsidR="00D15B83" w:rsidRPr="00D15B83" w:rsidRDefault="00D15B83" w:rsidP="0002793B">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http://www.who.int/water_sanitation_health/dwq/chemicals/pahsum.pdf</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[Accessed</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online on 5 July 2017].</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Lin, D., Tu, Y. and Zhu, L. (2005). Concentrations and health risk of polycyclic aromatic hydrocarbons in tea. </w:t>
      </w:r>
      <w:r w:rsidRPr="00D15B83">
        <w:rPr>
          <w:rFonts w:ascii="Times New Roman" w:eastAsia="Calibri" w:hAnsi="Times New Roman"/>
          <w:i/>
          <w:sz w:val="20"/>
          <w:szCs w:val="20"/>
          <w:lang w:val="en-MY"/>
        </w:rPr>
        <w:t xml:space="preserve">Food and Chemical Toxicology, </w:t>
      </w:r>
      <w:r w:rsidRPr="00D15B83">
        <w:rPr>
          <w:rFonts w:ascii="Times New Roman" w:eastAsia="Calibri" w:hAnsi="Times New Roman"/>
          <w:sz w:val="20"/>
          <w:szCs w:val="20"/>
          <w:lang w:val="en-MY"/>
        </w:rPr>
        <w:t>43(1): 41-48.</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lang w:val="es-ES"/>
        </w:rPr>
        <w:t xml:space="preserve">Kayali-Sayadi, M. N., Rubio-Barroso, S., Cuesta-Jimenez, M. P. and Polo-Díez, L. M. (1998). </w:t>
      </w:r>
      <w:r w:rsidRPr="00D15B83">
        <w:rPr>
          <w:rFonts w:ascii="Times New Roman" w:hAnsi="Times New Roman"/>
          <w:sz w:val="20"/>
          <w:szCs w:val="20"/>
        </w:rPr>
        <w:t xml:space="preserve">Rapid determination of polycyclic aromatic hydrocarbons in tea infusion samples by high-performance liquid chromatography and fluorimetric detection based on solid-phase extraction. </w:t>
      </w:r>
      <w:r w:rsidRPr="00D15B83">
        <w:rPr>
          <w:rFonts w:ascii="Times New Roman" w:hAnsi="Times New Roman"/>
          <w:i/>
          <w:sz w:val="20"/>
          <w:szCs w:val="20"/>
        </w:rPr>
        <w:t xml:space="preserve">Analyst, </w:t>
      </w:r>
      <w:r w:rsidRPr="00D15B83">
        <w:rPr>
          <w:rFonts w:ascii="Times New Roman" w:hAnsi="Times New Roman"/>
          <w:sz w:val="20"/>
          <w:szCs w:val="20"/>
        </w:rPr>
        <w:t>123: 2145-2148.</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Bishnoi, N. R., Mehta, U., Sain, U. and Pandit, G. G. (2005). Quantification of polycyclic aromatic hydrocarbons in coffee and tea samples of Mumbai city (India) by high performance liquid chromatography. </w:t>
      </w:r>
      <w:r w:rsidRPr="00D15B83">
        <w:rPr>
          <w:rFonts w:ascii="Times New Roman" w:eastAsia="Calibri" w:hAnsi="Times New Roman"/>
          <w:i/>
          <w:sz w:val="20"/>
          <w:szCs w:val="20"/>
          <w:lang w:val="en-MY"/>
        </w:rPr>
        <w:t>Environmental Monitoring and Assessment,</w:t>
      </w:r>
      <w:r w:rsidRPr="00D15B83">
        <w:rPr>
          <w:rFonts w:ascii="Times New Roman" w:eastAsia="Calibri" w:hAnsi="Times New Roman"/>
          <w:sz w:val="20"/>
          <w:szCs w:val="20"/>
          <w:lang w:val="en-MY"/>
        </w:rPr>
        <w:t xml:space="preserve"> 107: 399-406.</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Luo, D., Yu, Q., Yin, H. and Feng, Y. (2007). Humic acid-bonded silica as a novel sorbent for solid-phase extraction of benzo[a]pyrene in edible oils. </w:t>
      </w:r>
      <w:r w:rsidRPr="00D15B83">
        <w:rPr>
          <w:rFonts w:ascii="Times New Roman" w:eastAsia="Calibri" w:hAnsi="Times New Roman"/>
          <w:i/>
          <w:sz w:val="20"/>
          <w:szCs w:val="20"/>
          <w:lang w:val="en-MY"/>
        </w:rPr>
        <w:t>Analytica Chimica Acta,</w:t>
      </w:r>
      <w:r w:rsidRPr="00D15B83">
        <w:rPr>
          <w:rFonts w:ascii="Times New Roman" w:eastAsia="Calibri" w:hAnsi="Times New Roman"/>
          <w:sz w:val="20"/>
          <w:szCs w:val="20"/>
          <w:lang w:val="en-MY"/>
        </w:rPr>
        <w:t xml:space="preserve"> 588(2): 261-267.</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Zuin, V. G., Schellin, M., Montero, L., Yariwake, J. H., Augusto, F. and Popp, P. (2006). Comparison of stir bar sorptive extraction and membrane assisted solvent extraction as enrichment techniques for the determination of pesticide and benzo[a]pyrene residues in Brazilian sugarcane juice. </w:t>
      </w:r>
      <w:r w:rsidRPr="00D15B83">
        <w:rPr>
          <w:rFonts w:ascii="Times New Roman" w:eastAsia="Calibri" w:hAnsi="Times New Roman"/>
          <w:i/>
          <w:sz w:val="20"/>
          <w:szCs w:val="20"/>
          <w:lang w:val="en-MY"/>
        </w:rPr>
        <w:t xml:space="preserve">Journal of Chromatography A, </w:t>
      </w:r>
      <w:r w:rsidRPr="00D15B83">
        <w:rPr>
          <w:rFonts w:ascii="Times New Roman" w:eastAsia="Calibri" w:hAnsi="Times New Roman"/>
          <w:sz w:val="20"/>
          <w:szCs w:val="20"/>
          <w:lang w:val="en-MY"/>
        </w:rPr>
        <w:t>1114(2): 180-187.</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 xml:space="preserve">Loh, S. H., Chong, Y. T., Nor Afindi, K. N. and Kamaruddin, N. A. (2016). Determination of polycyclic aromatic hydrocarbons in beverage by low density solvent based-dispersive liquid-liquid microextraction-high performance liquid chromatography-fluorescence detection. </w:t>
      </w:r>
      <w:r w:rsidRPr="00D15B83">
        <w:rPr>
          <w:rFonts w:ascii="Times New Roman" w:hAnsi="Times New Roman"/>
          <w:i/>
          <w:sz w:val="20"/>
          <w:szCs w:val="20"/>
        </w:rPr>
        <w:t>Sains Malaysiana</w:t>
      </w:r>
      <w:r w:rsidRPr="00D15B83">
        <w:rPr>
          <w:rFonts w:ascii="Times New Roman" w:hAnsi="Times New Roman"/>
          <w:sz w:val="20"/>
          <w:szCs w:val="20"/>
        </w:rPr>
        <w:t>, 45(10): 1453-1459.</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lastRenderedPageBreak/>
        <w:t xml:space="preserve">Shi, Y., Wu, H., Wang, C., Guo, X., Du, J. and Du, L. (2016). Determination of polycyclic aromatic hydrocarbons in coffee and tea samples by magnetic solid-phase extraction coupled with HPLC–FLD. </w:t>
      </w:r>
      <w:r w:rsidRPr="00D15B83">
        <w:rPr>
          <w:rFonts w:ascii="Times New Roman" w:hAnsi="Times New Roman"/>
          <w:i/>
          <w:sz w:val="20"/>
          <w:szCs w:val="20"/>
        </w:rPr>
        <w:t>Food Chemistry</w:t>
      </w:r>
      <w:r w:rsidRPr="00D15B83">
        <w:rPr>
          <w:rFonts w:ascii="Times New Roman" w:hAnsi="Times New Roman"/>
          <w:sz w:val="20"/>
          <w:szCs w:val="20"/>
        </w:rPr>
        <w:t>, 199: 75-80.</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 xml:space="preserve">Ishizaki, A., Saito, K., Hanioka, N., Narimatsu, S. and Kataoka, H. (2010). Determination of polycyclic aromatic hydrocarbons in food samples by automated on-line in-tube solid-phase microextraction coupled with high-performance liquid chromatography-fluorescence detection. </w:t>
      </w:r>
      <w:r w:rsidRPr="00D15B83">
        <w:rPr>
          <w:rFonts w:ascii="Times New Roman" w:hAnsi="Times New Roman"/>
          <w:i/>
          <w:sz w:val="20"/>
          <w:szCs w:val="20"/>
        </w:rPr>
        <w:t>Journal of Chromatography A</w:t>
      </w:r>
      <w:r w:rsidRPr="00D15B83">
        <w:rPr>
          <w:rFonts w:ascii="Times New Roman" w:hAnsi="Times New Roman"/>
          <w:sz w:val="20"/>
          <w:szCs w:val="20"/>
        </w:rPr>
        <w:t>, 1217(35): 5555-5563.</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Loh, S. H., Sanagi, M. M., Wan Ibrahim, W. A. and Hasan, M. N. (2013). </w:t>
      </w:r>
      <w:r w:rsidRPr="00D15B83">
        <w:rPr>
          <w:rFonts w:ascii="Times New Roman" w:hAnsi="Times New Roman"/>
          <w:sz w:val="20"/>
          <w:szCs w:val="20"/>
        </w:rPr>
        <w:t xml:space="preserve">Multi-walled carbon nanotube-impregnated agarose film microextraction of polycyclic aromatic hydrocarbons in green tea beverage. </w:t>
      </w:r>
      <w:r w:rsidRPr="00D15B83">
        <w:rPr>
          <w:rFonts w:ascii="Times New Roman" w:hAnsi="Times New Roman"/>
          <w:i/>
          <w:sz w:val="20"/>
          <w:szCs w:val="20"/>
        </w:rPr>
        <w:t>Talanta</w:t>
      </w:r>
      <w:r w:rsidRPr="00D15B83">
        <w:rPr>
          <w:rFonts w:ascii="Times New Roman" w:hAnsi="Times New Roman"/>
          <w:sz w:val="20"/>
          <w:szCs w:val="20"/>
        </w:rPr>
        <w:t>, 106: 200-205.</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Risticevic, S., Lord, H., Górecki, T., Arthur, C. L. and Pawliszyn, J. (2010). Protocol for solid phase microextraction method development. </w:t>
      </w:r>
      <w:r w:rsidRPr="00D15B83">
        <w:rPr>
          <w:rFonts w:ascii="Times New Roman" w:eastAsia="Calibri" w:hAnsi="Times New Roman"/>
          <w:i/>
          <w:sz w:val="20"/>
          <w:szCs w:val="20"/>
          <w:lang w:val="en-MY"/>
        </w:rPr>
        <w:t>Nature Protocols,</w:t>
      </w:r>
      <w:r w:rsidRPr="00D15B83">
        <w:rPr>
          <w:rFonts w:ascii="Times New Roman" w:eastAsia="Calibri" w:hAnsi="Times New Roman"/>
          <w:sz w:val="20"/>
          <w:szCs w:val="20"/>
          <w:lang w:val="en-MY"/>
        </w:rPr>
        <w:t xml:space="preserve"> 5(1): 122-139.</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Ge, D. and Lee, H. K. (2001). </w:t>
      </w:r>
      <w:r w:rsidRPr="00D15B83">
        <w:rPr>
          <w:rFonts w:ascii="Times New Roman" w:hAnsi="Times New Roman"/>
          <w:sz w:val="20"/>
          <w:szCs w:val="20"/>
        </w:rPr>
        <w:t xml:space="preserve">Water stability of zeolite imidazolate framework 8 and application to porous membrane-protected micro-solid-phase extraction of polycyclic aromatic hydrocarbons from environmental water samples. </w:t>
      </w:r>
      <w:r w:rsidRPr="00D15B83">
        <w:rPr>
          <w:rFonts w:ascii="Times New Roman" w:hAnsi="Times New Roman"/>
          <w:i/>
          <w:sz w:val="20"/>
          <w:szCs w:val="20"/>
        </w:rPr>
        <w:t>Journal of Chromatography A</w:t>
      </w:r>
      <w:r w:rsidRPr="00D15B83">
        <w:rPr>
          <w:rFonts w:ascii="Times New Roman" w:hAnsi="Times New Roman"/>
          <w:sz w:val="20"/>
          <w:szCs w:val="20"/>
        </w:rPr>
        <w:t>, 1218(47): 8490-8495.</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Barcelo, D. (2000). Sample handling and trace analysis of pollutants: Techniques, applications and quality assurance. Elsevier, Amsterdam: pp. 26.</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Pawliszyn, J. (2012)</w:t>
      </w:r>
      <w:r w:rsidRPr="00D15B83">
        <w:rPr>
          <w:rFonts w:ascii="Times New Roman" w:eastAsia="Calibri" w:hAnsi="Times New Roman"/>
          <w:i/>
          <w:sz w:val="20"/>
          <w:szCs w:val="20"/>
          <w:lang w:val="en-MY"/>
        </w:rPr>
        <w:t xml:space="preserve">. </w:t>
      </w:r>
      <w:r w:rsidRPr="00D15B83">
        <w:rPr>
          <w:rFonts w:ascii="Times New Roman" w:eastAsia="Calibri" w:hAnsi="Times New Roman"/>
          <w:sz w:val="20"/>
          <w:szCs w:val="20"/>
          <w:lang w:val="en-MY"/>
        </w:rPr>
        <w:t>Handbook of solid phase microextraction. Elsevier, London: pp. 156.</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Ahuja, S and Rasmussen, H. (2007). HPLC method development for pharmaceuticals. Elsevier, USA: pp. 448.</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Shrivastava, A. and Gupta, V. B. (2011). Methods for the determination of limit of detection and limit of quantitation of the analytical methods. </w:t>
      </w:r>
      <w:r w:rsidRPr="00D15B83">
        <w:rPr>
          <w:rFonts w:ascii="Times New Roman" w:eastAsia="Calibri" w:hAnsi="Times New Roman"/>
          <w:i/>
          <w:sz w:val="20"/>
          <w:szCs w:val="20"/>
          <w:lang w:val="en-MY"/>
        </w:rPr>
        <w:t>Chronicles of Young Scientists,</w:t>
      </w:r>
      <w:r w:rsidRPr="00D15B83">
        <w:rPr>
          <w:rFonts w:ascii="Times New Roman" w:eastAsia="Calibri" w:hAnsi="Times New Roman"/>
          <w:sz w:val="20"/>
          <w:szCs w:val="20"/>
          <w:lang w:val="en-MY"/>
        </w:rPr>
        <w:t xml:space="preserve"> 2(1): 21-25.</w:t>
      </w:r>
    </w:p>
    <w:p w:rsidR="00D15B83" w:rsidRPr="00D15B83" w:rsidRDefault="00D15B83" w:rsidP="00D15B83">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Krause, S. O. (2003). Good analytical method validation practice deriving acceptance criteria for the AMV protocol: Part II. </w:t>
      </w:r>
      <w:r w:rsidRPr="00D15B83">
        <w:rPr>
          <w:rFonts w:ascii="Times New Roman" w:eastAsia="Calibri" w:hAnsi="Times New Roman"/>
          <w:i/>
          <w:sz w:val="20"/>
          <w:szCs w:val="20"/>
          <w:lang w:val="en-MY"/>
        </w:rPr>
        <w:t>Journal of Validation Technology,</w:t>
      </w:r>
      <w:r w:rsidRPr="00D15B83">
        <w:rPr>
          <w:rFonts w:ascii="Times New Roman" w:eastAsia="Calibri" w:hAnsi="Times New Roman"/>
          <w:sz w:val="20"/>
          <w:szCs w:val="20"/>
          <w:lang w:val="en-MY"/>
        </w:rPr>
        <w:t xml:space="preserve"> 9(2): 162-178.</w:t>
      </w: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6B72B0">
      <w:headerReference w:type="even" r:id="rId16"/>
      <w:headerReference w:type="default" r:id="rId17"/>
      <w:footerReference w:type="even" r:id="rId18"/>
      <w:footerReference w:type="default" r:id="rId19"/>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651160">
      <w:rPr>
        <w:rFonts w:ascii="Times New Roman" w:hAnsi="Times New Roman"/>
        <w:noProof/>
      </w:rPr>
      <w:t>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651160">
      <w:rPr>
        <w:rFonts w:ascii="Times New Roman" w:hAnsi="Times New Roman"/>
        <w:noProof/>
      </w:rPr>
      <w:t>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83" w:rsidRPr="00D15B83" w:rsidRDefault="00D15B83" w:rsidP="00D15B83">
    <w:pPr>
      <w:spacing w:after="0" w:line="240" w:lineRule="auto"/>
      <w:ind w:left="900" w:hanging="900"/>
      <w:rPr>
        <w:rFonts w:ascii="Times New Roman" w:eastAsia="Calibri" w:hAnsi="Times New Roman"/>
        <w:bCs/>
        <w:sz w:val="20"/>
        <w:szCs w:val="20"/>
        <w:lang w:val="en-MY"/>
      </w:rPr>
    </w:pPr>
    <w:r>
      <w:rPr>
        <w:rFonts w:ascii="Times New Roman" w:hAnsi="Times New Roman"/>
        <w:sz w:val="20"/>
        <w:szCs w:val="20"/>
      </w:rPr>
      <w:t>Loh et al</w:t>
    </w:r>
    <w:r w:rsidR="006B72B0" w:rsidRPr="00D15B83">
      <w:rPr>
        <w:rFonts w:ascii="Times New Roman" w:hAnsi="Times New Roman"/>
        <w:sz w:val="20"/>
        <w:szCs w:val="20"/>
      </w:rPr>
      <w:t xml:space="preserve">: </w:t>
    </w:r>
    <w:r w:rsidR="00070F31" w:rsidRPr="00D15B83">
      <w:rPr>
        <w:rFonts w:ascii="Times New Roman" w:hAnsi="Times New Roman"/>
        <w:sz w:val="20"/>
        <w:szCs w:val="20"/>
      </w:rPr>
      <w:t xml:space="preserve"> </w:t>
    </w:r>
    <w:r w:rsidRPr="00D15B83">
      <w:rPr>
        <w:rFonts w:ascii="Times New Roman" w:eastAsia="Calibri" w:hAnsi="Times New Roman"/>
        <w:bCs/>
        <w:sz w:val="20"/>
        <w:szCs w:val="20"/>
        <w:lang w:val="en-MY"/>
      </w:rPr>
      <w:t>SIMPLE µ-SOLID PHASE EXTRACTION USING C</w:t>
    </w:r>
    <w:r w:rsidRPr="00D15B83">
      <w:rPr>
        <w:rFonts w:ascii="Times New Roman" w:eastAsia="Calibri" w:hAnsi="Times New Roman"/>
        <w:bCs/>
        <w:sz w:val="20"/>
        <w:szCs w:val="20"/>
        <w:vertAlign w:val="subscript"/>
        <w:lang w:val="en-MY"/>
      </w:rPr>
      <w:t>18</w:t>
    </w:r>
    <w:r w:rsidRPr="00D15B83">
      <w:rPr>
        <w:rFonts w:ascii="Times New Roman" w:eastAsia="Calibri" w:hAnsi="Times New Roman"/>
        <w:bCs/>
        <w:sz w:val="20"/>
        <w:szCs w:val="20"/>
        <w:lang w:val="en-MY"/>
      </w:rPr>
      <w:t xml:space="preserve"> FILM FOR THE EXTRACTION OF POLYCYCLIC AROMATIC HYDROCARBONS IN COFFEE BEVERAGE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8C3A84">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sidR="008C3A84">
      <w:rPr>
        <w:rFonts w:ascii="Times New Roman" w:hAnsi="Times New Roman"/>
        <w:i/>
        <w:lang w:val="en-US"/>
      </w:rPr>
      <w:t xml:space="preserve"> 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8C3A84">
      <w:rPr>
        <w:rFonts w:ascii="Times New Roman" w:hAnsi="Times New Roman"/>
        <w:i/>
        <w:lang w:val="en-US"/>
      </w:rPr>
      <w:t>-01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7B36EE"/>
    <w:multiLevelType w:val="hybridMultilevel"/>
    <w:tmpl w:val="E12E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793B"/>
    <w:rsid w:val="0003330A"/>
    <w:rsid w:val="00042A79"/>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2F439B"/>
    <w:rsid w:val="00304767"/>
    <w:rsid w:val="00304B34"/>
    <w:rsid w:val="00361BAF"/>
    <w:rsid w:val="00362FCE"/>
    <w:rsid w:val="00367D1F"/>
    <w:rsid w:val="003B6019"/>
    <w:rsid w:val="003D4CDD"/>
    <w:rsid w:val="003D585B"/>
    <w:rsid w:val="003E7DA6"/>
    <w:rsid w:val="003F12FF"/>
    <w:rsid w:val="00401EB9"/>
    <w:rsid w:val="00402976"/>
    <w:rsid w:val="0047088F"/>
    <w:rsid w:val="004760D4"/>
    <w:rsid w:val="00494C46"/>
    <w:rsid w:val="004B43FF"/>
    <w:rsid w:val="004D7E25"/>
    <w:rsid w:val="00502641"/>
    <w:rsid w:val="005C6768"/>
    <w:rsid w:val="005E4871"/>
    <w:rsid w:val="00601C8A"/>
    <w:rsid w:val="00623CB8"/>
    <w:rsid w:val="006257E5"/>
    <w:rsid w:val="00634C25"/>
    <w:rsid w:val="006416AB"/>
    <w:rsid w:val="00651160"/>
    <w:rsid w:val="0065447F"/>
    <w:rsid w:val="006768E9"/>
    <w:rsid w:val="00687982"/>
    <w:rsid w:val="0069647A"/>
    <w:rsid w:val="006B3EC8"/>
    <w:rsid w:val="006B72B0"/>
    <w:rsid w:val="006D26BD"/>
    <w:rsid w:val="006D286E"/>
    <w:rsid w:val="006D695E"/>
    <w:rsid w:val="00725A6A"/>
    <w:rsid w:val="007943F3"/>
    <w:rsid w:val="007A0423"/>
    <w:rsid w:val="007A0583"/>
    <w:rsid w:val="007A738C"/>
    <w:rsid w:val="007B1349"/>
    <w:rsid w:val="007D45AC"/>
    <w:rsid w:val="007E25BD"/>
    <w:rsid w:val="00802C35"/>
    <w:rsid w:val="0082181A"/>
    <w:rsid w:val="00825624"/>
    <w:rsid w:val="0083587A"/>
    <w:rsid w:val="00883CC3"/>
    <w:rsid w:val="008B470E"/>
    <w:rsid w:val="008B5904"/>
    <w:rsid w:val="008C3A84"/>
    <w:rsid w:val="008D29BF"/>
    <w:rsid w:val="008D6F90"/>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61795"/>
    <w:rsid w:val="00C94D92"/>
    <w:rsid w:val="00C97340"/>
    <w:rsid w:val="00CA513F"/>
    <w:rsid w:val="00CB3AA6"/>
    <w:rsid w:val="00CC20C2"/>
    <w:rsid w:val="00CF05FF"/>
    <w:rsid w:val="00D15B83"/>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4029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02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4029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0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193684210526311"/>
          <c:y val="6.3741384844879997E-2"/>
          <c:w val="0.47586837961044343"/>
          <c:h val="0.70546247984062238"/>
        </c:manualLayout>
      </c:layout>
      <c:barChart>
        <c:barDir val="col"/>
        <c:grouping val="clustered"/>
        <c:varyColors val="0"/>
        <c:ser>
          <c:idx val="0"/>
          <c:order val="0"/>
          <c:tx>
            <c:strRef>
              <c:f>'Sample Volume (NEW)'!$A$7</c:f>
              <c:strCache>
                <c:ptCount val="1"/>
                <c:pt idx="0">
                  <c:v>PHE</c:v>
                </c:pt>
              </c:strCache>
            </c:strRef>
          </c:tx>
          <c:spPr>
            <a:solidFill>
              <a:schemeClr val="bg2">
                <a:lumMod val="90000"/>
              </a:schemeClr>
            </a:solidFill>
          </c:spPr>
          <c:invertIfNegative val="0"/>
          <c:errBars>
            <c:errBarType val="both"/>
            <c:errValType val="cust"/>
            <c:noEndCap val="0"/>
            <c:plus>
              <c:numRef>
                <c:f>('Sample Volume (NEW)'!$I$7,'Sample Volume (NEW)'!$I$15,'Sample Volume (NEW)'!$I$23)</c:f>
                <c:numCache>
                  <c:formatCode>General</c:formatCode>
                  <c:ptCount val="3"/>
                  <c:pt idx="0">
                    <c:v>5781.0856246902276</c:v>
                  </c:pt>
                  <c:pt idx="1">
                    <c:v>4313.4450268897599</c:v>
                  </c:pt>
                  <c:pt idx="2">
                    <c:v>5282.4523660890691</c:v>
                  </c:pt>
                </c:numCache>
              </c:numRef>
            </c:plus>
            <c:minus>
              <c:numRef>
                <c:f>('Sample Volume (NEW)'!$I$7,'Sample Volume (NEW)'!$I$15,'Sample Volume (NEW)'!$I$23)</c:f>
                <c:numCache>
                  <c:formatCode>General</c:formatCode>
                  <c:ptCount val="3"/>
                  <c:pt idx="0">
                    <c:v>5781.0856246902276</c:v>
                  </c:pt>
                  <c:pt idx="1">
                    <c:v>4313.4450268897599</c:v>
                  </c:pt>
                  <c:pt idx="2">
                    <c:v>5282.4523660890691</c:v>
                  </c:pt>
                </c:numCache>
              </c:numRef>
            </c:minus>
            <c:spPr>
              <a:ln w="15875"/>
            </c:spPr>
          </c:errBars>
          <c:cat>
            <c:numRef>
              <c:f>('Sample Volume (NEW)'!$A$4,'Sample Volume (NEW)'!$A$12,'Sample Volume (NEW)'!$A$20)</c:f>
              <c:numCache>
                <c:formatCode>General</c:formatCode>
                <c:ptCount val="3"/>
                <c:pt idx="0">
                  <c:v>10</c:v>
                </c:pt>
                <c:pt idx="1">
                  <c:v>15</c:v>
                </c:pt>
                <c:pt idx="2">
                  <c:v>20</c:v>
                </c:pt>
              </c:numCache>
            </c:numRef>
          </c:cat>
          <c:val>
            <c:numRef>
              <c:f>('Sample Volume (NEW)'!$H$7,'Sample Volume (NEW)'!$H$15,'Sample Volume (NEW)'!$H$23)</c:f>
              <c:numCache>
                <c:formatCode>General</c:formatCode>
                <c:ptCount val="3"/>
                <c:pt idx="0">
                  <c:v>134111</c:v>
                </c:pt>
                <c:pt idx="1">
                  <c:v>218029</c:v>
                </c:pt>
                <c:pt idx="2">
                  <c:v>163935</c:v>
                </c:pt>
              </c:numCache>
            </c:numRef>
          </c:val>
          <c:extLst xmlns:c16r2="http://schemas.microsoft.com/office/drawing/2015/06/chart">
            <c:ext xmlns:c16="http://schemas.microsoft.com/office/drawing/2014/chart" uri="{C3380CC4-5D6E-409C-BE32-E72D297353CC}">
              <c16:uniqueId val="{00000000-8BA6-4679-9ABB-51A8B1B56083}"/>
            </c:ext>
          </c:extLst>
        </c:ser>
        <c:ser>
          <c:idx val="2"/>
          <c:order val="1"/>
          <c:tx>
            <c:v>BaP</c:v>
          </c:tx>
          <c:spPr>
            <a:solidFill>
              <a:schemeClr val="tx1">
                <a:lumMod val="50000"/>
                <a:lumOff val="50000"/>
              </a:schemeClr>
            </a:solidFill>
          </c:spPr>
          <c:invertIfNegative val="0"/>
          <c:errBars>
            <c:errBarType val="both"/>
            <c:errValType val="cust"/>
            <c:noEndCap val="0"/>
            <c:plus>
              <c:numRef>
                <c:f>('Sample Volume (NEW)'!$I$9,'Sample Volume (NEW)'!$I$17,'Sample Volume (NEW)'!$I$25)</c:f>
                <c:numCache>
                  <c:formatCode>General</c:formatCode>
                  <c:ptCount val="3"/>
                  <c:pt idx="0">
                    <c:v>91754.437391332744</c:v>
                  </c:pt>
                  <c:pt idx="1">
                    <c:v>41527.471405484503</c:v>
                  </c:pt>
                  <c:pt idx="2">
                    <c:v>10251.32363811295</c:v>
                  </c:pt>
                </c:numCache>
              </c:numRef>
            </c:plus>
            <c:minus>
              <c:numRef>
                <c:f>('Sample Volume (NEW)'!$I$9,'Sample Volume (NEW)'!$I$17,'Sample Volume (NEW)'!$I$25)</c:f>
                <c:numCache>
                  <c:formatCode>General</c:formatCode>
                  <c:ptCount val="3"/>
                  <c:pt idx="0">
                    <c:v>91754.437391332744</c:v>
                  </c:pt>
                  <c:pt idx="1">
                    <c:v>41527.471405484503</c:v>
                  </c:pt>
                  <c:pt idx="2">
                    <c:v>10251.32363811295</c:v>
                  </c:pt>
                </c:numCache>
              </c:numRef>
            </c:minus>
            <c:spPr>
              <a:ln w="15875"/>
            </c:spPr>
          </c:errBars>
          <c:cat>
            <c:numRef>
              <c:f>('Sample Volume (NEW)'!$A$4,'Sample Volume (NEW)'!$A$12,'Sample Volume (NEW)'!$A$20)</c:f>
              <c:numCache>
                <c:formatCode>General</c:formatCode>
                <c:ptCount val="3"/>
                <c:pt idx="0">
                  <c:v>10</c:v>
                </c:pt>
                <c:pt idx="1">
                  <c:v>15</c:v>
                </c:pt>
                <c:pt idx="2">
                  <c:v>20</c:v>
                </c:pt>
              </c:numCache>
            </c:numRef>
          </c:cat>
          <c:val>
            <c:numRef>
              <c:f>('Sample Volume (NEW)'!$H$9,'Sample Volume (NEW)'!$H$17,'Sample Volume (NEW)'!$H$25)</c:f>
              <c:numCache>
                <c:formatCode>General</c:formatCode>
                <c:ptCount val="3"/>
                <c:pt idx="0">
                  <c:v>1202509</c:v>
                </c:pt>
                <c:pt idx="1">
                  <c:v>1828187.6666666667</c:v>
                </c:pt>
                <c:pt idx="2">
                  <c:v>1745200.3333333333</c:v>
                </c:pt>
              </c:numCache>
            </c:numRef>
          </c:val>
          <c:extLst xmlns:c16r2="http://schemas.microsoft.com/office/drawing/2015/06/chart">
            <c:ext xmlns:c16="http://schemas.microsoft.com/office/drawing/2014/chart" uri="{C3380CC4-5D6E-409C-BE32-E72D297353CC}">
              <c16:uniqueId val="{00000001-8BA6-4679-9ABB-51A8B1B56083}"/>
            </c:ext>
          </c:extLst>
        </c:ser>
        <c:dLbls>
          <c:showLegendKey val="0"/>
          <c:showVal val="0"/>
          <c:showCatName val="0"/>
          <c:showSerName val="0"/>
          <c:showPercent val="0"/>
          <c:showBubbleSize val="0"/>
        </c:dLbls>
        <c:gapWidth val="150"/>
        <c:axId val="77962624"/>
        <c:axId val="77964800"/>
      </c:barChart>
      <c:catAx>
        <c:axId val="77962624"/>
        <c:scaling>
          <c:orientation val="minMax"/>
        </c:scaling>
        <c:delete val="0"/>
        <c:axPos val="b"/>
        <c:title>
          <c:tx>
            <c:rich>
              <a:bodyPr rot="0" vert="horz"/>
              <a:lstStyle/>
              <a:p>
                <a:pPr>
                  <a:defRPr b="0"/>
                </a:pPr>
                <a:r>
                  <a:rPr lang="en-US" b="0"/>
                  <a:t>Sample volume (mL)</a:t>
                </a:r>
              </a:p>
            </c:rich>
          </c:tx>
          <c:layout>
            <c:manualLayout>
              <c:xMode val="edge"/>
              <c:yMode val="edge"/>
              <c:x val="0.36493438320209975"/>
              <c:y val="0.89204692786895612"/>
            </c:manualLayout>
          </c:layout>
          <c:overlay val="0"/>
        </c:title>
        <c:numFmt formatCode="General" sourceLinked="1"/>
        <c:majorTickMark val="out"/>
        <c:minorTickMark val="none"/>
        <c:tickLblPos val="nextTo"/>
        <c:spPr>
          <a:ln w="15875">
            <a:solidFill>
              <a:schemeClr val="tx1"/>
            </a:solidFill>
          </a:ln>
        </c:spPr>
        <c:txPr>
          <a:bodyPr rot="-60000000" vert="horz"/>
          <a:lstStyle/>
          <a:p>
            <a:pPr>
              <a:defRPr/>
            </a:pPr>
            <a:endParaRPr lang="en-US"/>
          </a:p>
        </c:txPr>
        <c:crossAx val="77964800"/>
        <c:crosses val="autoZero"/>
        <c:auto val="1"/>
        <c:lblAlgn val="ctr"/>
        <c:lblOffset val="100"/>
        <c:noMultiLvlLbl val="0"/>
      </c:catAx>
      <c:valAx>
        <c:axId val="77964800"/>
        <c:scaling>
          <c:orientation val="minMax"/>
        </c:scaling>
        <c:delete val="0"/>
        <c:axPos val="l"/>
        <c:title>
          <c:tx>
            <c:rich>
              <a:bodyPr rot="-5400000" vert="horz"/>
              <a:lstStyle/>
              <a:p>
                <a:pPr>
                  <a:defRPr b="0"/>
                </a:pPr>
                <a:r>
                  <a:rPr lang="en-US" b="0"/>
                  <a:t>Peak area (mAU)</a:t>
                </a:r>
              </a:p>
            </c:rich>
          </c:tx>
          <c:layout>
            <c:manualLayout>
              <c:xMode val="edge"/>
              <c:yMode val="edge"/>
              <c:x val="5.136842105263157E-2"/>
              <c:y val="3.4998394984799563E-2"/>
            </c:manualLayout>
          </c:layout>
          <c:overlay val="0"/>
        </c:title>
        <c:numFmt formatCode="General" sourceLinked="1"/>
        <c:majorTickMark val="out"/>
        <c:minorTickMark val="none"/>
        <c:tickLblPos val="nextTo"/>
        <c:spPr>
          <a:ln w="15875">
            <a:solidFill>
              <a:schemeClr val="tx1"/>
            </a:solidFill>
          </a:ln>
        </c:spPr>
        <c:txPr>
          <a:bodyPr rot="-60000000" vert="horz"/>
          <a:lstStyle/>
          <a:p>
            <a:pPr>
              <a:defRPr/>
            </a:pPr>
            <a:endParaRPr lang="en-US"/>
          </a:p>
        </c:txPr>
        <c:crossAx val="77962624"/>
        <c:crosses val="autoZero"/>
        <c:crossBetween val="between"/>
      </c:valAx>
    </c:plotArea>
    <c:legend>
      <c:legendPos val="r"/>
      <c:legendEntry>
        <c:idx val="0"/>
        <c:txPr>
          <a:bodyPr rot="0" vert="horz"/>
          <a:lstStyle/>
          <a:p>
            <a:pPr>
              <a:defRPr/>
            </a:pPr>
            <a:endParaRPr lang="en-US"/>
          </a:p>
        </c:txPr>
      </c:legendEntry>
      <c:legendEntry>
        <c:idx val="1"/>
        <c:txPr>
          <a:bodyPr rot="0" vert="horz"/>
          <a:lstStyle/>
          <a:p>
            <a:pPr>
              <a:defRPr/>
            </a:pPr>
            <a:endParaRPr lang="en-US"/>
          </a:p>
        </c:txPr>
      </c:legendEntry>
      <c:layout>
        <c:manualLayout>
          <c:xMode val="edge"/>
          <c:yMode val="edge"/>
          <c:x val="0.78014121972127226"/>
          <c:y val="0.10614321794681322"/>
          <c:w val="0.14354003729331813"/>
          <c:h val="0.2548651298105809"/>
        </c:manualLayout>
      </c:layout>
      <c:overlay val="0"/>
      <c:txPr>
        <a:bodyPr rot="0" vert="horz"/>
        <a:lstStyle/>
        <a:p>
          <a:pPr>
            <a:defRPr/>
          </a:pPr>
          <a:endParaRPr lang="en-US"/>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0548838143371"/>
          <c:y val="9.166666666666666E-2"/>
          <c:w val="0.51551791945241698"/>
          <c:h val="0.64869422572178481"/>
        </c:manualLayout>
      </c:layout>
      <c:barChart>
        <c:barDir val="col"/>
        <c:grouping val="clustered"/>
        <c:varyColors val="0"/>
        <c:ser>
          <c:idx val="0"/>
          <c:order val="0"/>
          <c:tx>
            <c:v>PHE</c:v>
          </c:tx>
          <c:spPr>
            <a:solidFill>
              <a:schemeClr val="bg2">
                <a:lumMod val="90000"/>
              </a:schemeClr>
            </a:solidFill>
          </c:spPr>
          <c:invertIfNegative val="0"/>
          <c:errBars>
            <c:errBarType val="both"/>
            <c:errValType val="cust"/>
            <c:noEndCap val="0"/>
            <c:plus>
              <c:numRef>
                <c:f>('Extraction Time (NEW)'!$I$6,'Extraction Time (NEW)'!$I$13,'Extraction Time (NEW)'!$I$20,'Extraction Time (NEW)'!$I$27)</c:f>
                <c:numCache>
                  <c:formatCode>General</c:formatCode>
                  <c:ptCount val="4"/>
                  <c:pt idx="0">
                    <c:v>8241.4276878058772</c:v>
                  </c:pt>
                  <c:pt idx="1">
                    <c:v>9470.7368949482134</c:v>
                  </c:pt>
                  <c:pt idx="2">
                    <c:v>18681.809628620027</c:v>
                  </c:pt>
                  <c:pt idx="3">
                    <c:v>5268.682599410723</c:v>
                  </c:pt>
                </c:numCache>
              </c:numRef>
            </c:plus>
            <c:minus>
              <c:numRef>
                <c:f>('Extraction Time (NEW)'!$I$6,'Extraction Time (NEW)'!$I$13,'Extraction Time (NEW)'!$I$20,'Extraction Time (NEW)'!$I$27)</c:f>
                <c:numCache>
                  <c:formatCode>General</c:formatCode>
                  <c:ptCount val="4"/>
                  <c:pt idx="0">
                    <c:v>8241.4276878058772</c:v>
                  </c:pt>
                  <c:pt idx="1">
                    <c:v>9470.7368949482134</c:v>
                  </c:pt>
                  <c:pt idx="2">
                    <c:v>18681.809628620027</c:v>
                  </c:pt>
                  <c:pt idx="3">
                    <c:v>5268.682599410723</c:v>
                  </c:pt>
                </c:numCache>
              </c:numRef>
            </c:minus>
            <c:spPr>
              <a:ln w="15875"/>
            </c:spPr>
          </c:errBars>
          <c:cat>
            <c:strRef>
              <c:f>('Extraction Time (NEW)'!$A$3,'Extraction Time (NEW)'!$A$10,'Extraction Time (NEW)'!$A$17,'Extraction Time (NEW)'!$A$24,'Extraction Time (NEW)'!$A$31)</c:f>
              <c:strCache>
                <c:ptCount val="5"/>
                <c:pt idx="0">
                  <c:v>5</c:v>
                </c:pt>
                <c:pt idx="1">
                  <c:v>10</c:v>
                </c:pt>
                <c:pt idx="2">
                  <c:v>15</c:v>
                </c:pt>
                <c:pt idx="3">
                  <c:v>20</c:v>
                </c:pt>
                <c:pt idx="4">
                  <c:v>Constant: Conditioning solvent methanol, sample volume 15 mL, desoprtion solvent is 200 μL acetonitrile with desorption time 10 min using sonicator.</c:v>
                </c:pt>
              </c:strCache>
            </c:strRef>
          </c:cat>
          <c:val>
            <c:numRef>
              <c:f>('Extraction Time (NEW)'!$H$6,'Extraction Time (NEW)'!$H$13,'Extraction Time (NEW)'!$H$20)</c:f>
              <c:numCache>
                <c:formatCode>0.0</c:formatCode>
                <c:ptCount val="3"/>
                <c:pt idx="0">
                  <c:v>170729.66666666666</c:v>
                </c:pt>
                <c:pt idx="1">
                  <c:v>200743.33333333334</c:v>
                </c:pt>
                <c:pt idx="2" formatCode="General">
                  <c:v>222672</c:v>
                </c:pt>
              </c:numCache>
            </c:numRef>
          </c:val>
          <c:extLst xmlns:c16r2="http://schemas.microsoft.com/office/drawing/2015/06/chart">
            <c:ext xmlns:c16="http://schemas.microsoft.com/office/drawing/2014/chart" uri="{C3380CC4-5D6E-409C-BE32-E72D297353CC}">
              <c16:uniqueId val="{00000000-8834-4CB1-962E-B04E095678AD}"/>
            </c:ext>
          </c:extLst>
        </c:ser>
        <c:ser>
          <c:idx val="2"/>
          <c:order val="1"/>
          <c:tx>
            <c:v>BaP</c:v>
          </c:tx>
          <c:spPr>
            <a:solidFill>
              <a:schemeClr val="tx1">
                <a:lumMod val="50000"/>
                <a:lumOff val="50000"/>
              </a:schemeClr>
            </a:solidFill>
          </c:spPr>
          <c:invertIfNegative val="0"/>
          <c:errBars>
            <c:errBarType val="both"/>
            <c:errValType val="cust"/>
            <c:noEndCap val="0"/>
            <c:plus>
              <c:numRef>
                <c:f>('Extraction Time (NEW)'!$I$8,'Extraction Time (NEW)'!$I$15,'Extraction Time (NEW)'!$I$22,'Extraction Time (NEW)'!$I$29)</c:f>
                <c:numCache>
                  <c:formatCode>General</c:formatCode>
                  <c:ptCount val="4"/>
                  <c:pt idx="0">
                    <c:v>55138.808332546803</c:v>
                  </c:pt>
                  <c:pt idx="1">
                    <c:v>141901.18484823633</c:v>
                  </c:pt>
                  <c:pt idx="2">
                    <c:v>147252.61996084597</c:v>
                  </c:pt>
                  <c:pt idx="3">
                    <c:v>78913.272419790068</c:v>
                  </c:pt>
                </c:numCache>
              </c:numRef>
            </c:plus>
            <c:minus>
              <c:numRef>
                <c:f>('Extraction Time (NEW)'!$I$8,'Extraction Time (NEW)'!$I$15,'Extraction Time (NEW)'!$I$22,'Extraction Time (NEW)'!$I$29)</c:f>
                <c:numCache>
                  <c:formatCode>General</c:formatCode>
                  <c:ptCount val="4"/>
                  <c:pt idx="0">
                    <c:v>55138.808332546803</c:v>
                  </c:pt>
                  <c:pt idx="1">
                    <c:v>141901.18484823633</c:v>
                  </c:pt>
                  <c:pt idx="2">
                    <c:v>147252.61996084597</c:v>
                  </c:pt>
                  <c:pt idx="3">
                    <c:v>78913.272419790068</c:v>
                  </c:pt>
                </c:numCache>
              </c:numRef>
            </c:minus>
            <c:spPr>
              <a:ln w="15875"/>
            </c:spPr>
          </c:errBars>
          <c:cat>
            <c:strRef>
              <c:f>('Extraction Time (NEW)'!$A$3,'Extraction Time (NEW)'!$A$10,'Extraction Time (NEW)'!$A$17,'Extraction Time (NEW)'!$A$24,'Extraction Time (NEW)'!$A$31)</c:f>
              <c:strCache>
                <c:ptCount val="5"/>
                <c:pt idx="0">
                  <c:v>5</c:v>
                </c:pt>
                <c:pt idx="1">
                  <c:v>10</c:v>
                </c:pt>
                <c:pt idx="2">
                  <c:v>15</c:v>
                </c:pt>
                <c:pt idx="3">
                  <c:v>20</c:v>
                </c:pt>
                <c:pt idx="4">
                  <c:v>Constant: Conditioning solvent methanol, sample volume 15 mL, desoprtion solvent is 200 μL acetonitrile with desorption time 10 min using sonicator.</c:v>
                </c:pt>
              </c:strCache>
            </c:strRef>
          </c:cat>
          <c:val>
            <c:numRef>
              <c:f>('Extraction Time (NEW)'!$H$8,'Extraction Time (NEW)'!$H$15,'Extraction Time (NEW)'!$H$22)</c:f>
              <c:numCache>
                <c:formatCode>0.0</c:formatCode>
                <c:ptCount val="3"/>
                <c:pt idx="0">
                  <c:v>1567741.3333333333</c:v>
                </c:pt>
                <c:pt idx="1">
                  <c:v>1922952.6666666667</c:v>
                </c:pt>
                <c:pt idx="2">
                  <c:v>2085190.6666666667</c:v>
                </c:pt>
              </c:numCache>
            </c:numRef>
          </c:val>
          <c:extLst xmlns:c16r2="http://schemas.microsoft.com/office/drawing/2015/06/chart">
            <c:ext xmlns:c16="http://schemas.microsoft.com/office/drawing/2014/chart" uri="{C3380CC4-5D6E-409C-BE32-E72D297353CC}">
              <c16:uniqueId val="{00000001-8834-4CB1-962E-B04E095678AD}"/>
            </c:ext>
          </c:extLst>
        </c:ser>
        <c:dLbls>
          <c:showLegendKey val="0"/>
          <c:showVal val="0"/>
          <c:showCatName val="0"/>
          <c:showSerName val="0"/>
          <c:showPercent val="0"/>
          <c:showBubbleSize val="0"/>
        </c:dLbls>
        <c:gapWidth val="150"/>
        <c:axId val="76113408"/>
        <c:axId val="76115328"/>
      </c:barChart>
      <c:catAx>
        <c:axId val="76113408"/>
        <c:scaling>
          <c:orientation val="minMax"/>
        </c:scaling>
        <c:delete val="0"/>
        <c:axPos val="b"/>
        <c:title>
          <c:tx>
            <c:rich>
              <a:bodyPr rot="0" vert="horz"/>
              <a:lstStyle/>
              <a:p>
                <a:pPr>
                  <a:defRPr b="0"/>
                </a:pPr>
                <a:r>
                  <a:rPr lang="en-MY" b="0"/>
                  <a:t>Extraction time (min)</a:t>
                </a:r>
              </a:p>
            </c:rich>
          </c:tx>
          <c:layout>
            <c:manualLayout>
              <c:xMode val="edge"/>
              <c:yMode val="edge"/>
              <c:x val="0.3555945676822278"/>
              <c:y val="0.8637913385826772"/>
            </c:manualLayout>
          </c:layout>
          <c:overlay val="0"/>
        </c:title>
        <c:numFmt formatCode="General" sourceLinked="1"/>
        <c:majorTickMark val="out"/>
        <c:minorTickMark val="none"/>
        <c:tickLblPos val="nextTo"/>
        <c:spPr>
          <a:ln w="15875">
            <a:solidFill>
              <a:schemeClr val="tx1"/>
            </a:solidFill>
          </a:ln>
        </c:spPr>
        <c:txPr>
          <a:bodyPr rot="-60000000" vert="horz"/>
          <a:lstStyle/>
          <a:p>
            <a:pPr>
              <a:defRPr/>
            </a:pPr>
            <a:endParaRPr lang="en-US"/>
          </a:p>
        </c:txPr>
        <c:crossAx val="76115328"/>
        <c:crosses val="autoZero"/>
        <c:auto val="1"/>
        <c:lblAlgn val="ctr"/>
        <c:lblOffset val="100"/>
        <c:noMultiLvlLbl val="0"/>
      </c:catAx>
      <c:valAx>
        <c:axId val="76115328"/>
        <c:scaling>
          <c:orientation val="minMax"/>
        </c:scaling>
        <c:delete val="0"/>
        <c:axPos val="l"/>
        <c:title>
          <c:tx>
            <c:rich>
              <a:bodyPr rot="-5400000" vert="horz"/>
              <a:lstStyle/>
              <a:p>
                <a:pPr>
                  <a:defRPr b="0"/>
                </a:pPr>
                <a:r>
                  <a:rPr lang="en-MY" b="0"/>
                  <a:t>Peak area (mAU)</a:t>
                </a:r>
              </a:p>
            </c:rich>
          </c:tx>
          <c:layout>
            <c:manualLayout>
              <c:xMode val="edge"/>
              <c:yMode val="edge"/>
              <c:x val="3.4006376195536661E-2"/>
              <c:y val="0.10365944881889763"/>
            </c:manualLayout>
          </c:layout>
          <c:overlay val="0"/>
        </c:title>
        <c:numFmt formatCode="0" sourceLinked="0"/>
        <c:majorTickMark val="out"/>
        <c:minorTickMark val="none"/>
        <c:tickLblPos val="nextTo"/>
        <c:spPr>
          <a:ln w="15875">
            <a:solidFill>
              <a:schemeClr val="tx1"/>
            </a:solidFill>
          </a:ln>
        </c:spPr>
        <c:txPr>
          <a:bodyPr rot="-60000000" vert="horz"/>
          <a:lstStyle/>
          <a:p>
            <a:pPr>
              <a:defRPr/>
            </a:pPr>
            <a:endParaRPr lang="en-US"/>
          </a:p>
        </c:txPr>
        <c:crossAx val="76113408"/>
        <c:crosses val="autoZero"/>
        <c:crossBetween val="between"/>
      </c:valAx>
    </c:plotArea>
    <c:legend>
      <c:legendPos val="r"/>
      <c:layout>
        <c:manualLayout>
          <c:xMode val="edge"/>
          <c:yMode val="edge"/>
          <c:x val="0.77907101676052459"/>
          <c:y val="3.4606239830880868E-2"/>
          <c:w val="0.13591304275063384"/>
          <c:h val="0.2644225721784777"/>
        </c:manualLayout>
      </c:layout>
      <c:overlay val="0"/>
      <c:txPr>
        <a:bodyPr rot="0" vert="horz"/>
        <a:lstStyle/>
        <a:p>
          <a:pPr>
            <a:defRPr/>
          </a:pPr>
          <a:endParaRPr lang="en-US"/>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230560756452677"/>
          <c:y val="8.0145719489981782E-2"/>
          <c:w val="0.55711439978797439"/>
          <c:h val="0.6491315634725987"/>
        </c:manualLayout>
      </c:layout>
      <c:barChart>
        <c:barDir val="col"/>
        <c:grouping val="clustered"/>
        <c:varyColors val="0"/>
        <c:ser>
          <c:idx val="0"/>
          <c:order val="0"/>
          <c:tx>
            <c:v>PHE</c:v>
          </c:tx>
          <c:spPr>
            <a:solidFill>
              <a:schemeClr val="bg2">
                <a:lumMod val="90000"/>
              </a:schemeClr>
            </a:solidFill>
          </c:spPr>
          <c:invertIfNegative val="0"/>
          <c:errBars>
            <c:errBarType val="both"/>
            <c:errValType val="cust"/>
            <c:noEndCap val="0"/>
            <c:plus>
              <c:numRef>
                <c:f>('Desorption Time'!$I$6,'Desorption Time'!$I$13,'Desorption Time'!$I$20)</c:f>
                <c:numCache>
                  <c:formatCode>General</c:formatCode>
                  <c:ptCount val="3"/>
                  <c:pt idx="0">
                    <c:v>4658.2010833940321</c:v>
                  </c:pt>
                  <c:pt idx="1">
                    <c:v>1347.0081662707171</c:v>
                  </c:pt>
                  <c:pt idx="2">
                    <c:v>4371.0189124886356</c:v>
                  </c:pt>
                </c:numCache>
              </c:numRef>
            </c:plus>
            <c:minus>
              <c:numRef>
                <c:f>('Desorption Time'!$I$6,'Desorption Time'!$I$13,'Desorption Time'!$I$20)</c:f>
                <c:numCache>
                  <c:formatCode>General</c:formatCode>
                  <c:ptCount val="3"/>
                  <c:pt idx="0">
                    <c:v>4658.2010833940321</c:v>
                  </c:pt>
                  <c:pt idx="1">
                    <c:v>1347.0081662707171</c:v>
                  </c:pt>
                  <c:pt idx="2">
                    <c:v>4371.0189124886356</c:v>
                  </c:pt>
                </c:numCache>
              </c:numRef>
            </c:minus>
            <c:spPr>
              <a:ln w="15875"/>
            </c:spPr>
          </c:errBars>
          <c:cat>
            <c:numRef>
              <c:f>('Desorption Time'!$A$3,'Desorption Time'!$A$10,'Desorption Time'!$A$17)</c:f>
              <c:numCache>
                <c:formatCode>General</c:formatCode>
                <c:ptCount val="3"/>
                <c:pt idx="0">
                  <c:v>5</c:v>
                </c:pt>
                <c:pt idx="1">
                  <c:v>10</c:v>
                </c:pt>
                <c:pt idx="2">
                  <c:v>15</c:v>
                </c:pt>
              </c:numCache>
            </c:numRef>
          </c:cat>
          <c:val>
            <c:numRef>
              <c:f>('Desorption Time'!$H$6,'Desorption Time'!$H$13,'Desorption Time'!$H$20)</c:f>
              <c:numCache>
                <c:formatCode>0.0</c:formatCode>
                <c:ptCount val="3"/>
                <c:pt idx="0">
                  <c:v>129535.66666666667</c:v>
                </c:pt>
                <c:pt idx="1">
                  <c:v>168498</c:v>
                </c:pt>
                <c:pt idx="2" formatCode="General">
                  <c:v>161872.33333333334</c:v>
                </c:pt>
              </c:numCache>
            </c:numRef>
          </c:val>
          <c:extLst xmlns:c16r2="http://schemas.microsoft.com/office/drawing/2015/06/chart">
            <c:ext xmlns:c16="http://schemas.microsoft.com/office/drawing/2014/chart" uri="{C3380CC4-5D6E-409C-BE32-E72D297353CC}">
              <c16:uniqueId val="{00000000-0B6E-43E0-A6E9-2AAB71A5982B}"/>
            </c:ext>
          </c:extLst>
        </c:ser>
        <c:ser>
          <c:idx val="2"/>
          <c:order val="1"/>
          <c:tx>
            <c:v>BaP</c:v>
          </c:tx>
          <c:spPr>
            <a:solidFill>
              <a:schemeClr val="tx1">
                <a:lumMod val="50000"/>
                <a:lumOff val="50000"/>
              </a:schemeClr>
            </a:solidFill>
          </c:spPr>
          <c:invertIfNegative val="0"/>
          <c:errBars>
            <c:errBarType val="both"/>
            <c:errValType val="cust"/>
            <c:noEndCap val="0"/>
            <c:plus>
              <c:numRef>
                <c:f>('Desorption Time'!$I$8,'Desorption Time'!$I$15,'Desorption Time'!$I$22)</c:f>
                <c:numCache>
                  <c:formatCode>General</c:formatCode>
                  <c:ptCount val="3"/>
                  <c:pt idx="0">
                    <c:v>17207.165958789767</c:v>
                  </c:pt>
                  <c:pt idx="1">
                    <c:v>77999.727142685137</c:v>
                  </c:pt>
                  <c:pt idx="2">
                    <c:v>72936.374062146337</c:v>
                  </c:pt>
                </c:numCache>
              </c:numRef>
            </c:plus>
            <c:minus>
              <c:numRef>
                <c:f>('Desorption Time'!$I$8,'Desorption Time'!$I$15,'Desorption Time'!$I$22)</c:f>
                <c:numCache>
                  <c:formatCode>General</c:formatCode>
                  <c:ptCount val="3"/>
                  <c:pt idx="0">
                    <c:v>17207.165958789767</c:v>
                  </c:pt>
                  <c:pt idx="1">
                    <c:v>77999.727142685137</c:v>
                  </c:pt>
                  <c:pt idx="2">
                    <c:v>72936.374062146337</c:v>
                  </c:pt>
                </c:numCache>
              </c:numRef>
            </c:minus>
            <c:spPr>
              <a:ln w="15875"/>
            </c:spPr>
          </c:errBars>
          <c:cat>
            <c:numRef>
              <c:f>('Desorption Time'!$A$3,'Desorption Time'!$A$10,'Desorption Time'!$A$17)</c:f>
              <c:numCache>
                <c:formatCode>General</c:formatCode>
                <c:ptCount val="3"/>
                <c:pt idx="0">
                  <c:v>5</c:v>
                </c:pt>
                <c:pt idx="1">
                  <c:v>10</c:v>
                </c:pt>
                <c:pt idx="2">
                  <c:v>15</c:v>
                </c:pt>
              </c:numCache>
            </c:numRef>
          </c:cat>
          <c:val>
            <c:numRef>
              <c:f>('Desorption Time'!$H$8,'Desorption Time'!$H$15,'Desorption Time'!$H$22)</c:f>
              <c:numCache>
                <c:formatCode>0.0</c:formatCode>
                <c:ptCount val="3"/>
                <c:pt idx="0">
                  <c:v>1626680.3333333333</c:v>
                </c:pt>
                <c:pt idx="1">
                  <c:v>1303010.6666666667</c:v>
                </c:pt>
                <c:pt idx="2">
                  <c:v>1270034.3333333333</c:v>
                </c:pt>
              </c:numCache>
            </c:numRef>
          </c:val>
          <c:extLst xmlns:c16r2="http://schemas.microsoft.com/office/drawing/2015/06/chart">
            <c:ext xmlns:c16="http://schemas.microsoft.com/office/drawing/2014/chart" uri="{C3380CC4-5D6E-409C-BE32-E72D297353CC}">
              <c16:uniqueId val="{00000001-0B6E-43E0-A6E9-2AAB71A5982B}"/>
            </c:ext>
          </c:extLst>
        </c:ser>
        <c:dLbls>
          <c:showLegendKey val="0"/>
          <c:showVal val="0"/>
          <c:showCatName val="0"/>
          <c:showSerName val="0"/>
          <c:showPercent val="0"/>
          <c:showBubbleSize val="0"/>
        </c:dLbls>
        <c:gapWidth val="150"/>
        <c:axId val="78333824"/>
        <c:axId val="78348288"/>
      </c:barChart>
      <c:catAx>
        <c:axId val="78333824"/>
        <c:scaling>
          <c:orientation val="minMax"/>
        </c:scaling>
        <c:delete val="0"/>
        <c:axPos val="b"/>
        <c:title>
          <c:tx>
            <c:rich>
              <a:bodyPr rot="0" vert="horz"/>
              <a:lstStyle/>
              <a:p>
                <a:pPr>
                  <a:defRPr b="0"/>
                </a:pPr>
                <a:r>
                  <a:rPr lang="en-MY" b="0"/>
                  <a:t>Desorption time (min)</a:t>
                </a:r>
              </a:p>
            </c:rich>
          </c:tx>
          <c:layout>
            <c:manualLayout>
              <c:xMode val="edge"/>
              <c:yMode val="edge"/>
              <c:x val="0.39044995597048743"/>
              <c:y val="0.85176656196663947"/>
            </c:manualLayout>
          </c:layout>
          <c:overlay val="0"/>
        </c:title>
        <c:numFmt formatCode="General" sourceLinked="1"/>
        <c:majorTickMark val="out"/>
        <c:minorTickMark val="none"/>
        <c:tickLblPos val="nextTo"/>
        <c:spPr>
          <a:ln w="15875">
            <a:solidFill>
              <a:schemeClr val="tx1"/>
            </a:solidFill>
          </a:ln>
        </c:spPr>
        <c:txPr>
          <a:bodyPr rot="-60000000" vert="horz"/>
          <a:lstStyle/>
          <a:p>
            <a:pPr>
              <a:defRPr/>
            </a:pPr>
            <a:endParaRPr lang="en-US"/>
          </a:p>
        </c:txPr>
        <c:crossAx val="78348288"/>
        <c:crosses val="autoZero"/>
        <c:auto val="1"/>
        <c:lblAlgn val="ctr"/>
        <c:lblOffset val="100"/>
        <c:noMultiLvlLbl val="0"/>
      </c:catAx>
      <c:valAx>
        <c:axId val="78348288"/>
        <c:scaling>
          <c:orientation val="minMax"/>
        </c:scaling>
        <c:delete val="0"/>
        <c:axPos val="l"/>
        <c:title>
          <c:tx>
            <c:rich>
              <a:bodyPr rot="-5400000" vert="horz"/>
              <a:lstStyle/>
              <a:p>
                <a:pPr>
                  <a:defRPr b="0"/>
                </a:pPr>
                <a:r>
                  <a:rPr lang="en-MY" b="0"/>
                  <a:t>Peak area (mAU)</a:t>
                </a:r>
              </a:p>
            </c:rich>
          </c:tx>
          <c:layout/>
          <c:overlay val="0"/>
        </c:title>
        <c:numFmt formatCode="0" sourceLinked="0"/>
        <c:majorTickMark val="out"/>
        <c:minorTickMark val="none"/>
        <c:tickLblPos val="nextTo"/>
        <c:spPr>
          <a:ln w="15875">
            <a:solidFill>
              <a:schemeClr val="tx1"/>
            </a:solidFill>
          </a:ln>
        </c:spPr>
        <c:txPr>
          <a:bodyPr rot="-60000000" vert="horz"/>
          <a:lstStyle/>
          <a:p>
            <a:pPr>
              <a:defRPr/>
            </a:pPr>
            <a:endParaRPr lang="en-US"/>
          </a:p>
        </c:txPr>
        <c:crossAx val="78333824"/>
        <c:crosses val="autoZero"/>
        <c:crossBetween val="between"/>
      </c:valAx>
    </c:plotArea>
    <c:legend>
      <c:legendPos val="r"/>
      <c:layout>
        <c:manualLayout>
          <c:xMode val="edge"/>
          <c:yMode val="edge"/>
          <c:x val="0.8093787136542786"/>
          <c:y val="6.0523654055438178E-2"/>
          <c:w val="0.14855978925851818"/>
          <c:h val="0.27915608909542045"/>
        </c:manualLayout>
      </c:layout>
      <c:overlay val="0"/>
      <c:txPr>
        <a:bodyPr rot="0" vert="horz"/>
        <a:lstStyle/>
        <a:p>
          <a:pPr>
            <a:defRPr/>
          </a:pPr>
          <a:endParaRPr lang="en-US"/>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85455697348179"/>
          <c:y val="8.3809523809523806E-2"/>
          <c:w val="0.54034754276405106"/>
          <c:h val="0.64832995875515564"/>
        </c:manualLayout>
      </c:layout>
      <c:barChart>
        <c:barDir val="col"/>
        <c:grouping val="clustered"/>
        <c:varyColors val="0"/>
        <c:ser>
          <c:idx val="0"/>
          <c:order val="0"/>
          <c:tx>
            <c:v>PHE</c:v>
          </c:tx>
          <c:spPr>
            <a:solidFill>
              <a:schemeClr val="bg2">
                <a:lumMod val="90000"/>
              </a:schemeClr>
            </a:solidFill>
          </c:spPr>
          <c:invertIfNegative val="0"/>
          <c:errBars>
            <c:errBarType val="both"/>
            <c:errValType val="cust"/>
            <c:noEndCap val="0"/>
            <c:plus>
              <c:numRef>
                <c:f>('Desorption Solvent Volume'!$I$6,'Desorption Solvent Volume'!$I$13,'Desorption Solvent Volume'!$I$20)</c:f>
                <c:numCache>
                  <c:formatCode>General</c:formatCode>
                  <c:ptCount val="3"/>
                  <c:pt idx="0">
                    <c:v>13711.798714975363</c:v>
                  </c:pt>
                  <c:pt idx="1">
                    <c:v>11482.115499041687</c:v>
                  </c:pt>
                  <c:pt idx="2">
                    <c:v>12724.578670169529</c:v>
                  </c:pt>
                </c:numCache>
              </c:numRef>
            </c:plus>
            <c:minus>
              <c:numRef>
                <c:f>('Desorption Solvent Volume'!$I$6,'Desorption Solvent Volume'!$I$13,'Desorption Solvent Volume'!$I$20)</c:f>
                <c:numCache>
                  <c:formatCode>General</c:formatCode>
                  <c:ptCount val="3"/>
                  <c:pt idx="0">
                    <c:v>13711.798714975363</c:v>
                  </c:pt>
                  <c:pt idx="1">
                    <c:v>11482.115499041687</c:v>
                  </c:pt>
                  <c:pt idx="2">
                    <c:v>12724.578670169529</c:v>
                  </c:pt>
                </c:numCache>
              </c:numRef>
            </c:minus>
            <c:spPr>
              <a:ln w="15875"/>
            </c:spPr>
          </c:errBars>
          <c:cat>
            <c:numRef>
              <c:f>('Desorption Solvent Volume'!$A$3,'Desorption Solvent Volume'!$A$10,'Desorption Solvent Volume'!$A$17)</c:f>
              <c:numCache>
                <c:formatCode>General</c:formatCode>
                <c:ptCount val="3"/>
                <c:pt idx="0">
                  <c:v>100</c:v>
                </c:pt>
                <c:pt idx="1">
                  <c:v>150</c:v>
                </c:pt>
                <c:pt idx="2">
                  <c:v>200</c:v>
                </c:pt>
              </c:numCache>
            </c:numRef>
          </c:cat>
          <c:val>
            <c:numRef>
              <c:f>('Desorption Solvent Volume'!$H$6,'Desorption Solvent Volume'!$H$13,'Desorption Solvent Volume'!$H$20)</c:f>
              <c:numCache>
                <c:formatCode>0.0</c:formatCode>
                <c:ptCount val="3"/>
                <c:pt idx="0">
                  <c:v>244252</c:v>
                </c:pt>
                <c:pt idx="1">
                  <c:v>177761.33333333334</c:v>
                </c:pt>
                <c:pt idx="2" formatCode="General">
                  <c:v>147945.33333333334</c:v>
                </c:pt>
              </c:numCache>
            </c:numRef>
          </c:val>
          <c:extLst xmlns:c16r2="http://schemas.microsoft.com/office/drawing/2015/06/chart">
            <c:ext xmlns:c16="http://schemas.microsoft.com/office/drawing/2014/chart" uri="{C3380CC4-5D6E-409C-BE32-E72D297353CC}">
              <c16:uniqueId val="{00000000-D84F-4C3D-BBCE-118723B42037}"/>
            </c:ext>
          </c:extLst>
        </c:ser>
        <c:ser>
          <c:idx val="2"/>
          <c:order val="1"/>
          <c:tx>
            <c:v>BaP</c:v>
          </c:tx>
          <c:spPr>
            <a:solidFill>
              <a:schemeClr val="tx1">
                <a:lumMod val="50000"/>
                <a:lumOff val="50000"/>
              </a:schemeClr>
            </a:solidFill>
          </c:spPr>
          <c:invertIfNegative val="0"/>
          <c:errBars>
            <c:errBarType val="both"/>
            <c:errValType val="cust"/>
            <c:noEndCap val="0"/>
            <c:plus>
              <c:numRef>
                <c:f>('Desorption Solvent Volume'!$I$8,'Desorption Solvent Volume'!$I$15,'Desorption Solvent Volume'!$I$22)</c:f>
                <c:numCache>
                  <c:formatCode>General</c:formatCode>
                  <c:ptCount val="3"/>
                  <c:pt idx="0">
                    <c:v>137246.52471495711</c:v>
                  </c:pt>
                  <c:pt idx="1">
                    <c:v>121994.36833040012</c:v>
                  </c:pt>
                  <c:pt idx="2">
                    <c:v>100807.51032206546</c:v>
                  </c:pt>
                </c:numCache>
              </c:numRef>
            </c:plus>
            <c:minus>
              <c:numRef>
                <c:f>('Desorption Solvent Volume'!$I$8,'Desorption Solvent Volume'!$I$15,'Desorption Solvent Volume'!$I$22)</c:f>
                <c:numCache>
                  <c:formatCode>General</c:formatCode>
                  <c:ptCount val="3"/>
                  <c:pt idx="0">
                    <c:v>137246.52471495711</c:v>
                  </c:pt>
                  <c:pt idx="1">
                    <c:v>121994.36833040012</c:v>
                  </c:pt>
                  <c:pt idx="2">
                    <c:v>100807.51032206546</c:v>
                  </c:pt>
                </c:numCache>
              </c:numRef>
            </c:minus>
            <c:spPr>
              <a:ln w="15875"/>
            </c:spPr>
          </c:errBars>
          <c:cat>
            <c:numRef>
              <c:f>('Desorption Solvent Volume'!$A$3,'Desorption Solvent Volume'!$A$10,'Desorption Solvent Volume'!$A$17)</c:f>
              <c:numCache>
                <c:formatCode>General</c:formatCode>
                <c:ptCount val="3"/>
                <c:pt idx="0">
                  <c:v>100</c:v>
                </c:pt>
                <c:pt idx="1">
                  <c:v>150</c:v>
                </c:pt>
                <c:pt idx="2">
                  <c:v>200</c:v>
                </c:pt>
              </c:numCache>
            </c:numRef>
          </c:cat>
          <c:val>
            <c:numRef>
              <c:f>('Desorption Solvent Volume'!$H$8,'Desorption Solvent Volume'!$H$15,'Desorption Solvent Volume'!$H$22)</c:f>
              <c:numCache>
                <c:formatCode>0.0</c:formatCode>
                <c:ptCount val="3"/>
                <c:pt idx="0">
                  <c:v>2139427.6666666665</c:v>
                </c:pt>
                <c:pt idx="1">
                  <c:v>1868067.6666666667</c:v>
                </c:pt>
                <c:pt idx="2">
                  <c:v>1419851.3333333333</c:v>
                </c:pt>
              </c:numCache>
            </c:numRef>
          </c:val>
          <c:extLst xmlns:c16r2="http://schemas.microsoft.com/office/drawing/2015/06/chart">
            <c:ext xmlns:c16="http://schemas.microsoft.com/office/drawing/2014/chart" uri="{C3380CC4-5D6E-409C-BE32-E72D297353CC}">
              <c16:uniqueId val="{00000001-D84F-4C3D-BBCE-118723B42037}"/>
            </c:ext>
          </c:extLst>
        </c:ser>
        <c:dLbls>
          <c:showLegendKey val="0"/>
          <c:showVal val="0"/>
          <c:showCatName val="0"/>
          <c:showSerName val="0"/>
          <c:showPercent val="0"/>
          <c:showBubbleSize val="0"/>
        </c:dLbls>
        <c:gapWidth val="150"/>
        <c:axId val="80358784"/>
        <c:axId val="80377344"/>
      </c:barChart>
      <c:catAx>
        <c:axId val="80358784"/>
        <c:scaling>
          <c:orientation val="minMax"/>
        </c:scaling>
        <c:delete val="0"/>
        <c:axPos val="b"/>
        <c:title>
          <c:tx>
            <c:rich>
              <a:bodyPr rot="0" vert="horz"/>
              <a:lstStyle/>
              <a:p>
                <a:pPr>
                  <a:defRPr b="0"/>
                </a:pPr>
                <a:r>
                  <a:rPr lang="en-MY" b="0"/>
                  <a:t>Volume of desorption solvent (</a:t>
                </a:r>
                <a:r>
                  <a:rPr lang="el-GR" b="0"/>
                  <a:t>μ</a:t>
                </a:r>
                <a:r>
                  <a:rPr lang="en-MY" b="0"/>
                  <a:t>L)</a:t>
                </a:r>
              </a:p>
            </c:rich>
          </c:tx>
          <c:layout>
            <c:manualLayout>
              <c:xMode val="edge"/>
              <c:yMode val="edge"/>
              <c:x val="0.27126835007693001"/>
              <c:y val="0.88308541432320964"/>
            </c:manualLayout>
          </c:layout>
          <c:overlay val="0"/>
        </c:title>
        <c:numFmt formatCode="General" sourceLinked="1"/>
        <c:majorTickMark val="out"/>
        <c:minorTickMark val="none"/>
        <c:tickLblPos val="nextTo"/>
        <c:spPr>
          <a:ln w="15875">
            <a:solidFill>
              <a:schemeClr val="tx1"/>
            </a:solidFill>
          </a:ln>
        </c:spPr>
        <c:txPr>
          <a:bodyPr rot="-60000000" vert="horz"/>
          <a:lstStyle/>
          <a:p>
            <a:pPr>
              <a:defRPr/>
            </a:pPr>
            <a:endParaRPr lang="en-US"/>
          </a:p>
        </c:txPr>
        <c:crossAx val="80377344"/>
        <c:crosses val="autoZero"/>
        <c:auto val="1"/>
        <c:lblAlgn val="ctr"/>
        <c:lblOffset val="100"/>
        <c:noMultiLvlLbl val="0"/>
      </c:catAx>
      <c:valAx>
        <c:axId val="80377344"/>
        <c:scaling>
          <c:orientation val="minMax"/>
        </c:scaling>
        <c:delete val="0"/>
        <c:axPos val="l"/>
        <c:title>
          <c:tx>
            <c:rich>
              <a:bodyPr rot="-5400000" vert="horz"/>
              <a:lstStyle/>
              <a:p>
                <a:pPr>
                  <a:defRPr b="0"/>
                </a:pPr>
                <a:r>
                  <a:rPr lang="en-MY" b="0"/>
                  <a:t>Peak area (mAU)</a:t>
                </a:r>
              </a:p>
            </c:rich>
          </c:tx>
          <c:layout/>
          <c:overlay val="0"/>
        </c:title>
        <c:numFmt formatCode="0" sourceLinked="0"/>
        <c:majorTickMark val="out"/>
        <c:minorTickMark val="none"/>
        <c:tickLblPos val="nextTo"/>
        <c:spPr>
          <a:ln w="15875">
            <a:solidFill>
              <a:schemeClr val="tx1"/>
            </a:solidFill>
          </a:ln>
        </c:spPr>
        <c:txPr>
          <a:bodyPr rot="-60000000" vert="horz"/>
          <a:lstStyle/>
          <a:p>
            <a:pPr>
              <a:defRPr/>
            </a:pPr>
            <a:endParaRPr lang="en-US"/>
          </a:p>
        </c:txPr>
        <c:crossAx val="80358784"/>
        <c:crosses val="autoZero"/>
        <c:crossBetween val="between"/>
      </c:valAx>
    </c:plotArea>
    <c:legend>
      <c:legendPos val="r"/>
      <c:layout>
        <c:manualLayout>
          <c:xMode val="edge"/>
          <c:yMode val="edge"/>
          <c:x val="0.67788143723413885"/>
          <c:y val="5.8487234550226683E-2"/>
          <c:w val="0.13634773265282138"/>
          <c:h val="0.22624391202436595"/>
        </c:manualLayout>
      </c:layout>
      <c:overlay val="0"/>
      <c:txPr>
        <a:bodyPr rot="0" vert="horz"/>
        <a:lstStyle/>
        <a:p>
          <a:pPr>
            <a:defRPr/>
          </a:pPr>
          <a:endParaRPr lang="en-US"/>
        </a:p>
      </c:txPr>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0064-4225-4502-AC50-5EE54848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3249</Words>
  <Characters>18716</Characters>
  <Application>Microsoft Office Word</Application>
  <DocSecurity>0</DocSecurity>
  <Lines>322</Lines>
  <Paragraphs>124</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10</cp:revision>
  <cp:lastPrinted>2018-02-14T14:35:00Z</cp:lastPrinted>
  <dcterms:created xsi:type="dcterms:W3CDTF">2018-01-14T16:08:00Z</dcterms:created>
  <dcterms:modified xsi:type="dcterms:W3CDTF">2018-02-14T14:35:00Z</dcterms:modified>
</cp:coreProperties>
</file>