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B6" w:rsidRDefault="00054CB6" w:rsidP="00054CB6">
      <w:pPr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t>Malaysian Journal of Analytical Sciences Vol 21 No 6 (2017): 1389 - 1398</w:t>
      </w:r>
    </w:p>
    <w:p w:rsidR="00054CB6" w:rsidRDefault="00054CB6" w:rsidP="00054CB6">
      <w:pPr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  <w:lang w:val="en-GB"/>
        </w:rPr>
      </w:pPr>
    </w:p>
    <w:p w:rsidR="00054CB6" w:rsidRDefault="00054CB6" w:rsidP="00054CB6">
      <w:pPr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  <w:lang w:val="en-GB"/>
        </w:rPr>
      </w:pPr>
    </w:p>
    <w:p w:rsidR="00054CB6" w:rsidRPr="00054CB6" w:rsidRDefault="00054CB6" w:rsidP="00054CB6">
      <w:pPr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  <w:lang w:val="en-GB"/>
        </w:rPr>
      </w:pPr>
    </w:p>
    <w:p w:rsidR="00054CB6" w:rsidRPr="00E4164F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lang w:val="en-GB"/>
        </w:rPr>
      </w:pPr>
      <w:r w:rsidRPr="00E4164F">
        <w:rPr>
          <w:rFonts w:ascii="Times New Roman" w:hAnsi="Times New Roman"/>
          <w:noProof/>
          <w:sz w:val="28"/>
          <w:lang w:val="en-GB"/>
        </w:rPr>
        <w:t xml:space="preserve">ISOLATION OF TWO BOTRYANES FROM </w:t>
      </w:r>
      <w:r w:rsidRPr="00E4164F">
        <w:rPr>
          <w:rFonts w:ascii="Times New Roman" w:hAnsi="Times New Roman"/>
          <w:i/>
          <w:noProof/>
          <w:sz w:val="28"/>
          <w:lang w:val="en-GB"/>
        </w:rPr>
        <w:t>Hypoxylon rickii</w:t>
      </w:r>
      <w:r w:rsidRPr="00E4164F">
        <w:rPr>
          <w:rFonts w:ascii="Times New Roman" w:hAnsi="Times New Roman"/>
          <w:noProof/>
          <w:sz w:val="28"/>
          <w:lang w:val="en-GB"/>
        </w:rPr>
        <w:t xml:space="preserve"> AND IDENTIFICATION OF THE ENCODING GENES</w:t>
      </w:r>
    </w:p>
    <w:p w:rsidR="00054CB6" w:rsidRPr="008C4732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en-GB"/>
        </w:rPr>
      </w:pPr>
    </w:p>
    <w:p w:rsidR="00054CB6" w:rsidRPr="00317075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4"/>
          <w:lang w:val="es-ES"/>
        </w:rPr>
      </w:pPr>
      <w:r w:rsidRPr="00317075">
        <w:rPr>
          <w:rFonts w:ascii="Times New Roman" w:hAnsi="Times New Roman"/>
          <w:noProof/>
          <w:sz w:val="24"/>
          <w:lang w:val="es-ES"/>
        </w:rPr>
        <w:t xml:space="preserve">(Pemencilan Sebatian Botrien dari </w:t>
      </w:r>
      <w:r w:rsidRPr="00317075">
        <w:rPr>
          <w:rFonts w:ascii="Times New Roman" w:hAnsi="Times New Roman"/>
          <w:i/>
          <w:noProof/>
          <w:sz w:val="24"/>
          <w:lang w:val="es-ES"/>
        </w:rPr>
        <w:t>Hypoxylon rickii</w:t>
      </w:r>
      <w:r w:rsidRPr="00317075">
        <w:rPr>
          <w:rFonts w:ascii="Times New Roman" w:hAnsi="Times New Roman"/>
          <w:noProof/>
          <w:sz w:val="24"/>
          <w:lang w:val="es-ES"/>
        </w:rPr>
        <w:t xml:space="preserve"> dan Pengenalpastian Pengekodan Gen)</w:t>
      </w:r>
    </w:p>
    <w:p w:rsidR="00054CB6" w:rsidRPr="008C4732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es-ES"/>
        </w:rPr>
      </w:pPr>
    </w:p>
    <w:p w:rsidR="00054CB6" w:rsidRPr="008C4732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0"/>
          <w:szCs w:val="20"/>
          <w:lang w:val="es-ES"/>
        </w:rPr>
      </w:pPr>
      <w:r w:rsidRPr="008C4732">
        <w:rPr>
          <w:rFonts w:ascii="Times New Roman" w:hAnsi="Times New Roman"/>
          <w:noProof/>
          <w:sz w:val="20"/>
          <w:szCs w:val="20"/>
          <w:lang w:val="es-ES"/>
        </w:rPr>
        <w:t>Afnani Alwi</w:t>
      </w:r>
      <w:r w:rsidRPr="008C4732">
        <w:rPr>
          <w:rFonts w:ascii="Times New Roman" w:hAnsi="Times New Roman"/>
          <w:noProof/>
          <w:sz w:val="20"/>
          <w:szCs w:val="20"/>
          <w:vertAlign w:val="superscript"/>
          <w:lang w:val="es-ES"/>
        </w:rPr>
        <w:t>1</w:t>
      </w:r>
      <w:r w:rsidRPr="008C4732">
        <w:rPr>
          <w:rFonts w:ascii="Times New Roman" w:hAnsi="Times New Roman"/>
          <w:noProof/>
          <w:sz w:val="20"/>
          <w:szCs w:val="20"/>
          <w:lang w:val="es-ES"/>
        </w:rPr>
        <w:t xml:space="preserve">, </w:t>
      </w:r>
      <w:r w:rsidRPr="008C4732">
        <w:rPr>
          <w:rFonts w:ascii="Times New Roman" w:hAnsi="Times New Roman"/>
          <w:bCs/>
          <w:noProof/>
          <w:sz w:val="20"/>
          <w:szCs w:val="20"/>
          <w:lang w:val="es-ES"/>
        </w:rPr>
        <w:t>Andi Rifki Rosandy</w:t>
      </w:r>
      <w:r w:rsidRPr="008C4732">
        <w:rPr>
          <w:rFonts w:ascii="Times New Roman" w:hAnsi="Times New Roman"/>
          <w:bCs/>
          <w:noProof/>
          <w:sz w:val="20"/>
          <w:szCs w:val="20"/>
          <w:vertAlign w:val="superscript"/>
          <w:lang w:val="es-ES"/>
        </w:rPr>
        <w:t>2</w:t>
      </w:r>
      <w:r w:rsidRPr="008C4732">
        <w:rPr>
          <w:rFonts w:ascii="Times New Roman" w:hAnsi="Times New Roman"/>
          <w:bCs/>
          <w:noProof/>
          <w:sz w:val="20"/>
          <w:szCs w:val="20"/>
          <w:lang w:val="es-ES"/>
        </w:rPr>
        <w:t>, Farah Diba Abu Bakar</w:t>
      </w:r>
      <w:r w:rsidRPr="008C4732">
        <w:rPr>
          <w:rFonts w:ascii="Times New Roman" w:hAnsi="Times New Roman"/>
          <w:noProof/>
          <w:sz w:val="20"/>
          <w:szCs w:val="20"/>
          <w:vertAlign w:val="superscript"/>
          <w:lang w:val="es-ES"/>
        </w:rPr>
        <w:t>1</w:t>
      </w:r>
      <w:r w:rsidRPr="008C4732">
        <w:rPr>
          <w:rFonts w:ascii="Times New Roman" w:hAnsi="Times New Roman"/>
          <w:bCs/>
          <w:noProof/>
          <w:sz w:val="20"/>
          <w:szCs w:val="20"/>
          <w:lang w:val="es-ES"/>
        </w:rPr>
        <w:t>,</w:t>
      </w:r>
      <w:r w:rsidRPr="008C4732">
        <w:rPr>
          <w:rFonts w:ascii="Times New Roman" w:hAnsi="Times New Roman"/>
          <w:noProof/>
          <w:sz w:val="20"/>
          <w:szCs w:val="20"/>
          <w:lang w:val="es-ES"/>
        </w:rPr>
        <w:t xml:space="preserve"> Rozida Mohd Khalid</w:t>
      </w:r>
      <w:r w:rsidRPr="008C4732">
        <w:rPr>
          <w:rFonts w:ascii="Times New Roman" w:hAnsi="Times New Roman"/>
          <w:noProof/>
          <w:sz w:val="20"/>
          <w:szCs w:val="20"/>
          <w:vertAlign w:val="superscript"/>
          <w:lang w:val="es-ES"/>
        </w:rPr>
        <w:t>2</w:t>
      </w:r>
      <w:r w:rsidRPr="008C4732">
        <w:rPr>
          <w:rFonts w:ascii="Times New Roman" w:hAnsi="Times New Roman"/>
          <w:noProof/>
          <w:sz w:val="20"/>
          <w:szCs w:val="20"/>
          <w:lang w:val="es-ES"/>
        </w:rPr>
        <w:t>*</w:t>
      </w: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54CB6" w:rsidRPr="00054CB6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en-GB"/>
        </w:rPr>
      </w:pPr>
      <w:r w:rsidRPr="00054CB6">
        <w:rPr>
          <w:rFonts w:ascii="Times New Roman" w:hAnsi="Times New Roman"/>
          <w:i/>
          <w:noProof/>
          <w:sz w:val="20"/>
          <w:szCs w:val="20"/>
          <w:vertAlign w:val="superscript"/>
          <w:lang w:val="en-GB"/>
        </w:rPr>
        <w:t>1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School of Biology and Biological Sciences, Faculty of Science and Technology</w:t>
      </w:r>
    </w:p>
    <w:p w:rsidR="00054CB6" w:rsidRPr="00054CB6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en-GB"/>
        </w:rPr>
      </w:pPr>
      <w:r w:rsidRPr="00054CB6">
        <w:rPr>
          <w:rFonts w:ascii="Times New Roman" w:hAnsi="Times New Roman"/>
          <w:i/>
          <w:noProof/>
          <w:sz w:val="20"/>
          <w:szCs w:val="20"/>
          <w:vertAlign w:val="superscript"/>
          <w:lang w:val="en-GB"/>
        </w:rPr>
        <w:t>2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School of Chemical Sciences and Food Technology, Faculty of Science and Technology</w:t>
      </w:r>
    </w:p>
    <w:p w:rsidR="00054CB6" w:rsidRPr="00054CB6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en-GB"/>
        </w:rPr>
      </w:pP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Universiti Kebangsaan Malaysia, 43600 UKM Bangi, Selangor, Malaysia</w:t>
      </w: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54CB6" w:rsidRPr="00054CB6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en-GB"/>
        </w:rPr>
      </w:pPr>
      <w:r w:rsidRPr="00054CB6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rozidakhalid@ukm.edu.my</w:t>
      </w: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054CB6">
        <w:rPr>
          <w:rFonts w:ascii="Times New Roman" w:hAnsi="Times New Roman"/>
          <w:noProof/>
          <w:sz w:val="20"/>
          <w:szCs w:val="20"/>
          <w:lang w:bidi="ar-SA"/>
        </w:rPr>
        <w:t>Received: 28 September 2016; Accepted: 6 March 2017</w:t>
      </w: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54CB6" w:rsidRPr="00054CB6" w:rsidRDefault="00054CB6" w:rsidP="00054CB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054CB6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054CB6" w:rsidRPr="00054CB6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n-GB"/>
        </w:rPr>
      </w:pPr>
      <w:r w:rsidRPr="00054CB6">
        <w:rPr>
          <w:rFonts w:ascii="Times New Roman" w:hAnsi="Times New Roman"/>
          <w:noProof/>
          <w:sz w:val="20"/>
          <w:szCs w:val="20"/>
          <w:lang w:val="en-GB"/>
        </w:rPr>
        <w:t>10-oxodehydrobotrydial (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1)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and 4β</w:t>
      </w:r>
      <w:r w:rsidRPr="00054CB6">
        <w:rPr>
          <w:rFonts w:ascii="Times New Roman" w:hAnsi="Times New Roman"/>
          <w:noProof/>
          <w:sz w:val="20"/>
          <w:szCs w:val="20"/>
          <w:lang w:val="en-GB" w:eastAsia="en-GB"/>
        </w:rPr>
        <w:t>-Acetoxy-9β,10β,15α-trihydroxyprobotrydial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(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2)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have been isolated from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Hypoxylon rickii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mycelia extract. Compound 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2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is probably an intermediate of botrydial, which is a known sesquiterpene phytotoxin. Cluster Omega and Artemis software analysis suggested that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 xml:space="preserve">HRT6, 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a possible botrydial-like gene cluster with four genes shows more than 50% similarities compared to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Botrytis cinerea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botrydial gene cluster,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BcBOT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>. A comparison between proposed 4β-Acetoxy-9β,10β,15α- trihydroxyprobotrydial (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2)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producing pathway and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BcBOT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proposed pathway shows compatible function of each gene prediction. Further confirmation using RNA gene knock-outs is on-going. </w:t>
      </w:r>
    </w:p>
    <w:p w:rsidR="00054CB6" w:rsidRPr="00054CB6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n-GB"/>
        </w:rPr>
      </w:pPr>
    </w:p>
    <w:p w:rsidR="00054CB6" w:rsidRPr="00054CB6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n-GB"/>
        </w:rPr>
      </w:pP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Keywords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: 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Hypoxylon rickii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, botryane, terpene synthase </w:t>
      </w:r>
    </w:p>
    <w:p w:rsidR="00054CB6" w:rsidRPr="00054CB6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en-GB"/>
        </w:rPr>
      </w:pPr>
    </w:p>
    <w:p w:rsidR="00054CB6" w:rsidRPr="00054CB6" w:rsidRDefault="00054CB6" w:rsidP="00054CB6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en-GB"/>
        </w:rPr>
      </w:pP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Abstrak</w:t>
      </w:r>
    </w:p>
    <w:p w:rsidR="00054CB6" w:rsidRPr="00054CB6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s-ES"/>
        </w:rPr>
      </w:pPr>
      <w:r w:rsidRPr="00054CB6">
        <w:rPr>
          <w:rFonts w:ascii="Times New Roman" w:hAnsi="Times New Roman"/>
          <w:noProof/>
          <w:sz w:val="20"/>
          <w:szCs w:val="20"/>
          <w:lang w:val="en-GB"/>
        </w:rPr>
        <w:t>10-oksodehidrobotridial (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1)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dan 4β-Asetoksi-9β,10β,15α-trihidroksiprobotridial (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 xml:space="preserve">2) 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>telah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 xml:space="preserve"> 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dipencilkan dari ekstrak miselia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Hypoxylon rickii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. Sebatian </w:t>
      </w:r>
      <w:r w:rsidRPr="00054CB6">
        <w:rPr>
          <w:rFonts w:ascii="Times New Roman" w:hAnsi="Times New Roman"/>
          <w:b/>
          <w:noProof/>
          <w:sz w:val="20"/>
          <w:szCs w:val="20"/>
          <w:lang w:val="en-GB"/>
        </w:rPr>
        <w:t>2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dijangkakan sebagai sebatian perantara dalam pembentukkan botridial iaitu sejenis fitotoksin sesquiterpena. Penggunaan dua perisian Cluster Omega dan Artemis telah berjaya mengenalpasti gen kelompok yang berkemungkinan dari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H. rickii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sebagai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HRT6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 dengan empat gen menunjukkan persamaan lebih daripada 50% berbanding gen kelompok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 xml:space="preserve"> Botrytis cinerea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, </w:t>
      </w:r>
      <w:r w:rsidRPr="00054CB6">
        <w:rPr>
          <w:rFonts w:ascii="Times New Roman" w:hAnsi="Times New Roman"/>
          <w:i/>
          <w:noProof/>
          <w:sz w:val="20"/>
          <w:szCs w:val="20"/>
          <w:lang w:val="en-GB"/>
        </w:rPr>
        <w:t>BcBOT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>Perbandingan antara dengan cadangan laluan biosintesis 4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>β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>-Asetoksi-9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>β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>,10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>β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>,15</w:t>
      </w:r>
      <w:r w:rsidRPr="00054CB6">
        <w:rPr>
          <w:rFonts w:ascii="Times New Roman" w:hAnsi="Times New Roman"/>
          <w:noProof/>
          <w:sz w:val="20"/>
          <w:szCs w:val="20"/>
          <w:lang w:val="en-GB"/>
        </w:rPr>
        <w:t>α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>-trihidroksiprobotridial (</w:t>
      </w:r>
      <w:r w:rsidRPr="00054CB6">
        <w:rPr>
          <w:rFonts w:ascii="Times New Roman" w:hAnsi="Times New Roman"/>
          <w:b/>
          <w:noProof/>
          <w:sz w:val="20"/>
          <w:szCs w:val="20"/>
          <w:lang w:val="es-ES"/>
        </w:rPr>
        <w:t>2)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 xml:space="preserve"> dengan </w:t>
      </w:r>
      <w:r w:rsidRPr="00054CB6">
        <w:rPr>
          <w:rFonts w:ascii="Times New Roman" w:hAnsi="Times New Roman"/>
          <w:i/>
          <w:noProof/>
          <w:sz w:val="20"/>
          <w:szCs w:val="20"/>
          <w:lang w:val="es-ES"/>
        </w:rPr>
        <w:t>BcBOT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 xml:space="preserve"> menunjukkan persamaan fungsi – fungsi gen. Pengesahan lanjut menggunakan RNA (mendiamkan gen) sedang dijalankan. </w:t>
      </w:r>
    </w:p>
    <w:p w:rsidR="00054CB6" w:rsidRPr="00054CB6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s-ES"/>
        </w:rPr>
      </w:pPr>
    </w:p>
    <w:p w:rsidR="00B903B1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s-ES"/>
        </w:rPr>
      </w:pPr>
      <w:r w:rsidRPr="00054CB6">
        <w:rPr>
          <w:rFonts w:ascii="Times New Roman" w:hAnsi="Times New Roman"/>
          <w:b/>
          <w:noProof/>
          <w:sz w:val="20"/>
          <w:szCs w:val="20"/>
          <w:lang w:val="es-ES"/>
        </w:rPr>
        <w:t xml:space="preserve">Kata kunci:  </w:t>
      </w:r>
      <w:r w:rsidRPr="00054CB6">
        <w:rPr>
          <w:rFonts w:ascii="Times New Roman" w:hAnsi="Times New Roman"/>
          <w:i/>
          <w:noProof/>
          <w:sz w:val="20"/>
          <w:szCs w:val="20"/>
          <w:lang w:val="es-ES"/>
        </w:rPr>
        <w:t>Hypoxylon rickii</w:t>
      </w:r>
      <w:r w:rsidRPr="00054CB6">
        <w:rPr>
          <w:rFonts w:ascii="Times New Roman" w:hAnsi="Times New Roman"/>
          <w:noProof/>
          <w:sz w:val="20"/>
          <w:szCs w:val="20"/>
          <w:lang w:val="es-ES"/>
        </w:rPr>
        <w:t xml:space="preserve">, botrien, terpene sintes </w:t>
      </w:r>
    </w:p>
    <w:p w:rsidR="00054CB6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s-ES"/>
        </w:rPr>
      </w:pPr>
    </w:p>
    <w:p w:rsidR="00054CB6" w:rsidRPr="00F447A7" w:rsidRDefault="00054CB6" w:rsidP="00054CB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Breitmaier,</w:t>
      </w:r>
      <w:bookmarkStart w:id="0" w:name="_GoBack"/>
      <w:bookmarkEnd w:id="0"/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 E. (2006). General Structure: The isoprene rule. In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 xml:space="preserve">Terpenes :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Importance, general structure, and biosynthesis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. Wiley-VCH Verlag GmbH &amp; Co, Weinheim: pp. 1 – 9.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George, D. T., Kuenstner, E. J. and Pronin, S. V. (2015). A concise approach to paxilline indole diterpenes.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>Journal of the American Chemical Society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137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(49): 15410 – 15413. 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</w:rPr>
        <w:t xml:space="preserve">Kuca, K., Dohnal, V., Jezkova, A. and Jun, D. (2008). 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Metabolic pathways of T-2 toxin. </w:t>
      </w:r>
      <w:r w:rsidRPr="00210308">
        <w:rPr>
          <w:rFonts w:ascii="Times New Roman" w:eastAsiaTheme="minorHAnsi" w:hAnsi="Times New Roman"/>
          <w:i/>
          <w:noProof/>
          <w:sz w:val="20"/>
          <w:szCs w:val="20"/>
          <w:lang w:val="en-GB"/>
        </w:rPr>
        <w:t>Current Drug Metabolism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, 9(1): 77 – 82.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s-ES"/>
        </w:rPr>
        <w:lastRenderedPageBreak/>
        <w:t xml:space="preserve">Colmenares, A. J., Dura, R. M. and Collado, I. G. (2002). 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Four new lactones from </w:t>
      </w:r>
      <w:r w:rsidRPr="00210308">
        <w:rPr>
          <w:rFonts w:ascii="Times New Roman" w:eastAsiaTheme="minorHAnsi" w:hAnsi="Times New Roman"/>
          <w:i/>
          <w:noProof/>
          <w:sz w:val="20"/>
          <w:szCs w:val="20"/>
          <w:lang w:val="en-GB"/>
        </w:rPr>
        <w:t>Botrytis cinerea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,. </w:t>
      </w:r>
      <w:r w:rsidRPr="00210308">
        <w:rPr>
          <w:rFonts w:ascii="Times New Roman" w:eastAsiaTheme="minorHAnsi" w:hAnsi="Times New Roman"/>
          <w:i/>
          <w:noProof/>
          <w:sz w:val="20"/>
          <w:szCs w:val="20"/>
          <w:lang w:val="en-GB"/>
        </w:rPr>
        <w:t>Journal of Natural Products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, 65(11): 1724 – 1726.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</w:rPr>
        <w:t xml:space="preserve">Yuan, Y., Feng, Y., Ren, F., Niu, S., Liu, X. and Che, Y. (2013). 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A botryane metabolite with a new hexacyclic skeleton from an entomogenous fungus </w:t>
      </w:r>
      <w:r w:rsidRPr="00210308">
        <w:rPr>
          <w:rFonts w:ascii="Times New Roman" w:eastAsiaTheme="minorHAnsi" w:hAnsi="Times New Roman"/>
          <w:i/>
          <w:noProof/>
          <w:sz w:val="20"/>
          <w:szCs w:val="20"/>
          <w:lang w:val="en-GB"/>
        </w:rPr>
        <w:t>hypocrea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 sp.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>Organic Letters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15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(23): 6050 – 6053.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Collado, I. G., Sánchez, A. J. M. and Hanson, J. R. (2007). Fungal terpene metabolites: Biosynthetic relationships and the control of the phytopathogenic fungus Botrytis cinerea. </w:t>
      </w:r>
      <w:r w:rsidRPr="00210308">
        <w:rPr>
          <w:rFonts w:ascii="Times New Roman" w:hAnsi="Times New Roman"/>
          <w:i/>
          <w:iCs/>
          <w:noProof/>
          <w:sz w:val="20"/>
          <w:szCs w:val="20"/>
          <w:lang w:val="en-GB"/>
        </w:rPr>
        <w:t>Natural Product Review</w:t>
      </w: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hAnsi="Times New Roman"/>
          <w:iCs/>
          <w:noProof/>
          <w:sz w:val="20"/>
          <w:szCs w:val="20"/>
          <w:lang w:val="en-GB"/>
        </w:rPr>
        <w:t>24</w:t>
      </w: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(4): 674 – 686. 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 xml:space="preserve">Ju, Y. M., &amp; Rogers, J. D. (1996). A revision of the genus </w:t>
      </w:r>
      <w:r w:rsidRPr="00210308">
        <w:rPr>
          <w:rFonts w:ascii="Times New Roman" w:hAnsi="Times New Roman"/>
          <w:i/>
          <w:noProof/>
          <w:sz w:val="20"/>
          <w:szCs w:val="20"/>
          <w:lang w:val="en-GB" w:eastAsia="en-GB"/>
        </w:rPr>
        <w:t>Hypoxylon</w:t>
      </w: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 xml:space="preserve">. </w:t>
      </w:r>
      <w:r w:rsidRPr="00210308">
        <w:rPr>
          <w:rFonts w:ascii="Times New Roman" w:hAnsi="Times New Roman"/>
          <w:i/>
          <w:noProof/>
          <w:sz w:val="20"/>
          <w:szCs w:val="20"/>
          <w:lang w:val="en-GB" w:eastAsia="en-GB"/>
        </w:rPr>
        <w:t>The Mycological Society of America Mycologia Memoir</w:t>
      </w: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 xml:space="preserve">, </w:t>
      </w:r>
      <w:r w:rsidRPr="00210308">
        <w:rPr>
          <w:rFonts w:ascii="Times New Roman" w:hAnsi="Times New Roman"/>
          <w:bCs/>
          <w:noProof/>
          <w:sz w:val="20"/>
          <w:szCs w:val="20"/>
          <w:lang w:val="en-GB" w:eastAsia="en-GB"/>
        </w:rPr>
        <w:t>20</w:t>
      </w: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>: 174.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Stadler, M., Quang, D. N., Tomita, A., Hashimoto, T. and Asakawa, Y. (2006). Changes in secondary metabolism during stromatal ontogeny of </w:t>
      </w:r>
      <w:r w:rsidRPr="00210308">
        <w:rPr>
          <w:rFonts w:ascii="Times New Roman" w:hAnsi="Times New Roman"/>
          <w:i/>
          <w:noProof/>
          <w:sz w:val="20"/>
          <w:szCs w:val="20"/>
          <w:lang w:val="en-GB"/>
        </w:rPr>
        <w:t>Hypoxylon fragiforme</w:t>
      </w: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210308">
        <w:rPr>
          <w:rFonts w:ascii="Times New Roman" w:hAnsi="Times New Roman"/>
          <w:i/>
          <w:iCs/>
          <w:noProof/>
          <w:sz w:val="20"/>
          <w:szCs w:val="20"/>
          <w:lang w:val="en-GB"/>
        </w:rPr>
        <w:t>Mycological Research</w:t>
      </w: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hAnsi="Times New Roman"/>
          <w:iCs/>
          <w:noProof/>
          <w:sz w:val="20"/>
          <w:szCs w:val="20"/>
          <w:lang w:val="en-GB"/>
        </w:rPr>
        <w:t>110</w:t>
      </w:r>
      <w:r w:rsidRPr="00210308">
        <w:rPr>
          <w:rFonts w:ascii="Times New Roman" w:hAnsi="Times New Roman"/>
          <w:noProof/>
          <w:sz w:val="20"/>
          <w:szCs w:val="20"/>
          <w:lang w:val="en-GB"/>
        </w:rPr>
        <w:t>(7): 811 –820.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hAnsi="Times New Roman"/>
          <w:noProof/>
          <w:sz w:val="20"/>
          <w:szCs w:val="20"/>
          <w:lang w:val="en-GB"/>
        </w:rPr>
        <w:t>Quang, D. N., Hashimoto, T., Stadler, M. and Asakawa</w:t>
      </w:r>
      <w:r w:rsidRPr="00210308">
        <w:rPr>
          <w:rFonts w:ascii="Times New Roman" w:hAnsi="Times New Roman"/>
          <w:noProof/>
          <w:sz w:val="20"/>
          <w:szCs w:val="20"/>
          <w:vertAlign w:val="superscript"/>
          <w:lang w:val="en-GB"/>
        </w:rPr>
        <w:t xml:space="preserve"> </w:t>
      </w: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Y. (2005). Dimeric azaphilones from the xylariaceous ascomycete </w:t>
      </w:r>
      <w:r w:rsidRPr="00210308">
        <w:rPr>
          <w:rFonts w:ascii="Times New Roman" w:hAnsi="Times New Roman"/>
          <w:i/>
          <w:noProof/>
          <w:sz w:val="20"/>
          <w:szCs w:val="20"/>
          <w:lang w:val="en-GB"/>
        </w:rPr>
        <w:t xml:space="preserve">Hypoxylon rutilum. </w:t>
      </w:r>
      <w:hyperlink r:id="rId6" w:history="1">
        <w:r w:rsidRPr="00210308">
          <w:rPr>
            <w:rFonts w:ascii="Times New Roman" w:hAnsi="Times New Roman"/>
            <w:i/>
            <w:noProof/>
            <w:sz w:val="20"/>
            <w:szCs w:val="20"/>
            <w:lang w:val="en-GB"/>
          </w:rPr>
          <w:t>Tetrahedron</w:t>
        </w:r>
      </w:hyperlink>
      <w:r w:rsidRPr="00210308">
        <w:rPr>
          <w:rFonts w:ascii="Times New Roman" w:hAnsi="Times New Roman"/>
          <w:i/>
          <w:noProof/>
          <w:sz w:val="20"/>
          <w:szCs w:val="20"/>
          <w:lang w:val="en-GB"/>
        </w:rPr>
        <w:t>,</w:t>
      </w:r>
      <w:r w:rsidRPr="00210308">
        <w:rPr>
          <w:rFonts w:ascii="Times New Roman" w:hAnsi="Times New Roman"/>
          <w:noProof/>
          <w:sz w:val="20"/>
          <w:szCs w:val="20"/>
          <w:lang w:val="en-GB"/>
        </w:rPr>
        <w:t xml:space="preserve"> 61(35): 8451 – 8455.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 xml:space="preserve">Surup, F., Kuhnert, E., Liscinskij, E. and Stadler, M. (2015). Silphiperfolene-type terpenoids and other metabolites from cultures of the tropical ascomycete </w:t>
      </w:r>
      <w:r w:rsidRPr="00210308">
        <w:rPr>
          <w:rFonts w:ascii="Times New Roman" w:hAnsi="Times New Roman"/>
          <w:i/>
          <w:noProof/>
          <w:sz w:val="20"/>
          <w:szCs w:val="20"/>
          <w:lang w:val="en-GB" w:eastAsia="en-GB"/>
        </w:rPr>
        <w:t>Hypoxylon rickii</w:t>
      </w: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 xml:space="preserve"> (Xylariaceae). </w:t>
      </w:r>
      <w:r w:rsidRPr="00210308">
        <w:rPr>
          <w:rFonts w:ascii="Times New Roman" w:hAnsi="Times New Roman"/>
          <w:i/>
          <w:iCs/>
          <w:noProof/>
          <w:sz w:val="20"/>
          <w:szCs w:val="20"/>
          <w:lang w:val="en-GB" w:eastAsia="en-GB"/>
        </w:rPr>
        <w:t>Natural Products and Bioprospecting</w:t>
      </w: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 xml:space="preserve">, </w:t>
      </w:r>
      <w:r w:rsidRPr="00210308">
        <w:rPr>
          <w:rFonts w:ascii="Times New Roman" w:hAnsi="Times New Roman"/>
          <w:iCs/>
          <w:noProof/>
          <w:sz w:val="20"/>
          <w:szCs w:val="20"/>
          <w:lang w:val="en-GB" w:eastAsia="en-GB"/>
        </w:rPr>
        <w:t>5</w:t>
      </w:r>
      <w:r w:rsidRPr="00210308">
        <w:rPr>
          <w:rFonts w:ascii="Times New Roman" w:hAnsi="Times New Roman"/>
          <w:noProof/>
          <w:sz w:val="20"/>
          <w:szCs w:val="20"/>
          <w:lang w:val="en-GB" w:eastAsia="en-GB"/>
        </w:rPr>
        <w:t>(3): 167 – 173.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Kuhnert, E., Surup, F., Wiebach, V., Bernecker, S. and Stadler, M. 2015. Botryane, noreudesmane and abietane terpenoids from the ascomycete </w:t>
      </w:r>
      <w:r w:rsidRPr="00210308">
        <w:rPr>
          <w:rFonts w:ascii="Times New Roman" w:eastAsiaTheme="minorHAnsi" w:hAnsi="Times New Roman"/>
          <w:i/>
          <w:noProof/>
          <w:sz w:val="20"/>
          <w:szCs w:val="20"/>
          <w:lang w:val="en-GB"/>
        </w:rPr>
        <w:t>Hypoxylon rickii.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>Phytochemistry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117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: 116 – 122.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Brakhage, A. A. (2013). </w:t>
      </w:r>
      <w:r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 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Regulation</w:t>
      </w:r>
      <w:r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 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 of </w:t>
      </w:r>
      <w:r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 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fungal secondary metabolism.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>Nature Reviews Microbiology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11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(1): 21 – 32. 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Smith, D. J., Burnham, M. K., Bull, J. H., Hodgson, J. E., Ward, J. M., Browne, P., Brown, J., Barton, B., Earl, A. J. and Turner, G. (1990). Beta-lactam antibiotic biosynthetic genes have been conserved in clusters in prokaryotes and eukaryotes.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>The EMBO Journal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9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(3): 741 – 747.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Pinedo, C., Wang, C. M., Pradier, J. M., Dalmais, B., Choquer, M., Le Pêcheur, P., Morgant, G., Collado, I. G., Cane, D. E. and Viaud, M. (2008). Sesquiterpene synthase from the botrydial biosynthetic gene cluster of the phytopathogen Botrytis cinerea.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>ACS Chemical Biology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3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(12), 791 – 801.</w:t>
      </w:r>
    </w:p>
    <w:p w:rsidR="00054CB6" w:rsidRPr="00210308" w:rsidRDefault="00054CB6" w:rsidP="00054CB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eastAsiaTheme="minorHAnsi" w:hAnsi="Times New Roman"/>
          <w:noProof/>
          <w:sz w:val="20"/>
          <w:szCs w:val="20"/>
          <w:lang w:val="en-GB"/>
        </w:rPr>
      </w:pP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Moraga, J., Dalmais, B., Izquierdo-Bueno, I., Aleu, J., Hanson, J. R., Hernández-Galán, R., Viaud, M., and Collado, I. G. (2016). Genetic and molecular basis of botrydial biosynthesis: Connecting cytochrome P450-encoding genes to biosynthetic intermediates. </w:t>
      </w:r>
      <w:r w:rsidRPr="00210308">
        <w:rPr>
          <w:rFonts w:ascii="Times New Roman" w:eastAsiaTheme="minorHAnsi" w:hAnsi="Times New Roman"/>
          <w:i/>
          <w:iCs/>
          <w:noProof/>
          <w:sz w:val="20"/>
          <w:szCs w:val="20"/>
          <w:lang w:val="en-GB"/>
        </w:rPr>
        <w:t>ACS Chemical Biology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 xml:space="preserve">, </w:t>
      </w:r>
      <w:r w:rsidRPr="00210308">
        <w:rPr>
          <w:rFonts w:ascii="Times New Roman" w:eastAsiaTheme="minorHAnsi" w:hAnsi="Times New Roman"/>
          <w:iCs/>
          <w:noProof/>
          <w:sz w:val="20"/>
          <w:szCs w:val="20"/>
          <w:lang w:val="en-GB"/>
        </w:rPr>
        <w:t>11</w:t>
      </w:r>
      <w:r w:rsidRPr="00210308">
        <w:rPr>
          <w:rFonts w:ascii="Times New Roman" w:eastAsiaTheme="minorHAnsi" w:hAnsi="Times New Roman"/>
          <w:noProof/>
          <w:sz w:val="20"/>
          <w:szCs w:val="20"/>
          <w:lang w:val="en-GB"/>
        </w:rPr>
        <w:t>(10): 2838 – 2846.</w:t>
      </w:r>
    </w:p>
    <w:p w:rsidR="00054CB6" w:rsidRPr="00054CB6" w:rsidRDefault="00054CB6" w:rsidP="00054CB6">
      <w:pPr>
        <w:spacing w:after="0" w:line="240" w:lineRule="auto"/>
        <w:jc w:val="both"/>
        <w:outlineLvl w:val="0"/>
        <w:rPr>
          <w:rFonts w:ascii="Times New Roman" w:hAnsi="Times New Roman"/>
          <w:b/>
          <w:noProof/>
          <w:sz w:val="20"/>
          <w:szCs w:val="20"/>
          <w:lang w:val="es-ES"/>
        </w:rPr>
      </w:pPr>
    </w:p>
    <w:sectPr w:rsidR="00054CB6" w:rsidRPr="00054CB6" w:rsidSect="00054CB6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183B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B6"/>
    <w:rsid w:val="00054CB6"/>
    <w:rsid w:val="00B903B1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B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B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journal/00404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4466</Characters>
  <Application>Microsoft Office Word</Application>
  <DocSecurity>0</DocSecurity>
  <Lines>135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Malaysian Journal of Analytical Sciences Vol 21 No 6 (2017): 1389 - 1398</vt:lpstr>
      <vt:lpstr/>
      <vt:lpstr/>
      <vt:lpstr/>
      <vt:lpstr>ISOLATION OF TWO BOTRYANES FROM Hypoxylon rickii AND IDENTIFICATION OF THE ENCOD</vt:lpstr>
      <vt:lpstr/>
      <vt:lpstr>(Pemencilan Sebatian Botrien dari Hypoxylon rickii dan Pengenalpastian Pengekoda</vt:lpstr>
      <vt:lpstr/>
      <vt:lpstr>Afnani Alwi1, Andi Rifki Rosandy2, Farah Diba Abu Bakar1, Rozida Mohd Khalid2*</vt:lpstr>
      <vt:lpstr>1School of Biology and Biological Sciences, Faculty of Science and Technology</vt:lpstr>
      <vt:lpstr>2School of Chemical Sciences and Food Technology, Faculty of Science and Technol</vt:lpstr>
      <vt:lpstr>Universiti Kebangsaan Malaysia, 43600 UKM Bangi, Selangor, Malaysia</vt:lpstr>
      <vt:lpstr>*Corresponding author:  rozidakhalid@ukm.edu.my</vt:lpstr>
      <vt:lpstr>10-oxodehydrobotrydial (1) and 4β-Acetoxy-9β,10β,15α-trihydroxyprobotrydial (2) </vt:lpstr>
      <vt:lpstr/>
      <vt:lpstr>Keywords:  Hypoxylon rickii, botryane, terpene synthase </vt:lpstr>
      <vt:lpstr/>
      <vt:lpstr>Abstrak</vt:lpstr>
      <vt:lpstr>10-oksodehidrobotridial (1) dan 4β-Asetoksi-9β,10β,15α-trihidroksiprobotridial (</vt:lpstr>
      <vt:lpstr/>
      <vt:lpstr>Kata kunci:  Hypoxylon rickii, botrien, terpene sintes </vt:lpstr>
      <vt:lpstr/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2017-12-04T23:36:00Z</dcterms:created>
  <dcterms:modified xsi:type="dcterms:W3CDTF">2017-12-04T23:39:00Z</dcterms:modified>
</cp:coreProperties>
</file>