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322C77"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322C77"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332B23">
        <w:rPr>
          <w:rFonts w:ascii="Times New Roman" w:hAnsi="Times New Roman"/>
          <w:b/>
          <w:noProof/>
          <w:color w:val="FFFFFF"/>
          <w:sz w:val="32"/>
          <w:szCs w:val="32"/>
          <w:lang w:bidi="ar-SA"/>
        </w:rPr>
        <w:t>M</w:t>
      </w:r>
      <w:r w:rsidR="00084936" w:rsidRPr="00332B23">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332B23">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AC346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2678D" w:rsidRPr="00CA6762" w:rsidRDefault="00D2678D" w:rsidP="00D2678D">
      <w:pPr>
        <w:pStyle w:val="PaperTitle"/>
        <w:spacing w:line="240" w:lineRule="auto"/>
        <w:rPr>
          <w:rFonts w:asciiTheme="majorBidi" w:hAnsiTheme="majorBidi" w:cstheme="majorBidi"/>
          <w:b w:val="0"/>
          <w:color w:val="auto"/>
          <w:sz w:val="28"/>
          <w:szCs w:val="28"/>
          <w:lang w:val="en-GB"/>
        </w:rPr>
      </w:pPr>
      <w:bookmarkStart w:id="0" w:name="_Hlk492388434"/>
      <w:r>
        <w:rPr>
          <w:rFonts w:asciiTheme="majorBidi" w:hAnsiTheme="majorBidi" w:cstheme="majorBidi"/>
          <w:b w:val="0"/>
          <w:color w:val="auto"/>
          <w:sz w:val="28"/>
          <w:szCs w:val="28"/>
        </w:rPr>
        <w:t>POTENTIOMETRIC STUDY OF RHENIUM</w:t>
      </w:r>
      <w:r w:rsidRPr="00CA6762">
        <w:rPr>
          <w:rFonts w:asciiTheme="majorBidi" w:hAnsiTheme="majorBidi" w:cstheme="majorBidi"/>
          <w:b w:val="0"/>
          <w:color w:val="auto"/>
          <w:sz w:val="28"/>
          <w:szCs w:val="28"/>
        </w:rPr>
        <w:t>(V)</w:t>
      </w:r>
      <w:r w:rsidRPr="00CA6762">
        <w:rPr>
          <w:rFonts w:asciiTheme="majorBidi" w:hAnsiTheme="majorBidi" w:cstheme="majorBidi"/>
          <w:b w:val="0"/>
          <w:color w:val="auto"/>
          <w:sz w:val="28"/>
          <w:szCs w:val="28"/>
          <w:vertAlign w:val="superscript"/>
        </w:rPr>
        <w:t xml:space="preserve"> </w:t>
      </w:r>
      <w:r w:rsidRPr="00CA6762">
        <w:rPr>
          <w:rFonts w:asciiTheme="majorBidi" w:hAnsiTheme="majorBidi" w:cstheme="majorBidi"/>
          <w:b w:val="0"/>
          <w:color w:val="auto"/>
          <w:sz w:val="28"/>
          <w:szCs w:val="28"/>
        </w:rPr>
        <w:t>COMPLEX FORMATION WITH AZATHIOPRINE AND CEFTRIAXONE</w:t>
      </w:r>
      <w:bookmarkEnd w:id="0"/>
    </w:p>
    <w:p w:rsidR="00D2678D" w:rsidRPr="00CA6762" w:rsidRDefault="00D2678D" w:rsidP="00D2678D">
      <w:pPr>
        <w:pStyle w:val="PaperAuthor"/>
        <w:spacing w:line="240" w:lineRule="auto"/>
        <w:rPr>
          <w:color w:val="auto"/>
          <w:lang w:val="en-GB"/>
        </w:rPr>
      </w:pPr>
    </w:p>
    <w:p w:rsidR="00D2678D" w:rsidRPr="00D2678D" w:rsidRDefault="00D2678D" w:rsidP="00D2678D">
      <w:pPr>
        <w:pStyle w:val="Affiliation"/>
        <w:spacing w:line="240" w:lineRule="auto"/>
        <w:rPr>
          <w:rFonts w:cs="Times New Roman"/>
          <w:color w:val="auto"/>
          <w:szCs w:val="24"/>
        </w:rPr>
      </w:pPr>
      <w:r w:rsidRPr="00CA6762">
        <w:rPr>
          <w:rFonts w:cs="Times New Roman"/>
          <w:color w:val="auto"/>
          <w:szCs w:val="24"/>
          <w:lang w:val="en-GB"/>
        </w:rPr>
        <w:t>(</w:t>
      </w:r>
      <w:r w:rsidRPr="00CA6762">
        <w:rPr>
          <w:rFonts w:cs="Times New Roman"/>
          <w:color w:val="auto"/>
          <w:szCs w:val="24"/>
        </w:rPr>
        <w:t xml:space="preserve">Kajian </w:t>
      </w:r>
      <w:r>
        <w:rPr>
          <w:rFonts w:cs="Times New Roman"/>
          <w:color w:val="auto"/>
          <w:szCs w:val="24"/>
        </w:rPr>
        <w:t xml:space="preserve">Potentiometri Penghasilan </w:t>
      </w:r>
      <w:r w:rsidRPr="00CA6762">
        <w:rPr>
          <w:rFonts w:cs="Times New Roman"/>
          <w:color w:val="auto"/>
          <w:szCs w:val="24"/>
        </w:rPr>
        <w:t>Kompleks Rhen</w:t>
      </w:r>
      <w:r>
        <w:rPr>
          <w:rFonts w:cs="Times New Roman"/>
          <w:color w:val="auto"/>
          <w:szCs w:val="24"/>
        </w:rPr>
        <w:t>ium(V) dengan Azatioprina dan Ceftriaxon</w:t>
      </w:r>
      <w:r w:rsidRPr="00CA6762">
        <w:rPr>
          <w:rFonts w:cs="Times New Roman"/>
          <w:color w:val="auto"/>
          <w:szCs w:val="24"/>
          <w:lang w:val="en-GB"/>
        </w:rPr>
        <w:t>)</w:t>
      </w:r>
    </w:p>
    <w:p w:rsidR="00D2678D" w:rsidRPr="00CA6762" w:rsidRDefault="00D2678D" w:rsidP="00D2678D">
      <w:pPr>
        <w:pStyle w:val="PaperAuthor"/>
        <w:spacing w:line="240" w:lineRule="auto"/>
        <w:rPr>
          <w:color w:val="auto"/>
          <w:sz w:val="20"/>
          <w:szCs w:val="20"/>
          <w:lang w:val="en-GB"/>
        </w:rPr>
      </w:pPr>
    </w:p>
    <w:p w:rsidR="00D2678D" w:rsidRPr="00CA6762" w:rsidRDefault="00D2678D" w:rsidP="00D2678D">
      <w:pPr>
        <w:pStyle w:val="PaperAuthor"/>
        <w:spacing w:line="240" w:lineRule="auto"/>
        <w:rPr>
          <w:rFonts w:asciiTheme="majorBidi" w:hAnsiTheme="majorBidi" w:cstheme="majorBidi"/>
          <w:color w:val="auto"/>
          <w:sz w:val="20"/>
          <w:szCs w:val="20"/>
          <w:lang w:val="en-GB"/>
        </w:rPr>
      </w:pPr>
      <w:bookmarkStart w:id="1" w:name="_Hlk492388473"/>
      <w:r w:rsidRPr="00CA6762">
        <w:rPr>
          <w:rFonts w:asciiTheme="majorBidi" w:eastAsia="Arial" w:hAnsiTheme="majorBidi" w:cstheme="majorBidi"/>
          <w:color w:val="auto"/>
          <w:spacing w:val="1"/>
          <w:sz w:val="20"/>
          <w:szCs w:val="20"/>
        </w:rPr>
        <w:t>Gamal Abdelaziz Hussein Gouda</w:t>
      </w:r>
      <w:r w:rsidRPr="00CA6762">
        <w:rPr>
          <w:rFonts w:asciiTheme="majorBidi" w:eastAsia="Arial" w:hAnsiTheme="majorBidi" w:cstheme="majorBidi"/>
          <w:color w:val="auto"/>
          <w:spacing w:val="1"/>
          <w:sz w:val="20"/>
          <w:szCs w:val="20"/>
          <w:vertAlign w:val="superscript"/>
        </w:rPr>
        <w:t xml:space="preserve"> </w:t>
      </w:r>
      <w:r>
        <w:rPr>
          <w:rFonts w:asciiTheme="majorBidi" w:eastAsia="Arial" w:hAnsiTheme="majorBidi" w:cstheme="majorBidi"/>
          <w:color w:val="auto"/>
          <w:spacing w:val="1"/>
          <w:sz w:val="20"/>
          <w:szCs w:val="20"/>
          <w:vertAlign w:val="superscript"/>
        </w:rPr>
        <w:t>1</w:t>
      </w:r>
      <w:r w:rsidRPr="00D2678D">
        <w:rPr>
          <w:rFonts w:asciiTheme="majorBidi" w:eastAsia="Arial" w:hAnsiTheme="majorBidi" w:cstheme="majorBidi"/>
          <w:color w:val="auto"/>
          <w:spacing w:val="1"/>
          <w:sz w:val="20"/>
          <w:szCs w:val="20"/>
        </w:rPr>
        <w:t>*</w:t>
      </w:r>
      <w:r>
        <w:rPr>
          <w:rFonts w:asciiTheme="majorBidi" w:eastAsia="Arial" w:hAnsiTheme="majorBidi" w:cstheme="majorBidi"/>
          <w:color w:val="auto"/>
          <w:spacing w:val="1"/>
          <w:sz w:val="20"/>
          <w:szCs w:val="20"/>
        </w:rPr>
        <w:t xml:space="preserve">, </w:t>
      </w:r>
      <w:r w:rsidRPr="00CA6762">
        <w:rPr>
          <w:rFonts w:asciiTheme="majorBidi" w:eastAsia="Arial" w:hAnsiTheme="majorBidi" w:cstheme="majorBidi"/>
          <w:color w:val="auto"/>
          <w:spacing w:val="1"/>
          <w:sz w:val="20"/>
          <w:szCs w:val="20"/>
        </w:rPr>
        <w:t>Gomaa Abdelgawad Mohammed Ali</w:t>
      </w:r>
      <w:r w:rsidRPr="00CA6762">
        <w:rPr>
          <w:rFonts w:asciiTheme="majorBidi" w:eastAsia="Arial" w:hAnsiTheme="majorBidi" w:cstheme="majorBidi"/>
          <w:color w:val="auto"/>
          <w:spacing w:val="1"/>
          <w:sz w:val="20"/>
          <w:szCs w:val="20"/>
          <w:vertAlign w:val="superscript"/>
        </w:rPr>
        <w:t xml:space="preserve"> 1</w:t>
      </w:r>
      <w:bookmarkEnd w:id="1"/>
      <w:r w:rsidRPr="00CA6762">
        <w:rPr>
          <w:rFonts w:asciiTheme="majorBidi" w:eastAsia="Arial" w:hAnsiTheme="majorBidi" w:cstheme="majorBidi"/>
          <w:color w:val="auto"/>
          <w:spacing w:val="1"/>
          <w:sz w:val="20"/>
          <w:szCs w:val="20"/>
          <w:vertAlign w:val="superscript"/>
        </w:rPr>
        <w:t>,</w:t>
      </w:r>
      <w:r>
        <w:rPr>
          <w:rFonts w:asciiTheme="majorBidi" w:eastAsia="Arial" w:hAnsiTheme="majorBidi" w:cstheme="majorBidi"/>
          <w:color w:val="auto"/>
          <w:spacing w:val="1"/>
          <w:sz w:val="20"/>
          <w:szCs w:val="20"/>
          <w:vertAlign w:val="superscript"/>
        </w:rPr>
        <w:t xml:space="preserve"> </w:t>
      </w:r>
      <w:r w:rsidRPr="00CA6762">
        <w:rPr>
          <w:rFonts w:asciiTheme="majorBidi" w:eastAsia="Arial" w:hAnsiTheme="majorBidi" w:cstheme="majorBidi"/>
          <w:color w:val="auto"/>
          <w:spacing w:val="1"/>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D2678D" w:rsidRDefault="00D2678D" w:rsidP="00D2678D">
      <w:pPr>
        <w:pStyle w:val="Affiliation"/>
        <w:spacing w:line="240" w:lineRule="auto"/>
        <w:rPr>
          <w:rFonts w:asciiTheme="majorBidi" w:eastAsia="Times New Roman" w:hAnsiTheme="majorBidi" w:cstheme="majorBidi"/>
          <w:i/>
          <w:iCs/>
          <w:color w:val="auto"/>
          <w:sz w:val="18"/>
          <w:szCs w:val="18"/>
          <w:lang w:val="en-GB"/>
        </w:rPr>
      </w:pPr>
      <w:r w:rsidRPr="00CA6762">
        <w:rPr>
          <w:rFonts w:asciiTheme="majorBidi" w:hAnsiTheme="majorBidi" w:cstheme="majorBidi"/>
          <w:i/>
          <w:iCs/>
          <w:color w:val="auto"/>
          <w:sz w:val="18"/>
          <w:szCs w:val="18"/>
          <w:vertAlign w:val="superscript"/>
          <w:lang w:val="en-GB"/>
        </w:rPr>
        <w:t>1</w:t>
      </w:r>
      <w:r w:rsidRPr="00CA6762">
        <w:rPr>
          <w:rFonts w:asciiTheme="majorBidi" w:eastAsia="Times New Roman" w:hAnsiTheme="majorBidi" w:cstheme="majorBidi"/>
          <w:i/>
          <w:iCs/>
          <w:color w:val="auto"/>
          <w:sz w:val="18"/>
          <w:szCs w:val="18"/>
          <w:lang w:val="en-GB"/>
        </w:rPr>
        <w:t xml:space="preserve">Chemistry Department, Faculty of Science, </w:t>
      </w:r>
    </w:p>
    <w:p w:rsidR="00D2678D" w:rsidRPr="00CA6762" w:rsidRDefault="00D2678D" w:rsidP="00D2678D">
      <w:pPr>
        <w:pStyle w:val="Affiliation"/>
        <w:spacing w:line="240" w:lineRule="auto"/>
        <w:rPr>
          <w:rFonts w:asciiTheme="majorBidi" w:hAnsiTheme="majorBidi" w:cstheme="majorBidi"/>
          <w:i/>
          <w:iCs/>
          <w:color w:val="auto"/>
          <w:sz w:val="18"/>
          <w:szCs w:val="18"/>
          <w:lang w:val="en-GB"/>
        </w:rPr>
      </w:pPr>
      <w:r w:rsidRPr="00CA6762">
        <w:rPr>
          <w:rFonts w:asciiTheme="majorBidi" w:eastAsia="Times New Roman" w:hAnsiTheme="majorBidi" w:cstheme="majorBidi"/>
          <w:i/>
          <w:iCs/>
          <w:color w:val="auto"/>
          <w:sz w:val="18"/>
          <w:szCs w:val="18"/>
          <w:lang w:val="en-GB"/>
        </w:rPr>
        <w:t xml:space="preserve">Al-Azhar University, 71524 </w:t>
      </w:r>
      <w:r>
        <w:rPr>
          <w:rFonts w:asciiTheme="majorBidi" w:eastAsia="Times New Roman" w:hAnsiTheme="majorBidi" w:cstheme="majorBidi"/>
          <w:i/>
          <w:iCs/>
          <w:color w:val="auto"/>
          <w:sz w:val="18"/>
          <w:szCs w:val="18"/>
          <w:lang w:val="en-GB"/>
        </w:rPr>
        <w:t>Assiut</w:t>
      </w:r>
      <w:r w:rsidRPr="00CA6762">
        <w:rPr>
          <w:rFonts w:asciiTheme="majorBidi" w:eastAsia="Times New Roman" w:hAnsiTheme="majorBidi" w:cstheme="majorBidi"/>
          <w:i/>
          <w:iCs/>
          <w:color w:val="auto"/>
          <w:sz w:val="18"/>
          <w:szCs w:val="18"/>
          <w:lang w:val="en-GB"/>
        </w:rPr>
        <w:t>, Egypt</w:t>
      </w:r>
    </w:p>
    <w:p w:rsidR="00D2678D" w:rsidRDefault="00D2678D" w:rsidP="00D2678D">
      <w:pPr>
        <w:pStyle w:val="Affiliation"/>
        <w:spacing w:line="240" w:lineRule="auto"/>
        <w:rPr>
          <w:rFonts w:asciiTheme="majorBidi" w:eastAsia="Times New Roman" w:hAnsiTheme="majorBidi" w:cstheme="majorBidi"/>
          <w:i/>
          <w:iCs/>
          <w:color w:val="auto"/>
          <w:sz w:val="18"/>
          <w:szCs w:val="18"/>
          <w:lang w:val="en-GB"/>
        </w:rPr>
      </w:pPr>
      <w:r w:rsidRPr="00CA6762">
        <w:rPr>
          <w:rFonts w:asciiTheme="majorBidi" w:hAnsiTheme="majorBidi" w:cstheme="majorBidi"/>
          <w:i/>
          <w:iCs/>
          <w:color w:val="auto"/>
          <w:sz w:val="18"/>
          <w:szCs w:val="18"/>
          <w:vertAlign w:val="superscript"/>
          <w:lang w:val="en-GB"/>
        </w:rPr>
        <w:t>2</w:t>
      </w:r>
      <w:r w:rsidRPr="00CA6762">
        <w:rPr>
          <w:rFonts w:asciiTheme="majorBidi" w:eastAsia="Times New Roman" w:hAnsiTheme="majorBidi" w:cstheme="majorBidi"/>
          <w:i/>
          <w:iCs/>
          <w:color w:val="auto"/>
          <w:sz w:val="18"/>
          <w:szCs w:val="18"/>
          <w:lang w:val="en-GB"/>
        </w:rPr>
        <w:t xml:space="preserve">Faculty of Industrial Sciences &amp; Technology, </w:t>
      </w:r>
    </w:p>
    <w:p w:rsidR="00D2678D" w:rsidRPr="00CA6762" w:rsidRDefault="00D2678D" w:rsidP="00D2678D">
      <w:pPr>
        <w:pStyle w:val="Affiliation"/>
        <w:spacing w:line="240" w:lineRule="auto"/>
        <w:rPr>
          <w:rFonts w:asciiTheme="majorBidi" w:hAnsiTheme="majorBidi" w:cstheme="majorBidi"/>
          <w:i/>
          <w:iCs/>
          <w:color w:val="auto"/>
          <w:sz w:val="18"/>
          <w:szCs w:val="18"/>
          <w:lang w:val="fr-FR"/>
        </w:rPr>
      </w:pPr>
      <w:r w:rsidRPr="00CA6762">
        <w:rPr>
          <w:rFonts w:asciiTheme="majorBidi" w:eastAsia="Times New Roman" w:hAnsiTheme="majorBidi" w:cstheme="majorBidi"/>
          <w:i/>
          <w:iCs/>
          <w:color w:val="auto"/>
          <w:sz w:val="18"/>
          <w:szCs w:val="18"/>
          <w:lang w:val="fr-FR"/>
        </w:rPr>
        <w:t>Universiti Malaysia Pahang, Gambang, 26300 Kuantan, Malaysia</w:t>
      </w:r>
    </w:p>
    <w:p w:rsidR="006768E9" w:rsidRPr="00F447A7" w:rsidRDefault="006768E9" w:rsidP="00D2678D">
      <w:pPr>
        <w:spacing w:after="0" w:line="240" w:lineRule="auto"/>
        <w:jc w:val="center"/>
        <w:rPr>
          <w:rFonts w:ascii="Times New Roman" w:hAnsi="Times New Roman"/>
          <w:noProof/>
          <w:sz w:val="18"/>
          <w:szCs w:val="18"/>
          <w:lang w:bidi="ar-SA"/>
        </w:rPr>
      </w:pPr>
    </w:p>
    <w:p w:rsidR="006768E9" w:rsidRPr="00D2678D" w:rsidRDefault="006768E9" w:rsidP="00D2678D">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2678D">
        <w:rPr>
          <w:rFonts w:ascii="Times New Roman" w:hAnsi="Times New Roman"/>
          <w:i/>
          <w:noProof/>
          <w:sz w:val="18"/>
          <w:szCs w:val="18"/>
          <w:lang w:bidi="ar-SA"/>
        </w:rPr>
        <w:t xml:space="preserve"> </w:t>
      </w:r>
      <w:r w:rsidR="00D2678D" w:rsidRPr="00D2678D">
        <w:rPr>
          <w:rFonts w:asciiTheme="majorBidi" w:hAnsiTheme="majorBidi" w:cstheme="majorBidi"/>
          <w:i/>
          <w:sz w:val="18"/>
          <w:szCs w:val="18"/>
        </w:rPr>
        <w:t>ggouda73@mail.ru</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47035">
        <w:rPr>
          <w:rFonts w:ascii="Times New Roman" w:hAnsi="Times New Roman"/>
          <w:noProof/>
          <w:sz w:val="18"/>
          <w:szCs w:val="18"/>
          <w:lang w:bidi="ar-SA"/>
        </w:rPr>
        <w:t>3 March 2017</w:t>
      </w:r>
      <w:r>
        <w:rPr>
          <w:rFonts w:ascii="Times New Roman" w:hAnsi="Times New Roman"/>
          <w:noProof/>
          <w:sz w:val="18"/>
          <w:szCs w:val="18"/>
          <w:lang w:bidi="ar-SA"/>
        </w:rPr>
        <w:t xml:space="preserve">; Accepted: </w:t>
      </w:r>
      <w:r w:rsidR="00547035">
        <w:rPr>
          <w:rFonts w:ascii="Times New Roman" w:hAnsi="Times New Roman"/>
          <w:noProof/>
          <w:sz w:val="18"/>
          <w:szCs w:val="18"/>
          <w:lang w:bidi="ar-SA"/>
        </w:rPr>
        <w:t>17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2678D" w:rsidRPr="00CA6762" w:rsidRDefault="00D2678D" w:rsidP="00D2678D">
      <w:pPr>
        <w:pStyle w:val="Abstract"/>
        <w:spacing w:line="240" w:lineRule="auto"/>
        <w:rPr>
          <w:rFonts w:asciiTheme="majorBidi" w:hAnsiTheme="majorBidi" w:cstheme="majorBidi"/>
          <w:color w:val="auto"/>
          <w:sz w:val="18"/>
          <w:szCs w:val="18"/>
          <w:lang w:val="en-GB"/>
        </w:rPr>
      </w:pPr>
      <w:r w:rsidRPr="00CA6762">
        <w:rPr>
          <w:rFonts w:asciiTheme="majorBidi" w:hAnsiTheme="majorBidi" w:cstheme="majorBidi"/>
          <w:color w:val="auto"/>
          <w:sz w:val="18"/>
          <w:szCs w:val="18"/>
        </w:rPr>
        <w:t>The behavior of complex formation of Re(V) metal ion with azathioprine (AZ) and ceftriaxone (CE) as medicinal drugs has been investigated potentiometrically in 0.3 M hydrochloric acid. The stability constant of the prepared complexes has been determined and calculated at various temperatures. The obtained results showed that Re(V)-</w:t>
      </w:r>
      <w:r w:rsidRPr="00CA6762">
        <w:rPr>
          <w:rStyle w:val="maintitle"/>
          <w:rFonts w:asciiTheme="majorBidi" w:hAnsiTheme="majorBidi" w:cstheme="majorBidi"/>
          <w:color w:val="auto"/>
          <w:sz w:val="18"/>
          <w:szCs w:val="18"/>
        </w:rPr>
        <w:t xml:space="preserve">AZ system showed the formation 1:2, 1:3 and 1:4 complexes, while </w:t>
      </w:r>
      <w:r w:rsidRPr="00CA6762">
        <w:rPr>
          <w:rFonts w:asciiTheme="majorBidi" w:hAnsiTheme="majorBidi" w:cstheme="majorBidi"/>
          <w:color w:val="auto"/>
          <w:sz w:val="18"/>
          <w:szCs w:val="18"/>
        </w:rPr>
        <w:t>Re(V)-CE showed only 1:1 and 1:2</w:t>
      </w:r>
      <w:r w:rsidRPr="00CA6762">
        <w:rPr>
          <w:rStyle w:val="maintitle"/>
          <w:rFonts w:asciiTheme="majorBidi" w:hAnsiTheme="majorBidi" w:cstheme="majorBidi"/>
          <w:color w:val="auto"/>
          <w:sz w:val="18"/>
          <w:szCs w:val="18"/>
        </w:rPr>
        <w:t xml:space="preserve"> complexes</w:t>
      </w:r>
      <w:r w:rsidRPr="00CA6762">
        <w:rPr>
          <w:rFonts w:asciiTheme="majorBidi" w:hAnsiTheme="majorBidi" w:cstheme="majorBidi"/>
          <w:color w:val="auto"/>
          <w:sz w:val="18"/>
          <w:szCs w:val="18"/>
        </w:rPr>
        <w:t xml:space="preserve">. </w:t>
      </w:r>
      <w:r w:rsidRPr="00CA6762">
        <w:rPr>
          <w:rStyle w:val="maintitle"/>
          <w:rFonts w:asciiTheme="majorBidi" w:hAnsiTheme="majorBidi" w:cstheme="majorBidi"/>
          <w:color w:val="auto"/>
          <w:sz w:val="18"/>
          <w:szCs w:val="18"/>
        </w:rPr>
        <w:t>The complex formation suggests a successive displacement of the chloride molecules from the coordination sphere of the central ion by the AZ ligand.</w:t>
      </w:r>
      <w:r w:rsidRPr="00CA6762">
        <w:rPr>
          <w:rFonts w:asciiTheme="majorBidi" w:hAnsiTheme="majorBidi" w:cstheme="majorBidi"/>
          <w:color w:val="auto"/>
          <w:sz w:val="18"/>
          <w:szCs w:val="18"/>
        </w:rPr>
        <w:t xml:space="preserve"> In addition, the effect of temperature on the complexes formation of Re(V) with AZ and CE was investigated. The entropy and enthalpy changes showed a favorable and exothermic process, respectively. The kinetic parameters of the formation complex process were calculated and discussed.</w:t>
      </w:r>
      <w:r w:rsidRPr="00CA6762">
        <w:rPr>
          <w:rFonts w:asciiTheme="majorBidi" w:hAnsiTheme="majorBidi" w:cstheme="majorBidi"/>
          <w:color w:val="auto"/>
          <w:sz w:val="18"/>
          <w:szCs w:val="18"/>
          <w:lang w:val="en-GB"/>
        </w:rPr>
        <w:t xml:space="preserve"> </w:t>
      </w:r>
    </w:p>
    <w:p w:rsidR="00D2678D" w:rsidRPr="00CA6762" w:rsidRDefault="00D2678D" w:rsidP="00D2678D">
      <w:pPr>
        <w:pStyle w:val="Abstract"/>
        <w:spacing w:line="240" w:lineRule="auto"/>
        <w:rPr>
          <w:rFonts w:asciiTheme="majorBidi" w:hAnsiTheme="majorBidi" w:cstheme="majorBidi"/>
          <w:color w:val="auto"/>
          <w:sz w:val="18"/>
          <w:szCs w:val="18"/>
          <w:lang w:val="en-GB"/>
        </w:rPr>
      </w:pPr>
    </w:p>
    <w:p w:rsidR="00D2678D" w:rsidRPr="00CA6762" w:rsidRDefault="00D2678D" w:rsidP="00D2678D">
      <w:pPr>
        <w:pStyle w:val="Keyword"/>
        <w:spacing w:line="240" w:lineRule="auto"/>
        <w:ind w:left="1350" w:hanging="1350"/>
        <w:rPr>
          <w:rFonts w:asciiTheme="majorBidi" w:hAnsiTheme="majorBidi" w:cstheme="majorBidi"/>
          <w:color w:val="auto"/>
          <w:sz w:val="18"/>
          <w:szCs w:val="18"/>
          <w:lang w:val="en-GB"/>
        </w:rPr>
      </w:pPr>
      <w:r>
        <w:rPr>
          <w:rFonts w:asciiTheme="majorBidi" w:hAnsiTheme="majorBidi" w:cstheme="majorBidi"/>
          <w:b/>
          <w:color w:val="auto"/>
          <w:sz w:val="18"/>
          <w:szCs w:val="18"/>
          <w:lang w:val="en-GB"/>
        </w:rPr>
        <w:t>Key</w:t>
      </w:r>
      <w:r w:rsidRPr="00CA6762">
        <w:rPr>
          <w:rFonts w:asciiTheme="majorBidi" w:hAnsiTheme="majorBidi" w:cstheme="majorBidi"/>
          <w:b/>
          <w:color w:val="auto"/>
          <w:sz w:val="18"/>
          <w:szCs w:val="18"/>
          <w:lang w:val="en-GB"/>
        </w:rPr>
        <w:t>words:</w:t>
      </w:r>
      <w:r w:rsidRPr="00CA6762">
        <w:rPr>
          <w:rFonts w:asciiTheme="majorBidi" w:hAnsiTheme="majorBidi" w:cstheme="majorBidi"/>
          <w:color w:val="auto"/>
          <w:sz w:val="18"/>
          <w:szCs w:val="18"/>
          <w:lang w:val="en-GB"/>
        </w:rPr>
        <w:t xml:space="preserve"> </w:t>
      </w:r>
      <w:r>
        <w:rPr>
          <w:rFonts w:asciiTheme="majorBidi" w:hAnsiTheme="majorBidi" w:cstheme="majorBidi"/>
          <w:color w:val="auto"/>
          <w:sz w:val="18"/>
          <w:szCs w:val="18"/>
          <w:lang w:val="en-GB"/>
        </w:rPr>
        <w:t xml:space="preserve"> </w:t>
      </w:r>
      <w:r>
        <w:rPr>
          <w:rFonts w:asciiTheme="majorBidi" w:hAnsiTheme="majorBidi" w:cstheme="majorBidi"/>
          <w:color w:val="auto"/>
          <w:sz w:val="18"/>
          <w:szCs w:val="18"/>
        </w:rPr>
        <w:t>rhenium</w:t>
      </w:r>
      <w:r w:rsidRPr="00CA6762">
        <w:rPr>
          <w:rFonts w:asciiTheme="majorBidi" w:hAnsiTheme="majorBidi" w:cstheme="majorBidi"/>
          <w:color w:val="auto"/>
          <w:sz w:val="18"/>
          <w:szCs w:val="18"/>
        </w:rPr>
        <w:t>(V), drugs, potentiometry, complex formation, stability constant</w:t>
      </w:r>
    </w:p>
    <w:p w:rsidR="00D2678D" w:rsidRPr="00CA6762" w:rsidRDefault="00D2678D" w:rsidP="00D2678D">
      <w:pPr>
        <w:pStyle w:val="Keyword"/>
        <w:spacing w:line="240" w:lineRule="auto"/>
        <w:ind w:left="1350" w:hanging="1350"/>
        <w:jc w:val="center"/>
        <w:rPr>
          <w:rFonts w:asciiTheme="majorBidi" w:hAnsiTheme="majorBidi" w:cstheme="majorBidi"/>
          <w:color w:val="auto"/>
          <w:sz w:val="18"/>
          <w:szCs w:val="18"/>
          <w:lang w:val="en-GB"/>
        </w:rPr>
      </w:pPr>
    </w:p>
    <w:p w:rsidR="00D2678D" w:rsidRPr="00CA6762" w:rsidRDefault="00D2678D" w:rsidP="00D2678D">
      <w:pPr>
        <w:pStyle w:val="Keyword"/>
        <w:spacing w:line="240" w:lineRule="auto"/>
        <w:ind w:left="1350" w:hanging="1350"/>
        <w:jc w:val="center"/>
        <w:rPr>
          <w:rFonts w:asciiTheme="majorBidi" w:hAnsiTheme="majorBidi" w:cstheme="majorBidi"/>
          <w:b/>
          <w:noProof/>
          <w:color w:val="auto"/>
          <w:sz w:val="18"/>
          <w:szCs w:val="18"/>
          <w:lang w:val="ms-MY"/>
        </w:rPr>
      </w:pPr>
      <w:r w:rsidRPr="00CA6762">
        <w:rPr>
          <w:rFonts w:asciiTheme="majorBidi" w:hAnsiTheme="majorBidi" w:cstheme="majorBidi"/>
          <w:b/>
          <w:noProof/>
          <w:color w:val="auto"/>
          <w:sz w:val="18"/>
          <w:szCs w:val="18"/>
          <w:lang w:val="ms-MY"/>
        </w:rPr>
        <w:t>Abstrak</w:t>
      </w:r>
    </w:p>
    <w:p w:rsidR="00D2678D" w:rsidRPr="00CA6762" w:rsidRDefault="00D2678D" w:rsidP="00D2678D">
      <w:pPr>
        <w:pStyle w:val="Keyword"/>
        <w:spacing w:line="240" w:lineRule="auto"/>
        <w:rPr>
          <w:rFonts w:asciiTheme="majorBidi" w:hAnsiTheme="majorBidi" w:cstheme="majorBidi"/>
          <w:noProof/>
          <w:color w:val="auto"/>
          <w:sz w:val="18"/>
          <w:szCs w:val="18"/>
          <w:lang w:val="ms-MY"/>
        </w:rPr>
      </w:pPr>
      <w:r w:rsidRPr="00CA6762">
        <w:rPr>
          <w:rFonts w:asciiTheme="majorBidi" w:hAnsiTheme="majorBidi" w:cstheme="majorBidi"/>
          <w:noProof/>
          <w:color w:val="auto"/>
          <w:sz w:val="18"/>
          <w:szCs w:val="18"/>
          <w:lang w:val="ms-MY"/>
        </w:rPr>
        <w:t xml:space="preserve">Tingkah laku </w:t>
      </w:r>
      <w:r>
        <w:rPr>
          <w:rFonts w:asciiTheme="majorBidi" w:hAnsiTheme="majorBidi" w:cstheme="majorBidi"/>
          <w:noProof/>
          <w:color w:val="auto"/>
          <w:sz w:val="18"/>
          <w:szCs w:val="18"/>
          <w:lang w:val="ms-MY"/>
        </w:rPr>
        <w:t xml:space="preserve">penghasilan </w:t>
      </w:r>
      <w:r w:rsidRPr="00CA6762">
        <w:rPr>
          <w:rFonts w:asciiTheme="majorBidi" w:hAnsiTheme="majorBidi" w:cstheme="majorBidi"/>
          <w:noProof/>
          <w:color w:val="auto"/>
          <w:sz w:val="18"/>
          <w:szCs w:val="18"/>
          <w:lang w:val="ms-MY"/>
        </w:rPr>
        <w:t>kompleks ion</w:t>
      </w:r>
      <w:r>
        <w:rPr>
          <w:rFonts w:asciiTheme="majorBidi" w:hAnsiTheme="majorBidi" w:cstheme="majorBidi"/>
          <w:noProof/>
          <w:color w:val="auto"/>
          <w:sz w:val="18"/>
          <w:szCs w:val="18"/>
          <w:lang w:val="ms-MY"/>
        </w:rPr>
        <w:t xml:space="preserve"> logam Re(V) dengan azatioprina (AZ) dan ceftriaxon (CE) sebagai ubat – </w:t>
      </w:r>
      <w:r w:rsidRPr="00CA6762">
        <w:rPr>
          <w:rFonts w:asciiTheme="majorBidi" w:hAnsiTheme="majorBidi" w:cstheme="majorBidi"/>
          <w:noProof/>
          <w:color w:val="auto"/>
          <w:sz w:val="18"/>
          <w:szCs w:val="18"/>
          <w:lang w:val="ms-MY"/>
        </w:rPr>
        <w:t>ubatan te</w:t>
      </w:r>
      <w:r>
        <w:rPr>
          <w:rFonts w:asciiTheme="majorBidi" w:hAnsiTheme="majorBidi" w:cstheme="majorBidi"/>
          <w:noProof/>
          <w:color w:val="auto"/>
          <w:sz w:val="18"/>
          <w:szCs w:val="18"/>
          <w:lang w:val="ms-MY"/>
        </w:rPr>
        <w:t>lah dikaji secara potentiometri</w:t>
      </w:r>
      <w:r w:rsidRPr="00CA6762">
        <w:rPr>
          <w:rFonts w:asciiTheme="majorBidi" w:hAnsiTheme="majorBidi" w:cstheme="majorBidi"/>
          <w:noProof/>
          <w:color w:val="auto"/>
          <w:sz w:val="18"/>
          <w:szCs w:val="18"/>
          <w:lang w:val="ms-MY"/>
        </w:rPr>
        <w:t xml:space="preserve"> dalam 0.3 M asid hidroklorik. Pemalar kestabilan terhadap kompleks yang dihasilkan telah ditentukan dan dikira pada pelbagai tahap suhu. Hasil yang diperoleh menunjukkan bahawa sistem </w:t>
      </w:r>
      <w:r>
        <w:rPr>
          <w:rFonts w:asciiTheme="majorBidi" w:hAnsiTheme="majorBidi" w:cstheme="majorBidi"/>
          <w:noProof/>
          <w:color w:val="auto"/>
          <w:sz w:val="18"/>
          <w:szCs w:val="18"/>
          <w:lang w:val="ms-MY"/>
        </w:rPr>
        <w:t>Re(V)-AZ mempamerkan penghasilan</w:t>
      </w:r>
      <w:r w:rsidRPr="00CA6762">
        <w:rPr>
          <w:rFonts w:asciiTheme="majorBidi" w:hAnsiTheme="majorBidi" w:cstheme="majorBidi"/>
          <w:noProof/>
          <w:color w:val="auto"/>
          <w:sz w:val="18"/>
          <w:szCs w:val="18"/>
          <w:lang w:val="ms-MY"/>
        </w:rPr>
        <w:t xml:space="preserve"> </w:t>
      </w:r>
      <w:r>
        <w:rPr>
          <w:rFonts w:asciiTheme="majorBidi" w:hAnsiTheme="majorBidi" w:cstheme="majorBidi"/>
          <w:noProof/>
          <w:color w:val="auto"/>
          <w:sz w:val="18"/>
          <w:szCs w:val="18"/>
          <w:lang w:val="ms-MY"/>
        </w:rPr>
        <w:t>kompleks 1:2, 1:3 dan 1:4</w:t>
      </w:r>
      <w:r w:rsidRPr="00CA6762">
        <w:rPr>
          <w:rFonts w:asciiTheme="majorBidi" w:hAnsiTheme="majorBidi" w:cstheme="majorBidi"/>
          <w:noProof/>
          <w:color w:val="auto"/>
          <w:sz w:val="18"/>
          <w:szCs w:val="18"/>
          <w:lang w:val="ms-MY"/>
        </w:rPr>
        <w:t xml:space="preserve">, sementara Re(V)-CE mempamerkan hanya </w:t>
      </w:r>
      <w:r>
        <w:rPr>
          <w:rFonts w:asciiTheme="majorBidi" w:hAnsiTheme="majorBidi" w:cstheme="majorBidi"/>
          <w:noProof/>
          <w:color w:val="auto"/>
          <w:sz w:val="18"/>
          <w:szCs w:val="18"/>
          <w:lang w:val="ms-MY"/>
        </w:rPr>
        <w:t>kompleks 1:1 dan 1:2. Penghasilan</w:t>
      </w:r>
      <w:r w:rsidRPr="00CA6762">
        <w:rPr>
          <w:rFonts w:asciiTheme="majorBidi" w:hAnsiTheme="majorBidi" w:cstheme="majorBidi"/>
          <w:noProof/>
          <w:color w:val="auto"/>
          <w:sz w:val="18"/>
          <w:szCs w:val="18"/>
          <w:lang w:val="ms-MY"/>
        </w:rPr>
        <w:t xml:space="preserve"> kompleks mencadangkan satu anjakan molekul klorida berturut-turut dari lingkungan koordinasi ion tengah oleh ligan AZ. Di samping itu, kesan suhu pada pembentukan kompl</w:t>
      </w:r>
      <w:r>
        <w:rPr>
          <w:rFonts w:asciiTheme="majorBidi" w:hAnsiTheme="majorBidi" w:cstheme="majorBidi"/>
          <w:noProof/>
          <w:color w:val="auto"/>
          <w:sz w:val="18"/>
          <w:szCs w:val="18"/>
          <w:lang w:val="ms-MY"/>
        </w:rPr>
        <w:t xml:space="preserve">eks Re(V) dengan AZ dan CE telah </w:t>
      </w:r>
      <w:r w:rsidRPr="00CA6762">
        <w:rPr>
          <w:rFonts w:asciiTheme="majorBidi" w:hAnsiTheme="majorBidi" w:cstheme="majorBidi"/>
          <w:noProof/>
          <w:color w:val="auto"/>
          <w:sz w:val="18"/>
          <w:szCs w:val="18"/>
          <w:lang w:val="ms-MY"/>
        </w:rPr>
        <w:t xml:space="preserve">dikaji. Perubahan entropi dan entalpi menunjukkan proses yang baik dan eksotermik. Parameter kinetik proses </w:t>
      </w:r>
      <w:r>
        <w:rPr>
          <w:rFonts w:asciiTheme="majorBidi" w:hAnsiTheme="majorBidi" w:cstheme="majorBidi"/>
          <w:noProof/>
          <w:color w:val="auto"/>
          <w:sz w:val="18"/>
          <w:szCs w:val="18"/>
          <w:lang w:val="ms-MY"/>
        </w:rPr>
        <w:t xml:space="preserve">penghasilan </w:t>
      </w:r>
      <w:r w:rsidRPr="00CA6762">
        <w:rPr>
          <w:rFonts w:asciiTheme="majorBidi" w:hAnsiTheme="majorBidi" w:cstheme="majorBidi"/>
          <w:noProof/>
          <w:color w:val="auto"/>
          <w:sz w:val="18"/>
          <w:szCs w:val="18"/>
          <w:lang w:val="ms-MY"/>
        </w:rPr>
        <w:t>komplek</w:t>
      </w:r>
      <w:r>
        <w:rPr>
          <w:rFonts w:asciiTheme="majorBidi" w:hAnsiTheme="majorBidi" w:cstheme="majorBidi"/>
          <w:noProof/>
          <w:color w:val="auto"/>
          <w:sz w:val="18"/>
          <w:szCs w:val="18"/>
          <w:lang w:val="ms-MY"/>
        </w:rPr>
        <w:t>s</w:t>
      </w:r>
      <w:r w:rsidRPr="00CA6762">
        <w:rPr>
          <w:rFonts w:asciiTheme="majorBidi" w:hAnsiTheme="majorBidi" w:cstheme="majorBidi"/>
          <w:noProof/>
          <w:color w:val="auto"/>
          <w:sz w:val="18"/>
          <w:szCs w:val="18"/>
          <w:lang w:val="ms-MY"/>
        </w:rPr>
        <w:t xml:space="preserve"> turut dikira dan dibincangkan.</w:t>
      </w:r>
    </w:p>
    <w:p w:rsidR="00D2678D" w:rsidRPr="00CA6762" w:rsidRDefault="00D2678D" w:rsidP="00D2678D">
      <w:pPr>
        <w:pStyle w:val="Keyword"/>
        <w:spacing w:line="240" w:lineRule="auto"/>
        <w:rPr>
          <w:rFonts w:asciiTheme="majorBidi" w:hAnsiTheme="majorBidi" w:cstheme="majorBidi"/>
          <w:noProof/>
          <w:color w:val="auto"/>
          <w:sz w:val="18"/>
          <w:szCs w:val="18"/>
          <w:rtl/>
          <w:lang w:val="ms-MY" w:bidi="ar-EG"/>
        </w:rPr>
      </w:pPr>
    </w:p>
    <w:p w:rsidR="00D2678D" w:rsidRPr="00CA6762" w:rsidRDefault="00D2678D" w:rsidP="00D2678D">
      <w:pPr>
        <w:pStyle w:val="Keyword"/>
        <w:spacing w:line="240" w:lineRule="auto"/>
        <w:ind w:left="1350" w:hanging="1350"/>
        <w:rPr>
          <w:rFonts w:asciiTheme="majorBidi" w:hAnsiTheme="majorBidi" w:cstheme="majorBidi"/>
          <w:noProof/>
          <w:color w:val="auto"/>
          <w:sz w:val="18"/>
          <w:szCs w:val="18"/>
          <w:lang w:val="ms-MY"/>
        </w:rPr>
      </w:pPr>
      <w:r w:rsidRPr="00CA6762">
        <w:rPr>
          <w:rFonts w:asciiTheme="majorBidi" w:hAnsiTheme="majorBidi" w:cstheme="majorBidi"/>
          <w:b/>
          <w:noProof/>
          <w:color w:val="auto"/>
          <w:sz w:val="18"/>
          <w:szCs w:val="18"/>
          <w:lang w:val="ms-MY"/>
        </w:rPr>
        <w:t>Kata kunci:</w:t>
      </w:r>
      <w:r w:rsidRPr="00CA6762">
        <w:rPr>
          <w:rFonts w:asciiTheme="majorBidi" w:hAnsiTheme="majorBidi" w:cstheme="majorBidi"/>
          <w:noProof/>
          <w:color w:val="auto"/>
          <w:sz w:val="18"/>
          <w:szCs w:val="18"/>
          <w:lang w:val="ms-MY"/>
        </w:rPr>
        <w:t xml:space="preserve"> </w:t>
      </w:r>
      <w:r>
        <w:rPr>
          <w:rFonts w:asciiTheme="majorBidi" w:hAnsiTheme="majorBidi" w:cstheme="majorBidi"/>
          <w:noProof/>
          <w:color w:val="auto"/>
          <w:sz w:val="18"/>
          <w:szCs w:val="18"/>
          <w:lang w:val="ms-MY"/>
        </w:rPr>
        <w:t xml:space="preserve"> rhenium</w:t>
      </w:r>
      <w:r w:rsidRPr="00CA6762">
        <w:rPr>
          <w:rFonts w:asciiTheme="majorBidi" w:hAnsiTheme="majorBidi" w:cstheme="majorBidi"/>
          <w:noProof/>
          <w:color w:val="auto"/>
          <w:sz w:val="18"/>
          <w:szCs w:val="18"/>
          <w:lang w:val="ms-MY"/>
        </w:rPr>
        <w:t xml:space="preserve">(V), </w:t>
      </w:r>
      <w:r>
        <w:rPr>
          <w:rFonts w:asciiTheme="majorBidi" w:hAnsiTheme="majorBidi" w:cstheme="majorBidi"/>
          <w:noProof/>
          <w:color w:val="auto"/>
          <w:sz w:val="18"/>
          <w:szCs w:val="18"/>
          <w:lang w:val="ms-MY"/>
        </w:rPr>
        <w:t>ubat, potentiometri, penghasilan</w:t>
      </w:r>
      <w:r w:rsidRPr="00CA6762">
        <w:rPr>
          <w:rFonts w:asciiTheme="majorBidi" w:hAnsiTheme="majorBidi" w:cstheme="majorBidi"/>
          <w:noProof/>
          <w:color w:val="auto"/>
          <w:sz w:val="18"/>
          <w:szCs w:val="18"/>
          <w:lang w:val="ms-MY"/>
        </w:rPr>
        <w:t xml:space="preserve"> kompleks, pemalar kestabilan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2678D" w:rsidRPr="00D2678D" w:rsidRDefault="00D2678D" w:rsidP="00D2678D">
      <w:pPr>
        <w:spacing w:after="0" w:line="240" w:lineRule="auto"/>
        <w:jc w:val="both"/>
        <w:rPr>
          <w:rStyle w:val="maintitle"/>
          <w:rFonts w:ascii="Times New Roman" w:hAnsi="Times New Roman"/>
          <w:sz w:val="20"/>
          <w:szCs w:val="20"/>
        </w:rPr>
      </w:pPr>
      <w:r w:rsidRPr="00D2678D">
        <w:rPr>
          <w:rFonts w:ascii="Times New Roman" w:hAnsi="Times New Roman"/>
          <w:sz w:val="20"/>
          <w:szCs w:val="20"/>
        </w:rPr>
        <w:t xml:space="preserve">The stability of complexes with medicinal drugs plays a major role in their biological and chemical activities. This is due to that, the medicinal drugs have various functional groups, which can bind to metal ions present in the human body [1, 2]. The azathioprine (AZ) is an immunosuppressive drug used in organ transplantation and autoimmune diseases [3 – 5] while the </w:t>
      </w:r>
      <w:r w:rsidRPr="00D2678D">
        <w:rPr>
          <w:rStyle w:val="maintitle"/>
          <w:rFonts w:ascii="Times New Roman" w:hAnsi="Times New Roman"/>
          <w:sz w:val="20"/>
          <w:szCs w:val="20"/>
        </w:rPr>
        <w:t>ceftriaxone (CE) is effective against a wide variety of Gram-positive and Gram-negative bacteria</w:t>
      </w:r>
      <w:r w:rsidRPr="00D2678D">
        <w:rPr>
          <w:rFonts w:ascii="Times New Roman" w:hAnsi="Times New Roman"/>
          <w:sz w:val="20"/>
          <w:szCs w:val="20"/>
          <w:vertAlign w:val="superscript"/>
        </w:rPr>
        <w:t xml:space="preserve"> </w:t>
      </w:r>
      <w:r w:rsidRPr="00D2678D">
        <w:rPr>
          <w:rFonts w:ascii="Times New Roman" w:hAnsi="Times New Roman"/>
          <w:sz w:val="20"/>
          <w:szCs w:val="20"/>
        </w:rPr>
        <w:t>[6 – 9]. Very few works investigated the stability constant and thermodynamic parameters (∆G, ∆H and ∆S) of Re</w:t>
      </w:r>
      <w:r w:rsidRPr="00D2678D">
        <w:rPr>
          <w:rStyle w:val="publication-meta-journal"/>
          <w:rFonts w:ascii="Times New Roman" w:hAnsi="Times New Roman"/>
          <w:sz w:val="20"/>
          <w:szCs w:val="20"/>
        </w:rPr>
        <w:t>-</w:t>
      </w:r>
      <w:r w:rsidRPr="00D2678D">
        <w:rPr>
          <w:rFonts w:ascii="Times New Roman" w:hAnsi="Times New Roman"/>
          <w:sz w:val="20"/>
          <w:szCs w:val="20"/>
        </w:rPr>
        <w:t>Az and Re</w:t>
      </w:r>
      <w:r w:rsidRPr="00D2678D">
        <w:rPr>
          <w:rStyle w:val="publication-meta-journal"/>
          <w:rFonts w:ascii="Times New Roman" w:hAnsi="Times New Roman"/>
          <w:sz w:val="20"/>
          <w:szCs w:val="20"/>
        </w:rPr>
        <w:t>-</w:t>
      </w:r>
      <w:r w:rsidRPr="00D2678D">
        <w:rPr>
          <w:rFonts w:ascii="Times New Roman" w:hAnsi="Times New Roman"/>
          <w:sz w:val="20"/>
          <w:szCs w:val="20"/>
        </w:rPr>
        <w:t xml:space="preserve">CE complexes at different temperatures. The complex formation behavior of AZ with various metal ions has been studied by the potentiometric titration method [10]. AZ is found to form 2:1 </w:t>
      </w:r>
      <w:r w:rsidRPr="00D2678D">
        <w:rPr>
          <w:rFonts w:ascii="Times New Roman" w:hAnsi="Times New Roman"/>
          <w:sz w:val="20"/>
          <w:szCs w:val="20"/>
        </w:rPr>
        <w:lastRenderedPageBreak/>
        <w:t xml:space="preserve">complexes with Co(II), Cu(II) and Ni(II), in the stability order of Cu(II) &gt; Ni(II) &gt; Co(II). The effect of various divalent cations on the encapsulation efficiency of gellan gum and to probe the underlying mechanisms responsible for drug loading efficiency. Spherical beads containing AZ were prepared from deacetylated gellan gum by ionotropic gelation method [11]. The anti-rheumatic studies on AZ have also involved its Cu(II) complexes as the possible active form and the stoichiometry and the stability constants of AZ metal complexes, even with that of Cu(II), have been determined [12]. </w:t>
      </w:r>
    </w:p>
    <w:p w:rsidR="00D2678D" w:rsidRPr="00D2678D" w:rsidRDefault="00D2678D" w:rsidP="00D2678D">
      <w:pPr>
        <w:spacing w:after="0" w:line="240" w:lineRule="auto"/>
        <w:jc w:val="both"/>
        <w:rPr>
          <w:rStyle w:val="maintitle"/>
          <w:rFonts w:ascii="Times New Roman" w:hAnsi="Times New Roman"/>
          <w:sz w:val="20"/>
          <w:szCs w:val="20"/>
        </w:rPr>
      </w:pPr>
    </w:p>
    <w:p w:rsidR="00D2678D" w:rsidRPr="00D2678D" w:rsidRDefault="00D2678D" w:rsidP="00D2678D">
      <w:pPr>
        <w:spacing w:after="0" w:line="240" w:lineRule="auto"/>
        <w:jc w:val="both"/>
        <w:rPr>
          <w:rFonts w:ascii="Times New Roman" w:hAnsi="Times New Roman"/>
          <w:sz w:val="20"/>
          <w:szCs w:val="20"/>
        </w:rPr>
      </w:pPr>
      <w:r w:rsidRPr="00D2678D">
        <w:rPr>
          <w:rStyle w:val="maintitle"/>
          <w:rFonts w:ascii="Times New Roman" w:hAnsi="Times New Roman"/>
          <w:sz w:val="20"/>
          <w:szCs w:val="20"/>
        </w:rPr>
        <w:t>CE</w:t>
      </w:r>
      <w:r w:rsidRPr="00D2678D">
        <w:rPr>
          <w:rFonts w:ascii="Times New Roman" w:hAnsi="Times New Roman"/>
          <w:sz w:val="20"/>
          <w:szCs w:val="20"/>
        </w:rPr>
        <w:t xml:space="preserve"> is evaluated as a corrosion inhibitor for carbon steel alloys in the presence of 0.5 M hydrochloric acid (HCl) at different concentrations, i.e., 10-50 ppm and different temperatures [13]. Studies of the mechanism, kinetics and thermodynamic constants of VO(II) and Cu(II) complexes with </w:t>
      </w:r>
      <w:r w:rsidRPr="00D2678D">
        <w:rPr>
          <w:rStyle w:val="maintitle"/>
          <w:rFonts w:ascii="Times New Roman" w:hAnsi="Times New Roman"/>
          <w:sz w:val="20"/>
          <w:szCs w:val="20"/>
        </w:rPr>
        <w:t>CE</w:t>
      </w:r>
      <w:r w:rsidRPr="00D2678D">
        <w:rPr>
          <w:rFonts w:ascii="Times New Roman" w:hAnsi="Times New Roman"/>
          <w:sz w:val="20"/>
          <w:szCs w:val="20"/>
        </w:rPr>
        <w:t xml:space="preserve"> in the pH range of 2 – 5 at temperatures of 303, 313, 323 and 333 K, using reversed phase HPLC and ion exchange HPLC were reported [14]</w:t>
      </w:r>
      <w:r w:rsidRPr="00D2678D">
        <w:rPr>
          <w:rFonts w:ascii="Times New Roman" w:hAnsi="Times New Roman"/>
          <w:noProof/>
          <w:sz w:val="20"/>
          <w:szCs w:val="20"/>
        </w:rPr>
        <w:t>. CE degradation in aqueous solution was studied at 310 and 353 K in acidic, basic and neutral conditions.</w:t>
      </w:r>
      <w:r w:rsidRPr="00D2678D">
        <w:rPr>
          <w:rFonts w:ascii="Times New Roman" w:hAnsi="Times New Roman"/>
          <w:sz w:val="20"/>
          <w:szCs w:val="20"/>
        </w:rPr>
        <w:t xml:space="preserve"> Stability constants of Re(V) metal complexes with selected medicinal drugs adenosine, isoniazid and metformin hydrochloride have been determined using a pH metric titration technique in aqueous HCl at different temperatures and an ionic strength of 0.2 M [15]. The process of complex formation of Re(V) ion with 2-mercapto-pyridine was investigated potentiometrically by evaluating formation the equilibrium and stability constants of the metal complex at the temperature range of 273-338 K [16].</w:t>
      </w:r>
    </w:p>
    <w:p w:rsidR="00D2678D" w:rsidRPr="00D2678D" w:rsidRDefault="00D2678D" w:rsidP="00D2678D">
      <w:pPr>
        <w:pStyle w:val="Papersubsection"/>
        <w:numPr>
          <w:ilvl w:val="0"/>
          <w:numId w:val="0"/>
        </w:numPr>
        <w:spacing w:line="240" w:lineRule="auto"/>
        <w:jc w:val="both"/>
        <w:rPr>
          <w:rFonts w:cs="Times New Roman"/>
          <w:b w:val="0"/>
          <w:bCs/>
          <w:color w:val="auto"/>
          <w:sz w:val="20"/>
          <w:szCs w:val="20"/>
        </w:rPr>
      </w:pPr>
    </w:p>
    <w:p w:rsidR="00D2678D" w:rsidRPr="00D2678D" w:rsidRDefault="00D2678D" w:rsidP="00D2678D">
      <w:pPr>
        <w:pStyle w:val="Papersubsection"/>
        <w:numPr>
          <w:ilvl w:val="0"/>
          <w:numId w:val="0"/>
        </w:numPr>
        <w:spacing w:line="240" w:lineRule="auto"/>
        <w:jc w:val="both"/>
        <w:rPr>
          <w:rFonts w:cs="Times New Roman"/>
          <w:b w:val="0"/>
          <w:bCs/>
          <w:color w:val="auto"/>
          <w:sz w:val="20"/>
          <w:szCs w:val="20"/>
        </w:rPr>
      </w:pPr>
      <w:r w:rsidRPr="00D2678D">
        <w:rPr>
          <w:rFonts w:cs="Times New Roman"/>
          <w:noProof/>
          <w:color w:val="auto"/>
          <w:sz w:val="20"/>
          <w:szCs w:val="20"/>
        </w:rPr>
        <mc:AlternateContent>
          <mc:Choice Requires="wps">
            <w:drawing>
              <wp:anchor distT="0" distB="0" distL="114300" distR="114300" simplePos="0" relativeHeight="251660800" behindDoc="0" locked="0" layoutInCell="1" allowOverlap="1" wp14:anchorId="3AD3E1DD" wp14:editId="6D8CC0F6">
                <wp:simplePos x="0" y="0"/>
                <wp:positionH relativeFrom="column">
                  <wp:posOffset>439420</wp:posOffset>
                </wp:positionH>
                <wp:positionV relativeFrom="paragraph">
                  <wp:posOffset>545465</wp:posOffset>
                </wp:positionV>
                <wp:extent cx="5037455" cy="1734185"/>
                <wp:effectExtent l="0" t="0" r="0" b="0"/>
                <wp:wrapTopAndBottom/>
                <wp:docPr id="2" name="Rectangle 2"/>
                <wp:cNvGraphicFramePr/>
                <a:graphic xmlns:a="http://schemas.openxmlformats.org/drawingml/2006/main">
                  <a:graphicData uri="http://schemas.microsoft.com/office/word/2010/wordprocessingShape">
                    <wps:wsp>
                      <wps:cNvSpPr/>
                      <wps:spPr>
                        <a:xfrm>
                          <a:off x="0" y="0"/>
                          <a:ext cx="5037455" cy="1734185"/>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rsidR="00D2678D" w:rsidRDefault="00D2678D" w:rsidP="00D2678D">
                            <w:pPr>
                              <w:jc w:val="center"/>
                            </w:pPr>
                            <w:r w:rsidRPr="00D2678D">
                              <w:rPr>
                                <w:rFonts w:ascii="Times New Roman" w:hAnsi="Times New Roman"/>
                                <w:sz w:val="20"/>
                                <w:szCs w:val="20"/>
                                <w:lang w:val="tr-TR"/>
                              </w:rPr>
                              <w:object w:dxaOrig="6480" w:dyaOrig="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7.9pt;height:129.75pt" o:ole="">
                                  <v:imagedata r:id="rId11" o:title=""/>
                                </v:shape>
                                <o:OLEObject Type="Embed" ProgID="ChemDraw.Document.6.0" ShapeID="_x0000_i1026" DrawAspect="Content" ObjectID="_1575101829" r:id="rId12"/>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4.6pt;margin-top:42.95pt;width:396.65pt;height:136.5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" fillcolor="white [3201]" stroked="f" strokeweight=".5pt">
                <v:textbox style="mso-fit-shape-to-text:t">
                  <w:txbxContent>
                    <w:p w:rsidR="00D2678D" w:rsidRDefault="00D2678D" w:rsidP="00D2678D">
                      <w:pPr>
                        <w:jc w:val="center"/>
                      </w:pPr>
                      <w:r w:rsidRPr="00D2678D">
                        <w:rPr>
                          <w:rFonts w:ascii="Times New Roman" w:hAnsi="Times New Roman"/>
                          <w:sz w:val="20"/>
                          <w:szCs w:val="20"/>
                          <w:lang w:val="tr-TR"/>
                        </w:rPr>
                        <w:object w:dxaOrig="6480" w:dyaOrig="2053">
                          <v:shape id="_x0000_i1025" type="#_x0000_t75" style="width:407.9pt;height:129.75pt" o:ole="">
                            <v:imagedata r:id="rId13" o:title=""/>
                          </v:shape>
                          <o:OLEObject Type="Embed" ProgID="ChemDraw.Document.6.0" ShapeID="_x0000_i1025" DrawAspect="Content" ObjectID="_1572755491" r:id="rId14"/>
                        </w:object>
                      </w:r>
                    </w:p>
                  </w:txbxContent>
                </v:textbox>
                <w10:wrap type="topAndBottom"/>
              </v:rect>
            </w:pict>
          </mc:Fallback>
        </mc:AlternateContent>
      </w:r>
      <w:r w:rsidRPr="00D2678D">
        <w:rPr>
          <w:rFonts w:cs="Times New Roman"/>
          <w:b w:val="0"/>
          <w:bCs/>
          <w:color w:val="auto"/>
          <w:sz w:val="20"/>
          <w:szCs w:val="20"/>
        </w:rPr>
        <w:t xml:space="preserve">In the present study, the formation equilibrium investigations were extended to the stoichiometry and stability constants of complex formation of AZ and </w:t>
      </w:r>
      <w:r w:rsidRPr="00D2678D">
        <w:rPr>
          <w:rStyle w:val="maintitle"/>
          <w:rFonts w:cs="Times New Roman"/>
          <w:b w:val="0"/>
          <w:bCs/>
          <w:color w:val="auto"/>
          <w:sz w:val="20"/>
          <w:szCs w:val="20"/>
        </w:rPr>
        <w:t>CE</w:t>
      </w:r>
      <w:r w:rsidRPr="00D2678D">
        <w:rPr>
          <w:rFonts w:cs="Times New Roman"/>
          <w:b w:val="0"/>
          <w:bCs/>
          <w:color w:val="auto"/>
          <w:sz w:val="20"/>
          <w:szCs w:val="20"/>
        </w:rPr>
        <w:t xml:space="preserve"> (Scheme 1) with Re(V) metal ion in aqueous HCl at </w:t>
      </w:r>
      <w:r w:rsidRPr="00D2678D">
        <w:rPr>
          <w:rFonts w:cs="Times New Roman"/>
          <w:b w:val="0"/>
          <w:bCs/>
          <w:noProof/>
          <w:color w:val="auto"/>
          <w:sz w:val="20"/>
          <w:szCs w:val="20"/>
        </w:rPr>
        <w:t>different</w:t>
      </w:r>
      <w:r w:rsidRPr="00D2678D">
        <w:rPr>
          <w:rFonts w:cs="Times New Roman"/>
          <w:b w:val="0"/>
          <w:bCs/>
          <w:color w:val="auto"/>
          <w:sz w:val="20"/>
          <w:szCs w:val="20"/>
        </w:rPr>
        <w:t xml:space="preserve"> temperatures. Moreover, the kinetic parameters of the complex formation were determined and discussed.</w:t>
      </w:r>
    </w:p>
    <w:p w:rsidR="00D2678D" w:rsidRPr="00D2678D" w:rsidRDefault="00D2678D" w:rsidP="00D2678D">
      <w:pPr>
        <w:pStyle w:val="Papermain"/>
        <w:spacing w:line="240" w:lineRule="auto"/>
        <w:jc w:val="center"/>
        <w:rPr>
          <w:rFonts w:cs="Times New Roman"/>
          <w:color w:val="auto"/>
          <w:sz w:val="20"/>
          <w:szCs w:val="20"/>
        </w:rPr>
      </w:pPr>
      <w:r w:rsidRPr="00D2678D">
        <w:rPr>
          <w:rFonts w:cs="Times New Roman"/>
          <w:color w:val="auto"/>
          <w:sz w:val="20"/>
          <w:szCs w:val="20"/>
        </w:rPr>
        <w:t xml:space="preserve">Scheme 1. </w:t>
      </w:r>
      <w:r>
        <w:rPr>
          <w:rFonts w:cs="Times New Roman"/>
          <w:color w:val="auto"/>
          <w:sz w:val="20"/>
          <w:szCs w:val="20"/>
        </w:rPr>
        <w:t xml:space="preserve"> </w:t>
      </w:r>
      <w:r w:rsidRPr="00D2678D">
        <w:rPr>
          <w:rStyle w:val="maintitle"/>
          <w:rFonts w:cs="Times New Roman"/>
          <w:color w:val="auto"/>
          <w:sz w:val="20"/>
          <w:szCs w:val="20"/>
        </w:rPr>
        <w:t>The chemical structures of the studied drugs</w:t>
      </w:r>
    </w:p>
    <w:p w:rsidR="00D2678D" w:rsidRDefault="00D2678D" w:rsidP="00D2678D">
      <w:pPr>
        <w:pStyle w:val="Papersubsection"/>
        <w:numPr>
          <w:ilvl w:val="0"/>
          <w:numId w:val="0"/>
        </w:numPr>
        <w:tabs>
          <w:tab w:val="left" w:pos="426"/>
        </w:tabs>
        <w:spacing w:line="240" w:lineRule="auto"/>
        <w:jc w:val="center"/>
        <w:rPr>
          <w:rFonts w:cs="Times New Roman"/>
          <w:color w:val="auto"/>
          <w:sz w:val="20"/>
          <w:szCs w:val="20"/>
        </w:rPr>
      </w:pPr>
    </w:p>
    <w:p w:rsidR="00D2678D" w:rsidRPr="006863D1" w:rsidRDefault="00D2678D" w:rsidP="00D2678D">
      <w:pPr>
        <w:pStyle w:val="Papermain"/>
        <w:spacing w:line="240" w:lineRule="auto"/>
        <w:rPr>
          <w:sz w:val="20"/>
          <w:szCs w:val="20"/>
        </w:rPr>
      </w:pPr>
    </w:p>
    <w:p w:rsidR="00D2678D" w:rsidRPr="00D2678D" w:rsidRDefault="00D2678D" w:rsidP="00D2678D">
      <w:pPr>
        <w:pStyle w:val="Papersubsection"/>
        <w:numPr>
          <w:ilvl w:val="0"/>
          <w:numId w:val="0"/>
        </w:numPr>
        <w:tabs>
          <w:tab w:val="left" w:pos="426"/>
        </w:tabs>
        <w:spacing w:line="240" w:lineRule="auto"/>
        <w:jc w:val="center"/>
        <w:rPr>
          <w:rFonts w:cs="Times New Roman"/>
          <w:color w:val="auto"/>
          <w:sz w:val="20"/>
          <w:szCs w:val="20"/>
        </w:rPr>
      </w:pPr>
      <w:r w:rsidRPr="00D2678D">
        <w:rPr>
          <w:rFonts w:cs="Times New Roman"/>
          <w:color w:val="auto"/>
          <w:sz w:val="20"/>
          <w:szCs w:val="20"/>
        </w:rPr>
        <w:t>Materials and Methods</w:t>
      </w:r>
    </w:p>
    <w:p w:rsidR="00D2678D" w:rsidRPr="00D2678D" w:rsidRDefault="00D2678D" w:rsidP="00D2678D">
      <w:pPr>
        <w:pStyle w:val="Papermain"/>
        <w:spacing w:line="240" w:lineRule="auto"/>
        <w:rPr>
          <w:rFonts w:cs="Times New Roman"/>
          <w:b/>
          <w:bCs/>
          <w:color w:val="auto"/>
          <w:sz w:val="20"/>
          <w:szCs w:val="20"/>
        </w:rPr>
      </w:pPr>
      <w:r w:rsidRPr="00D2678D">
        <w:rPr>
          <w:rFonts w:cs="Times New Roman"/>
          <w:b/>
          <w:bCs/>
          <w:color w:val="auto"/>
          <w:sz w:val="20"/>
          <w:szCs w:val="20"/>
        </w:rPr>
        <w:t>Materials</w:t>
      </w:r>
    </w:p>
    <w:p w:rsidR="00D2678D" w:rsidRPr="00D2678D" w:rsidRDefault="00D2678D" w:rsidP="00D2678D">
      <w:pPr>
        <w:pStyle w:val="Papermain"/>
        <w:spacing w:line="240" w:lineRule="auto"/>
        <w:rPr>
          <w:rFonts w:cs="Times New Roman"/>
          <w:color w:val="auto"/>
          <w:sz w:val="20"/>
          <w:szCs w:val="20"/>
        </w:rPr>
      </w:pPr>
      <w:r w:rsidRPr="00D2678D">
        <w:rPr>
          <w:rFonts w:cs="Times New Roman"/>
          <w:color w:val="auto"/>
          <w:sz w:val="20"/>
          <w:szCs w:val="20"/>
        </w:rPr>
        <w:t>Potassium perrhenate (KReO</w:t>
      </w:r>
      <w:r w:rsidRPr="00D2678D">
        <w:rPr>
          <w:rFonts w:cs="Times New Roman"/>
          <w:color w:val="auto"/>
          <w:sz w:val="20"/>
          <w:szCs w:val="20"/>
          <w:vertAlign w:val="subscript"/>
        </w:rPr>
        <w:t>4</w:t>
      </w:r>
      <w:r w:rsidRPr="00D2678D">
        <w:rPr>
          <w:rFonts w:cs="Times New Roman"/>
          <w:color w:val="auto"/>
          <w:sz w:val="20"/>
          <w:szCs w:val="20"/>
        </w:rPr>
        <w:t>) and iodine were purchased from Aldrich and Fluka, respectively. KReO</w:t>
      </w:r>
      <w:r w:rsidRPr="00D2678D">
        <w:rPr>
          <w:rFonts w:cs="Times New Roman"/>
          <w:color w:val="auto"/>
          <w:sz w:val="20"/>
          <w:szCs w:val="20"/>
          <w:vertAlign w:val="subscript"/>
        </w:rPr>
        <w:t>4</w:t>
      </w:r>
      <w:r w:rsidRPr="00D2678D">
        <w:rPr>
          <w:rFonts w:cs="Times New Roman"/>
          <w:color w:val="auto"/>
          <w:sz w:val="20"/>
          <w:szCs w:val="20"/>
        </w:rPr>
        <w:t xml:space="preserve"> was converted to K</w:t>
      </w:r>
      <w:r w:rsidRPr="00D2678D">
        <w:rPr>
          <w:rFonts w:cs="Times New Roman"/>
          <w:color w:val="auto"/>
          <w:sz w:val="20"/>
          <w:szCs w:val="20"/>
          <w:vertAlign w:val="subscript"/>
        </w:rPr>
        <w:t>2</w:t>
      </w:r>
      <w:r w:rsidRPr="00D2678D">
        <w:rPr>
          <w:rFonts w:cs="Times New Roman"/>
          <w:color w:val="auto"/>
          <w:sz w:val="20"/>
          <w:szCs w:val="20"/>
        </w:rPr>
        <w:t>ReOCl</w:t>
      </w:r>
      <w:r w:rsidRPr="00D2678D">
        <w:rPr>
          <w:rFonts w:cs="Times New Roman"/>
          <w:color w:val="auto"/>
          <w:sz w:val="20"/>
          <w:szCs w:val="20"/>
          <w:vertAlign w:val="subscript"/>
        </w:rPr>
        <w:t>5</w:t>
      </w:r>
      <w:r w:rsidRPr="00D2678D">
        <w:rPr>
          <w:rFonts w:cs="Times New Roman"/>
          <w:color w:val="auto"/>
          <w:sz w:val="20"/>
          <w:szCs w:val="20"/>
        </w:rPr>
        <w:t xml:space="preserve"> precursor according to the method reported elsewhere [17]. The concentration of metal ion solution was determined spectrophotometrically at wavelength (λ) of 480 nm. A pure AZ and </w:t>
      </w:r>
      <w:r w:rsidRPr="00D2678D">
        <w:rPr>
          <w:rStyle w:val="maintitle"/>
          <w:rFonts w:cs="Times New Roman"/>
          <w:color w:val="auto"/>
          <w:sz w:val="20"/>
          <w:szCs w:val="20"/>
        </w:rPr>
        <w:t>CE</w:t>
      </w:r>
      <w:r w:rsidRPr="00D2678D">
        <w:rPr>
          <w:rFonts w:cs="Times New Roman"/>
          <w:color w:val="auto"/>
          <w:sz w:val="20"/>
          <w:szCs w:val="20"/>
        </w:rPr>
        <w:t xml:space="preserve"> drugs were purchased from the local market (El-Nasr Pharm. Chem. Co., Egypt), potassium iodide and HCl (36.4%) was purchased from BDH.</w:t>
      </w:r>
    </w:p>
    <w:p w:rsidR="00D2678D" w:rsidRPr="00D2678D" w:rsidRDefault="00D2678D" w:rsidP="00D2678D">
      <w:pPr>
        <w:pStyle w:val="Papermain"/>
        <w:spacing w:line="240" w:lineRule="auto"/>
        <w:rPr>
          <w:rFonts w:cs="Times New Roman"/>
          <w:color w:val="auto"/>
          <w:sz w:val="20"/>
          <w:szCs w:val="20"/>
        </w:rPr>
      </w:pPr>
    </w:p>
    <w:p w:rsidR="00D2678D" w:rsidRPr="00D2678D" w:rsidRDefault="00D2678D" w:rsidP="00D2678D">
      <w:pPr>
        <w:pStyle w:val="Papermain"/>
        <w:spacing w:line="240" w:lineRule="auto"/>
        <w:rPr>
          <w:rFonts w:cs="Times New Roman"/>
          <w:b/>
          <w:color w:val="auto"/>
          <w:sz w:val="20"/>
          <w:szCs w:val="20"/>
        </w:rPr>
      </w:pPr>
      <w:r w:rsidRPr="00D2678D">
        <w:rPr>
          <w:rFonts w:cs="Times New Roman"/>
          <w:b/>
          <w:color w:val="auto"/>
          <w:sz w:val="20"/>
          <w:szCs w:val="20"/>
        </w:rPr>
        <w:t>Titration method</w:t>
      </w:r>
    </w:p>
    <w:p w:rsidR="00D2678D" w:rsidRPr="00D2678D" w:rsidRDefault="00D2678D" w:rsidP="00D2678D">
      <w:pPr>
        <w:pStyle w:val="Papermain"/>
        <w:spacing w:line="240" w:lineRule="auto"/>
        <w:rPr>
          <w:rFonts w:cs="Times New Roman"/>
          <w:color w:val="auto"/>
          <w:sz w:val="20"/>
          <w:szCs w:val="20"/>
        </w:rPr>
      </w:pPr>
      <w:r w:rsidRPr="00D2678D">
        <w:rPr>
          <w:rFonts w:cs="Times New Roman"/>
          <w:color w:val="auto"/>
          <w:sz w:val="20"/>
          <w:szCs w:val="20"/>
        </w:rPr>
        <w:t xml:space="preserve">Potentiometric titrations were performed using </w:t>
      </w:r>
      <w:r w:rsidRPr="00D2678D">
        <w:rPr>
          <w:rFonts w:cs="Times New Roman"/>
          <w:noProof/>
          <w:color w:val="auto"/>
          <w:sz w:val="20"/>
          <w:szCs w:val="20"/>
        </w:rPr>
        <w:t>a R3003</w:t>
      </w:r>
      <w:r w:rsidRPr="00D2678D">
        <w:rPr>
          <w:rFonts w:cs="Times New Roman"/>
          <w:color w:val="auto"/>
          <w:sz w:val="20"/>
          <w:szCs w:val="20"/>
        </w:rPr>
        <w:t xml:space="preserve"> voltage comparator. A platinum plate was used as an indicator electrode. The redox system consisting of AZ and CE was created by oxidizing a small portion of the initial drugs in 0.3 M HCl with 0.1 N iodine solution (0.5 mL). The stepwise complexes of Re(V) with AZ and CE were studied using the Bjerrum method [18, 19]. For this purpose, the redox system consisting of the drugs (0.04192 mol/L) and its oxidized form titrated with a K</w:t>
      </w:r>
      <w:r w:rsidRPr="00D2678D">
        <w:rPr>
          <w:rFonts w:cs="Times New Roman"/>
          <w:color w:val="auto"/>
          <w:sz w:val="20"/>
          <w:szCs w:val="20"/>
          <w:vertAlign w:val="subscript"/>
        </w:rPr>
        <w:t>2</w:t>
      </w:r>
      <w:r w:rsidRPr="00D2678D">
        <w:rPr>
          <w:rFonts w:cs="Times New Roman"/>
          <w:color w:val="auto"/>
          <w:sz w:val="20"/>
          <w:szCs w:val="20"/>
        </w:rPr>
        <w:t>ReOCl</w:t>
      </w:r>
      <w:r w:rsidRPr="00D2678D">
        <w:rPr>
          <w:rFonts w:cs="Times New Roman"/>
          <w:color w:val="auto"/>
          <w:sz w:val="20"/>
          <w:szCs w:val="20"/>
          <w:vertAlign w:val="subscript"/>
        </w:rPr>
        <w:t>5</w:t>
      </w:r>
      <w:r w:rsidRPr="00D2678D">
        <w:rPr>
          <w:rFonts w:cs="Times New Roman"/>
          <w:color w:val="auto"/>
          <w:sz w:val="20"/>
          <w:szCs w:val="20"/>
        </w:rPr>
        <w:t xml:space="preserve"> solution (0.0799 </w:t>
      </w:r>
      <w:r w:rsidRPr="00D2678D">
        <w:rPr>
          <w:rFonts w:cs="Times New Roman"/>
          <w:noProof/>
          <w:color w:val="auto"/>
          <w:sz w:val="20"/>
          <w:szCs w:val="20"/>
        </w:rPr>
        <w:t>mol</w:t>
      </w:r>
      <w:r w:rsidRPr="00D2678D">
        <w:rPr>
          <w:rFonts w:cs="Times New Roman"/>
          <w:color w:val="auto"/>
          <w:sz w:val="20"/>
          <w:szCs w:val="20"/>
        </w:rPr>
        <w:t xml:space="preserve">/L) in 0.3 M HCl. The </w:t>
      </w:r>
      <w:r w:rsidRPr="00D2678D">
        <w:rPr>
          <w:rFonts w:cs="Times New Roman"/>
          <w:color w:val="auto"/>
          <w:sz w:val="20"/>
          <w:szCs w:val="20"/>
        </w:rPr>
        <w:lastRenderedPageBreak/>
        <w:t>equilibrium ligand concentration ([L]) and the formation function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D2678D">
        <w:rPr>
          <w:rFonts w:cs="Times New Roman"/>
          <w:color w:val="auto"/>
          <w:sz w:val="20"/>
          <w:szCs w:val="20"/>
        </w:rPr>
        <w:t>) at each titration point was calculated using the equations (1) and (2) [20, 21], respectively:</w:t>
      </w:r>
    </w:p>
    <w:p w:rsidR="00D2678D" w:rsidRPr="00D2678D" w:rsidRDefault="00D2678D" w:rsidP="00D2678D">
      <w:pPr>
        <w:pStyle w:val="Papermain"/>
        <w:spacing w:line="240" w:lineRule="auto"/>
        <w:rPr>
          <w:rFonts w:cs="Times New Roman"/>
          <w:color w:val="auto"/>
          <w:sz w:val="20"/>
          <w:szCs w:val="20"/>
        </w:rPr>
      </w:pPr>
    </w:p>
    <w:p w:rsidR="00D2678D" w:rsidRDefault="00A43FF3" w:rsidP="00D2678D">
      <w:pPr>
        <w:pStyle w:val="Papermain"/>
        <w:spacing w:line="240" w:lineRule="auto"/>
        <w:ind w:firstLine="709"/>
        <w:rPr>
          <w:rFonts w:eastAsiaTheme="minorEastAsia" w:cs="Times New Roman"/>
          <w:color w:val="auto"/>
          <w:sz w:val="20"/>
          <w:szCs w:val="20"/>
        </w:rPr>
      </w:pPr>
      <m:oMath>
        <m:func>
          <m:funcPr>
            <m:ctrlPr>
              <w:rPr>
                <w:rFonts w:ascii="Cambria Math" w:hAnsi="Cambria Math" w:cs="Times New Roman"/>
                <w:i/>
                <w:color w:val="auto"/>
                <w:sz w:val="20"/>
                <w:szCs w:val="20"/>
              </w:rPr>
            </m:ctrlPr>
          </m:funcPr>
          <m:fName>
            <m:r>
              <m:rPr>
                <m:sty m:val="p"/>
              </m:rPr>
              <w:rPr>
                <w:rFonts w:ascii="Cambria Math" w:hAnsi="Cambria Math" w:cs="Times New Roman"/>
                <w:color w:val="auto"/>
                <w:sz w:val="20"/>
                <w:szCs w:val="20"/>
              </w:rPr>
              <m:t xml:space="preserve">log </m:t>
            </m:r>
          </m:fName>
          <m:e>
            <m:r>
              <w:rPr>
                <w:rFonts w:ascii="Cambria Math" w:hAnsi="Cambria Math" w:cs="Times New Roman"/>
                <w:color w:val="auto"/>
                <w:sz w:val="20"/>
                <w:szCs w:val="20"/>
              </w:rPr>
              <m:t>[L]</m:t>
            </m:r>
          </m:e>
        </m:func>
        <m:r>
          <w:rPr>
            <w:rFonts w:ascii="Cambria Math" w:hAnsi="Cambria Math" w:cs="Times New Roman"/>
            <w:color w:val="auto"/>
            <w:sz w:val="20"/>
            <w:szCs w:val="20"/>
          </w:rPr>
          <m:t>=</m:t>
        </m:r>
        <m:f>
          <m:fPr>
            <m:ctrlPr>
              <w:rPr>
                <w:rFonts w:ascii="Cambria Math" w:hAnsi="Cambria Math" w:cs="Times New Roman"/>
                <w:i/>
                <w:color w:val="auto"/>
                <w:sz w:val="20"/>
                <w:szCs w:val="20"/>
              </w:rPr>
            </m:ctrlPr>
          </m:fPr>
          <m:num>
            <m:sSub>
              <m:sSubPr>
                <m:ctrlPr>
                  <w:rPr>
                    <w:rFonts w:ascii="Cambria Math" w:hAnsi="Cambria Math" w:cs="Times New Roman"/>
                    <w:i/>
                    <w:color w:val="auto"/>
                    <w:sz w:val="20"/>
                    <w:szCs w:val="20"/>
                  </w:rPr>
                </m:ctrlPr>
              </m:sSubPr>
              <m:e>
                <m:r>
                  <w:rPr>
                    <w:rFonts w:ascii="Cambria Math" w:hAnsi="Cambria Math" w:cs="Times New Roman"/>
                    <w:color w:val="auto"/>
                    <w:sz w:val="20"/>
                    <w:szCs w:val="20"/>
                  </w:rPr>
                  <m:t>E</m:t>
                </m:r>
              </m:e>
              <m:sub>
                <m:r>
                  <w:rPr>
                    <w:rFonts w:ascii="Cambria Math" w:hAnsi="Cambria Math" w:cs="Times New Roman"/>
                    <w:color w:val="auto"/>
                    <w:sz w:val="20"/>
                    <w:szCs w:val="20"/>
                  </w:rPr>
                  <m:t>I</m:t>
                </m:r>
              </m:sub>
            </m:sSub>
            <m:r>
              <w:rPr>
                <w:rFonts w:ascii="Cambria Math" w:hAnsi="Cambria Math" w:cs="Times New Roman"/>
                <w:color w:val="auto"/>
                <w:sz w:val="20"/>
                <w:szCs w:val="20"/>
              </w:rPr>
              <m:t>-</m:t>
            </m:r>
            <m:sSub>
              <m:sSubPr>
                <m:ctrlPr>
                  <w:rPr>
                    <w:rFonts w:ascii="Cambria Math" w:hAnsi="Cambria Math" w:cs="Times New Roman"/>
                    <w:i/>
                    <w:color w:val="auto"/>
                    <w:sz w:val="20"/>
                    <w:szCs w:val="20"/>
                  </w:rPr>
                </m:ctrlPr>
              </m:sSubPr>
              <m:e>
                <m:r>
                  <w:rPr>
                    <w:rFonts w:ascii="Cambria Math" w:hAnsi="Cambria Math" w:cs="Times New Roman"/>
                    <w:color w:val="auto"/>
                    <w:sz w:val="20"/>
                    <w:szCs w:val="20"/>
                  </w:rPr>
                  <m:t>E</m:t>
                </m:r>
              </m:e>
              <m:sub>
                <m:r>
                  <w:rPr>
                    <w:rFonts w:ascii="Cambria Math" w:hAnsi="Cambria Math" w:cs="Times New Roman"/>
                    <w:color w:val="auto"/>
                    <w:sz w:val="20"/>
                    <w:szCs w:val="20"/>
                  </w:rPr>
                  <m:t>i</m:t>
                </m:r>
              </m:sub>
            </m:sSub>
          </m:num>
          <m:den>
            <m:sSup>
              <m:sSupPr>
                <m:ctrlPr>
                  <w:rPr>
                    <w:rFonts w:ascii="Cambria Math" w:hAnsi="Cambria Math" w:cs="Times New Roman"/>
                    <w:i/>
                    <w:color w:val="auto"/>
                    <w:sz w:val="20"/>
                    <w:szCs w:val="20"/>
                  </w:rPr>
                </m:ctrlPr>
              </m:sSupPr>
              <m:e>
                <m:r>
                  <w:rPr>
                    <w:rFonts w:ascii="Cambria Math" w:hAnsi="Cambria Math" w:cs="Times New Roman"/>
                    <w:color w:val="auto"/>
                    <w:sz w:val="20"/>
                    <w:szCs w:val="20"/>
                  </w:rPr>
                  <m:t>1.9837x10</m:t>
                </m:r>
              </m:e>
              <m:sup>
                <m:r>
                  <w:rPr>
                    <w:rFonts w:ascii="Cambria Math" w:hAnsi="Cambria Math" w:cs="Times New Roman"/>
                    <w:color w:val="auto"/>
                    <w:sz w:val="20"/>
                    <w:szCs w:val="20"/>
                  </w:rPr>
                  <m:t xml:space="preserve">-4 </m:t>
                </m:r>
              </m:sup>
            </m:sSup>
            <m:r>
              <w:rPr>
                <w:rFonts w:ascii="Cambria Math" w:hAnsi="Cambria Math" w:cs="Times New Roman"/>
                <w:color w:val="auto"/>
                <w:sz w:val="20"/>
                <w:szCs w:val="20"/>
              </w:rPr>
              <m:t>T</m:t>
            </m:r>
          </m:den>
        </m:f>
        <m:r>
          <w:rPr>
            <w:rFonts w:ascii="Cambria Math" w:hAnsi="Cambria Math" w:cs="Times New Roman"/>
            <w:color w:val="auto"/>
            <w:sz w:val="20"/>
            <w:szCs w:val="20"/>
          </w:rPr>
          <m:t>+log</m:t>
        </m:r>
        <m:sSubSup>
          <m:sSubSupPr>
            <m:ctrlPr>
              <w:rPr>
                <w:rFonts w:ascii="Cambria Math" w:hAnsi="Cambria Math" w:cs="Times New Roman"/>
                <w:i/>
                <w:color w:val="auto"/>
                <w:sz w:val="20"/>
                <w:szCs w:val="20"/>
              </w:rPr>
            </m:ctrlPr>
          </m:sSubSupPr>
          <m:e>
            <m:r>
              <w:rPr>
                <w:rFonts w:ascii="Cambria Math" w:hAnsi="Cambria Math" w:cs="Times New Roman"/>
                <w:color w:val="auto"/>
                <w:sz w:val="20"/>
                <w:szCs w:val="20"/>
              </w:rPr>
              <m:t>C</m:t>
            </m:r>
          </m:e>
          <m:sub>
            <m:r>
              <w:rPr>
                <w:rFonts w:ascii="Cambria Math" w:hAnsi="Cambria Math" w:cs="Times New Roman"/>
                <w:color w:val="auto"/>
                <w:sz w:val="20"/>
                <w:szCs w:val="20"/>
              </w:rPr>
              <m:t>L</m:t>
            </m:r>
          </m:sub>
          <m:sup>
            <m:r>
              <w:rPr>
                <w:rFonts w:ascii="Cambria Math" w:hAnsi="Cambria Math" w:cs="Times New Roman"/>
                <w:color w:val="auto"/>
                <w:sz w:val="20"/>
                <w:szCs w:val="20"/>
              </w:rPr>
              <m:t>I</m:t>
            </m:r>
          </m:sup>
        </m:sSubSup>
        <m:r>
          <w:rPr>
            <w:rFonts w:ascii="Cambria Math" w:hAnsi="Cambria Math" w:cs="Times New Roman"/>
            <w:color w:val="auto"/>
            <w:sz w:val="20"/>
            <w:szCs w:val="20"/>
          </w:rPr>
          <m:t>+</m:t>
        </m:r>
        <m:f>
          <m:fPr>
            <m:ctrlPr>
              <w:rPr>
                <w:rFonts w:ascii="Cambria Math" w:hAnsi="Cambria Math" w:cs="Times New Roman"/>
                <w:i/>
                <w:color w:val="auto"/>
                <w:sz w:val="20"/>
                <w:szCs w:val="20"/>
              </w:rPr>
            </m:ctrlPr>
          </m:fPr>
          <m:num>
            <m:r>
              <w:rPr>
                <w:rFonts w:ascii="Cambria Math" w:hAnsi="Cambria Math" w:cs="Times New Roman"/>
                <w:color w:val="auto"/>
                <w:sz w:val="20"/>
                <w:szCs w:val="20"/>
              </w:rPr>
              <m:t>1</m:t>
            </m:r>
          </m:num>
          <m:den>
            <m:r>
              <w:rPr>
                <w:rFonts w:ascii="Cambria Math" w:hAnsi="Cambria Math" w:cs="Times New Roman"/>
                <w:color w:val="auto"/>
                <w:sz w:val="20"/>
                <w:szCs w:val="20"/>
              </w:rPr>
              <m:t>2</m:t>
            </m:r>
          </m:den>
        </m:f>
        <m:r>
          <w:rPr>
            <w:rFonts w:ascii="Cambria Math" w:hAnsi="Cambria Math" w:cs="Times New Roman"/>
            <w:color w:val="auto"/>
            <w:sz w:val="20"/>
            <w:szCs w:val="20"/>
          </w:rPr>
          <m:t xml:space="preserve"> log</m:t>
        </m:r>
        <m:f>
          <m:fPr>
            <m:ctrlPr>
              <w:rPr>
                <w:rFonts w:ascii="Cambria Math" w:hAnsi="Cambria Math" w:cs="Times New Roman"/>
                <w:i/>
                <w:color w:val="auto"/>
                <w:sz w:val="20"/>
                <w:szCs w:val="20"/>
              </w:rPr>
            </m:ctrlPr>
          </m:fPr>
          <m:num>
            <m:sSub>
              <m:sSubPr>
                <m:ctrlPr>
                  <w:rPr>
                    <w:rFonts w:ascii="Cambria Math" w:hAnsi="Cambria Math" w:cs="Times New Roman"/>
                    <w:i/>
                    <w:color w:val="auto"/>
                    <w:sz w:val="20"/>
                    <w:szCs w:val="20"/>
                  </w:rPr>
                </m:ctrlPr>
              </m:sSubPr>
              <m:e>
                <m:r>
                  <w:rPr>
                    <w:rFonts w:ascii="Cambria Math" w:hAnsi="Cambria Math" w:cs="Times New Roman"/>
                    <w:color w:val="auto"/>
                    <w:sz w:val="20"/>
                    <w:szCs w:val="20"/>
                  </w:rPr>
                  <m:t>V</m:t>
                </m:r>
              </m:e>
              <m:sub>
                <m:r>
                  <w:rPr>
                    <w:rFonts w:ascii="Cambria Math" w:hAnsi="Cambria Math" w:cs="Times New Roman"/>
                    <w:color w:val="auto"/>
                    <w:sz w:val="20"/>
                    <w:szCs w:val="20"/>
                  </w:rPr>
                  <m:t>I</m:t>
                </m:r>
              </m:sub>
            </m:sSub>
          </m:num>
          <m:den>
            <m:sSub>
              <m:sSubPr>
                <m:ctrlPr>
                  <w:rPr>
                    <w:rFonts w:ascii="Cambria Math" w:hAnsi="Cambria Math" w:cs="Times New Roman"/>
                    <w:i/>
                    <w:color w:val="auto"/>
                    <w:sz w:val="20"/>
                    <w:szCs w:val="20"/>
                  </w:rPr>
                </m:ctrlPr>
              </m:sSubPr>
              <m:e>
                <m:r>
                  <w:rPr>
                    <w:rFonts w:ascii="Cambria Math" w:hAnsi="Cambria Math" w:cs="Times New Roman"/>
                    <w:color w:val="auto"/>
                    <w:sz w:val="20"/>
                    <w:szCs w:val="20"/>
                  </w:rPr>
                  <m:t>V</m:t>
                </m:r>
              </m:e>
              <m:sub>
                <m:r>
                  <w:rPr>
                    <w:rFonts w:ascii="Cambria Math" w:hAnsi="Cambria Math" w:cs="Times New Roman"/>
                    <w:color w:val="auto"/>
                    <w:sz w:val="20"/>
                    <w:szCs w:val="20"/>
                  </w:rPr>
                  <m:t>T</m:t>
                </m:r>
              </m:sub>
            </m:sSub>
          </m:den>
        </m:f>
        <m:r>
          <w:rPr>
            <w:rFonts w:ascii="Cambria Math" w:hAnsi="Cambria Math" w:cs="Times New Roman"/>
            <w:color w:val="auto"/>
            <w:sz w:val="20"/>
            <w:szCs w:val="20"/>
          </w:rPr>
          <m:t xml:space="preserve">                                                                                                   </m:t>
        </m:r>
      </m:oMath>
      <w:r w:rsidR="006863D1">
        <w:rPr>
          <w:rFonts w:eastAsiaTheme="minorEastAsia" w:cs="Times New Roman"/>
          <w:color w:val="auto"/>
          <w:sz w:val="20"/>
          <w:szCs w:val="20"/>
        </w:rPr>
        <w:tab/>
        <w:t xml:space="preserve">        </w:t>
      </w:r>
      <w:r w:rsidR="00D2678D" w:rsidRPr="00D2678D">
        <w:rPr>
          <w:rFonts w:eastAsiaTheme="minorEastAsia" w:cs="Times New Roman"/>
          <w:color w:val="auto"/>
          <w:sz w:val="20"/>
          <w:szCs w:val="20"/>
        </w:rPr>
        <w:t xml:space="preserve"> (1)</w:t>
      </w:r>
    </w:p>
    <w:p w:rsidR="006863D1" w:rsidRPr="00D2678D" w:rsidRDefault="006863D1" w:rsidP="00D2678D">
      <w:pPr>
        <w:pStyle w:val="Papermain"/>
        <w:spacing w:line="240" w:lineRule="auto"/>
        <w:ind w:firstLine="709"/>
        <w:rPr>
          <w:rFonts w:cs="Times New Roman"/>
          <w:color w:val="auto"/>
          <w:sz w:val="20"/>
          <w:szCs w:val="20"/>
        </w:rPr>
      </w:pPr>
    </w:p>
    <w:p w:rsidR="00D2678D" w:rsidRPr="00D2678D" w:rsidRDefault="00A43FF3" w:rsidP="00D2678D">
      <w:pPr>
        <w:pStyle w:val="Papermain"/>
        <w:spacing w:line="240" w:lineRule="auto"/>
        <w:ind w:firstLine="709"/>
        <w:rPr>
          <w:rFonts w:cs="Times New Roman"/>
          <w:color w:val="auto"/>
          <w:sz w:val="20"/>
          <w:szCs w:val="20"/>
        </w:rPr>
      </w:pP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r>
          <w:rPr>
            <w:rFonts w:ascii="Cambria Math" w:hAnsi="Cambria Math" w:cs="Times New Roman"/>
            <w:color w:val="auto"/>
            <w:sz w:val="20"/>
            <w:szCs w:val="20"/>
          </w:rPr>
          <m:t>=</m:t>
        </m:r>
        <m:f>
          <m:fPr>
            <m:ctrlPr>
              <w:rPr>
                <w:rFonts w:ascii="Cambria Math" w:hAnsi="Cambria Math" w:cs="Times New Roman"/>
                <w:i/>
                <w:color w:val="auto"/>
                <w:sz w:val="20"/>
                <w:szCs w:val="20"/>
              </w:rPr>
            </m:ctrlPr>
          </m:fPr>
          <m:num>
            <m:sSubSup>
              <m:sSubSupPr>
                <m:ctrlPr>
                  <w:rPr>
                    <w:rFonts w:ascii="Cambria Math" w:hAnsi="Cambria Math" w:cs="Times New Roman"/>
                    <w:i/>
                    <w:color w:val="auto"/>
                    <w:sz w:val="20"/>
                    <w:szCs w:val="20"/>
                  </w:rPr>
                </m:ctrlPr>
              </m:sSubSupPr>
              <m:e>
                <m:r>
                  <w:rPr>
                    <w:rFonts w:ascii="Cambria Math" w:hAnsi="Cambria Math" w:cs="Times New Roman"/>
                    <w:color w:val="auto"/>
                    <w:sz w:val="20"/>
                    <w:szCs w:val="20"/>
                  </w:rPr>
                  <m:t>C</m:t>
                </m:r>
              </m:e>
              <m:sub>
                <m:r>
                  <w:rPr>
                    <w:rFonts w:ascii="Cambria Math" w:hAnsi="Cambria Math" w:cs="Times New Roman"/>
                    <w:color w:val="auto"/>
                    <w:sz w:val="20"/>
                    <w:szCs w:val="20"/>
                  </w:rPr>
                  <m:t>L</m:t>
                </m:r>
              </m:sub>
              <m:sup>
                <m:r>
                  <w:rPr>
                    <w:rFonts w:ascii="Cambria Math" w:hAnsi="Cambria Math" w:cs="Times New Roman"/>
                    <w:color w:val="auto"/>
                    <w:sz w:val="20"/>
                    <w:szCs w:val="20"/>
                  </w:rPr>
                  <m:t>I</m:t>
                </m:r>
              </m:sup>
            </m:sSubSup>
            <m:r>
              <w:rPr>
                <w:rFonts w:ascii="Cambria Math" w:hAnsi="Cambria Math" w:cs="Times New Roman"/>
                <w:color w:val="auto"/>
                <w:sz w:val="20"/>
                <w:szCs w:val="20"/>
              </w:rPr>
              <m:t>-[L]</m:t>
            </m:r>
          </m:num>
          <m:den>
            <m:sSub>
              <m:sSubPr>
                <m:ctrlPr>
                  <w:rPr>
                    <w:rFonts w:ascii="Cambria Math" w:hAnsi="Cambria Math" w:cs="Times New Roman"/>
                    <w:i/>
                    <w:color w:val="auto"/>
                    <w:sz w:val="20"/>
                    <w:szCs w:val="20"/>
                  </w:rPr>
                </m:ctrlPr>
              </m:sSubPr>
              <m:e>
                <m:r>
                  <w:rPr>
                    <w:rFonts w:ascii="Cambria Math" w:hAnsi="Cambria Math" w:cs="Times New Roman"/>
                    <w:color w:val="auto"/>
                    <w:sz w:val="20"/>
                    <w:szCs w:val="20"/>
                  </w:rPr>
                  <m:t>C</m:t>
                </m:r>
              </m:e>
              <m:sub>
                <m:r>
                  <w:rPr>
                    <w:rFonts w:ascii="Cambria Math" w:hAnsi="Cambria Math" w:cs="Times New Roman"/>
                    <w:color w:val="auto"/>
                    <w:sz w:val="20"/>
                    <w:szCs w:val="20"/>
                  </w:rPr>
                  <m:t>M</m:t>
                </m:r>
              </m:sub>
            </m:sSub>
          </m:den>
        </m:f>
        <m:r>
          <w:rPr>
            <w:rFonts w:ascii="Cambria Math" w:hAnsi="Cambria Math" w:cs="Times New Roman"/>
            <w:color w:val="auto"/>
            <w:sz w:val="20"/>
            <w:szCs w:val="20"/>
          </w:rPr>
          <m:t xml:space="preserve">                                                                                                                                                               </m:t>
        </m:r>
      </m:oMath>
      <w:r w:rsidR="006863D1">
        <w:rPr>
          <w:rFonts w:eastAsiaTheme="minorEastAsia" w:cs="Times New Roman"/>
          <w:color w:val="auto"/>
          <w:sz w:val="20"/>
          <w:szCs w:val="20"/>
        </w:rPr>
        <w:tab/>
        <w:t xml:space="preserve">        </w:t>
      </w:r>
      <w:r w:rsidR="00D2678D" w:rsidRPr="00D2678D">
        <w:rPr>
          <w:rFonts w:eastAsiaTheme="minorEastAsia" w:cs="Times New Roman"/>
          <w:color w:val="auto"/>
          <w:sz w:val="20"/>
          <w:szCs w:val="20"/>
        </w:rPr>
        <w:t xml:space="preserve"> (2)</w:t>
      </w:r>
    </w:p>
    <w:p w:rsidR="00D2678D" w:rsidRPr="00D2678D" w:rsidRDefault="00D2678D" w:rsidP="00D2678D">
      <w:pPr>
        <w:pStyle w:val="Papermain"/>
        <w:spacing w:line="240" w:lineRule="auto"/>
        <w:rPr>
          <w:rFonts w:cs="Times New Roman"/>
          <w:color w:val="auto"/>
          <w:sz w:val="20"/>
          <w:szCs w:val="20"/>
        </w:rPr>
      </w:pPr>
    </w:p>
    <w:p w:rsidR="00D2678D" w:rsidRPr="00D2678D" w:rsidRDefault="00D2678D" w:rsidP="00D2678D">
      <w:pPr>
        <w:pStyle w:val="Papermain"/>
        <w:spacing w:line="240" w:lineRule="auto"/>
        <w:rPr>
          <w:rFonts w:cs="Times New Roman"/>
          <w:color w:val="auto"/>
          <w:sz w:val="20"/>
          <w:szCs w:val="20"/>
        </w:rPr>
      </w:pPr>
      <w:r w:rsidRPr="00D2678D">
        <w:rPr>
          <w:rFonts w:cs="Times New Roman"/>
          <w:color w:val="auto"/>
          <w:sz w:val="20"/>
          <w:szCs w:val="20"/>
        </w:rPr>
        <w:t>where, E</w:t>
      </w:r>
      <w:r w:rsidRPr="00D2678D">
        <w:rPr>
          <w:rFonts w:cs="Times New Roman"/>
          <w:color w:val="auto"/>
          <w:sz w:val="20"/>
          <w:szCs w:val="20"/>
          <w:vertAlign w:val="subscript"/>
        </w:rPr>
        <w:t>I</w:t>
      </w:r>
      <w:r w:rsidRPr="00D2678D">
        <w:rPr>
          <w:rFonts w:cs="Times New Roman"/>
          <w:color w:val="auto"/>
          <w:sz w:val="20"/>
          <w:szCs w:val="20"/>
        </w:rPr>
        <w:t xml:space="preserve"> and E</w:t>
      </w:r>
      <w:r w:rsidRPr="00D2678D">
        <w:rPr>
          <w:rFonts w:cs="Times New Roman"/>
          <w:color w:val="auto"/>
          <w:sz w:val="20"/>
          <w:szCs w:val="20"/>
          <w:vertAlign w:val="subscript"/>
        </w:rPr>
        <w:t>i</w:t>
      </w:r>
      <w:r w:rsidRPr="00D2678D">
        <w:rPr>
          <w:rFonts w:cs="Times New Roman"/>
          <w:color w:val="auto"/>
          <w:sz w:val="20"/>
          <w:szCs w:val="20"/>
        </w:rPr>
        <w:t xml:space="preserve"> are the initial equilibrium potentials of the system in the absence of metal ion and at the current titration point, </w:t>
      </w:r>
      <m:oMath>
        <m:sSubSup>
          <m:sSubSupPr>
            <m:ctrlPr>
              <w:rPr>
                <w:rFonts w:ascii="Cambria Math" w:hAnsi="Cambria Math" w:cs="Times New Roman"/>
                <w:i/>
                <w:color w:val="auto"/>
                <w:sz w:val="20"/>
                <w:szCs w:val="20"/>
              </w:rPr>
            </m:ctrlPr>
          </m:sSubSupPr>
          <m:e>
            <m:r>
              <w:rPr>
                <w:rFonts w:ascii="Cambria Math" w:hAnsi="Cambria Math" w:cs="Times New Roman"/>
                <w:color w:val="auto"/>
                <w:sz w:val="20"/>
                <w:szCs w:val="20"/>
              </w:rPr>
              <m:t>C</m:t>
            </m:r>
          </m:e>
          <m:sub>
            <m:r>
              <w:rPr>
                <w:rFonts w:ascii="Cambria Math" w:hAnsi="Cambria Math" w:cs="Times New Roman"/>
                <w:color w:val="auto"/>
                <w:sz w:val="20"/>
                <w:szCs w:val="20"/>
              </w:rPr>
              <m:t>L</m:t>
            </m:r>
          </m:sub>
          <m:sup>
            <m:r>
              <w:rPr>
                <w:rFonts w:ascii="Cambria Math" w:hAnsi="Cambria Math" w:cs="Times New Roman"/>
                <w:color w:val="auto"/>
                <w:sz w:val="20"/>
                <w:szCs w:val="20"/>
              </w:rPr>
              <m:t>1</m:t>
            </m:r>
          </m:sup>
        </m:sSubSup>
        <m:r>
          <w:rPr>
            <w:rFonts w:ascii="Cambria Math" w:hAnsi="Cambria Math" w:cs="Times New Roman"/>
            <w:color w:val="auto"/>
            <w:sz w:val="20"/>
            <w:szCs w:val="20"/>
          </w:rPr>
          <m:t xml:space="preserve"> </m:t>
        </m:r>
      </m:oMath>
      <w:r w:rsidRPr="00D2678D">
        <w:rPr>
          <w:rFonts w:cs="Times New Roman"/>
          <w:color w:val="auto"/>
          <w:sz w:val="20"/>
          <w:szCs w:val="20"/>
        </w:rPr>
        <w:t>is the drug initial concentration of, V</w:t>
      </w:r>
      <w:r w:rsidRPr="00D2678D">
        <w:rPr>
          <w:rFonts w:cs="Times New Roman"/>
          <w:color w:val="auto"/>
          <w:sz w:val="20"/>
          <w:szCs w:val="20"/>
          <w:vertAlign w:val="subscript"/>
        </w:rPr>
        <w:t>I</w:t>
      </w:r>
      <w:r w:rsidRPr="00D2678D">
        <w:rPr>
          <w:rFonts w:cs="Times New Roman"/>
          <w:color w:val="auto"/>
          <w:sz w:val="20"/>
          <w:szCs w:val="20"/>
        </w:rPr>
        <w:t xml:space="preserve"> and V</w:t>
      </w:r>
      <w:r w:rsidRPr="00D2678D">
        <w:rPr>
          <w:rFonts w:cs="Times New Roman"/>
          <w:color w:val="auto"/>
          <w:sz w:val="20"/>
          <w:szCs w:val="20"/>
          <w:vertAlign w:val="subscript"/>
        </w:rPr>
        <w:t>T</w:t>
      </w:r>
      <w:r w:rsidRPr="00D2678D">
        <w:rPr>
          <w:rFonts w:cs="Times New Roman"/>
          <w:color w:val="auto"/>
          <w:sz w:val="20"/>
          <w:szCs w:val="20"/>
        </w:rPr>
        <w:t xml:space="preserve"> are the initial and total volumes, respectively, T is the temperature in K and C</w:t>
      </w:r>
      <w:r w:rsidRPr="00D2678D">
        <w:rPr>
          <w:rFonts w:cs="Times New Roman"/>
          <w:color w:val="auto"/>
          <w:sz w:val="20"/>
          <w:szCs w:val="20"/>
          <w:vertAlign w:val="subscript"/>
        </w:rPr>
        <w:t>M</w:t>
      </w:r>
      <w:r w:rsidRPr="00D2678D">
        <w:rPr>
          <w:rFonts w:cs="Times New Roman"/>
          <w:color w:val="auto"/>
          <w:sz w:val="20"/>
          <w:szCs w:val="20"/>
        </w:rPr>
        <w:t xml:space="preserve"> is the concentration of metal ion at each titration point.</w:t>
      </w:r>
    </w:p>
    <w:p w:rsidR="00D2678D" w:rsidRPr="00D2678D" w:rsidRDefault="00D2678D" w:rsidP="00D2678D">
      <w:pPr>
        <w:autoSpaceDE w:val="0"/>
        <w:autoSpaceDN w:val="0"/>
        <w:adjustRightInd w:val="0"/>
        <w:spacing w:after="0" w:line="240" w:lineRule="auto"/>
        <w:jc w:val="both"/>
        <w:rPr>
          <w:rFonts w:ascii="Times New Roman" w:hAnsi="Times New Roman"/>
          <w:sz w:val="20"/>
          <w:szCs w:val="20"/>
        </w:rPr>
      </w:pPr>
    </w:p>
    <w:p w:rsidR="00D2678D" w:rsidRPr="00D2678D" w:rsidRDefault="00D2678D" w:rsidP="00D2678D">
      <w:pPr>
        <w:autoSpaceDE w:val="0"/>
        <w:autoSpaceDN w:val="0"/>
        <w:adjustRightInd w:val="0"/>
        <w:spacing w:after="0" w:line="240" w:lineRule="auto"/>
        <w:jc w:val="both"/>
        <w:rPr>
          <w:rFonts w:ascii="Times New Roman" w:hAnsi="Times New Roman"/>
          <w:sz w:val="20"/>
          <w:szCs w:val="20"/>
        </w:rPr>
      </w:pPr>
      <w:r w:rsidRPr="00D2678D">
        <w:rPr>
          <w:rFonts w:ascii="Times New Roman" w:hAnsi="Times New Roman"/>
          <w:sz w:val="20"/>
          <w:szCs w:val="20"/>
        </w:rPr>
        <w:t>The stepwise stability constants (log K</w:t>
      </w:r>
      <w:r w:rsidRPr="00D2678D">
        <w:rPr>
          <w:rFonts w:ascii="Times New Roman" w:hAnsi="Times New Roman"/>
          <w:sz w:val="20"/>
          <w:szCs w:val="20"/>
          <w:vertAlign w:val="subscript"/>
        </w:rPr>
        <w:t>i</w:t>
      </w:r>
      <w:r w:rsidRPr="00D2678D">
        <w:rPr>
          <w:rFonts w:ascii="Times New Roman" w:hAnsi="Times New Roman"/>
          <w:sz w:val="20"/>
          <w:szCs w:val="20"/>
        </w:rPr>
        <w:t>) of the complexes were calculated at half-integer values ​​of the degree of formation. Thus, a large equilibrium constant indicates a highly stable complex. The overall stability constant (βi) defined as the following equation 3 [22]:</w:t>
      </w:r>
    </w:p>
    <w:p w:rsidR="00D2678D" w:rsidRPr="00D2678D" w:rsidRDefault="00D2678D" w:rsidP="00D2678D">
      <w:pPr>
        <w:autoSpaceDE w:val="0"/>
        <w:autoSpaceDN w:val="0"/>
        <w:adjustRightInd w:val="0"/>
        <w:spacing w:after="0" w:line="240" w:lineRule="auto"/>
        <w:jc w:val="both"/>
        <w:rPr>
          <w:rFonts w:ascii="Times New Roman" w:hAnsi="Times New Roman"/>
          <w:sz w:val="20"/>
          <w:szCs w:val="20"/>
        </w:rPr>
      </w:pPr>
    </w:p>
    <w:p w:rsidR="00D2678D" w:rsidRPr="00D2678D" w:rsidRDefault="00A43FF3" w:rsidP="00D2678D">
      <w:pPr>
        <w:autoSpaceDE w:val="0"/>
        <w:autoSpaceDN w:val="0"/>
        <w:adjustRightInd w:val="0"/>
        <w:spacing w:after="0" w:line="240" w:lineRule="auto"/>
        <w:jc w:val="both"/>
        <w:rPr>
          <w:rFonts w:ascii="Times New Roman" w:hAnsi="Times New Roman"/>
          <w:sz w:val="20"/>
          <w:szCs w:val="20"/>
        </w:rPr>
      </w:pPr>
      <m:oMath>
        <m:func>
          <m:funcPr>
            <m:ctrlPr>
              <w:rPr>
                <w:rFonts w:ascii="Cambria Math" w:hAnsi="Cambria Math"/>
                <w:i/>
                <w:sz w:val="20"/>
                <w:szCs w:val="20"/>
              </w:rPr>
            </m:ctrlPr>
          </m:funcPr>
          <m:fName>
            <m:r>
              <m:rPr>
                <m:sty m:val="p"/>
              </m:rPr>
              <w:rPr>
                <w:rFonts w:ascii="Cambria Math" w:hAnsi="Cambria Math"/>
                <w:sz w:val="20"/>
                <w:szCs w:val="20"/>
              </w:rPr>
              <m:t xml:space="preserve">                log</m:t>
            </m:r>
          </m:fName>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e>
        </m:func>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e>
        </m:func>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e>
        </m:func>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3</m:t>
                </m:r>
              </m:sub>
            </m:sSub>
          </m:e>
        </m:func>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e>
        </m:func>
        <m:r>
          <w:rPr>
            <w:rFonts w:ascii="Cambria Math" w:hAnsi="Cambria Math"/>
            <w:sz w:val="20"/>
            <w:szCs w:val="20"/>
          </w:rPr>
          <m:t xml:space="preserve">                                                                                                  </m:t>
        </m:r>
      </m:oMath>
      <w:r w:rsidR="006863D1">
        <w:rPr>
          <w:rFonts w:ascii="Times New Roman" w:eastAsiaTheme="minorEastAsia" w:hAnsi="Times New Roman"/>
          <w:sz w:val="20"/>
          <w:szCs w:val="20"/>
        </w:rPr>
        <w:t xml:space="preserve">   </w:t>
      </w:r>
      <w:r w:rsidR="00D2678D" w:rsidRPr="00D2678D">
        <w:rPr>
          <w:rFonts w:ascii="Times New Roman" w:eastAsiaTheme="minorEastAsia" w:hAnsi="Times New Roman"/>
          <w:sz w:val="20"/>
          <w:szCs w:val="20"/>
        </w:rPr>
        <w:t>(3)</w:t>
      </w:r>
    </w:p>
    <w:p w:rsidR="00D2678D" w:rsidRPr="00D2678D" w:rsidRDefault="00D2678D" w:rsidP="00D2678D">
      <w:pPr>
        <w:spacing w:after="0" w:line="240" w:lineRule="auto"/>
        <w:jc w:val="both"/>
        <w:rPr>
          <w:rFonts w:ascii="Times New Roman" w:hAnsi="Times New Roman"/>
          <w:sz w:val="20"/>
          <w:szCs w:val="20"/>
        </w:rPr>
      </w:pPr>
    </w:p>
    <w:p w:rsidR="00D2678D" w:rsidRPr="00D2678D" w:rsidRDefault="00D2678D" w:rsidP="00D2678D">
      <w:pPr>
        <w:spacing w:after="0" w:line="240" w:lineRule="auto"/>
        <w:jc w:val="both"/>
        <w:rPr>
          <w:rFonts w:ascii="Times New Roman" w:hAnsi="Times New Roman"/>
          <w:sz w:val="20"/>
          <w:szCs w:val="20"/>
        </w:rPr>
      </w:pPr>
      <w:r w:rsidRPr="00D2678D">
        <w:rPr>
          <w:rFonts w:ascii="Times New Roman" w:hAnsi="Times New Roman"/>
          <w:sz w:val="20"/>
          <w:szCs w:val="20"/>
        </w:rPr>
        <w:t>The log K</w:t>
      </w:r>
      <w:r w:rsidRPr="00D2678D">
        <w:rPr>
          <w:rFonts w:ascii="Times New Roman" w:hAnsi="Times New Roman"/>
          <w:sz w:val="20"/>
          <w:szCs w:val="20"/>
          <w:vertAlign w:val="subscript"/>
        </w:rPr>
        <w:t>i</w:t>
      </w:r>
      <w:r w:rsidRPr="00D2678D">
        <w:rPr>
          <w:rFonts w:ascii="Times New Roman" w:hAnsi="Times New Roman"/>
          <w:sz w:val="20"/>
          <w:szCs w:val="20"/>
        </w:rPr>
        <w:t xml:space="preserve"> of the complexes </w:t>
      </w:r>
      <w:r w:rsidRPr="00D2678D">
        <w:rPr>
          <w:rFonts w:ascii="Times New Roman" w:hAnsi="Times New Roman"/>
          <w:noProof/>
          <w:sz w:val="20"/>
          <w:szCs w:val="20"/>
        </w:rPr>
        <w:t>was</w:t>
      </w:r>
      <w:r w:rsidRPr="00D2678D">
        <w:rPr>
          <w:rFonts w:ascii="Times New Roman" w:hAnsi="Times New Roman"/>
          <w:sz w:val="20"/>
          <w:szCs w:val="20"/>
        </w:rPr>
        <w:t xml:space="preserve"> calculated at 288, 298, 308 and 318 K. </w:t>
      </w:r>
    </w:p>
    <w:p w:rsidR="00D2678D" w:rsidRPr="00D2678D" w:rsidRDefault="00D2678D" w:rsidP="00D2678D">
      <w:pPr>
        <w:spacing w:after="0" w:line="240" w:lineRule="auto"/>
        <w:jc w:val="both"/>
        <w:rPr>
          <w:rFonts w:ascii="Times New Roman" w:hAnsi="Times New Roman"/>
          <w:sz w:val="20"/>
          <w:szCs w:val="20"/>
        </w:rPr>
      </w:pPr>
    </w:p>
    <w:p w:rsidR="00D2678D" w:rsidRPr="00D2678D" w:rsidRDefault="00D2678D" w:rsidP="00D2678D">
      <w:pPr>
        <w:pStyle w:val="Papersection"/>
        <w:numPr>
          <w:ilvl w:val="0"/>
          <w:numId w:val="0"/>
        </w:numPr>
        <w:spacing w:line="240" w:lineRule="auto"/>
        <w:jc w:val="both"/>
        <w:rPr>
          <w:rFonts w:cs="Times New Roman"/>
          <w:b w:val="0"/>
          <w:bCs/>
          <w:color w:val="auto"/>
          <w:sz w:val="20"/>
          <w:szCs w:val="20"/>
        </w:rPr>
      </w:pPr>
      <w:r w:rsidRPr="00D2678D">
        <w:rPr>
          <w:rFonts w:cs="Times New Roman"/>
          <w:b w:val="0"/>
          <w:bCs/>
          <w:color w:val="auto"/>
          <w:sz w:val="20"/>
          <w:szCs w:val="20"/>
          <w:lang w:val="tr-TR"/>
        </w:rPr>
        <w:t>The complex formation thermodynamic characteristics such as: enthalpy (∆H), Gibb’s free energy (∆G) and entropy (∆S) are a fundamental importan</w:t>
      </w:r>
      <w:r w:rsidRPr="00D2678D">
        <w:rPr>
          <w:rFonts w:cs="Times New Roman"/>
          <w:b w:val="0"/>
          <w:bCs/>
          <w:color w:val="auto"/>
          <w:sz w:val="20"/>
          <w:szCs w:val="20"/>
        </w:rPr>
        <w:t>t properties</w:t>
      </w:r>
      <w:r w:rsidRPr="00D2678D">
        <w:rPr>
          <w:rFonts w:cs="Times New Roman"/>
          <w:b w:val="0"/>
          <w:bCs/>
          <w:color w:val="auto"/>
          <w:sz w:val="20"/>
          <w:szCs w:val="20"/>
          <w:lang w:val="tr-TR"/>
        </w:rPr>
        <w:t xml:space="preserve"> of understanding of the various factors such as electronic and steric effects, solute-solvent interactions that may influence on the complexes</w:t>
      </w:r>
      <w:r w:rsidRPr="00D2678D">
        <w:rPr>
          <w:rFonts w:cs="Times New Roman"/>
          <w:color w:val="auto"/>
          <w:sz w:val="20"/>
          <w:szCs w:val="20"/>
          <w:lang w:val="tr-TR"/>
        </w:rPr>
        <w:t xml:space="preserve"> </w:t>
      </w:r>
      <w:r w:rsidRPr="00D2678D">
        <w:rPr>
          <w:rFonts w:cs="Times New Roman"/>
          <w:b w:val="0"/>
          <w:bCs/>
          <w:color w:val="auto"/>
          <w:sz w:val="20"/>
          <w:szCs w:val="20"/>
          <w:lang w:val="tr-TR"/>
        </w:rPr>
        <w:t>[23].</w:t>
      </w:r>
      <w:r w:rsidRPr="00D2678D">
        <w:rPr>
          <w:rFonts w:cs="Times New Roman"/>
          <w:b w:val="0"/>
          <w:bCs/>
          <w:color w:val="auto"/>
          <w:sz w:val="20"/>
          <w:szCs w:val="20"/>
          <w:vertAlign w:val="superscript"/>
          <w:lang w:val="tr-TR"/>
        </w:rPr>
        <w:t xml:space="preserve"> </w:t>
      </w:r>
      <w:r w:rsidRPr="00D2678D">
        <w:rPr>
          <w:rFonts w:cs="Times New Roman"/>
          <w:b w:val="0"/>
          <w:bCs/>
          <w:color w:val="auto"/>
          <w:sz w:val="20"/>
          <w:szCs w:val="20"/>
        </w:rPr>
        <w:t xml:space="preserve">The thermodynamic parameters of the metal ion complexes at 288, 298, 308, and 318 K </w:t>
      </w:r>
      <w:r w:rsidRPr="00D2678D">
        <w:rPr>
          <w:rFonts w:cs="Times New Roman"/>
          <w:b w:val="0"/>
          <w:bCs/>
          <w:noProof/>
          <w:color w:val="auto"/>
          <w:sz w:val="20"/>
          <w:szCs w:val="20"/>
        </w:rPr>
        <w:t>were</w:t>
      </w:r>
      <w:r w:rsidRPr="00D2678D">
        <w:rPr>
          <w:rFonts w:cs="Times New Roman"/>
          <w:b w:val="0"/>
          <w:bCs/>
          <w:color w:val="auto"/>
          <w:sz w:val="20"/>
          <w:szCs w:val="20"/>
        </w:rPr>
        <w:t xml:space="preserve"> studied. The complex degree of formation was obtained according to the equations</w:t>
      </w:r>
      <w:r w:rsidRPr="00D2678D">
        <w:rPr>
          <w:rFonts w:cs="Times New Roman"/>
          <w:color w:val="auto"/>
          <w:sz w:val="20"/>
          <w:szCs w:val="20"/>
        </w:rPr>
        <w:t xml:space="preserve"> </w:t>
      </w:r>
      <w:r w:rsidRPr="00D2678D">
        <w:rPr>
          <w:rFonts w:cs="Times New Roman"/>
          <w:b w:val="0"/>
          <w:bCs/>
          <w:color w:val="auto"/>
          <w:sz w:val="20"/>
          <w:szCs w:val="20"/>
        </w:rPr>
        <w:t>(4) and (5) [24, 25]:</w:t>
      </w:r>
    </w:p>
    <w:p w:rsidR="00D2678D" w:rsidRPr="00D2678D" w:rsidRDefault="00D2678D" w:rsidP="00D2678D">
      <w:pPr>
        <w:pStyle w:val="Papersection"/>
        <w:numPr>
          <w:ilvl w:val="0"/>
          <w:numId w:val="0"/>
        </w:numPr>
        <w:spacing w:line="240" w:lineRule="auto"/>
        <w:jc w:val="both"/>
        <w:rPr>
          <w:rFonts w:cs="Times New Roman"/>
          <w:b w:val="0"/>
          <w:bCs/>
          <w:color w:val="auto"/>
          <w:sz w:val="20"/>
          <w:szCs w:val="20"/>
        </w:rPr>
      </w:pPr>
    </w:p>
    <w:p w:rsidR="00D2678D" w:rsidRDefault="00D2678D" w:rsidP="00D2678D">
      <w:pPr>
        <w:pStyle w:val="Papersection"/>
        <w:numPr>
          <w:ilvl w:val="0"/>
          <w:numId w:val="0"/>
        </w:numPr>
        <w:spacing w:line="240" w:lineRule="auto"/>
        <w:ind w:firstLine="709"/>
        <w:jc w:val="both"/>
        <w:rPr>
          <w:rFonts w:eastAsiaTheme="minorEastAsia" w:cs="Times New Roman"/>
          <w:b w:val="0"/>
          <w:color w:val="auto"/>
          <w:sz w:val="20"/>
          <w:szCs w:val="20"/>
        </w:rPr>
      </w:pPr>
      <m:oMath>
        <m:r>
          <m:rPr>
            <m:sty m:val="bi"/>
          </m:rPr>
          <w:rPr>
            <w:rFonts w:ascii="Cambria Math" w:hAnsi="Cambria Math" w:cs="Times New Roman"/>
            <w:color w:val="auto"/>
            <w:sz w:val="20"/>
            <w:szCs w:val="20"/>
          </w:rPr>
          <m:t xml:space="preserve">∆G=∆H-T∆S                                                                                                                                                         </m:t>
        </m:r>
      </m:oMath>
      <w:r w:rsidR="006863D1">
        <w:rPr>
          <w:rFonts w:eastAsiaTheme="minorEastAsia" w:cs="Times New Roman"/>
          <w:b w:val="0"/>
          <w:color w:val="auto"/>
          <w:sz w:val="20"/>
          <w:szCs w:val="20"/>
        </w:rPr>
        <w:t xml:space="preserve">     </w:t>
      </w:r>
      <w:r w:rsidRPr="00D2678D">
        <w:rPr>
          <w:rFonts w:eastAsiaTheme="minorEastAsia" w:cs="Times New Roman"/>
          <w:b w:val="0"/>
          <w:color w:val="auto"/>
          <w:sz w:val="20"/>
          <w:szCs w:val="20"/>
        </w:rPr>
        <w:t>(4)</w:t>
      </w:r>
    </w:p>
    <w:p w:rsidR="006863D1" w:rsidRPr="006863D1" w:rsidRDefault="006863D1" w:rsidP="006863D1">
      <w:pPr>
        <w:pStyle w:val="Papermain"/>
        <w:spacing w:line="240" w:lineRule="auto"/>
        <w:rPr>
          <w:sz w:val="20"/>
          <w:szCs w:val="20"/>
        </w:rPr>
      </w:pPr>
    </w:p>
    <w:p w:rsidR="00D2678D" w:rsidRPr="00D2678D" w:rsidRDefault="00A43FF3" w:rsidP="00D2678D">
      <w:pPr>
        <w:pStyle w:val="Papersection"/>
        <w:numPr>
          <w:ilvl w:val="0"/>
          <w:numId w:val="0"/>
        </w:numPr>
        <w:spacing w:line="240" w:lineRule="auto"/>
        <w:ind w:firstLine="709"/>
        <w:jc w:val="both"/>
        <w:rPr>
          <w:rFonts w:cs="Times New Roman"/>
          <w:b w:val="0"/>
          <w:bCs/>
          <w:color w:val="auto"/>
          <w:sz w:val="20"/>
          <w:szCs w:val="20"/>
        </w:rPr>
      </w:pPr>
      <m:oMath>
        <m:func>
          <m:funcPr>
            <m:ctrlPr>
              <w:rPr>
                <w:rFonts w:ascii="Cambria Math" w:hAnsi="Cambria Math" w:cs="Times New Roman"/>
                <w:i/>
                <w:color w:val="auto"/>
                <w:sz w:val="20"/>
                <w:szCs w:val="20"/>
              </w:rPr>
            </m:ctrlPr>
          </m:funcPr>
          <m:fName>
            <m:r>
              <m:rPr>
                <m:sty m:val="b"/>
              </m:rPr>
              <w:rPr>
                <w:rFonts w:ascii="Cambria Math" w:hAnsi="Cambria Math" w:cs="Times New Roman"/>
                <w:color w:val="auto"/>
                <w:sz w:val="20"/>
                <w:szCs w:val="20"/>
              </w:rPr>
              <m:t xml:space="preserve">log </m:t>
            </m:r>
          </m:fName>
          <m:e>
            <m:sSub>
              <m:sSubPr>
                <m:ctrlPr>
                  <w:rPr>
                    <w:rFonts w:ascii="Cambria Math" w:hAnsi="Cambria Math" w:cs="Times New Roman"/>
                    <w:i/>
                    <w:color w:val="auto"/>
                    <w:sz w:val="20"/>
                    <w:szCs w:val="20"/>
                  </w:rPr>
                </m:ctrlPr>
              </m:sSubPr>
              <m:e>
                <m:r>
                  <m:rPr>
                    <m:sty m:val="bi"/>
                  </m:rPr>
                  <w:rPr>
                    <w:rFonts w:ascii="Cambria Math" w:hAnsi="Cambria Math" w:cs="Times New Roman"/>
                    <w:color w:val="auto"/>
                    <w:sz w:val="20"/>
                    <w:szCs w:val="20"/>
                  </w:rPr>
                  <m:t>K</m:t>
                </m:r>
              </m:e>
              <m:sub>
                <m:r>
                  <m:rPr>
                    <m:sty m:val="bi"/>
                  </m:rPr>
                  <w:rPr>
                    <w:rFonts w:ascii="Cambria Math" w:hAnsi="Cambria Math" w:cs="Times New Roman"/>
                    <w:color w:val="auto"/>
                    <w:sz w:val="20"/>
                    <w:szCs w:val="20"/>
                  </w:rPr>
                  <m:t>i</m:t>
                </m:r>
              </m:sub>
            </m:sSub>
          </m:e>
        </m:func>
        <m:r>
          <m:rPr>
            <m:sty m:val="bi"/>
          </m:rPr>
          <w:rPr>
            <w:rFonts w:ascii="Cambria Math" w:hAnsi="Cambria Math" w:cs="Times New Roman"/>
            <w:color w:val="auto"/>
            <w:sz w:val="20"/>
            <w:szCs w:val="20"/>
          </w:rPr>
          <m:t>=</m:t>
        </m:r>
        <m:f>
          <m:fPr>
            <m:ctrlPr>
              <w:rPr>
                <w:rFonts w:ascii="Cambria Math" w:hAnsi="Cambria Math" w:cs="Times New Roman"/>
                <w:i/>
                <w:color w:val="auto"/>
                <w:sz w:val="20"/>
                <w:szCs w:val="20"/>
              </w:rPr>
            </m:ctrlPr>
          </m:fPr>
          <m:num>
            <m:r>
              <m:rPr>
                <m:sty m:val="bi"/>
              </m:rPr>
              <w:rPr>
                <w:rFonts w:ascii="Cambria Math" w:hAnsi="Cambria Math" w:cs="Times New Roman"/>
                <w:color w:val="auto"/>
                <w:sz w:val="20"/>
                <w:szCs w:val="20"/>
              </w:rPr>
              <m:t>-∆H</m:t>
            </m:r>
          </m:num>
          <m:den>
            <m:r>
              <m:rPr>
                <m:sty m:val="bi"/>
              </m:rPr>
              <w:rPr>
                <w:rFonts w:ascii="Cambria Math" w:hAnsi="Cambria Math" w:cs="Times New Roman"/>
                <w:color w:val="auto"/>
                <w:sz w:val="20"/>
                <w:szCs w:val="20"/>
              </w:rPr>
              <m:t>2.303 R</m:t>
            </m:r>
          </m:den>
        </m:f>
        <m:r>
          <m:rPr>
            <m:sty m:val="bi"/>
          </m:rPr>
          <w:rPr>
            <w:rFonts w:ascii="Cambria Math" w:hAnsi="Cambria Math" w:cs="Times New Roman"/>
            <w:color w:val="auto"/>
            <w:sz w:val="20"/>
            <w:szCs w:val="20"/>
          </w:rPr>
          <m:t>+</m:t>
        </m:r>
        <m:f>
          <m:fPr>
            <m:ctrlPr>
              <w:rPr>
                <w:rFonts w:ascii="Cambria Math" w:hAnsi="Cambria Math" w:cs="Times New Roman"/>
                <w:i/>
                <w:color w:val="auto"/>
                <w:sz w:val="20"/>
                <w:szCs w:val="20"/>
              </w:rPr>
            </m:ctrlPr>
          </m:fPr>
          <m:num>
            <m:r>
              <m:rPr>
                <m:sty m:val="bi"/>
              </m:rPr>
              <w:rPr>
                <w:rFonts w:ascii="Cambria Math" w:hAnsi="Cambria Math" w:cs="Times New Roman"/>
                <w:color w:val="auto"/>
                <w:sz w:val="20"/>
                <w:szCs w:val="20"/>
              </w:rPr>
              <m:t>1</m:t>
            </m:r>
          </m:num>
          <m:den>
            <m:r>
              <m:rPr>
                <m:sty m:val="bi"/>
              </m:rPr>
              <w:rPr>
                <w:rFonts w:ascii="Cambria Math" w:hAnsi="Cambria Math" w:cs="Times New Roman"/>
                <w:color w:val="auto"/>
                <w:sz w:val="20"/>
                <w:szCs w:val="20"/>
              </w:rPr>
              <m:t>T</m:t>
            </m:r>
          </m:den>
        </m:f>
        <m:r>
          <m:rPr>
            <m:sty m:val="bi"/>
          </m:rPr>
          <w:rPr>
            <w:rFonts w:ascii="Cambria Math" w:hAnsi="Cambria Math" w:cs="Times New Roman"/>
            <w:color w:val="auto"/>
            <w:sz w:val="20"/>
            <w:szCs w:val="20"/>
          </w:rPr>
          <m:t>×</m:t>
        </m:r>
        <m:f>
          <m:fPr>
            <m:ctrlPr>
              <w:rPr>
                <w:rFonts w:ascii="Cambria Math" w:hAnsi="Cambria Math" w:cs="Times New Roman"/>
                <w:i/>
                <w:color w:val="auto"/>
                <w:sz w:val="20"/>
                <w:szCs w:val="20"/>
              </w:rPr>
            </m:ctrlPr>
          </m:fPr>
          <m:num>
            <m:r>
              <m:rPr>
                <m:sty m:val="bi"/>
              </m:rPr>
              <w:rPr>
                <w:rFonts w:ascii="Cambria Math" w:hAnsi="Cambria Math" w:cs="Times New Roman"/>
                <w:color w:val="auto"/>
                <w:sz w:val="20"/>
                <w:szCs w:val="20"/>
              </w:rPr>
              <m:t>∆S</m:t>
            </m:r>
          </m:num>
          <m:den>
            <m:r>
              <m:rPr>
                <m:sty m:val="bi"/>
              </m:rPr>
              <w:rPr>
                <w:rFonts w:ascii="Cambria Math" w:hAnsi="Cambria Math" w:cs="Times New Roman"/>
                <w:color w:val="auto"/>
                <w:sz w:val="20"/>
                <w:szCs w:val="20"/>
              </w:rPr>
              <m:t>2.303 R</m:t>
            </m:r>
          </m:den>
        </m:f>
        <m:r>
          <m:rPr>
            <m:sty m:val="bi"/>
          </m:rPr>
          <w:rPr>
            <w:rFonts w:ascii="Cambria Math" w:hAnsi="Cambria Math" w:cs="Times New Roman"/>
            <w:color w:val="auto"/>
            <w:sz w:val="20"/>
            <w:szCs w:val="20"/>
          </w:rPr>
          <m:t xml:space="preserve">                                                                                                                           </m:t>
        </m:r>
      </m:oMath>
      <w:r w:rsidR="006863D1">
        <w:rPr>
          <w:rFonts w:eastAsiaTheme="minorEastAsia" w:cs="Times New Roman"/>
          <w:color w:val="auto"/>
          <w:sz w:val="20"/>
          <w:szCs w:val="20"/>
        </w:rPr>
        <w:tab/>
        <w:t xml:space="preserve">         </w:t>
      </w:r>
      <w:r w:rsidR="00D2678D" w:rsidRPr="00D2678D">
        <w:rPr>
          <w:rFonts w:cs="Times New Roman"/>
          <w:b w:val="0"/>
          <w:bCs/>
          <w:color w:val="auto"/>
          <w:sz w:val="20"/>
          <w:szCs w:val="20"/>
        </w:rPr>
        <w:t>(5)</w:t>
      </w:r>
    </w:p>
    <w:p w:rsidR="00D2678D" w:rsidRPr="00D2678D" w:rsidRDefault="00D2678D" w:rsidP="00D2678D">
      <w:pPr>
        <w:pStyle w:val="Papersection"/>
        <w:numPr>
          <w:ilvl w:val="0"/>
          <w:numId w:val="0"/>
        </w:numPr>
        <w:spacing w:line="240" w:lineRule="auto"/>
        <w:jc w:val="both"/>
        <w:rPr>
          <w:rFonts w:cs="Times New Roman"/>
          <w:b w:val="0"/>
          <w:bCs/>
          <w:color w:val="auto"/>
          <w:sz w:val="20"/>
          <w:szCs w:val="20"/>
        </w:rPr>
      </w:pPr>
    </w:p>
    <w:p w:rsidR="006768E9" w:rsidRPr="00D2678D" w:rsidRDefault="00D2678D" w:rsidP="00D2678D">
      <w:pPr>
        <w:spacing w:after="0" w:line="240" w:lineRule="auto"/>
        <w:jc w:val="both"/>
        <w:rPr>
          <w:rFonts w:ascii="Times New Roman" w:hAnsi="Times New Roman"/>
          <w:noProof/>
          <w:sz w:val="20"/>
          <w:szCs w:val="20"/>
          <w:lang w:bidi="ar-SA"/>
        </w:rPr>
      </w:pPr>
      <w:r w:rsidRPr="00D2678D">
        <w:rPr>
          <w:rFonts w:ascii="Times New Roman" w:hAnsi="Times New Roman"/>
          <w:bCs/>
          <w:sz w:val="20"/>
          <w:szCs w:val="20"/>
        </w:rPr>
        <w:t xml:space="preserve">where, R is the ideal gas constant (8.314 J/K mol). ∆H and ∆S were obtained from the intercept and slope </w:t>
      </w:r>
      <w:r w:rsidRPr="00D2678D">
        <w:rPr>
          <w:rFonts w:ascii="Times New Roman" w:hAnsi="Times New Roman"/>
          <w:bCs/>
          <w:noProof/>
          <w:sz w:val="20"/>
          <w:szCs w:val="20"/>
        </w:rPr>
        <w:t>of the plot of</w:t>
      </w:r>
      <w:r w:rsidRPr="00D2678D">
        <w:rPr>
          <w:rFonts w:ascii="Times New Roman" w:hAnsi="Times New Roman"/>
          <w:bCs/>
          <w:sz w:val="20"/>
          <w:szCs w:val="20"/>
        </w:rPr>
        <w:t xml:space="preserve"> log K</w:t>
      </w:r>
      <w:r w:rsidRPr="00D2678D">
        <w:rPr>
          <w:rFonts w:ascii="Times New Roman" w:hAnsi="Times New Roman"/>
          <w:bCs/>
          <w:sz w:val="20"/>
          <w:szCs w:val="20"/>
          <w:vertAlign w:val="subscript"/>
        </w:rPr>
        <w:t>i</w:t>
      </w:r>
      <w:r w:rsidRPr="00D2678D">
        <w:rPr>
          <w:rFonts w:ascii="Times New Roman" w:hAnsi="Times New Roman"/>
          <w:bCs/>
          <w:sz w:val="20"/>
          <w:szCs w:val="20"/>
        </w:rPr>
        <w:t xml:space="preserve"> against 1/T.</w:t>
      </w:r>
    </w:p>
    <w:p w:rsidR="00D2678D" w:rsidRDefault="00D2678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863D1" w:rsidRPr="006863D1" w:rsidRDefault="006863D1" w:rsidP="006863D1">
      <w:pPr>
        <w:pStyle w:val="Papersubsection"/>
        <w:numPr>
          <w:ilvl w:val="0"/>
          <w:numId w:val="0"/>
        </w:numPr>
        <w:tabs>
          <w:tab w:val="left" w:pos="426"/>
        </w:tabs>
        <w:spacing w:line="240" w:lineRule="auto"/>
        <w:jc w:val="both"/>
        <w:rPr>
          <w:rFonts w:cs="Times New Roman"/>
          <w:color w:val="auto"/>
          <w:sz w:val="20"/>
          <w:szCs w:val="20"/>
        </w:rPr>
      </w:pPr>
      <w:r w:rsidRPr="006863D1">
        <w:rPr>
          <w:rFonts w:cs="Times New Roman"/>
          <w:color w:val="auto"/>
          <w:sz w:val="20"/>
          <w:szCs w:val="20"/>
        </w:rPr>
        <w:t>Potentiometric titration</w:t>
      </w:r>
    </w:p>
    <w:p w:rsidR="006863D1" w:rsidRPr="006863D1" w:rsidRDefault="006863D1" w:rsidP="006863D1">
      <w:pPr>
        <w:pStyle w:val="Papermain"/>
        <w:spacing w:line="240" w:lineRule="auto"/>
        <w:rPr>
          <w:rStyle w:val="maintitle"/>
          <w:rFonts w:cs="Times New Roman"/>
          <w:color w:val="auto"/>
          <w:sz w:val="20"/>
          <w:szCs w:val="20"/>
        </w:rPr>
      </w:pPr>
      <w:r w:rsidRPr="006863D1">
        <w:rPr>
          <w:rStyle w:val="maintitle"/>
          <w:rFonts w:cs="Times New Roman"/>
          <w:color w:val="auto"/>
          <w:sz w:val="20"/>
          <w:szCs w:val="20"/>
        </w:rPr>
        <w:t xml:space="preserve">The metal ion in solution excites as combined with ligands or chelating groups instead of isolated form, giving rise to complexions or coordination compounds. The obtained titration data were analyzed and then stability constant values were calculated </w:t>
      </w:r>
      <w:r w:rsidRPr="006863D1">
        <w:rPr>
          <w:rFonts w:cs="Times New Roman"/>
          <w:color w:val="auto"/>
          <w:sz w:val="20"/>
          <w:szCs w:val="20"/>
        </w:rPr>
        <w:t>[26]</w:t>
      </w:r>
      <w:r w:rsidRPr="006863D1">
        <w:rPr>
          <w:rStyle w:val="maintitle"/>
          <w:rFonts w:cs="Times New Roman"/>
          <w:color w:val="auto"/>
          <w:sz w:val="20"/>
          <w:szCs w:val="20"/>
        </w:rPr>
        <w:t>. The experimental data show that the equilibrium potential of the redox system increases in the process of potentiometric titration as the metal ion volume increases. During the titration, no precipitates were formed indicating that there is no tendency to form hydroxide complexes</w:t>
      </w:r>
      <w:r w:rsidRPr="006863D1">
        <w:rPr>
          <w:rFonts w:cs="Times New Roman"/>
          <w:color w:val="auto"/>
          <w:sz w:val="20"/>
          <w:szCs w:val="20"/>
        </w:rPr>
        <w:t xml:space="preserve"> [27]</w:t>
      </w:r>
      <w:r w:rsidRPr="006863D1">
        <w:rPr>
          <w:rStyle w:val="maintitle"/>
          <w:rFonts w:cs="Times New Roman"/>
          <w:color w:val="auto"/>
          <w:sz w:val="20"/>
          <w:szCs w:val="20"/>
        </w:rPr>
        <w:t xml:space="preserve">. Intense coloration was observed, which indicated the complexes formation. The formation curves were plotted between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6863D1">
        <w:rPr>
          <w:rStyle w:val="maintitle"/>
          <w:rFonts w:cs="Times New Roman"/>
          <w:color w:val="auto"/>
          <w:sz w:val="20"/>
          <w:szCs w:val="20"/>
        </w:rPr>
        <w:t xml:space="preserve"> and -log [L]. The coordination process in the systems </w:t>
      </w:r>
      <w:r w:rsidRPr="006863D1">
        <w:rPr>
          <w:rFonts w:cs="Times New Roman"/>
          <w:color w:val="auto"/>
          <w:sz w:val="20"/>
          <w:szCs w:val="20"/>
        </w:rPr>
        <w:t>Re(V)</w:t>
      </w:r>
      <w:r w:rsidRPr="006863D1">
        <w:rPr>
          <w:rStyle w:val="maintitle"/>
          <w:rFonts w:cs="Times New Roman"/>
          <w:color w:val="auto"/>
          <w:sz w:val="20"/>
          <w:szCs w:val="20"/>
        </w:rPr>
        <w:t xml:space="preserve">-AZ and </w:t>
      </w:r>
      <w:r w:rsidRPr="006863D1">
        <w:rPr>
          <w:rFonts w:cs="Times New Roman"/>
          <w:color w:val="auto"/>
          <w:sz w:val="20"/>
          <w:szCs w:val="20"/>
        </w:rPr>
        <w:t>Re(V)</w:t>
      </w:r>
      <w:r w:rsidRPr="006863D1">
        <w:rPr>
          <w:rStyle w:val="maintitle"/>
          <w:rFonts w:cs="Times New Roman"/>
          <w:color w:val="auto"/>
          <w:sz w:val="20"/>
          <w:szCs w:val="20"/>
        </w:rPr>
        <w:t>-CE in</w:t>
      </w:r>
      <w:r w:rsidRPr="006863D1">
        <w:rPr>
          <w:rFonts w:cs="Times New Roman"/>
          <w:color w:val="auto"/>
          <w:sz w:val="20"/>
          <w:szCs w:val="20"/>
        </w:rPr>
        <w:t xml:space="preserve"> 0.3 M HCl</w:t>
      </w:r>
      <w:r w:rsidRPr="006863D1">
        <w:rPr>
          <w:rStyle w:val="maintitle"/>
          <w:rFonts w:cs="Times New Roman"/>
          <w:color w:val="auto"/>
          <w:sz w:val="20"/>
          <w:szCs w:val="20"/>
        </w:rPr>
        <w:t xml:space="preserve"> at various temperatures were characterized by the formation curves as displayed in Figure 1.</w:t>
      </w:r>
    </w:p>
    <w:p w:rsidR="006863D1" w:rsidRDefault="006863D1" w:rsidP="006863D1">
      <w:pPr>
        <w:pStyle w:val="Papermain"/>
        <w:spacing w:line="240" w:lineRule="auto"/>
        <w:rPr>
          <w:rStyle w:val="maintitle"/>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rPr>
        <w:t xml:space="preserve">Re(V) exists in solutions and solids as octahedral species [28, 29]. In this study, the obtained complexes of Re(V) with AZ and CE have a coordination number of six [30, 31]. </w:t>
      </w:r>
      <w:r w:rsidRPr="006863D1">
        <w:rPr>
          <w:rStyle w:val="maintitle"/>
          <w:rFonts w:cs="Times New Roman"/>
          <w:color w:val="auto"/>
          <w:sz w:val="20"/>
          <w:szCs w:val="20"/>
        </w:rPr>
        <w:t xml:space="preserve">AZ is considered as neutral and monodentate ligand and the coordination bonds occur between the lone pair of sulfur atom and </w:t>
      </w:r>
      <w:r w:rsidRPr="006863D1">
        <w:rPr>
          <w:rFonts w:cs="Times New Roman"/>
          <w:color w:val="auto"/>
          <w:sz w:val="20"/>
          <w:szCs w:val="20"/>
        </w:rPr>
        <w:t>Re(V) [32]. T</w:t>
      </w:r>
      <w:r w:rsidRPr="006863D1">
        <w:rPr>
          <w:rStyle w:val="maintitle"/>
          <w:rFonts w:cs="Times New Roman"/>
          <w:color w:val="auto"/>
          <w:sz w:val="20"/>
          <w:szCs w:val="20"/>
        </w:rPr>
        <w:t xml:space="preserve">he </w:t>
      </w:r>
      <w:r w:rsidRPr="006863D1">
        <w:rPr>
          <w:rFonts w:cs="Times New Roman"/>
          <w:color w:val="auto"/>
          <w:sz w:val="20"/>
          <w:szCs w:val="20"/>
        </w:rPr>
        <w:t>Re(V)</w:t>
      </w:r>
      <w:r w:rsidRPr="006863D1">
        <w:rPr>
          <w:rStyle w:val="maintitle"/>
          <w:rFonts w:cs="Times New Roman"/>
          <w:color w:val="auto"/>
          <w:sz w:val="20"/>
          <w:szCs w:val="20"/>
        </w:rPr>
        <w:t xml:space="preserve">-AZ system has a maximum value of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6863D1">
        <w:rPr>
          <w:rStyle w:val="maintitle"/>
          <w:rFonts w:cs="Times New Roman"/>
          <w:color w:val="auto"/>
          <w:sz w:val="20"/>
          <w:szCs w:val="20"/>
        </w:rPr>
        <w:t xml:space="preserve"> =</w:t>
      </w:r>
      <w:r w:rsidRPr="006863D1">
        <w:rPr>
          <w:rFonts w:cs="Times New Roman"/>
          <w:color w:val="auto"/>
          <w:sz w:val="20"/>
          <w:szCs w:val="20"/>
        </w:rPr>
        <w:t xml:space="preserve"> </w:t>
      </w:r>
      <w:r w:rsidRPr="006863D1">
        <w:rPr>
          <w:rStyle w:val="maintitle"/>
          <w:rFonts w:cs="Times New Roman"/>
          <w:color w:val="auto"/>
          <w:sz w:val="20"/>
          <w:szCs w:val="20"/>
        </w:rPr>
        <w:t xml:space="preserve">4, this indicates the formation 1:2, 1:3 and 1:4 complexes. While about 1:1 complex </w:t>
      </w:r>
      <w:r w:rsidRPr="006863D1">
        <w:rPr>
          <w:rFonts w:cs="Times New Roman"/>
          <w:color w:val="auto"/>
          <w:sz w:val="20"/>
          <w:szCs w:val="20"/>
        </w:rPr>
        <w:t xml:space="preserve">has not formed. </w:t>
      </w:r>
      <w:r w:rsidRPr="006863D1">
        <w:rPr>
          <w:rStyle w:val="maintitle"/>
          <w:rFonts w:cs="Times New Roman"/>
          <w:color w:val="auto"/>
          <w:sz w:val="20"/>
          <w:szCs w:val="20"/>
        </w:rPr>
        <w:t>The complex formation suggests a successive displacement of the chloride molecules from the coordination sphere of the central ion by the AZ and CE ligands</w:t>
      </w:r>
      <w:r w:rsidRPr="006863D1">
        <w:rPr>
          <w:rFonts w:cs="Times New Roman"/>
          <w:color w:val="auto"/>
          <w:sz w:val="20"/>
          <w:szCs w:val="20"/>
        </w:rPr>
        <w:t xml:space="preserve"> [33]</w:t>
      </w:r>
      <w:r w:rsidRPr="006863D1">
        <w:rPr>
          <w:rStyle w:val="maintitle"/>
          <w:rFonts w:cs="Times New Roman"/>
          <w:color w:val="auto"/>
          <w:sz w:val="20"/>
          <w:szCs w:val="20"/>
        </w:rPr>
        <w:t xml:space="preserve">. </w:t>
      </w:r>
      <w:r w:rsidRPr="006863D1">
        <w:rPr>
          <w:rFonts w:cs="Times New Roman"/>
          <w:color w:val="auto"/>
          <w:sz w:val="20"/>
          <w:szCs w:val="20"/>
        </w:rPr>
        <w:t xml:space="preserve">The maximum value of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6863D1">
        <w:rPr>
          <w:rFonts w:cs="Times New Roman"/>
          <w:color w:val="auto"/>
          <w:sz w:val="20"/>
          <w:szCs w:val="20"/>
        </w:rPr>
        <w:t xml:space="preserve"> in the Re(V)-CE system was 2, this shows the formation of 1:1 and 1:2 complexes. On the other hand, CE loses one sodium atom and </w:t>
      </w:r>
      <w:r w:rsidRPr="006863D1">
        <w:rPr>
          <w:rStyle w:val="maintitle"/>
          <w:rFonts w:cs="Times New Roman"/>
          <w:color w:val="auto"/>
          <w:sz w:val="20"/>
          <w:szCs w:val="20"/>
        </w:rPr>
        <w:t>becomes</w:t>
      </w:r>
      <w:r w:rsidRPr="006863D1">
        <w:rPr>
          <w:rFonts w:cs="Times New Roman"/>
          <w:color w:val="auto"/>
          <w:sz w:val="20"/>
          <w:szCs w:val="20"/>
        </w:rPr>
        <w:t xml:space="preserve"> anionic.</w:t>
      </w:r>
      <w:r w:rsidRPr="006863D1">
        <w:rPr>
          <w:rStyle w:val="maintitle"/>
          <w:rFonts w:cs="Times New Roman"/>
          <w:color w:val="auto"/>
          <w:sz w:val="20"/>
          <w:szCs w:val="20"/>
        </w:rPr>
        <w:t xml:space="preserve"> </w:t>
      </w:r>
      <w:r w:rsidRPr="006863D1">
        <w:rPr>
          <w:rFonts w:cs="Times New Roman"/>
          <w:color w:val="auto"/>
          <w:sz w:val="20"/>
          <w:szCs w:val="20"/>
        </w:rPr>
        <w:t xml:space="preserve">In case of 1:1 complex, Re(V) unit is coordinated by a mono anionic O,O-bidentate unit of CE ligand, one </w:t>
      </w:r>
      <w:r w:rsidRPr="006863D1">
        <w:rPr>
          <w:rFonts w:cs="Times New Roman"/>
          <w:color w:val="auto"/>
          <w:sz w:val="20"/>
          <w:szCs w:val="20"/>
        </w:rPr>
        <w:lastRenderedPageBreak/>
        <w:t xml:space="preserve">CE and three </w:t>
      </w:r>
      <w:r w:rsidRPr="006863D1">
        <w:rPr>
          <w:rFonts w:cs="Times New Roman"/>
          <w:noProof/>
          <w:color w:val="auto"/>
          <w:sz w:val="20"/>
          <w:szCs w:val="20"/>
        </w:rPr>
        <w:t>halogens</w:t>
      </w:r>
      <w:r w:rsidRPr="006863D1">
        <w:rPr>
          <w:rFonts w:cs="Times New Roman"/>
          <w:color w:val="auto"/>
          <w:sz w:val="20"/>
          <w:szCs w:val="20"/>
        </w:rPr>
        <w:t xml:space="preserve">, with Re(V) center in a distorted octahedral environment. The halide ligands are in </w:t>
      </w:r>
      <w:r w:rsidRPr="006863D1">
        <w:rPr>
          <w:rFonts w:cs="Times New Roman"/>
          <w:i/>
          <w:iCs/>
          <w:color w:val="auto"/>
          <w:sz w:val="20"/>
          <w:szCs w:val="20"/>
        </w:rPr>
        <w:t>cis</w:t>
      </w:r>
      <w:r w:rsidRPr="006863D1">
        <w:rPr>
          <w:rFonts w:cs="Times New Roman"/>
          <w:color w:val="auto"/>
          <w:sz w:val="20"/>
          <w:szCs w:val="20"/>
        </w:rPr>
        <w:t xml:space="preserve"> positions to each other [34, 35]. The proposed mechanism of the Re(V)-CE</w:t>
      </w:r>
      <w:r w:rsidRPr="006863D1">
        <w:rPr>
          <w:rStyle w:val="maintitle"/>
          <w:rFonts w:cs="Times New Roman"/>
          <w:color w:val="auto"/>
          <w:sz w:val="20"/>
          <w:szCs w:val="20"/>
        </w:rPr>
        <w:t xml:space="preserve"> complex formation process 1:1 and 1:2 ratios according to the following reaction (Scheme 2)</w:t>
      </w:r>
      <w:r w:rsidRPr="006863D1">
        <w:rPr>
          <w:rFonts w:cs="Times New Roman"/>
          <w:color w:val="auto"/>
          <w:sz w:val="20"/>
          <w:szCs w:val="20"/>
        </w:rPr>
        <w:t>. The estimated log K</w:t>
      </w:r>
      <w:r w:rsidRPr="006863D1">
        <w:rPr>
          <w:rFonts w:cs="Times New Roman"/>
          <w:color w:val="auto"/>
          <w:sz w:val="20"/>
          <w:szCs w:val="20"/>
          <w:vertAlign w:val="subscript"/>
        </w:rPr>
        <w:t>i</w:t>
      </w:r>
      <w:r w:rsidRPr="006863D1">
        <w:rPr>
          <w:rFonts w:cs="Times New Roman"/>
          <w:color w:val="auto"/>
          <w:sz w:val="20"/>
          <w:szCs w:val="20"/>
        </w:rPr>
        <w:t xml:space="preserve"> values of Re(V) complexes with AZ and CE at different temperatures are listed in Table 1.</w:t>
      </w:r>
    </w:p>
    <w:p w:rsidR="006863D1" w:rsidRPr="006863D1" w:rsidRDefault="006863D1" w:rsidP="006863D1">
      <w:pPr>
        <w:pStyle w:val="Papermain"/>
        <w:spacing w:after="120" w:line="240" w:lineRule="auto"/>
        <w:rPr>
          <w:rStyle w:val="maintitle"/>
          <w:rFonts w:cs="Times New Roman"/>
          <w:color w:val="auto"/>
          <w:sz w:val="20"/>
          <w:szCs w:val="20"/>
        </w:rPr>
      </w:pPr>
    </w:p>
    <w:p w:rsidR="006863D1" w:rsidRPr="002F121E" w:rsidRDefault="006863D1" w:rsidP="002F121E">
      <w:pPr>
        <w:pStyle w:val="Papermain"/>
        <w:spacing w:after="120" w:line="240" w:lineRule="auto"/>
        <w:jc w:val="center"/>
        <w:rPr>
          <w:rFonts w:cs="Times New Roman"/>
          <w:color w:val="auto"/>
          <w:sz w:val="20"/>
          <w:szCs w:val="20"/>
        </w:rPr>
      </w:pPr>
      <w:r w:rsidRPr="006863D1">
        <w:rPr>
          <w:rFonts w:cs="Times New Roman"/>
          <w:noProof/>
          <w:color w:val="auto"/>
          <w:sz w:val="20"/>
          <w:szCs w:val="20"/>
        </w:rPr>
        <w:drawing>
          <wp:inline distT="0" distB="0" distL="0" distR="0" wp14:anchorId="03104256" wp14:editId="21CD81F6">
            <wp:extent cx="3022856" cy="2103120"/>
            <wp:effectExtent l="19050" t="19050" r="2540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856" cy="2103120"/>
                    </a:xfrm>
                    <a:prstGeom prst="rect">
                      <a:avLst/>
                    </a:prstGeom>
                    <a:ln w="6350" cap="sq">
                      <a:solidFill>
                        <a:srgbClr val="000000"/>
                      </a:solidFill>
                      <a:prstDash val="solid"/>
                      <a:miter lim="800000"/>
                    </a:ln>
                    <a:effectLst/>
                  </pic:spPr>
                </pic:pic>
              </a:graphicData>
            </a:graphic>
          </wp:inline>
        </w:drawing>
      </w:r>
    </w:p>
    <w:p w:rsidR="006863D1" w:rsidRPr="006863D1" w:rsidRDefault="006863D1" w:rsidP="002F121E">
      <w:pPr>
        <w:spacing w:after="0" w:line="240" w:lineRule="auto"/>
        <w:jc w:val="center"/>
        <w:rPr>
          <w:rFonts w:ascii="Times New Roman" w:hAnsi="Times New Roman"/>
          <w:sz w:val="20"/>
          <w:szCs w:val="20"/>
        </w:rPr>
      </w:pPr>
      <w:r w:rsidRPr="006863D1">
        <w:rPr>
          <w:rFonts w:ascii="Times New Roman" w:hAnsi="Times New Roman"/>
          <w:sz w:val="20"/>
          <w:szCs w:val="20"/>
        </w:rPr>
        <w:t xml:space="preserve">Figure 1. </w:t>
      </w:r>
      <w:r w:rsidR="002F121E">
        <w:rPr>
          <w:rFonts w:ascii="Times New Roman" w:hAnsi="Times New Roman"/>
          <w:sz w:val="20"/>
          <w:szCs w:val="20"/>
        </w:rPr>
        <w:t xml:space="preserve"> </w:t>
      </w:r>
      <w:r w:rsidRPr="006863D1">
        <w:rPr>
          <w:rFonts w:ascii="Times New Roman" w:hAnsi="Times New Roman"/>
          <w:sz w:val="20"/>
          <w:szCs w:val="20"/>
        </w:rPr>
        <w:t xml:space="preserve">Formation curves of Re(V) </w:t>
      </w:r>
      <w:r w:rsidRPr="006863D1">
        <w:rPr>
          <w:rFonts w:ascii="Times New Roman" w:hAnsi="Times New Roman"/>
          <w:noProof/>
          <w:sz w:val="20"/>
          <w:szCs w:val="20"/>
        </w:rPr>
        <w:t>complexes</w:t>
      </w:r>
      <w:r w:rsidRPr="006863D1">
        <w:rPr>
          <w:rFonts w:ascii="Times New Roman" w:hAnsi="Times New Roman"/>
          <w:sz w:val="20"/>
          <w:szCs w:val="20"/>
        </w:rPr>
        <w:t xml:space="preserve"> with AZ and CE in 0.3 M HCl at 318 K</w:t>
      </w:r>
    </w:p>
    <w:p w:rsidR="006863D1" w:rsidRPr="006863D1" w:rsidRDefault="006863D1" w:rsidP="006863D1">
      <w:pPr>
        <w:pStyle w:val="Papermain"/>
        <w:spacing w:line="240" w:lineRule="auto"/>
        <w:rPr>
          <w:rStyle w:val="maintitle"/>
          <w:rFonts w:cs="Times New Roman"/>
          <w:color w:val="auto"/>
          <w:sz w:val="20"/>
          <w:szCs w:val="20"/>
          <w:lang w:val="tr-TR"/>
        </w:rPr>
      </w:pP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Style w:val="maintitle"/>
          <w:rFonts w:cs="Times New Roman"/>
          <w:color w:val="auto"/>
          <w:sz w:val="20"/>
          <w:szCs w:val="20"/>
        </w:rPr>
      </w:pPr>
      <w:r w:rsidRPr="006863D1">
        <w:rPr>
          <w:rFonts w:cs="Times New Roman"/>
          <w:noProof/>
          <w:color w:val="auto"/>
          <w:sz w:val="20"/>
          <w:szCs w:val="20"/>
        </w:rPr>
        <mc:AlternateContent>
          <mc:Choice Requires="wps">
            <w:drawing>
              <wp:anchor distT="0" distB="0" distL="114300" distR="114300" simplePos="0" relativeHeight="251662848" behindDoc="0" locked="0" layoutInCell="1" allowOverlap="1" wp14:anchorId="2A8B49D9" wp14:editId="3C9CD0B7">
                <wp:simplePos x="0" y="0"/>
                <wp:positionH relativeFrom="column">
                  <wp:posOffset>337185</wp:posOffset>
                </wp:positionH>
                <wp:positionV relativeFrom="paragraph">
                  <wp:posOffset>3810</wp:posOffset>
                </wp:positionV>
                <wp:extent cx="5133975" cy="3990975"/>
                <wp:effectExtent l="0" t="0" r="9525" b="9525"/>
                <wp:wrapTopAndBottom/>
                <wp:docPr id="3" name="Rectangle 3"/>
                <wp:cNvGraphicFramePr/>
                <a:graphic xmlns:a="http://schemas.openxmlformats.org/drawingml/2006/main">
                  <a:graphicData uri="http://schemas.microsoft.com/office/word/2010/wordprocessingShape">
                    <wps:wsp>
                      <wps:cNvSpPr/>
                      <wps:spPr>
                        <a:xfrm>
                          <a:off x="0" y="0"/>
                          <a:ext cx="5133975" cy="3990975"/>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rsidR="006863D1" w:rsidRDefault="002F121E" w:rsidP="006863D1">
                            <w:pPr>
                              <w:jc w:val="center"/>
                            </w:pPr>
                            <w:r w:rsidRPr="002F121E">
                              <w:rPr>
                                <w:rFonts w:ascii="Times New Roman" w:hAnsi="Times New Roman"/>
                                <w:sz w:val="20"/>
                                <w:szCs w:val="20"/>
                                <w:lang w:val="tr-TR"/>
                              </w:rPr>
                              <w:object w:dxaOrig="8965" w:dyaOrig="7041">
                                <v:shape id="_x0000_i1028" type="#_x0000_t75" style="width:347.4pt;height:273.55pt" o:ole="">
                                  <v:imagedata r:id="rId16" o:title=""/>
                                </v:shape>
                                <o:OLEObject Type="Embed" ProgID="ChemDraw.Document.6.0" ShapeID="_x0000_i1028" DrawAspect="Content" ObjectID="_1575101830" r:id="rId17"/>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26.55pt;margin-top:.3pt;width:404.25pt;height:314.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" fillcolor="white [3201]" stroked="f" strokeweight=".5pt">
                <v:textbox style="mso-fit-shape-to-text:t">
                  <w:txbxContent>
                    <w:p w:rsidR="006863D1" w:rsidRDefault="002F121E" w:rsidP="006863D1">
                      <w:pPr>
                        <w:jc w:val="center"/>
                      </w:pPr>
                      <w:r w:rsidRPr="002F121E">
                        <w:rPr>
                          <w:rFonts w:ascii="Times New Roman" w:hAnsi="Times New Roman"/>
                          <w:sz w:val="20"/>
                          <w:szCs w:val="20"/>
                          <w:lang w:val="tr-TR"/>
                        </w:rPr>
                        <w:object w:dxaOrig="8965" w:dyaOrig="7041">
                          <v:shape id="_x0000_i1036" type="#_x0000_t75" style="width:347.4pt;height:273.55pt" o:ole="">
                            <v:imagedata r:id="rId18" o:title=""/>
                          </v:shape>
                          <o:OLEObject Type="Embed" ProgID="ChemDraw.Document.6.0" ShapeID="_x0000_i1036" DrawAspect="Content" ObjectID="_1572755492" r:id="rId19"/>
                        </w:object>
                      </w:r>
                    </w:p>
                  </w:txbxContent>
                </v:textbox>
                <w10:wrap type="topAndBottom"/>
              </v:rect>
            </w:pict>
          </mc:Fallback>
        </mc:AlternateContent>
      </w:r>
    </w:p>
    <w:p w:rsidR="006863D1" w:rsidRPr="006863D1" w:rsidRDefault="006863D1" w:rsidP="002F121E">
      <w:pPr>
        <w:pStyle w:val="Papermain"/>
        <w:spacing w:line="240" w:lineRule="auto"/>
        <w:jc w:val="center"/>
        <w:rPr>
          <w:rStyle w:val="maintitle"/>
          <w:rFonts w:cs="Times New Roman"/>
          <w:color w:val="auto"/>
          <w:sz w:val="20"/>
          <w:szCs w:val="20"/>
        </w:rPr>
      </w:pPr>
      <w:r w:rsidRPr="006863D1">
        <w:rPr>
          <w:rStyle w:val="maintitle"/>
          <w:rFonts w:cs="Times New Roman"/>
          <w:color w:val="auto"/>
          <w:sz w:val="20"/>
          <w:szCs w:val="20"/>
        </w:rPr>
        <w:t xml:space="preserve">Scheme 2. </w:t>
      </w:r>
      <w:r w:rsidR="002F121E">
        <w:rPr>
          <w:rStyle w:val="maintitle"/>
          <w:rFonts w:cs="Times New Roman"/>
          <w:color w:val="auto"/>
          <w:sz w:val="20"/>
          <w:szCs w:val="20"/>
        </w:rPr>
        <w:t xml:space="preserve"> </w:t>
      </w:r>
      <w:r w:rsidRPr="006863D1">
        <w:rPr>
          <w:rFonts w:cs="Times New Roman"/>
          <w:color w:val="auto"/>
          <w:sz w:val="20"/>
          <w:szCs w:val="20"/>
        </w:rPr>
        <w:t xml:space="preserve">The chelation between the </w:t>
      </w:r>
      <w:r w:rsidRPr="006863D1">
        <w:rPr>
          <w:rStyle w:val="maintitle"/>
          <w:rFonts w:cs="Times New Roman"/>
          <w:color w:val="auto"/>
          <w:sz w:val="20"/>
          <w:szCs w:val="20"/>
        </w:rPr>
        <w:t>[ReOCl</w:t>
      </w:r>
      <w:r w:rsidRPr="006863D1">
        <w:rPr>
          <w:rStyle w:val="maintitle"/>
          <w:rFonts w:cs="Times New Roman"/>
          <w:color w:val="auto"/>
          <w:sz w:val="20"/>
          <w:szCs w:val="20"/>
          <w:vertAlign w:val="subscript"/>
        </w:rPr>
        <w:t>5</w:t>
      </w:r>
      <w:r w:rsidRPr="006863D1">
        <w:rPr>
          <w:rStyle w:val="maintitle"/>
          <w:rFonts w:cs="Times New Roman"/>
          <w:color w:val="auto"/>
          <w:sz w:val="20"/>
          <w:szCs w:val="20"/>
        </w:rPr>
        <w:t>]</w:t>
      </w:r>
      <w:r w:rsidRPr="006863D1">
        <w:rPr>
          <w:rStyle w:val="maintitle"/>
          <w:rFonts w:cs="Times New Roman"/>
          <w:color w:val="auto"/>
          <w:sz w:val="20"/>
          <w:szCs w:val="20"/>
          <w:vertAlign w:val="superscript"/>
        </w:rPr>
        <w:t>2</w:t>
      </w:r>
      <w:r w:rsidRPr="006863D1">
        <w:rPr>
          <w:rStyle w:val="publication-meta-journal"/>
          <w:rFonts w:cs="Times New Roman"/>
          <w:color w:val="auto"/>
          <w:sz w:val="20"/>
          <w:szCs w:val="20"/>
          <w:vertAlign w:val="superscript"/>
        </w:rPr>
        <w:t>–</w:t>
      </w:r>
      <w:r w:rsidRPr="006863D1">
        <w:rPr>
          <w:rFonts w:cs="Times New Roman"/>
          <w:color w:val="auto"/>
          <w:sz w:val="20"/>
          <w:szCs w:val="20"/>
        </w:rPr>
        <w:t xml:space="preserve"> and </w:t>
      </w:r>
      <w:r w:rsidRPr="006863D1">
        <w:rPr>
          <w:rStyle w:val="maintitle"/>
          <w:rFonts w:cs="Times New Roman"/>
          <w:color w:val="auto"/>
          <w:sz w:val="20"/>
          <w:szCs w:val="20"/>
        </w:rPr>
        <w:t>CE</w:t>
      </w: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2F121E">
      <w:pPr>
        <w:pStyle w:val="Papermain"/>
        <w:spacing w:after="120" w:line="240" w:lineRule="auto"/>
        <w:jc w:val="center"/>
        <w:rPr>
          <w:rFonts w:cs="Times New Roman"/>
          <w:color w:val="auto"/>
          <w:sz w:val="20"/>
          <w:szCs w:val="20"/>
        </w:rPr>
      </w:pPr>
      <w:r w:rsidRPr="006863D1">
        <w:rPr>
          <w:rFonts w:cs="Times New Roman"/>
          <w:color w:val="auto"/>
          <w:sz w:val="20"/>
          <w:szCs w:val="20"/>
        </w:rPr>
        <w:t xml:space="preserve">Table 1. </w:t>
      </w:r>
      <w:r w:rsidR="002F121E">
        <w:rPr>
          <w:rFonts w:cs="Times New Roman"/>
          <w:color w:val="auto"/>
          <w:sz w:val="20"/>
          <w:szCs w:val="20"/>
        </w:rPr>
        <w:t xml:space="preserve"> </w:t>
      </w:r>
      <w:r w:rsidRPr="006863D1">
        <w:rPr>
          <w:rFonts w:cs="Times New Roman"/>
          <w:color w:val="auto"/>
          <w:sz w:val="20"/>
          <w:szCs w:val="20"/>
        </w:rPr>
        <w:t>Stepwise stability constants of Re(V) complexes in 0.3 M HCl</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4"/>
        <w:gridCol w:w="963"/>
        <w:gridCol w:w="963"/>
        <w:gridCol w:w="963"/>
        <w:gridCol w:w="884"/>
        <w:gridCol w:w="1037"/>
        <w:gridCol w:w="963"/>
        <w:gridCol w:w="884"/>
      </w:tblGrid>
      <w:tr w:rsidR="006863D1" w:rsidRPr="006863D1" w:rsidTr="002F121E">
        <w:trPr>
          <w:trHeight w:val="187"/>
          <w:jc w:val="center"/>
        </w:trPr>
        <w:tc>
          <w:tcPr>
            <w:tcW w:w="0" w:type="auto"/>
            <w:vMerge w:val="restart"/>
            <w:tcBorders>
              <w:top w:val="single" w:sz="4" w:space="0" w:color="auto"/>
              <w:bottom w:val="nil"/>
              <w:right w:val="nil"/>
            </w:tcBorders>
            <w:shd w:val="clear" w:color="auto" w:fill="auto"/>
            <w:vAlign w:val="center"/>
          </w:tcPr>
          <w:p w:rsidR="006863D1" w:rsidRPr="002F121E" w:rsidRDefault="006863D1" w:rsidP="002F121E">
            <w:pPr>
              <w:pStyle w:val="Heading1"/>
              <w:spacing w:before="0" w:line="240" w:lineRule="auto"/>
              <w:contextualSpacing w:val="0"/>
              <w:rPr>
                <w:rStyle w:val="maintitle"/>
                <w:rFonts w:ascii="Times New Roman" w:hAnsi="Times New Roman"/>
                <w:b/>
                <w:smallCaps w:val="0"/>
                <w:sz w:val="20"/>
                <w:szCs w:val="20"/>
              </w:rPr>
            </w:pPr>
            <w:r w:rsidRPr="002F121E">
              <w:rPr>
                <w:rStyle w:val="maintitle"/>
                <w:rFonts w:ascii="Times New Roman" w:hAnsi="Times New Roman"/>
                <w:b/>
                <w:smallCaps w:val="0"/>
                <w:sz w:val="20"/>
                <w:szCs w:val="20"/>
              </w:rPr>
              <w:t>T (K)</w:t>
            </w:r>
          </w:p>
        </w:tc>
        <w:tc>
          <w:tcPr>
            <w:tcW w:w="0" w:type="auto"/>
            <w:gridSpan w:val="4"/>
            <w:tcBorders>
              <w:top w:val="single" w:sz="4" w:space="0" w:color="auto"/>
              <w:left w:val="nil"/>
              <w:bottom w:val="single" w:sz="4" w:space="0" w:color="auto"/>
              <w:right w:val="nil"/>
            </w:tcBorders>
            <w:shd w:val="clear" w:color="auto" w:fill="auto"/>
            <w:vAlign w:val="center"/>
          </w:tcPr>
          <w:p w:rsidR="006863D1" w:rsidRPr="002F121E" w:rsidRDefault="006863D1" w:rsidP="002F121E">
            <w:pPr>
              <w:pStyle w:val="Heading1"/>
              <w:spacing w:before="60" w:line="240" w:lineRule="auto"/>
              <w:contextualSpacing w:val="0"/>
              <w:jc w:val="center"/>
              <w:rPr>
                <w:rStyle w:val="maintitle"/>
                <w:rFonts w:ascii="Times New Roman" w:hAnsi="Times New Roman"/>
                <w:b/>
                <w:smallCaps w:val="0"/>
                <w:sz w:val="20"/>
                <w:szCs w:val="20"/>
              </w:rPr>
            </w:pPr>
            <w:r w:rsidRPr="002F121E">
              <w:rPr>
                <w:rFonts w:ascii="Times New Roman" w:hAnsi="Times New Roman"/>
                <w:b/>
                <w:smallCaps w:val="0"/>
                <w:sz w:val="20"/>
                <w:szCs w:val="20"/>
              </w:rPr>
              <w:t>Re(V)-</w:t>
            </w:r>
            <w:r w:rsidRPr="002F121E">
              <w:rPr>
                <w:rStyle w:val="maintitle"/>
                <w:rFonts w:ascii="Times New Roman" w:hAnsi="Times New Roman"/>
                <w:b/>
                <w:smallCaps w:val="0"/>
                <w:sz w:val="20"/>
                <w:szCs w:val="20"/>
              </w:rPr>
              <w:t>AZ</w:t>
            </w:r>
          </w:p>
        </w:tc>
        <w:tc>
          <w:tcPr>
            <w:tcW w:w="0" w:type="auto"/>
            <w:gridSpan w:val="3"/>
            <w:tcBorders>
              <w:top w:val="single" w:sz="4" w:space="0" w:color="auto"/>
              <w:left w:val="nil"/>
              <w:bottom w:val="single" w:sz="4" w:space="0" w:color="auto"/>
            </w:tcBorders>
            <w:shd w:val="clear" w:color="auto" w:fill="auto"/>
            <w:vAlign w:val="center"/>
          </w:tcPr>
          <w:p w:rsidR="006863D1" w:rsidRPr="002F121E" w:rsidRDefault="006863D1" w:rsidP="002F121E">
            <w:pPr>
              <w:pStyle w:val="Heading1"/>
              <w:spacing w:before="60" w:line="240" w:lineRule="auto"/>
              <w:contextualSpacing w:val="0"/>
              <w:jc w:val="center"/>
              <w:rPr>
                <w:rStyle w:val="maintitle"/>
                <w:rFonts w:ascii="Times New Roman" w:hAnsi="Times New Roman"/>
                <w:b/>
                <w:smallCaps w:val="0"/>
                <w:sz w:val="20"/>
                <w:szCs w:val="20"/>
              </w:rPr>
            </w:pPr>
            <w:r w:rsidRPr="002F121E">
              <w:rPr>
                <w:rFonts w:ascii="Times New Roman" w:hAnsi="Times New Roman"/>
                <w:b/>
                <w:smallCaps w:val="0"/>
                <w:sz w:val="20"/>
                <w:szCs w:val="20"/>
              </w:rPr>
              <w:t>Re(V)-</w:t>
            </w:r>
            <w:r w:rsidRPr="002F121E">
              <w:rPr>
                <w:rStyle w:val="maintitle"/>
                <w:rFonts w:ascii="Times New Roman" w:hAnsi="Times New Roman"/>
                <w:b/>
                <w:smallCaps w:val="0"/>
                <w:sz w:val="20"/>
                <w:szCs w:val="20"/>
              </w:rPr>
              <w:t>CE</w:t>
            </w:r>
          </w:p>
        </w:tc>
      </w:tr>
      <w:tr w:rsidR="006A7B41" w:rsidRPr="006863D1" w:rsidTr="006A7B41">
        <w:trPr>
          <w:trHeight w:val="288"/>
          <w:jc w:val="center"/>
        </w:trPr>
        <w:tc>
          <w:tcPr>
            <w:tcW w:w="0" w:type="auto"/>
            <w:vMerge/>
            <w:tcBorders>
              <w:top w:val="nil"/>
              <w:bottom w:val="single" w:sz="4" w:space="0" w:color="auto"/>
              <w:right w:val="nil"/>
            </w:tcBorders>
            <w:shd w:val="clear" w:color="auto" w:fill="auto"/>
            <w:vAlign w:val="center"/>
          </w:tcPr>
          <w:p w:rsidR="006863D1" w:rsidRPr="002F121E" w:rsidRDefault="006863D1" w:rsidP="002F121E">
            <w:pPr>
              <w:pStyle w:val="Heading1"/>
              <w:spacing w:before="0" w:line="240" w:lineRule="auto"/>
              <w:contextualSpacing w:val="0"/>
              <w:rPr>
                <w:rStyle w:val="maintitle"/>
                <w:rFonts w:ascii="Times New Roman" w:hAnsi="Times New Roman"/>
                <w:b/>
                <w:smallCaps w:val="0"/>
                <w:sz w:val="20"/>
                <w:szCs w:val="20"/>
              </w:rPr>
            </w:pP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Style w:val="maintitle"/>
                <w:rFonts w:ascii="Times New Roman" w:hAnsi="Times New Roman"/>
                <w:b/>
                <w:smallCaps w:val="0"/>
                <w:sz w:val="20"/>
                <w:szCs w:val="20"/>
                <w:lang w:val="en-US"/>
              </w:rPr>
              <w:t>l</w:t>
            </w:r>
            <w:r w:rsidR="006863D1" w:rsidRPr="002F121E">
              <w:rPr>
                <w:rStyle w:val="maintitle"/>
                <w:rFonts w:ascii="Times New Roman" w:hAnsi="Times New Roman"/>
                <w:b/>
                <w:smallCaps w:val="0"/>
                <w:sz w:val="20"/>
                <w:szCs w:val="20"/>
              </w:rPr>
              <w:t>og K</w:t>
            </w:r>
            <w:r w:rsidR="006863D1" w:rsidRPr="002F121E">
              <w:rPr>
                <w:rStyle w:val="maintitle"/>
                <w:rFonts w:ascii="Times New Roman" w:hAnsi="Times New Roman"/>
                <w:b/>
                <w:smallCaps w:val="0"/>
                <w:sz w:val="20"/>
                <w:szCs w:val="20"/>
                <w:vertAlign w:val="subscript"/>
              </w:rPr>
              <w:t>2AZ</w:t>
            </w: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Style w:val="maintitle"/>
                <w:rFonts w:ascii="Times New Roman" w:hAnsi="Times New Roman"/>
                <w:b/>
                <w:smallCaps w:val="0"/>
                <w:sz w:val="20"/>
                <w:szCs w:val="20"/>
                <w:lang w:val="en-US"/>
              </w:rPr>
              <w:t>l</w:t>
            </w:r>
            <w:r w:rsidR="006863D1" w:rsidRPr="002F121E">
              <w:rPr>
                <w:rStyle w:val="maintitle"/>
                <w:rFonts w:ascii="Times New Roman" w:hAnsi="Times New Roman"/>
                <w:b/>
                <w:smallCaps w:val="0"/>
                <w:sz w:val="20"/>
                <w:szCs w:val="20"/>
              </w:rPr>
              <w:t>og K</w:t>
            </w:r>
            <w:r w:rsidR="006863D1" w:rsidRPr="002F121E">
              <w:rPr>
                <w:rStyle w:val="maintitle"/>
                <w:rFonts w:ascii="Times New Roman" w:hAnsi="Times New Roman"/>
                <w:b/>
                <w:smallCaps w:val="0"/>
                <w:sz w:val="20"/>
                <w:szCs w:val="20"/>
                <w:vertAlign w:val="subscript"/>
              </w:rPr>
              <w:t>3AZ</w:t>
            </w: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Style w:val="maintitle"/>
                <w:rFonts w:ascii="Times New Roman" w:hAnsi="Times New Roman"/>
                <w:b/>
                <w:smallCaps w:val="0"/>
                <w:sz w:val="20"/>
                <w:szCs w:val="20"/>
                <w:lang w:val="en-US"/>
              </w:rPr>
              <w:t>l</w:t>
            </w:r>
            <w:r w:rsidR="006863D1" w:rsidRPr="002F121E">
              <w:rPr>
                <w:rStyle w:val="maintitle"/>
                <w:rFonts w:ascii="Times New Roman" w:hAnsi="Times New Roman"/>
                <w:b/>
                <w:smallCaps w:val="0"/>
                <w:sz w:val="20"/>
                <w:szCs w:val="20"/>
              </w:rPr>
              <w:t>og K</w:t>
            </w:r>
            <w:r w:rsidR="006863D1" w:rsidRPr="002F121E">
              <w:rPr>
                <w:rStyle w:val="maintitle"/>
                <w:rFonts w:ascii="Times New Roman" w:hAnsi="Times New Roman"/>
                <w:b/>
                <w:smallCaps w:val="0"/>
                <w:sz w:val="20"/>
                <w:szCs w:val="20"/>
                <w:vertAlign w:val="subscript"/>
              </w:rPr>
              <w:t>4AZ</w:t>
            </w: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Fonts w:ascii="Times New Roman" w:hAnsi="Times New Roman"/>
                <w:b/>
                <w:smallCaps w:val="0"/>
                <w:sz w:val="20"/>
                <w:szCs w:val="20"/>
                <w:lang w:val="en-US"/>
              </w:rPr>
              <w:t>l</w:t>
            </w:r>
            <w:r w:rsidR="006863D1" w:rsidRPr="002F121E">
              <w:rPr>
                <w:rFonts w:ascii="Times New Roman" w:hAnsi="Times New Roman"/>
                <w:b/>
                <w:smallCaps w:val="0"/>
                <w:sz w:val="20"/>
                <w:szCs w:val="20"/>
              </w:rPr>
              <w:t>og β</w:t>
            </w:r>
            <w:r w:rsidR="006863D1" w:rsidRPr="002F121E">
              <w:rPr>
                <w:rFonts w:ascii="Times New Roman" w:hAnsi="Times New Roman"/>
                <w:b/>
                <w:smallCaps w:val="0"/>
                <w:sz w:val="20"/>
                <w:szCs w:val="20"/>
                <w:vertAlign w:val="subscript"/>
              </w:rPr>
              <w:t>i</w:t>
            </w:r>
            <w:r w:rsidR="006863D1" w:rsidRPr="002F121E">
              <w:rPr>
                <w:rStyle w:val="maintitle"/>
                <w:rFonts w:ascii="Times New Roman" w:hAnsi="Times New Roman"/>
                <w:b/>
                <w:smallCaps w:val="0"/>
                <w:sz w:val="20"/>
                <w:szCs w:val="20"/>
                <w:vertAlign w:val="subscript"/>
              </w:rPr>
              <w:t>AZ</w:t>
            </w: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ind w:left="74"/>
              <w:contextualSpacing w:val="0"/>
              <w:jc w:val="center"/>
              <w:rPr>
                <w:rStyle w:val="maintitle"/>
                <w:rFonts w:ascii="Times New Roman" w:hAnsi="Times New Roman"/>
                <w:b/>
                <w:smallCaps w:val="0"/>
                <w:sz w:val="20"/>
                <w:szCs w:val="20"/>
              </w:rPr>
            </w:pPr>
            <w:r>
              <w:rPr>
                <w:rStyle w:val="maintitle"/>
                <w:rFonts w:ascii="Times New Roman" w:hAnsi="Times New Roman"/>
                <w:b/>
                <w:smallCaps w:val="0"/>
                <w:sz w:val="20"/>
                <w:szCs w:val="20"/>
                <w:lang w:val="en-US"/>
              </w:rPr>
              <w:t>l</w:t>
            </w:r>
            <w:r w:rsidR="006863D1" w:rsidRPr="002F121E">
              <w:rPr>
                <w:rStyle w:val="maintitle"/>
                <w:rFonts w:ascii="Times New Roman" w:hAnsi="Times New Roman"/>
                <w:b/>
                <w:smallCaps w:val="0"/>
                <w:sz w:val="20"/>
                <w:szCs w:val="20"/>
              </w:rPr>
              <w:t>og K</w:t>
            </w:r>
            <w:r w:rsidR="006863D1" w:rsidRPr="002F121E">
              <w:rPr>
                <w:rStyle w:val="maintitle"/>
                <w:rFonts w:ascii="Times New Roman" w:hAnsi="Times New Roman"/>
                <w:b/>
                <w:smallCaps w:val="0"/>
                <w:sz w:val="20"/>
                <w:szCs w:val="20"/>
                <w:vertAlign w:val="subscript"/>
              </w:rPr>
              <w:t>1CE</w:t>
            </w:r>
          </w:p>
        </w:tc>
        <w:tc>
          <w:tcPr>
            <w:tcW w:w="0" w:type="auto"/>
            <w:tcBorders>
              <w:top w:val="single" w:sz="4" w:space="0" w:color="auto"/>
              <w:left w:val="nil"/>
              <w:bottom w:val="single" w:sz="4" w:space="0" w:color="auto"/>
              <w:right w:val="nil"/>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Style w:val="maintitle"/>
                <w:rFonts w:ascii="Times New Roman" w:hAnsi="Times New Roman"/>
                <w:b/>
                <w:smallCaps w:val="0"/>
                <w:sz w:val="20"/>
                <w:szCs w:val="20"/>
                <w:lang w:val="en-US"/>
              </w:rPr>
              <w:t>l</w:t>
            </w:r>
            <w:r w:rsidR="006863D1" w:rsidRPr="002F121E">
              <w:rPr>
                <w:rStyle w:val="maintitle"/>
                <w:rFonts w:ascii="Times New Roman" w:hAnsi="Times New Roman"/>
                <w:b/>
                <w:smallCaps w:val="0"/>
                <w:sz w:val="20"/>
                <w:szCs w:val="20"/>
              </w:rPr>
              <w:t>og K</w:t>
            </w:r>
            <w:r w:rsidR="006863D1" w:rsidRPr="002F121E">
              <w:rPr>
                <w:rStyle w:val="maintitle"/>
                <w:rFonts w:ascii="Times New Roman" w:hAnsi="Times New Roman"/>
                <w:b/>
                <w:smallCaps w:val="0"/>
                <w:sz w:val="20"/>
                <w:szCs w:val="20"/>
                <w:vertAlign w:val="subscript"/>
              </w:rPr>
              <w:t>2CE</w:t>
            </w:r>
          </w:p>
        </w:tc>
        <w:tc>
          <w:tcPr>
            <w:tcW w:w="0" w:type="auto"/>
            <w:tcBorders>
              <w:top w:val="single" w:sz="4" w:space="0" w:color="auto"/>
              <w:left w:val="nil"/>
              <w:bottom w:val="single" w:sz="4" w:space="0" w:color="auto"/>
            </w:tcBorders>
            <w:shd w:val="clear" w:color="auto" w:fill="auto"/>
            <w:vAlign w:val="center"/>
          </w:tcPr>
          <w:p w:rsidR="006863D1" w:rsidRPr="002F121E" w:rsidRDefault="002F121E" w:rsidP="002F121E">
            <w:pPr>
              <w:pStyle w:val="Heading1"/>
              <w:spacing w:before="0" w:after="60" w:line="240" w:lineRule="auto"/>
              <w:contextualSpacing w:val="0"/>
              <w:jc w:val="center"/>
              <w:rPr>
                <w:rStyle w:val="maintitle"/>
                <w:rFonts w:ascii="Times New Roman" w:hAnsi="Times New Roman"/>
                <w:b/>
                <w:smallCaps w:val="0"/>
                <w:sz w:val="20"/>
                <w:szCs w:val="20"/>
              </w:rPr>
            </w:pPr>
            <w:r>
              <w:rPr>
                <w:rFonts w:ascii="Times New Roman" w:hAnsi="Times New Roman"/>
                <w:b/>
                <w:smallCaps w:val="0"/>
                <w:sz w:val="20"/>
                <w:szCs w:val="20"/>
                <w:lang w:val="en-US"/>
              </w:rPr>
              <w:t>l</w:t>
            </w:r>
            <w:r w:rsidR="006863D1" w:rsidRPr="002F121E">
              <w:rPr>
                <w:rFonts w:ascii="Times New Roman" w:hAnsi="Times New Roman"/>
                <w:b/>
                <w:smallCaps w:val="0"/>
                <w:sz w:val="20"/>
                <w:szCs w:val="20"/>
              </w:rPr>
              <w:t>og β</w:t>
            </w:r>
            <w:r w:rsidR="006863D1" w:rsidRPr="002F121E">
              <w:rPr>
                <w:rFonts w:ascii="Times New Roman" w:hAnsi="Times New Roman"/>
                <w:b/>
                <w:smallCaps w:val="0"/>
                <w:sz w:val="20"/>
                <w:szCs w:val="20"/>
                <w:vertAlign w:val="subscript"/>
              </w:rPr>
              <w:t>iCE</w:t>
            </w:r>
          </w:p>
        </w:tc>
      </w:tr>
      <w:tr w:rsidR="006A7B41" w:rsidRPr="006863D1" w:rsidTr="006A7B41">
        <w:trPr>
          <w:jc w:val="center"/>
        </w:trPr>
        <w:tc>
          <w:tcPr>
            <w:tcW w:w="0" w:type="auto"/>
            <w:tcBorders>
              <w:top w:val="single" w:sz="4" w:space="0" w:color="auto"/>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rPr>
                <w:rStyle w:val="maintitle"/>
                <w:rFonts w:ascii="Times New Roman" w:hAnsi="Times New Roman"/>
                <w:b/>
                <w:bCs/>
                <w:sz w:val="20"/>
                <w:szCs w:val="20"/>
              </w:rPr>
            </w:pPr>
            <w:r w:rsidRPr="006863D1">
              <w:rPr>
                <w:rStyle w:val="maintitle"/>
                <w:rFonts w:ascii="Times New Roman" w:hAnsi="Times New Roman"/>
                <w:sz w:val="20"/>
                <w:szCs w:val="20"/>
              </w:rPr>
              <w:t>288</w:t>
            </w:r>
          </w:p>
          <w:p w:rsidR="006863D1" w:rsidRPr="006863D1" w:rsidRDefault="006863D1" w:rsidP="002F121E">
            <w:pPr>
              <w:pStyle w:val="Heading1"/>
              <w:spacing w:before="60" w:line="240" w:lineRule="auto"/>
              <w:contextualSpacing w:val="0"/>
              <w:rPr>
                <w:rStyle w:val="maintitle"/>
                <w:rFonts w:ascii="Times New Roman" w:hAnsi="Times New Roman"/>
                <w:b/>
                <w:bCs/>
                <w:sz w:val="20"/>
                <w:szCs w:val="20"/>
              </w:rPr>
            </w:pPr>
            <w:r w:rsidRPr="006863D1">
              <w:rPr>
                <w:rStyle w:val="maintitle"/>
                <w:rFonts w:ascii="Times New Roman" w:hAnsi="Times New Roman"/>
                <w:sz w:val="20"/>
                <w:szCs w:val="20"/>
              </w:rPr>
              <w:t>298</w:t>
            </w:r>
          </w:p>
          <w:p w:rsidR="006863D1" w:rsidRPr="006863D1" w:rsidRDefault="006863D1" w:rsidP="002F121E">
            <w:pPr>
              <w:pStyle w:val="Heading1"/>
              <w:spacing w:before="60" w:line="240" w:lineRule="auto"/>
              <w:contextualSpacing w:val="0"/>
              <w:rPr>
                <w:rStyle w:val="maintitle"/>
                <w:rFonts w:ascii="Times New Roman" w:hAnsi="Times New Roman"/>
                <w:b/>
                <w:bCs/>
                <w:sz w:val="20"/>
                <w:szCs w:val="20"/>
              </w:rPr>
            </w:pPr>
            <w:r w:rsidRPr="006863D1">
              <w:rPr>
                <w:rStyle w:val="maintitle"/>
                <w:rFonts w:ascii="Times New Roman" w:hAnsi="Times New Roman"/>
                <w:sz w:val="20"/>
                <w:szCs w:val="20"/>
              </w:rPr>
              <w:t>308</w:t>
            </w:r>
          </w:p>
          <w:p w:rsidR="006863D1" w:rsidRPr="006863D1" w:rsidRDefault="006863D1" w:rsidP="002F121E">
            <w:pPr>
              <w:pStyle w:val="Heading1"/>
              <w:spacing w:before="60" w:after="60" w:line="240" w:lineRule="auto"/>
              <w:contextualSpacing w:val="0"/>
              <w:rPr>
                <w:rStyle w:val="maintitle"/>
                <w:rFonts w:ascii="Times New Roman" w:hAnsi="Times New Roman"/>
                <w:b/>
                <w:bCs/>
                <w:sz w:val="20"/>
                <w:szCs w:val="20"/>
              </w:rPr>
            </w:pPr>
            <w:r w:rsidRPr="006863D1">
              <w:rPr>
                <w:rStyle w:val="maintitle"/>
                <w:rFonts w:ascii="Times New Roman" w:hAnsi="Times New Roman"/>
                <w:sz w:val="20"/>
                <w:szCs w:val="20"/>
              </w:rPr>
              <w:t>318</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5.93</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5.84</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5.32</w:t>
            </w:r>
          </w:p>
          <w:p w:rsidR="006863D1" w:rsidRPr="006863D1" w:rsidRDefault="006863D1" w:rsidP="002F121E">
            <w:pPr>
              <w:pStyle w:val="Heading1"/>
              <w:spacing w:before="60" w:after="60" w:line="240" w:lineRule="auto"/>
              <w:contextualSpacing w:val="0"/>
              <w:jc w:val="center"/>
              <w:rPr>
                <w:rStyle w:val="maintitle"/>
                <w:rFonts w:ascii="Times New Roman" w:hAnsi="Times New Roman"/>
                <w:b/>
                <w:bCs/>
                <w:sz w:val="20"/>
                <w:szCs w:val="20"/>
              </w:rPr>
            </w:pPr>
            <w:r w:rsidRPr="006863D1">
              <w:rPr>
                <w:rFonts w:ascii="Times New Roman" w:hAnsi="Times New Roman"/>
                <w:sz w:val="20"/>
                <w:szCs w:val="20"/>
              </w:rPr>
              <w:t>4.91</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5.30</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5.13</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4.66</w:t>
            </w:r>
          </w:p>
          <w:p w:rsidR="006863D1" w:rsidRPr="006863D1" w:rsidRDefault="006863D1" w:rsidP="002F121E">
            <w:pPr>
              <w:pStyle w:val="Heading1"/>
              <w:spacing w:before="60" w:after="60" w:line="240" w:lineRule="auto"/>
              <w:contextualSpacing w:val="0"/>
              <w:jc w:val="center"/>
              <w:rPr>
                <w:rStyle w:val="maintitle"/>
                <w:rFonts w:ascii="Times New Roman" w:hAnsi="Times New Roman"/>
                <w:b/>
                <w:bCs/>
                <w:sz w:val="20"/>
                <w:szCs w:val="20"/>
              </w:rPr>
            </w:pPr>
            <w:r w:rsidRPr="006863D1">
              <w:rPr>
                <w:rFonts w:ascii="Times New Roman" w:hAnsi="Times New Roman"/>
                <w:sz w:val="20"/>
                <w:szCs w:val="20"/>
              </w:rPr>
              <w:t>4.31</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1.82</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1.77</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1.72</w:t>
            </w:r>
          </w:p>
          <w:p w:rsidR="006863D1" w:rsidRPr="006863D1" w:rsidRDefault="006863D1" w:rsidP="002F121E">
            <w:pPr>
              <w:pStyle w:val="Heading1"/>
              <w:spacing w:before="60" w:after="60" w:line="240" w:lineRule="auto"/>
              <w:contextualSpacing w:val="0"/>
              <w:jc w:val="center"/>
              <w:rPr>
                <w:rStyle w:val="maintitle"/>
                <w:rFonts w:ascii="Times New Roman" w:hAnsi="Times New Roman"/>
                <w:b/>
                <w:bCs/>
                <w:sz w:val="20"/>
                <w:szCs w:val="20"/>
              </w:rPr>
            </w:pPr>
            <w:r w:rsidRPr="006863D1">
              <w:rPr>
                <w:rFonts w:ascii="Times New Roman" w:hAnsi="Times New Roman"/>
                <w:sz w:val="20"/>
                <w:szCs w:val="20"/>
              </w:rPr>
              <w:t>1.66</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13.05</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12.72</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11.63</w:t>
            </w:r>
          </w:p>
          <w:p w:rsidR="006863D1" w:rsidRPr="006863D1" w:rsidRDefault="006863D1" w:rsidP="002F121E">
            <w:pPr>
              <w:pStyle w:val="Heading1"/>
              <w:spacing w:before="60" w:after="60" w:line="240" w:lineRule="auto"/>
              <w:contextualSpacing w:val="0"/>
              <w:jc w:val="center"/>
              <w:rPr>
                <w:rFonts w:ascii="Times New Roman" w:hAnsi="Times New Roman"/>
                <w:b/>
                <w:bCs/>
                <w:sz w:val="20"/>
                <w:szCs w:val="20"/>
              </w:rPr>
            </w:pPr>
            <w:r w:rsidRPr="006863D1">
              <w:rPr>
                <w:rFonts w:ascii="Times New Roman" w:hAnsi="Times New Roman"/>
                <w:sz w:val="20"/>
                <w:szCs w:val="20"/>
              </w:rPr>
              <w:t>10.84</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6.66</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6.34</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6.11</w:t>
            </w:r>
          </w:p>
          <w:p w:rsidR="006863D1" w:rsidRPr="006863D1" w:rsidRDefault="006863D1" w:rsidP="002F121E">
            <w:pPr>
              <w:pStyle w:val="Heading1"/>
              <w:spacing w:before="60" w:after="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5.35</w:t>
            </w:r>
          </w:p>
        </w:tc>
        <w:tc>
          <w:tcPr>
            <w:tcW w:w="0" w:type="auto"/>
            <w:tcBorders>
              <w:top w:val="single" w:sz="4" w:space="0" w:color="auto"/>
              <w:left w:val="nil"/>
              <w:bottom w:val="single" w:sz="4" w:space="0" w:color="auto"/>
              <w:right w:val="nil"/>
            </w:tcBorders>
            <w:shd w:val="clear" w:color="auto" w:fill="auto"/>
            <w:vAlign w:val="center"/>
          </w:tcPr>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4.95</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4.67</w:t>
            </w:r>
          </w:p>
          <w:p w:rsidR="006863D1" w:rsidRPr="006863D1" w:rsidRDefault="006863D1" w:rsidP="002F121E">
            <w:pPr>
              <w:pStyle w:val="Heading1"/>
              <w:spacing w:before="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4.33</w:t>
            </w:r>
          </w:p>
          <w:p w:rsidR="006863D1" w:rsidRPr="006863D1" w:rsidRDefault="006863D1" w:rsidP="002F121E">
            <w:pPr>
              <w:pStyle w:val="Heading1"/>
              <w:spacing w:before="60" w:after="60" w:line="240" w:lineRule="auto"/>
              <w:contextualSpacing w:val="0"/>
              <w:jc w:val="center"/>
              <w:rPr>
                <w:rStyle w:val="maintitle"/>
                <w:rFonts w:ascii="Times New Roman" w:hAnsi="Times New Roman"/>
                <w:b/>
                <w:bCs/>
                <w:sz w:val="20"/>
                <w:szCs w:val="20"/>
              </w:rPr>
            </w:pPr>
            <w:r w:rsidRPr="006863D1">
              <w:rPr>
                <w:rStyle w:val="maintitle"/>
                <w:rFonts w:ascii="Times New Roman" w:hAnsi="Times New Roman"/>
                <w:sz w:val="20"/>
                <w:szCs w:val="20"/>
              </w:rPr>
              <w:t>4.10</w:t>
            </w:r>
          </w:p>
        </w:tc>
        <w:tc>
          <w:tcPr>
            <w:tcW w:w="0" w:type="auto"/>
            <w:tcBorders>
              <w:top w:val="single" w:sz="4" w:space="0" w:color="auto"/>
              <w:left w:val="nil"/>
              <w:bottom w:val="single" w:sz="4" w:space="0" w:color="auto"/>
            </w:tcBorders>
            <w:shd w:val="clear" w:color="auto" w:fill="auto"/>
            <w:vAlign w:val="center"/>
          </w:tcPr>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11.61</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11.01</w:t>
            </w:r>
          </w:p>
          <w:p w:rsidR="006863D1" w:rsidRPr="006863D1" w:rsidRDefault="006863D1" w:rsidP="002F121E">
            <w:pPr>
              <w:pStyle w:val="Heading1"/>
              <w:spacing w:before="60" w:line="240" w:lineRule="auto"/>
              <w:contextualSpacing w:val="0"/>
              <w:jc w:val="center"/>
              <w:rPr>
                <w:rFonts w:ascii="Times New Roman" w:hAnsi="Times New Roman"/>
                <w:b/>
                <w:bCs/>
                <w:sz w:val="20"/>
                <w:szCs w:val="20"/>
              </w:rPr>
            </w:pPr>
            <w:r w:rsidRPr="006863D1">
              <w:rPr>
                <w:rFonts w:ascii="Times New Roman" w:hAnsi="Times New Roman"/>
                <w:sz w:val="20"/>
                <w:szCs w:val="20"/>
              </w:rPr>
              <w:t>10.44</w:t>
            </w:r>
          </w:p>
          <w:p w:rsidR="006863D1" w:rsidRPr="006863D1" w:rsidRDefault="006863D1" w:rsidP="002F121E">
            <w:pPr>
              <w:pStyle w:val="Heading1"/>
              <w:spacing w:before="60" w:after="60" w:line="240" w:lineRule="auto"/>
              <w:contextualSpacing w:val="0"/>
              <w:jc w:val="center"/>
              <w:rPr>
                <w:rFonts w:ascii="Times New Roman" w:hAnsi="Times New Roman"/>
                <w:b/>
                <w:bCs/>
                <w:sz w:val="20"/>
                <w:szCs w:val="20"/>
              </w:rPr>
            </w:pPr>
            <w:r w:rsidRPr="006863D1">
              <w:rPr>
                <w:rFonts w:ascii="Times New Roman" w:hAnsi="Times New Roman"/>
                <w:sz w:val="20"/>
                <w:szCs w:val="20"/>
              </w:rPr>
              <w:t>9.45</w:t>
            </w:r>
          </w:p>
        </w:tc>
      </w:tr>
    </w:tbl>
    <w:p w:rsidR="006863D1" w:rsidRPr="006863D1" w:rsidRDefault="006863D1" w:rsidP="002F121E">
      <w:pPr>
        <w:pStyle w:val="Papermain"/>
        <w:spacing w:after="120" w:line="240" w:lineRule="auto"/>
        <w:rPr>
          <w:rStyle w:val="maintitle"/>
          <w:rFonts w:cs="Times New Roman"/>
          <w:color w:val="auto"/>
          <w:sz w:val="20"/>
          <w:szCs w:val="20"/>
          <w:lang w:val="tr-TR"/>
        </w:rPr>
      </w:pPr>
    </w:p>
    <w:p w:rsidR="006863D1" w:rsidRPr="006863D1" w:rsidRDefault="006863D1" w:rsidP="006863D1">
      <w:pPr>
        <w:pStyle w:val="Papermain"/>
        <w:spacing w:line="240" w:lineRule="auto"/>
        <w:rPr>
          <w:rFonts w:cs="Times New Roman"/>
          <w:color w:val="auto"/>
          <w:sz w:val="20"/>
          <w:szCs w:val="20"/>
          <w:vertAlign w:val="superscript"/>
        </w:rPr>
      </w:pPr>
      <w:r w:rsidRPr="006863D1">
        <w:rPr>
          <w:rStyle w:val="maintitle"/>
          <w:rFonts w:cs="Times New Roman"/>
          <w:color w:val="auto"/>
          <w:sz w:val="20"/>
          <w:szCs w:val="20"/>
        </w:rPr>
        <w:t xml:space="preserve">It is observed from Table 1 that, the temperature increase leads to decreasing in log </w:t>
      </w:r>
      <w:r w:rsidRPr="006863D1">
        <w:rPr>
          <w:rFonts w:cs="Times New Roman"/>
          <w:color w:val="auto"/>
          <w:sz w:val="20"/>
          <w:szCs w:val="20"/>
        </w:rPr>
        <w:t>β</w:t>
      </w:r>
      <w:r w:rsidRPr="006863D1">
        <w:rPr>
          <w:rStyle w:val="maintitle"/>
          <w:rFonts w:cs="Times New Roman"/>
          <w:color w:val="auto"/>
          <w:sz w:val="20"/>
          <w:szCs w:val="20"/>
          <w:vertAlign w:val="subscript"/>
        </w:rPr>
        <w:t>i</w:t>
      </w:r>
      <w:r w:rsidRPr="006863D1">
        <w:rPr>
          <w:rStyle w:val="maintitle"/>
          <w:rFonts w:cs="Times New Roman"/>
          <w:color w:val="auto"/>
          <w:sz w:val="20"/>
          <w:szCs w:val="20"/>
        </w:rPr>
        <w:t xml:space="preserve"> values for both AZ and CE. It could be seen from data in all the cases that the differences between K</w:t>
      </w:r>
      <w:r w:rsidRPr="006863D1">
        <w:rPr>
          <w:rStyle w:val="maintitle"/>
          <w:rFonts w:cs="Times New Roman"/>
          <w:color w:val="auto"/>
          <w:sz w:val="20"/>
          <w:szCs w:val="20"/>
          <w:vertAlign w:val="subscript"/>
        </w:rPr>
        <w:t>1</w:t>
      </w:r>
      <w:r w:rsidRPr="006863D1">
        <w:rPr>
          <w:rStyle w:val="maintitle"/>
          <w:rFonts w:cs="Times New Roman"/>
          <w:color w:val="auto"/>
          <w:sz w:val="20"/>
          <w:szCs w:val="20"/>
        </w:rPr>
        <w:t>, 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 K</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 xml:space="preserve"> and K</w:t>
      </w:r>
      <w:r w:rsidRPr="006863D1">
        <w:rPr>
          <w:rStyle w:val="maintitle"/>
          <w:rFonts w:cs="Times New Roman"/>
          <w:color w:val="auto"/>
          <w:sz w:val="20"/>
          <w:szCs w:val="20"/>
          <w:vertAlign w:val="subscript"/>
        </w:rPr>
        <w:t>4</w:t>
      </w:r>
      <w:r w:rsidRPr="006863D1">
        <w:rPr>
          <w:rStyle w:val="maintitle"/>
          <w:rFonts w:cs="Times New Roman"/>
          <w:color w:val="auto"/>
          <w:sz w:val="20"/>
          <w:szCs w:val="20"/>
        </w:rPr>
        <w:t xml:space="preserve"> values are found to be high which indicate the formation of the </w:t>
      </w:r>
      <w:r w:rsidRPr="006863D1">
        <w:rPr>
          <w:rStyle w:val="maintitle"/>
          <w:rFonts w:cs="Times New Roman"/>
          <w:noProof/>
          <w:color w:val="auto"/>
          <w:sz w:val="20"/>
          <w:szCs w:val="20"/>
        </w:rPr>
        <w:t>stepwise</w:t>
      </w:r>
      <w:r w:rsidRPr="006863D1">
        <w:rPr>
          <w:rStyle w:val="maintitle"/>
          <w:rFonts w:cs="Times New Roman"/>
          <w:color w:val="auto"/>
          <w:sz w:val="20"/>
          <w:szCs w:val="20"/>
        </w:rPr>
        <w:t xml:space="preserve"> complex. The value of the </w:t>
      </w:r>
      <w:r w:rsidRPr="006863D1">
        <w:rPr>
          <w:rStyle w:val="maintitle"/>
          <w:rFonts w:cs="Times New Roman"/>
          <w:noProof/>
          <w:color w:val="auto"/>
          <w:sz w:val="20"/>
          <w:szCs w:val="20"/>
        </w:rPr>
        <w:t>ratio</w:t>
      </w:r>
      <w:r w:rsidRPr="006863D1">
        <w:rPr>
          <w:rStyle w:val="maintitle"/>
          <w:rFonts w:cs="Times New Roman"/>
          <w:color w:val="auto"/>
          <w:sz w:val="20"/>
          <w:szCs w:val="20"/>
        </w:rPr>
        <w:t xml:space="preserve"> of log K</w:t>
      </w:r>
      <w:r w:rsidRPr="006863D1">
        <w:rPr>
          <w:rStyle w:val="maintitle"/>
          <w:rFonts w:cs="Times New Roman"/>
          <w:color w:val="auto"/>
          <w:sz w:val="20"/>
          <w:szCs w:val="20"/>
          <w:vertAlign w:val="subscript"/>
        </w:rPr>
        <w:t>1</w:t>
      </w:r>
      <w:r w:rsidRPr="006863D1">
        <w:rPr>
          <w:rStyle w:val="maintitle"/>
          <w:rFonts w:cs="Times New Roman"/>
          <w:color w:val="auto"/>
          <w:sz w:val="20"/>
          <w:szCs w:val="20"/>
        </w:rPr>
        <w:t>/log 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 xml:space="preserve"> or log 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/log K</w:t>
      </w:r>
      <w:r w:rsidRPr="006863D1">
        <w:rPr>
          <w:rStyle w:val="maintitle"/>
          <w:rFonts w:cs="Times New Roman"/>
          <w:color w:val="auto"/>
          <w:sz w:val="20"/>
          <w:szCs w:val="20"/>
          <w:vertAlign w:val="subscript"/>
        </w:rPr>
        <w:t xml:space="preserve">3 </w:t>
      </w:r>
      <w:r w:rsidRPr="006863D1">
        <w:rPr>
          <w:rStyle w:val="maintitle"/>
          <w:rFonts w:cs="Times New Roman"/>
          <w:color w:val="auto"/>
          <w:sz w:val="20"/>
          <w:szCs w:val="20"/>
        </w:rPr>
        <w:t xml:space="preserve">is positive in all the cases. This implies that there is no steric hindrance to the addition of a secondary ligand molecule </w:t>
      </w:r>
      <w:r w:rsidRPr="006863D1">
        <w:rPr>
          <w:rFonts w:cs="Times New Roman"/>
          <w:color w:val="auto"/>
          <w:sz w:val="20"/>
          <w:szCs w:val="20"/>
        </w:rPr>
        <w:t>[36]</w:t>
      </w:r>
      <w:r w:rsidRPr="006863D1">
        <w:rPr>
          <w:rStyle w:val="maintitle"/>
          <w:rFonts w:cs="Times New Roman"/>
          <w:color w:val="auto"/>
          <w:sz w:val="20"/>
          <w:szCs w:val="20"/>
        </w:rPr>
        <w:t>.</w:t>
      </w:r>
      <w:r w:rsidRPr="006863D1">
        <w:rPr>
          <w:rStyle w:val="maintitle"/>
          <w:rFonts w:cs="Times New Roman"/>
          <w:color w:val="auto"/>
          <w:sz w:val="20"/>
          <w:szCs w:val="20"/>
          <w:vertAlign w:val="superscript"/>
        </w:rPr>
        <w:t xml:space="preserve"> </w:t>
      </w:r>
      <w:r w:rsidRPr="006863D1">
        <w:rPr>
          <w:rFonts w:cs="Times New Roman"/>
          <w:color w:val="auto"/>
          <w:sz w:val="20"/>
          <w:szCs w:val="20"/>
        </w:rPr>
        <w:t>This is due to the statistically effective and statistically coordination of a second molecule is difficult when compared to the first due to the availability of less number of coordinating sites on the metal ion for the second ligand [37].</w:t>
      </w:r>
    </w:p>
    <w:p w:rsidR="006863D1" w:rsidRPr="006863D1" w:rsidRDefault="006863D1" w:rsidP="006863D1">
      <w:pPr>
        <w:pStyle w:val="Papermain"/>
        <w:spacing w:line="240" w:lineRule="auto"/>
        <w:rPr>
          <w:rFonts w:cs="Times New Roman"/>
          <w:color w:val="auto"/>
          <w:sz w:val="20"/>
          <w:szCs w:val="20"/>
          <w:vertAlign w:val="superscript"/>
        </w:rPr>
      </w:pPr>
    </w:p>
    <w:p w:rsidR="006863D1" w:rsidRPr="006863D1" w:rsidRDefault="006863D1" w:rsidP="006863D1">
      <w:pPr>
        <w:pStyle w:val="Papersubsection"/>
        <w:numPr>
          <w:ilvl w:val="0"/>
          <w:numId w:val="0"/>
        </w:numPr>
        <w:tabs>
          <w:tab w:val="left" w:pos="426"/>
        </w:tabs>
        <w:spacing w:line="240" w:lineRule="auto"/>
        <w:jc w:val="both"/>
        <w:rPr>
          <w:rFonts w:cs="Times New Roman"/>
          <w:i/>
          <w:iCs/>
          <w:color w:val="auto"/>
          <w:sz w:val="20"/>
          <w:szCs w:val="20"/>
          <w:u w:val="single"/>
        </w:rPr>
      </w:pPr>
      <w:r w:rsidRPr="006863D1">
        <w:rPr>
          <w:rFonts w:cs="Times New Roman"/>
          <w:color w:val="auto"/>
          <w:sz w:val="20"/>
          <w:szCs w:val="20"/>
        </w:rPr>
        <w:t>Complexes thermodynamic</w:t>
      </w: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rPr>
        <w:t xml:space="preserve">The chemical species in the reaction undergo a change in their concentrations, at the same time. The Gibb's free energy is a function of the concentrations of reactants and products. Entropy is a measure of energy that is unavailable for useful, chemical work. The entropy of an individual species is always positive and tends to be larger for gases than for solids, and for more complex molecules than for simple molecules. The thermodynamic parameters values of Re(V)-AZ and Re(V)-CE complexes have been calculated from the temperature dependent data given in Table 1. </w:t>
      </w: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rPr>
        <w:t>The thermodynamic data were plotted as the values of equilibrium constants (</w:t>
      </w:r>
      <w:r w:rsidRPr="006863D1">
        <w:rPr>
          <w:rStyle w:val="maintitle"/>
          <w:rFonts w:cs="Times New Roman"/>
          <w:color w:val="auto"/>
          <w:sz w:val="20"/>
          <w:szCs w:val="20"/>
        </w:rPr>
        <w:t>log K</w:t>
      </w:r>
      <w:r w:rsidRPr="006863D1">
        <w:rPr>
          <w:rStyle w:val="maintitle"/>
          <w:rFonts w:cs="Times New Roman"/>
          <w:color w:val="auto"/>
          <w:sz w:val="20"/>
          <w:szCs w:val="20"/>
          <w:vertAlign w:val="subscript"/>
        </w:rPr>
        <w:t>i</w:t>
      </w:r>
      <w:r w:rsidRPr="006863D1">
        <w:rPr>
          <w:rFonts w:cs="Times New Roman"/>
          <w:color w:val="auto"/>
          <w:sz w:val="20"/>
          <w:szCs w:val="20"/>
        </w:rPr>
        <w:t>) versus the reciprocal of temperature (1/T) as shown in Figures 2 and 3 for AZ and CE complexes, respectively. All the thermodynamic parameters of the stepwise stability constants of the complexes are given in</w:t>
      </w:r>
      <w:r w:rsidRPr="006863D1">
        <w:rPr>
          <w:rFonts w:cs="Times New Roman"/>
          <w:noProof/>
          <w:color w:val="auto"/>
          <w:sz w:val="20"/>
          <w:szCs w:val="20"/>
        </w:rPr>
        <w:t xml:space="preserve"> Table</w:t>
      </w:r>
      <w:r w:rsidRPr="006863D1">
        <w:rPr>
          <w:rFonts w:cs="Times New Roman"/>
          <w:color w:val="auto"/>
          <w:sz w:val="20"/>
          <w:szCs w:val="20"/>
        </w:rPr>
        <w:t xml:space="preserve"> 2.</w:t>
      </w:r>
    </w:p>
    <w:p w:rsidR="006863D1" w:rsidRPr="006A7B41" w:rsidRDefault="006863D1" w:rsidP="006A7B41">
      <w:pPr>
        <w:pStyle w:val="Papermain"/>
        <w:spacing w:after="120" w:line="240" w:lineRule="auto"/>
        <w:rPr>
          <w:rFonts w:cs="Times New Roman"/>
          <w:color w:val="auto"/>
          <w:sz w:val="20"/>
          <w:szCs w:val="20"/>
        </w:rPr>
      </w:pPr>
    </w:p>
    <w:p w:rsidR="006863D1" w:rsidRPr="006863D1" w:rsidRDefault="006863D1" w:rsidP="006A7B41">
      <w:pPr>
        <w:pStyle w:val="Papermain"/>
        <w:spacing w:after="120" w:line="240" w:lineRule="auto"/>
        <w:jc w:val="center"/>
        <w:rPr>
          <w:rFonts w:cs="Times New Roman"/>
          <w:color w:val="auto"/>
          <w:sz w:val="20"/>
          <w:szCs w:val="20"/>
        </w:rPr>
      </w:pPr>
      <w:r w:rsidRPr="006863D1">
        <w:rPr>
          <w:rFonts w:cs="Times New Roman"/>
          <w:noProof/>
          <w:color w:val="auto"/>
          <w:sz w:val="20"/>
          <w:szCs w:val="20"/>
        </w:rPr>
        <w:drawing>
          <wp:inline distT="0" distB="0" distL="0" distR="0" wp14:anchorId="57B54923" wp14:editId="60C397C8">
            <wp:extent cx="3325547" cy="2194560"/>
            <wp:effectExtent l="19050" t="19050" r="27305"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5547" cy="2194560"/>
                    </a:xfrm>
                    <a:prstGeom prst="rect">
                      <a:avLst/>
                    </a:prstGeom>
                    <a:ln w="6350" cap="sq">
                      <a:solidFill>
                        <a:srgbClr val="000000"/>
                      </a:solidFill>
                      <a:prstDash val="solid"/>
                      <a:miter lim="800000"/>
                    </a:ln>
                    <a:effectLst/>
                  </pic:spPr>
                </pic:pic>
              </a:graphicData>
            </a:graphic>
          </wp:inline>
        </w:drawing>
      </w:r>
    </w:p>
    <w:p w:rsidR="006863D1" w:rsidRPr="006863D1" w:rsidRDefault="006863D1" w:rsidP="006863D1">
      <w:pPr>
        <w:pStyle w:val="Papermain"/>
        <w:spacing w:line="240" w:lineRule="auto"/>
        <w:ind w:left="851" w:hanging="851"/>
        <w:rPr>
          <w:rFonts w:cs="Times New Roman"/>
          <w:color w:val="auto"/>
          <w:sz w:val="20"/>
          <w:szCs w:val="20"/>
        </w:rPr>
      </w:pPr>
      <w:r w:rsidRPr="006863D1">
        <w:rPr>
          <w:rFonts w:cs="Times New Roman"/>
          <w:color w:val="auto"/>
          <w:sz w:val="20"/>
          <w:szCs w:val="20"/>
        </w:rPr>
        <w:t xml:space="preserve">Figure 2. </w:t>
      </w:r>
      <w:r w:rsidR="006A7B41">
        <w:rPr>
          <w:rFonts w:cs="Times New Roman"/>
          <w:color w:val="auto"/>
          <w:sz w:val="20"/>
          <w:szCs w:val="20"/>
        </w:rPr>
        <w:tab/>
      </w:r>
      <w:r w:rsidRPr="006863D1">
        <w:rPr>
          <w:rFonts w:cs="Times New Roman"/>
          <w:color w:val="auto"/>
          <w:sz w:val="20"/>
          <w:szCs w:val="20"/>
        </w:rPr>
        <w:t>The relations between the values of equilibrium constants (</w:t>
      </w:r>
      <w:r w:rsidRPr="006863D1">
        <w:rPr>
          <w:rStyle w:val="maintitle"/>
          <w:rFonts w:cs="Times New Roman"/>
          <w:color w:val="auto"/>
          <w:sz w:val="20"/>
          <w:szCs w:val="20"/>
        </w:rPr>
        <w:t>log K</w:t>
      </w:r>
      <w:r w:rsidRPr="006863D1">
        <w:rPr>
          <w:rStyle w:val="maintitle"/>
          <w:rFonts w:cs="Times New Roman"/>
          <w:color w:val="auto"/>
          <w:sz w:val="20"/>
          <w:szCs w:val="20"/>
          <w:vertAlign w:val="subscript"/>
        </w:rPr>
        <w:t>i</w:t>
      </w:r>
      <w:r w:rsidRPr="006863D1">
        <w:rPr>
          <w:rFonts w:cs="Times New Roman"/>
          <w:color w:val="auto"/>
          <w:sz w:val="20"/>
          <w:szCs w:val="20"/>
        </w:rPr>
        <w:t>) versus the reciprocal of temperature (1/T) of Re(V)-AZ complexes: log K</w:t>
      </w:r>
      <w:r w:rsidRPr="006863D1">
        <w:rPr>
          <w:rFonts w:cs="Times New Roman"/>
          <w:color w:val="auto"/>
          <w:sz w:val="20"/>
          <w:szCs w:val="20"/>
          <w:vertAlign w:val="subscript"/>
        </w:rPr>
        <w:t>2</w:t>
      </w:r>
      <w:r w:rsidRPr="006863D1">
        <w:rPr>
          <w:rFonts w:cs="Times New Roman"/>
          <w:color w:val="auto"/>
          <w:sz w:val="20"/>
          <w:szCs w:val="20"/>
        </w:rPr>
        <w:t xml:space="preserve"> corresponds to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Cl</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w:t>
      </w:r>
      <w:r w:rsidRPr="006863D1">
        <w:rPr>
          <w:rFonts w:cs="Times New Roman"/>
          <w:color w:val="auto"/>
          <w:sz w:val="20"/>
          <w:szCs w:val="20"/>
        </w:rPr>
        <w:t>; log K</w:t>
      </w:r>
      <w:r w:rsidRPr="006863D1">
        <w:rPr>
          <w:rFonts w:cs="Times New Roman"/>
          <w:color w:val="auto"/>
          <w:sz w:val="20"/>
          <w:szCs w:val="20"/>
          <w:vertAlign w:val="subscript"/>
        </w:rPr>
        <w:t>3</w:t>
      </w:r>
      <w:r w:rsidRPr="006863D1">
        <w:rPr>
          <w:rFonts w:cs="Times New Roman"/>
          <w:color w:val="auto"/>
          <w:sz w:val="20"/>
          <w:szCs w:val="20"/>
        </w:rPr>
        <w:t xml:space="preserve"> corresponds to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Cl</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w:t>
      </w:r>
      <w:r w:rsidRPr="006863D1">
        <w:rPr>
          <w:rStyle w:val="maintitle"/>
          <w:rFonts w:cs="Times New Roman"/>
          <w:color w:val="auto"/>
          <w:sz w:val="20"/>
          <w:szCs w:val="20"/>
          <w:vertAlign w:val="superscript"/>
        </w:rPr>
        <w:t>+</w:t>
      </w:r>
      <w:r w:rsidRPr="006863D1">
        <w:rPr>
          <w:rFonts w:cs="Times New Roman"/>
          <w:color w:val="auto"/>
          <w:sz w:val="20"/>
          <w:szCs w:val="20"/>
        </w:rPr>
        <w:t xml:space="preserve"> and log K</w:t>
      </w:r>
      <w:r w:rsidRPr="006863D1">
        <w:rPr>
          <w:rFonts w:cs="Times New Roman"/>
          <w:color w:val="auto"/>
          <w:sz w:val="20"/>
          <w:szCs w:val="20"/>
          <w:vertAlign w:val="subscript"/>
        </w:rPr>
        <w:t>4</w:t>
      </w:r>
      <w:r w:rsidRPr="006863D1">
        <w:rPr>
          <w:rFonts w:cs="Times New Roman"/>
          <w:color w:val="auto"/>
          <w:sz w:val="20"/>
          <w:szCs w:val="20"/>
        </w:rPr>
        <w:t xml:space="preserve"> corresponds to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4</w:t>
      </w:r>
      <w:r w:rsidRPr="006863D1">
        <w:rPr>
          <w:rStyle w:val="maintitle"/>
          <w:rFonts w:cs="Times New Roman"/>
          <w:color w:val="auto"/>
          <w:sz w:val="20"/>
          <w:szCs w:val="20"/>
        </w:rPr>
        <w:t>Cl]</w:t>
      </w:r>
      <w:r w:rsidRPr="006863D1">
        <w:rPr>
          <w:rStyle w:val="maintitle"/>
          <w:rFonts w:cs="Times New Roman"/>
          <w:color w:val="auto"/>
          <w:sz w:val="20"/>
          <w:szCs w:val="20"/>
          <w:vertAlign w:val="superscript"/>
        </w:rPr>
        <w:t>2+</w:t>
      </w:r>
      <w:r w:rsidRPr="006863D1">
        <w:rPr>
          <w:rFonts w:cs="Times New Roman"/>
          <w:color w:val="auto"/>
          <w:sz w:val="20"/>
          <w:szCs w:val="20"/>
        </w:rPr>
        <w:t xml:space="preserve"> species</w:t>
      </w:r>
    </w:p>
    <w:p w:rsidR="006863D1" w:rsidRPr="006863D1" w:rsidRDefault="006863D1" w:rsidP="006863D1">
      <w:pPr>
        <w:pStyle w:val="Papermain"/>
        <w:spacing w:line="240" w:lineRule="auto"/>
        <w:rPr>
          <w:rFonts w:cs="Times New Roman"/>
          <w:color w:val="auto"/>
          <w:sz w:val="20"/>
          <w:szCs w:val="20"/>
          <w:vertAlign w:val="superscript"/>
        </w:rPr>
      </w:pPr>
    </w:p>
    <w:p w:rsidR="006863D1" w:rsidRPr="006863D1" w:rsidRDefault="006863D1" w:rsidP="006A7B41">
      <w:pPr>
        <w:pStyle w:val="Papermain"/>
        <w:spacing w:after="120" w:line="240" w:lineRule="auto"/>
        <w:jc w:val="center"/>
        <w:rPr>
          <w:rFonts w:cs="Times New Roman"/>
          <w:color w:val="auto"/>
          <w:sz w:val="20"/>
          <w:szCs w:val="20"/>
        </w:rPr>
      </w:pPr>
      <w:r w:rsidRPr="006863D1">
        <w:rPr>
          <w:rFonts w:cs="Times New Roman"/>
          <w:noProof/>
          <w:color w:val="auto"/>
          <w:sz w:val="20"/>
          <w:szCs w:val="20"/>
        </w:rPr>
        <w:lastRenderedPageBreak/>
        <w:drawing>
          <wp:inline distT="0" distB="0" distL="0" distR="0" wp14:anchorId="326A43A8" wp14:editId="31B24B5D">
            <wp:extent cx="3172997" cy="2286000"/>
            <wp:effectExtent l="19050" t="19050" r="2794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2997" cy="2286000"/>
                    </a:xfrm>
                    <a:prstGeom prst="rect">
                      <a:avLst/>
                    </a:prstGeom>
                    <a:ln w="6350" cap="sq">
                      <a:solidFill>
                        <a:srgbClr val="000000"/>
                      </a:solidFill>
                      <a:prstDash val="solid"/>
                      <a:miter lim="800000"/>
                    </a:ln>
                    <a:effectLst/>
                  </pic:spPr>
                </pic:pic>
              </a:graphicData>
            </a:graphic>
          </wp:inline>
        </w:drawing>
      </w:r>
    </w:p>
    <w:p w:rsidR="006863D1" w:rsidRPr="006863D1" w:rsidRDefault="006863D1" w:rsidP="006863D1">
      <w:pPr>
        <w:pStyle w:val="Papermain"/>
        <w:spacing w:line="240" w:lineRule="auto"/>
        <w:ind w:left="851" w:hanging="851"/>
        <w:rPr>
          <w:rFonts w:cs="Times New Roman"/>
          <w:color w:val="auto"/>
          <w:sz w:val="20"/>
          <w:szCs w:val="20"/>
        </w:rPr>
      </w:pPr>
      <w:r w:rsidRPr="006863D1">
        <w:rPr>
          <w:rFonts w:cs="Times New Roman"/>
          <w:color w:val="auto"/>
          <w:sz w:val="20"/>
          <w:szCs w:val="20"/>
        </w:rPr>
        <w:t xml:space="preserve">Figure 3. </w:t>
      </w:r>
      <w:r w:rsidR="006A7B41">
        <w:rPr>
          <w:rFonts w:cs="Times New Roman"/>
          <w:color w:val="auto"/>
          <w:sz w:val="20"/>
          <w:szCs w:val="20"/>
        </w:rPr>
        <w:tab/>
      </w:r>
      <w:r w:rsidRPr="006863D1">
        <w:rPr>
          <w:rFonts w:cs="Times New Roman"/>
          <w:color w:val="auto"/>
          <w:sz w:val="20"/>
          <w:szCs w:val="20"/>
        </w:rPr>
        <w:t>The relations between the values of equilibrium constants (</w:t>
      </w:r>
      <w:r w:rsidRPr="006863D1">
        <w:rPr>
          <w:rStyle w:val="maintitle"/>
          <w:rFonts w:cs="Times New Roman"/>
          <w:color w:val="auto"/>
          <w:sz w:val="20"/>
          <w:szCs w:val="20"/>
        </w:rPr>
        <w:t>log K</w:t>
      </w:r>
      <w:r w:rsidRPr="006863D1">
        <w:rPr>
          <w:rStyle w:val="maintitle"/>
          <w:rFonts w:cs="Times New Roman"/>
          <w:color w:val="auto"/>
          <w:sz w:val="20"/>
          <w:szCs w:val="20"/>
          <w:vertAlign w:val="subscript"/>
        </w:rPr>
        <w:t>i</w:t>
      </w:r>
      <w:r w:rsidRPr="006863D1">
        <w:rPr>
          <w:rFonts w:cs="Times New Roman"/>
          <w:color w:val="auto"/>
          <w:sz w:val="20"/>
          <w:szCs w:val="20"/>
        </w:rPr>
        <w:t>) versus the reciprocal of temperature (1/T) of Re(V)-CE complexes: log K</w:t>
      </w:r>
      <w:r w:rsidRPr="006863D1">
        <w:rPr>
          <w:rFonts w:cs="Times New Roman"/>
          <w:color w:val="auto"/>
          <w:sz w:val="20"/>
          <w:szCs w:val="20"/>
          <w:vertAlign w:val="subscript"/>
        </w:rPr>
        <w:t>1</w:t>
      </w:r>
      <w:r w:rsidRPr="006863D1">
        <w:rPr>
          <w:rFonts w:cs="Times New Roman"/>
          <w:color w:val="auto"/>
          <w:sz w:val="20"/>
          <w:szCs w:val="20"/>
        </w:rPr>
        <w:t xml:space="preserve"> corresponds to </w:t>
      </w:r>
      <w:r w:rsidRPr="006863D1">
        <w:rPr>
          <w:rStyle w:val="maintitle"/>
          <w:rFonts w:cs="Times New Roman"/>
          <w:color w:val="auto"/>
          <w:sz w:val="20"/>
          <w:szCs w:val="20"/>
        </w:rPr>
        <w:t>[ReO(CE)Cl</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w:t>
      </w:r>
      <w:r w:rsidRPr="006863D1">
        <w:rPr>
          <w:rFonts w:cs="Times New Roman"/>
          <w:color w:val="auto"/>
          <w:sz w:val="20"/>
          <w:szCs w:val="20"/>
          <w:vertAlign w:val="superscript"/>
        </w:rPr>
        <w:t>–</w:t>
      </w:r>
      <w:r w:rsidRPr="006863D1">
        <w:rPr>
          <w:rStyle w:val="maintitle"/>
          <w:rFonts w:cs="Times New Roman"/>
          <w:color w:val="auto"/>
          <w:sz w:val="20"/>
          <w:szCs w:val="20"/>
        </w:rPr>
        <w:t xml:space="preserve"> </w:t>
      </w:r>
      <w:r w:rsidRPr="006863D1">
        <w:rPr>
          <w:rFonts w:cs="Times New Roman"/>
          <w:color w:val="auto"/>
          <w:sz w:val="20"/>
          <w:szCs w:val="20"/>
        </w:rPr>
        <w:t>and log K</w:t>
      </w:r>
      <w:r w:rsidRPr="006863D1">
        <w:rPr>
          <w:rFonts w:cs="Times New Roman"/>
          <w:color w:val="auto"/>
          <w:sz w:val="20"/>
          <w:szCs w:val="20"/>
          <w:vertAlign w:val="subscript"/>
        </w:rPr>
        <w:t>2</w:t>
      </w:r>
      <w:r w:rsidRPr="006863D1">
        <w:rPr>
          <w:rFonts w:cs="Times New Roman"/>
          <w:color w:val="auto"/>
          <w:sz w:val="20"/>
          <w:szCs w:val="20"/>
        </w:rPr>
        <w:t xml:space="preserve"> corresponds to </w:t>
      </w:r>
      <w:r w:rsidRPr="006863D1">
        <w:rPr>
          <w:rStyle w:val="maintitle"/>
          <w:rFonts w:cs="Times New Roman"/>
          <w:color w:val="auto"/>
          <w:sz w:val="20"/>
          <w:szCs w:val="20"/>
        </w:rPr>
        <w:t>[ReO(CE)</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Cl]</w:t>
      </w:r>
      <w:r w:rsidRPr="006863D1">
        <w:rPr>
          <w:rFonts w:cs="Times New Roman"/>
          <w:color w:val="auto"/>
          <w:sz w:val="20"/>
          <w:szCs w:val="20"/>
        </w:rPr>
        <w:t xml:space="preserve"> species</w:t>
      </w: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A7B41">
      <w:pPr>
        <w:pStyle w:val="Papermain"/>
        <w:spacing w:after="120" w:line="240" w:lineRule="auto"/>
        <w:jc w:val="center"/>
        <w:rPr>
          <w:rFonts w:cs="Times New Roman"/>
          <w:color w:val="auto"/>
          <w:sz w:val="20"/>
          <w:szCs w:val="20"/>
        </w:rPr>
      </w:pPr>
      <w:r w:rsidRPr="006863D1">
        <w:rPr>
          <w:rFonts w:cs="Times New Roman"/>
          <w:color w:val="auto"/>
          <w:sz w:val="20"/>
          <w:szCs w:val="20"/>
        </w:rPr>
        <w:t xml:space="preserve">Table 2. </w:t>
      </w:r>
      <w:r w:rsidR="006A7B41">
        <w:rPr>
          <w:rFonts w:cs="Times New Roman"/>
          <w:color w:val="auto"/>
          <w:sz w:val="20"/>
          <w:szCs w:val="20"/>
        </w:rPr>
        <w:t xml:space="preserve"> </w:t>
      </w:r>
      <w:r w:rsidRPr="006863D1">
        <w:rPr>
          <w:rFonts w:cs="Times New Roman"/>
          <w:color w:val="auto"/>
          <w:sz w:val="20"/>
          <w:szCs w:val="20"/>
        </w:rPr>
        <w:t>Thermodynamic parameters of Re(V) complexes with AZ and CE in 0.3 M HCl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85"/>
        <w:gridCol w:w="1325"/>
        <w:gridCol w:w="1418"/>
        <w:gridCol w:w="1701"/>
      </w:tblGrid>
      <w:tr w:rsidR="006863D1" w:rsidRPr="006863D1" w:rsidTr="006A7B41">
        <w:trPr>
          <w:jc w:val="center"/>
        </w:trPr>
        <w:tc>
          <w:tcPr>
            <w:tcW w:w="2185" w:type="dxa"/>
            <w:tcBorders>
              <w:top w:val="single" w:sz="4" w:space="0" w:color="auto"/>
              <w:bottom w:val="single" w:sz="4" w:space="0" w:color="auto"/>
            </w:tcBorders>
            <w:shd w:val="clear" w:color="auto" w:fill="auto"/>
            <w:vAlign w:val="center"/>
          </w:tcPr>
          <w:p w:rsidR="006863D1" w:rsidRPr="006863D1" w:rsidRDefault="006863D1" w:rsidP="006863D1">
            <w:pPr>
              <w:spacing w:after="0" w:line="240" w:lineRule="auto"/>
              <w:jc w:val="both"/>
              <w:rPr>
                <w:rFonts w:ascii="Times New Roman" w:hAnsi="Times New Roman"/>
                <w:b/>
                <w:bCs/>
                <w:sz w:val="20"/>
                <w:szCs w:val="20"/>
              </w:rPr>
            </w:pPr>
            <w:r w:rsidRPr="006863D1">
              <w:rPr>
                <w:rFonts w:ascii="Times New Roman" w:hAnsi="Times New Roman"/>
                <w:b/>
                <w:bCs/>
                <w:sz w:val="20"/>
                <w:szCs w:val="20"/>
              </w:rPr>
              <w:t>Species</w:t>
            </w:r>
          </w:p>
        </w:tc>
        <w:tc>
          <w:tcPr>
            <w:tcW w:w="1325"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b/>
                <w:bCs/>
                <w:sz w:val="20"/>
                <w:szCs w:val="20"/>
              </w:rPr>
            </w:pPr>
            <w:r w:rsidRPr="006863D1">
              <w:rPr>
                <w:rStyle w:val="publication-meta-journal"/>
                <w:rFonts w:ascii="Times New Roman" w:hAnsi="Times New Roman"/>
                <w:b/>
                <w:bCs/>
                <w:sz w:val="20"/>
                <w:szCs w:val="20"/>
              </w:rPr>
              <w:t>–</w:t>
            </w:r>
            <w:r w:rsidRPr="006863D1">
              <w:rPr>
                <w:rFonts w:ascii="Times New Roman" w:hAnsi="Times New Roman"/>
                <w:b/>
                <w:bCs/>
                <w:sz w:val="20"/>
                <w:szCs w:val="20"/>
              </w:rPr>
              <w:t xml:space="preserve"> ∆G</w:t>
            </w:r>
          </w:p>
          <w:p w:rsidR="006863D1" w:rsidRPr="006863D1" w:rsidRDefault="006863D1" w:rsidP="006A7B41">
            <w:pPr>
              <w:spacing w:after="60" w:line="240" w:lineRule="auto"/>
              <w:jc w:val="center"/>
              <w:rPr>
                <w:rFonts w:ascii="Times New Roman" w:hAnsi="Times New Roman"/>
                <w:b/>
                <w:bCs/>
                <w:sz w:val="20"/>
                <w:szCs w:val="20"/>
              </w:rPr>
            </w:pPr>
            <w:r w:rsidRPr="006863D1">
              <w:rPr>
                <w:rFonts w:ascii="Times New Roman" w:hAnsi="Times New Roman"/>
                <w:b/>
                <w:bCs/>
                <w:sz w:val="20"/>
                <w:szCs w:val="20"/>
              </w:rPr>
              <w:t>(kJ/mol)</w:t>
            </w:r>
          </w:p>
        </w:tc>
        <w:tc>
          <w:tcPr>
            <w:tcW w:w="1418"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b/>
                <w:bCs/>
                <w:sz w:val="20"/>
                <w:szCs w:val="20"/>
              </w:rPr>
            </w:pPr>
            <w:r w:rsidRPr="006863D1">
              <w:rPr>
                <w:rStyle w:val="publication-meta-journal"/>
                <w:rFonts w:ascii="Times New Roman" w:hAnsi="Times New Roman"/>
                <w:b/>
                <w:bCs/>
                <w:sz w:val="20"/>
                <w:szCs w:val="20"/>
              </w:rPr>
              <w:t>–</w:t>
            </w:r>
            <w:r w:rsidRPr="006863D1">
              <w:rPr>
                <w:rFonts w:ascii="Times New Roman" w:hAnsi="Times New Roman"/>
                <w:b/>
                <w:bCs/>
                <w:sz w:val="20"/>
                <w:szCs w:val="20"/>
              </w:rPr>
              <w:t xml:space="preserve"> ∆H</w:t>
            </w:r>
          </w:p>
          <w:p w:rsidR="006863D1" w:rsidRPr="006863D1" w:rsidRDefault="006863D1" w:rsidP="006A7B41">
            <w:pPr>
              <w:spacing w:after="60" w:line="240" w:lineRule="auto"/>
              <w:jc w:val="center"/>
              <w:rPr>
                <w:rFonts w:ascii="Times New Roman" w:hAnsi="Times New Roman"/>
                <w:b/>
                <w:bCs/>
                <w:sz w:val="20"/>
                <w:szCs w:val="20"/>
              </w:rPr>
            </w:pPr>
            <w:r w:rsidRPr="006863D1">
              <w:rPr>
                <w:rFonts w:ascii="Times New Roman" w:hAnsi="Times New Roman"/>
                <w:b/>
                <w:bCs/>
                <w:sz w:val="20"/>
                <w:szCs w:val="20"/>
              </w:rPr>
              <w:t>(kJ/mol)</w:t>
            </w:r>
          </w:p>
        </w:tc>
        <w:tc>
          <w:tcPr>
            <w:tcW w:w="1701"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b/>
                <w:bCs/>
                <w:sz w:val="20"/>
                <w:szCs w:val="20"/>
              </w:rPr>
            </w:pPr>
            <w:r w:rsidRPr="006863D1">
              <w:rPr>
                <w:rFonts w:ascii="Times New Roman" w:hAnsi="Times New Roman"/>
                <w:b/>
                <w:bCs/>
                <w:sz w:val="20"/>
                <w:szCs w:val="20"/>
              </w:rPr>
              <w:t>∆S</w:t>
            </w:r>
          </w:p>
          <w:p w:rsidR="006863D1" w:rsidRPr="006863D1" w:rsidRDefault="006863D1" w:rsidP="006A7B41">
            <w:pPr>
              <w:spacing w:after="60" w:line="240" w:lineRule="auto"/>
              <w:jc w:val="center"/>
              <w:rPr>
                <w:rFonts w:ascii="Times New Roman" w:hAnsi="Times New Roman"/>
                <w:b/>
                <w:bCs/>
                <w:sz w:val="20"/>
                <w:szCs w:val="20"/>
              </w:rPr>
            </w:pPr>
            <w:r w:rsidRPr="006863D1">
              <w:rPr>
                <w:rFonts w:ascii="Times New Roman" w:hAnsi="Times New Roman"/>
                <w:b/>
                <w:bCs/>
                <w:sz w:val="20"/>
                <w:szCs w:val="20"/>
              </w:rPr>
              <w:t>(J/K mol)</w:t>
            </w:r>
          </w:p>
        </w:tc>
      </w:tr>
      <w:tr w:rsidR="006863D1" w:rsidRPr="006863D1" w:rsidTr="006A7B41">
        <w:trPr>
          <w:trHeight w:val="416"/>
          <w:jc w:val="center"/>
        </w:trPr>
        <w:tc>
          <w:tcPr>
            <w:tcW w:w="2185"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both"/>
              <w:rPr>
                <w:rFonts w:ascii="Times New Roman" w:hAnsi="Times New Roman"/>
                <w:sz w:val="20"/>
                <w:szCs w:val="20"/>
              </w:rPr>
            </w:pP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w:t>
            </w:r>
          </w:p>
          <w:p w:rsidR="006863D1" w:rsidRPr="006863D1" w:rsidRDefault="006863D1" w:rsidP="006A7B41">
            <w:pPr>
              <w:spacing w:before="60" w:after="0" w:line="240" w:lineRule="auto"/>
              <w:jc w:val="both"/>
              <w:rPr>
                <w:rStyle w:val="maintitle"/>
                <w:rFonts w:ascii="Times New Roman" w:hAnsi="Times New Roman"/>
                <w:sz w:val="20"/>
                <w:szCs w:val="20"/>
              </w:rPr>
            </w:pP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w:t>
            </w:r>
            <w:r w:rsidRPr="006863D1">
              <w:rPr>
                <w:rStyle w:val="maintitle"/>
                <w:rFonts w:ascii="Times New Roman" w:hAnsi="Times New Roman"/>
                <w:sz w:val="20"/>
                <w:szCs w:val="20"/>
                <w:vertAlign w:val="superscript"/>
              </w:rPr>
              <w:t>+</w:t>
            </w:r>
          </w:p>
          <w:p w:rsidR="006863D1" w:rsidRPr="006863D1" w:rsidRDefault="006863D1" w:rsidP="006A7B41">
            <w:pPr>
              <w:spacing w:before="60" w:after="0" w:line="240" w:lineRule="auto"/>
              <w:jc w:val="both"/>
              <w:rPr>
                <w:rStyle w:val="maintitle"/>
                <w:rFonts w:ascii="Times New Roman" w:hAnsi="Times New Roman"/>
                <w:sz w:val="20"/>
                <w:szCs w:val="20"/>
              </w:rPr>
            </w:pP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4</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perscript"/>
              </w:rPr>
              <w:t>2+</w:t>
            </w:r>
          </w:p>
          <w:p w:rsidR="006863D1" w:rsidRPr="006863D1" w:rsidRDefault="006863D1" w:rsidP="006A7B41">
            <w:pPr>
              <w:spacing w:before="60" w:after="0" w:line="240" w:lineRule="auto"/>
              <w:jc w:val="both"/>
              <w:rPr>
                <w:rStyle w:val="maintitle"/>
                <w:rFonts w:ascii="Times New Roman" w:hAnsi="Times New Roman"/>
                <w:sz w:val="20"/>
                <w:szCs w:val="20"/>
              </w:rPr>
            </w:pPr>
            <w:r w:rsidRPr="006863D1">
              <w:rPr>
                <w:rStyle w:val="maintitle"/>
                <w:rFonts w:ascii="Times New Roman" w:hAnsi="Times New Roman"/>
                <w:sz w:val="20"/>
                <w:szCs w:val="20"/>
              </w:rPr>
              <w:t>[ReO(CE)Cl</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w:t>
            </w:r>
            <w:r w:rsidRPr="006863D1">
              <w:rPr>
                <w:rFonts w:ascii="Times New Roman" w:hAnsi="Times New Roman"/>
                <w:sz w:val="20"/>
                <w:szCs w:val="20"/>
                <w:vertAlign w:val="superscript"/>
              </w:rPr>
              <w:t>–</w:t>
            </w:r>
          </w:p>
          <w:p w:rsidR="006863D1" w:rsidRPr="006863D1" w:rsidRDefault="006863D1" w:rsidP="006A7B41">
            <w:pPr>
              <w:spacing w:before="60" w:after="60" w:line="240" w:lineRule="auto"/>
              <w:jc w:val="both"/>
              <w:rPr>
                <w:rFonts w:ascii="Times New Roman" w:hAnsi="Times New Roman"/>
                <w:sz w:val="20"/>
                <w:szCs w:val="20"/>
                <w:vertAlign w:val="subscript"/>
              </w:rPr>
            </w:pPr>
            <w:r w:rsidRPr="006863D1">
              <w:rPr>
                <w:rStyle w:val="maintitle"/>
                <w:rFonts w:ascii="Times New Roman" w:hAnsi="Times New Roman"/>
                <w:sz w:val="20"/>
                <w:szCs w:val="20"/>
              </w:rPr>
              <w:t>[ReO(CE)</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Cl]</w:t>
            </w:r>
          </w:p>
        </w:tc>
        <w:tc>
          <w:tcPr>
            <w:tcW w:w="1325"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32.32</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28.58</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10.08</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35.99</w:t>
            </w:r>
          </w:p>
          <w:p w:rsidR="006863D1" w:rsidRPr="006863D1" w:rsidRDefault="006863D1" w:rsidP="006A7B41">
            <w:pPr>
              <w:spacing w:before="60" w:after="60" w:line="240" w:lineRule="auto"/>
              <w:jc w:val="center"/>
              <w:rPr>
                <w:rFonts w:ascii="Times New Roman" w:hAnsi="Times New Roman"/>
                <w:sz w:val="20"/>
                <w:szCs w:val="20"/>
              </w:rPr>
            </w:pPr>
            <w:r w:rsidRPr="006863D1">
              <w:rPr>
                <w:rFonts w:ascii="Times New Roman" w:hAnsi="Times New Roman"/>
                <w:sz w:val="20"/>
                <w:szCs w:val="20"/>
              </w:rPr>
              <w:t>26.51</w:t>
            </w:r>
          </w:p>
        </w:tc>
        <w:tc>
          <w:tcPr>
            <w:tcW w:w="1418"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62.36</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60.07</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92.76</w:t>
            </w:r>
          </w:p>
          <w:p w:rsidR="006863D1" w:rsidRPr="006863D1" w:rsidRDefault="006863D1" w:rsidP="006A7B41">
            <w:pPr>
              <w:spacing w:before="60" w:after="0" w:line="240" w:lineRule="auto"/>
              <w:jc w:val="center"/>
              <w:rPr>
                <w:rFonts w:ascii="Times New Roman" w:hAnsi="Times New Roman"/>
                <w:sz w:val="20"/>
                <w:szCs w:val="20"/>
              </w:rPr>
            </w:pPr>
            <w:r w:rsidRPr="006863D1">
              <w:rPr>
                <w:rFonts w:ascii="Times New Roman" w:hAnsi="Times New Roman"/>
                <w:sz w:val="20"/>
                <w:szCs w:val="20"/>
              </w:rPr>
              <w:t>72.40</w:t>
            </w:r>
          </w:p>
          <w:p w:rsidR="006863D1" w:rsidRPr="006863D1" w:rsidRDefault="006863D1" w:rsidP="006A7B41">
            <w:pPr>
              <w:spacing w:before="60" w:after="60" w:line="240" w:lineRule="auto"/>
              <w:jc w:val="center"/>
              <w:rPr>
                <w:rFonts w:ascii="Times New Roman" w:hAnsi="Times New Roman"/>
                <w:sz w:val="20"/>
                <w:szCs w:val="20"/>
              </w:rPr>
            </w:pPr>
            <w:r w:rsidRPr="006863D1">
              <w:rPr>
                <w:rFonts w:ascii="Times New Roman" w:hAnsi="Times New Roman"/>
                <w:sz w:val="20"/>
                <w:szCs w:val="20"/>
              </w:rPr>
              <w:t>50.70</w:t>
            </w:r>
          </w:p>
        </w:tc>
        <w:tc>
          <w:tcPr>
            <w:tcW w:w="1701" w:type="dxa"/>
            <w:tcBorders>
              <w:top w:val="single" w:sz="4" w:space="0" w:color="auto"/>
              <w:bottom w:val="single" w:sz="4" w:space="0" w:color="auto"/>
            </w:tcBorders>
            <w:shd w:val="clear" w:color="auto" w:fill="auto"/>
            <w:vAlign w:val="center"/>
          </w:tcPr>
          <w:p w:rsidR="006863D1" w:rsidRPr="006863D1" w:rsidRDefault="006863D1" w:rsidP="006A7B41">
            <w:pPr>
              <w:spacing w:before="60" w:after="0" w:line="240" w:lineRule="auto"/>
              <w:jc w:val="center"/>
              <w:rPr>
                <w:rFonts w:ascii="Times New Roman" w:hAnsi="Times New Roman"/>
                <w:sz w:val="20"/>
                <w:szCs w:val="20"/>
              </w:rPr>
            </w:pPr>
            <w:r w:rsidRPr="006863D1">
              <w:rPr>
                <w:rStyle w:val="publication-meta-journal"/>
                <w:rFonts w:ascii="Times New Roman" w:hAnsi="Times New Roman"/>
                <w:sz w:val="20"/>
                <w:szCs w:val="20"/>
              </w:rPr>
              <w:t>–</w:t>
            </w:r>
            <w:r w:rsidRPr="006863D1">
              <w:rPr>
                <w:rFonts w:ascii="Times New Roman" w:hAnsi="Times New Roman"/>
                <w:sz w:val="20"/>
                <w:szCs w:val="20"/>
              </w:rPr>
              <w:t>100.78</w:t>
            </w:r>
          </w:p>
          <w:p w:rsidR="006863D1" w:rsidRPr="006863D1" w:rsidRDefault="006863D1" w:rsidP="006A7B41">
            <w:pPr>
              <w:spacing w:before="60" w:after="0" w:line="240" w:lineRule="auto"/>
              <w:jc w:val="center"/>
              <w:rPr>
                <w:rFonts w:ascii="Times New Roman" w:hAnsi="Times New Roman"/>
                <w:sz w:val="20"/>
                <w:szCs w:val="20"/>
              </w:rPr>
            </w:pPr>
            <w:r w:rsidRPr="006863D1">
              <w:rPr>
                <w:rStyle w:val="publication-meta-journal"/>
                <w:rFonts w:ascii="Times New Roman" w:hAnsi="Times New Roman"/>
                <w:sz w:val="20"/>
                <w:szCs w:val="20"/>
              </w:rPr>
              <w:t>–</w:t>
            </w:r>
            <w:r w:rsidRPr="006863D1">
              <w:rPr>
                <w:rFonts w:ascii="Times New Roman" w:hAnsi="Times New Roman"/>
                <w:sz w:val="20"/>
                <w:szCs w:val="20"/>
              </w:rPr>
              <w:t>105.66</w:t>
            </w:r>
          </w:p>
          <w:p w:rsidR="006863D1" w:rsidRPr="006863D1" w:rsidRDefault="006863D1" w:rsidP="006A7B41">
            <w:pPr>
              <w:spacing w:before="60" w:after="0" w:line="240" w:lineRule="auto"/>
              <w:jc w:val="center"/>
              <w:rPr>
                <w:rStyle w:val="publication-meta-journal"/>
                <w:rFonts w:ascii="Times New Roman" w:hAnsi="Times New Roman"/>
                <w:sz w:val="20"/>
                <w:szCs w:val="20"/>
              </w:rPr>
            </w:pPr>
            <w:r w:rsidRPr="006863D1">
              <w:rPr>
                <w:rFonts w:ascii="Times New Roman" w:hAnsi="Times New Roman"/>
                <w:sz w:val="20"/>
                <w:szCs w:val="20"/>
              </w:rPr>
              <w:t>2.71</w:t>
            </w:r>
          </w:p>
          <w:p w:rsidR="006863D1" w:rsidRPr="006863D1" w:rsidRDefault="006863D1" w:rsidP="006A7B41">
            <w:pPr>
              <w:spacing w:before="60" w:after="0" w:line="240" w:lineRule="auto"/>
              <w:jc w:val="center"/>
              <w:rPr>
                <w:rFonts w:ascii="Times New Roman" w:hAnsi="Times New Roman"/>
                <w:sz w:val="20"/>
                <w:szCs w:val="20"/>
              </w:rPr>
            </w:pPr>
            <w:r w:rsidRPr="006863D1">
              <w:rPr>
                <w:rStyle w:val="publication-meta-journal"/>
                <w:rFonts w:ascii="Times New Roman" w:hAnsi="Times New Roman"/>
                <w:sz w:val="20"/>
                <w:szCs w:val="20"/>
              </w:rPr>
              <w:t>–</w:t>
            </w:r>
            <w:r w:rsidRPr="006863D1">
              <w:rPr>
                <w:rFonts w:ascii="Times New Roman" w:hAnsi="Times New Roman"/>
                <w:sz w:val="20"/>
                <w:szCs w:val="20"/>
              </w:rPr>
              <w:t>12.18</w:t>
            </w:r>
          </w:p>
          <w:p w:rsidR="006863D1" w:rsidRPr="006863D1" w:rsidRDefault="006863D1" w:rsidP="006A7B41">
            <w:pPr>
              <w:spacing w:before="60" w:after="60" w:line="240" w:lineRule="auto"/>
              <w:jc w:val="center"/>
              <w:rPr>
                <w:rFonts w:ascii="Times New Roman" w:hAnsi="Times New Roman"/>
                <w:sz w:val="20"/>
                <w:szCs w:val="20"/>
              </w:rPr>
            </w:pPr>
            <w:r w:rsidRPr="006863D1">
              <w:rPr>
                <w:rStyle w:val="publication-meta-journal"/>
                <w:rFonts w:ascii="Times New Roman" w:hAnsi="Times New Roman"/>
                <w:sz w:val="20"/>
                <w:szCs w:val="20"/>
              </w:rPr>
              <w:t>–</w:t>
            </w:r>
            <w:r w:rsidRPr="006863D1">
              <w:rPr>
                <w:rFonts w:ascii="Times New Roman" w:hAnsi="Times New Roman"/>
                <w:sz w:val="20"/>
                <w:szCs w:val="20"/>
              </w:rPr>
              <w:t>81.60</w:t>
            </w:r>
          </w:p>
        </w:tc>
      </w:tr>
    </w:tbl>
    <w:p w:rsidR="006863D1" w:rsidRPr="006863D1" w:rsidRDefault="006863D1" w:rsidP="006A7B41">
      <w:pPr>
        <w:pStyle w:val="Papermain"/>
        <w:spacing w:after="120"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lang w:val="en"/>
        </w:rPr>
        <w:t xml:space="preserve">The stepwise formation constants of complexes of the type </w:t>
      </w:r>
      <w:r w:rsidRPr="006863D1">
        <w:rPr>
          <w:rFonts w:cs="Times New Roman"/>
          <w:i/>
          <w:iCs/>
          <w:color w:val="auto"/>
          <w:sz w:val="20"/>
          <w:szCs w:val="20"/>
          <w:lang w:val="en"/>
        </w:rPr>
        <w:t>ML</w:t>
      </w:r>
      <w:r w:rsidRPr="006863D1">
        <w:rPr>
          <w:rFonts w:cs="Times New Roman"/>
          <w:i/>
          <w:iCs/>
          <w:color w:val="auto"/>
          <w:sz w:val="20"/>
          <w:szCs w:val="20"/>
          <w:vertAlign w:val="subscript"/>
          <w:lang w:val="en"/>
        </w:rPr>
        <w:t>n</w:t>
      </w:r>
      <w:r w:rsidRPr="006863D1">
        <w:rPr>
          <w:rFonts w:cs="Times New Roman"/>
          <w:color w:val="auto"/>
          <w:sz w:val="20"/>
          <w:szCs w:val="20"/>
          <w:lang w:val="en"/>
        </w:rPr>
        <w:t xml:space="preserve"> (</w:t>
      </w:r>
      <w:r w:rsidRPr="006863D1">
        <w:rPr>
          <w:rFonts w:cs="Times New Roman"/>
          <w:color w:val="auto"/>
          <w:sz w:val="20"/>
          <w:szCs w:val="20"/>
        </w:rPr>
        <w:t xml:space="preserve">where </w:t>
      </w:r>
      <w:r w:rsidRPr="006863D1">
        <w:rPr>
          <w:rFonts w:cs="Times New Roman"/>
          <w:i/>
          <w:iCs/>
          <w:color w:val="auto"/>
          <w:sz w:val="20"/>
          <w:szCs w:val="20"/>
        </w:rPr>
        <w:t>M</w:t>
      </w:r>
      <w:r w:rsidRPr="006863D1">
        <w:rPr>
          <w:rFonts w:cs="Times New Roman"/>
          <w:color w:val="auto"/>
          <w:sz w:val="20"/>
          <w:szCs w:val="20"/>
        </w:rPr>
        <w:t xml:space="preserve"> is the metal, </w:t>
      </w:r>
      <w:r w:rsidRPr="006863D1">
        <w:rPr>
          <w:rFonts w:cs="Times New Roman"/>
          <w:i/>
          <w:iCs/>
          <w:color w:val="auto"/>
          <w:sz w:val="20"/>
          <w:szCs w:val="20"/>
        </w:rPr>
        <w:t>L</w:t>
      </w:r>
      <w:r w:rsidRPr="006863D1">
        <w:rPr>
          <w:rFonts w:cs="Times New Roman"/>
          <w:color w:val="auto"/>
          <w:sz w:val="20"/>
          <w:szCs w:val="20"/>
        </w:rPr>
        <w:t xml:space="preserve"> is the ligand and </w:t>
      </w:r>
      <w:r w:rsidRPr="006863D1">
        <w:rPr>
          <w:rFonts w:cs="Times New Roman"/>
          <w:i/>
          <w:iCs/>
          <w:color w:val="auto"/>
          <w:sz w:val="20"/>
          <w:szCs w:val="20"/>
        </w:rPr>
        <w:t>n</w:t>
      </w:r>
      <w:r w:rsidRPr="006863D1">
        <w:rPr>
          <w:rFonts w:cs="Times New Roman"/>
          <w:color w:val="auto"/>
          <w:sz w:val="20"/>
          <w:szCs w:val="20"/>
        </w:rPr>
        <w:t xml:space="preserve"> </w:t>
      </w:r>
      <w:r w:rsidRPr="006863D1">
        <w:rPr>
          <w:rFonts w:cs="Times New Roman"/>
          <w:noProof/>
          <w:color w:val="auto"/>
          <w:sz w:val="20"/>
          <w:szCs w:val="20"/>
        </w:rPr>
        <w:t>is</w:t>
      </w:r>
      <w:r w:rsidRPr="006863D1">
        <w:rPr>
          <w:rFonts w:cs="Times New Roman"/>
          <w:color w:val="auto"/>
          <w:sz w:val="20"/>
          <w:szCs w:val="20"/>
        </w:rPr>
        <w:t xml:space="preserve"> </w:t>
      </w:r>
      <w:r w:rsidRPr="006863D1">
        <w:rPr>
          <w:rFonts w:cs="Times New Roman"/>
          <w:noProof/>
          <w:color w:val="auto"/>
          <w:sz w:val="20"/>
          <w:szCs w:val="20"/>
        </w:rPr>
        <w:t>the number</w:t>
      </w:r>
      <w:r w:rsidRPr="006863D1">
        <w:rPr>
          <w:rFonts w:cs="Times New Roman"/>
          <w:color w:val="auto"/>
          <w:sz w:val="20"/>
          <w:szCs w:val="20"/>
        </w:rPr>
        <w:t xml:space="preserve"> of ligands) </w:t>
      </w:r>
      <w:r w:rsidRPr="006863D1">
        <w:rPr>
          <w:rFonts w:cs="Times New Roman"/>
          <w:color w:val="auto"/>
          <w:sz w:val="20"/>
          <w:szCs w:val="20"/>
          <w:lang w:val="en"/>
        </w:rPr>
        <w:t xml:space="preserve">decrease in magnitude as </w:t>
      </w:r>
      <w:r w:rsidRPr="006863D1">
        <w:rPr>
          <w:rFonts w:cs="Times New Roman"/>
          <w:i/>
          <w:iCs/>
          <w:color w:val="auto"/>
          <w:sz w:val="20"/>
          <w:szCs w:val="20"/>
          <w:lang w:val="en"/>
        </w:rPr>
        <w:t>n</w:t>
      </w:r>
      <w:r w:rsidRPr="006863D1">
        <w:rPr>
          <w:rFonts w:cs="Times New Roman"/>
          <w:color w:val="auto"/>
          <w:sz w:val="20"/>
          <w:szCs w:val="20"/>
          <w:lang w:val="en"/>
        </w:rPr>
        <w:t xml:space="preserve"> increases. This may be partly explained in terms of the entropy factor. In the case of the formation of </w:t>
      </w:r>
      <w:hyperlink r:id="rId22" w:tooltip="Octahedral" w:history="1">
        <w:r w:rsidRPr="006863D1">
          <w:rPr>
            <w:rFonts w:cs="Times New Roman"/>
            <w:color w:val="auto"/>
            <w:sz w:val="20"/>
            <w:szCs w:val="20"/>
            <w:lang w:val="en"/>
          </w:rPr>
          <w:t>octahedral</w:t>
        </w:r>
      </w:hyperlink>
      <w:r w:rsidRPr="006863D1">
        <w:rPr>
          <w:rFonts w:cs="Times New Roman"/>
          <w:color w:val="auto"/>
          <w:sz w:val="20"/>
          <w:szCs w:val="20"/>
          <w:lang w:val="en"/>
        </w:rPr>
        <w:t xml:space="preserve"> complexes</w:t>
      </w:r>
      <w:r w:rsidRPr="006863D1">
        <w:rPr>
          <w:rFonts w:cs="Times New Roman"/>
          <w:b/>
          <w:bCs/>
          <w:color w:val="auto"/>
          <w:sz w:val="20"/>
          <w:szCs w:val="20"/>
          <w:lang w:val="en"/>
        </w:rPr>
        <w:t xml:space="preserve"> </w:t>
      </w:r>
      <w:r w:rsidRPr="006863D1">
        <w:rPr>
          <w:rFonts w:cs="Times New Roman"/>
          <w:color w:val="auto"/>
          <w:sz w:val="20"/>
          <w:szCs w:val="20"/>
          <w:lang w:val="en"/>
        </w:rPr>
        <w:t xml:space="preserve">of </w:t>
      </w:r>
      <w:r w:rsidRPr="006863D1">
        <w:rPr>
          <w:rFonts w:cs="Times New Roman"/>
          <w:color w:val="auto"/>
          <w:sz w:val="20"/>
          <w:szCs w:val="20"/>
        </w:rPr>
        <w:t>Re(V)-AZ</w:t>
      </w:r>
      <w:r w:rsidRPr="006863D1">
        <w:rPr>
          <w:rFonts w:cs="Times New Roman"/>
          <w:color w:val="auto"/>
          <w:sz w:val="20"/>
          <w:szCs w:val="20"/>
          <w:lang w:val="en"/>
        </w:rPr>
        <w:t xml:space="preserve">, </w:t>
      </w:r>
      <w:r w:rsidRPr="006863D1">
        <w:rPr>
          <w:rFonts w:cs="Times New Roman"/>
          <w:color w:val="auto"/>
          <w:sz w:val="20"/>
          <w:szCs w:val="20"/>
        </w:rPr>
        <w:t xml:space="preserve">the reaction between </w:t>
      </w:r>
      <w:r w:rsidRPr="006863D1">
        <w:rPr>
          <w:rStyle w:val="maintitle"/>
          <w:rFonts w:cs="Times New Roman"/>
          <w:color w:val="auto"/>
          <w:sz w:val="20"/>
          <w:szCs w:val="20"/>
        </w:rPr>
        <w:t>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[ReOCl</w:t>
      </w:r>
      <w:r w:rsidRPr="006863D1">
        <w:rPr>
          <w:rStyle w:val="maintitle"/>
          <w:rFonts w:cs="Times New Roman"/>
          <w:color w:val="auto"/>
          <w:sz w:val="20"/>
          <w:szCs w:val="20"/>
          <w:vertAlign w:val="subscript"/>
        </w:rPr>
        <w:t>5</w:t>
      </w:r>
      <w:r w:rsidRPr="006863D1">
        <w:rPr>
          <w:rStyle w:val="maintitle"/>
          <w:rFonts w:cs="Times New Roman"/>
          <w:color w:val="auto"/>
          <w:sz w:val="20"/>
          <w:szCs w:val="20"/>
        </w:rPr>
        <w:t>]</w:t>
      </w:r>
      <w:r w:rsidRPr="006863D1">
        <w:rPr>
          <w:rFonts w:cs="Times New Roman"/>
          <w:color w:val="auto"/>
          <w:sz w:val="20"/>
          <w:szCs w:val="20"/>
        </w:rPr>
        <w:t xml:space="preserve"> and </w:t>
      </w:r>
      <w:r w:rsidRPr="006863D1">
        <w:rPr>
          <w:rStyle w:val="maintitle"/>
          <w:rFonts w:cs="Times New Roman"/>
          <w:color w:val="auto"/>
          <w:sz w:val="20"/>
          <w:szCs w:val="20"/>
        </w:rPr>
        <w:t>AZ</w:t>
      </w:r>
      <w:r w:rsidRPr="006863D1">
        <w:rPr>
          <w:rFonts w:cs="Times New Roman"/>
          <w:color w:val="auto"/>
          <w:sz w:val="20"/>
          <w:szCs w:val="20"/>
        </w:rPr>
        <w:t xml:space="preserve"> involves three successive reactions </w:t>
      </w:r>
      <w:r w:rsidRPr="006863D1">
        <w:rPr>
          <w:rStyle w:val="maintitle"/>
          <w:rFonts w:cs="Times New Roman"/>
          <w:color w:val="auto"/>
          <w:sz w:val="20"/>
          <w:szCs w:val="20"/>
        </w:rPr>
        <w:t>as the following equations (6-8).</w:t>
      </w:r>
    </w:p>
    <w:p w:rsidR="006863D1" w:rsidRPr="006863D1" w:rsidRDefault="006863D1" w:rsidP="006863D1">
      <w:pPr>
        <w:pStyle w:val="Papermain"/>
        <w:spacing w:line="240" w:lineRule="auto"/>
        <w:rPr>
          <w:rFonts w:cs="Times New Roman"/>
          <w:color w:val="auto"/>
          <w:sz w:val="20"/>
          <w:szCs w:val="20"/>
        </w:rPr>
      </w:pPr>
    </w:p>
    <w:p w:rsidR="006863D1" w:rsidRDefault="00A43FF3" w:rsidP="006863D1">
      <w:pPr>
        <w:pStyle w:val="Papermain"/>
        <w:spacing w:line="240" w:lineRule="auto"/>
        <w:rPr>
          <w:rFonts w:eastAsiaTheme="minorEastAsia" w:cs="Times New Roman"/>
          <w:color w:val="auto"/>
          <w:sz w:val="20"/>
          <w:szCs w:val="20"/>
        </w:rPr>
      </w:pPr>
      <m:oMath>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 xml:space="preserve">                  K</m:t>
            </m:r>
          </m:e>
          <m:sub>
            <m:r>
              <m:rPr>
                <m:sty m:val="p"/>
              </m:rPr>
              <w:rPr>
                <w:rFonts w:ascii="Cambria Math" w:hAnsi="Cambria Math" w:cs="Times New Roman"/>
                <w:color w:val="auto"/>
                <w:sz w:val="20"/>
                <w:szCs w:val="20"/>
              </w:rPr>
              <m:t>2</m:t>
            </m:r>
          </m:sub>
        </m:sSub>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ReOCl</m:t>
                </m:r>
              </m:e>
              <m:sub>
                <m:r>
                  <m:rPr>
                    <m:sty m:val="p"/>
                  </m:rPr>
                  <w:rPr>
                    <w:rFonts w:ascii="Cambria Math" w:hAnsi="Cambria Math" w:cs="Times New Roman"/>
                    <w:color w:val="auto"/>
                    <w:sz w:val="20"/>
                    <w:szCs w:val="20"/>
                  </w:rPr>
                  <m:t>5</m:t>
                </m:r>
              </m:sub>
            </m:sSub>
          </m:e>
        </m:d>
        <m:r>
          <m:rPr>
            <m:sty m:val="p"/>
          </m:rPr>
          <w:rPr>
            <w:rFonts w:ascii="Cambria Math" w:hAnsi="Cambria Math" w:cs="Times New Roman"/>
            <w:color w:val="auto"/>
            <w:sz w:val="20"/>
            <w:szCs w:val="20"/>
          </w:rPr>
          <m:t>+2AZ⇋</m:t>
        </m:r>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ReO(AZ)</m:t>
                    </m:r>
                  </m:e>
                  <m:sub>
                    <m:r>
                      <m:rPr>
                        <m:sty m:val="p"/>
                      </m:rPr>
                      <w:rPr>
                        <w:rFonts w:ascii="Cambria Math" w:hAnsi="Cambria Math" w:cs="Times New Roman"/>
                        <w:color w:val="auto"/>
                        <w:sz w:val="20"/>
                        <w:szCs w:val="20"/>
                      </w:rPr>
                      <m:t>2</m:t>
                    </m:r>
                  </m:sub>
                </m:sSub>
                <m:r>
                  <m:rPr>
                    <m:sty m:val="p"/>
                  </m:rPr>
                  <w:rPr>
                    <w:rFonts w:ascii="Cambria Math" w:hAnsi="Cambria Math" w:cs="Times New Roman"/>
                    <w:color w:val="auto"/>
                    <w:sz w:val="20"/>
                    <w:szCs w:val="20"/>
                  </w:rPr>
                  <m:t>Cl</m:t>
                </m:r>
              </m:e>
              <m:sub>
                <m:r>
                  <m:rPr>
                    <m:sty m:val="p"/>
                  </m:rPr>
                  <w:rPr>
                    <w:rFonts w:ascii="Cambria Math" w:hAnsi="Cambria Math" w:cs="Times New Roman"/>
                    <w:color w:val="auto"/>
                    <w:sz w:val="20"/>
                    <w:szCs w:val="20"/>
                  </w:rPr>
                  <m:t>3</m:t>
                </m:r>
              </m:sub>
            </m:sSub>
          </m:e>
        </m:d>
        <m:r>
          <m:rPr>
            <m:sty m:val="p"/>
          </m:rPr>
          <w:rPr>
            <w:rFonts w:ascii="Cambria Math" w:hAnsi="Cambria Math" w:cs="Times New Roman"/>
            <w:color w:val="auto"/>
            <w:sz w:val="20"/>
            <w:szCs w:val="20"/>
          </w:rPr>
          <m:t xml:space="preserve">+2KCl                                                                                                  </m:t>
        </m:r>
      </m:oMath>
      <w:r w:rsidR="006A7B41">
        <w:rPr>
          <w:rFonts w:eastAsiaTheme="minorEastAsia" w:cs="Times New Roman"/>
          <w:color w:val="auto"/>
          <w:sz w:val="20"/>
          <w:szCs w:val="20"/>
        </w:rPr>
        <w:t xml:space="preserve">     </w:t>
      </w:r>
      <w:r w:rsidR="006863D1" w:rsidRPr="006863D1">
        <w:rPr>
          <w:rFonts w:eastAsiaTheme="minorEastAsia" w:cs="Times New Roman"/>
          <w:color w:val="auto"/>
          <w:sz w:val="20"/>
          <w:szCs w:val="20"/>
        </w:rPr>
        <w:t>(6)</w:t>
      </w:r>
    </w:p>
    <w:p w:rsidR="006A7B41" w:rsidRPr="006863D1" w:rsidRDefault="006A7B41" w:rsidP="006863D1">
      <w:pPr>
        <w:pStyle w:val="Papermain"/>
        <w:spacing w:line="240" w:lineRule="auto"/>
        <w:rPr>
          <w:rFonts w:cs="Times New Roman"/>
          <w:color w:val="auto"/>
          <w:sz w:val="20"/>
          <w:szCs w:val="20"/>
        </w:rPr>
      </w:pPr>
    </w:p>
    <w:p w:rsidR="006863D1" w:rsidRDefault="00A43FF3" w:rsidP="006863D1">
      <w:pPr>
        <w:pStyle w:val="Papermain"/>
        <w:spacing w:line="240" w:lineRule="auto"/>
        <w:ind w:firstLine="709"/>
        <w:rPr>
          <w:rFonts w:eastAsiaTheme="minorEastAsia" w:cs="Times New Roman"/>
          <w:color w:val="auto"/>
          <w:sz w:val="20"/>
          <w:szCs w:val="20"/>
        </w:rPr>
      </w:pPr>
      <m:oMath>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ReO(AZ)</m:t>
                    </m:r>
                  </m:e>
                  <m:sub>
                    <m:r>
                      <m:rPr>
                        <m:sty m:val="p"/>
                      </m:rPr>
                      <w:rPr>
                        <w:rFonts w:ascii="Cambria Math" w:hAnsi="Cambria Math" w:cs="Times New Roman"/>
                        <w:color w:val="auto"/>
                        <w:sz w:val="20"/>
                        <w:szCs w:val="20"/>
                      </w:rPr>
                      <m:t>2</m:t>
                    </m:r>
                  </m:sub>
                </m:sSub>
                <m:r>
                  <m:rPr>
                    <m:sty m:val="p"/>
                  </m:rPr>
                  <w:rPr>
                    <w:rFonts w:ascii="Cambria Math" w:hAnsi="Cambria Math" w:cs="Times New Roman"/>
                    <w:color w:val="auto"/>
                    <w:sz w:val="20"/>
                    <w:szCs w:val="20"/>
                  </w:rPr>
                  <m:t>Cl</m:t>
                </m:r>
              </m:e>
              <m:sub>
                <m:r>
                  <m:rPr>
                    <m:sty m:val="p"/>
                  </m:rPr>
                  <w:rPr>
                    <w:rFonts w:ascii="Cambria Math" w:hAnsi="Cambria Math" w:cs="Times New Roman"/>
                    <w:color w:val="auto"/>
                    <w:sz w:val="20"/>
                    <w:szCs w:val="20"/>
                  </w:rPr>
                  <m:t>3</m:t>
                </m:r>
              </m:sub>
            </m:sSub>
          </m:e>
        </m:d>
        <m:r>
          <m:rPr>
            <m:sty m:val="p"/>
          </m:rPr>
          <w:rPr>
            <w:rFonts w:ascii="Cambria Math" w:hAnsi="Cambria Math" w:cs="Times New Roman"/>
            <w:color w:val="auto"/>
            <w:sz w:val="20"/>
            <w:szCs w:val="20"/>
          </w:rPr>
          <m:t>+AZ⇋</m:t>
        </m:r>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ReO(AZ)</m:t>
                    </m:r>
                  </m:e>
                  <m:sub>
                    <m:r>
                      <m:rPr>
                        <m:sty m:val="p"/>
                      </m:rPr>
                      <w:rPr>
                        <w:rFonts w:ascii="Cambria Math" w:hAnsi="Cambria Math" w:cs="Times New Roman"/>
                        <w:color w:val="auto"/>
                        <w:sz w:val="20"/>
                        <w:szCs w:val="20"/>
                      </w:rPr>
                      <m:t>3</m:t>
                    </m:r>
                  </m:sub>
                </m:sSub>
                <m:r>
                  <m:rPr>
                    <m:sty m:val="p"/>
                  </m:rPr>
                  <w:rPr>
                    <w:rFonts w:ascii="Cambria Math" w:hAnsi="Cambria Math" w:cs="Times New Roman"/>
                    <w:color w:val="auto"/>
                    <w:sz w:val="20"/>
                    <w:szCs w:val="20"/>
                  </w:rPr>
                  <m:t>Cl</m:t>
                </m:r>
              </m:e>
              <m:sub>
                <m:r>
                  <m:rPr>
                    <m:sty m:val="p"/>
                  </m:rPr>
                  <w:rPr>
                    <w:rFonts w:ascii="Cambria Math" w:hAnsi="Cambria Math" w:cs="Times New Roman"/>
                    <w:color w:val="auto"/>
                    <w:sz w:val="20"/>
                    <w:szCs w:val="20"/>
                  </w:rPr>
                  <m:t>2</m:t>
                </m:r>
              </m:sub>
            </m:sSub>
          </m:e>
        </m:d>
        <m:r>
          <m:rPr>
            <m:sty m:val="p"/>
          </m:rPr>
          <w:rPr>
            <w:rFonts w:ascii="Cambria Math" w:hAnsi="Cambria Math" w:cs="Times New Roman"/>
            <w:color w:val="auto"/>
            <w:sz w:val="20"/>
            <w:szCs w:val="20"/>
          </w:rPr>
          <m:t xml:space="preserve">Cl                                                                                                         </m:t>
        </m:r>
      </m:oMath>
      <w:r w:rsidR="006A7B41">
        <w:rPr>
          <w:rFonts w:eastAsiaTheme="minorEastAsia" w:cs="Times New Roman"/>
          <w:color w:val="auto"/>
          <w:sz w:val="20"/>
          <w:szCs w:val="20"/>
        </w:rPr>
        <w:t xml:space="preserve">       </w:t>
      </w:r>
      <w:r w:rsidR="006863D1" w:rsidRPr="006863D1">
        <w:rPr>
          <w:rFonts w:eastAsiaTheme="minorEastAsia" w:cs="Times New Roman"/>
          <w:color w:val="auto"/>
          <w:sz w:val="20"/>
          <w:szCs w:val="20"/>
        </w:rPr>
        <w:t>(7)</w:t>
      </w:r>
    </w:p>
    <w:p w:rsidR="006A7B41" w:rsidRPr="006863D1" w:rsidRDefault="006A7B41" w:rsidP="006863D1">
      <w:pPr>
        <w:pStyle w:val="Papermain"/>
        <w:spacing w:line="240" w:lineRule="auto"/>
        <w:ind w:firstLine="709"/>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m:oMath>
        <m:r>
          <w:rPr>
            <w:rFonts w:ascii="Cambria Math" w:hAnsi="Cambria Math" w:cs="Times New Roman"/>
            <w:color w:val="auto"/>
            <w:sz w:val="20"/>
            <w:szCs w:val="20"/>
          </w:rPr>
          <m:t xml:space="preserve">                  </m:t>
        </m:r>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ReO(AZ)</m:t>
                    </m:r>
                  </m:e>
                  <m:sub>
                    <m:r>
                      <m:rPr>
                        <m:sty m:val="p"/>
                      </m:rPr>
                      <w:rPr>
                        <w:rFonts w:ascii="Cambria Math" w:hAnsi="Cambria Math" w:cs="Times New Roman"/>
                        <w:color w:val="auto"/>
                        <w:sz w:val="20"/>
                        <w:szCs w:val="20"/>
                      </w:rPr>
                      <m:t>3</m:t>
                    </m:r>
                  </m:sub>
                </m:sSub>
                <m:r>
                  <m:rPr>
                    <m:sty m:val="p"/>
                  </m:rPr>
                  <w:rPr>
                    <w:rFonts w:ascii="Cambria Math" w:hAnsi="Cambria Math" w:cs="Times New Roman"/>
                    <w:color w:val="auto"/>
                    <w:sz w:val="20"/>
                    <w:szCs w:val="20"/>
                  </w:rPr>
                  <m:t>Cl</m:t>
                </m:r>
              </m:e>
              <m:sub>
                <m:r>
                  <m:rPr>
                    <m:sty m:val="p"/>
                  </m:rPr>
                  <w:rPr>
                    <w:rFonts w:ascii="Cambria Math" w:hAnsi="Cambria Math" w:cs="Times New Roman"/>
                    <w:color w:val="auto"/>
                    <w:sz w:val="20"/>
                    <w:szCs w:val="20"/>
                  </w:rPr>
                  <m:t>2</m:t>
                </m:r>
              </m:sub>
            </m:sSub>
          </m:e>
        </m:d>
        <m:r>
          <m:rPr>
            <m:sty m:val="p"/>
          </m:rPr>
          <w:rPr>
            <w:rFonts w:ascii="Cambria Math" w:hAnsi="Cambria Math" w:cs="Times New Roman"/>
            <w:color w:val="auto"/>
            <w:sz w:val="20"/>
            <w:szCs w:val="20"/>
          </w:rPr>
          <m:t>Cl+AZ⇋</m:t>
        </m:r>
        <m:d>
          <m:dPr>
            <m:begChr m:val="["/>
            <m:endChr m:val="]"/>
            <m:ctrlPr>
              <w:rPr>
                <w:rFonts w:ascii="Cambria Math" w:hAnsi="Cambria Math" w:cs="Times New Roman"/>
                <w:color w:val="auto"/>
                <w:sz w:val="20"/>
                <w:szCs w:val="20"/>
              </w:rPr>
            </m:ctrlPr>
          </m:dPr>
          <m:e>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ReO(AZ)</m:t>
                </m:r>
              </m:e>
              <m:sub>
                <m:r>
                  <m:rPr>
                    <m:sty m:val="p"/>
                  </m:rPr>
                  <w:rPr>
                    <w:rFonts w:ascii="Cambria Math" w:hAnsi="Cambria Math" w:cs="Times New Roman"/>
                    <w:color w:val="auto"/>
                    <w:sz w:val="20"/>
                    <w:szCs w:val="20"/>
                  </w:rPr>
                  <m:t>4</m:t>
                </m:r>
              </m:sub>
            </m:sSub>
            <m:r>
              <m:rPr>
                <m:sty m:val="p"/>
              </m:rPr>
              <w:rPr>
                <w:rFonts w:ascii="Cambria Math" w:hAnsi="Cambria Math" w:cs="Times New Roman"/>
                <w:color w:val="auto"/>
                <w:sz w:val="20"/>
                <w:szCs w:val="20"/>
              </w:rPr>
              <m:t>Cl</m:t>
            </m:r>
          </m:e>
        </m:d>
        <m:sSub>
          <m:sSubPr>
            <m:ctrlPr>
              <w:rPr>
                <w:rFonts w:ascii="Cambria Math" w:hAnsi="Cambria Math" w:cs="Times New Roman"/>
                <w:color w:val="auto"/>
                <w:sz w:val="20"/>
                <w:szCs w:val="20"/>
              </w:rPr>
            </m:ctrlPr>
          </m:sSubPr>
          <m:e>
            <m:r>
              <m:rPr>
                <m:sty m:val="p"/>
              </m:rPr>
              <w:rPr>
                <w:rFonts w:ascii="Cambria Math" w:hAnsi="Cambria Math" w:cs="Times New Roman"/>
                <w:color w:val="auto"/>
                <w:sz w:val="20"/>
                <w:szCs w:val="20"/>
              </w:rPr>
              <m:t>Cl</m:t>
            </m:r>
          </m:e>
          <m:sub>
            <m:r>
              <m:rPr>
                <m:sty m:val="p"/>
              </m:rPr>
              <w:rPr>
                <w:rFonts w:ascii="Cambria Math" w:hAnsi="Cambria Math" w:cs="Times New Roman"/>
                <w:color w:val="auto"/>
                <w:sz w:val="20"/>
                <w:szCs w:val="20"/>
              </w:rPr>
              <m:t>2</m:t>
            </m:r>
          </m:sub>
        </m:sSub>
        <m:r>
          <m:rPr>
            <m:sty m:val="p"/>
          </m:rPr>
          <w:rPr>
            <w:rFonts w:ascii="Cambria Math" w:hAnsi="Cambria Math" w:cs="Times New Roman"/>
            <w:color w:val="auto"/>
            <w:sz w:val="20"/>
            <w:szCs w:val="20"/>
          </w:rPr>
          <m:t xml:space="preserve">                                                                                 </m:t>
        </m:r>
      </m:oMath>
      <w:r w:rsidR="006A7B41">
        <w:rPr>
          <w:rFonts w:eastAsiaTheme="minorEastAsia" w:cs="Times New Roman"/>
          <w:color w:val="auto"/>
          <w:sz w:val="20"/>
          <w:szCs w:val="20"/>
        </w:rPr>
        <w:t xml:space="preserve">                       (8)</w:t>
      </w:r>
    </w:p>
    <w:p w:rsidR="006863D1" w:rsidRPr="006863D1" w:rsidRDefault="006A7B41" w:rsidP="006863D1">
      <w:pPr>
        <w:pStyle w:val="Papermain"/>
        <w:spacing w:line="240" w:lineRule="auto"/>
        <w:rPr>
          <w:rFonts w:cs="Times New Roman"/>
          <w:color w:val="auto"/>
          <w:sz w:val="20"/>
          <w:szCs w:val="20"/>
          <w:lang w:val="en"/>
        </w:rPr>
      </w:pPr>
      <w:r>
        <w:rPr>
          <w:rFonts w:cs="Times New Roman"/>
          <w:color w:val="auto"/>
          <w:sz w:val="20"/>
          <w:szCs w:val="20"/>
          <w:lang w:val="en"/>
        </w:rPr>
        <w:t xml:space="preserve"> </w:t>
      </w: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lang w:val="en"/>
        </w:rPr>
        <w:t xml:space="preserve">In equation (6), the two </w:t>
      </w:r>
      <w:r w:rsidRPr="006863D1">
        <w:rPr>
          <w:rFonts w:cs="Times New Roman"/>
          <w:noProof/>
          <w:color w:val="auto"/>
          <w:sz w:val="20"/>
          <w:szCs w:val="20"/>
          <w:lang w:val="en"/>
        </w:rPr>
        <w:t>ligands</w:t>
      </w:r>
      <w:r w:rsidRPr="006863D1">
        <w:rPr>
          <w:rFonts w:cs="Times New Roman"/>
          <w:color w:val="auto"/>
          <w:sz w:val="20"/>
          <w:szCs w:val="20"/>
          <w:lang w:val="en"/>
        </w:rPr>
        <w:t xml:space="preserve"> (</w:t>
      </w:r>
      <w:r w:rsidRPr="006863D1">
        <w:rPr>
          <w:rFonts w:cs="Times New Roman"/>
          <w:i/>
          <w:iCs/>
          <w:color w:val="auto"/>
          <w:sz w:val="20"/>
          <w:szCs w:val="20"/>
          <w:lang w:val="en"/>
        </w:rPr>
        <w:t>n</w:t>
      </w:r>
      <w:r w:rsidRPr="006863D1">
        <w:rPr>
          <w:rFonts w:cs="Times New Roman"/>
          <w:color w:val="auto"/>
          <w:sz w:val="20"/>
          <w:szCs w:val="20"/>
          <w:lang w:val="en"/>
        </w:rPr>
        <w:t xml:space="preserve"> = 2) can go into two cites out of five of </w:t>
      </w:r>
      <w:r w:rsidRPr="006863D1">
        <w:rPr>
          <w:rStyle w:val="maintitle"/>
          <w:rFonts w:cs="Times New Roman"/>
          <w:color w:val="auto"/>
          <w:sz w:val="20"/>
          <w:szCs w:val="20"/>
        </w:rPr>
        <w:t>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[ReOCl</w:t>
      </w:r>
      <w:r w:rsidRPr="006863D1">
        <w:rPr>
          <w:rStyle w:val="maintitle"/>
          <w:rFonts w:cs="Times New Roman"/>
          <w:color w:val="auto"/>
          <w:sz w:val="20"/>
          <w:szCs w:val="20"/>
          <w:vertAlign w:val="subscript"/>
        </w:rPr>
        <w:t>5</w:t>
      </w:r>
      <w:r w:rsidRPr="006863D1">
        <w:rPr>
          <w:rStyle w:val="maintitle"/>
          <w:rFonts w:cs="Times New Roman"/>
          <w:color w:val="auto"/>
          <w:sz w:val="20"/>
          <w:szCs w:val="20"/>
        </w:rPr>
        <w:t>]</w:t>
      </w:r>
      <w:r w:rsidRPr="006863D1">
        <w:rPr>
          <w:rFonts w:cs="Times New Roman"/>
          <w:color w:val="auto"/>
          <w:sz w:val="20"/>
          <w:szCs w:val="20"/>
          <w:lang w:val="en"/>
        </w:rPr>
        <w:t>. For equation (8)</w:t>
      </w:r>
      <w:r w:rsidRPr="006863D1">
        <w:rPr>
          <w:rFonts w:cs="Times New Roman"/>
          <w:b/>
          <w:bCs/>
          <w:color w:val="auto"/>
          <w:sz w:val="20"/>
          <w:szCs w:val="20"/>
          <w:lang w:val="en"/>
        </w:rPr>
        <w:t>,</w:t>
      </w:r>
      <w:r w:rsidRPr="006863D1">
        <w:rPr>
          <w:rFonts w:cs="Times New Roman"/>
          <w:color w:val="auto"/>
          <w:sz w:val="20"/>
          <w:szCs w:val="20"/>
          <w:lang w:val="en"/>
        </w:rPr>
        <w:t xml:space="preserve"> </w:t>
      </w:r>
      <w:r w:rsidRPr="006863D1">
        <w:rPr>
          <w:rFonts w:cs="Times New Roman"/>
          <w:i/>
          <w:iCs/>
          <w:color w:val="auto"/>
          <w:sz w:val="20"/>
          <w:szCs w:val="20"/>
          <w:lang w:val="en"/>
        </w:rPr>
        <w:t>n</w:t>
      </w:r>
      <w:r w:rsidRPr="006863D1">
        <w:rPr>
          <w:rFonts w:cs="Times New Roman"/>
          <w:color w:val="auto"/>
          <w:sz w:val="20"/>
          <w:szCs w:val="20"/>
          <w:lang w:val="en"/>
        </w:rPr>
        <w:t xml:space="preserve"> = 4 and the fourth ligand can go into one of two sites of </w:t>
      </w:r>
      <w:r w:rsidRPr="006863D1">
        <w:rPr>
          <w:rStyle w:val="maintitle"/>
          <w:rFonts w:cs="Times New Roman"/>
          <w:color w:val="auto"/>
          <w:sz w:val="20"/>
          <w:szCs w:val="20"/>
        </w:rPr>
        <w:t>K</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[ReOCl</w:t>
      </w:r>
      <w:r w:rsidRPr="006863D1">
        <w:rPr>
          <w:rStyle w:val="maintitle"/>
          <w:rFonts w:cs="Times New Roman"/>
          <w:color w:val="auto"/>
          <w:sz w:val="20"/>
          <w:szCs w:val="20"/>
          <w:vertAlign w:val="subscript"/>
        </w:rPr>
        <w:t>5</w:t>
      </w:r>
      <w:r w:rsidRPr="006863D1">
        <w:rPr>
          <w:rStyle w:val="maintitle"/>
          <w:rFonts w:cs="Times New Roman"/>
          <w:color w:val="auto"/>
          <w:sz w:val="20"/>
          <w:szCs w:val="20"/>
        </w:rPr>
        <w:t>]</w:t>
      </w:r>
      <w:r w:rsidRPr="006863D1">
        <w:rPr>
          <w:rFonts w:cs="Times New Roman"/>
          <w:color w:val="auto"/>
          <w:sz w:val="20"/>
          <w:szCs w:val="20"/>
          <w:lang w:val="en"/>
        </w:rPr>
        <w:t>. This means that there is more randomness in the first step than the fourth one, so ΔS is more positive (2.71), ΔH is more negative (</w:t>
      </w:r>
      <w:r w:rsidRPr="006863D1">
        <w:rPr>
          <w:rStyle w:val="publication-meta-journal"/>
          <w:rFonts w:cs="Times New Roman"/>
          <w:color w:val="auto"/>
          <w:sz w:val="20"/>
          <w:szCs w:val="20"/>
        </w:rPr>
        <w:t>-</w:t>
      </w:r>
      <w:r w:rsidRPr="006863D1">
        <w:rPr>
          <w:rFonts w:cs="Times New Roman"/>
          <w:color w:val="auto"/>
          <w:sz w:val="20"/>
          <w:szCs w:val="20"/>
          <w:lang w:val="en"/>
        </w:rPr>
        <w:t xml:space="preserve">92.76) and log </w:t>
      </w:r>
      <w:r w:rsidRPr="006863D1">
        <w:rPr>
          <w:rFonts w:cs="Times New Roman"/>
          <w:i/>
          <w:iCs/>
          <w:color w:val="auto"/>
          <w:sz w:val="20"/>
          <w:szCs w:val="20"/>
          <w:lang w:val="en"/>
        </w:rPr>
        <w:t>K</w:t>
      </w:r>
      <w:r w:rsidRPr="006863D1">
        <w:rPr>
          <w:rFonts w:cs="Times New Roman"/>
          <w:color w:val="auto"/>
          <w:sz w:val="20"/>
          <w:szCs w:val="20"/>
          <w:vertAlign w:val="subscript"/>
          <w:lang w:val="en"/>
        </w:rPr>
        <w:t>2</w:t>
      </w:r>
      <w:r w:rsidRPr="006863D1">
        <w:rPr>
          <w:rFonts w:cs="Times New Roman"/>
          <w:color w:val="auto"/>
          <w:sz w:val="20"/>
          <w:szCs w:val="20"/>
          <w:lang w:val="en"/>
        </w:rPr>
        <w:t xml:space="preserve"> &gt; log </w:t>
      </w:r>
      <w:r w:rsidRPr="006863D1">
        <w:rPr>
          <w:rFonts w:cs="Times New Roman"/>
          <w:i/>
          <w:iCs/>
          <w:color w:val="auto"/>
          <w:sz w:val="20"/>
          <w:szCs w:val="20"/>
          <w:lang w:val="en"/>
        </w:rPr>
        <w:t>K</w:t>
      </w:r>
      <w:r w:rsidRPr="006863D1">
        <w:rPr>
          <w:rFonts w:cs="Times New Roman"/>
          <w:color w:val="auto"/>
          <w:sz w:val="20"/>
          <w:szCs w:val="20"/>
          <w:vertAlign w:val="subscript"/>
          <w:lang w:val="en"/>
        </w:rPr>
        <w:t>4</w:t>
      </w:r>
      <w:r w:rsidRPr="006863D1">
        <w:rPr>
          <w:rFonts w:cs="Times New Roman"/>
          <w:color w:val="auto"/>
          <w:sz w:val="20"/>
          <w:szCs w:val="20"/>
        </w:rPr>
        <w:t xml:space="preserve"> [38]</w:t>
      </w:r>
      <w:r w:rsidRPr="006863D1">
        <w:rPr>
          <w:rFonts w:cs="Times New Roman"/>
          <w:color w:val="auto"/>
          <w:sz w:val="20"/>
          <w:szCs w:val="20"/>
          <w:lang w:val="en"/>
        </w:rPr>
        <w:t xml:space="preserve">. </w:t>
      </w:r>
      <w:r w:rsidRPr="006863D1">
        <w:rPr>
          <w:rFonts w:cs="Times New Roman"/>
          <w:color w:val="auto"/>
          <w:sz w:val="20"/>
          <w:szCs w:val="20"/>
        </w:rPr>
        <w:t>In addition, there is a dramatic increase in ΔS for adding two compared to adding four monodentate AZ ligands (</w:t>
      </w:r>
      <w:r w:rsidRPr="006863D1">
        <w:rPr>
          <w:rStyle w:val="publication-meta-journal"/>
          <w:rFonts w:cs="Times New Roman"/>
          <w:color w:val="auto"/>
          <w:sz w:val="20"/>
          <w:szCs w:val="20"/>
        </w:rPr>
        <w:t>-</w:t>
      </w:r>
      <w:r w:rsidRPr="006863D1">
        <w:rPr>
          <w:rFonts w:cs="Times New Roman"/>
          <w:color w:val="auto"/>
          <w:sz w:val="20"/>
          <w:szCs w:val="20"/>
        </w:rPr>
        <w:t xml:space="preserve">100.78 to 2.71 J/K mol) which </w:t>
      </w:r>
      <w:r w:rsidRPr="006863D1">
        <w:rPr>
          <w:rFonts w:cs="Times New Roman"/>
          <w:noProof/>
          <w:color w:val="auto"/>
          <w:sz w:val="20"/>
          <w:szCs w:val="20"/>
        </w:rPr>
        <w:t>changed</w:t>
      </w:r>
      <w:r w:rsidRPr="006863D1">
        <w:rPr>
          <w:rFonts w:cs="Times New Roman"/>
          <w:color w:val="auto"/>
          <w:sz w:val="20"/>
          <w:szCs w:val="20"/>
        </w:rPr>
        <w:t xml:space="preserve"> from negative (unfavorable) to positive (favorable). Using the equilibrium constant for the complex formation of Re(V)-CE where the one and two bidentates ligand replace the monodentates chloride ions, it has been found the ΔS decrease (</w:t>
      </w:r>
      <w:r w:rsidRPr="006863D1">
        <w:rPr>
          <w:rStyle w:val="publication-meta-journal"/>
          <w:rFonts w:cs="Times New Roman"/>
          <w:color w:val="auto"/>
          <w:sz w:val="20"/>
          <w:szCs w:val="20"/>
        </w:rPr>
        <w:t>-</w:t>
      </w:r>
      <w:r w:rsidRPr="006863D1">
        <w:rPr>
          <w:rFonts w:cs="Times New Roman"/>
          <w:color w:val="auto"/>
          <w:sz w:val="20"/>
          <w:szCs w:val="20"/>
        </w:rPr>
        <w:t xml:space="preserve">12.18 to </w:t>
      </w:r>
      <w:r w:rsidRPr="006863D1">
        <w:rPr>
          <w:rStyle w:val="publication-meta-journal"/>
          <w:rFonts w:cs="Times New Roman"/>
          <w:color w:val="auto"/>
          <w:sz w:val="20"/>
          <w:szCs w:val="20"/>
        </w:rPr>
        <w:t>-</w:t>
      </w:r>
      <w:r w:rsidRPr="006863D1">
        <w:rPr>
          <w:rFonts w:cs="Times New Roman"/>
          <w:color w:val="auto"/>
          <w:sz w:val="20"/>
          <w:szCs w:val="20"/>
        </w:rPr>
        <w:t xml:space="preserve">81.60). The negative change in ∆S indicates </w:t>
      </w:r>
      <w:r w:rsidRPr="006863D1">
        <w:rPr>
          <w:rFonts w:cs="Times New Roman"/>
          <w:noProof/>
          <w:color w:val="auto"/>
          <w:sz w:val="20"/>
          <w:szCs w:val="20"/>
        </w:rPr>
        <w:t>a highly</w:t>
      </w:r>
      <w:r w:rsidRPr="006863D1">
        <w:rPr>
          <w:rFonts w:cs="Times New Roman"/>
          <w:color w:val="auto"/>
          <w:sz w:val="20"/>
          <w:szCs w:val="20"/>
        </w:rPr>
        <w:t xml:space="preserve"> solvated metal complex and indicated that the formation of these complexes was entropy favored [39, 40]. ΔH </w:t>
      </w:r>
      <w:r w:rsidRPr="006863D1">
        <w:rPr>
          <w:rFonts w:cs="Times New Roman"/>
          <w:color w:val="auto"/>
          <w:sz w:val="20"/>
          <w:szCs w:val="20"/>
        </w:rPr>
        <w:lastRenderedPageBreak/>
        <w:t xml:space="preserve">change for the complexes suggests that all the complexation reactions releasing heat have a negative value (exothermic), favorable at a </w:t>
      </w:r>
      <w:r w:rsidRPr="006863D1">
        <w:rPr>
          <w:rFonts w:cs="Times New Roman"/>
          <w:noProof/>
          <w:color w:val="auto"/>
          <w:sz w:val="20"/>
          <w:szCs w:val="20"/>
        </w:rPr>
        <w:t>lower</w:t>
      </w:r>
      <w:r w:rsidRPr="006863D1">
        <w:rPr>
          <w:rFonts w:cs="Times New Roman"/>
          <w:color w:val="auto"/>
          <w:sz w:val="20"/>
          <w:szCs w:val="20"/>
        </w:rPr>
        <w:t xml:space="preserve"> temperature. The metal-ligand binding process is enthalpy driven and metal-ligand bonds are strong [41]. The sign of ∆G indicates the direction in which a reaction moves to reach its equilibrium position. The complexation reactions are thermodynamically favorable when its enthalpy decreases and its entropy increase. Substituting the inequalities ∆H &lt; 0 and ∆S &gt; 0 into the previous equation (4) shows that complexation reactions are thermodynamically favorable and spontaneous when ∆G is negative [42]. Similar trend was obtained for Re(V) with another ligand [38].</w:t>
      </w:r>
    </w:p>
    <w:p w:rsidR="006863D1" w:rsidRPr="006863D1" w:rsidRDefault="006863D1" w:rsidP="006863D1">
      <w:pPr>
        <w:pStyle w:val="Papermain"/>
        <w:spacing w:line="240" w:lineRule="auto"/>
        <w:rPr>
          <w:rFonts w:cs="Times New Roman"/>
          <w:color w:val="auto"/>
          <w:sz w:val="20"/>
          <w:szCs w:val="20"/>
          <w:vertAlign w:val="superscript"/>
        </w:rPr>
      </w:pPr>
    </w:p>
    <w:p w:rsidR="006863D1" w:rsidRPr="006863D1" w:rsidRDefault="006863D1" w:rsidP="006863D1">
      <w:pPr>
        <w:pStyle w:val="Papersubsection"/>
        <w:numPr>
          <w:ilvl w:val="0"/>
          <w:numId w:val="0"/>
        </w:numPr>
        <w:tabs>
          <w:tab w:val="left" w:pos="426"/>
        </w:tabs>
        <w:spacing w:line="240" w:lineRule="auto"/>
        <w:jc w:val="both"/>
        <w:rPr>
          <w:rFonts w:cs="Times New Roman"/>
          <w:color w:val="auto"/>
          <w:sz w:val="20"/>
          <w:szCs w:val="20"/>
        </w:rPr>
      </w:pPr>
      <w:r w:rsidRPr="006863D1">
        <w:rPr>
          <w:rFonts w:cs="Times New Roman"/>
          <w:color w:val="auto"/>
          <w:sz w:val="20"/>
          <w:szCs w:val="20"/>
        </w:rPr>
        <w:t>Distribution diagrams</w:t>
      </w: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rPr>
        <w:t xml:space="preserve">Mole fractions are commonly used to calculate the concentrations of the individual complexes based on the formation constants. Mole fractions of a form of the complex compressed as the </w:t>
      </w:r>
      <w:r w:rsidRPr="006863D1">
        <w:rPr>
          <w:rFonts w:cs="Times New Roman"/>
          <w:noProof/>
          <w:color w:val="auto"/>
          <w:sz w:val="20"/>
          <w:szCs w:val="20"/>
        </w:rPr>
        <w:t>ratio</w:t>
      </w:r>
      <w:r w:rsidRPr="006863D1">
        <w:rPr>
          <w:rFonts w:cs="Times New Roman"/>
          <w:color w:val="auto"/>
          <w:sz w:val="20"/>
          <w:szCs w:val="20"/>
        </w:rPr>
        <w:t xml:space="preserve"> of the concentration of the complex to the total concentration of the metal ion. The distribution diagrams were drawn in the titration where the Re(V) to ligands, mole ratio was 1:1, 1:2, 1:3 and 1:4 at 318 K (Figure 4). It was obtained using Microsoft Excel calculations [43] and the concentration of total metal ions (0.0799 mol/L) was set as 100%.</w:t>
      </w:r>
    </w:p>
    <w:p w:rsidR="006863D1" w:rsidRPr="006863D1" w:rsidRDefault="006863D1" w:rsidP="006863D1">
      <w:pPr>
        <w:pStyle w:val="Papermain"/>
        <w:spacing w:line="240" w:lineRule="auto"/>
        <w:rPr>
          <w:rFonts w:cs="Times New Roman"/>
          <w:color w:val="auto"/>
          <w:sz w:val="20"/>
          <w:szCs w:val="20"/>
        </w:rPr>
      </w:pPr>
    </w:p>
    <w:p w:rsidR="006863D1" w:rsidRPr="006863D1" w:rsidRDefault="006863D1" w:rsidP="006863D1">
      <w:pPr>
        <w:pStyle w:val="Papermain"/>
        <w:spacing w:line="240" w:lineRule="auto"/>
        <w:rPr>
          <w:rFonts w:cs="Times New Roman"/>
          <w:color w:val="auto"/>
          <w:sz w:val="20"/>
          <w:szCs w:val="20"/>
        </w:rPr>
      </w:pPr>
      <w:r w:rsidRPr="006863D1">
        <w:rPr>
          <w:rFonts w:cs="Times New Roman"/>
          <w:color w:val="auto"/>
          <w:sz w:val="20"/>
          <w:szCs w:val="20"/>
        </w:rPr>
        <w:t xml:space="preserve">In Figure 4, the species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Cl</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w:t>
      </w:r>
      <w:r w:rsidRPr="006863D1">
        <w:rPr>
          <w:rFonts w:cs="Times New Roman"/>
          <w:color w:val="auto"/>
          <w:sz w:val="20"/>
          <w:szCs w:val="20"/>
        </w:rPr>
        <w:t xml:space="preserve"> for the system Re(V)-AZ reached a maximum of 2.9%. The second species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Cl</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w:t>
      </w:r>
      <w:r w:rsidRPr="006863D1">
        <w:rPr>
          <w:rStyle w:val="maintitle"/>
          <w:rFonts w:cs="Times New Roman"/>
          <w:color w:val="auto"/>
          <w:sz w:val="20"/>
          <w:szCs w:val="20"/>
          <w:vertAlign w:val="superscript"/>
        </w:rPr>
        <w:t>+</w:t>
      </w:r>
      <w:r w:rsidRPr="006863D1">
        <w:rPr>
          <w:rFonts w:cs="Times New Roman"/>
          <w:color w:val="auto"/>
          <w:sz w:val="20"/>
          <w:szCs w:val="20"/>
        </w:rPr>
        <w:t xml:space="preserve"> and </w:t>
      </w:r>
      <w:r w:rsidRPr="006863D1">
        <w:rPr>
          <w:rStyle w:val="maintitle"/>
          <w:rFonts w:cs="Times New Roman"/>
          <w:color w:val="auto"/>
          <w:sz w:val="20"/>
          <w:szCs w:val="20"/>
        </w:rPr>
        <w:t>[ReO(AZ)</w:t>
      </w:r>
      <w:r w:rsidRPr="006863D1">
        <w:rPr>
          <w:rStyle w:val="maintitle"/>
          <w:rFonts w:cs="Times New Roman"/>
          <w:color w:val="auto"/>
          <w:sz w:val="20"/>
          <w:szCs w:val="20"/>
          <w:vertAlign w:val="subscript"/>
        </w:rPr>
        <w:t>4</w:t>
      </w:r>
      <w:r w:rsidRPr="006863D1">
        <w:rPr>
          <w:rStyle w:val="maintitle"/>
          <w:rFonts w:cs="Times New Roman"/>
          <w:color w:val="auto"/>
          <w:sz w:val="20"/>
          <w:szCs w:val="20"/>
        </w:rPr>
        <w:t>Cl]</w:t>
      </w:r>
      <w:r w:rsidRPr="006863D1">
        <w:rPr>
          <w:rStyle w:val="maintitle"/>
          <w:rFonts w:cs="Times New Roman"/>
          <w:color w:val="auto"/>
          <w:sz w:val="20"/>
          <w:szCs w:val="20"/>
          <w:vertAlign w:val="superscript"/>
        </w:rPr>
        <w:t>2+</w:t>
      </w:r>
      <w:r w:rsidRPr="006863D1">
        <w:rPr>
          <w:rFonts w:cs="Times New Roman"/>
          <w:color w:val="auto"/>
          <w:sz w:val="20"/>
          <w:szCs w:val="20"/>
        </w:rPr>
        <w:t xml:space="preserve"> reached a maximum of 85.3% and 96.6%, respectively. For Re(V)-CE system, it </w:t>
      </w:r>
      <w:r w:rsidRPr="006863D1">
        <w:rPr>
          <w:rFonts w:cs="Times New Roman"/>
          <w:noProof/>
          <w:color w:val="auto"/>
          <w:sz w:val="20"/>
          <w:szCs w:val="20"/>
        </w:rPr>
        <w:t>reached</w:t>
      </w:r>
      <w:r w:rsidRPr="006863D1">
        <w:rPr>
          <w:rFonts w:cs="Times New Roman"/>
          <w:color w:val="auto"/>
          <w:sz w:val="20"/>
          <w:szCs w:val="20"/>
        </w:rPr>
        <w:t xml:space="preserve"> a maximum of 67.5% and 99.89%</w:t>
      </w:r>
      <w:r w:rsidRPr="006863D1">
        <w:rPr>
          <w:rStyle w:val="maintitle"/>
          <w:rFonts w:cs="Times New Roman"/>
          <w:color w:val="auto"/>
          <w:sz w:val="20"/>
          <w:szCs w:val="20"/>
        </w:rPr>
        <w:t xml:space="preserve"> </w:t>
      </w:r>
      <w:r w:rsidRPr="006863D1">
        <w:rPr>
          <w:rFonts w:cs="Times New Roman"/>
          <w:color w:val="auto"/>
          <w:sz w:val="20"/>
          <w:szCs w:val="20"/>
        </w:rPr>
        <w:t xml:space="preserve">for </w:t>
      </w:r>
      <w:r w:rsidRPr="006863D1">
        <w:rPr>
          <w:rStyle w:val="maintitle"/>
          <w:rFonts w:cs="Times New Roman"/>
          <w:color w:val="auto"/>
          <w:sz w:val="20"/>
          <w:szCs w:val="20"/>
        </w:rPr>
        <w:t>[ReO(CE)Cl</w:t>
      </w:r>
      <w:r w:rsidRPr="006863D1">
        <w:rPr>
          <w:rStyle w:val="maintitle"/>
          <w:rFonts w:cs="Times New Roman"/>
          <w:color w:val="auto"/>
          <w:sz w:val="20"/>
          <w:szCs w:val="20"/>
          <w:vertAlign w:val="subscript"/>
        </w:rPr>
        <w:t>3</w:t>
      </w:r>
      <w:r w:rsidRPr="006863D1">
        <w:rPr>
          <w:rStyle w:val="maintitle"/>
          <w:rFonts w:cs="Times New Roman"/>
          <w:color w:val="auto"/>
          <w:sz w:val="20"/>
          <w:szCs w:val="20"/>
        </w:rPr>
        <w:t>]</w:t>
      </w:r>
      <w:r w:rsidRPr="006863D1">
        <w:rPr>
          <w:rFonts w:cs="Times New Roman"/>
          <w:color w:val="auto"/>
          <w:sz w:val="20"/>
          <w:szCs w:val="20"/>
          <w:vertAlign w:val="superscript"/>
        </w:rPr>
        <w:t xml:space="preserve">– </w:t>
      </w:r>
      <w:r w:rsidRPr="006863D1">
        <w:rPr>
          <w:rFonts w:cs="Times New Roman"/>
          <w:color w:val="auto"/>
          <w:sz w:val="20"/>
          <w:szCs w:val="20"/>
        </w:rPr>
        <w:t xml:space="preserve">and </w:t>
      </w:r>
      <w:r w:rsidRPr="006863D1">
        <w:rPr>
          <w:rStyle w:val="maintitle"/>
          <w:rFonts w:cs="Times New Roman"/>
          <w:color w:val="auto"/>
          <w:sz w:val="20"/>
          <w:szCs w:val="20"/>
        </w:rPr>
        <w:t>[ReO(CE)</w:t>
      </w:r>
      <w:r w:rsidRPr="006863D1">
        <w:rPr>
          <w:rStyle w:val="maintitle"/>
          <w:rFonts w:cs="Times New Roman"/>
          <w:color w:val="auto"/>
          <w:sz w:val="20"/>
          <w:szCs w:val="20"/>
          <w:vertAlign w:val="subscript"/>
        </w:rPr>
        <w:t>2</w:t>
      </w:r>
      <w:r w:rsidRPr="006863D1">
        <w:rPr>
          <w:rStyle w:val="maintitle"/>
          <w:rFonts w:cs="Times New Roman"/>
          <w:color w:val="auto"/>
          <w:sz w:val="20"/>
          <w:szCs w:val="20"/>
        </w:rPr>
        <w:t>Cl]</w:t>
      </w:r>
      <w:r w:rsidRPr="006863D1">
        <w:rPr>
          <w:rFonts w:cs="Times New Roman"/>
          <w:color w:val="auto"/>
          <w:sz w:val="20"/>
          <w:szCs w:val="20"/>
        </w:rPr>
        <w:t xml:space="preserve"> species, respectively. The analysis of the temperature-dependent distribution function shows that the yield of the complexes decreases with increasing the temperature. The analysis of the distribution curves provides the possibility to elucidate the predominance region for some complex depending on temperature and concentration. These results were used to develop optimal methods for the preparation of Re(V)</w:t>
      </w:r>
      <w:r w:rsidRPr="006863D1">
        <w:rPr>
          <w:rFonts w:cs="Times New Roman"/>
          <w:color w:val="auto"/>
          <w:sz w:val="20"/>
          <w:szCs w:val="20"/>
          <w:vertAlign w:val="superscript"/>
        </w:rPr>
        <w:t xml:space="preserve"> </w:t>
      </w:r>
      <w:r w:rsidRPr="006863D1">
        <w:rPr>
          <w:rFonts w:cs="Times New Roman"/>
          <w:color w:val="auto"/>
          <w:sz w:val="20"/>
          <w:szCs w:val="20"/>
        </w:rPr>
        <w:t>metal ion complexes with AZ and CE in 0.3 M HCl.</w:t>
      </w:r>
    </w:p>
    <w:p w:rsidR="006863D1" w:rsidRPr="006863D1" w:rsidRDefault="006863D1" w:rsidP="006A7B41">
      <w:pPr>
        <w:pStyle w:val="Papermain"/>
        <w:spacing w:after="120" w:line="240" w:lineRule="auto"/>
        <w:rPr>
          <w:rFonts w:cs="Times New Roman"/>
          <w:color w:val="auto"/>
          <w:sz w:val="20"/>
          <w:szCs w:val="20"/>
        </w:rPr>
      </w:pPr>
    </w:p>
    <w:p w:rsidR="006863D1" w:rsidRPr="006A7B41" w:rsidRDefault="006863D1" w:rsidP="006A7B41">
      <w:pPr>
        <w:pStyle w:val="Papermain"/>
        <w:spacing w:after="120" w:line="240" w:lineRule="auto"/>
        <w:jc w:val="center"/>
        <w:rPr>
          <w:rFonts w:cs="Times New Roman"/>
          <w:color w:val="auto"/>
          <w:sz w:val="20"/>
          <w:szCs w:val="20"/>
        </w:rPr>
      </w:pPr>
      <w:r w:rsidRPr="006863D1">
        <w:rPr>
          <w:rFonts w:cs="Times New Roman"/>
          <w:noProof/>
          <w:color w:val="auto"/>
          <w:sz w:val="20"/>
          <w:szCs w:val="20"/>
        </w:rPr>
        <w:drawing>
          <wp:inline distT="0" distB="0" distL="0" distR="0" wp14:anchorId="32D7B2E4" wp14:editId="17F6A049">
            <wp:extent cx="3780000" cy="2529114"/>
            <wp:effectExtent l="19050" t="19050" r="11430" b="241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0000" cy="2529114"/>
                    </a:xfrm>
                    <a:prstGeom prst="rect">
                      <a:avLst/>
                    </a:prstGeom>
                    <a:ln w="6350" cap="sq">
                      <a:solidFill>
                        <a:srgbClr val="000000"/>
                      </a:solidFill>
                      <a:prstDash val="solid"/>
                      <a:miter lim="800000"/>
                    </a:ln>
                    <a:effectLst/>
                  </pic:spPr>
                </pic:pic>
              </a:graphicData>
            </a:graphic>
          </wp:inline>
        </w:drawing>
      </w:r>
    </w:p>
    <w:p w:rsidR="006768E9" w:rsidRPr="006863D1" w:rsidRDefault="006863D1" w:rsidP="006A7B41">
      <w:pPr>
        <w:spacing w:after="0" w:line="240" w:lineRule="auto"/>
        <w:ind w:left="900" w:hanging="900"/>
        <w:jc w:val="both"/>
        <w:rPr>
          <w:rFonts w:ascii="Times New Roman" w:hAnsi="Times New Roman"/>
          <w:noProof/>
          <w:sz w:val="20"/>
          <w:szCs w:val="20"/>
          <w:lang w:bidi="ar-SA"/>
        </w:rPr>
      </w:pPr>
      <w:r w:rsidRPr="006863D1">
        <w:rPr>
          <w:rFonts w:ascii="Times New Roman" w:hAnsi="Times New Roman"/>
          <w:bCs/>
          <w:sz w:val="20"/>
          <w:szCs w:val="20"/>
        </w:rPr>
        <w:t>Figure 4.</w:t>
      </w:r>
      <w:r w:rsidRPr="006863D1">
        <w:rPr>
          <w:rFonts w:ascii="Times New Roman" w:hAnsi="Times New Roman"/>
          <w:sz w:val="20"/>
          <w:szCs w:val="20"/>
        </w:rPr>
        <w:t xml:space="preserve"> </w:t>
      </w:r>
      <w:r w:rsidR="00B16143">
        <w:rPr>
          <w:rFonts w:ascii="Times New Roman" w:hAnsi="Times New Roman"/>
          <w:sz w:val="20"/>
          <w:szCs w:val="20"/>
        </w:rPr>
        <w:tab/>
      </w:r>
      <w:r w:rsidRPr="006863D1">
        <w:rPr>
          <w:rFonts w:ascii="Times New Roman" w:hAnsi="Times New Roman"/>
          <w:sz w:val="20"/>
          <w:szCs w:val="20"/>
        </w:rPr>
        <w:t>Distribution curves of Re(V) complexes with AZ and CE at 318 K for [ReOCl</w:t>
      </w:r>
      <w:r w:rsidRPr="006863D1">
        <w:rPr>
          <w:rFonts w:ascii="Times New Roman" w:hAnsi="Times New Roman"/>
          <w:sz w:val="20"/>
          <w:szCs w:val="20"/>
          <w:vertAlign w:val="subscript"/>
        </w:rPr>
        <w:t>5</w:t>
      </w:r>
      <w:r w:rsidRPr="006863D1">
        <w:rPr>
          <w:rFonts w:ascii="Times New Roman" w:hAnsi="Times New Roman"/>
          <w:sz w:val="20"/>
          <w:szCs w:val="20"/>
        </w:rPr>
        <w:t>]</w:t>
      </w:r>
      <w:r w:rsidRPr="006863D1">
        <w:rPr>
          <w:rFonts w:ascii="Times New Roman" w:hAnsi="Times New Roman"/>
          <w:sz w:val="20"/>
          <w:szCs w:val="20"/>
          <w:vertAlign w:val="superscript"/>
        </w:rPr>
        <w:t>2-</w:t>
      </w:r>
      <w:r w:rsidRPr="006863D1">
        <w:rPr>
          <w:rFonts w:ascii="Times New Roman" w:hAnsi="Times New Roman"/>
          <w:sz w:val="20"/>
          <w:szCs w:val="20"/>
        </w:rPr>
        <w:t xml:space="preserve"> (a) and (b), </w:t>
      </w: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w:t>
      </w:r>
      <w:r w:rsidRPr="006863D1">
        <w:rPr>
          <w:rFonts w:ascii="Times New Roman" w:hAnsi="Times New Roman"/>
          <w:sz w:val="20"/>
          <w:szCs w:val="20"/>
        </w:rPr>
        <w:t xml:space="preserve"> (c), </w:t>
      </w: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w:t>
      </w:r>
      <w:r w:rsidRPr="006863D1">
        <w:rPr>
          <w:rStyle w:val="maintitle"/>
          <w:rFonts w:ascii="Times New Roman" w:hAnsi="Times New Roman"/>
          <w:sz w:val="20"/>
          <w:szCs w:val="20"/>
          <w:vertAlign w:val="superscript"/>
        </w:rPr>
        <w:t>+</w:t>
      </w:r>
      <w:r w:rsidRPr="006863D1">
        <w:rPr>
          <w:rFonts w:ascii="Times New Roman" w:hAnsi="Times New Roman"/>
          <w:sz w:val="20"/>
          <w:szCs w:val="20"/>
        </w:rPr>
        <w:t xml:space="preserve"> (d), </w:t>
      </w:r>
      <w:r w:rsidRPr="006863D1">
        <w:rPr>
          <w:rStyle w:val="maintitle"/>
          <w:rFonts w:ascii="Times New Roman" w:hAnsi="Times New Roman"/>
          <w:sz w:val="20"/>
          <w:szCs w:val="20"/>
        </w:rPr>
        <w:t>[ReO(AZ)</w:t>
      </w:r>
      <w:r w:rsidRPr="006863D1">
        <w:rPr>
          <w:rStyle w:val="maintitle"/>
          <w:rFonts w:ascii="Times New Roman" w:hAnsi="Times New Roman"/>
          <w:sz w:val="20"/>
          <w:szCs w:val="20"/>
          <w:vertAlign w:val="subscript"/>
        </w:rPr>
        <w:t>4</w:t>
      </w:r>
      <w:r w:rsidRPr="006863D1">
        <w:rPr>
          <w:rStyle w:val="maintitle"/>
          <w:rFonts w:ascii="Times New Roman" w:hAnsi="Times New Roman"/>
          <w:sz w:val="20"/>
          <w:szCs w:val="20"/>
        </w:rPr>
        <w:t>Cl]</w:t>
      </w:r>
      <w:r w:rsidRPr="006863D1">
        <w:rPr>
          <w:rStyle w:val="maintitle"/>
          <w:rFonts w:ascii="Times New Roman" w:hAnsi="Times New Roman"/>
          <w:sz w:val="20"/>
          <w:szCs w:val="20"/>
          <w:vertAlign w:val="superscript"/>
        </w:rPr>
        <w:t xml:space="preserve">2+ </w:t>
      </w:r>
      <w:r w:rsidRPr="006863D1">
        <w:rPr>
          <w:rStyle w:val="maintitle"/>
          <w:rFonts w:ascii="Times New Roman" w:hAnsi="Times New Roman"/>
          <w:sz w:val="20"/>
          <w:szCs w:val="20"/>
        </w:rPr>
        <w:t>(e)</w:t>
      </w:r>
      <w:r w:rsidRPr="006863D1">
        <w:rPr>
          <w:rFonts w:ascii="Times New Roman" w:hAnsi="Times New Roman"/>
          <w:sz w:val="20"/>
          <w:szCs w:val="20"/>
        </w:rPr>
        <w:t xml:space="preserve">, </w:t>
      </w:r>
      <w:r w:rsidRPr="006863D1">
        <w:rPr>
          <w:rStyle w:val="maintitle"/>
          <w:rFonts w:ascii="Times New Roman" w:hAnsi="Times New Roman"/>
          <w:sz w:val="20"/>
          <w:szCs w:val="20"/>
        </w:rPr>
        <w:t>[ReO(CE)Cl</w:t>
      </w:r>
      <w:r w:rsidRPr="006863D1">
        <w:rPr>
          <w:rStyle w:val="maintitle"/>
          <w:rFonts w:ascii="Times New Roman" w:hAnsi="Times New Roman"/>
          <w:sz w:val="20"/>
          <w:szCs w:val="20"/>
          <w:vertAlign w:val="subscript"/>
        </w:rPr>
        <w:t>3</w:t>
      </w:r>
      <w:r w:rsidRPr="006863D1">
        <w:rPr>
          <w:rStyle w:val="maintitle"/>
          <w:rFonts w:ascii="Times New Roman" w:hAnsi="Times New Roman"/>
          <w:sz w:val="20"/>
          <w:szCs w:val="20"/>
        </w:rPr>
        <w:t>]</w:t>
      </w:r>
      <w:r w:rsidRPr="006863D1">
        <w:rPr>
          <w:rFonts w:ascii="Times New Roman" w:hAnsi="Times New Roman"/>
          <w:sz w:val="20"/>
          <w:szCs w:val="20"/>
          <w:vertAlign w:val="superscript"/>
        </w:rPr>
        <w:t>–</w:t>
      </w:r>
      <w:r w:rsidRPr="006863D1">
        <w:rPr>
          <w:rFonts w:ascii="Times New Roman" w:hAnsi="Times New Roman"/>
          <w:sz w:val="20"/>
          <w:szCs w:val="20"/>
        </w:rPr>
        <w:t xml:space="preserve"> (f) and </w:t>
      </w:r>
      <w:r w:rsidRPr="006863D1">
        <w:rPr>
          <w:rStyle w:val="maintitle"/>
          <w:rFonts w:ascii="Times New Roman" w:hAnsi="Times New Roman"/>
          <w:sz w:val="20"/>
          <w:szCs w:val="20"/>
        </w:rPr>
        <w:t>[ReO(CE)</w:t>
      </w:r>
      <w:r w:rsidRPr="006863D1">
        <w:rPr>
          <w:rStyle w:val="maintitle"/>
          <w:rFonts w:ascii="Times New Roman" w:hAnsi="Times New Roman"/>
          <w:sz w:val="20"/>
          <w:szCs w:val="20"/>
          <w:vertAlign w:val="subscript"/>
        </w:rPr>
        <w:t>2</w:t>
      </w:r>
      <w:r w:rsidRPr="006863D1">
        <w:rPr>
          <w:rStyle w:val="maintitle"/>
          <w:rFonts w:ascii="Times New Roman" w:hAnsi="Times New Roman"/>
          <w:sz w:val="20"/>
          <w:szCs w:val="20"/>
        </w:rPr>
        <w:t>Cl] (g)</w:t>
      </w:r>
    </w:p>
    <w:p w:rsidR="006863D1" w:rsidRDefault="006863D1" w:rsidP="00F447A7">
      <w:pPr>
        <w:spacing w:after="0" w:line="240" w:lineRule="auto"/>
        <w:jc w:val="center"/>
        <w:rPr>
          <w:rFonts w:ascii="Times New Roman" w:hAnsi="Times New Roman"/>
          <w:b/>
          <w:noProof/>
          <w:sz w:val="20"/>
          <w:szCs w:val="20"/>
          <w:lang w:bidi="ar-SA"/>
        </w:rPr>
      </w:pPr>
    </w:p>
    <w:p w:rsidR="00B16143" w:rsidRDefault="00B1614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16143" w:rsidRPr="00B16143" w:rsidRDefault="00B16143" w:rsidP="00B16143">
      <w:pPr>
        <w:pStyle w:val="Papermain"/>
        <w:spacing w:line="240" w:lineRule="auto"/>
        <w:rPr>
          <w:rFonts w:cs="Times New Roman"/>
          <w:color w:val="auto"/>
          <w:sz w:val="20"/>
          <w:szCs w:val="20"/>
        </w:rPr>
      </w:pPr>
      <w:r w:rsidRPr="00B16143">
        <w:rPr>
          <w:rFonts w:cs="Times New Roman"/>
          <w:noProof/>
          <w:color w:val="auto"/>
          <w:sz w:val="20"/>
          <w:szCs w:val="20"/>
        </w:rPr>
        <w:t>The potentiometric</w:t>
      </w:r>
      <w:r w:rsidRPr="00B16143">
        <w:rPr>
          <w:rFonts w:cs="Times New Roman"/>
          <w:color w:val="auto"/>
          <w:sz w:val="20"/>
          <w:szCs w:val="20"/>
        </w:rPr>
        <w:t xml:space="preserve"> study investigated the behavior of complex formation of Re(V) metal ion with azathioprine (AZ) and ceftriaxone (CE). AZ </w:t>
      </w:r>
      <w:r w:rsidRPr="00B16143">
        <w:rPr>
          <w:rStyle w:val="maintitle"/>
          <w:rFonts w:cs="Times New Roman"/>
          <w:color w:val="auto"/>
          <w:sz w:val="20"/>
          <w:szCs w:val="20"/>
        </w:rPr>
        <w:t xml:space="preserve">is a neutral and monodentate ligand and the coordination bonds occur between the lone pair of sulfur atom with </w:t>
      </w:r>
      <w:r w:rsidRPr="00B16143">
        <w:rPr>
          <w:rFonts w:cs="Times New Roman"/>
          <w:color w:val="auto"/>
          <w:sz w:val="20"/>
          <w:szCs w:val="20"/>
        </w:rPr>
        <w:t>Re(V). Re(V)-</w:t>
      </w:r>
      <w:r w:rsidRPr="00B16143">
        <w:rPr>
          <w:rStyle w:val="maintitle"/>
          <w:rFonts w:cs="Times New Roman"/>
          <w:color w:val="auto"/>
          <w:sz w:val="20"/>
          <w:szCs w:val="20"/>
        </w:rPr>
        <w:t xml:space="preserve">AZ system has a maximum value of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B16143">
        <w:rPr>
          <w:rFonts w:cs="Times New Roman"/>
          <w:color w:val="auto"/>
          <w:sz w:val="20"/>
          <w:szCs w:val="20"/>
        </w:rPr>
        <w:t xml:space="preserve"> </w:t>
      </w:r>
      <w:r w:rsidRPr="00B16143">
        <w:rPr>
          <w:rStyle w:val="maintitle"/>
          <w:rFonts w:cs="Times New Roman"/>
          <w:color w:val="auto"/>
          <w:sz w:val="20"/>
          <w:szCs w:val="20"/>
        </w:rPr>
        <w:t xml:space="preserve">of 4, this showed the formation 1:2, 1:3 and 1:4 complexes. The complex formation suggests a successive displacement of the chloride molecules from the coordination sphere of the central ion by the AZ ligand. </w:t>
      </w:r>
      <w:r w:rsidRPr="00B16143">
        <w:rPr>
          <w:rFonts w:cs="Times New Roman"/>
          <w:color w:val="auto"/>
          <w:sz w:val="20"/>
          <w:szCs w:val="20"/>
        </w:rPr>
        <w:t xml:space="preserve">The maximum value of </w:t>
      </w:r>
      <m:oMath>
        <m:acc>
          <m:accPr>
            <m:chr m:val="̅"/>
            <m:ctrlPr>
              <w:rPr>
                <w:rStyle w:val="maintitle"/>
                <w:rFonts w:ascii="Cambria Math" w:hAnsi="Cambria Math" w:cs="Times New Roman"/>
                <w:i/>
                <w:color w:val="auto"/>
                <w:sz w:val="20"/>
                <w:szCs w:val="20"/>
              </w:rPr>
            </m:ctrlPr>
          </m:accPr>
          <m:e>
            <m:r>
              <w:rPr>
                <w:rStyle w:val="maintitle"/>
                <w:rFonts w:ascii="Cambria Math" w:hAnsi="Cambria Math" w:cs="Times New Roman"/>
                <w:color w:val="auto"/>
                <w:sz w:val="20"/>
                <w:szCs w:val="20"/>
              </w:rPr>
              <m:t>n</m:t>
            </m:r>
          </m:e>
        </m:acc>
      </m:oMath>
      <w:r w:rsidRPr="00B16143">
        <w:rPr>
          <w:rFonts w:cs="Times New Roman"/>
          <w:color w:val="auto"/>
          <w:sz w:val="20"/>
          <w:szCs w:val="20"/>
        </w:rPr>
        <w:t xml:space="preserve"> in the system of Re(V)-CE was 2, this showed the formation 1:1 and 1:2 complexes. The CE is losing one sodium atom and </w:t>
      </w:r>
      <w:r w:rsidRPr="00B16143">
        <w:rPr>
          <w:rStyle w:val="maintitle"/>
          <w:rFonts w:cs="Times New Roman"/>
          <w:color w:val="auto"/>
          <w:sz w:val="20"/>
          <w:szCs w:val="20"/>
        </w:rPr>
        <w:t>becomes</w:t>
      </w:r>
      <w:r w:rsidRPr="00B16143">
        <w:rPr>
          <w:rFonts w:cs="Times New Roman"/>
          <w:color w:val="auto"/>
          <w:sz w:val="20"/>
          <w:szCs w:val="20"/>
        </w:rPr>
        <w:t xml:space="preserve"> anionic </w:t>
      </w:r>
      <w:r w:rsidRPr="00B16143">
        <w:rPr>
          <w:rFonts w:cs="Times New Roman"/>
          <w:color w:val="auto"/>
          <w:sz w:val="20"/>
          <w:szCs w:val="20"/>
        </w:rPr>
        <w:lastRenderedPageBreak/>
        <w:t>ligand.</w:t>
      </w:r>
      <w:r w:rsidRPr="00B16143">
        <w:rPr>
          <w:rStyle w:val="maintitle"/>
          <w:rFonts w:cs="Times New Roman"/>
          <w:color w:val="auto"/>
          <w:sz w:val="20"/>
          <w:szCs w:val="20"/>
        </w:rPr>
        <w:t xml:space="preserve"> The increasing amount coordinated molecules AZ and CE </w:t>
      </w:r>
      <w:r w:rsidRPr="00B16143">
        <w:rPr>
          <w:rFonts w:cs="Times New Roman"/>
          <w:color w:val="auto"/>
          <w:sz w:val="20"/>
          <w:szCs w:val="20"/>
        </w:rPr>
        <w:t>and the</w:t>
      </w:r>
      <w:r w:rsidRPr="00B16143">
        <w:rPr>
          <w:rStyle w:val="maintitle"/>
          <w:rFonts w:cs="Times New Roman"/>
          <w:color w:val="auto"/>
          <w:sz w:val="20"/>
          <w:szCs w:val="20"/>
        </w:rPr>
        <w:t xml:space="preserve"> temperature the values log K</w:t>
      </w:r>
      <w:r w:rsidRPr="00B16143">
        <w:rPr>
          <w:rStyle w:val="maintitle"/>
          <w:rFonts w:cs="Times New Roman"/>
          <w:color w:val="auto"/>
          <w:sz w:val="20"/>
          <w:szCs w:val="20"/>
          <w:vertAlign w:val="subscript"/>
        </w:rPr>
        <w:t>i</w:t>
      </w:r>
      <w:r w:rsidRPr="00B16143">
        <w:rPr>
          <w:rStyle w:val="maintitle"/>
          <w:rFonts w:cs="Times New Roman"/>
          <w:color w:val="auto"/>
          <w:sz w:val="20"/>
          <w:szCs w:val="20"/>
        </w:rPr>
        <w:t xml:space="preserve"> decreases. </w:t>
      </w:r>
      <w:r w:rsidRPr="00B16143">
        <w:rPr>
          <w:rFonts w:cs="Times New Roman"/>
          <w:color w:val="auto"/>
          <w:sz w:val="20"/>
          <w:szCs w:val="20"/>
        </w:rPr>
        <w:t>There is a dramatic increase ΔS for adding two compared to adding four mo</w:t>
      </w:r>
      <w:r w:rsidR="00EC30F9">
        <w:rPr>
          <w:rFonts w:cs="Times New Roman"/>
          <w:color w:val="auto"/>
          <w:sz w:val="20"/>
          <w:szCs w:val="20"/>
        </w:rPr>
        <w:t xml:space="preserve">nodentate AZ ligands </w:t>
      </w:r>
      <w:r w:rsidRPr="00B16143">
        <w:rPr>
          <w:rFonts w:cs="Times New Roman"/>
          <w:color w:val="auto"/>
          <w:sz w:val="20"/>
          <w:szCs w:val="20"/>
        </w:rPr>
        <w:t>(</w:t>
      </w:r>
      <w:r w:rsidRPr="00B16143">
        <w:rPr>
          <w:rStyle w:val="publication-meta-journal"/>
          <w:rFonts w:cs="Times New Roman"/>
          <w:color w:val="auto"/>
          <w:sz w:val="20"/>
          <w:szCs w:val="20"/>
        </w:rPr>
        <w:t>-</w:t>
      </w:r>
      <w:r w:rsidRPr="00B16143">
        <w:rPr>
          <w:rFonts w:cs="Times New Roman"/>
          <w:color w:val="auto"/>
          <w:sz w:val="20"/>
          <w:szCs w:val="20"/>
        </w:rPr>
        <w:t xml:space="preserve">100.78 to 2.71 </w:t>
      </w:r>
      <w:bookmarkStart w:id="2" w:name="_GoBack"/>
      <w:bookmarkEnd w:id="2"/>
      <w:r w:rsidRPr="00B16143">
        <w:rPr>
          <w:rFonts w:cs="Times New Roman"/>
          <w:color w:val="auto"/>
          <w:sz w:val="20"/>
          <w:szCs w:val="20"/>
        </w:rPr>
        <w:t xml:space="preserve">J/K mol) which </w:t>
      </w:r>
      <w:r w:rsidRPr="00B16143">
        <w:rPr>
          <w:rFonts w:cs="Times New Roman"/>
          <w:noProof/>
          <w:color w:val="auto"/>
          <w:sz w:val="20"/>
          <w:szCs w:val="20"/>
        </w:rPr>
        <w:t>change</w:t>
      </w:r>
      <w:r w:rsidRPr="00B16143">
        <w:rPr>
          <w:rFonts w:cs="Times New Roman"/>
          <w:color w:val="auto"/>
          <w:sz w:val="20"/>
          <w:szCs w:val="20"/>
        </w:rPr>
        <w:t xml:space="preserve"> from negative (unfavorable) to positive (favorable). The enthalpy change (ΔH) for the complexes suggests that all the complexation reactions releasing heat have a negative ∆H (exothermic), favorable at </w:t>
      </w:r>
      <w:r w:rsidRPr="00B16143">
        <w:rPr>
          <w:rFonts w:cs="Times New Roman"/>
          <w:noProof/>
          <w:color w:val="auto"/>
          <w:sz w:val="20"/>
          <w:szCs w:val="20"/>
        </w:rPr>
        <w:t>low</w:t>
      </w:r>
      <w:r w:rsidRPr="00B16143">
        <w:rPr>
          <w:rFonts w:cs="Times New Roman"/>
          <w:color w:val="auto"/>
          <w:sz w:val="20"/>
          <w:szCs w:val="20"/>
        </w:rPr>
        <w:t xml:space="preserve"> temperatures. ∆G indicates the direction in which a reaction moves to reach its equilibrium position. The above mentioned parameters and results will be useful in understanding the biological behavior of these complexes in the biological applications.</w:t>
      </w:r>
    </w:p>
    <w:p w:rsidR="00B16143" w:rsidRPr="00B16143" w:rsidRDefault="00B16143" w:rsidP="00B16143">
      <w:pPr>
        <w:pStyle w:val="Papermain"/>
        <w:spacing w:line="240" w:lineRule="auto"/>
        <w:jc w:val="center"/>
        <w:rPr>
          <w:rFonts w:cs="Times New Roman"/>
          <w:color w:val="auto"/>
          <w:sz w:val="20"/>
          <w:szCs w:val="20"/>
        </w:rPr>
      </w:pPr>
    </w:p>
    <w:p w:rsidR="00B16143" w:rsidRPr="00B16143" w:rsidRDefault="00B16143" w:rsidP="00B16143">
      <w:pPr>
        <w:pStyle w:val="Papersection"/>
        <w:numPr>
          <w:ilvl w:val="0"/>
          <w:numId w:val="0"/>
        </w:numPr>
        <w:tabs>
          <w:tab w:val="left" w:pos="270"/>
        </w:tabs>
        <w:spacing w:line="240" w:lineRule="auto"/>
        <w:ind w:left="426" w:hanging="426"/>
        <w:jc w:val="center"/>
        <w:rPr>
          <w:rFonts w:cs="Times New Roman"/>
          <w:color w:val="auto"/>
          <w:sz w:val="20"/>
          <w:szCs w:val="20"/>
        </w:rPr>
      </w:pPr>
      <w:r w:rsidRPr="00B16143">
        <w:rPr>
          <w:rFonts w:cs="Times New Roman"/>
          <w:color w:val="auto"/>
          <w:sz w:val="20"/>
          <w:szCs w:val="20"/>
          <w:lang w:val="en-GB"/>
        </w:rPr>
        <w:t>Acknowledgement</w:t>
      </w:r>
    </w:p>
    <w:p w:rsidR="006768E9" w:rsidRPr="00B16143" w:rsidRDefault="00B16143" w:rsidP="00B16143">
      <w:pPr>
        <w:pStyle w:val="Papermain"/>
        <w:spacing w:line="240" w:lineRule="auto"/>
        <w:rPr>
          <w:rFonts w:cs="Times New Roman"/>
          <w:color w:val="auto"/>
          <w:sz w:val="20"/>
          <w:szCs w:val="20"/>
        </w:rPr>
      </w:pPr>
      <w:r w:rsidRPr="00B16143">
        <w:rPr>
          <w:rFonts w:cs="Times New Roman"/>
          <w:color w:val="auto"/>
          <w:sz w:val="20"/>
          <w:szCs w:val="20"/>
        </w:rPr>
        <w:t>The authors would like to thank Chemistry department, Faculty of Science, Al-Azhar University, Assiut, Egypt for providing the facilities of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CA6762">
        <w:rPr>
          <w:rFonts w:asciiTheme="majorBidi" w:hAnsiTheme="majorBidi" w:cstheme="majorBidi"/>
          <w:sz w:val="20"/>
          <w:szCs w:val="20"/>
        </w:rPr>
        <w:t>Thomas, G. (2003). Fundamentals of medicinal chemistry</w:t>
      </w:r>
      <w:r>
        <w:rPr>
          <w:rFonts w:asciiTheme="majorBidi" w:hAnsiTheme="majorBidi" w:cstheme="majorBidi"/>
          <w:sz w:val="20"/>
          <w:szCs w:val="20"/>
        </w:rPr>
        <w:t xml:space="preserve">. </w:t>
      </w:r>
      <w:r w:rsidRPr="00CA6762">
        <w:rPr>
          <w:rFonts w:asciiTheme="majorBidi" w:hAnsiTheme="majorBidi" w:cstheme="majorBidi"/>
          <w:sz w:val="20"/>
          <w:szCs w:val="20"/>
        </w:rPr>
        <w:t>John</w:t>
      </w:r>
      <w:r>
        <w:rPr>
          <w:rFonts w:asciiTheme="majorBidi" w:hAnsiTheme="majorBidi" w:cstheme="majorBidi"/>
          <w:sz w:val="20"/>
          <w:szCs w:val="20"/>
        </w:rPr>
        <w:t xml:space="preserve"> Wiley &amp; Son L</w:t>
      </w:r>
      <w:r w:rsidRPr="00CA6762">
        <w:rPr>
          <w:rFonts w:asciiTheme="majorBidi" w:hAnsiTheme="majorBidi" w:cstheme="majorBidi"/>
          <w:sz w:val="20"/>
          <w:szCs w:val="20"/>
        </w:rPr>
        <w:t>td. London, UK.</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Mendham, J. (2006). Vogels textbook of quantitative chemical analysis. Pearson Education India.</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Kinlen, L. J. </w:t>
      </w:r>
      <w:r w:rsidRPr="00D12F62">
        <w:rPr>
          <w:rFonts w:asciiTheme="majorBidi" w:hAnsiTheme="majorBidi" w:cstheme="majorBidi"/>
          <w:bCs/>
          <w:sz w:val="20"/>
          <w:szCs w:val="20"/>
        </w:rPr>
        <w:t>(</w:t>
      </w:r>
      <w:r w:rsidRPr="00D12F62">
        <w:rPr>
          <w:rFonts w:asciiTheme="majorBidi" w:hAnsiTheme="majorBidi" w:cstheme="majorBidi"/>
          <w:sz w:val="20"/>
          <w:szCs w:val="20"/>
        </w:rPr>
        <w:t xml:space="preserve">1985). Incidence of cancer in rheumatoid arthritis and other disorders after immunosuppressive treatment. </w:t>
      </w:r>
      <w:r w:rsidRPr="00D12F62">
        <w:rPr>
          <w:rFonts w:asciiTheme="majorBidi" w:hAnsiTheme="majorBidi" w:cstheme="majorBidi"/>
          <w:i/>
          <w:iCs/>
          <w:sz w:val="20"/>
          <w:szCs w:val="20"/>
        </w:rPr>
        <w:t>American Journal of Medicine,</w:t>
      </w:r>
      <w:r w:rsidRPr="00D12F62">
        <w:rPr>
          <w:rFonts w:asciiTheme="majorBidi" w:hAnsiTheme="majorBidi" w:cstheme="majorBidi"/>
          <w:sz w:val="20"/>
          <w:szCs w:val="20"/>
        </w:rPr>
        <w:t xml:space="preserve"> 78(1): 44</w:t>
      </w:r>
      <w:r>
        <w:rPr>
          <w:rFonts w:asciiTheme="majorBidi" w:hAnsiTheme="majorBidi" w:cstheme="majorBidi"/>
          <w:sz w:val="20"/>
          <w:szCs w:val="20"/>
        </w:rPr>
        <w:t xml:space="preserve"> – </w:t>
      </w:r>
      <w:r w:rsidRPr="00D12F62">
        <w:rPr>
          <w:rFonts w:asciiTheme="majorBidi" w:hAnsiTheme="majorBidi" w:cstheme="majorBidi"/>
          <w:sz w:val="20"/>
          <w:szCs w:val="20"/>
        </w:rPr>
        <w:t>49.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Fri</w:t>
      </w:r>
      <w:r>
        <w:rPr>
          <w:rFonts w:asciiTheme="majorBidi" w:hAnsiTheme="majorBidi" w:cstheme="majorBidi"/>
          <w:sz w:val="20"/>
          <w:szCs w:val="20"/>
        </w:rPr>
        <w:t>es, J. F., Bloch, D.,</w:t>
      </w:r>
      <w:r w:rsidRPr="00D12F62">
        <w:rPr>
          <w:rFonts w:asciiTheme="majorBidi" w:hAnsiTheme="majorBidi" w:cstheme="majorBidi"/>
          <w:sz w:val="20"/>
          <w:szCs w:val="20"/>
        </w:rPr>
        <w:t xml:space="preserve"> Spitz, P. and Mitchell, D. M. (1985). Cancer in rheumatoid arthritis: A prospective long-term study of mortality. </w:t>
      </w:r>
      <w:r w:rsidRPr="00D12F62">
        <w:rPr>
          <w:rFonts w:asciiTheme="majorBidi" w:hAnsiTheme="majorBidi" w:cstheme="majorBidi"/>
          <w:i/>
          <w:iCs/>
          <w:sz w:val="20"/>
          <w:szCs w:val="20"/>
        </w:rPr>
        <w:t>American Journal of Medicine,</w:t>
      </w:r>
      <w:r w:rsidRPr="00D12F62">
        <w:rPr>
          <w:rFonts w:asciiTheme="majorBidi" w:hAnsiTheme="majorBidi" w:cstheme="majorBidi"/>
          <w:sz w:val="20"/>
          <w:szCs w:val="20"/>
        </w:rPr>
        <w:t xml:space="preserve"> 78(1): 56</w:t>
      </w:r>
      <w:r>
        <w:rPr>
          <w:rFonts w:asciiTheme="majorBidi" w:hAnsiTheme="majorBidi" w:cstheme="majorBidi"/>
          <w:sz w:val="20"/>
          <w:szCs w:val="20"/>
        </w:rPr>
        <w:t xml:space="preserve"> – </w:t>
      </w:r>
      <w:r w:rsidRPr="00D12F62">
        <w:rPr>
          <w:rFonts w:asciiTheme="majorBidi" w:hAnsiTheme="majorBidi" w:cstheme="majorBidi"/>
          <w:sz w:val="20"/>
          <w:szCs w:val="20"/>
        </w:rPr>
        <w:t>59.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Kotton, C. N. and Hibberd, P. L. (2009). Travel medicine and the solid organ transplant recipient. </w:t>
      </w:r>
      <w:r w:rsidRPr="00D12F62">
        <w:rPr>
          <w:rFonts w:asciiTheme="majorBidi" w:hAnsiTheme="majorBidi" w:cstheme="majorBidi"/>
          <w:i/>
          <w:iCs/>
          <w:sz w:val="20"/>
          <w:szCs w:val="20"/>
        </w:rPr>
        <w:t xml:space="preserve">American Journal of Transplantation, </w:t>
      </w:r>
      <w:r w:rsidRPr="00D12F62">
        <w:rPr>
          <w:rFonts w:asciiTheme="majorBidi" w:hAnsiTheme="majorBidi" w:cstheme="majorBidi"/>
          <w:sz w:val="20"/>
          <w:szCs w:val="20"/>
        </w:rPr>
        <w:t>9(4): 273</w:t>
      </w:r>
      <w:r>
        <w:rPr>
          <w:rFonts w:asciiTheme="majorBidi" w:hAnsiTheme="majorBidi" w:cstheme="majorBidi"/>
          <w:sz w:val="20"/>
          <w:szCs w:val="20"/>
        </w:rPr>
        <w:t xml:space="preserve"> – </w:t>
      </w:r>
      <w:r w:rsidRPr="00D12F62">
        <w:rPr>
          <w:rFonts w:asciiTheme="majorBidi" w:hAnsiTheme="majorBidi" w:cstheme="majorBidi"/>
          <w:sz w:val="20"/>
          <w:szCs w:val="20"/>
        </w:rPr>
        <w:t>281.</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Rind, F. M. A., Laghari, M. G. H., Memon, A. H., Mughal, U. R., Almani, F. N.,</w:t>
      </w:r>
      <w:r w:rsidRPr="00D12F62">
        <w:rPr>
          <w:rFonts w:asciiTheme="majorBidi" w:hAnsiTheme="majorBidi" w:cstheme="majorBidi"/>
          <w:sz w:val="20"/>
          <w:szCs w:val="20"/>
        </w:rPr>
        <w:t xml:space="preserve"> Memon, K. M. Y. and Maheshwari, M. L. (2008).</w:t>
      </w:r>
      <w:r w:rsidRPr="00CA6762">
        <w:t xml:space="preserve"> </w:t>
      </w:r>
      <w:r w:rsidRPr="00D12F62">
        <w:rPr>
          <w:rFonts w:asciiTheme="majorBidi" w:hAnsiTheme="majorBidi" w:cstheme="majorBidi"/>
          <w:sz w:val="20"/>
          <w:szCs w:val="20"/>
        </w:rPr>
        <w:t xml:space="preserve">Spectrophotometric determination of ceftriaxone using 4-dimethylaminobenzaldehyde. </w:t>
      </w:r>
      <w:r w:rsidRPr="00D12F62">
        <w:rPr>
          <w:rFonts w:asciiTheme="majorBidi" w:hAnsiTheme="majorBidi" w:cstheme="majorBidi"/>
          <w:i/>
          <w:iCs/>
          <w:sz w:val="20"/>
          <w:szCs w:val="20"/>
        </w:rPr>
        <w:t>Pakistan Journal of Analytical &amp; Environmental Chemistry,</w:t>
      </w:r>
      <w:r w:rsidRPr="00D12F62">
        <w:rPr>
          <w:rFonts w:asciiTheme="majorBidi" w:hAnsiTheme="majorBidi" w:cstheme="majorBidi"/>
          <w:sz w:val="20"/>
          <w:szCs w:val="20"/>
        </w:rPr>
        <w:t xml:space="preserve"> 9(1): 43</w:t>
      </w:r>
      <w:r>
        <w:rPr>
          <w:rFonts w:asciiTheme="majorBidi" w:hAnsiTheme="majorBidi" w:cstheme="majorBidi"/>
          <w:sz w:val="20"/>
          <w:szCs w:val="20"/>
        </w:rPr>
        <w:t xml:space="preserve"> – </w:t>
      </w:r>
      <w:r w:rsidRPr="00D12F62">
        <w:rPr>
          <w:rFonts w:asciiTheme="majorBidi" w:hAnsiTheme="majorBidi" w:cstheme="majorBidi"/>
          <w:sz w:val="20"/>
          <w:szCs w:val="20"/>
        </w:rPr>
        <w:t>48.</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D12F62">
        <w:rPr>
          <w:rFonts w:asciiTheme="majorBidi" w:hAnsiTheme="majorBidi" w:cstheme="majorBidi"/>
          <w:sz w:val="20"/>
          <w:szCs w:val="20"/>
        </w:rPr>
        <w:t xml:space="preserve">Al-Momani, I. F. (2001). Spectrophotometric determination of selected cephalosporins in drug formulations using flow injection analysis. </w:t>
      </w:r>
      <w:r w:rsidRPr="00D12F62">
        <w:rPr>
          <w:rFonts w:asciiTheme="majorBidi" w:hAnsiTheme="majorBidi" w:cstheme="majorBidi"/>
          <w:i/>
          <w:iCs/>
          <w:sz w:val="20"/>
          <w:szCs w:val="20"/>
        </w:rPr>
        <w:t>Journal of Pharmaceutical and Biomedical Analysis,</w:t>
      </w:r>
      <w:r w:rsidRPr="00D12F62">
        <w:rPr>
          <w:rFonts w:asciiTheme="majorBidi" w:hAnsiTheme="majorBidi" w:cstheme="majorBidi"/>
          <w:sz w:val="20"/>
          <w:szCs w:val="20"/>
        </w:rPr>
        <w:t xml:space="preserve"> 25(5-6): 751</w:t>
      </w:r>
      <w:r>
        <w:rPr>
          <w:rFonts w:asciiTheme="majorBidi" w:hAnsiTheme="majorBidi" w:cstheme="majorBidi"/>
          <w:sz w:val="20"/>
          <w:szCs w:val="20"/>
        </w:rPr>
        <w:t xml:space="preserve"> – </w:t>
      </w:r>
      <w:r w:rsidRPr="00D12F62">
        <w:rPr>
          <w:rFonts w:asciiTheme="majorBidi" w:hAnsiTheme="majorBidi" w:cstheme="majorBidi"/>
          <w:sz w:val="20"/>
          <w:szCs w:val="20"/>
        </w:rPr>
        <w:t>757.</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Lampros, R.,</w:t>
      </w:r>
      <w:r w:rsidRPr="00D12F62">
        <w:rPr>
          <w:rFonts w:asciiTheme="majorBidi" w:hAnsiTheme="majorBidi" w:cstheme="majorBidi"/>
          <w:sz w:val="20"/>
          <w:szCs w:val="20"/>
        </w:rPr>
        <w:t xml:space="preserve"> Georgios, P. and Nikolaos, A. (2006). Use of ceftriaxone in patients with severe leptospirosis</w:t>
      </w:r>
      <w:r w:rsidRPr="00D12F62">
        <w:rPr>
          <w:rFonts w:asciiTheme="majorBidi" w:hAnsiTheme="majorBidi" w:cstheme="majorBidi"/>
          <w:i/>
          <w:iCs/>
          <w:sz w:val="20"/>
          <w:szCs w:val="20"/>
        </w:rPr>
        <w:t>. International Journal of Antimicrobial Agents,</w:t>
      </w:r>
      <w:r w:rsidRPr="00D12F62">
        <w:rPr>
          <w:rFonts w:asciiTheme="majorBidi" w:hAnsiTheme="majorBidi" w:cstheme="majorBidi"/>
          <w:sz w:val="20"/>
          <w:szCs w:val="20"/>
        </w:rPr>
        <w:t xml:space="preserve"> 28(3): 259</w:t>
      </w:r>
      <w:r>
        <w:rPr>
          <w:rFonts w:asciiTheme="majorBidi" w:hAnsiTheme="majorBidi" w:cstheme="majorBidi"/>
          <w:sz w:val="20"/>
          <w:szCs w:val="20"/>
        </w:rPr>
        <w:t xml:space="preserve"> – </w:t>
      </w:r>
      <w:r w:rsidRPr="00D12F62">
        <w:rPr>
          <w:rFonts w:asciiTheme="majorBidi" w:hAnsiTheme="majorBidi" w:cstheme="majorBidi"/>
          <w:sz w:val="20"/>
          <w:szCs w:val="20"/>
        </w:rPr>
        <w:t>261.</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Hirn, M.,</w:t>
      </w:r>
      <w:r w:rsidRPr="00D12F62">
        <w:rPr>
          <w:rFonts w:asciiTheme="majorBidi" w:hAnsiTheme="majorBidi" w:cstheme="majorBidi"/>
          <w:sz w:val="20"/>
          <w:szCs w:val="20"/>
        </w:rPr>
        <w:t xml:space="preserve"> Laitinen, M.</w:t>
      </w:r>
      <w:r>
        <w:rPr>
          <w:rFonts w:asciiTheme="majorBidi" w:hAnsiTheme="majorBidi" w:cstheme="majorBidi"/>
          <w:sz w:val="20"/>
          <w:szCs w:val="20"/>
        </w:rPr>
        <w:t>,</w:t>
      </w:r>
      <w:r w:rsidRPr="00D12F62">
        <w:rPr>
          <w:rFonts w:asciiTheme="majorBidi" w:hAnsiTheme="majorBidi" w:cstheme="majorBidi"/>
          <w:sz w:val="20"/>
          <w:szCs w:val="20"/>
        </w:rPr>
        <w:t xml:space="preserve"> Pirkkalainen, S. and Vuento, R. (2004). Cefuroxime, rifampicin and pulse lavage in decontamination of allograft bone</w:t>
      </w:r>
      <w:r w:rsidRPr="00D12F62">
        <w:rPr>
          <w:rFonts w:asciiTheme="majorBidi" w:hAnsiTheme="majorBidi" w:cstheme="majorBidi"/>
          <w:i/>
          <w:iCs/>
          <w:sz w:val="20"/>
          <w:szCs w:val="20"/>
        </w:rPr>
        <w:t>. Journal of Hospital Infection</w:t>
      </w:r>
      <w:r w:rsidRPr="00D12F62">
        <w:rPr>
          <w:rFonts w:asciiTheme="majorBidi" w:hAnsiTheme="majorBidi" w:cstheme="majorBidi"/>
          <w:sz w:val="20"/>
          <w:szCs w:val="20"/>
        </w:rPr>
        <w:t>, 56(3): 198</w:t>
      </w:r>
      <w:r>
        <w:rPr>
          <w:rFonts w:asciiTheme="majorBidi" w:hAnsiTheme="majorBidi" w:cstheme="majorBidi"/>
          <w:sz w:val="20"/>
          <w:szCs w:val="20"/>
        </w:rPr>
        <w:t xml:space="preserve"> – </w:t>
      </w:r>
      <w:r w:rsidRPr="003D2E02">
        <w:rPr>
          <w:rFonts w:asciiTheme="majorBidi" w:hAnsiTheme="majorBidi" w:cstheme="majorBidi"/>
          <w:sz w:val="20"/>
          <w:szCs w:val="20"/>
        </w:rPr>
        <w:t>202.</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Saranjit, S.,</w:t>
      </w:r>
      <w:r w:rsidRPr="003D2E02">
        <w:rPr>
          <w:rFonts w:asciiTheme="majorBidi" w:hAnsiTheme="majorBidi" w:cstheme="majorBidi"/>
          <w:sz w:val="20"/>
          <w:szCs w:val="20"/>
        </w:rPr>
        <w:t xml:space="preserve"> Monica, G. and Gupta, R. L. (1991).</w:t>
      </w:r>
      <w:r w:rsidRPr="00CA6762">
        <w:t xml:space="preserve"> </w:t>
      </w:r>
      <w:r w:rsidRPr="003D2E02">
        <w:rPr>
          <w:rFonts w:asciiTheme="majorBidi" w:hAnsiTheme="majorBidi" w:cstheme="majorBidi"/>
          <w:sz w:val="20"/>
          <w:szCs w:val="20"/>
        </w:rPr>
        <w:t xml:space="preserve">Complexation behaviour of azathioprine with metal ions. </w:t>
      </w:r>
      <w:r w:rsidRPr="003D2E02">
        <w:rPr>
          <w:rFonts w:asciiTheme="majorBidi" w:hAnsiTheme="majorBidi" w:cstheme="majorBidi"/>
          <w:i/>
          <w:iCs/>
          <w:sz w:val="20"/>
          <w:szCs w:val="20"/>
        </w:rPr>
        <w:t>International Journal of Pharmaceutics</w:t>
      </w:r>
      <w:r w:rsidRPr="003D2E02">
        <w:rPr>
          <w:rFonts w:asciiTheme="majorBidi" w:hAnsiTheme="majorBidi" w:cstheme="majorBidi"/>
          <w:sz w:val="20"/>
          <w:szCs w:val="20"/>
        </w:rPr>
        <w:t>, 68(1-3): 105</w:t>
      </w:r>
      <w:r>
        <w:rPr>
          <w:rFonts w:asciiTheme="majorBidi" w:hAnsiTheme="majorBidi" w:cstheme="majorBidi"/>
          <w:sz w:val="20"/>
          <w:szCs w:val="20"/>
        </w:rPr>
        <w:t xml:space="preserve"> – </w:t>
      </w:r>
      <w:r w:rsidRPr="003D2E02">
        <w:rPr>
          <w:rFonts w:asciiTheme="majorBidi" w:hAnsiTheme="majorBidi" w:cstheme="majorBidi"/>
          <w:sz w:val="20"/>
          <w:szCs w:val="20"/>
        </w:rPr>
        <w:t>110.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D2E02">
        <w:rPr>
          <w:rFonts w:asciiTheme="majorBidi" w:hAnsiTheme="majorBidi" w:cstheme="majorBidi"/>
          <w:sz w:val="20"/>
          <w:szCs w:val="20"/>
        </w:rPr>
        <w:t>Singh, B. N. and Kim, K. H. (2005).</w:t>
      </w:r>
      <w:r w:rsidRPr="00CA6762">
        <w:t xml:space="preserve"> </w:t>
      </w:r>
      <w:r w:rsidRPr="003D2E02">
        <w:rPr>
          <w:rFonts w:asciiTheme="majorBidi" w:hAnsiTheme="majorBidi" w:cstheme="majorBidi"/>
          <w:sz w:val="20"/>
          <w:szCs w:val="20"/>
        </w:rPr>
        <w:t xml:space="preserve">Effects of divalent cations on drug encapsulation efficiency of deacylated gellan gum. </w:t>
      </w:r>
      <w:r w:rsidRPr="003D2E02">
        <w:rPr>
          <w:rFonts w:asciiTheme="majorBidi" w:hAnsiTheme="majorBidi" w:cstheme="majorBidi"/>
          <w:i/>
          <w:iCs/>
          <w:sz w:val="20"/>
          <w:szCs w:val="20"/>
        </w:rPr>
        <w:t>Journal of Microencapsulation</w:t>
      </w:r>
      <w:r w:rsidRPr="003D2E02">
        <w:rPr>
          <w:rFonts w:asciiTheme="majorBidi" w:hAnsiTheme="majorBidi" w:cstheme="majorBidi"/>
          <w:sz w:val="20"/>
          <w:szCs w:val="20"/>
        </w:rPr>
        <w:t>, 22(7): 761</w:t>
      </w:r>
      <w:r>
        <w:rPr>
          <w:rFonts w:asciiTheme="majorBidi" w:hAnsiTheme="majorBidi" w:cstheme="majorBidi"/>
          <w:sz w:val="20"/>
          <w:szCs w:val="20"/>
        </w:rPr>
        <w:t xml:space="preserve"> – </w:t>
      </w:r>
      <w:r w:rsidRPr="003D2E02">
        <w:rPr>
          <w:rFonts w:asciiTheme="majorBidi" w:hAnsiTheme="majorBidi" w:cstheme="majorBidi"/>
          <w:sz w:val="20"/>
          <w:szCs w:val="20"/>
        </w:rPr>
        <w:t>771.</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D2E02">
        <w:rPr>
          <w:rFonts w:asciiTheme="majorBidi" w:hAnsiTheme="majorBidi" w:cstheme="majorBidi"/>
          <w:sz w:val="20"/>
          <w:szCs w:val="20"/>
        </w:rPr>
        <w:t>Okoronkwo, A. E. and Aminjanov, A. A. (2005).</w:t>
      </w:r>
      <w:r w:rsidRPr="00CA6762">
        <w:t xml:space="preserve"> </w:t>
      </w:r>
      <w:r w:rsidRPr="003D2E02">
        <w:rPr>
          <w:rFonts w:asciiTheme="majorBidi" w:hAnsiTheme="majorBidi" w:cstheme="majorBidi"/>
          <w:sz w:val="20"/>
          <w:szCs w:val="20"/>
        </w:rPr>
        <w:t xml:space="preserve">Study of the step wise complexation processes of </w:t>
      </w:r>
      <w:r>
        <w:rPr>
          <w:rFonts w:asciiTheme="majorBidi" w:hAnsiTheme="majorBidi" w:cstheme="majorBidi"/>
          <w:sz w:val="20"/>
          <w:szCs w:val="20"/>
        </w:rPr>
        <w:t>rhenium</w:t>
      </w:r>
      <w:r w:rsidRPr="003D2E02">
        <w:rPr>
          <w:rFonts w:asciiTheme="majorBidi" w:hAnsiTheme="majorBidi" w:cstheme="majorBidi"/>
          <w:sz w:val="20"/>
          <w:szCs w:val="20"/>
        </w:rPr>
        <w:t>(V) and 2-mercapto pyridine in 6 m</w:t>
      </w:r>
      <w:r>
        <w:rPr>
          <w:rFonts w:asciiTheme="majorBidi" w:hAnsiTheme="majorBidi" w:cstheme="majorBidi"/>
          <w:sz w:val="20"/>
          <w:szCs w:val="20"/>
        </w:rPr>
        <w:t>oles/L HBr</w:t>
      </w:r>
      <w:r w:rsidRPr="003D2E02">
        <w:rPr>
          <w:rFonts w:asciiTheme="majorBidi" w:hAnsiTheme="majorBidi" w:cstheme="majorBidi"/>
          <w:sz w:val="20"/>
          <w:szCs w:val="20"/>
        </w:rPr>
        <w:t xml:space="preserve">. </w:t>
      </w:r>
      <w:r w:rsidRPr="003D2E02">
        <w:rPr>
          <w:rFonts w:asciiTheme="majorBidi" w:hAnsiTheme="majorBidi" w:cstheme="majorBidi"/>
          <w:i/>
          <w:iCs/>
          <w:sz w:val="20"/>
          <w:szCs w:val="20"/>
        </w:rPr>
        <w:t>Oriental Journal of Chemistry</w:t>
      </w:r>
      <w:r w:rsidRPr="003D2E02">
        <w:rPr>
          <w:rFonts w:asciiTheme="majorBidi" w:hAnsiTheme="majorBidi" w:cstheme="majorBidi"/>
          <w:sz w:val="20"/>
          <w:szCs w:val="20"/>
        </w:rPr>
        <w:t>, 21(1): 49</w:t>
      </w:r>
      <w:r>
        <w:rPr>
          <w:rFonts w:asciiTheme="majorBidi" w:hAnsiTheme="majorBidi" w:cstheme="majorBidi"/>
          <w:sz w:val="20"/>
          <w:szCs w:val="20"/>
        </w:rPr>
        <w:t xml:space="preserve"> – </w:t>
      </w:r>
      <w:r w:rsidRPr="003D2E02">
        <w:rPr>
          <w:rFonts w:asciiTheme="majorBidi" w:hAnsiTheme="majorBidi" w:cstheme="majorBidi"/>
          <w:sz w:val="20"/>
          <w:szCs w:val="20"/>
        </w:rPr>
        <w:t>57.</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Al-Sawaad, H. Z. (2013).</w:t>
      </w:r>
      <w:r w:rsidRPr="00CA6762">
        <w:t xml:space="preserve"> </w:t>
      </w:r>
      <w:r w:rsidRPr="003448FD">
        <w:rPr>
          <w:rFonts w:asciiTheme="majorBidi" w:hAnsiTheme="majorBidi" w:cstheme="majorBidi"/>
          <w:sz w:val="20"/>
          <w:szCs w:val="20"/>
        </w:rPr>
        <w:t>Evaluation of the ceftriaxone as corrosion inhibitor for</w:t>
      </w:r>
      <w:r>
        <w:rPr>
          <w:rFonts w:asciiTheme="majorBidi" w:hAnsiTheme="majorBidi" w:cstheme="majorBidi"/>
          <w:sz w:val="20"/>
          <w:szCs w:val="20"/>
        </w:rPr>
        <w:t xml:space="preserve"> carbon steel alloy in 0.5M of hydrochloric a</w:t>
      </w:r>
      <w:r w:rsidRPr="003448FD">
        <w:rPr>
          <w:rFonts w:asciiTheme="majorBidi" w:hAnsiTheme="majorBidi" w:cstheme="majorBidi"/>
          <w:sz w:val="20"/>
          <w:szCs w:val="20"/>
        </w:rPr>
        <w:t xml:space="preserve">cid. </w:t>
      </w:r>
      <w:r w:rsidRPr="003448FD">
        <w:rPr>
          <w:rFonts w:asciiTheme="majorBidi" w:hAnsiTheme="majorBidi" w:cstheme="majorBidi"/>
          <w:i/>
          <w:iCs/>
          <w:sz w:val="20"/>
          <w:szCs w:val="20"/>
        </w:rPr>
        <w:t>International Journal of Electrochemical Science,</w:t>
      </w:r>
      <w:r w:rsidRPr="003448FD">
        <w:rPr>
          <w:rFonts w:asciiTheme="majorBidi" w:hAnsiTheme="majorBidi" w:cstheme="majorBidi"/>
          <w:sz w:val="20"/>
          <w:szCs w:val="20"/>
        </w:rPr>
        <w:t xml:space="preserve"> 8(3): 3105</w:t>
      </w:r>
      <w:r>
        <w:rPr>
          <w:rFonts w:asciiTheme="majorBidi" w:hAnsiTheme="majorBidi" w:cstheme="majorBidi"/>
          <w:sz w:val="20"/>
          <w:szCs w:val="20"/>
        </w:rPr>
        <w:t xml:space="preserve"> – </w:t>
      </w:r>
      <w:r w:rsidRPr="003448FD">
        <w:rPr>
          <w:rFonts w:asciiTheme="majorBidi" w:hAnsiTheme="majorBidi" w:cstheme="majorBidi"/>
          <w:sz w:val="20"/>
          <w:szCs w:val="20"/>
        </w:rPr>
        <w:t>3120.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lang w:val="es-ES"/>
        </w:rPr>
        <w:t>Doadrio, A. L., Antonio, M. and Regina, O. (2002).</w:t>
      </w:r>
      <w:r w:rsidRPr="00CA6762">
        <w:t xml:space="preserve"> </w:t>
      </w:r>
      <w:r w:rsidRPr="003448FD">
        <w:rPr>
          <w:rFonts w:asciiTheme="majorBidi" w:hAnsiTheme="majorBidi" w:cstheme="majorBidi"/>
          <w:sz w:val="20"/>
          <w:szCs w:val="20"/>
        </w:rPr>
        <w:t>VO</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and Cu</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interactions wi</w:t>
      </w:r>
      <w:r>
        <w:rPr>
          <w:rFonts w:asciiTheme="majorBidi" w:hAnsiTheme="majorBidi" w:cstheme="majorBidi"/>
          <w:sz w:val="20"/>
          <w:szCs w:val="20"/>
        </w:rPr>
        <w:t xml:space="preserve">th ceftriaxone and ceftizoxime: </w:t>
      </w:r>
      <w:r w:rsidRPr="003448FD">
        <w:rPr>
          <w:rFonts w:asciiTheme="majorBidi" w:hAnsiTheme="majorBidi" w:cstheme="majorBidi"/>
          <w:sz w:val="20"/>
          <w:szCs w:val="20"/>
        </w:rPr>
        <w:t xml:space="preserve">HPLC kinetic studies. </w:t>
      </w:r>
      <w:r w:rsidRPr="003448FD">
        <w:rPr>
          <w:rFonts w:asciiTheme="majorBidi" w:hAnsiTheme="majorBidi" w:cstheme="majorBidi"/>
          <w:i/>
          <w:iCs/>
          <w:sz w:val="20"/>
          <w:szCs w:val="20"/>
        </w:rPr>
        <w:t xml:space="preserve">Journal of the Brazilian Chemical Society, </w:t>
      </w:r>
      <w:r w:rsidRPr="003448FD">
        <w:rPr>
          <w:rFonts w:asciiTheme="majorBidi" w:hAnsiTheme="majorBidi" w:cstheme="majorBidi"/>
          <w:sz w:val="20"/>
          <w:szCs w:val="20"/>
        </w:rPr>
        <w:t>13(1): 95</w:t>
      </w:r>
      <w:r>
        <w:rPr>
          <w:rFonts w:asciiTheme="majorBidi" w:hAnsiTheme="majorBidi" w:cstheme="majorBidi"/>
          <w:sz w:val="20"/>
          <w:szCs w:val="20"/>
        </w:rPr>
        <w:t xml:space="preserve"> – </w:t>
      </w:r>
      <w:r w:rsidRPr="003448FD">
        <w:rPr>
          <w:rFonts w:asciiTheme="majorBidi" w:hAnsiTheme="majorBidi" w:cstheme="majorBidi"/>
          <w:sz w:val="20"/>
          <w:szCs w:val="20"/>
        </w:rPr>
        <w:t>100.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Gouda, G. A. H. (2014).</w:t>
      </w:r>
      <w:r w:rsidRPr="00CA6762">
        <w:t xml:space="preserve"> </w:t>
      </w:r>
      <w:r w:rsidRPr="003448FD">
        <w:rPr>
          <w:rFonts w:asciiTheme="majorBidi" w:hAnsiTheme="majorBidi" w:cstheme="majorBidi"/>
          <w:sz w:val="20"/>
          <w:szCs w:val="20"/>
        </w:rPr>
        <w:t xml:space="preserve">Stability constants of rhenium (V) metal complexes with selected medicinal drugs. </w:t>
      </w:r>
      <w:r w:rsidRPr="003448FD">
        <w:rPr>
          <w:rFonts w:asciiTheme="majorBidi" w:hAnsiTheme="majorBidi" w:cstheme="majorBidi"/>
          <w:i/>
          <w:iCs/>
          <w:sz w:val="20"/>
          <w:szCs w:val="20"/>
        </w:rPr>
        <w:t>Pyrex Journal of Research in Environmental Studies,</w:t>
      </w:r>
      <w:r w:rsidRPr="003448FD">
        <w:rPr>
          <w:rFonts w:asciiTheme="majorBidi" w:hAnsiTheme="majorBidi" w:cstheme="majorBidi"/>
          <w:sz w:val="20"/>
          <w:szCs w:val="20"/>
        </w:rPr>
        <w:t xml:space="preserve"> 1(2): 6</w:t>
      </w:r>
      <w:r>
        <w:rPr>
          <w:rFonts w:asciiTheme="majorBidi" w:hAnsiTheme="majorBidi" w:cstheme="majorBidi"/>
          <w:sz w:val="20"/>
          <w:szCs w:val="20"/>
        </w:rPr>
        <w:t xml:space="preserve"> – </w:t>
      </w:r>
      <w:r w:rsidRPr="003448FD">
        <w:rPr>
          <w:rFonts w:asciiTheme="majorBidi" w:hAnsiTheme="majorBidi" w:cstheme="majorBidi"/>
          <w:sz w:val="20"/>
          <w:szCs w:val="20"/>
        </w:rPr>
        <w:t>14.</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Roberts, N. A. and Robinson, P. A. (1985).</w:t>
      </w:r>
      <w:r w:rsidRPr="00CA6762">
        <w:t xml:space="preserve"> </w:t>
      </w:r>
      <w:r w:rsidRPr="003448FD">
        <w:rPr>
          <w:rFonts w:asciiTheme="majorBidi" w:hAnsiTheme="majorBidi" w:cstheme="majorBidi"/>
          <w:sz w:val="20"/>
          <w:szCs w:val="20"/>
        </w:rPr>
        <w:t xml:space="preserve">Copper chelates of antirheumatic and anti-inflammatory agents: their superoxide dismutase-like activity and stability. </w:t>
      </w:r>
      <w:r w:rsidRPr="003448FD">
        <w:rPr>
          <w:rFonts w:asciiTheme="majorBidi" w:hAnsiTheme="majorBidi" w:cstheme="majorBidi"/>
          <w:i/>
          <w:iCs/>
          <w:sz w:val="20"/>
          <w:szCs w:val="20"/>
        </w:rPr>
        <w:t>British Journal of Rheumatology,</w:t>
      </w:r>
      <w:r w:rsidRPr="003448FD">
        <w:rPr>
          <w:rFonts w:asciiTheme="majorBidi" w:hAnsiTheme="majorBidi" w:cstheme="majorBidi"/>
          <w:sz w:val="20"/>
          <w:szCs w:val="20"/>
        </w:rPr>
        <w:t xml:space="preserve"> 24(2): 128</w:t>
      </w:r>
      <w:r>
        <w:rPr>
          <w:rFonts w:asciiTheme="majorBidi" w:hAnsiTheme="majorBidi" w:cstheme="majorBidi"/>
          <w:sz w:val="20"/>
          <w:szCs w:val="20"/>
        </w:rPr>
        <w:t xml:space="preserve"> – </w:t>
      </w:r>
      <w:r w:rsidRPr="003448FD">
        <w:rPr>
          <w:rFonts w:asciiTheme="majorBidi" w:hAnsiTheme="majorBidi" w:cstheme="majorBidi"/>
          <w:sz w:val="20"/>
          <w:szCs w:val="20"/>
        </w:rPr>
        <w:t>136.</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Jezowska-Trzebiatowsk</w:t>
      </w:r>
      <w:r>
        <w:rPr>
          <w:rFonts w:asciiTheme="majorBidi" w:hAnsiTheme="majorBidi" w:cstheme="majorBidi"/>
          <w:sz w:val="20"/>
          <w:szCs w:val="20"/>
        </w:rPr>
        <w:t>a, B.,</w:t>
      </w:r>
      <w:r w:rsidRPr="003448FD">
        <w:rPr>
          <w:rFonts w:asciiTheme="majorBidi" w:hAnsiTheme="majorBidi" w:cstheme="majorBidi"/>
          <w:sz w:val="20"/>
          <w:szCs w:val="20"/>
        </w:rPr>
        <w:t xml:space="preserve"> Wajda, S. and Baluka, M. (1968).</w:t>
      </w:r>
      <w:r w:rsidRPr="00CA6762">
        <w:t xml:space="preserve"> </w:t>
      </w:r>
      <w:r w:rsidRPr="003448FD">
        <w:rPr>
          <w:rFonts w:asciiTheme="majorBidi" w:hAnsiTheme="majorBidi" w:cstheme="majorBidi"/>
          <w:sz w:val="20"/>
          <w:szCs w:val="20"/>
        </w:rPr>
        <w:t>Structure and properties of technetium and rhenium compounds of the type [MeVOX</w:t>
      </w:r>
      <w:r w:rsidRPr="003448FD">
        <w:rPr>
          <w:rFonts w:asciiTheme="majorBidi" w:hAnsiTheme="majorBidi" w:cstheme="majorBidi"/>
          <w:sz w:val="20"/>
          <w:szCs w:val="20"/>
          <w:vertAlign w:val="subscript"/>
        </w:rPr>
        <w:t>5</w:t>
      </w:r>
      <w:r w:rsidRPr="003448FD">
        <w:rPr>
          <w:rFonts w:asciiTheme="majorBidi" w:hAnsiTheme="majorBidi" w:cstheme="majorBidi"/>
          <w:sz w:val="20"/>
          <w:szCs w:val="20"/>
        </w:rPr>
        <w:t>]</w:t>
      </w:r>
      <w:r w:rsidRPr="003448FD">
        <w:rPr>
          <w:rFonts w:asciiTheme="majorBidi" w:hAnsiTheme="majorBidi" w:cstheme="majorBidi"/>
          <w:sz w:val="20"/>
          <w:szCs w:val="20"/>
          <w:vertAlign w:val="superscript"/>
        </w:rPr>
        <w:t>2−</w:t>
      </w:r>
      <w:r w:rsidRPr="003448FD">
        <w:rPr>
          <w:rFonts w:asciiTheme="majorBidi" w:hAnsiTheme="majorBidi" w:cstheme="majorBidi"/>
          <w:sz w:val="20"/>
          <w:szCs w:val="20"/>
        </w:rPr>
        <w:t xml:space="preserve"> I. Preparation and magnetic and spectrophotometric study. </w:t>
      </w:r>
      <w:r w:rsidRPr="003448FD">
        <w:rPr>
          <w:rFonts w:asciiTheme="majorBidi" w:hAnsiTheme="majorBidi" w:cstheme="majorBidi"/>
          <w:i/>
          <w:iCs/>
          <w:sz w:val="20"/>
          <w:szCs w:val="20"/>
        </w:rPr>
        <w:t>Journal of Structural Chemistry,</w:t>
      </w:r>
      <w:r w:rsidRPr="003448FD">
        <w:rPr>
          <w:rFonts w:asciiTheme="majorBidi" w:hAnsiTheme="majorBidi" w:cstheme="majorBidi"/>
          <w:sz w:val="20"/>
          <w:szCs w:val="20"/>
        </w:rPr>
        <w:t xml:space="preserve"> 8(3): 456</w:t>
      </w:r>
      <w:r>
        <w:rPr>
          <w:rFonts w:asciiTheme="majorBidi" w:hAnsiTheme="majorBidi" w:cstheme="majorBidi"/>
          <w:sz w:val="20"/>
          <w:szCs w:val="20"/>
        </w:rPr>
        <w:t xml:space="preserve"> – </w:t>
      </w:r>
      <w:r w:rsidRPr="003448FD">
        <w:rPr>
          <w:rFonts w:asciiTheme="majorBidi" w:hAnsiTheme="majorBidi" w:cstheme="majorBidi"/>
          <w:sz w:val="20"/>
          <w:szCs w:val="20"/>
        </w:rPr>
        <w:t>459.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 xml:space="preserve">Bjerrum, J. (1941). Metal amine formation in aqueous solution; </w:t>
      </w:r>
      <w:r>
        <w:rPr>
          <w:rFonts w:asciiTheme="majorBidi" w:hAnsiTheme="majorBidi" w:cstheme="majorBidi"/>
          <w:sz w:val="20"/>
          <w:szCs w:val="20"/>
        </w:rPr>
        <w:t>Hasse P.</w:t>
      </w:r>
      <w:r w:rsidRPr="003448FD">
        <w:rPr>
          <w:rFonts w:asciiTheme="majorBidi" w:hAnsiTheme="majorBidi" w:cstheme="majorBidi"/>
          <w:sz w:val="20"/>
          <w:szCs w:val="20"/>
        </w:rPr>
        <w:t xml:space="preserve"> Son. Copenhagen,</w:t>
      </w:r>
      <w:r>
        <w:rPr>
          <w:rFonts w:asciiTheme="majorBidi" w:hAnsiTheme="majorBidi" w:cstheme="majorBidi"/>
          <w:sz w:val="20"/>
          <w:szCs w:val="20"/>
        </w:rPr>
        <w:t xml:space="preserve"> Den</w:t>
      </w:r>
      <w:r w:rsidRPr="003448FD">
        <w:rPr>
          <w:rFonts w:asciiTheme="majorBidi" w:hAnsiTheme="majorBidi" w:cstheme="majorBidi"/>
          <w:sz w:val="20"/>
          <w:szCs w:val="20"/>
        </w:rPr>
        <w:t>mark.</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Irving, H. M. and Rossotti, H. S. (1954).</w:t>
      </w:r>
      <w:r w:rsidRPr="00CA6762">
        <w:t xml:space="preserve"> </w:t>
      </w:r>
      <w:r w:rsidRPr="003448FD">
        <w:rPr>
          <w:rFonts w:asciiTheme="majorBidi" w:hAnsiTheme="majorBidi" w:cstheme="majorBidi"/>
          <w:sz w:val="20"/>
          <w:szCs w:val="20"/>
        </w:rPr>
        <w:t>The calculation of formation curves of metal complexes from pH titration curves in mixed solvents.</w:t>
      </w:r>
      <w:r w:rsidRPr="003448FD">
        <w:rPr>
          <w:rFonts w:asciiTheme="majorBidi" w:hAnsiTheme="majorBidi" w:cstheme="majorBidi"/>
          <w:i/>
          <w:iCs/>
          <w:sz w:val="20"/>
          <w:szCs w:val="20"/>
        </w:rPr>
        <w:t xml:space="preserve"> Journal of the Chemical Society</w:t>
      </w:r>
      <w:r>
        <w:rPr>
          <w:rFonts w:asciiTheme="majorBidi" w:hAnsiTheme="majorBidi" w:cstheme="majorBidi"/>
          <w:i/>
          <w:iCs/>
          <w:sz w:val="20"/>
          <w:szCs w:val="20"/>
        </w:rPr>
        <w:t xml:space="preserve">, </w:t>
      </w:r>
      <w:r w:rsidRPr="003448FD">
        <w:rPr>
          <w:rFonts w:asciiTheme="majorBidi" w:hAnsiTheme="majorBidi" w:cstheme="majorBidi"/>
          <w:iCs/>
          <w:sz w:val="20"/>
          <w:szCs w:val="20"/>
        </w:rPr>
        <w:t>1954:</w:t>
      </w:r>
      <w:r>
        <w:rPr>
          <w:rFonts w:asciiTheme="majorBidi" w:hAnsiTheme="majorBidi" w:cstheme="majorBidi"/>
          <w:i/>
          <w:iCs/>
          <w:sz w:val="20"/>
          <w:szCs w:val="20"/>
        </w:rPr>
        <w:t xml:space="preserve"> </w:t>
      </w:r>
      <w:r w:rsidRPr="003448FD">
        <w:rPr>
          <w:rFonts w:asciiTheme="majorBidi" w:hAnsiTheme="majorBidi" w:cstheme="majorBidi"/>
          <w:sz w:val="20"/>
          <w:szCs w:val="20"/>
        </w:rPr>
        <w:t>2904</w:t>
      </w:r>
      <w:r>
        <w:rPr>
          <w:rFonts w:asciiTheme="majorBidi" w:hAnsiTheme="majorBidi" w:cstheme="majorBidi"/>
          <w:sz w:val="20"/>
          <w:szCs w:val="20"/>
        </w:rPr>
        <w:t xml:space="preserve"> – </w:t>
      </w:r>
      <w:r w:rsidRPr="003448FD">
        <w:rPr>
          <w:rFonts w:asciiTheme="majorBidi" w:hAnsiTheme="majorBidi" w:cstheme="majorBidi"/>
          <w:sz w:val="20"/>
          <w:szCs w:val="20"/>
        </w:rPr>
        <w:t xml:space="preserve">2910. </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Feiner, A. S. and McEvoy, A. J. (1994).</w:t>
      </w:r>
      <w:r w:rsidRPr="00CA6762">
        <w:t xml:space="preserve"> </w:t>
      </w:r>
      <w:r w:rsidRPr="003448FD">
        <w:rPr>
          <w:rFonts w:asciiTheme="majorBidi" w:hAnsiTheme="majorBidi" w:cstheme="majorBidi"/>
          <w:sz w:val="20"/>
          <w:szCs w:val="20"/>
        </w:rPr>
        <w:t xml:space="preserve">The Nernst equation. </w:t>
      </w:r>
      <w:r w:rsidRPr="003448FD">
        <w:rPr>
          <w:rFonts w:asciiTheme="majorBidi" w:hAnsiTheme="majorBidi" w:cstheme="majorBidi"/>
          <w:i/>
          <w:iCs/>
          <w:sz w:val="20"/>
          <w:szCs w:val="20"/>
        </w:rPr>
        <w:t>Journal of Chemical Education,</w:t>
      </w:r>
      <w:r w:rsidRPr="003448FD">
        <w:rPr>
          <w:rFonts w:asciiTheme="majorBidi" w:hAnsiTheme="majorBidi" w:cstheme="majorBidi"/>
          <w:sz w:val="20"/>
          <w:szCs w:val="20"/>
        </w:rPr>
        <w:t xml:space="preserve"> 71(6): 493</w:t>
      </w:r>
      <w:r>
        <w:rPr>
          <w:rFonts w:asciiTheme="majorBidi" w:hAnsiTheme="majorBidi" w:cstheme="majorBidi"/>
          <w:sz w:val="20"/>
          <w:szCs w:val="20"/>
        </w:rPr>
        <w:t xml:space="preserve"> – </w:t>
      </w:r>
      <w:r w:rsidRPr="003448FD">
        <w:rPr>
          <w:rFonts w:asciiTheme="majorBidi" w:hAnsiTheme="majorBidi" w:cstheme="majorBidi"/>
          <w:sz w:val="20"/>
          <w:szCs w:val="20"/>
        </w:rPr>
        <w:t>494.</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lastRenderedPageBreak/>
        <w:t>Thompson, M. L. and Kateley, L. J. (1999).</w:t>
      </w:r>
      <w:r w:rsidRPr="00CA6762">
        <w:t xml:space="preserve"> </w:t>
      </w:r>
      <w:r>
        <w:rPr>
          <w:rFonts w:asciiTheme="majorBidi" w:hAnsiTheme="majorBidi" w:cstheme="majorBidi"/>
          <w:sz w:val="20"/>
          <w:szCs w:val="20"/>
        </w:rPr>
        <w:t>The Nernst equation: D</w:t>
      </w:r>
      <w:r w:rsidRPr="003448FD">
        <w:rPr>
          <w:rFonts w:asciiTheme="majorBidi" w:hAnsiTheme="majorBidi" w:cstheme="majorBidi"/>
          <w:sz w:val="20"/>
          <w:szCs w:val="20"/>
        </w:rPr>
        <w:t xml:space="preserve">etermination of equilibrium constants for complex ions of silver. </w:t>
      </w:r>
      <w:r w:rsidRPr="003448FD">
        <w:rPr>
          <w:rFonts w:asciiTheme="majorBidi" w:hAnsiTheme="majorBidi" w:cstheme="majorBidi"/>
          <w:i/>
          <w:iCs/>
          <w:sz w:val="20"/>
          <w:szCs w:val="20"/>
        </w:rPr>
        <w:t>Journal of Chemical Education,</w:t>
      </w:r>
      <w:r w:rsidRPr="003448FD">
        <w:rPr>
          <w:rFonts w:asciiTheme="majorBidi" w:hAnsiTheme="majorBidi" w:cstheme="majorBidi"/>
          <w:sz w:val="20"/>
          <w:szCs w:val="20"/>
        </w:rPr>
        <w:t xml:space="preserve"> 76(1): 95</w:t>
      </w:r>
      <w:r>
        <w:rPr>
          <w:rFonts w:asciiTheme="majorBidi" w:hAnsiTheme="majorBidi" w:cstheme="majorBidi"/>
          <w:sz w:val="20"/>
          <w:szCs w:val="20"/>
        </w:rPr>
        <w:t xml:space="preserve"> – </w:t>
      </w:r>
      <w:r w:rsidRPr="003448FD">
        <w:rPr>
          <w:rFonts w:asciiTheme="majorBidi" w:hAnsiTheme="majorBidi" w:cstheme="majorBidi"/>
          <w:sz w:val="20"/>
          <w:szCs w:val="20"/>
        </w:rPr>
        <w:t>96.</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Heuron, J. Z. and Gilbert, J. B. (1955). New methods for the calculation of association constants of complex ion systems.</w:t>
      </w:r>
      <w:r w:rsidRPr="003448FD">
        <w:rPr>
          <w:rFonts w:asciiTheme="majorBidi" w:hAnsiTheme="majorBidi" w:cstheme="majorBidi"/>
          <w:i/>
          <w:iCs/>
          <w:sz w:val="20"/>
          <w:szCs w:val="20"/>
        </w:rPr>
        <w:t xml:space="preserve"> Journal of the American Chemical Society,</w:t>
      </w:r>
      <w:r w:rsidRPr="003448FD">
        <w:rPr>
          <w:rFonts w:asciiTheme="majorBidi" w:hAnsiTheme="majorBidi" w:cstheme="majorBidi"/>
          <w:sz w:val="20"/>
          <w:szCs w:val="20"/>
        </w:rPr>
        <w:t xml:space="preserve"> 77(9): 2594</w:t>
      </w:r>
      <w:r>
        <w:rPr>
          <w:rFonts w:asciiTheme="majorBidi" w:hAnsiTheme="majorBidi" w:cstheme="majorBidi"/>
          <w:sz w:val="20"/>
          <w:szCs w:val="20"/>
        </w:rPr>
        <w:t xml:space="preserve"> – </w:t>
      </w:r>
      <w:r w:rsidRPr="003448FD">
        <w:rPr>
          <w:rFonts w:asciiTheme="majorBidi" w:hAnsiTheme="majorBidi" w:cstheme="majorBidi"/>
          <w:sz w:val="20"/>
          <w:szCs w:val="20"/>
        </w:rPr>
        <w:t>2596.</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Nair, V. S. K. and Parthasarathy, S. (1971).</w:t>
      </w:r>
      <w:r w:rsidRPr="00CA6762">
        <w:t xml:space="preserve"> </w:t>
      </w:r>
      <w:r w:rsidRPr="003448FD">
        <w:rPr>
          <w:rFonts w:asciiTheme="majorBidi" w:hAnsiTheme="majorBidi" w:cstheme="majorBidi"/>
          <w:sz w:val="20"/>
          <w:szCs w:val="20"/>
        </w:rPr>
        <w:t xml:space="preserve">Studies on metal complexes in aqueous solution-VII: 4-nitro and 4-methyl phthalates of some transition metals. </w:t>
      </w:r>
      <w:r w:rsidRPr="003448FD">
        <w:rPr>
          <w:rFonts w:asciiTheme="majorBidi" w:hAnsiTheme="majorBidi" w:cstheme="majorBidi"/>
          <w:i/>
          <w:iCs/>
          <w:sz w:val="20"/>
          <w:szCs w:val="20"/>
        </w:rPr>
        <w:t>Journal of Inorganic and Nuclear Chemistry,</w:t>
      </w:r>
      <w:r w:rsidRPr="003448FD">
        <w:rPr>
          <w:rFonts w:asciiTheme="majorBidi" w:hAnsiTheme="majorBidi" w:cstheme="majorBidi"/>
          <w:sz w:val="20"/>
          <w:szCs w:val="20"/>
        </w:rPr>
        <w:t xml:space="preserve"> 33(9): 3019</w:t>
      </w:r>
      <w:r>
        <w:rPr>
          <w:rFonts w:asciiTheme="majorBidi" w:hAnsiTheme="majorBidi" w:cstheme="majorBidi"/>
          <w:sz w:val="20"/>
          <w:szCs w:val="20"/>
        </w:rPr>
        <w:t xml:space="preserve"> – </w:t>
      </w:r>
      <w:r w:rsidRPr="003448FD">
        <w:rPr>
          <w:rFonts w:asciiTheme="majorBidi" w:hAnsiTheme="majorBidi" w:cstheme="majorBidi"/>
          <w:sz w:val="20"/>
          <w:szCs w:val="20"/>
        </w:rPr>
        <w:t>3020.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Ives, D. J. G. (1971).</w:t>
      </w:r>
      <w:r>
        <w:rPr>
          <w:rFonts w:asciiTheme="majorBidi" w:hAnsiTheme="majorBidi" w:cstheme="majorBidi"/>
          <w:sz w:val="20"/>
          <w:szCs w:val="20"/>
        </w:rPr>
        <w:t xml:space="preserve"> Chemical t</w:t>
      </w:r>
      <w:r w:rsidRPr="003448FD">
        <w:rPr>
          <w:rFonts w:asciiTheme="majorBidi" w:hAnsiTheme="majorBidi" w:cstheme="majorBidi"/>
          <w:sz w:val="20"/>
          <w:szCs w:val="20"/>
        </w:rPr>
        <w:t>hermodynamics</w:t>
      </w:r>
      <w:r>
        <w:rPr>
          <w:rFonts w:asciiTheme="majorBidi" w:hAnsiTheme="majorBidi" w:cstheme="majorBidi"/>
          <w:sz w:val="20"/>
          <w:szCs w:val="20"/>
        </w:rPr>
        <w:t>.</w:t>
      </w:r>
      <w:r w:rsidRPr="003448FD">
        <w:rPr>
          <w:rFonts w:asciiTheme="majorBidi" w:hAnsiTheme="majorBidi" w:cstheme="majorBidi"/>
          <w:sz w:val="20"/>
          <w:szCs w:val="20"/>
        </w:rPr>
        <w:t xml:space="preserve"> </w:t>
      </w:r>
      <w:r>
        <w:rPr>
          <w:rFonts w:asciiTheme="majorBidi" w:hAnsiTheme="majorBidi" w:cstheme="majorBidi"/>
          <w:sz w:val="20"/>
          <w:szCs w:val="20"/>
        </w:rPr>
        <w:t xml:space="preserve">Macdonald and Co. </w:t>
      </w:r>
      <w:r w:rsidRPr="003448FD">
        <w:rPr>
          <w:rFonts w:asciiTheme="majorBidi" w:hAnsiTheme="majorBidi" w:cstheme="majorBidi"/>
          <w:sz w:val="20"/>
          <w:szCs w:val="20"/>
        </w:rPr>
        <w:t>Ltd., London, UK.</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 xml:space="preserve">Seaf Elnasr, T. A., Soliman, M. H. and Ayash, M. A. A. (2017). Modified hydroxyapatite adsorbent for removal of iron dissolved in water wells in Sohag, Egypt. </w:t>
      </w:r>
      <w:r w:rsidRPr="003448FD">
        <w:rPr>
          <w:rFonts w:asciiTheme="majorBidi" w:hAnsiTheme="majorBidi" w:cstheme="majorBidi"/>
          <w:i/>
          <w:iCs/>
          <w:sz w:val="20"/>
          <w:szCs w:val="20"/>
        </w:rPr>
        <w:t>Chemistry of Advanced Materials</w:t>
      </w:r>
      <w:r w:rsidRPr="003448FD">
        <w:rPr>
          <w:rFonts w:asciiTheme="majorBidi" w:hAnsiTheme="majorBidi" w:cstheme="majorBidi"/>
          <w:sz w:val="20"/>
          <w:szCs w:val="20"/>
        </w:rPr>
        <w:t>, 2(1): 1</w:t>
      </w:r>
      <w:r>
        <w:rPr>
          <w:rFonts w:asciiTheme="majorBidi" w:hAnsiTheme="majorBidi" w:cstheme="majorBidi"/>
          <w:sz w:val="20"/>
          <w:szCs w:val="20"/>
        </w:rPr>
        <w:t xml:space="preserve"> – </w:t>
      </w:r>
      <w:r w:rsidRPr="003448FD">
        <w:rPr>
          <w:rFonts w:asciiTheme="majorBidi" w:hAnsiTheme="majorBidi" w:cstheme="majorBidi"/>
          <w:sz w:val="20"/>
          <w:szCs w:val="20"/>
        </w:rPr>
        <w:t>13.</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3448FD">
        <w:rPr>
          <w:rFonts w:asciiTheme="majorBidi" w:hAnsiTheme="majorBidi" w:cstheme="majorBidi"/>
          <w:sz w:val="20"/>
          <w:szCs w:val="20"/>
        </w:rPr>
        <w:t>Omar, A. A. and Ali, E. A. (2014).</w:t>
      </w:r>
      <w:r w:rsidRPr="00CA6762">
        <w:t xml:space="preserve"> </w:t>
      </w:r>
      <w:r w:rsidRPr="003448FD">
        <w:rPr>
          <w:rFonts w:asciiTheme="majorBidi" w:hAnsiTheme="majorBidi" w:cstheme="majorBidi"/>
          <w:sz w:val="20"/>
          <w:szCs w:val="20"/>
        </w:rPr>
        <w:t xml:space="preserve">Titanium carboxylate complexes stability constants estimated by four graphical methods. </w:t>
      </w:r>
      <w:r w:rsidRPr="003448FD">
        <w:rPr>
          <w:rFonts w:asciiTheme="majorBidi" w:hAnsiTheme="majorBidi" w:cstheme="majorBidi"/>
          <w:i/>
          <w:iCs/>
          <w:sz w:val="20"/>
          <w:szCs w:val="20"/>
        </w:rPr>
        <w:t>International Journal of Basic and Applied Sciences,</w:t>
      </w:r>
      <w:r w:rsidRPr="003448FD">
        <w:rPr>
          <w:rFonts w:asciiTheme="majorBidi" w:hAnsiTheme="majorBidi" w:cstheme="majorBidi"/>
          <w:sz w:val="20"/>
          <w:szCs w:val="20"/>
        </w:rPr>
        <w:t xml:space="preserve"> 3(4): 497</w:t>
      </w:r>
      <w:r>
        <w:rPr>
          <w:rFonts w:asciiTheme="majorBidi" w:hAnsiTheme="majorBidi" w:cstheme="majorBidi"/>
          <w:sz w:val="20"/>
          <w:szCs w:val="20"/>
        </w:rPr>
        <w:t xml:space="preserve"> – </w:t>
      </w:r>
      <w:r w:rsidRPr="000C7B32">
        <w:rPr>
          <w:rFonts w:asciiTheme="majorBidi" w:hAnsiTheme="majorBidi" w:cstheme="majorBidi"/>
          <w:sz w:val="20"/>
          <w:szCs w:val="20"/>
        </w:rPr>
        <w:t>503.</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Golcu, A., Tumer, M.,</w:t>
      </w:r>
      <w:r w:rsidRPr="000C7B32">
        <w:rPr>
          <w:rFonts w:asciiTheme="majorBidi" w:hAnsiTheme="majorBidi" w:cstheme="majorBidi"/>
          <w:sz w:val="20"/>
          <w:szCs w:val="20"/>
        </w:rPr>
        <w:t xml:space="preserve"> Demirelli H. and Wheatley, R. A. (2005). Cd(II) and Cu(II) complexes of polydentate Schiff base ligands: synthesis, characterization, properties and biological activity.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358(6): 1785</w:t>
      </w:r>
      <w:r>
        <w:rPr>
          <w:rFonts w:asciiTheme="majorBidi" w:hAnsiTheme="majorBidi" w:cstheme="majorBidi"/>
          <w:sz w:val="20"/>
          <w:szCs w:val="20"/>
        </w:rPr>
        <w:t xml:space="preserve"> – </w:t>
      </w:r>
      <w:r w:rsidRPr="000C7B32">
        <w:rPr>
          <w:rFonts w:asciiTheme="majorBidi" w:hAnsiTheme="majorBidi" w:cstheme="majorBidi"/>
          <w:sz w:val="20"/>
          <w:szCs w:val="20"/>
        </w:rPr>
        <w:t>1797.</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Santos, I. G. and Abram, U. (2004).</w:t>
      </w:r>
      <w:r w:rsidRPr="00CA6762">
        <w:t xml:space="preserve"> </w:t>
      </w:r>
      <w:r w:rsidRPr="000C7B32">
        <w:rPr>
          <w:rFonts w:asciiTheme="majorBidi" w:hAnsiTheme="majorBidi" w:cstheme="majorBidi"/>
          <w:sz w:val="20"/>
          <w:szCs w:val="20"/>
        </w:rPr>
        <w:t xml:space="preserve">Oxorhenium(V) complexes with thiosemicarbazones. </w:t>
      </w:r>
      <w:r w:rsidRPr="000C7B32">
        <w:rPr>
          <w:rFonts w:asciiTheme="majorBidi" w:hAnsiTheme="majorBidi" w:cstheme="majorBidi"/>
          <w:i/>
          <w:iCs/>
          <w:sz w:val="20"/>
          <w:szCs w:val="20"/>
        </w:rPr>
        <w:t>Zeitschrift für Anorganische und Allgemeine Chemie,</w:t>
      </w:r>
      <w:r w:rsidRPr="000C7B32">
        <w:rPr>
          <w:rFonts w:asciiTheme="majorBidi" w:hAnsiTheme="majorBidi" w:cstheme="majorBidi"/>
          <w:sz w:val="20"/>
          <w:szCs w:val="20"/>
        </w:rPr>
        <w:t xml:space="preserve"> 630(5): 697</w:t>
      </w:r>
      <w:r>
        <w:rPr>
          <w:rFonts w:asciiTheme="majorBidi" w:hAnsiTheme="majorBidi" w:cstheme="majorBidi"/>
          <w:sz w:val="20"/>
          <w:szCs w:val="20"/>
        </w:rPr>
        <w:t xml:space="preserve"> – </w:t>
      </w:r>
      <w:r w:rsidRPr="000C7B32">
        <w:rPr>
          <w:rFonts w:asciiTheme="majorBidi" w:hAnsiTheme="majorBidi" w:cstheme="majorBidi"/>
          <w:sz w:val="20"/>
          <w:szCs w:val="20"/>
        </w:rPr>
        <w:t>700.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 xml:space="preserve">David, J. </w:t>
      </w:r>
      <w:r>
        <w:rPr>
          <w:rFonts w:asciiTheme="majorBidi" w:hAnsiTheme="majorBidi" w:cstheme="majorBidi"/>
          <w:sz w:val="20"/>
          <w:szCs w:val="20"/>
        </w:rPr>
        <w:t>H.,</w:t>
      </w:r>
      <w:r w:rsidRPr="000C7B32">
        <w:rPr>
          <w:rFonts w:asciiTheme="majorBidi" w:hAnsiTheme="majorBidi" w:cstheme="majorBidi"/>
          <w:sz w:val="20"/>
          <w:szCs w:val="20"/>
        </w:rPr>
        <w:t xml:space="preserve"> Jonathan, M. </w:t>
      </w:r>
      <w:r>
        <w:rPr>
          <w:rFonts w:asciiTheme="majorBidi" w:hAnsiTheme="majorBidi" w:cstheme="majorBidi"/>
          <w:sz w:val="20"/>
          <w:szCs w:val="20"/>
        </w:rPr>
        <w:t>W.,</w:t>
      </w:r>
      <w:r w:rsidRPr="000C7B32">
        <w:rPr>
          <w:rFonts w:asciiTheme="majorBidi" w:hAnsiTheme="majorBidi" w:cstheme="majorBidi"/>
          <w:sz w:val="20"/>
          <w:szCs w:val="20"/>
        </w:rPr>
        <w:t xml:space="preserve"> Catriona, A. M</w:t>
      </w:r>
      <w:r>
        <w:rPr>
          <w:rFonts w:asciiTheme="majorBidi" w:hAnsiTheme="majorBidi" w:cstheme="majorBidi"/>
          <w:sz w:val="20"/>
          <w:szCs w:val="20"/>
        </w:rPr>
        <w:t>.,</w:t>
      </w:r>
      <w:r w:rsidRPr="000C7B32">
        <w:rPr>
          <w:rFonts w:asciiTheme="majorBidi" w:hAnsiTheme="majorBidi" w:cstheme="majorBidi"/>
          <w:sz w:val="20"/>
          <w:szCs w:val="20"/>
        </w:rPr>
        <w:t xml:space="preserve"> Victor, L. V</w:t>
      </w:r>
      <w:r>
        <w:rPr>
          <w:rFonts w:asciiTheme="majorBidi" w:hAnsiTheme="majorBidi" w:cstheme="majorBidi"/>
          <w:sz w:val="20"/>
          <w:szCs w:val="20"/>
        </w:rPr>
        <w:t>.,</w:t>
      </w:r>
      <w:r w:rsidRPr="000C7B32">
        <w:rPr>
          <w:rFonts w:asciiTheme="majorBidi" w:hAnsiTheme="majorBidi" w:cstheme="majorBidi"/>
          <w:sz w:val="20"/>
          <w:szCs w:val="20"/>
        </w:rPr>
        <w:t xml:space="preserve"> Kevin, J. B. and Paul, S. D. (2016).</w:t>
      </w:r>
      <w:r w:rsidRPr="00CA6762">
        <w:t xml:space="preserve"> </w:t>
      </w:r>
      <w:r w:rsidRPr="000C7B32">
        <w:rPr>
          <w:rFonts w:asciiTheme="majorBidi" w:hAnsiTheme="majorBidi" w:cstheme="majorBidi"/>
          <w:sz w:val="20"/>
          <w:szCs w:val="20"/>
        </w:rPr>
        <w:t xml:space="preserve">Synthesis of oxorhenium(V) and oxotechnetium(V) complexes that bind to amyloid-β plaques. </w:t>
      </w:r>
      <w:r w:rsidRPr="000C7B32">
        <w:rPr>
          <w:rFonts w:asciiTheme="majorBidi" w:hAnsiTheme="majorBidi" w:cstheme="majorBidi"/>
          <w:i/>
          <w:iCs/>
          <w:sz w:val="20"/>
          <w:szCs w:val="20"/>
        </w:rPr>
        <w:t>Inorganic Chemistry,</w:t>
      </w:r>
      <w:r w:rsidRPr="000C7B32">
        <w:rPr>
          <w:rFonts w:asciiTheme="majorBidi" w:hAnsiTheme="majorBidi" w:cstheme="majorBidi"/>
          <w:sz w:val="20"/>
          <w:szCs w:val="20"/>
        </w:rPr>
        <w:t xml:space="preserve"> 55(16): 7944</w:t>
      </w:r>
      <w:r>
        <w:rPr>
          <w:rFonts w:asciiTheme="majorBidi" w:hAnsiTheme="majorBidi" w:cstheme="majorBidi"/>
          <w:sz w:val="20"/>
          <w:szCs w:val="20"/>
        </w:rPr>
        <w:t xml:space="preserve"> – </w:t>
      </w:r>
      <w:r w:rsidRPr="000C7B32">
        <w:rPr>
          <w:rFonts w:asciiTheme="majorBidi" w:hAnsiTheme="majorBidi" w:cstheme="majorBidi"/>
          <w:sz w:val="20"/>
          <w:szCs w:val="20"/>
        </w:rPr>
        <w:t>7953.</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Smith, K. J., Ondracek, A. L., Gruhn, N. E., Lichten</w:t>
      </w:r>
      <w:r>
        <w:rPr>
          <w:rFonts w:asciiTheme="majorBidi" w:hAnsiTheme="majorBidi" w:cstheme="majorBidi"/>
          <w:sz w:val="20"/>
          <w:szCs w:val="20"/>
        </w:rPr>
        <w:t>berger, D. L., Fanwick, P. E. and</w:t>
      </w:r>
      <w:r w:rsidRPr="000C7B32">
        <w:rPr>
          <w:rFonts w:asciiTheme="majorBidi" w:hAnsiTheme="majorBidi" w:cstheme="majorBidi"/>
          <w:sz w:val="20"/>
          <w:szCs w:val="20"/>
        </w:rPr>
        <w:t xml:space="preserve"> Walton, R. A. (2000). A comparativ</w:t>
      </w:r>
      <w:r>
        <w:rPr>
          <w:rFonts w:asciiTheme="majorBidi" w:hAnsiTheme="majorBidi" w:cstheme="majorBidi"/>
          <w:sz w:val="20"/>
          <w:szCs w:val="20"/>
        </w:rPr>
        <w:t>e study of the isomers of ReOCl</w:t>
      </w:r>
      <w:r w:rsidRPr="000C7B32">
        <w:rPr>
          <w:rFonts w:asciiTheme="majorBidi" w:hAnsiTheme="majorBidi" w:cstheme="majorBidi"/>
          <w:sz w:val="20"/>
          <w:szCs w:val="20"/>
          <w:vertAlign w:val="subscript"/>
        </w:rPr>
        <w:t>3</w:t>
      </w:r>
      <w:r>
        <w:rPr>
          <w:rFonts w:asciiTheme="majorBidi" w:hAnsiTheme="majorBidi" w:cstheme="majorBidi"/>
          <w:sz w:val="20"/>
          <w:szCs w:val="20"/>
        </w:rPr>
        <w:t>(PMe</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and ReOCl</w:t>
      </w:r>
      <w:r w:rsidRPr="000C7B32">
        <w:rPr>
          <w:rFonts w:asciiTheme="majorBidi" w:hAnsiTheme="majorBidi" w:cstheme="majorBidi"/>
          <w:sz w:val="20"/>
          <w:szCs w:val="20"/>
          <w:vertAlign w:val="subscript"/>
        </w:rPr>
        <w:t>3</w:t>
      </w:r>
      <w:r>
        <w:rPr>
          <w:rFonts w:asciiTheme="majorBidi" w:hAnsiTheme="majorBidi" w:cstheme="majorBidi"/>
          <w:sz w:val="20"/>
          <w:szCs w:val="20"/>
        </w:rPr>
        <w:t>(PEt</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The isolat</w:t>
      </w:r>
      <w:r>
        <w:rPr>
          <w:rFonts w:asciiTheme="majorBidi" w:hAnsiTheme="majorBidi" w:cstheme="majorBidi"/>
          <w:sz w:val="20"/>
          <w:szCs w:val="20"/>
        </w:rPr>
        <w:t>ion and characterization of ReH</w:t>
      </w:r>
      <w:r w:rsidRPr="000C7B32">
        <w:rPr>
          <w:rFonts w:asciiTheme="majorBidi" w:hAnsiTheme="majorBidi" w:cstheme="majorBidi"/>
          <w:sz w:val="20"/>
          <w:szCs w:val="20"/>
          <w:vertAlign w:val="subscript"/>
        </w:rPr>
        <w:t>7</w:t>
      </w:r>
      <w:r>
        <w:rPr>
          <w:rFonts w:asciiTheme="majorBidi" w:hAnsiTheme="majorBidi" w:cstheme="majorBidi"/>
          <w:sz w:val="20"/>
          <w:szCs w:val="20"/>
        </w:rPr>
        <w:t>(PR</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and ReO(OEt)Cl</w:t>
      </w:r>
      <w:r w:rsidRPr="000C7B32">
        <w:rPr>
          <w:rFonts w:asciiTheme="majorBidi" w:hAnsiTheme="majorBidi" w:cstheme="majorBidi"/>
          <w:sz w:val="20"/>
          <w:szCs w:val="20"/>
          <w:vertAlign w:val="subscript"/>
        </w:rPr>
        <w:t>2</w:t>
      </w:r>
      <w:r>
        <w:rPr>
          <w:rFonts w:asciiTheme="majorBidi" w:hAnsiTheme="majorBidi" w:cstheme="majorBidi"/>
          <w:sz w:val="20"/>
          <w:szCs w:val="20"/>
        </w:rPr>
        <w:t xml:space="preserve"> (PR</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(R= Me or Et) and th</w:t>
      </w:r>
      <w:r>
        <w:rPr>
          <w:rFonts w:asciiTheme="majorBidi" w:hAnsiTheme="majorBidi" w:cstheme="majorBidi"/>
          <w:sz w:val="20"/>
          <w:szCs w:val="20"/>
        </w:rPr>
        <w:t>e photoelectron spectrum of ReH</w:t>
      </w:r>
      <w:r w:rsidRPr="000C7B32">
        <w:rPr>
          <w:rFonts w:asciiTheme="majorBidi" w:hAnsiTheme="majorBidi" w:cstheme="majorBidi"/>
          <w:sz w:val="20"/>
          <w:szCs w:val="20"/>
          <w:vertAlign w:val="subscript"/>
        </w:rPr>
        <w:t>7</w:t>
      </w:r>
      <w:r>
        <w:rPr>
          <w:rFonts w:asciiTheme="majorBidi" w:hAnsiTheme="majorBidi" w:cstheme="majorBidi"/>
          <w:sz w:val="20"/>
          <w:szCs w:val="20"/>
        </w:rPr>
        <w:t xml:space="preserve"> (PMe</w:t>
      </w:r>
      <w:r w:rsidRPr="000C7B32">
        <w:rPr>
          <w:rFonts w:asciiTheme="majorBidi" w:hAnsiTheme="majorBidi" w:cstheme="majorBidi"/>
          <w:sz w:val="20"/>
          <w:szCs w:val="20"/>
          <w:vertAlign w:val="subscript"/>
        </w:rPr>
        <w:t>3</w:t>
      </w:r>
      <w:r>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w:t>
      </w:r>
      <w:r w:rsidRPr="000C7B32">
        <w:rPr>
          <w:rFonts w:asciiTheme="majorBidi" w:hAnsiTheme="majorBidi" w:cstheme="majorBidi"/>
          <w:i/>
          <w:sz w:val="20"/>
          <w:szCs w:val="20"/>
        </w:rPr>
        <w:t>Inorganica Chimica Acta</w:t>
      </w:r>
      <w:r>
        <w:rPr>
          <w:rFonts w:asciiTheme="majorBidi" w:hAnsiTheme="majorBidi" w:cstheme="majorBidi"/>
          <w:sz w:val="20"/>
          <w:szCs w:val="20"/>
        </w:rPr>
        <w:t>, 300:</w:t>
      </w:r>
      <w:r w:rsidRPr="000C7B32">
        <w:rPr>
          <w:rFonts w:asciiTheme="majorBidi" w:hAnsiTheme="majorBidi" w:cstheme="majorBidi"/>
          <w:sz w:val="20"/>
          <w:szCs w:val="20"/>
        </w:rPr>
        <w:t xml:space="preserve"> 23</w:t>
      </w:r>
      <w:r>
        <w:rPr>
          <w:rFonts w:asciiTheme="majorBidi" w:hAnsiTheme="majorBidi" w:cstheme="majorBidi"/>
          <w:sz w:val="20"/>
          <w:szCs w:val="20"/>
        </w:rPr>
        <w:t xml:space="preserve"> – </w:t>
      </w:r>
      <w:r w:rsidRPr="000C7B32">
        <w:rPr>
          <w:rFonts w:asciiTheme="majorBidi" w:hAnsiTheme="majorBidi" w:cstheme="majorBidi"/>
          <w:sz w:val="20"/>
          <w:szCs w:val="20"/>
        </w:rPr>
        <w:t>31.</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Xiaoyuan, C.,</w:t>
      </w:r>
      <w:r w:rsidRPr="000C7B32">
        <w:rPr>
          <w:rFonts w:asciiTheme="majorBidi" w:hAnsiTheme="majorBidi" w:cstheme="majorBidi"/>
          <w:sz w:val="20"/>
          <w:szCs w:val="20"/>
        </w:rPr>
        <w:t xml:space="preserve"> Frank, </w:t>
      </w:r>
      <w:r>
        <w:rPr>
          <w:rFonts w:asciiTheme="majorBidi" w:hAnsiTheme="majorBidi" w:cstheme="majorBidi"/>
          <w:sz w:val="20"/>
          <w:szCs w:val="20"/>
        </w:rPr>
        <w:t>J. F.,</w:t>
      </w:r>
      <w:r w:rsidRPr="000C7B32">
        <w:rPr>
          <w:rFonts w:asciiTheme="majorBidi" w:hAnsiTheme="majorBidi" w:cstheme="majorBidi"/>
          <w:sz w:val="20"/>
          <w:szCs w:val="20"/>
        </w:rPr>
        <w:t xml:space="preserve"> John, B. W. and Babich, J. Z. (2000).</w:t>
      </w:r>
      <w:r w:rsidRPr="00CA6762">
        <w:t xml:space="preserve"> </w:t>
      </w:r>
      <w:r w:rsidRPr="000C7B32">
        <w:rPr>
          <w:rFonts w:asciiTheme="majorBidi" w:hAnsiTheme="majorBidi" w:cstheme="majorBidi"/>
          <w:sz w:val="20"/>
          <w:szCs w:val="20"/>
        </w:rPr>
        <w:t xml:space="preserve">Exploring oxorhenium ‘3+1’ mixed-ligand complexes carrying the S-benzyl-3-[(2-hydroxyphenyl)methylene]dithiocarbazate </w:t>
      </w:r>
      <w:r>
        <w:rPr>
          <w:rFonts w:asciiTheme="majorBidi" w:hAnsiTheme="majorBidi" w:cstheme="majorBidi"/>
          <w:sz w:val="20"/>
          <w:szCs w:val="20"/>
        </w:rPr>
        <w:t>[ONS]/monothiol [S] donor set: S</w:t>
      </w:r>
      <w:r w:rsidRPr="000C7B32">
        <w:rPr>
          <w:rFonts w:asciiTheme="majorBidi" w:hAnsiTheme="majorBidi" w:cstheme="majorBidi"/>
          <w:sz w:val="20"/>
          <w:szCs w:val="20"/>
        </w:rPr>
        <w:t xml:space="preserve">ynthesis and characterization.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307(1-2): 154</w:t>
      </w:r>
      <w:r>
        <w:rPr>
          <w:rFonts w:asciiTheme="majorBidi" w:hAnsiTheme="majorBidi" w:cstheme="majorBidi"/>
          <w:sz w:val="20"/>
          <w:szCs w:val="20"/>
        </w:rPr>
        <w:t xml:space="preserve"> – </w:t>
      </w:r>
      <w:r w:rsidRPr="000C7B32">
        <w:rPr>
          <w:rFonts w:asciiTheme="majorBidi" w:hAnsiTheme="majorBidi" w:cstheme="majorBidi"/>
          <w:sz w:val="20"/>
          <w:szCs w:val="20"/>
        </w:rPr>
        <w:t>159.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Berthold, N., Hans, P., Francesco, T., Theodosia, M.,</w:t>
      </w:r>
      <w:r w:rsidRPr="000C7B32">
        <w:rPr>
          <w:rFonts w:asciiTheme="majorBidi" w:hAnsiTheme="majorBidi" w:cstheme="majorBidi"/>
          <w:sz w:val="20"/>
          <w:szCs w:val="20"/>
        </w:rPr>
        <w:t xml:space="preserve"> Pe</w:t>
      </w:r>
      <w:r>
        <w:rPr>
          <w:rFonts w:asciiTheme="majorBidi" w:hAnsiTheme="majorBidi" w:cstheme="majorBidi"/>
          <w:sz w:val="20"/>
          <w:szCs w:val="20"/>
        </w:rPr>
        <w:t>ter, L.,</w:t>
      </w:r>
      <w:r w:rsidRPr="000C7B32">
        <w:rPr>
          <w:rFonts w:asciiTheme="majorBidi" w:hAnsiTheme="majorBidi" w:cstheme="majorBidi"/>
          <w:sz w:val="20"/>
          <w:szCs w:val="20"/>
        </w:rPr>
        <w:t xml:space="preserve"> Hartmut, S. and Chiotellis, E. (2000).</w:t>
      </w:r>
      <w:r w:rsidRPr="00CA6762">
        <w:t xml:space="preserve"> </w:t>
      </w:r>
      <w:r w:rsidRPr="000C7B32">
        <w:rPr>
          <w:rFonts w:asciiTheme="majorBidi" w:hAnsiTheme="majorBidi" w:cstheme="majorBidi"/>
          <w:sz w:val="20"/>
          <w:szCs w:val="20"/>
        </w:rPr>
        <w:t xml:space="preserve">Oxorhenium mixed-ligand complexes with the 2,6-dimercaptomethylpyridine ligand. Crystal structure of [2,6-dimercaptomethylpyridinato][p-methoxybenzenethiolato]oxorhenium(V).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304(1): 26</w:t>
      </w:r>
      <w:r>
        <w:rPr>
          <w:rFonts w:asciiTheme="majorBidi" w:hAnsiTheme="majorBidi" w:cstheme="majorBidi"/>
          <w:sz w:val="20"/>
          <w:szCs w:val="20"/>
        </w:rPr>
        <w:t xml:space="preserve"> – </w:t>
      </w:r>
      <w:r w:rsidRPr="000C7B32">
        <w:rPr>
          <w:rFonts w:asciiTheme="majorBidi" w:hAnsiTheme="majorBidi" w:cstheme="majorBidi"/>
          <w:sz w:val="20"/>
          <w:szCs w:val="20"/>
        </w:rPr>
        <w:t>32.</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Conner, K. A., Walton, R. A., Wilkinson, G.,</w:t>
      </w:r>
      <w:r w:rsidRPr="000C7B32">
        <w:rPr>
          <w:rFonts w:asciiTheme="majorBidi" w:hAnsiTheme="majorBidi" w:cstheme="majorBidi"/>
          <w:sz w:val="20"/>
          <w:szCs w:val="20"/>
        </w:rPr>
        <w:t xml:space="preserve"> Gillard, R. D. and McCleverty, J. A. (1987). Comprehensive coordination chemistry</w:t>
      </w:r>
      <w:r>
        <w:rPr>
          <w:rFonts w:asciiTheme="majorBidi" w:hAnsiTheme="majorBidi" w:cstheme="majorBidi"/>
          <w:sz w:val="20"/>
          <w:szCs w:val="20"/>
        </w:rPr>
        <w:t xml:space="preserve">. </w:t>
      </w:r>
      <w:r w:rsidRPr="000C7B32">
        <w:rPr>
          <w:rFonts w:asciiTheme="majorBidi" w:hAnsiTheme="majorBidi" w:cstheme="majorBidi"/>
          <w:sz w:val="20"/>
          <w:szCs w:val="20"/>
        </w:rPr>
        <w:t>Pergamon, Oxford, UK.</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lang w:val="es-ES"/>
        </w:rPr>
        <w:t>André, G. A., Fernandes, Pedro, M. I. S., Elizeu, S. J., Sebastião, L. S., Alzir, B. A. Abram, U., Ellena, J., Eduardo, C. E. and Victor, D. M. (2008).</w:t>
      </w:r>
      <w:r w:rsidRPr="00CA6762">
        <w:t xml:space="preserve"> </w:t>
      </w:r>
      <w:r w:rsidRPr="000C7B32">
        <w:rPr>
          <w:rFonts w:asciiTheme="majorBidi" w:hAnsiTheme="majorBidi" w:cstheme="majorBidi"/>
          <w:sz w:val="20"/>
          <w:szCs w:val="20"/>
        </w:rPr>
        <w:t xml:space="preserve">Rhenium chelate complexes with maltolate or kojate. </w:t>
      </w:r>
      <w:r w:rsidRPr="000C7B32">
        <w:rPr>
          <w:rFonts w:asciiTheme="majorBidi" w:hAnsiTheme="majorBidi" w:cstheme="majorBidi"/>
          <w:i/>
          <w:iCs/>
          <w:sz w:val="20"/>
          <w:szCs w:val="20"/>
        </w:rPr>
        <w:t>Polyhedron</w:t>
      </w:r>
      <w:r w:rsidRPr="000C7B32">
        <w:rPr>
          <w:rFonts w:asciiTheme="majorBidi" w:hAnsiTheme="majorBidi" w:cstheme="majorBidi"/>
          <w:sz w:val="20"/>
          <w:szCs w:val="20"/>
        </w:rPr>
        <w:t>, 27(13): 2983</w:t>
      </w:r>
      <w:r>
        <w:rPr>
          <w:rFonts w:asciiTheme="majorBidi" w:hAnsiTheme="majorBidi" w:cstheme="majorBidi"/>
          <w:sz w:val="20"/>
          <w:szCs w:val="20"/>
        </w:rPr>
        <w:t xml:space="preserve"> – </w:t>
      </w:r>
      <w:r w:rsidRPr="000C7B32">
        <w:rPr>
          <w:rFonts w:asciiTheme="majorBidi" w:hAnsiTheme="majorBidi" w:cstheme="majorBidi"/>
          <w:sz w:val="20"/>
          <w:szCs w:val="20"/>
        </w:rPr>
        <w:t>2989.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Ondracek, A. L.,</w:t>
      </w:r>
      <w:r w:rsidRPr="000C7B32">
        <w:rPr>
          <w:rFonts w:asciiTheme="majorBidi" w:hAnsiTheme="majorBidi" w:cstheme="majorBidi"/>
          <w:sz w:val="20"/>
          <w:szCs w:val="20"/>
        </w:rPr>
        <w:t xml:space="preserve"> Fanwick, P. E. and Walton, R. A. (1998).</w:t>
      </w:r>
      <w:r w:rsidRPr="00CA6762">
        <w:t xml:space="preserve"> </w:t>
      </w:r>
      <w:r w:rsidRPr="000C7B32">
        <w:rPr>
          <w:rFonts w:asciiTheme="majorBidi" w:hAnsiTheme="majorBidi" w:cstheme="majorBidi"/>
          <w:sz w:val="20"/>
          <w:szCs w:val="20"/>
        </w:rPr>
        <w:t>The synthesis, characterization and X-ray crystal structures of the fac-cis and mer-trans isomers of ReOCl</w:t>
      </w:r>
      <w:r w:rsidRPr="000C7B32">
        <w:rPr>
          <w:rFonts w:asciiTheme="majorBidi" w:hAnsiTheme="majorBidi" w:cstheme="majorBidi"/>
          <w:sz w:val="20"/>
          <w:szCs w:val="20"/>
          <w:vertAlign w:val="subscript"/>
        </w:rPr>
        <w:t>3</w:t>
      </w:r>
      <w:r w:rsidRPr="000C7B32">
        <w:rPr>
          <w:rFonts w:asciiTheme="majorBidi" w:hAnsiTheme="majorBidi" w:cstheme="majorBidi"/>
          <w:sz w:val="20"/>
          <w:szCs w:val="20"/>
        </w:rPr>
        <w:t>(PMe</w:t>
      </w:r>
      <w:r w:rsidRPr="000C7B32">
        <w:rPr>
          <w:rFonts w:asciiTheme="majorBidi" w:hAnsiTheme="majorBidi" w:cstheme="majorBidi"/>
          <w:sz w:val="20"/>
          <w:szCs w:val="20"/>
          <w:vertAlign w:val="subscript"/>
        </w:rPr>
        <w:t>3</w:t>
      </w:r>
      <w:r w:rsidRPr="000C7B32">
        <w:rPr>
          <w:rFonts w:asciiTheme="majorBidi" w:hAnsiTheme="majorBidi" w:cstheme="majorBidi"/>
          <w:sz w:val="20"/>
          <w:szCs w:val="20"/>
        </w:rPr>
        <w:t>)</w:t>
      </w:r>
      <w:r w:rsidRPr="000C7B32">
        <w:rPr>
          <w:rFonts w:asciiTheme="majorBidi" w:hAnsiTheme="majorBidi" w:cstheme="majorBidi"/>
          <w:sz w:val="20"/>
          <w:szCs w:val="20"/>
          <w:vertAlign w:val="subscript"/>
        </w:rPr>
        <w:t>2</w:t>
      </w:r>
      <w:r w:rsidRPr="000C7B32">
        <w:rPr>
          <w:rFonts w:asciiTheme="majorBidi" w:hAnsiTheme="majorBidi" w:cstheme="majorBidi"/>
          <w:sz w:val="20"/>
          <w:szCs w:val="20"/>
        </w:rPr>
        <w:t xml:space="preserve">. </w:t>
      </w:r>
      <w:r w:rsidRPr="000C7B32">
        <w:rPr>
          <w:rFonts w:asciiTheme="majorBidi" w:hAnsiTheme="majorBidi" w:cstheme="majorBidi"/>
          <w:i/>
          <w:iCs/>
          <w:sz w:val="20"/>
          <w:szCs w:val="20"/>
        </w:rPr>
        <w:t>Inorganica Chimica Acta,</w:t>
      </w:r>
      <w:r w:rsidRPr="000C7B32">
        <w:rPr>
          <w:rFonts w:asciiTheme="majorBidi" w:hAnsiTheme="majorBidi" w:cstheme="majorBidi"/>
          <w:sz w:val="20"/>
          <w:szCs w:val="20"/>
        </w:rPr>
        <w:t xml:space="preserve"> 267(1): 123</w:t>
      </w:r>
      <w:r>
        <w:rPr>
          <w:rFonts w:asciiTheme="majorBidi" w:hAnsiTheme="majorBidi" w:cstheme="majorBidi"/>
          <w:sz w:val="20"/>
          <w:szCs w:val="20"/>
        </w:rPr>
        <w:t xml:space="preserve"> – </w:t>
      </w:r>
      <w:r w:rsidRPr="000C7B32">
        <w:rPr>
          <w:rFonts w:asciiTheme="majorBidi" w:hAnsiTheme="majorBidi" w:cstheme="majorBidi"/>
          <w:sz w:val="20"/>
          <w:szCs w:val="20"/>
        </w:rPr>
        <w:t>126.</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Mowafak, M. M., Abeer, A. T.,</w:t>
      </w:r>
      <w:r w:rsidRPr="000C7B32">
        <w:rPr>
          <w:rFonts w:asciiTheme="majorBidi" w:hAnsiTheme="majorBidi" w:cstheme="majorBidi"/>
          <w:sz w:val="20"/>
          <w:szCs w:val="20"/>
        </w:rPr>
        <w:t xml:space="preserve"> Ahmed, E. A. and Mohamed, S. M. (2015).</w:t>
      </w:r>
      <w:r w:rsidRPr="00CA6762">
        <w:t xml:space="preserve"> </w:t>
      </w:r>
      <w:r w:rsidRPr="000C7B32">
        <w:rPr>
          <w:rFonts w:asciiTheme="majorBidi" w:hAnsiTheme="majorBidi" w:cstheme="majorBidi"/>
          <w:sz w:val="20"/>
          <w:szCs w:val="20"/>
        </w:rPr>
        <w:t xml:space="preserve">Potentiometric and thermodynamic studies for binary and mixed ligand complexes of some transition metal ions with hydrazone and phenylalanine. </w:t>
      </w:r>
      <w:r w:rsidRPr="000C7B32">
        <w:rPr>
          <w:rFonts w:asciiTheme="majorBidi" w:hAnsiTheme="majorBidi" w:cstheme="majorBidi"/>
          <w:i/>
          <w:iCs/>
          <w:sz w:val="20"/>
          <w:szCs w:val="20"/>
        </w:rPr>
        <w:t>International Journal of Electrochemical Science,</w:t>
      </w:r>
      <w:r w:rsidRPr="000C7B32">
        <w:rPr>
          <w:rFonts w:asciiTheme="majorBidi" w:hAnsiTheme="majorBidi" w:cstheme="majorBidi"/>
          <w:sz w:val="20"/>
          <w:szCs w:val="20"/>
        </w:rPr>
        <w:t xml:space="preserve"> 10(1): 456</w:t>
      </w:r>
      <w:r>
        <w:rPr>
          <w:rFonts w:asciiTheme="majorBidi" w:hAnsiTheme="majorBidi" w:cstheme="majorBidi"/>
          <w:sz w:val="20"/>
          <w:szCs w:val="20"/>
        </w:rPr>
        <w:t xml:space="preserve"> – </w:t>
      </w:r>
      <w:r w:rsidRPr="000C7B32">
        <w:rPr>
          <w:rFonts w:asciiTheme="majorBidi" w:hAnsiTheme="majorBidi" w:cstheme="majorBidi"/>
          <w:sz w:val="20"/>
          <w:szCs w:val="20"/>
        </w:rPr>
        <w:t>471.</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Jamode, V. S. and Kale, A. S. (2007).</w:t>
      </w:r>
      <w:r w:rsidRPr="00CA6762">
        <w:t xml:space="preserve"> </w:t>
      </w:r>
      <w:r w:rsidRPr="000C7B32">
        <w:rPr>
          <w:rFonts w:asciiTheme="majorBidi" w:hAnsiTheme="majorBidi" w:cstheme="majorBidi"/>
          <w:sz w:val="20"/>
          <w:szCs w:val="20"/>
        </w:rPr>
        <w:t xml:space="preserve">Stability constant of transition metal ions complex with1-carboxamido-3,5-diaryl-4-aroylpyrazoles. </w:t>
      </w:r>
      <w:r w:rsidRPr="000C7B32">
        <w:rPr>
          <w:rFonts w:asciiTheme="majorBidi" w:hAnsiTheme="majorBidi" w:cstheme="majorBidi"/>
          <w:i/>
          <w:iCs/>
          <w:sz w:val="20"/>
          <w:szCs w:val="20"/>
        </w:rPr>
        <w:t>Asian Journal of Chemistry,</w:t>
      </w:r>
      <w:r w:rsidRPr="000C7B32">
        <w:rPr>
          <w:rFonts w:asciiTheme="majorBidi" w:hAnsiTheme="majorBidi" w:cstheme="majorBidi"/>
          <w:sz w:val="20"/>
          <w:szCs w:val="20"/>
        </w:rPr>
        <w:t xml:space="preserve"> 19(1): 787</w:t>
      </w:r>
      <w:r>
        <w:rPr>
          <w:rFonts w:asciiTheme="majorBidi" w:hAnsiTheme="majorBidi" w:cstheme="majorBidi"/>
          <w:sz w:val="20"/>
          <w:szCs w:val="20"/>
        </w:rPr>
        <w:t xml:space="preserve"> – </w:t>
      </w:r>
      <w:r w:rsidRPr="000C7B32">
        <w:rPr>
          <w:rFonts w:asciiTheme="majorBidi" w:hAnsiTheme="majorBidi" w:cstheme="majorBidi"/>
          <w:sz w:val="20"/>
          <w:szCs w:val="20"/>
        </w:rPr>
        <w:t>789.</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 xml:space="preserve">Gouda, G. A. H., </w:t>
      </w:r>
      <w:r w:rsidRPr="000C7B32">
        <w:rPr>
          <w:rFonts w:asciiTheme="majorBidi" w:hAnsiTheme="majorBidi" w:cstheme="majorBidi"/>
          <w:sz w:val="20"/>
          <w:szCs w:val="20"/>
        </w:rPr>
        <w:t>Ali, G. A. M. and Seaf-Elnasr, T. A. (2015). Stability studies of selected metal ion</w:t>
      </w:r>
      <w:r>
        <w:rPr>
          <w:rFonts w:asciiTheme="majorBidi" w:hAnsiTheme="majorBidi" w:cstheme="majorBidi"/>
          <w:sz w:val="20"/>
          <w:szCs w:val="20"/>
        </w:rPr>
        <w:t>s chelates with 2-(4-amino-1,5-</w:t>
      </w:r>
      <w:r w:rsidRPr="000C7B32">
        <w:rPr>
          <w:rFonts w:asciiTheme="majorBidi" w:hAnsiTheme="majorBidi" w:cstheme="majorBidi"/>
          <w:sz w:val="20"/>
          <w:szCs w:val="20"/>
        </w:rPr>
        <w:t>dimethyl-2-phenyl-1,2-</w:t>
      </w:r>
      <w:r>
        <w:rPr>
          <w:rFonts w:asciiTheme="majorBidi" w:hAnsiTheme="majorBidi" w:cstheme="majorBidi"/>
          <w:sz w:val="20"/>
          <w:szCs w:val="20"/>
        </w:rPr>
        <w:t xml:space="preserve">dihydro-pyrazol-3-ylideneamino) </w:t>
      </w:r>
      <w:r w:rsidRPr="000C7B32">
        <w:rPr>
          <w:rFonts w:asciiTheme="majorBidi" w:hAnsiTheme="majorBidi" w:cstheme="majorBidi"/>
          <w:sz w:val="20"/>
          <w:szCs w:val="20"/>
        </w:rPr>
        <w:t xml:space="preserve">phenol. </w:t>
      </w:r>
      <w:r w:rsidRPr="000C7B32">
        <w:rPr>
          <w:rFonts w:asciiTheme="majorBidi" w:hAnsiTheme="majorBidi" w:cstheme="majorBidi"/>
          <w:i/>
          <w:iCs/>
          <w:sz w:val="20"/>
          <w:szCs w:val="20"/>
        </w:rPr>
        <w:t xml:space="preserve">International Journal of Nanomaterials and Chemistry, </w:t>
      </w:r>
      <w:r w:rsidRPr="000C7B32">
        <w:rPr>
          <w:rFonts w:asciiTheme="majorBidi" w:hAnsiTheme="majorBidi" w:cstheme="majorBidi"/>
          <w:sz w:val="20"/>
          <w:szCs w:val="20"/>
        </w:rPr>
        <w:t>1(2): 39</w:t>
      </w:r>
      <w:r>
        <w:rPr>
          <w:rFonts w:asciiTheme="majorBidi" w:hAnsiTheme="majorBidi" w:cstheme="majorBidi"/>
          <w:sz w:val="20"/>
          <w:szCs w:val="20"/>
        </w:rPr>
        <w:t xml:space="preserve"> – </w:t>
      </w:r>
      <w:r w:rsidRPr="000C7B32">
        <w:rPr>
          <w:rFonts w:asciiTheme="majorBidi" w:hAnsiTheme="majorBidi" w:cstheme="majorBidi"/>
          <w:sz w:val="20"/>
          <w:szCs w:val="20"/>
        </w:rPr>
        <w:t>44.</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Gouda, G. A. H. and Mahross, M. H. (2016).</w:t>
      </w:r>
      <w:r w:rsidRPr="00CA6762">
        <w:t xml:space="preserve"> </w:t>
      </w:r>
      <w:r w:rsidRPr="000C7B32">
        <w:rPr>
          <w:rFonts w:asciiTheme="majorBidi" w:hAnsiTheme="majorBidi" w:cstheme="majorBidi"/>
          <w:sz w:val="20"/>
          <w:szCs w:val="20"/>
        </w:rPr>
        <w:t xml:space="preserve">Potentiometric and quantum chemical studies </w:t>
      </w:r>
      <w:r>
        <w:rPr>
          <w:rFonts w:asciiTheme="majorBidi" w:hAnsiTheme="majorBidi" w:cstheme="majorBidi"/>
          <w:sz w:val="20"/>
          <w:szCs w:val="20"/>
        </w:rPr>
        <w:t>of some metal complexes with 2-</w:t>
      </w:r>
      <w:r w:rsidRPr="000C7B32">
        <w:rPr>
          <w:rFonts w:asciiTheme="majorBidi" w:hAnsiTheme="majorBidi" w:cstheme="majorBidi"/>
          <w:sz w:val="20"/>
          <w:szCs w:val="20"/>
        </w:rPr>
        <w:t xml:space="preserve">(4-amino-1,5-dimethyl-2-phenyl-1,2-dihydro-pyrazol-3-ylideneamino) phenol. </w:t>
      </w:r>
      <w:r w:rsidRPr="000C7B32">
        <w:rPr>
          <w:rFonts w:asciiTheme="majorBidi" w:hAnsiTheme="majorBidi" w:cstheme="majorBidi"/>
          <w:i/>
          <w:iCs/>
          <w:sz w:val="20"/>
          <w:szCs w:val="20"/>
        </w:rPr>
        <w:t>Global Journal of Multidisciplinary Studies,</w:t>
      </w:r>
      <w:r w:rsidRPr="000C7B32">
        <w:rPr>
          <w:rFonts w:asciiTheme="majorBidi" w:hAnsiTheme="majorBidi" w:cstheme="majorBidi"/>
          <w:sz w:val="20"/>
          <w:szCs w:val="20"/>
        </w:rPr>
        <w:t xml:space="preserve"> 5: 164</w:t>
      </w:r>
      <w:r>
        <w:rPr>
          <w:rFonts w:asciiTheme="majorBidi" w:hAnsiTheme="majorBidi" w:cstheme="majorBidi"/>
          <w:sz w:val="20"/>
          <w:szCs w:val="20"/>
        </w:rPr>
        <w:t xml:space="preserve"> – </w:t>
      </w:r>
      <w:r w:rsidRPr="000C7B32">
        <w:rPr>
          <w:rFonts w:asciiTheme="majorBidi" w:hAnsiTheme="majorBidi" w:cstheme="majorBidi"/>
          <w:sz w:val="20"/>
          <w:szCs w:val="20"/>
        </w:rPr>
        <w:t>180.</w:t>
      </w:r>
    </w:p>
    <w:p w:rsidR="00B1614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Park, H., Choi, W., Cotton, F. A.,</w:t>
      </w:r>
      <w:r w:rsidRPr="000C7B32">
        <w:rPr>
          <w:rFonts w:asciiTheme="majorBidi" w:hAnsiTheme="majorBidi" w:cstheme="majorBidi"/>
          <w:sz w:val="20"/>
          <w:szCs w:val="20"/>
        </w:rPr>
        <w:t xml:space="preserve"> Wilkinson, G. and Gaus, P. L. (1995). </w:t>
      </w:r>
      <w:r>
        <w:rPr>
          <w:rFonts w:asciiTheme="majorBidi" w:hAnsiTheme="majorBidi" w:cstheme="majorBidi"/>
          <w:sz w:val="20"/>
          <w:szCs w:val="20"/>
        </w:rPr>
        <w:t xml:space="preserve">Basic inorganic chemistry. John Wiley &amp; Sons </w:t>
      </w:r>
      <w:r w:rsidRPr="000C7B32">
        <w:rPr>
          <w:rFonts w:asciiTheme="majorBidi" w:hAnsiTheme="majorBidi" w:cstheme="majorBidi"/>
          <w:sz w:val="20"/>
          <w:szCs w:val="20"/>
        </w:rPr>
        <w:t>Inc.</w:t>
      </w:r>
    </w:p>
    <w:p w:rsidR="00B16143" w:rsidRPr="00A65BA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Pr>
          <w:rFonts w:asciiTheme="majorBidi" w:hAnsiTheme="majorBidi" w:cstheme="majorBidi"/>
          <w:sz w:val="20"/>
          <w:szCs w:val="20"/>
        </w:rPr>
        <w:t xml:space="preserve">Sharmeli, Y. and </w:t>
      </w:r>
      <w:r w:rsidRPr="000C7B32">
        <w:rPr>
          <w:rFonts w:asciiTheme="majorBidi" w:hAnsiTheme="majorBidi" w:cstheme="majorBidi"/>
          <w:sz w:val="20"/>
          <w:szCs w:val="20"/>
        </w:rPr>
        <w:t>Lonibala, R. (2009).</w:t>
      </w:r>
      <w:r w:rsidRPr="00CA6762">
        <w:t xml:space="preserve"> </w:t>
      </w:r>
      <w:r w:rsidRPr="000C7B32">
        <w:rPr>
          <w:rFonts w:asciiTheme="majorBidi" w:hAnsiTheme="majorBidi" w:cstheme="majorBidi"/>
          <w:sz w:val="20"/>
          <w:szCs w:val="20"/>
        </w:rPr>
        <w:t xml:space="preserve">Thermodynamics of the complexation of n-(pyridin-2-ylmethylene) isonicotinohydrazide with lighter lanthanides. </w:t>
      </w:r>
      <w:r w:rsidRPr="000C7B32">
        <w:rPr>
          <w:rFonts w:asciiTheme="majorBidi" w:hAnsiTheme="majorBidi" w:cstheme="majorBidi"/>
          <w:i/>
          <w:iCs/>
          <w:sz w:val="20"/>
          <w:szCs w:val="20"/>
        </w:rPr>
        <w:t>Journal of Chemical &amp; Engineering Data,</w:t>
      </w:r>
      <w:r w:rsidRPr="000C7B32">
        <w:rPr>
          <w:rFonts w:asciiTheme="majorBidi" w:hAnsiTheme="majorBidi" w:cstheme="majorBidi"/>
          <w:sz w:val="20"/>
          <w:szCs w:val="20"/>
        </w:rPr>
        <w:t xml:space="preserve"> 54(1): 28</w:t>
      </w:r>
      <w:r>
        <w:rPr>
          <w:rFonts w:asciiTheme="majorBidi" w:hAnsiTheme="majorBidi" w:cstheme="majorBidi"/>
          <w:sz w:val="20"/>
          <w:szCs w:val="20"/>
        </w:rPr>
        <w:t xml:space="preserve"> – </w:t>
      </w:r>
      <w:r w:rsidRPr="00A65BA3">
        <w:rPr>
          <w:rFonts w:asciiTheme="majorBidi" w:hAnsiTheme="majorBidi" w:cstheme="majorBidi"/>
          <w:sz w:val="20"/>
          <w:szCs w:val="20"/>
        </w:rPr>
        <w:t>34.</w:t>
      </w:r>
    </w:p>
    <w:p w:rsidR="00B16143" w:rsidRPr="00A65BA3"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A65BA3">
        <w:rPr>
          <w:rFonts w:asciiTheme="majorBidi" w:hAnsiTheme="majorBidi" w:cstheme="majorBidi"/>
          <w:sz w:val="20"/>
          <w:szCs w:val="20"/>
          <w:lang w:val="es-ES"/>
        </w:rPr>
        <w:lastRenderedPageBreak/>
        <w:t>Al-Sarawy, A. A., El-Bindary, A. A.,  El-Sonbati, A. Z. and Mokpel, M. M. (2006).</w:t>
      </w:r>
      <w:r w:rsidRPr="00CA6762">
        <w:t xml:space="preserve"> </w:t>
      </w:r>
      <w:r w:rsidRPr="000C7B32">
        <w:rPr>
          <w:rFonts w:asciiTheme="majorBidi" w:hAnsiTheme="majorBidi" w:cstheme="majorBidi"/>
          <w:sz w:val="20"/>
          <w:szCs w:val="20"/>
        </w:rPr>
        <w:t xml:space="preserve">Potentiometric and thermodynamic studies of azosulfonamide drugs. </w:t>
      </w:r>
      <w:r w:rsidRPr="000C7B32">
        <w:rPr>
          <w:rFonts w:asciiTheme="majorBidi" w:hAnsiTheme="majorBidi" w:cstheme="majorBidi"/>
          <w:i/>
          <w:iCs/>
          <w:sz w:val="20"/>
          <w:szCs w:val="20"/>
        </w:rPr>
        <w:t>Polish Journal of Chemistry,</w:t>
      </w:r>
      <w:r w:rsidRPr="000C7B32">
        <w:rPr>
          <w:rFonts w:asciiTheme="majorBidi" w:hAnsiTheme="majorBidi" w:cstheme="majorBidi"/>
          <w:sz w:val="20"/>
          <w:szCs w:val="20"/>
        </w:rPr>
        <w:t xml:space="preserve"> 80(2): 289</w:t>
      </w:r>
      <w:r>
        <w:rPr>
          <w:rFonts w:asciiTheme="majorBidi" w:hAnsiTheme="majorBidi" w:cstheme="majorBidi"/>
          <w:sz w:val="20"/>
          <w:szCs w:val="20"/>
        </w:rPr>
        <w:t xml:space="preserve"> – </w:t>
      </w:r>
      <w:r w:rsidRPr="00A65BA3">
        <w:rPr>
          <w:rFonts w:asciiTheme="majorBidi" w:hAnsiTheme="majorBidi" w:cstheme="majorBidi"/>
          <w:sz w:val="20"/>
          <w:szCs w:val="20"/>
        </w:rPr>
        <w:t>295.</w:t>
      </w:r>
    </w:p>
    <w:p w:rsidR="00A74A7E" w:rsidRDefault="00B16143" w:rsidP="00B16143">
      <w:pPr>
        <w:pStyle w:val="ListParagraph"/>
        <w:numPr>
          <w:ilvl w:val="0"/>
          <w:numId w:val="3"/>
        </w:numPr>
        <w:spacing w:after="0" w:line="240" w:lineRule="auto"/>
        <w:ind w:left="360" w:hanging="360"/>
        <w:contextualSpacing w:val="0"/>
        <w:jc w:val="both"/>
        <w:rPr>
          <w:rFonts w:asciiTheme="majorBidi" w:hAnsiTheme="majorBidi" w:cstheme="majorBidi"/>
          <w:sz w:val="20"/>
          <w:szCs w:val="20"/>
        </w:rPr>
      </w:pPr>
      <w:r w:rsidRPr="000C7B32">
        <w:rPr>
          <w:rFonts w:asciiTheme="majorBidi" w:hAnsiTheme="majorBidi" w:cstheme="majorBidi"/>
          <w:sz w:val="20"/>
          <w:szCs w:val="20"/>
        </w:rPr>
        <w:t>Martell, A. E. and Motekaitis, R. J. (1989). Determination and use of stability constants</w:t>
      </w:r>
      <w:r>
        <w:rPr>
          <w:rFonts w:asciiTheme="majorBidi" w:hAnsiTheme="majorBidi" w:cstheme="majorBidi"/>
          <w:sz w:val="20"/>
          <w:szCs w:val="20"/>
        </w:rPr>
        <w:t>. Wiley-VCH, New York</w:t>
      </w:r>
      <w:r w:rsidRPr="000C7B32">
        <w:rPr>
          <w:rFonts w:asciiTheme="majorBidi" w:hAnsiTheme="majorBidi" w:cstheme="majorBidi"/>
          <w:sz w:val="20"/>
          <w:szCs w:val="20"/>
        </w:rPr>
        <w:t>, USA.</w:t>
      </w:r>
    </w:p>
    <w:p w:rsidR="00B16143" w:rsidRPr="00B16143" w:rsidRDefault="00B16143" w:rsidP="00B16143">
      <w:pPr>
        <w:spacing w:after="0" w:line="240" w:lineRule="auto"/>
        <w:jc w:val="both"/>
        <w:rPr>
          <w:rFonts w:asciiTheme="majorBidi" w:hAnsiTheme="majorBidi" w:cstheme="majorBidi"/>
          <w:sz w:val="20"/>
          <w:szCs w:val="20"/>
        </w:rPr>
      </w:pPr>
    </w:p>
    <w:sectPr w:rsidR="00B16143" w:rsidRPr="00B16143" w:rsidSect="00CB3840">
      <w:headerReference w:type="even" r:id="rId24"/>
      <w:headerReference w:type="default" r:id="rId25"/>
      <w:footerReference w:type="even" r:id="rId26"/>
      <w:footerReference w:type="default" r:id="rId27"/>
      <w:pgSz w:w="12240" w:h="15840" w:code="1"/>
      <w:pgMar w:top="1800" w:right="1469" w:bottom="1699" w:left="1440" w:header="706" w:footer="706" w:gutter="0"/>
      <w:pgNumType w:start="12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C" w:rsidRDefault="00F0607C" w:rsidP="00FB4C59">
      <w:pPr>
        <w:spacing w:after="0" w:line="240" w:lineRule="auto"/>
      </w:pPr>
      <w:r>
        <w:separator/>
      </w:r>
    </w:p>
  </w:endnote>
  <w:endnote w:type="continuationSeparator" w:id="0">
    <w:p w:rsidR="00F0607C" w:rsidRDefault="00F060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jc w:val="right"/>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A43FF3">
      <w:rPr>
        <w:rFonts w:ascii="Times New Roman" w:hAnsi="Times New Roman"/>
        <w:noProof/>
      </w:rPr>
      <w:t>1274</w:t>
    </w:r>
    <w:r w:rsidRPr="00564848">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A43FF3">
      <w:rPr>
        <w:rFonts w:ascii="Times New Roman" w:hAnsi="Times New Roman"/>
        <w:noProof/>
      </w:rPr>
      <w:t>1275</w:t>
    </w:r>
    <w:r w:rsidRPr="00564848">
      <w:rPr>
        <w:rFonts w:ascii="Times New Roman" w:hAnsi="Times New Roman"/>
        <w:noProof/>
      </w:rPr>
      <w:fldChar w:fldCharType="end"/>
    </w:r>
  </w:p>
  <w:p w:rsidR="00D75B35" w:rsidRPr="00F447A7"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C" w:rsidRDefault="00F0607C" w:rsidP="00FB4C59">
      <w:pPr>
        <w:spacing w:after="0" w:line="240" w:lineRule="auto"/>
      </w:pPr>
      <w:r>
        <w:separator/>
      </w:r>
    </w:p>
  </w:footnote>
  <w:footnote w:type="continuationSeparator" w:id="0">
    <w:p w:rsidR="00F0607C" w:rsidRDefault="00F060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0F3B48">
      <w:rPr>
        <w:rFonts w:ascii="Times New Roman" w:hAnsi="Times New Roman"/>
        <w:i/>
      </w:rPr>
      <w:t xml:space="preserve">Analytical Sciences, Vol </w:t>
    </w:r>
    <w:r w:rsidR="007F62EC">
      <w:rPr>
        <w:rFonts w:ascii="Times New Roman" w:hAnsi="Times New Roman"/>
        <w:i/>
        <w:lang w:val="en-US"/>
      </w:rPr>
      <w:t>21</w:t>
    </w:r>
    <w:r w:rsidR="00CF05FF">
      <w:rPr>
        <w:rFonts w:ascii="Times New Roman" w:hAnsi="Times New Roman"/>
        <w:i/>
      </w:rPr>
      <w:t xml:space="preserve"> </w:t>
    </w:r>
    <w:r w:rsidR="00521EA6">
      <w:rPr>
        <w:rFonts w:ascii="Times New Roman" w:hAnsi="Times New Roman"/>
        <w:i/>
        <w:lang w:val="en-US"/>
      </w:rPr>
      <w:t>No 6</w:t>
    </w:r>
    <w:r w:rsidR="00B25B65">
      <w:rPr>
        <w:rFonts w:ascii="Times New Roman" w:hAnsi="Times New Roman"/>
        <w:i/>
      </w:rPr>
      <w:t xml:space="preserve"> (201</w:t>
    </w:r>
    <w:r w:rsidR="007F62EC">
      <w:rPr>
        <w:rFonts w:ascii="Times New Roman" w:hAnsi="Times New Roman"/>
        <w:i/>
        <w:lang w:val="en-US"/>
      </w:rPr>
      <w:t>7</w:t>
    </w:r>
    <w:r w:rsidRPr="00D75B35">
      <w:rPr>
        <w:rFonts w:ascii="Times New Roman" w:hAnsi="Times New Roman"/>
        <w:i/>
      </w:rPr>
      <w:t xml:space="preserve">): </w:t>
    </w:r>
    <w:r w:rsidR="008B4DF2">
      <w:rPr>
        <w:rFonts w:ascii="Times New Roman" w:hAnsi="Times New Roman"/>
        <w:i/>
        <w:lang w:val="en-US"/>
      </w:rPr>
      <w:t>1266</w:t>
    </w:r>
    <w:r w:rsidR="00AC3460">
      <w:rPr>
        <w:rFonts w:ascii="Times New Roman" w:hAnsi="Times New Roman"/>
        <w:i/>
        <w:lang w:val="en-US"/>
      </w:rPr>
      <w:t xml:space="preserve"> </w:t>
    </w:r>
    <w:r w:rsidR="00212BA4">
      <w:rPr>
        <w:rFonts w:ascii="Times New Roman" w:hAnsi="Times New Roman"/>
        <w:i/>
        <w:lang w:val="en-US"/>
      </w:rPr>
      <w:t>-</w:t>
    </w:r>
    <w:r w:rsidR="008B4DF2">
      <w:rPr>
        <w:rFonts w:ascii="Times New Roman" w:hAnsi="Times New Roman"/>
        <w:i/>
        <w:lang w:val="en-US"/>
      </w:rPr>
      <w:t xml:space="preserve"> 1275</w:t>
    </w:r>
  </w:p>
  <w:p w:rsidR="00CA08DA" w:rsidRPr="00AC3460" w:rsidRDefault="00CA08DA" w:rsidP="00CA08DA">
    <w:pPr>
      <w:pStyle w:val="Header"/>
      <w:jc w:val="right"/>
      <w:rPr>
        <w:rFonts w:ascii="Times New Roman" w:hAnsi="Times New Roman"/>
        <w:i/>
        <w:lang w:val="en-US"/>
      </w:rPr>
    </w:pPr>
    <w:r>
      <w:rPr>
        <w:rFonts w:ascii="Times New Roman" w:hAnsi="Times New Roman"/>
        <w:i/>
        <w:lang w:val="en-US"/>
      </w:rPr>
      <w:t>DOI: http</w:t>
    </w:r>
    <w:r w:rsidR="005D447F">
      <w:rPr>
        <w:rFonts w:ascii="Times New Roman" w:hAnsi="Times New Roman"/>
        <w:i/>
        <w:lang w:val="en-US"/>
      </w:rPr>
      <w:t>s://</w:t>
    </w:r>
    <w:r w:rsidR="00521EA6">
      <w:rPr>
        <w:rFonts w:ascii="Times New Roman" w:hAnsi="Times New Roman"/>
        <w:i/>
        <w:lang w:val="en-US"/>
      </w:rPr>
      <w:t>doi.org/10.17576/mjas-2017-2106</w:t>
    </w:r>
    <w:r w:rsidR="008B4DF2">
      <w:rPr>
        <w:rFonts w:ascii="Times New Roman" w:hAnsi="Times New Roman"/>
        <w:i/>
        <w:lang w:val="en-US"/>
      </w:rPr>
      <w:t>-08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D1" w:rsidRPr="006863D1" w:rsidRDefault="00EC30F9" w:rsidP="006863D1">
    <w:pPr>
      <w:pStyle w:val="PaperTitle"/>
      <w:spacing w:line="240" w:lineRule="auto"/>
      <w:ind w:left="3600" w:hanging="3600"/>
      <w:jc w:val="left"/>
      <w:rPr>
        <w:rFonts w:asciiTheme="majorBidi" w:hAnsiTheme="majorBidi" w:cstheme="majorBidi"/>
        <w:b w:val="0"/>
        <w:color w:val="auto"/>
        <w:sz w:val="20"/>
        <w:szCs w:val="20"/>
        <w:lang w:val="en-GB"/>
      </w:rPr>
    </w:pPr>
    <w:r>
      <w:rPr>
        <w:b w:val="0"/>
        <w:sz w:val="20"/>
        <w:szCs w:val="20"/>
      </w:rPr>
      <w:t>Gamal Abdelaziz &amp; Goma</w:t>
    </w:r>
    <w:r w:rsidR="006863D1">
      <w:rPr>
        <w:b w:val="0"/>
        <w:sz w:val="20"/>
        <w:szCs w:val="20"/>
      </w:rPr>
      <w:t xml:space="preserve">a Abdelgawad </w:t>
    </w:r>
    <w:r w:rsidR="008E6968" w:rsidRPr="006863D1">
      <w:rPr>
        <w:sz w:val="20"/>
        <w:szCs w:val="20"/>
      </w:rPr>
      <w:t xml:space="preserve">:  </w:t>
    </w:r>
    <w:r w:rsidR="006863D1">
      <w:rPr>
        <w:sz w:val="20"/>
        <w:szCs w:val="20"/>
      </w:rPr>
      <w:tab/>
    </w:r>
    <w:r w:rsidR="006863D1" w:rsidRPr="006863D1">
      <w:rPr>
        <w:rFonts w:asciiTheme="majorBidi" w:hAnsiTheme="majorBidi" w:cstheme="majorBidi"/>
        <w:b w:val="0"/>
        <w:color w:val="auto"/>
        <w:sz w:val="20"/>
        <w:szCs w:val="20"/>
      </w:rPr>
      <w:t>POTENTIOMETRIC STUDY OF RHENIUM(V)</w:t>
    </w:r>
    <w:r w:rsidR="006863D1" w:rsidRPr="006863D1">
      <w:rPr>
        <w:rFonts w:asciiTheme="majorBidi" w:hAnsiTheme="majorBidi" w:cstheme="majorBidi"/>
        <w:b w:val="0"/>
        <w:color w:val="auto"/>
        <w:sz w:val="20"/>
        <w:szCs w:val="20"/>
        <w:vertAlign w:val="superscript"/>
      </w:rPr>
      <w:t xml:space="preserve"> </w:t>
    </w:r>
    <w:r w:rsidR="006863D1" w:rsidRPr="006863D1">
      <w:rPr>
        <w:rFonts w:asciiTheme="majorBidi" w:hAnsiTheme="majorBidi" w:cstheme="majorBidi"/>
        <w:b w:val="0"/>
        <w:color w:val="auto"/>
        <w:sz w:val="20"/>
        <w:szCs w:val="20"/>
      </w:rPr>
      <w:t>COMPLEX FORMATION WITH AZATHIOPRINE AND CEFTRIAXONE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CA3C39"/>
    <w:multiLevelType w:val="hybridMultilevel"/>
    <w:tmpl w:val="646E3F16"/>
    <w:lvl w:ilvl="0" w:tplc="B238B61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D5EF6"/>
    <w:multiLevelType w:val="multilevel"/>
    <w:tmpl w:val="AEA204D8"/>
    <w:lvl w:ilvl="0">
      <w:start w:val="1"/>
      <w:numFmt w:val="decimal"/>
      <w:pStyle w:val="Papersection"/>
      <w:lvlText w:val="%1."/>
      <w:lvlJc w:val="left"/>
      <w:pPr>
        <w:ind w:left="0" w:firstLine="0"/>
      </w:pPr>
      <w:rPr>
        <w:rFonts w:hint="default"/>
        <w:b/>
        <w:bCs w:val="0"/>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0E3E"/>
    <w:rsid w:val="000029F0"/>
    <w:rsid w:val="00016385"/>
    <w:rsid w:val="00065B67"/>
    <w:rsid w:val="00084936"/>
    <w:rsid w:val="000C49FF"/>
    <w:rsid w:val="000F3B48"/>
    <w:rsid w:val="000F77DA"/>
    <w:rsid w:val="001068E8"/>
    <w:rsid w:val="00117BCD"/>
    <w:rsid w:val="00190580"/>
    <w:rsid w:val="001C1688"/>
    <w:rsid w:val="001D035A"/>
    <w:rsid w:val="001D3855"/>
    <w:rsid w:val="001D6F2C"/>
    <w:rsid w:val="001D7AE4"/>
    <w:rsid w:val="001E4125"/>
    <w:rsid w:val="00212BA4"/>
    <w:rsid w:val="002A333B"/>
    <w:rsid w:val="002B188F"/>
    <w:rsid w:val="002B1B66"/>
    <w:rsid w:val="002B3BD8"/>
    <w:rsid w:val="002F121E"/>
    <w:rsid w:val="002F3F91"/>
    <w:rsid w:val="00304767"/>
    <w:rsid w:val="00304B34"/>
    <w:rsid w:val="00311F7A"/>
    <w:rsid w:val="00322C77"/>
    <w:rsid w:val="00332B23"/>
    <w:rsid w:val="00361BAF"/>
    <w:rsid w:val="00367D1F"/>
    <w:rsid w:val="003B09DF"/>
    <w:rsid w:val="003D585B"/>
    <w:rsid w:val="003E7DA6"/>
    <w:rsid w:val="003F0DF7"/>
    <w:rsid w:val="003F12FF"/>
    <w:rsid w:val="004169CC"/>
    <w:rsid w:val="004760D4"/>
    <w:rsid w:val="00494C46"/>
    <w:rsid w:val="00495563"/>
    <w:rsid w:val="004E0F32"/>
    <w:rsid w:val="00502641"/>
    <w:rsid w:val="00521EA6"/>
    <w:rsid w:val="00547035"/>
    <w:rsid w:val="00564848"/>
    <w:rsid w:val="005C6768"/>
    <w:rsid w:val="005D447F"/>
    <w:rsid w:val="0063466E"/>
    <w:rsid w:val="00634C25"/>
    <w:rsid w:val="006416AB"/>
    <w:rsid w:val="006768E9"/>
    <w:rsid w:val="006863D1"/>
    <w:rsid w:val="00687982"/>
    <w:rsid w:val="006A0098"/>
    <w:rsid w:val="006A7B41"/>
    <w:rsid w:val="006B3EC8"/>
    <w:rsid w:val="006D5F1D"/>
    <w:rsid w:val="006D695E"/>
    <w:rsid w:val="007252BD"/>
    <w:rsid w:val="00725A6A"/>
    <w:rsid w:val="00736F02"/>
    <w:rsid w:val="007943F3"/>
    <w:rsid w:val="007A3EF4"/>
    <w:rsid w:val="007A738C"/>
    <w:rsid w:val="007B1349"/>
    <w:rsid w:val="007C0D77"/>
    <w:rsid w:val="007D5FFD"/>
    <w:rsid w:val="007E25BD"/>
    <w:rsid w:val="007F62EC"/>
    <w:rsid w:val="00802C35"/>
    <w:rsid w:val="0082181A"/>
    <w:rsid w:val="008A2CB4"/>
    <w:rsid w:val="008B2A70"/>
    <w:rsid w:val="008B470E"/>
    <w:rsid w:val="008B4DF2"/>
    <w:rsid w:val="008E1211"/>
    <w:rsid w:val="008E1270"/>
    <w:rsid w:val="008E5BBF"/>
    <w:rsid w:val="008E6968"/>
    <w:rsid w:val="00911902"/>
    <w:rsid w:val="009A20BD"/>
    <w:rsid w:val="009F6619"/>
    <w:rsid w:val="00A11BD9"/>
    <w:rsid w:val="00A14DB9"/>
    <w:rsid w:val="00A43FF3"/>
    <w:rsid w:val="00A4762A"/>
    <w:rsid w:val="00A74A7E"/>
    <w:rsid w:val="00AA24B7"/>
    <w:rsid w:val="00AB5FD9"/>
    <w:rsid w:val="00AC3460"/>
    <w:rsid w:val="00AD1B8A"/>
    <w:rsid w:val="00AE713F"/>
    <w:rsid w:val="00B1121C"/>
    <w:rsid w:val="00B16143"/>
    <w:rsid w:val="00B25B65"/>
    <w:rsid w:val="00B2770A"/>
    <w:rsid w:val="00B314AD"/>
    <w:rsid w:val="00B75BF6"/>
    <w:rsid w:val="00BA1F7B"/>
    <w:rsid w:val="00BA3708"/>
    <w:rsid w:val="00BB58AF"/>
    <w:rsid w:val="00BD206A"/>
    <w:rsid w:val="00BE7C30"/>
    <w:rsid w:val="00C055BF"/>
    <w:rsid w:val="00C20611"/>
    <w:rsid w:val="00C2226A"/>
    <w:rsid w:val="00C239CA"/>
    <w:rsid w:val="00C81032"/>
    <w:rsid w:val="00C94D92"/>
    <w:rsid w:val="00C97340"/>
    <w:rsid w:val="00CA08DA"/>
    <w:rsid w:val="00CA513F"/>
    <w:rsid w:val="00CB3840"/>
    <w:rsid w:val="00CC3744"/>
    <w:rsid w:val="00CF05FF"/>
    <w:rsid w:val="00D2678D"/>
    <w:rsid w:val="00D270C8"/>
    <w:rsid w:val="00D340BB"/>
    <w:rsid w:val="00D505D5"/>
    <w:rsid w:val="00D65E94"/>
    <w:rsid w:val="00D75B35"/>
    <w:rsid w:val="00D76E09"/>
    <w:rsid w:val="00D9736F"/>
    <w:rsid w:val="00D9792A"/>
    <w:rsid w:val="00DA3601"/>
    <w:rsid w:val="00DD377F"/>
    <w:rsid w:val="00DF601B"/>
    <w:rsid w:val="00E25547"/>
    <w:rsid w:val="00E3287E"/>
    <w:rsid w:val="00E66197"/>
    <w:rsid w:val="00E77E5A"/>
    <w:rsid w:val="00EB00DB"/>
    <w:rsid w:val="00EC30F9"/>
    <w:rsid w:val="00F01BA2"/>
    <w:rsid w:val="00F0607C"/>
    <w:rsid w:val="00F31093"/>
    <w:rsid w:val="00F35535"/>
    <w:rsid w:val="00F412AF"/>
    <w:rsid w:val="00F43667"/>
    <w:rsid w:val="00F447A7"/>
    <w:rsid w:val="00FB4C59"/>
    <w:rsid w:val="00FC7191"/>
    <w:rsid w:val="00FE0572"/>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next w:val="PaperAuthor"/>
    <w:qFormat/>
    <w:rsid w:val="00D2678D"/>
    <w:pPr>
      <w:spacing w:line="480" w:lineRule="auto"/>
      <w:jc w:val="center"/>
    </w:pPr>
    <w:rPr>
      <w:rFonts w:ascii="Times New Roman" w:eastAsiaTheme="minorHAnsi" w:hAnsi="Times New Roman" w:cstheme="minorBidi"/>
      <w:b/>
      <w:color w:val="000000" w:themeColor="text1"/>
      <w:sz w:val="24"/>
      <w:szCs w:val="22"/>
    </w:rPr>
  </w:style>
  <w:style w:type="paragraph" w:customStyle="1" w:styleId="PaperAuthor">
    <w:name w:val="Paper Author"/>
    <w:next w:val="Affiliation"/>
    <w:qFormat/>
    <w:rsid w:val="00D2678D"/>
    <w:pPr>
      <w:spacing w:line="480" w:lineRule="auto"/>
      <w:jc w:val="center"/>
    </w:pPr>
    <w:rPr>
      <w:rFonts w:ascii="Times New Roman" w:eastAsiaTheme="minorHAnsi" w:hAnsi="Times New Roman" w:cstheme="minorBidi"/>
      <w:color w:val="000000" w:themeColor="text1"/>
      <w:sz w:val="24"/>
      <w:szCs w:val="22"/>
    </w:rPr>
  </w:style>
  <w:style w:type="paragraph" w:customStyle="1" w:styleId="Affiliation">
    <w:name w:val="Affiliation"/>
    <w:qFormat/>
    <w:rsid w:val="00D2678D"/>
    <w:pPr>
      <w:spacing w:line="480" w:lineRule="auto"/>
      <w:jc w:val="center"/>
    </w:pPr>
    <w:rPr>
      <w:rFonts w:ascii="Times New Roman" w:eastAsiaTheme="minorHAnsi" w:hAnsi="Times New Roman" w:cstheme="minorBidi"/>
      <w:color w:val="000000" w:themeColor="text1"/>
      <w:sz w:val="24"/>
      <w:szCs w:val="22"/>
    </w:rPr>
  </w:style>
  <w:style w:type="character" w:styleId="Hyperlink">
    <w:name w:val="Hyperlink"/>
    <w:basedOn w:val="DefaultParagraphFont"/>
    <w:uiPriority w:val="99"/>
    <w:unhideWhenUsed/>
    <w:rsid w:val="00D2678D"/>
    <w:rPr>
      <w:rFonts w:ascii="Times New Roman" w:hAnsi="Times New Roman"/>
      <w:color w:val="000000" w:themeColor="text1"/>
      <w:sz w:val="24"/>
      <w:u w:val="single"/>
    </w:rPr>
  </w:style>
  <w:style w:type="paragraph" w:customStyle="1" w:styleId="Abstract">
    <w:name w:val="Abstract"/>
    <w:qFormat/>
    <w:rsid w:val="00D2678D"/>
    <w:pPr>
      <w:spacing w:line="480" w:lineRule="auto"/>
      <w:jc w:val="both"/>
    </w:pPr>
    <w:rPr>
      <w:rFonts w:ascii="Times New Roman" w:eastAsiaTheme="minorHAnsi" w:hAnsi="Times New Roman" w:cstheme="minorBidi"/>
      <w:color w:val="000000" w:themeColor="text1"/>
      <w:sz w:val="24"/>
      <w:szCs w:val="22"/>
    </w:rPr>
  </w:style>
  <w:style w:type="paragraph" w:customStyle="1" w:styleId="Keyword">
    <w:name w:val="Key word"/>
    <w:qFormat/>
    <w:rsid w:val="00D2678D"/>
    <w:pPr>
      <w:spacing w:line="480" w:lineRule="auto"/>
      <w:jc w:val="both"/>
    </w:pPr>
    <w:rPr>
      <w:rFonts w:ascii="Times New Roman" w:eastAsiaTheme="minorHAnsi" w:hAnsi="Times New Roman" w:cstheme="minorBidi"/>
      <w:color w:val="000000" w:themeColor="text1"/>
      <w:sz w:val="24"/>
      <w:szCs w:val="22"/>
    </w:rPr>
  </w:style>
  <w:style w:type="character" w:customStyle="1" w:styleId="maintitle">
    <w:name w:val="maintitle"/>
    <w:rsid w:val="00D2678D"/>
  </w:style>
  <w:style w:type="paragraph" w:customStyle="1" w:styleId="Papersection">
    <w:name w:val="Paper section"/>
    <w:next w:val="Papermain"/>
    <w:qFormat/>
    <w:rsid w:val="00D2678D"/>
    <w:pPr>
      <w:numPr>
        <w:numId w:val="2"/>
      </w:numPr>
      <w:spacing w:line="480" w:lineRule="auto"/>
    </w:pPr>
    <w:rPr>
      <w:rFonts w:ascii="Times New Roman" w:eastAsiaTheme="minorHAnsi" w:hAnsi="Times New Roman" w:cstheme="minorBidi"/>
      <w:b/>
      <w:color w:val="000000" w:themeColor="text1"/>
      <w:sz w:val="24"/>
      <w:szCs w:val="22"/>
    </w:rPr>
  </w:style>
  <w:style w:type="paragraph" w:customStyle="1" w:styleId="Papersubsection">
    <w:name w:val="Paper subsection"/>
    <w:next w:val="Papermain"/>
    <w:qFormat/>
    <w:rsid w:val="00D2678D"/>
    <w:pPr>
      <w:numPr>
        <w:ilvl w:val="1"/>
        <w:numId w:val="2"/>
      </w:numPr>
      <w:spacing w:line="480" w:lineRule="auto"/>
    </w:pPr>
    <w:rPr>
      <w:rFonts w:ascii="Times New Roman" w:eastAsiaTheme="minorHAnsi" w:hAnsi="Times New Roman" w:cstheme="minorBidi"/>
      <w:b/>
      <w:color w:val="000000" w:themeColor="text1"/>
      <w:sz w:val="24"/>
      <w:szCs w:val="22"/>
    </w:rPr>
  </w:style>
  <w:style w:type="paragraph" w:customStyle="1" w:styleId="Papermain">
    <w:name w:val="Paper main"/>
    <w:qFormat/>
    <w:rsid w:val="00D2678D"/>
    <w:pPr>
      <w:spacing w:line="480" w:lineRule="auto"/>
      <w:jc w:val="both"/>
    </w:pPr>
    <w:rPr>
      <w:rFonts w:ascii="Times New Roman" w:eastAsiaTheme="minorHAnsi" w:hAnsi="Times New Roman" w:cstheme="minorBidi"/>
      <w:color w:val="000000" w:themeColor="text1"/>
      <w:sz w:val="24"/>
      <w:szCs w:val="22"/>
    </w:rPr>
  </w:style>
  <w:style w:type="character" w:customStyle="1" w:styleId="publication-meta-journal">
    <w:name w:val="publication-meta-journal"/>
    <w:rsid w:val="00D26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 Title"/>
    <w:next w:val="PaperAuthor"/>
    <w:qFormat/>
    <w:rsid w:val="00D2678D"/>
    <w:pPr>
      <w:spacing w:line="480" w:lineRule="auto"/>
      <w:jc w:val="center"/>
    </w:pPr>
    <w:rPr>
      <w:rFonts w:ascii="Times New Roman" w:eastAsiaTheme="minorHAnsi" w:hAnsi="Times New Roman" w:cstheme="minorBidi"/>
      <w:b/>
      <w:color w:val="000000" w:themeColor="text1"/>
      <w:sz w:val="24"/>
      <w:szCs w:val="22"/>
    </w:rPr>
  </w:style>
  <w:style w:type="paragraph" w:customStyle="1" w:styleId="PaperAuthor">
    <w:name w:val="Paper Author"/>
    <w:next w:val="Affiliation"/>
    <w:qFormat/>
    <w:rsid w:val="00D2678D"/>
    <w:pPr>
      <w:spacing w:line="480" w:lineRule="auto"/>
      <w:jc w:val="center"/>
    </w:pPr>
    <w:rPr>
      <w:rFonts w:ascii="Times New Roman" w:eastAsiaTheme="minorHAnsi" w:hAnsi="Times New Roman" w:cstheme="minorBidi"/>
      <w:color w:val="000000" w:themeColor="text1"/>
      <w:sz w:val="24"/>
      <w:szCs w:val="22"/>
    </w:rPr>
  </w:style>
  <w:style w:type="paragraph" w:customStyle="1" w:styleId="Affiliation">
    <w:name w:val="Affiliation"/>
    <w:qFormat/>
    <w:rsid w:val="00D2678D"/>
    <w:pPr>
      <w:spacing w:line="480" w:lineRule="auto"/>
      <w:jc w:val="center"/>
    </w:pPr>
    <w:rPr>
      <w:rFonts w:ascii="Times New Roman" w:eastAsiaTheme="minorHAnsi" w:hAnsi="Times New Roman" w:cstheme="minorBidi"/>
      <w:color w:val="000000" w:themeColor="text1"/>
      <w:sz w:val="24"/>
      <w:szCs w:val="22"/>
    </w:rPr>
  </w:style>
  <w:style w:type="character" w:styleId="Hyperlink">
    <w:name w:val="Hyperlink"/>
    <w:basedOn w:val="DefaultParagraphFont"/>
    <w:uiPriority w:val="99"/>
    <w:unhideWhenUsed/>
    <w:rsid w:val="00D2678D"/>
    <w:rPr>
      <w:rFonts w:ascii="Times New Roman" w:hAnsi="Times New Roman"/>
      <w:color w:val="000000" w:themeColor="text1"/>
      <w:sz w:val="24"/>
      <w:u w:val="single"/>
    </w:rPr>
  </w:style>
  <w:style w:type="paragraph" w:customStyle="1" w:styleId="Abstract">
    <w:name w:val="Abstract"/>
    <w:qFormat/>
    <w:rsid w:val="00D2678D"/>
    <w:pPr>
      <w:spacing w:line="480" w:lineRule="auto"/>
      <w:jc w:val="both"/>
    </w:pPr>
    <w:rPr>
      <w:rFonts w:ascii="Times New Roman" w:eastAsiaTheme="minorHAnsi" w:hAnsi="Times New Roman" w:cstheme="minorBidi"/>
      <w:color w:val="000000" w:themeColor="text1"/>
      <w:sz w:val="24"/>
      <w:szCs w:val="22"/>
    </w:rPr>
  </w:style>
  <w:style w:type="paragraph" w:customStyle="1" w:styleId="Keyword">
    <w:name w:val="Key word"/>
    <w:qFormat/>
    <w:rsid w:val="00D2678D"/>
    <w:pPr>
      <w:spacing w:line="480" w:lineRule="auto"/>
      <w:jc w:val="both"/>
    </w:pPr>
    <w:rPr>
      <w:rFonts w:ascii="Times New Roman" w:eastAsiaTheme="minorHAnsi" w:hAnsi="Times New Roman" w:cstheme="minorBidi"/>
      <w:color w:val="000000" w:themeColor="text1"/>
      <w:sz w:val="24"/>
      <w:szCs w:val="22"/>
    </w:rPr>
  </w:style>
  <w:style w:type="character" w:customStyle="1" w:styleId="maintitle">
    <w:name w:val="maintitle"/>
    <w:rsid w:val="00D2678D"/>
  </w:style>
  <w:style w:type="paragraph" w:customStyle="1" w:styleId="Papersection">
    <w:name w:val="Paper section"/>
    <w:next w:val="Papermain"/>
    <w:qFormat/>
    <w:rsid w:val="00D2678D"/>
    <w:pPr>
      <w:numPr>
        <w:numId w:val="2"/>
      </w:numPr>
      <w:spacing w:line="480" w:lineRule="auto"/>
    </w:pPr>
    <w:rPr>
      <w:rFonts w:ascii="Times New Roman" w:eastAsiaTheme="minorHAnsi" w:hAnsi="Times New Roman" w:cstheme="minorBidi"/>
      <w:b/>
      <w:color w:val="000000" w:themeColor="text1"/>
      <w:sz w:val="24"/>
      <w:szCs w:val="22"/>
    </w:rPr>
  </w:style>
  <w:style w:type="paragraph" w:customStyle="1" w:styleId="Papersubsection">
    <w:name w:val="Paper subsection"/>
    <w:next w:val="Papermain"/>
    <w:qFormat/>
    <w:rsid w:val="00D2678D"/>
    <w:pPr>
      <w:numPr>
        <w:ilvl w:val="1"/>
        <w:numId w:val="2"/>
      </w:numPr>
      <w:spacing w:line="480" w:lineRule="auto"/>
    </w:pPr>
    <w:rPr>
      <w:rFonts w:ascii="Times New Roman" w:eastAsiaTheme="minorHAnsi" w:hAnsi="Times New Roman" w:cstheme="minorBidi"/>
      <w:b/>
      <w:color w:val="000000" w:themeColor="text1"/>
      <w:sz w:val="24"/>
      <w:szCs w:val="22"/>
    </w:rPr>
  </w:style>
  <w:style w:type="paragraph" w:customStyle="1" w:styleId="Papermain">
    <w:name w:val="Paper main"/>
    <w:qFormat/>
    <w:rsid w:val="00D2678D"/>
    <w:pPr>
      <w:spacing w:line="480" w:lineRule="auto"/>
      <w:jc w:val="both"/>
    </w:pPr>
    <w:rPr>
      <w:rFonts w:ascii="Times New Roman" w:eastAsiaTheme="minorHAnsi" w:hAnsi="Times New Roman" w:cstheme="minorBidi"/>
      <w:color w:val="000000" w:themeColor="text1"/>
      <w:sz w:val="24"/>
      <w:szCs w:val="22"/>
    </w:rPr>
  </w:style>
  <w:style w:type="character" w:customStyle="1" w:styleId="publication-meta-journal">
    <w:name w:val="publication-meta-journal"/>
    <w:rsid w:val="00D2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036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emf"/><Relationship Id="rId18" Type="http://schemas.openxmlformats.org/officeDocument/2006/relationships/image" Target="media/image5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yperlink" Target="http://en.wikipedia.org/wiki/Octahedr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9F90-5ECD-47A0-A6A7-2443B745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4071</Words>
  <Characters>22630</Characters>
  <Application>Microsoft Office Word</Application>
  <DocSecurity>0</DocSecurity>
  <Lines>424</Lines>
  <Paragraphs>177</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10</cp:revision>
  <cp:lastPrinted>2017-12-18T03:30:00Z</cp:lastPrinted>
  <dcterms:created xsi:type="dcterms:W3CDTF">2017-11-20T22:56:00Z</dcterms:created>
  <dcterms:modified xsi:type="dcterms:W3CDTF">2017-12-18T03:30:00Z</dcterms:modified>
</cp:coreProperties>
</file>