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BF0" w:rsidRDefault="00560313" w:rsidP="00386CC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6CC4">
        <w:rPr>
          <w:rFonts w:ascii="Times New Roman" w:hAnsi="Times New Roman" w:cs="Times New Roman"/>
          <w:color w:val="auto"/>
          <w:sz w:val="28"/>
          <w:szCs w:val="28"/>
        </w:rPr>
        <w:t xml:space="preserve">CALCIUM </w:t>
      </w:r>
      <w:r w:rsidR="00A30D37" w:rsidRPr="00386CC4">
        <w:rPr>
          <w:rFonts w:ascii="Times New Roman" w:hAnsi="Times New Roman" w:cs="Times New Roman"/>
          <w:color w:val="auto"/>
          <w:sz w:val="28"/>
          <w:szCs w:val="28"/>
        </w:rPr>
        <w:t>CONTE</w:t>
      </w:r>
      <w:bookmarkStart w:id="0" w:name="_GoBack"/>
      <w:bookmarkEnd w:id="0"/>
      <w:r w:rsidR="00A30D37" w:rsidRPr="00386CC4">
        <w:rPr>
          <w:rFonts w:ascii="Times New Roman" w:hAnsi="Times New Roman" w:cs="Times New Roman"/>
          <w:color w:val="auto"/>
          <w:sz w:val="28"/>
          <w:szCs w:val="28"/>
        </w:rPr>
        <w:t xml:space="preserve">NT OF </w:t>
      </w:r>
      <w:r w:rsidRPr="00386CC4">
        <w:rPr>
          <w:rFonts w:ascii="Times New Roman" w:hAnsi="Times New Roman" w:cs="Times New Roman"/>
          <w:color w:val="auto"/>
          <w:sz w:val="28"/>
          <w:szCs w:val="28"/>
        </w:rPr>
        <w:t xml:space="preserve">LIME MORTARS </w:t>
      </w:r>
      <w:r w:rsidR="007B3016" w:rsidRPr="00386CC4">
        <w:rPr>
          <w:rFonts w:ascii="Times New Roman" w:hAnsi="Times New Roman" w:cs="Times New Roman"/>
          <w:color w:val="auto"/>
          <w:sz w:val="28"/>
          <w:szCs w:val="28"/>
        </w:rPr>
        <w:t>FROM</w:t>
      </w:r>
      <w:r w:rsidR="00B70E91" w:rsidRPr="00386C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1769" w:rsidRPr="00386CC4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621769" w:rsidRPr="00386CC4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th</w:t>
      </w:r>
      <w:r w:rsidR="00CF1DEF" w:rsidRPr="00386CC4">
        <w:rPr>
          <w:rFonts w:ascii="Times New Roman" w:hAnsi="Times New Roman" w:cs="Times New Roman"/>
          <w:color w:val="auto"/>
          <w:sz w:val="28"/>
          <w:szCs w:val="28"/>
        </w:rPr>
        <w:t xml:space="preserve"> CENTURY </w:t>
      </w:r>
      <w:r w:rsidRPr="00386CC4">
        <w:rPr>
          <w:rFonts w:ascii="Times New Roman" w:hAnsi="Times New Roman" w:cs="Times New Roman"/>
          <w:color w:val="auto"/>
          <w:sz w:val="28"/>
          <w:szCs w:val="28"/>
        </w:rPr>
        <w:t>CHURCH RUINS IN THE PHILIPPINES</w:t>
      </w:r>
      <w:r w:rsidR="00B70E91" w:rsidRPr="00386CC4">
        <w:rPr>
          <w:rFonts w:ascii="Times New Roman" w:hAnsi="Times New Roman" w:cs="Times New Roman"/>
          <w:color w:val="auto"/>
          <w:sz w:val="28"/>
          <w:szCs w:val="28"/>
        </w:rPr>
        <w:t xml:space="preserve"> USING</w:t>
      </w:r>
      <w:r w:rsidR="00851889" w:rsidRPr="00386C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F55D0" w:rsidRPr="00386CC4" w:rsidRDefault="009B7A41" w:rsidP="00386CC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6CC4">
        <w:rPr>
          <w:rFonts w:ascii="Times New Roman" w:hAnsi="Times New Roman" w:cs="Times New Roman"/>
          <w:color w:val="auto"/>
          <w:sz w:val="28"/>
          <w:szCs w:val="28"/>
        </w:rPr>
        <w:t>VOLUMETRIC ANALYSIS</w:t>
      </w:r>
    </w:p>
    <w:p w:rsidR="00A74059" w:rsidRPr="00A74059" w:rsidRDefault="000B2E47" w:rsidP="00C80BF0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ms-MY"/>
        </w:rPr>
      </w:pPr>
      <w:r w:rsidRPr="00386CC4">
        <w:rPr>
          <w:rFonts w:ascii="Times New Roman" w:hAnsi="Times New Roman" w:cs="Times New Roman"/>
        </w:rPr>
        <w:br/>
      </w:r>
      <w:r w:rsidR="00C80BF0" w:rsidRPr="00A7405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ms-MY"/>
        </w:rPr>
        <w:t xml:space="preserve">(Kandungan Kalsium </w:t>
      </w:r>
      <w:r w:rsidR="00A74059" w:rsidRPr="00A7405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ms-MY"/>
        </w:rPr>
        <w:t xml:space="preserve">Mortar </w:t>
      </w:r>
      <w:r w:rsidR="00C80BF0" w:rsidRPr="00A7405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ms-MY"/>
        </w:rPr>
        <w:t xml:space="preserve">Batu Kapur dari Runtuhan Gereja Abad Ke 19 </w:t>
      </w:r>
    </w:p>
    <w:p w:rsidR="000B2E47" w:rsidRPr="00A74059" w:rsidRDefault="00A74059" w:rsidP="00A74059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ms-MY"/>
        </w:rPr>
      </w:pPr>
      <w:r w:rsidRPr="00A7405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ms-MY"/>
        </w:rPr>
        <w:t>di Filipina Menggunakan</w:t>
      </w:r>
      <w:r w:rsidR="00C80BF0" w:rsidRPr="00A7405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ms-MY"/>
        </w:rPr>
        <w:t xml:space="preserve"> Analisis Volumetrik) </w:t>
      </w:r>
    </w:p>
    <w:p w:rsidR="001869AA" w:rsidRPr="00A74059" w:rsidRDefault="001869AA" w:rsidP="008C3BC0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</w:pPr>
    </w:p>
    <w:p w:rsidR="00243C3B" w:rsidRPr="00386CC4" w:rsidRDefault="008E0BFF" w:rsidP="00386C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>Jan-Michael C. Cayme</w:t>
      </w:r>
      <w:r w:rsidR="00AC2AA2" w:rsidRPr="00386CC4">
        <w:rPr>
          <w:rFonts w:ascii="Times New Roman" w:hAnsi="Times New Roman" w:cs="Times New Roman"/>
          <w:sz w:val="20"/>
          <w:szCs w:val="20"/>
        </w:rPr>
        <w:t>*</w:t>
      </w:r>
      <w:r w:rsidR="001A536C" w:rsidRPr="00386CC4">
        <w:rPr>
          <w:rFonts w:ascii="Times New Roman" w:hAnsi="Times New Roman" w:cs="Times New Roman"/>
          <w:sz w:val="20"/>
          <w:szCs w:val="20"/>
        </w:rPr>
        <w:t xml:space="preserve"> and Aniano </w:t>
      </w:r>
      <w:r w:rsidR="00AC2AA2" w:rsidRPr="00386CC4">
        <w:rPr>
          <w:rFonts w:ascii="Times New Roman" w:hAnsi="Times New Roman" w:cs="Times New Roman"/>
          <w:sz w:val="20"/>
          <w:szCs w:val="20"/>
        </w:rPr>
        <w:t xml:space="preserve">N. </w:t>
      </w:r>
      <w:r w:rsidR="001A536C" w:rsidRPr="00386CC4">
        <w:rPr>
          <w:rFonts w:ascii="Times New Roman" w:hAnsi="Times New Roman" w:cs="Times New Roman"/>
          <w:sz w:val="20"/>
          <w:szCs w:val="20"/>
        </w:rPr>
        <w:t>Asor, Jr</w:t>
      </w:r>
    </w:p>
    <w:p w:rsidR="00BC1807" w:rsidRPr="00386CC4" w:rsidRDefault="00BC1807" w:rsidP="002E3E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FC1" w:rsidRPr="00386CC4" w:rsidRDefault="008E0BFF" w:rsidP="00764E1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86CC4">
        <w:rPr>
          <w:rFonts w:ascii="Times New Roman" w:hAnsi="Times New Roman" w:cs="Times New Roman"/>
          <w:i/>
          <w:sz w:val="18"/>
          <w:szCs w:val="18"/>
        </w:rPr>
        <w:t xml:space="preserve">Chemistry Department, </w:t>
      </w:r>
      <w:r w:rsidR="005C1999" w:rsidRPr="00386CC4">
        <w:rPr>
          <w:rFonts w:ascii="Times New Roman" w:hAnsi="Times New Roman" w:cs="Times New Roman"/>
          <w:i/>
          <w:sz w:val="18"/>
          <w:szCs w:val="18"/>
        </w:rPr>
        <w:t>College of Science</w:t>
      </w:r>
    </w:p>
    <w:p w:rsidR="00243C3B" w:rsidRPr="00386CC4" w:rsidRDefault="005C1999" w:rsidP="00256A0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86CC4">
        <w:rPr>
          <w:rFonts w:ascii="Times New Roman" w:hAnsi="Times New Roman" w:cs="Times New Roman"/>
          <w:i/>
          <w:sz w:val="18"/>
          <w:szCs w:val="18"/>
        </w:rPr>
        <w:t>De La Salle University</w:t>
      </w:r>
      <w:r w:rsidR="00256A02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8E0BFF" w:rsidRPr="00386CC4">
        <w:rPr>
          <w:rFonts w:ascii="Times New Roman" w:hAnsi="Times New Roman" w:cs="Times New Roman"/>
          <w:i/>
          <w:sz w:val="18"/>
          <w:szCs w:val="18"/>
        </w:rPr>
        <w:t>2401 Taft Avenue, Malate, Metro Manila, Philippines</w:t>
      </w:r>
    </w:p>
    <w:p w:rsidR="00243C3B" w:rsidRPr="00386CC4" w:rsidRDefault="00243C3B" w:rsidP="002E3E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529B4" w:rsidRDefault="00BC1807" w:rsidP="00256A0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86CC4">
        <w:rPr>
          <w:rFonts w:ascii="Times New Roman" w:hAnsi="Times New Roman" w:cs="Times New Roman"/>
          <w:i/>
          <w:sz w:val="18"/>
          <w:szCs w:val="18"/>
        </w:rPr>
        <w:t>*</w:t>
      </w:r>
      <w:r w:rsidR="00E30FC1" w:rsidRPr="00386CC4">
        <w:rPr>
          <w:rFonts w:ascii="Times New Roman" w:hAnsi="Times New Roman" w:cs="Times New Roman"/>
          <w:i/>
          <w:sz w:val="18"/>
          <w:szCs w:val="18"/>
        </w:rPr>
        <w:t>Corresponding author</w:t>
      </w:r>
      <w:r w:rsidR="00CE264F" w:rsidRPr="00386CC4">
        <w:rPr>
          <w:rFonts w:ascii="Times New Roman" w:hAnsi="Times New Roman" w:cs="Times New Roman"/>
          <w:i/>
          <w:sz w:val="18"/>
          <w:szCs w:val="18"/>
        </w:rPr>
        <w:t>: jm_cayme@yahoo.com</w:t>
      </w:r>
    </w:p>
    <w:p w:rsidR="00256A02" w:rsidRPr="00256A02" w:rsidRDefault="00256A02" w:rsidP="00256A0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B95F81" w:rsidRPr="00256A02" w:rsidRDefault="0070009F" w:rsidP="00F37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56A02">
        <w:rPr>
          <w:rFonts w:ascii="Times New Roman" w:hAnsi="Times New Roman" w:cs="Times New Roman"/>
          <w:b/>
          <w:bCs/>
          <w:sz w:val="18"/>
          <w:szCs w:val="18"/>
        </w:rPr>
        <w:t>Abstract</w:t>
      </w:r>
    </w:p>
    <w:p w:rsidR="008233F4" w:rsidRPr="00386CC4" w:rsidRDefault="008233F4" w:rsidP="00F377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CC4">
        <w:rPr>
          <w:rFonts w:ascii="Times New Roman" w:hAnsi="Times New Roman" w:cs="Times New Roman"/>
          <w:sz w:val="18"/>
          <w:szCs w:val="18"/>
        </w:rPr>
        <w:t xml:space="preserve">A calcium determination </w:t>
      </w:r>
      <w:r w:rsidR="00012116" w:rsidRPr="00386CC4">
        <w:rPr>
          <w:rFonts w:ascii="Times New Roman" w:hAnsi="Times New Roman" w:cs="Times New Roman"/>
          <w:sz w:val="18"/>
          <w:szCs w:val="18"/>
        </w:rPr>
        <w:t>method for</w:t>
      </w:r>
      <w:r w:rsidRPr="00386CC4">
        <w:rPr>
          <w:rFonts w:ascii="Times New Roman" w:hAnsi="Times New Roman" w:cs="Times New Roman"/>
          <w:sz w:val="18"/>
          <w:szCs w:val="18"/>
        </w:rPr>
        <w:t xml:space="preserve"> lime mortars </w:t>
      </w:r>
      <w:r w:rsidR="00CC2F92" w:rsidRPr="00386CC4">
        <w:rPr>
          <w:rFonts w:ascii="Times New Roman" w:hAnsi="Times New Roman" w:cs="Times New Roman"/>
          <w:sz w:val="18"/>
          <w:szCs w:val="18"/>
        </w:rPr>
        <w:t xml:space="preserve">in </w:t>
      </w:r>
      <w:r w:rsidR="00012116" w:rsidRPr="00386CC4">
        <w:rPr>
          <w:rFonts w:ascii="Times New Roman" w:hAnsi="Times New Roman" w:cs="Times New Roman"/>
          <w:sz w:val="18"/>
          <w:szCs w:val="18"/>
        </w:rPr>
        <w:t xml:space="preserve">old church ruins </w:t>
      </w:r>
      <w:r w:rsidRPr="00386CC4">
        <w:rPr>
          <w:rFonts w:ascii="Times New Roman" w:hAnsi="Times New Roman" w:cs="Times New Roman"/>
          <w:sz w:val="18"/>
          <w:szCs w:val="18"/>
        </w:rPr>
        <w:t xml:space="preserve">is described. </w:t>
      </w:r>
      <w:r w:rsidR="00211D1A" w:rsidRPr="00386CC4">
        <w:rPr>
          <w:rFonts w:ascii="Times New Roman" w:hAnsi="Times New Roman" w:cs="Times New Roman"/>
          <w:sz w:val="18"/>
          <w:szCs w:val="18"/>
        </w:rPr>
        <w:t>Two volumetric analysis methods were employed</w:t>
      </w:r>
      <w:r w:rsidR="000E0A2E" w:rsidRPr="00386CC4">
        <w:rPr>
          <w:rFonts w:ascii="Times New Roman" w:hAnsi="Times New Roman" w:cs="Times New Roman"/>
          <w:sz w:val="18"/>
          <w:szCs w:val="18"/>
        </w:rPr>
        <w:t>: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 </w:t>
      </w:r>
      <w:r w:rsidR="00211D1A" w:rsidRPr="00386CC4">
        <w:rPr>
          <w:rFonts w:ascii="Times New Roman" w:hAnsi="Times New Roman" w:cs="Times New Roman"/>
          <w:sz w:val="18"/>
          <w:szCs w:val="18"/>
        </w:rPr>
        <w:t xml:space="preserve">titration </w:t>
      </w:r>
      <w:r w:rsidR="00012116" w:rsidRPr="00386CC4">
        <w:rPr>
          <w:rFonts w:ascii="Times New Roman" w:hAnsi="Times New Roman" w:cs="Times New Roman"/>
          <w:sz w:val="18"/>
          <w:szCs w:val="18"/>
        </w:rPr>
        <w:t xml:space="preserve">using </w:t>
      </w:r>
      <w:r w:rsidR="00211D1A" w:rsidRPr="00386CC4">
        <w:rPr>
          <w:rFonts w:ascii="Times New Roman" w:hAnsi="Times New Roman" w:cs="Times New Roman"/>
          <w:sz w:val="18"/>
          <w:szCs w:val="18"/>
        </w:rPr>
        <w:t xml:space="preserve">EDTA </w:t>
      </w:r>
      <w:r w:rsidR="00012116" w:rsidRPr="00386CC4">
        <w:rPr>
          <w:rFonts w:ascii="Times New Roman" w:hAnsi="Times New Roman" w:cs="Times New Roman"/>
          <w:sz w:val="18"/>
          <w:szCs w:val="18"/>
        </w:rPr>
        <w:t>solution</w:t>
      </w:r>
      <w:r w:rsidR="000E0A2E" w:rsidRPr="00386CC4">
        <w:rPr>
          <w:rFonts w:ascii="Times New Roman" w:hAnsi="Times New Roman" w:cs="Times New Roman"/>
          <w:sz w:val="18"/>
          <w:szCs w:val="18"/>
        </w:rPr>
        <w:t>,</w:t>
      </w:r>
      <w:r w:rsidR="00012116" w:rsidRPr="00386CC4">
        <w:rPr>
          <w:rFonts w:ascii="Times New Roman" w:hAnsi="Times New Roman" w:cs="Times New Roman"/>
          <w:sz w:val="18"/>
          <w:szCs w:val="18"/>
        </w:rPr>
        <w:t xml:space="preserve"> </w:t>
      </w:r>
      <w:r w:rsidR="00211D1A" w:rsidRPr="00386CC4">
        <w:rPr>
          <w:rFonts w:ascii="Times New Roman" w:hAnsi="Times New Roman" w:cs="Times New Roman"/>
          <w:sz w:val="18"/>
          <w:szCs w:val="18"/>
        </w:rPr>
        <w:t>and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 with </w:t>
      </w:r>
      <w:r w:rsidR="00211D1A" w:rsidRPr="00386CC4">
        <w:rPr>
          <w:rFonts w:ascii="Times New Roman" w:hAnsi="Times New Roman" w:cs="Times New Roman"/>
          <w:sz w:val="18"/>
          <w:szCs w:val="18"/>
        </w:rPr>
        <w:t>KMnO</w:t>
      </w:r>
      <w:r w:rsidR="00211D1A" w:rsidRPr="00386CC4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="00012116" w:rsidRPr="00386CC4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="00012116" w:rsidRPr="00386CC4">
        <w:rPr>
          <w:rFonts w:ascii="Times New Roman" w:hAnsi="Times New Roman" w:cs="Times New Roman"/>
          <w:sz w:val="18"/>
          <w:szCs w:val="18"/>
        </w:rPr>
        <w:t>solution.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 The binder fraction with sieve size (&lt;0.075mm) was used </w:t>
      </w:r>
      <w:r w:rsidR="008E61E4" w:rsidRPr="00386CC4">
        <w:rPr>
          <w:rFonts w:ascii="Times New Roman" w:hAnsi="Times New Roman" w:cs="Times New Roman"/>
          <w:sz w:val="18"/>
          <w:szCs w:val="18"/>
        </w:rPr>
        <w:t xml:space="preserve">for titration </w:t>
      </w:r>
      <w:r w:rsidR="00864ED0" w:rsidRPr="00386CC4">
        <w:rPr>
          <w:rFonts w:ascii="Times New Roman" w:hAnsi="Times New Roman" w:cs="Times New Roman"/>
          <w:sz w:val="18"/>
          <w:szCs w:val="18"/>
        </w:rPr>
        <w:t>which is abundant in CaCO</w:t>
      </w:r>
      <w:r w:rsidR="00864ED0" w:rsidRPr="00386CC4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 as </w:t>
      </w:r>
      <w:r w:rsidR="008E61E4" w:rsidRPr="00386CC4">
        <w:rPr>
          <w:rFonts w:ascii="Times New Roman" w:hAnsi="Times New Roman" w:cs="Times New Roman"/>
          <w:sz w:val="18"/>
          <w:szCs w:val="18"/>
        </w:rPr>
        <w:t xml:space="preserve">established 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by </w:t>
      </w:r>
      <w:r w:rsidR="00064349" w:rsidRPr="00386CC4">
        <w:rPr>
          <w:rFonts w:ascii="Times New Roman" w:hAnsi="Times New Roman" w:cs="Times New Roman"/>
          <w:sz w:val="18"/>
          <w:szCs w:val="18"/>
        </w:rPr>
        <w:t>Fourier-Transform I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nfrared </w:t>
      </w:r>
      <w:r w:rsidR="00064349" w:rsidRPr="00386CC4">
        <w:rPr>
          <w:rFonts w:ascii="Times New Roman" w:hAnsi="Times New Roman" w:cs="Times New Roman"/>
          <w:sz w:val="18"/>
          <w:szCs w:val="18"/>
        </w:rPr>
        <w:t xml:space="preserve">Spectroscopy </w:t>
      </w:r>
      <w:r w:rsidR="00256A02">
        <w:rPr>
          <w:rFonts w:ascii="Times New Roman" w:hAnsi="Times New Roman" w:cs="Times New Roman"/>
          <w:sz w:val="18"/>
          <w:szCs w:val="18"/>
        </w:rPr>
        <w:t>(FTIR) technique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. </w:t>
      </w:r>
      <w:r w:rsidR="00211D1A" w:rsidRPr="00386CC4">
        <w:rPr>
          <w:rFonts w:ascii="Times New Roman" w:hAnsi="Times New Roman" w:cs="Times New Roman"/>
          <w:sz w:val="18"/>
          <w:szCs w:val="18"/>
        </w:rPr>
        <w:t xml:space="preserve">The 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mortar </w:t>
      </w:r>
      <w:r w:rsidR="00211D1A" w:rsidRPr="00386CC4">
        <w:rPr>
          <w:rFonts w:ascii="Times New Roman" w:hAnsi="Times New Roman" w:cs="Times New Roman"/>
          <w:sz w:val="18"/>
          <w:szCs w:val="18"/>
        </w:rPr>
        <w:t>sample from Misamis</w:t>
      </w:r>
      <w:r w:rsidR="00012116" w:rsidRPr="00386CC4">
        <w:rPr>
          <w:rFonts w:ascii="Times New Roman" w:hAnsi="Times New Roman" w:cs="Times New Roman"/>
          <w:sz w:val="18"/>
          <w:szCs w:val="18"/>
        </w:rPr>
        <w:t xml:space="preserve"> Oriental yields 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a mean calcium concentration of </w:t>
      </w:r>
      <w:r w:rsidR="00012116" w:rsidRPr="00386CC4">
        <w:rPr>
          <w:rFonts w:ascii="Times New Roman" w:hAnsi="Times New Roman" w:cs="Times New Roman"/>
          <w:sz w:val="18"/>
          <w:szCs w:val="18"/>
        </w:rPr>
        <w:t>59.60</w:t>
      </w:r>
      <w:r w:rsidR="00211D1A" w:rsidRPr="00386CC4">
        <w:rPr>
          <w:rFonts w:ascii="Times New Roman" w:hAnsi="Times New Roman" w:cs="Times New Roman"/>
          <w:sz w:val="18"/>
          <w:szCs w:val="18"/>
        </w:rPr>
        <w:t xml:space="preserve">% </w:t>
      </w:r>
      <w:r w:rsidR="00A30400" w:rsidRPr="00386CC4">
        <w:rPr>
          <w:rFonts w:ascii="Times New Roman" w:hAnsi="Times New Roman" w:cs="Times New Roman"/>
          <w:sz w:val="18"/>
          <w:szCs w:val="18"/>
        </w:rPr>
        <w:t>± 4.64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 </w:t>
      </w:r>
      <w:r w:rsidR="00211D1A" w:rsidRPr="00386CC4">
        <w:rPr>
          <w:rFonts w:ascii="Times New Roman" w:hAnsi="Times New Roman" w:cs="Times New Roman"/>
          <w:sz w:val="18"/>
          <w:szCs w:val="18"/>
        </w:rPr>
        <w:t>and 60</w:t>
      </w:r>
      <w:r w:rsidR="00012116" w:rsidRPr="00386CC4">
        <w:rPr>
          <w:rFonts w:ascii="Times New Roman" w:hAnsi="Times New Roman" w:cs="Times New Roman"/>
          <w:sz w:val="18"/>
          <w:szCs w:val="18"/>
        </w:rPr>
        <w:t>.48</w:t>
      </w:r>
      <w:r w:rsidR="00211D1A" w:rsidRPr="00386CC4">
        <w:rPr>
          <w:rFonts w:ascii="Times New Roman" w:hAnsi="Times New Roman" w:cs="Times New Roman"/>
          <w:sz w:val="18"/>
          <w:szCs w:val="18"/>
        </w:rPr>
        <w:t xml:space="preserve">% </w:t>
      </w:r>
      <w:r w:rsidR="00A30400" w:rsidRPr="00386CC4">
        <w:rPr>
          <w:rFonts w:ascii="Times New Roman" w:hAnsi="Times New Roman" w:cs="Times New Roman"/>
          <w:sz w:val="18"/>
          <w:szCs w:val="18"/>
        </w:rPr>
        <w:t>± 6.68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 </w:t>
      </w:r>
      <w:r w:rsidR="00211D1A" w:rsidRPr="00386CC4">
        <w:rPr>
          <w:rFonts w:ascii="Times New Roman" w:hAnsi="Times New Roman" w:cs="Times New Roman"/>
          <w:sz w:val="18"/>
          <w:szCs w:val="18"/>
        </w:rPr>
        <w:t>for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 EDTA and KMnO</w:t>
      </w:r>
      <w:r w:rsidR="00A91B43" w:rsidRPr="00386CC4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, respectively, </w:t>
      </w:r>
      <w:r w:rsidR="00211D1A" w:rsidRPr="00386CC4">
        <w:rPr>
          <w:rFonts w:ascii="Times New Roman" w:hAnsi="Times New Roman" w:cs="Times New Roman"/>
          <w:sz w:val="18"/>
          <w:szCs w:val="18"/>
        </w:rPr>
        <w:t xml:space="preserve">while the Metro Manila 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mortar sample is </w:t>
      </w:r>
      <w:r w:rsidR="00211D1A" w:rsidRPr="00386CC4">
        <w:rPr>
          <w:rFonts w:ascii="Times New Roman" w:hAnsi="Times New Roman" w:cs="Times New Roman"/>
          <w:sz w:val="18"/>
          <w:szCs w:val="18"/>
        </w:rPr>
        <w:t>7</w:t>
      </w:r>
      <w:r w:rsidR="00A30400" w:rsidRPr="00386CC4">
        <w:rPr>
          <w:rFonts w:ascii="Times New Roman" w:hAnsi="Times New Roman" w:cs="Times New Roman"/>
          <w:sz w:val="18"/>
          <w:szCs w:val="18"/>
        </w:rPr>
        <w:t>3.54% ± 2.68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 </w:t>
      </w:r>
      <w:r w:rsidR="00DE4006" w:rsidRPr="00386CC4">
        <w:rPr>
          <w:rFonts w:ascii="Times New Roman" w:hAnsi="Times New Roman" w:cs="Times New Roman"/>
          <w:sz w:val="18"/>
          <w:szCs w:val="18"/>
        </w:rPr>
        <w:t xml:space="preserve">for EDTA 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and </w:t>
      </w:r>
      <w:r w:rsidR="00211D1A" w:rsidRPr="00386CC4">
        <w:rPr>
          <w:rFonts w:ascii="Times New Roman" w:hAnsi="Times New Roman" w:cs="Times New Roman"/>
          <w:sz w:val="18"/>
          <w:szCs w:val="18"/>
        </w:rPr>
        <w:t>7</w:t>
      </w:r>
      <w:r w:rsidR="00A91B43" w:rsidRPr="00386CC4">
        <w:rPr>
          <w:rFonts w:ascii="Times New Roman" w:hAnsi="Times New Roman" w:cs="Times New Roman"/>
          <w:sz w:val="18"/>
          <w:szCs w:val="18"/>
        </w:rPr>
        <w:t>3.33</w:t>
      </w:r>
      <w:r w:rsidR="00211D1A" w:rsidRPr="00386CC4">
        <w:rPr>
          <w:rFonts w:ascii="Times New Roman" w:hAnsi="Times New Roman" w:cs="Times New Roman"/>
          <w:sz w:val="18"/>
          <w:szCs w:val="18"/>
        </w:rPr>
        <w:t>%</w:t>
      </w:r>
      <w:r w:rsidR="00A30400" w:rsidRPr="00386CC4">
        <w:rPr>
          <w:rFonts w:ascii="Times New Roman" w:hAnsi="Times New Roman" w:cs="Times New Roman"/>
          <w:sz w:val="18"/>
          <w:szCs w:val="18"/>
        </w:rPr>
        <w:t xml:space="preserve"> ± 6.88</w:t>
      </w:r>
      <w:r w:rsidR="00A91B43" w:rsidRPr="00386CC4">
        <w:rPr>
          <w:rFonts w:ascii="Times New Roman" w:hAnsi="Times New Roman" w:cs="Times New Roman"/>
          <w:sz w:val="18"/>
          <w:szCs w:val="18"/>
        </w:rPr>
        <w:t xml:space="preserve"> </w:t>
      </w:r>
      <w:r w:rsidR="00DE4006" w:rsidRPr="00386CC4">
        <w:rPr>
          <w:rFonts w:ascii="Times New Roman" w:hAnsi="Times New Roman" w:cs="Times New Roman"/>
          <w:sz w:val="18"/>
          <w:szCs w:val="18"/>
        </w:rPr>
        <w:t xml:space="preserve">for </w:t>
      </w:r>
      <w:r w:rsidR="00A91B43" w:rsidRPr="00386CC4">
        <w:rPr>
          <w:rFonts w:ascii="Times New Roman" w:hAnsi="Times New Roman" w:cs="Times New Roman"/>
          <w:sz w:val="18"/>
          <w:szCs w:val="18"/>
        </w:rPr>
        <w:t>KMnO</w:t>
      </w:r>
      <w:r w:rsidR="00A91B43" w:rsidRPr="00386CC4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="00211D1A" w:rsidRPr="00386CC4">
        <w:rPr>
          <w:rFonts w:ascii="Times New Roman" w:hAnsi="Times New Roman" w:cs="Times New Roman"/>
          <w:sz w:val="18"/>
          <w:szCs w:val="18"/>
        </w:rPr>
        <w:t>.</w:t>
      </w:r>
      <w:r w:rsidR="00DE4006" w:rsidRPr="00386CC4">
        <w:rPr>
          <w:rFonts w:ascii="Times New Roman" w:hAnsi="Times New Roman" w:cs="Times New Roman"/>
          <w:sz w:val="18"/>
          <w:szCs w:val="18"/>
        </w:rPr>
        <w:t xml:space="preserve"> </w:t>
      </w:r>
      <w:r w:rsidR="00F86AE8" w:rsidRPr="00386CC4">
        <w:rPr>
          <w:rFonts w:ascii="Times New Roman" w:hAnsi="Times New Roman" w:cs="Times New Roman"/>
          <w:sz w:val="18"/>
          <w:szCs w:val="18"/>
        </w:rPr>
        <w:t xml:space="preserve">Two tailed </w:t>
      </w:r>
      <w:r w:rsidR="00F86AE8" w:rsidRPr="00386CC4">
        <w:rPr>
          <w:rFonts w:ascii="Times New Roman" w:hAnsi="Times New Roman" w:cs="Times New Roman"/>
          <w:i/>
          <w:sz w:val="18"/>
          <w:szCs w:val="18"/>
        </w:rPr>
        <w:t>t</w:t>
      </w:r>
      <w:r w:rsidR="00F86AE8" w:rsidRPr="00386CC4">
        <w:rPr>
          <w:rFonts w:ascii="Times New Roman" w:hAnsi="Times New Roman" w:cs="Times New Roman"/>
          <w:sz w:val="18"/>
          <w:szCs w:val="18"/>
        </w:rPr>
        <w:t xml:space="preserve">-test and </w:t>
      </w:r>
      <w:r w:rsidR="00F86AE8" w:rsidRPr="00386CC4">
        <w:rPr>
          <w:rFonts w:ascii="Times New Roman" w:hAnsi="Times New Roman" w:cs="Times New Roman"/>
          <w:i/>
          <w:sz w:val="18"/>
          <w:szCs w:val="18"/>
        </w:rPr>
        <w:t>F</w:t>
      </w:r>
      <w:r w:rsidR="000E0A2E" w:rsidRPr="00386CC4">
        <w:rPr>
          <w:rFonts w:ascii="Times New Roman" w:hAnsi="Times New Roman" w:cs="Times New Roman"/>
          <w:sz w:val="18"/>
          <w:szCs w:val="18"/>
        </w:rPr>
        <w:t>-test analysis confirm</w:t>
      </w:r>
      <w:r w:rsidR="00F86AE8" w:rsidRPr="00386CC4">
        <w:rPr>
          <w:rFonts w:ascii="Times New Roman" w:hAnsi="Times New Roman" w:cs="Times New Roman"/>
          <w:sz w:val="18"/>
          <w:szCs w:val="18"/>
        </w:rPr>
        <w:t xml:space="preserve"> that there is no</w:t>
      </w:r>
      <w:r w:rsidR="00BA14F2" w:rsidRPr="00386CC4">
        <w:rPr>
          <w:rFonts w:ascii="Times New Roman" w:hAnsi="Times New Roman" w:cs="Times New Roman"/>
          <w:sz w:val="18"/>
          <w:szCs w:val="18"/>
        </w:rPr>
        <w:t xml:space="preserve"> statistical difference between </w:t>
      </w:r>
      <w:r w:rsidR="00F86AE8" w:rsidRPr="00386CC4">
        <w:rPr>
          <w:rFonts w:ascii="Times New Roman" w:hAnsi="Times New Roman" w:cs="Times New Roman"/>
          <w:sz w:val="18"/>
          <w:szCs w:val="18"/>
        </w:rPr>
        <w:t>EDTA and KMnO</w:t>
      </w:r>
      <w:r w:rsidR="00F86AE8" w:rsidRPr="00386CC4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="00F86AE8" w:rsidRPr="00386CC4">
        <w:rPr>
          <w:rFonts w:ascii="Times New Roman" w:hAnsi="Times New Roman" w:cs="Times New Roman"/>
          <w:sz w:val="18"/>
          <w:szCs w:val="18"/>
        </w:rPr>
        <w:t xml:space="preserve"> method</w:t>
      </w:r>
      <w:r w:rsidR="00BA14F2" w:rsidRPr="00386CC4">
        <w:rPr>
          <w:rFonts w:ascii="Times New Roman" w:hAnsi="Times New Roman" w:cs="Times New Roman"/>
          <w:sz w:val="18"/>
          <w:szCs w:val="18"/>
        </w:rPr>
        <w:t xml:space="preserve">s in determining the calcium content. 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Atomic </w:t>
      </w:r>
      <w:r w:rsidR="002B31F1" w:rsidRPr="00386CC4">
        <w:rPr>
          <w:rFonts w:ascii="Times New Roman" w:hAnsi="Times New Roman" w:cs="Times New Roman"/>
          <w:sz w:val="18"/>
          <w:szCs w:val="18"/>
        </w:rPr>
        <w:t>A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bsorption </w:t>
      </w:r>
      <w:r w:rsidR="002B31F1" w:rsidRPr="00386CC4">
        <w:rPr>
          <w:rFonts w:ascii="Times New Roman" w:hAnsi="Times New Roman" w:cs="Times New Roman"/>
          <w:sz w:val="18"/>
          <w:szCs w:val="18"/>
        </w:rPr>
        <w:t>S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pectroscopy </w:t>
      </w:r>
      <w:r w:rsidR="007430C1" w:rsidRPr="00386CC4">
        <w:rPr>
          <w:rFonts w:ascii="Times New Roman" w:hAnsi="Times New Roman" w:cs="Times New Roman"/>
          <w:sz w:val="18"/>
          <w:szCs w:val="18"/>
        </w:rPr>
        <w:t xml:space="preserve">(AAS) </w:t>
      </w:r>
      <w:r w:rsidR="00256A02">
        <w:rPr>
          <w:rFonts w:ascii="Times New Roman" w:hAnsi="Times New Roman" w:cs="Times New Roman"/>
          <w:sz w:val="18"/>
          <w:szCs w:val="18"/>
        </w:rPr>
        <w:t>technique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 validated the </w:t>
      </w:r>
      <w:r w:rsidR="00BA14F2" w:rsidRPr="00386CC4">
        <w:rPr>
          <w:rFonts w:ascii="Times New Roman" w:hAnsi="Times New Roman" w:cs="Times New Roman"/>
          <w:sz w:val="18"/>
          <w:szCs w:val="18"/>
        </w:rPr>
        <w:t xml:space="preserve">mean 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concentration values obtained from </w:t>
      </w:r>
      <w:r w:rsidR="00CC2F92" w:rsidRPr="00386CC4">
        <w:rPr>
          <w:rFonts w:ascii="Times New Roman" w:hAnsi="Times New Roman" w:cs="Times New Roman"/>
          <w:sz w:val="18"/>
          <w:szCs w:val="18"/>
        </w:rPr>
        <w:t>each method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 wit</w:t>
      </w:r>
      <w:r w:rsidR="000E0A2E" w:rsidRPr="00386CC4">
        <w:rPr>
          <w:rFonts w:ascii="Times New Roman" w:hAnsi="Times New Roman" w:cs="Times New Roman"/>
          <w:sz w:val="18"/>
          <w:szCs w:val="18"/>
        </w:rPr>
        <w:t xml:space="preserve">h 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less than </w:t>
      </w:r>
      <w:r w:rsidR="00F86AE8" w:rsidRPr="00386CC4">
        <w:rPr>
          <w:rFonts w:ascii="Times New Roman" w:hAnsi="Times New Roman" w:cs="Times New Roman"/>
          <w:sz w:val="18"/>
          <w:szCs w:val="18"/>
        </w:rPr>
        <w:t>6.4</w:t>
      </w:r>
      <w:r w:rsidR="00864ED0" w:rsidRPr="00386CC4">
        <w:rPr>
          <w:rFonts w:ascii="Times New Roman" w:hAnsi="Times New Roman" w:cs="Times New Roman"/>
          <w:sz w:val="18"/>
          <w:szCs w:val="18"/>
        </w:rPr>
        <w:t xml:space="preserve">% difference. </w:t>
      </w:r>
      <w:r w:rsidR="000927B9" w:rsidRPr="00386CC4">
        <w:rPr>
          <w:rFonts w:ascii="Times New Roman" w:hAnsi="Times New Roman" w:cs="Times New Roman"/>
          <w:sz w:val="18"/>
          <w:szCs w:val="18"/>
        </w:rPr>
        <w:t xml:space="preserve">The proposed titration </w:t>
      </w:r>
      <w:r w:rsidR="00BA14F2" w:rsidRPr="00386CC4">
        <w:rPr>
          <w:rFonts w:ascii="Times New Roman" w:hAnsi="Times New Roman" w:cs="Times New Roman"/>
          <w:sz w:val="18"/>
          <w:szCs w:val="18"/>
        </w:rPr>
        <w:t>methods</w:t>
      </w:r>
      <w:r w:rsidR="00F86AE8" w:rsidRPr="00386CC4">
        <w:rPr>
          <w:rFonts w:ascii="Times New Roman" w:hAnsi="Times New Roman" w:cs="Times New Roman"/>
          <w:sz w:val="18"/>
          <w:szCs w:val="18"/>
        </w:rPr>
        <w:t xml:space="preserve"> are simple, </w:t>
      </w:r>
      <w:r w:rsidR="000927B9" w:rsidRPr="00386CC4">
        <w:rPr>
          <w:rFonts w:ascii="Times New Roman" w:hAnsi="Times New Roman" w:cs="Times New Roman"/>
          <w:sz w:val="18"/>
          <w:szCs w:val="18"/>
        </w:rPr>
        <w:t>rapid and su</w:t>
      </w:r>
      <w:r w:rsidR="00BA14F2" w:rsidRPr="00386CC4">
        <w:rPr>
          <w:rFonts w:ascii="Times New Roman" w:hAnsi="Times New Roman" w:cs="Times New Roman"/>
          <w:sz w:val="18"/>
          <w:szCs w:val="18"/>
        </w:rPr>
        <w:t xml:space="preserve">fficiently precise, </w:t>
      </w:r>
      <w:r w:rsidR="000927B9" w:rsidRPr="00386CC4">
        <w:rPr>
          <w:rFonts w:ascii="Times New Roman" w:hAnsi="Times New Roman" w:cs="Times New Roman"/>
          <w:sz w:val="18"/>
          <w:szCs w:val="18"/>
        </w:rPr>
        <w:t xml:space="preserve">without the use of expensive </w:t>
      </w:r>
      <w:r w:rsidR="00CC2F92" w:rsidRPr="00386CC4">
        <w:rPr>
          <w:rFonts w:ascii="Times New Roman" w:hAnsi="Times New Roman" w:cs="Times New Roman"/>
          <w:sz w:val="18"/>
          <w:szCs w:val="18"/>
        </w:rPr>
        <w:t>analytical instruments</w:t>
      </w:r>
      <w:r w:rsidR="000927B9" w:rsidRPr="00386CC4">
        <w:rPr>
          <w:rFonts w:ascii="Times New Roman" w:hAnsi="Times New Roman" w:cs="Times New Roman"/>
          <w:sz w:val="18"/>
          <w:szCs w:val="18"/>
        </w:rPr>
        <w:t>.</w:t>
      </w:r>
      <w:r w:rsidR="00F86AE8" w:rsidRPr="00386CC4">
        <w:rPr>
          <w:rFonts w:ascii="Times New Roman" w:hAnsi="Times New Roman" w:cs="Times New Roman"/>
          <w:sz w:val="18"/>
          <w:szCs w:val="18"/>
        </w:rPr>
        <w:t xml:space="preserve"> </w:t>
      </w:r>
      <w:r w:rsidR="00CC2F92" w:rsidRPr="00386CC4">
        <w:rPr>
          <w:rFonts w:ascii="Times New Roman" w:hAnsi="Times New Roman" w:cs="Times New Roman"/>
          <w:sz w:val="18"/>
          <w:szCs w:val="18"/>
        </w:rPr>
        <w:t>This study is</w:t>
      </w:r>
      <w:r w:rsidR="00163670" w:rsidRPr="00386CC4">
        <w:rPr>
          <w:rFonts w:ascii="Times New Roman" w:hAnsi="Times New Roman" w:cs="Times New Roman"/>
          <w:sz w:val="18"/>
          <w:szCs w:val="18"/>
        </w:rPr>
        <w:t xml:space="preserve"> a good </w:t>
      </w:r>
      <w:r w:rsidR="00CC2F92" w:rsidRPr="00386CC4">
        <w:rPr>
          <w:rFonts w:ascii="Times New Roman" w:hAnsi="Times New Roman" w:cs="Times New Roman"/>
          <w:sz w:val="18"/>
          <w:szCs w:val="18"/>
        </w:rPr>
        <w:t>alternative</w:t>
      </w:r>
      <w:r w:rsidR="00CF794D" w:rsidRPr="00386CC4">
        <w:rPr>
          <w:rFonts w:ascii="Times New Roman" w:hAnsi="Times New Roman" w:cs="Times New Roman"/>
          <w:sz w:val="18"/>
          <w:szCs w:val="18"/>
        </w:rPr>
        <w:t xml:space="preserve"> method </w:t>
      </w:r>
      <w:r w:rsidR="00CC2F92" w:rsidRPr="00386CC4">
        <w:rPr>
          <w:rFonts w:ascii="Times New Roman" w:hAnsi="Times New Roman" w:cs="Times New Roman"/>
          <w:sz w:val="18"/>
          <w:szCs w:val="18"/>
        </w:rPr>
        <w:t xml:space="preserve">to easily determine the amount of calcium in historic </w:t>
      </w:r>
      <w:r w:rsidR="00163670" w:rsidRPr="00386CC4">
        <w:rPr>
          <w:rFonts w:ascii="Times New Roman" w:hAnsi="Times New Roman" w:cs="Times New Roman"/>
          <w:sz w:val="18"/>
          <w:szCs w:val="18"/>
        </w:rPr>
        <w:t xml:space="preserve">lime mortars which is valuable in heritage conservation </w:t>
      </w:r>
      <w:r w:rsidR="007430C1" w:rsidRPr="00386CC4">
        <w:rPr>
          <w:rFonts w:ascii="Times New Roman" w:hAnsi="Times New Roman" w:cs="Times New Roman"/>
          <w:sz w:val="18"/>
          <w:szCs w:val="18"/>
        </w:rPr>
        <w:t xml:space="preserve">work </w:t>
      </w:r>
      <w:r w:rsidR="00163670" w:rsidRPr="00386CC4">
        <w:rPr>
          <w:rFonts w:ascii="Times New Roman" w:hAnsi="Times New Roman" w:cs="Times New Roman"/>
          <w:sz w:val="18"/>
          <w:szCs w:val="18"/>
        </w:rPr>
        <w:t>and restoration of old structures in the Philippines.</w:t>
      </w:r>
    </w:p>
    <w:p w:rsidR="00F37762" w:rsidRDefault="00F37762" w:rsidP="00F37762">
      <w:pPr>
        <w:tabs>
          <w:tab w:val="clear" w:pos="72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FB3C7D" w:rsidRPr="00386CC4" w:rsidRDefault="004529B4" w:rsidP="00F37762">
      <w:pPr>
        <w:tabs>
          <w:tab w:val="clear" w:pos="72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color w:val="auto"/>
          <w:sz w:val="18"/>
          <w:szCs w:val="18"/>
        </w:rPr>
      </w:pPr>
      <w:r w:rsidRPr="00386CC4">
        <w:rPr>
          <w:rFonts w:ascii="Times New Roman" w:hAnsi="Times New Roman" w:cs="Times New Roman"/>
          <w:b/>
          <w:color w:val="auto"/>
          <w:sz w:val="18"/>
          <w:szCs w:val="18"/>
        </w:rPr>
        <w:t>Keywords:</w:t>
      </w:r>
      <w:r w:rsidRPr="00386CC4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163670" w:rsidRPr="00386CC4">
        <w:rPr>
          <w:rFonts w:ascii="Times New Roman" w:hAnsi="Times New Roman" w:cs="Times New Roman"/>
          <w:color w:val="auto"/>
          <w:sz w:val="18"/>
          <w:szCs w:val="18"/>
        </w:rPr>
        <w:t xml:space="preserve">lime mortar, </w:t>
      </w:r>
      <w:r w:rsidR="00A96563" w:rsidRPr="00386CC4">
        <w:rPr>
          <w:rFonts w:ascii="Times New Roman" w:hAnsi="Times New Roman" w:cs="Times New Roman"/>
          <w:color w:val="auto"/>
          <w:sz w:val="18"/>
          <w:szCs w:val="18"/>
        </w:rPr>
        <w:t xml:space="preserve">titration, </w:t>
      </w:r>
      <w:r w:rsidR="004F69AE" w:rsidRPr="00386CC4">
        <w:rPr>
          <w:rFonts w:ascii="Times New Roman" w:hAnsi="Times New Roman" w:cs="Times New Roman"/>
          <w:color w:val="auto"/>
          <w:sz w:val="18"/>
          <w:szCs w:val="18"/>
        </w:rPr>
        <w:t>Fourier transform i</w:t>
      </w:r>
      <w:r w:rsidR="008E7C1E" w:rsidRPr="00386CC4">
        <w:rPr>
          <w:rFonts w:ascii="Times New Roman" w:hAnsi="Times New Roman" w:cs="Times New Roman"/>
          <w:color w:val="auto"/>
          <w:sz w:val="18"/>
          <w:szCs w:val="18"/>
        </w:rPr>
        <w:t xml:space="preserve">nfrared </w:t>
      </w:r>
      <w:r w:rsidR="004F69AE" w:rsidRPr="00386CC4">
        <w:rPr>
          <w:rFonts w:ascii="Times New Roman" w:hAnsi="Times New Roman" w:cs="Times New Roman"/>
          <w:color w:val="auto"/>
          <w:sz w:val="18"/>
          <w:szCs w:val="18"/>
        </w:rPr>
        <w:t>s</w:t>
      </w:r>
      <w:r w:rsidR="008E7C1E" w:rsidRPr="00386CC4">
        <w:rPr>
          <w:rFonts w:ascii="Times New Roman" w:hAnsi="Times New Roman" w:cs="Times New Roman"/>
          <w:color w:val="auto"/>
          <w:sz w:val="18"/>
          <w:szCs w:val="18"/>
        </w:rPr>
        <w:t>pectroscopy</w:t>
      </w:r>
      <w:r w:rsidRPr="00386CC4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 w:rsidR="00A96563" w:rsidRPr="00386CC4">
        <w:rPr>
          <w:rFonts w:ascii="Times New Roman" w:hAnsi="Times New Roman" w:cs="Times New Roman"/>
          <w:color w:val="auto"/>
          <w:sz w:val="18"/>
          <w:szCs w:val="18"/>
        </w:rPr>
        <w:t xml:space="preserve">atomic absorption spectroscopy, </w:t>
      </w:r>
      <w:r w:rsidRPr="00386CC4">
        <w:rPr>
          <w:rFonts w:ascii="Times New Roman" w:hAnsi="Times New Roman" w:cs="Times New Roman"/>
          <w:color w:val="auto"/>
          <w:sz w:val="18"/>
          <w:szCs w:val="18"/>
        </w:rPr>
        <w:t>cultural heritage conservatio</w:t>
      </w:r>
      <w:r w:rsidR="00163670" w:rsidRPr="00386CC4">
        <w:rPr>
          <w:rFonts w:ascii="Times New Roman" w:hAnsi="Times New Roman" w:cs="Times New Roman"/>
          <w:color w:val="auto"/>
          <w:sz w:val="18"/>
          <w:szCs w:val="18"/>
        </w:rPr>
        <w:t>n</w:t>
      </w:r>
    </w:p>
    <w:p w:rsidR="00AD4FAA" w:rsidRPr="00386CC4" w:rsidRDefault="00AD4FAA" w:rsidP="00F3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50D" w:rsidRPr="00256A02" w:rsidRDefault="0061350D" w:rsidP="00256A02">
      <w:pPr>
        <w:tabs>
          <w:tab w:val="clear" w:pos="72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56A02">
        <w:rPr>
          <w:rFonts w:ascii="Times New Roman" w:hAnsi="Times New Roman" w:cs="Times New Roman"/>
          <w:b/>
          <w:bCs/>
          <w:sz w:val="18"/>
          <w:szCs w:val="18"/>
        </w:rPr>
        <w:t>Abstrak</w:t>
      </w:r>
    </w:p>
    <w:p w:rsidR="00CC2F92" w:rsidRPr="00C80BF0" w:rsidRDefault="00CC2F92" w:rsidP="00F37762">
      <w:p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</w:pP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Satu kaedah</w:t>
      </w:r>
      <w:r w:rsidR="00256A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 penentuan kalsium untuk </w:t>
      </w:r>
      <w:r w:rsidR="00A74059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mortar </w:t>
      </w:r>
      <w:r w:rsidR="00256A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batu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kapur dalam </w:t>
      </w:r>
      <w:r w:rsidR="00256A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runtuhan gereja lama telah dibincangkan. Dua kaedah analisis volumetrik telah dibangunkan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; penti</w:t>
      </w:r>
      <w:r w:rsidR="00256A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tratan menggunakan larutan EDTA dan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KMnO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vertAlign w:val="subscript"/>
          <w:lang w:val="ms-MY"/>
        </w:rPr>
        <w:t>4</w:t>
      </w:r>
      <w:r w:rsidR="00256A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. Pecahan mengikut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saiz ayak (&lt;0.075mm) telah digunakan untuk </w:t>
      </w:r>
      <w:r w:rsidR="00256A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pen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titr</w:t>
      </w:r>
      <w:r w:rsidR="00000D3A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atan yang kaya dengan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CaCO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vertAlign w:val="subscript"/>
          <w:lang w:val="ms-MY"/>
        </w:rPr>
        <w:t>3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 yang </w:t>
      </w:r>
      <w:r w:rsidR="00000D3A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telah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ditentukan oleh teknik inframerah </w:t>
      </w:r>
      <w:r w:rsidR="00000D3A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transformasi Fourier (FTIR). Sampel </w:t>
      </w:r>
      <w:r w:rsidR="00A74059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mortar </w:t>
      </w:r>
      <w:r w:rsidR="00000D3A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batu kapur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dari Misamis</w:t>
      </w:r>
      <w:r w:rsidR="00000D3A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 Oriental menghasilkan purata kepekatan kalsium 59.60% ± 4.64 dan 60.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48% ± 6.68 untuk masing-masing EDTA dan KMnO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vertAlign w:val="subscript"/>
          <w:lang w:val="ms-MY"/>
        </w:rPr>
        <w:t>4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, manakala sampe</w:t>
      </w:r>
      <w:r w:rsidR="00D139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l </w:t>
      </w:r>
      <w:r w:rsidR="00A74059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mortar </w:t>
      </w:r>
      <w:r w:rsidR="00D139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batu kapur</w:t>
      </w:r>
      <w:r w:rsidR="00000D3A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 Metro Manila adalah 73.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54% ± 2.68 untuk E</w:t>
      </w:r>
      <w:r w:rsidR="00000D3A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DTA dan 73.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33% ± 6.88 untuk KMnO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vertAlign w:val="subscript"/>
          <w:lang w:val="ms-MY"/>
        </w:rPr>
        <w:t>4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. </w:t>
      </w:r>
      <w:r w:rsidR="00D139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Analisis ujian-t dan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ujian</w:t>
      </w:r>
      <w:r w:rsidR="00D139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-F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mengesahkan baha</w:t>
      </w:r>
      <w:r w:rsidR="00D139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wa tidak ada perbezaan signifikan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 antara kaedah EDTA dan KMnO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vertAlign w:val="subscript"/>
          <w:lang w:val="ms-MY"/>
        </w:rPr>
        <w:t>4</w:t>
      </w:r>
      <w:r w:rsidR="00D139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 dalam penentuan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kandungan kalsium. </w:t>
      </w:r>
      <w:r w:rsidR="00D13902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Teknik spektroskopi serapan atom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(AAS) </w:t>
      </w:r>
      <w:r w:rsidR="00112FB7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telah menentusahkan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nilai kepekatan yang di</w:t>
      </w:r>
      <w:r w:rsidR="00112FB7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ambil dari setiap kaedah memberikan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p</w:t>
      </w:r>
      <w:r w:rsidR="00112FB7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erbezaan kurang daripada 6.4%. K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aedah pentitratan yang dicadangkan adalah mudah, cepat dan cukup tepat, tanpa menggunakan instrumen analisis mahal. Kajian ini merupakan alternatif yang b</w:t>
      </w:r>
      <w:r w:rsidR="00112FB7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aik dengan mudah menentukan kandungan kalsium dalam </w:t>
      </w:r>
      <w:r w:rsidR="00A74059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mortar </w:t>
      </w:r>
      <w:r w:rsidR="00112FB7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batu </w:t>
      </w:r>
      <w:r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kapur bersejarah yang berharga dalam kerja-kerja pemuliharaan warisan dan pemulihan struktur lama di Filipina.</w:t>
      </w:r>
    </w:p>
    <w:p w:rsidR="00F37762" w:rsidRDefault="00F37762" w:rsidP="00F37762">
      <w:p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990" w:hanging="990"/>
        <w:rPr>
          <w:rFonts w:ascii="Times New Roman" w:eastAsia="Times New Roman" w:hAnsi="Times New Roman" w:cs="Times New Roman"/>
          <w:b/>
          <w:color w:val="212121"/>
          <w:sz w:val="18"/>
          <w:szCs w:val="18"/>
          <w:lang w:val="ms-MY"/>
        </w:rPr>
      </w:pPr>
    </w:p>
    <w:p w:rsidR="0061350D" w:rsidRPr="00C80BF0" w:rsidRDefault="00C5471A" w:rsidP="00112FB7">
      <w:p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990" w:hanging="990"/>
        <w:jc w:val="both"/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</w:pPr>
      <w:r w:rsidRPr="00386CC4">
        <w:rPr>
          <w:rFonts w:ascii="Times New Roman" w:eastAsia="Times New Roman" w:hAnsi="Times New Roman" w:cs="Times New Roman"/>
          <w:b/>
          <w:color w:val="212121"/>
          <w:sz w:val="18"/>
          <w:szCs w:val="18"/>
          <w:lang w:val="ms-MY"/>
        </w:rPr>
        <w:t xml:space="preserve">Kata kunci: </w:t>
      </w:r>
      <w:r w:rsidR="002F4E9D"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mortar kapur, </w:t>
      </w:r>
      <w:r w:rsidR="0061350D"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pentitratan, spektroskopi inframerah</w:t>
      </w:r>
      <w:r w:rsidR="00A74059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 transformasi Fourier</w:t>
      </w:r>
      <w:r w:rsidR="0061350D"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, </w:t>
      </w:r>
      <w:r w:rsidR="00A74059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spektroskopi s</w:t>
      </w:r>
      <w:r w:rsidR="002F4E9D"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 xml:space="preserve">erapan atom, </w:t>
      </w:r>
      <w:r w:rsidR="0061350D" w:rsidRPr="00386CC4">
        <w:rPr>
          <w:rFonts w:ascii="Times New Roman" w:eastAsia="Times New Roman" w:hAnsi="Times New Roman" w:cs="Times New Roman"/>
          <w:color w:val="212121"/>
          <w:sz w:val="18"/>
          <w:szCs w:val="18"/>
          <w:lang w:val="ms-MY"/>
        </w:rPr>
        <w:t>pemuliharaan warisan budaya</w:t>
      </w:r>
    </w:p>
    <w:p w:rsidR="008925D7" w:rsidRPr="00C80BF0" w:rsidRDefault="008925D7" w:rsidP="00112F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ms-MY"/>
        </w:rPr>
      </w:pPr>
    </w:p>
    <w:p w:rsidR="00C35E97" w:rsidRPr="00386CC4" w:rsidRDefault="0070009F" w:rsidP="008925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6CC4">
        <w:rPr>
          <w:rFonts w:ascii="Times New Roman" w:hAnsi="Times New Roman" w:cs="Times New Roman"/>
          <w:b/>
          <w:sz w:val="20"/>
          <w:szCs w:val="20"/>
        </w:rPr>
        <w:t>Introduction</w:t>
      </w:r>
    </w:p>
    <w:p w:rsidR="00CF1CEF" w:rsidRPr="00386CC4" w:rsidRDefault="00FF03D6" w:rsidP="00892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 xml:space="preserve">The </w:t>
      </w:r>
      <w:r w:rsidR="00730C95" w:rsidRPr="00386CC4">
        <w:rPr>
          <w:rFonts w:ascii="Times New Roman" w:hAnsi="Times New Roman" w:cs="Times New Roman"/>
          <w:sz w:val="20"/>
          <w:szCs w:val="20"/>
        </w:rPr>
        <w:t xml:space="preserve">overall amount of </w:t>
      </w:r>
      <w:r w:rsidRPr="00386CC4">
        <w:rPr>
          <w:rFonts w:ascii="Times New Roman" w:hAnsi="Times New Roman" w:cs="Times New Roman"/>
          <w:sz w:val="20"/>
          <w:szCs w:val="20"/>
        </w:rPr>
        <w:t>c</w:t>
      </w:r>
      <w:r w:rsidR="00BB0F6A" w:rsidRPr="00386CC4">
        <w:rPr>
          <w:rFonts w:ascii="Times New Roman" w:hAnsi="Times New Roman" w:cs="Times New Roman"/>
          <w:sz w:val="20"/>
          <w:szCs w:val="20"/>
        </w:rPr>
        <w:t xml:space="preserve">alcium </w:t>
      </w:r>
      <w:r w:rsidR="0099780A" w:rsidRPr="00386CC4">
        <w:rPr>
          <w:rFonts w:ascii="Times New Roman" w:hAnsi="Times New Roman" w:cs="Times New Roman"/>
          <w:sz w:val="20"/>
          <w:szCs w:val="20"/>
        </w:rPr>
        <w:t>is an important parameter f</w:t>
      </w:r>
      <w:r w:rsidR="00145A12" w:rsidRPr="00386CC4">
        <w:rPr>
          <w:rFonts w:ascii="Times New Roman" w:hAnsi="Times New Roman" w:cs="Times New Roman"/>
          <w:sz w:val="20"/>
          <w:szCs w:val="20"/>
        </w:rPr>
        <w:t xml:space="preserve">or </w:t>
      </w:r>
      <w:r w:rsidR="00730C95" w:rsidRPr="00386CC4">
        <w:rPr>
          <w:rFonts w:ascii="Times New Roman" w:hAnsi="Times New Roman" w:cs="Times New Roman"/>
          <w:sz w:val="20"/>
          <w:szCs w:val="20"/>
        </w:rPr>
        <w:t xml:space="preserve">replicating </w:t>
      </w:r>
      <w:r w:rsidR="00BB0F6A" w:rsidRPr="00386CC4">
        <w:rPr>
          <w:rFonts w:ascii="Times New Roman" w:hAnsi="Times New Roman" w:cs="Times New Roman"/>
          <w:sz w:val="20"/>
          <w:szCs w:val="20"/>
        </w:rPr>
        <w:t>historic lime</w:t>
      </w:r>
      <w:r w:rsidR="006105A4" w:rsidRPr="00386CC4">
        <w:rPr>
          <w:rFonts w:ascii="Times New Roman" w:hAnsi="Times New Roman" w:cs="Times New Roman"/>
          <w:sz w:val="20"/>
          <w:szCs w:val="20"/>
        </w:rPr>
        <w:t>-based</w:t>
      </w:r>
      <w:r w:rsidR="00730C95" w:rsidRPr="00386CC4">
        <w:rPr>
          <w:rFonts w:ascii="Times New Roman" w:hAnsi="Times New Roman" w:cs="Times New Roman"/>
          <w:sz w:val="20"/>
          <w:szCs w:val="20"/>
        </w:rPr>
        <w:t xml:space="preserve"> mortars for restoration work. Calcium </w:t>
      </w:r>
      <w:r w:rsidR="002B514D" w:rsidRPr="00386CC4">
        <w:rPr>
          <w:rFonts w:ascii="Times New Roman" w:hAnsi="Times New Roman" w:cs="Times New Roman"/>
          <w:sz w:val="20"/>
          <w:szCs w:val="20"/>
        </w:rPr>
        <w:t xml:space="preserve">is the principal </w:t>
      </w:r>
      <w:r w:rsidR="00730C95" w:rsidRPr="00386CC4">
        <w:rPr>
          <w:rFonts w:ascii="Times New Roman" w:hAnsi="Times New Roman" w:cs="Times New Roman"/>
          <w:sz w:val="20"/>
          <w:szCs w:val="20"/>
        </w:rPr>
        <w:t xml:space="preserve">chemical </w:t>
      </w:r>
      <w:r w:rsidR="002B514D" w:rsidRPr="00386CC4">
        <w:rPr>
          <w:rFonts w:ascii="Times New Roman" w:hAnsi="Times New Roman" w:cs="Times New Roman"/>
          <w:sz w:val="20"/>
          <w:szCs w:val="20"/>
        </w:rPr>
        <w:t xml:space="preserve">element found in binders which is the component </w:t>
      </w:r>
      <w:r w:rsidR="003D582B" w:rsidRPr="00386CC4">
        <w:rPr>
          <w:rFonts w:ascii="Times New Roman" w:hAnsi="Times New Roman" w:cs="Times New Roman"/>
          <w:sz w:val="20"/>
          <w:szCs w:val="20"/>
        </w:rPr>
        <w:t xml:space="preserve">of </w:t>
      </w:r>
      <w:r w:rsidR="002B514D" w:rsidRPr="00386CC4">
        <w:rPr>
          <w:rFonts w:ascii="Times New Roman" w:hAnsi="Times New Roman" w:cs="Times New Roman"/>
          <w:sz w:val="20"/>
          <w:szCs w:val="20"/>
        </w:rPr>
        <w:t>mortars</w:t>
      </w:r>
      <w:r w:rsidR="00413E3B" w:rsidRPr="00386CC4">
        <w:rPr>
          <w:rFonts w:ascii="Times New Roman" w:hAnsi="Times New Roman" w:cs="Times New Roman"/>
          <w:sz w:val="20"/>
          <w:szCs w:val="20"/>
        </w:rPr>
        <w:t xml:space="preserve"> responsible for holding </w:t>
      </w:r>
      <w:r w:rsidR="000E3EDC" w:rsidRPr="00386CC4">
        <w:rPr>
          <w:rFonts w:ascii="Times New Roman" w:hAnsi="Times New Roman" w:cs="Times New Roman"/>
          <w:sz w:val="20"/>
          <w:szCs w:val="20"/>
        </w:rPr>
        <w:t xml:space="preserve">together the different </w:t>
      </w:r>
      <w:r w:rsidR="007E4C9A" w:rsidRPr="00386CC4">
        <w:rPr>
          <w:rFonts w:ascii="Times New Roman" w:hAnsi="Times New Roman" w:cs="Times New Roman"/>
          <w:sz w:val="20"/>
          <w:szCs w:val="20"/>
        </w:rPr>
        <w:t xml:space="preserve">stone and sand </w:t>
      </w:r>
      <w:r w:rsidR="000E3EDC" w:rsidRPr="00386CC4">
        <w:rPr>
          <w:rFonts w:ascii="Times New Roman" w:hAnsi="Times New Roman" w:cs="Times New Roman"/>
          <w:sz w:val="20"/>
          <w:szCs w:val="20"/>
        </w:rPr>
        <w:t>aggregates.</w:t>
      </w:r>
      <w:r w:rsidR="006105A4" w:rsidRPr="00386CC4">
        <w:rPr>
          <w:rFonts w:ascii="Times New Roman" w:hAnsi="Times New Roman" w:cs="Times New Roman"/>
          <w:sz w:val="20"/>
          <w:szCs w:val="20"/>
        </w:rPr>
        <w:t xml:space="preserve"> Binder</w:t>
      </w:r>
      <w:r w:rsidR="001E0E20" w:rsidRPr="00386CC4">
        <w:rPr>
          <w:rFonts w:ascii="Times New Roman" w:hAnsi="Times New Roman" w:cs="Times New Roman"/>
          <w:sz w:val="20"/>
          <w:szCs w:val="20"/>
        </w:rPr>
        <w:t>s</w:t>
      </w:r>
      <w:r w:rsidR="006105A4" w:rsidRPr="00386CC4">
        <w:rPr>
          <w:rFonts w:ascii="Times New Roman" w:hAnsi="Times New Roman" w:cs="Times New Roman"/>
          <w:sz w:val="20"/>
          <w:szCs w:val="20"/>
        </w:rPr>
        <w:t xml:space="preserve"> are essentially composed of lime </w:t>
      </w:r>
      <w:r w:rsidR="001E0E20" w:rsidRPr="00386CC4">
        <w:rPr>
          <w:rFonts w:ascii="Times New Roman" w:hAnsi="Times New Roman" w:cs="Times New Roman"/>
          <w:sz w:val="20"/>
          <w:szCs w:val="20"/>
        </w:rPr>
        <w:t>or CaCO</w:t>
      </w:r>
      <w:r w:rsidR="001E0E20" w:rsidRPr="00386CC4">
        <w:rPr>
          <w:rFonts w:ascii="Times New Roman" w:hAnsi="Times New Roman" w:cs="Times New Roman"/>
          <w:sz w:val="20"/>
          <w:szCs w:val="20"/>
          <w:vertAlign w:val="subscript"/>
        </w:rPr>
        <w:t xml:space="preserve">3 </w:t>
      </w:r>
      <w:r w:rsidR="001E0E20" w:rsidRPr="00386CC4">
        <w:rPr>
          <w:rFonts w:ascii="Times New Roman" w:hAnsi="Times New Roman" w:cs="Times New Roman"/>
          <w:sz w:val="20"/>
          <w:szCs w:val="20"/>
        </w:rPr>
        <w:t xml:space="preserve">produced by burning </w:t>
      </w:r>
      <w:r w:rsidR="003D582B" w:rsidRPr="00386CC4">
        <w:rPr>
          <w:rFonts w:ascii="Times New Roman" w:hAnsi="Times New Roman" w:cs="Times New Roman"/>
          <w:sz w:val="20"/>
          <w:szCs w:val="20"/>
        </w:rPr>
        <w:t xml:space="preserve">limestone. In the Philippines, lime can also be obtained from </w:t>
      </w:r>
      <w:r w:rsidR="001E0E20" w:rsidRPr="00386CC4">
        <w:rPr>
          <w:rFonts w:ascii="Times New Roman" w:hAnsi="Times New Roman" w:cs="Times New Roman"/>
          <w:sz w:val="20"/>
          <w:szCs w:val="20"/>
        </w:rPr>
        <w:t>crushed seashells and corals [</w:t>
      </w:r>
      <w:r w:rsidR="005971BE" w:rsidRPr="00386CC4">
        <w:rPr>
          <w:rFonts w:ascii="Times New Roman" w:hAnsi="Times New Roman" w:cs="Times New Roman"/>
          <w:sz w:val="20"/>
          <w:szCs w:val="20"/>
        </w:rPr>
        <w:t>1</w:t>
      </w:r>
      <w:r w:rsidR="00112FB7">
        <w:rPr>
          <w:rFonts w:ascii="Times New Roman" w:hAnsi="Times New Roman" w:cs="Times New Roman"/>
          <w:sz w:val="20"/>
          <w:szCs w:val="20"/>
        </w:rPr>
        <w:t xml:space="preserve">]. </w:t>
      </w:r>
      <w:r w:rsidR="001E0E20" w:rsidRPr="00386CC4">
        <w:rPr>
          <w:rFonts w:ascii="Times New Roman" w:hAnsi="Times New Roman" w:cs="Times New Roman"/>
          <w:sz w:val="20"/>
          <w:szCs w:val="20"/>
        </w:rPr>
        <w:t>Th</w:t>
      </w:r>
      <w:r w:rsidR="003D582B" w:rsidRPr="00386CC4">
        <w:rPr>
          <w:rFonts w:ascii="Times New Roman" w:hAnsi="Times New Roman" w:cs="Times New Roman"/>
          <w:sz w:val="20"/>
          <w:szCs w:val="20"/>
        </w:rPr>
        <w:t xml:space="preserve">e temperature and manufacturing process </w:t>
      </w:r>
      <w:r w:rsidR="001E0E20" w:rsidRPr="00386CC4">
        <w:rPr>
          <w:rFonts w:ascii="Times New Roman" w:hAnsi="Times New Roman" w:cs="Times New Roman"/>
          <w:sz w:val="20"/>
          <w:szCs w:val="20"/>
        </w:rPr>
        <w:t>of lime is crucial</w:t>
      </w:r>
      <w:r w:rsidR="003D582B" w:rsidRPr="00386CC4">
        <w:rPr>
          <w:rFonts w:ascii="Times New Roman" w:hAnsi="Times New Roman" w:cs="Times New Roman"/>
          <w:sz w:val="20"/>
          <w:szCs w:val="20"/>
        </w:rPr>
        <w:t xml:space="preserve"> in determining </w:t>
      </w:r>
      <w:r w:rsidR="00730C95" w:rsidRPr="00386CC4">
        <w:rPr>
          <w:rFonts w:ascii="Times New Roman" w:hAnsi="Times New Roman" w:cs="Times New Roman"/>
          <w:sz w:val="20"/>
          <w:szCs w:val="20"/>
        </w:rPr>
        <w:t>the mortar’s</w:t>
      </w:r>
      <w:r w:rsidR="003D582B" w:rsidRPr="00386CC4">
        <w:rPr>
          <w:rFonts w:ascii="Times New Roman" w:hAnsi="Times New Roman" w:cs="Times New Roman"/>
          <w:sz w:val="20"/>
          <w:szCs w:val="20"/>
        </w:rPr>
        <w:t xml:space="preserve"> physical properties and mechanical behaviour. </w:t>
      </w:r>
      <w:r w:rsidR="008737EB" w:rsidRPr="00386CC4">
        <w:rPr>
          <w:rFonts w:ascii="Times New Roman" w:hAnsi="Times New Roman" w:cs="Times New Roman"/>
          <w:sz w:val="20"/>
          <w:szCs w:val="20"/>
        </w:rPr>
        <w:t>Specifically</w:t>
      </w:r>
      <w:r w:rsidR="001365B2" w:rsidRPr="00386CC4">
        <w:rPr>
          <w:rFonts w:ascii="Times New Roman" w:hAnsi="Times New Roman" w:cs="Times New Roman"/>
          <w:sz w:val="20"/>
          <w:szCs w:val="20"/>
        </w:rPr>
        <w:t xml:space="preserve">, </w:t>
      </w:r>
      <w:r w:rsidR="00114C45" w:rsidRPr="00386CC4">
        <w:rPr>
          <w:rFonts w:ascii="Times New Roman" w:hAnsi="Times New Roman" w:cs="Times New Roman"/>
          <w:sz w:val="20"/>
          <w:szCs w:val="20"/>
        </w:rPr>
        <w:t>t</w:t>
      </w:r>
      <w:r w:rsidR="003D582B" w:rsidRPr="00386CC4">
        <w:rPr>
          <w:rFonts w:ascii="Times New Roman" w:hAnsi="Times New Roman" w:cs="Times New Roman"/>
          <w:sz w:val="20"/>
          <w:szCs w:val="20"/>
        </w:rPr>
        <w:t xml:space="preserve">he crystal </w:t>
      </w:r>
      <w:r w:rsidR="0069726C" w:rsidRPr="00386CC4">
        <w:rPr>
          <w:rFonts w:ascii="Times New Roman" w:hAnsi="Times New Roman" w:cs="Times New Roman"/>
          <w:sz w:val="20"/>
          <w:szCs w:val="20"/>
        </w:rPr>
        <w:t>arrangement</w:t>
      </w:r>
      <w:r w:rsidR="003D582B" w:rsidRPr="00386CC4">
        <w:rPr>
          <w:rFonts w:ascii="Times New Roman" w:hAnsi="Times New Roman" w:cs="Times New Roman"/>
          <w:sz w:val="20"/>
          <w:szCs w:val="20"/>
        </w:rPr>
        <w:t xml:space="preserve">, porosity and </w:t>
      </w:r>
      <w:r w:rsidR="00114C45" w:rsidRPr="00386CC4">
        <w:rPr>
          <w:rFonts w:ascii="Times New Roman" w:hAnsi="Times New Roman" w:cs="Times New Roman"/>
          <w:sz w:val="20"/>
          <w:szCs w:val="20"/>
        </w:rPr>
        <w:t xml:space="preserve">the lime’s </w:t>
      </w:r>
      <w:r w:rsidR="003D582B" w:rsidRPr="00386CC4">
        <w:rPr>
          <w:rFonts w:ascii="Times New Roman" w:hAnsi="Times New Roman" w:cs="Times New Roman"/>
          <w:sz w:val="20"/>
          <w:szCs w:val="20"/>
        </w:rPr>
        <w:t>reactivity when water is added (slaking) will be affected</w:t>
      </w:r>
      <w:r w:rsidR="00126EA0" w:rsidRPr="00386CC4">
        <w:rPr>
          <w:rFonts w:ascii="Times New Roman" w:hAnsi="Times New Roman" w:cs="Times New Roman"/>
          <w:sz w:val="20"/>
          <w:szCs w:val="20"/>
        </w:rPr>
        <w:t xml:space="preserve"> [</w:t>
      </w:r>
      <w:r w:rsidR="005971BE" w:rsidRPr="00386CC4">
        <w:rPr>
          <w:rFonts w:ascii="Times New Roman" w:hAnsi="Times New Roman" w:cs="Times New Roman"/>
          <w:sz w:val="20"/>
          <w:szCs w:val="20"/>
        </w:rPr>
        <w:t>2</w:t>
      </w:r>
      <w:r w:rsidR="00A33E85" w:rsidRPr="00386CC4">
        <w:rPr>
          <w:rFonts w:ascii="Times New Roman" w:hAnsi="Times New Roman" w:cs="Times New Roman"/>
          <w:sz w:val="20"/>
          <w:szCs w:val="20"/>
        </w:rPr>
        <w:t>,</w:t>
      </w:r>
      <w:r w:rsidR="00112FB7">
        <w:rPr>
          <w:rFonts w:ascii="Times New Roman" w:hAnsi="Times New Roman" w:cs="Times New Roman"/>
          <w:sz w:val="20"/>
          <w:szCs w:val="20"/>
        </w:rPr>
        <w:t xml:space="preserve"> </w:t>
      </w:r>
      <w:r w:rsidR="00A33E85" w:rsidRPr="00386CC4">
        <w:rPr>
          <w:rFonts w:ascii="Times New Roman" w:hAnsi="Times New Roman" w:cs="Times New Roman"/>
          <w:sz w:val="20"/>
          <w:szCs w:val="20"/>
        </w:rPr>
        <w:t>3</w:t>
      </w:r>
      <w:r w:rsidR="00126EA0" w:rsidRPr="00386CC4">
        <w:rPr>
          <w:rFonts w:ascii="Times New Roman" w:hAnsi="Times New Roman" w:cs="Times New Roman"/>
          <w:sz w:val="20"/>
          <w:szCs w:val="20"/>
        </w:rPr>
        <w:t xml:space="preserve">]. </w:t>
      </w:r>
      <w:r w:rsidR="008737EB" w:rsidRPr="00386CC4">
        <w:rPr>
          <w:rFonts w:ascii="Times New Roman" w:hAnsi="Times New Roman" w:cs="Times New Roman"/>
          <w:sz w:val="20"/>
          <w:szCs w:val="20"/>
        </w:rPr>
        <w:t>The absence of standard</w:t>
      </w:r>
      <w:r w:rsidR="001365B2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126EA0" w:rsidRPr="00386CC4">
        <w:rPr>
          <w:rFonts w:ascii="Times New Roman" w:hAnsi="Times New Roman" w:cs="Times New Roman"/>
          <w:sz w:val="20"/>
          <w:szCs w:val="20"/>
        </w:rPr>
        <w:t xml:space="preserve">methodologies </w:t>
      </w:r>
      <w:r w:rsidR="008737EB" w:rsidRPr="00386CC4">
        <w:rPr>
          <w:rFonts w:ascii="Times New Roman" w:hAnsi="Times New Roman" w:cs="Times New Roman"/>
          <w:sz w:val="20"/>
          <w:szCs w:val="20"/>
        </w:rPr>
        <w:t xml:space="preserve">in </w:t>
      </w:r>
      <w:r w:rsidR="001365B2" w:rsidRPr="00386CC4">
        <w:rPr>
          <w:rFonts w:ascii="Times New Roman" w:hAnsi="Times New Roman" w:cs="Times New Roman"/>
          <w:sz w:val="20"/>
          <w:szCs w:val="20"/>
        </w:rPr>
        <w:t>lime preparation in the past</w:t>
      </w:r>
      <w:r w:rsidR="00730C95" w:rsidRPr="00386CC4">
        <w:rPr>
          <w:rFonts w:ascii="Times New Roman" w:hAnsi="Times New Roman" w:cs="Times New Roman"/>
          <w:sz w:val="20"/>
          <w:szCs w:val="20"/>
        </w:rPr>
        <w:t>,</w:t>
      </w:r>
      <w:r w:rsidR="001365B2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730C95" w:rsidRPr="00386CC4">
        <w:rPr>
          <w:rFonts w:ascii="Times New Roman" w:hAnsi="Times New Roman" w:cs="Times New Roman"/>
          <w:sz w:val="20"/>
          <w:szCs w:val="20"/>
        </w:rPr>
        <w:t xml:space="preserve">as well as </w:t>
      </w:r>
      <w:r w:rsidR="00126EA0" w:rsidRPr="00386CC4">
        <w:rPr>
          <w:rFonts w:ascii="Times New Roman" w:hAnsi="Times New Roman" w:cs="Times New Roman"/>
          <w:sz w:val="20"/>
          <w:szCs w:val="20"/>
        </w:rPr>
        <w:t xml:space="preserve">the lack of </w:t>
      </w:r>
      <w:r w:rsidR="0069726C" w:rsidRPr="00386CC4">
        <w:rPr>
          <w:rFonts w:ascii="Times New Roman" w:hAnsi="Times New Roman" w:cs="Times New Roman"/>
          <w:sz w:val="20"/>
          <w:szCs w:val="20"/>
        </w:rPr>
        <w:t xml:space="preserve">detailed documentation </w:t>
      </w:r>
      <w:r w:rsidR="00126EA0" w:rsidRPr="00386CC4">
        <w:rPr>
          <w:rFonts w:ascii="Times New Roman" w:hAnsi="Times New Roman" w:cs="Times New Roman"/>
          <w:sz w:val="20"/>
          <w:szCs w:val="20"/>
        </w:rPr>
        <w:t>on it</w:t>
      </w:r>
      <w:r w:rsidR="0069726C" w:rsidRPr="00386CC4">
        <w:rPr>
          <w:rFonts w:ascii="Times New Roman" w:hAnsi="Times New Roman" w:cs="Times New Roman"/>
          <w:sz w:val="20"/>
          <w:szCs w:val="20"/>
        </w:rPr>
        <w:t>s</w:t>
      </w:r>
      <w:r w:rsidR="00126EA0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69726C" w:rsidRPr="00386CC4">
        <w:rPr>
          <w:rFonts w:ascii="Times New Roman" w:hAnsi="Times New Roman" w:cs="Times New Roman"/>
          <w:sz w:val="20"/>
          <w:szCs w:val="20"/>
        </w:rPr>
        <w:t xml:space="preserve">manufacture </w:t>
      </w:r>
      <w:r w:rsidR="0003297D" w:rsidRPr="00386CC4">
        <w:rPr>
          <w:rFonts w:ascii="Times New Roman" w:hAnsi="Times New Roman" w:cs="Times New Roman"/>
          <w:sz w:val="20"/>
          <w:szCs w:val="20"/>
        </w:rPr>
        <w:t xml:space="preserve">in the </w:t>
      </w:r>
      <w:r w:rsidR="0069726C" w:rsidRPr="00386CC4">
        <w:rPr>
          <w:rFonts w:ascii="Times New Roman" w:hAnsi="Times New Roman" w:cs="Times New Roman"/>
          <w:sz w:val="20"/>
          <w:szCs w:val="20"/>
        </w:rPr>
        <w:t>Philippines</w:t>
      </w:r>
      <w:r w:rsidR="00CF794D" w:rsidRPr="00386CC4">
        <w:rPr>
          <w:rFonts w:ascii="Times New Roman" w:hAnsi="Times New Roman" w:cs="Times New Roman"/>
          <w:sz w:val="20"/>
          <w:szCs w:val="20"/>
        </w:rPr>
        <w:t>,</w:t>
      </w:r>
      <w:r w:rsidR="00126EA0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69726C" w:rsidRPr="00386CC4">
        <w:rPr>
          <w:rFonts w:ascii="Times New Roman" w:hAnsi="Times New Roman" w:cs="Times New Roman"/>
          <w:sz w:val="20"/>
          <w:szCs w:val="20"/>
        </w:rPr>
        <w:t>have</w:t>
      </w:r>
      <w:r w:rsidR="00126EA0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69726C" w:rsidRPr="00386CC4">
        <w:rPr>
          <w:rFonts w:ascii="Times New Roman" w:hAnsi="Times New Roman" w:cs="Times New Roman"/>
          <w:sz w:val="20"/>
          <w:szCs w:val="20"/>
        </w:rPr>
        <w:t xml:space="preserve">produced </w:t>
      </w:r>
      <w:r w:rsidR="002342D1" w:rsidRPr="00386CC4">
        <w:rPr>
          <w:rFonts w:ascii="Times New Roman" w:hAnsi="Times New Roman" w:cs="Times New Roman"/>
          <w:sz w:val="20"/>
          <w:szCs w:val="20"/>
        </w:rPr>
        <w:t xml:space="preserve">old </w:t>
      </w:r>
      <w:r w:rsidR="0003297D" w:rsidRPr="00386CC4">
        <w:rPr>
          <w:rFonts w:ascii="Times New Roman" w:hAnsi="Times New Roman" w:cs="Times New Roman"/>
          <w:sz w:val="20"/>
          <w:szCs w:val="20"/>
        </w:rPr>
        <w:t xml:space="preserve">lime-based </w:t>
      </w:r>
      <w:r w:rsidR="00126EA0" w:rsidRPr="00386CC4">
        <w:rPr>
          <w:rFonts w:ascii="Times New Roman" w:hAnsi="Times New Roman" w:cs="Times New Roman"/>
          <w:sz w:val="20"/>
          <w:szCs w:val="20"/>
        </w:rPr>
        <w:t xml:space="preserve">mortars </w:t>
      </w:r>
      <w:r w:rsidR="007B3312" w:rsidRPr="00386CC4">
        <w:rPr>
          <w:rFonts w:ascii="Times New Roman" w:hAnsi="Times New Roman" w:cs="Times New Roman"/>
          <w:sz w:val="20"/>
          <w:szCs w:val="20"/>
        </w:rPr>
        <w:t xml:space="preserve">which are non-uniform </w:t>
      </w:r>
      <w:r w:rsidR="00730C95" w:rsidRPr="00386CC4">
        <w:rPr>
          <w:rFonts w:ascii="Times New Roman" w:hAnsi="Times New Roman" w:cs="Times New Roman"/>
          <w:sz w:val="20"/>
          <w:szCs w:val="20"/>
        </w:rPr>
        <w:t>and</w:t>
      </w:r>
      <w:r w:rsidR="00226B87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7B3312" w:rsidRPr="00386CC4">
        <w:rPr>
          <w:rFonts w:ascii="Times New Roman" w:hAnsi="Times New Roman" w:cs="Times New Roman"/>
          <w:sz w:val="20"/>
          <w:szCs w:val="20"/>
        </w:rPr>
        <w:t>var</w:t>
      </w:r>
      <w:r w:rsidR="00CF794D" w:rsidRPr="00386CC4">
        <w:rPr>
          <w:rFonts w:ascii="Times New Roman" w:hAnsi="Times New Roman" w:cs="Times New Roman"/>
          <w:sz w:val="20"/>
          <w:szCs w:val="20"/>
        </w:rPr>
        <w:t>ied in</w:t>
      </w:r>
      <w:r w:rsidR="007B3312" w:rsidRPr="00386CC4">
        <w:rPr>
          <w:rFonts w:ascii="Times New Roman" w:hAnsi="Times New Roman" w:cs="Times New Roman"/>
          <w:sz w:val="20"/>
          <w:szCs w:val="20"/>
        </w:rPr>
        <w:t xml:space="preserve"> chemical </w:t>
      </w:r>
      <w:r w:rsidR="002342D1" w:rsidRPr="00386CC4">
        <w:rPr>
          <w:rFonts w:ascii="Times New Roman" w:hAnsi="Times New Roman" w:cs="Times New Roman"/>
          <w:sz w:val="20"/>
          <w:szCs w:val="20"/>
        </w:rPr>
        <w:t>composition</w:t>
      </w:r>
      <w:r w:rsidR="00E73A12" w:rsidRPr="00386CC4">
        <w:rPr>
          <w:rFonts w:ascii="Times New Roman" w:hAnsi="Times New Roman" w:cs="Times New Roman"/>
          <w:sz w:val="20"/>
          <w:szCs w:val="20"/>
        </w:rPr>
        <w:t>s</w:t>
      </w:r>
      <w:r w:rsidR="002342D1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730C95" w:rsidRPr="00386CC4">
        <w:rPr>
          <w:rFonts w:ascii="Times New Roman" w:hAnsi="Times New Roman" w:cs="Times New Roman"/>
          <w:sz w:val="20"/>
          <w:szCs w:val="20"/>
        </w:rPr>
        <w:t xml:space="preserve">relative to </w:t>
      </w:r>
      <w:r w:rsidR="00126EA0" w:rsidRPr="00386CC4">
        <w:rPr>
          <w:rFonts w:ascii="Times New Roman" w:hAnsi="Times New Roman" w:cs="Times New Roman"/>
          <w:sz w:val="20"/>
          <w:szCs w:val="20"/>
        </w:rPr>
        <w:t xml:space="preserve">its location. </w:t>
      </w:r>
      <w:r w:rsidR="00226B87" w:rsidRPr="00386CC4">
        <w:rPr>
          <w:rFonts w:ascii="Times New Roman" w:hAnsi="Times New Roman" w:cs="Times New Roman"/>
          <w:sz w:val="20"/>
          <w:szCs w:val="20"/>
        </w:rPr>
        <w:t xml:space="preserve">Hence, </w:t>
      </w:r>
      <w:r w:rsidR="0003297D" w:rsidRPr="00386CC4">
        <w:rPr>
          <w:rFonts w:ascii="Times New Roman" w:hAnsi="Times New Roman" w:cs="Times New Roman"/>
          <w:sz w:val="20"/>
          <w:szCs w:val="20"/>
        </w:rPr>
        <w:t xml:space="preserve">proper scientific investigation </w:t>
      </w:r>
      <w:r w:rsidR="0039703B" w:rsidRPr="00386CC4">
        <w:rPr>
          <w:rFonts w:ascii="Times New Roman" w:hAnsi="Times New Roman" w:cs="Times New Roman"/>
          <w:sz w:val="20"/>
          <w:szCs w:val="20"/>
        </w:rPr>
        <w:t xml:space="preserve">to </w:t>
      </w:r>
      <w:r w:rsidR="00226B87" w:rsidRPr="00386CC4">
        <w:rPr>
          <w:rFonts w:ascii="Times New Roman" w:hAnsi="Times New Roman" w:cs="Times New Roman"/>
          <w:sz w:val="20"/>
          <w:szCs w:val="20"/>
        </w:rPr>
        <w:t>understand conventional lime-</w:t>
      </w:r>
      <w:r w:rsidR="0003297D" w:rsidRPr="00386CC4">
        <w:rPr>
          <w:rFonts w:ascii="Times New Roman" w:hAnsi="Times New Roman" w:cs="Times New Roman"/>
          <w:sz w:val="20"/>
          <w:szCs w:val="20"/>
        </w:rPr>
        <w:t xml:space="preserve">making techniques </w:t>
      </w:r>
      <w:r w:rsidR="00226B87" w:rsidRPr="00386CC4">
        <w:rPr>
          <w:rFonts w:ascii="Times New Roman" w:hAnsi="Times New Roman" w:cs="Times New Roman"/>
          <w:sz w:val="20"/>
          <w:szCs w:val="20"/>
        </w:rPr>
        <w:t xml:space="preserve">in the past based on </w:t>
      </w:r>
      <w:r w:rsidR="00145A12" w:rsidRPr="00386CC4">
        <w:rPr>
          <w:rFonts w:ascii="Times New Roman" w:hAnsi="Times New Roman" w:cs="Times New Roman"/>
          <w:sz w:val="20"/>
          <w:szCs w:val="20"/>
        </w:rPr>
        <w:t xml:space="preserve">calcium content </w:t>
      </w:r>
      <w:r w:rsidR="0003297D" w:rsidRPr="00386CC4">
        <w:rPr>
          <w:rFonts w:ascii="Times New Roman" w:hAnsi="Times New Roman" w:cs="Times New Roman"/>
          <w:sz w:val="20"/>
          <w:szCs w:val="20"/>
        </w:rPr>
        <w:t xml:space="preserve">is </w:t>
      </w:r>
      <w:r w:rsidR="00226B87" w:rsidRPr="00386CC4">
        <w:rPr>
          <w:rFonts w:ascii="Times New Roman" w:hAnsi="Times New Roman" w:cs="Times New Roman"/>
          <w:sz w:val="20"/>
          <w:szCs w:val="20"/>
        </w:rPr>
        <w:t>crucial</w:t>
      </w:r>
      <w:r w:rsidR="0003297D" w:rsidRPr="00386CC4">
        <w:rPr>
          <w:rFonts w:ascii="Times New Roman" w:hAnsi="Times New Roman" w:cs="Times New Roman"/>
          <w:sz w:val="20"/>
          <w:szCs w:val="20"/>
        </w:rPr>
        <w:t xml:space="preserve"> for proper conservation work of </w:t>
      </w:r>
      <w:r w:rsidR="00226B87" w:rsidRPr="00386CC4">
        <w:rPr>
          <w:rFonts w:ascii="Times New Roman" w:hAnsi="Times New Roman" w:cs="Times New Roman"/>
          <w:sz w:val="20"/>
          <w:szCs w:val="20"/>
        </w:rPr>
        <w:t xml:space="preserve">historic </w:t>
      </w:r>
      <w:r w:rsidR="0003297D" w:rsidRPr="00386CC4">
        <w:rPr>
          <w:rFonts w:ascii="Times New Roman" w:hAnsi="Times New Roman" w:cs="Times New Roman"/>
          <w:sz w:val="20"/>
          <w:szCs w:val="20"/>
        </w:rPr>
        <w:t xml:space="preserve">structures in the Philippines.   </w:t>
      </w:r>
    </w:p>
    <w:p w:rsidR="00CF1CEF" w:rsidRPr="00386CC4" w:rsidRDefault="00CF1CEF" w:rsidP="00892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7B38" w:rsidRPr="00386CC4" w:rsidRDefault="00CF1CEF" w:rsidP="00892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lastRenderedPageBreak/>
        <w:t>This study describes the amount of calcium in a lime-based historic mo</w:t>
      </w:r>
      <w:r w:rsidR="00226B87" w:rsidRPr="00386CC4">
        <w:rPr>
          <w:rFonts w:ascii="Times New Roman" w:hAnsi="Times New Roman" w:cs="Times New Roman"/>
          <w:sz w:val="20"/>
          <w:szCs w:val="20"/>
        </w:rPr>
        <w:t xml:space="preserve">rtar </w:t>
      </w:r>
      <w:r w:rsidR="00517CFC" w:rsidRPr="00386CC4">
        <w:rPr>
          <w:rFonts w:ascii="Times New Roman" w:hAnsi="Times New Roman" w:cs="Times New Roman"/>
          <w:sz w:val="20"/>
          <w:szCs w:val="20"/>
        </w:rPr>
        <w:t>from church ruins built during the Spanish Colonial Period in the Philippines.</w:t>
      </w:r>
      <w:r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337EB3" w:rsidRPr="00386CC4">
        <w:rPr>
          <w:rFonts w:ascii="Times New Roman" w:hAnsi="Times New Roman" w:cs="Times New Roman"/>
          <w:sz w:val="20"/>
          <w:szCs w:val="20"/>
        </w:rPr>
        <w:t>The country was under Spa</w:t>
      </w:r>
      <w:r w:rsidR="00517CFC" w:rsidRPr="00386CC4">
        <w:rPr>
          <w:rFonts w:ascii="Times New Roman" w:hAnsi="Times New Roman" w:cs="Times New Roman"/>
          <w:sz w:val="20"/>
          <w:szCs w:val="20"/>
        </w:rPr>
        <w:t xml:space="preserve">nish </w:t>
      </w:r>
      <w:r w:rsidR="00337EB3" w:rsidRPr="00386CC4">
        <w:rPr>
          <w:rFonts w:ascii="Times New Roman" w:hAnsi="Times New Roman" w:cs="Times New Roman"/>
          <w:sz w:val="20"/>
          <w:szCs w:val="20"/>
        </w:rPr>
        <w:t xml:space="preserve">rule </w:t>
      </w:r>
      <w:r w:rsidR="00A7246E" w:rsidRPr="00386CC4">
        <w:rPr>
          <w:rFonts w:ascii="Times New Roman" w:hAnsi="Times New Roman" w:cs="Times New Roman"/>
          <w:sz w:val="20"/>
          <w:szCs w:val="20"/>
        </w:rPr>
        <w:t xml:space="preserve">for almost 400 years </w:t>
      </w:r>
      <w:r w:rsidR="00337EB3" w:rsidRPr="00386CC4">
        <w:rPr>
          <w:rFonts w:ascii="Times New Roman" w:hAnsi="Times New Roman" w:cs="Times New Roman"/>
          <w:sz w:val="20"/>
          <w:szCs w:val="20"/>
        </w:rPr>
        <w:t xml:space="preserve">from 1521 to 1898 and was heavily influenced by </w:t>
      </w:r>
      <w:r w:rsidR="00003839" w:rsidRPr="00386CC4">
        <w:rPr>
          <w:rFonts w:ascii="Times New Roman" w:hAnsi="Times New Roman" w:cs="Times New Roman"/>
          <w:sz w:val="20"/>
          <w:szCs w:val="20"/>
        </w:rPr>
        <w:t xml:space="preserve">Roman </w:t>
      </w:r>
      <w:r w:rsidR="00337EB3" w:rsidRPr="00386CC4">
        <w:rPr>
          <w:rFonts w:ascii="Times New Roman" w:hAnsi="Times New Roman" w:cs="Times New Roman"/>
          <w:sz w:val="20"/>
          <w:szCs w:val="20"/>
        </w:rPr>
        <w:t xml:space="preserve">Catholic </w:t>
      </w:r>
      <w:r w:rsidR="00A55517" w:rsidRPr="00386CC4">
        <w:rPr>
          <w:rFonts w:ascii="Times New Roman" w:hAnsi="Times New Roman" w:cs="Times New Roman"/>
          <w:sz w:val="20"/>
          <w:szCs w:val="20"/>
        </w:rPr>
        <w:t>traditions</w:t>
      </w:r>
      <w:r w:rsidR="00337EB3" w:rsidRPr="00386CC4">
        <w:rPr>
          <w:rFonts w:ascii="Times New Roman" w:hAnsi="Times New Roman" w:cs="Times New Roman"/>
          <w:sz w:val="20"/>
          <w:szCs w:val="20"/>
        </w:rPr>
        <w:t xml:space="preserve">. </w:t>
      </w:r>
      <w:r w:rsidRPr="00386CC4">
        <w:rPr>
          <w:rFonts w:ascii="Times New Roman" w:hAnsi="Times New Roman" w:cs="Times New Roman"/>
          <w:sz w:val="20"/>
          <w:szCs w:val="20"/>
        </w:rPr>
        <w:t xml:space="preserve">The church </w:t>
      </w:r>
      <w:r w:rsidR="005C2D62" w:rsidRPr="00386CC4">
        <w:rPr>
          <w:rFonts w:ascii="Times New Roman" w:hAnsi="Times New Roman" w:cs="Times New Roman"/>
          <w:sz w:val="20"/>
          <w:szCs w:val="20"/>
        </w:rPr>
        <w:t xml:space="preserve">ruin </w:t>
      </w:r>
      <w:r w:rsidR="00517CFC" w:rsidRPr="00386CC4">
        <w:rPr>
          <w:rFonts w:ascii="Times New Roman" w:hAnsi="Times New Roman" w:cs="Times New Roman"/>
          <w:sz w:val="20"/>
          <w:szCs w:val="20"/>
        </w:rPr>
        <w:t>in</w:t>
      </w:r>
      <w:r w:rsidR="005C2D62" w:rsidRPr="00386CC4">
        <w:rPr>
          <w:rFonts w:ascii="Times New Roman" w:hAnsi="Times New Roman" w:cs="Times New Roman"/>
          <w:sz w:val="20"/>
          <w:szCs w:val="20"/>
        </w:rPr>
        <w:t xml:space="preserve"> Misamis Oriental </w:t>
      </w:r>
      <w:r w:rsidR="009F7CA6" w:rsidRPr="00386CC4">
        <w:rPr>
          <w:rFonts w:ascii="Times New Roman" w:hAnsi="Times New Roman" w:cs="Times New Roman"/>
          <w:sz w:val="20"/>
          <w:szCs w:val="20"/>
        </w:rPr>
        <w:t xml:space="preserve">in the southern island of Mindanao </w:t>
      </w:r>
      <w:r w:rsidR="005C2D62" w:rsidRPr="00386CC4">
        <w:rPr>
          <w:rFonts w:ascii="Times New Roman" w:hAnsi="Times New Roman" w:cs="Times New Roman"/>
          <w:sz w:val="20"/>
          <w:szCs w:val="20"/>
        </w:rPr>
        <w:t xml:space="preserve">was built during the mid-1800’s </w:t>
      </w:r>
      <w:r w:rsidR="00B3710D" w:rsidRPr="00386CC4">
        <w:rPr>
          <w:rFonts w:ascii="Times New Roman" w:hAnsi="Times New Roman" w:cs="Times New Roman"/>
          <w:sz w:val="20"/>
          <w:szCs w:val="20"/>
        </w:rPr>
        <w:t xml:space="preserve">[4] </w:t>
      </w:r>
      <w:r w:rsidR="005C2D62" w:rsidRPr="00386CC4">
        <w:rPr>
          <w:rFonts w:ascii="Times New Roman" w:hAnsi="Times New Roman" w:cs="Times New Roman"/>
          <w:sz w:val="20"/>
          <w:szCs w:val="20"/>
        </w:rPr>
        <w:t xml:space="preserve">while the one </w:t>
      </w:r>
      <w:r w:rsidR="00EF1ACB" w:rsidRPr="00386CC4">
        <w:rPr>
          <w:rFonts w:ascii="Times New Roman" w:hAnsi="Times New Roman" w:cs="Times New Roman"/>
          <w:sz w:val="20"/>
          <w:szCs w:val="20"/>
        </w:rPr>
        <w:t xml:space="preserve">collected </w:t>
      </w:r>
      <w:r w:rsidR="005C2D62" w:rsidRPr="00386CC4">
        <w:rPr>
          <w:rFonts w:ascii="Times New Roman" w:hAnsi="Times New Roman" w:cs="Times New Roman"/>
          <w:sz w:val="20"/>
          <w:szCs w:val="20"/>
        </w:rPr>
        <w:t>from Metro Manila</w:t>
      </w:r>
      <w:r w:rsidR="009F7CA6" w:rsidRPr="00386CC4">
        <w:rPr>
          <w:rFonts w:ascii="Times New Roman" w:hAnsi="Times New Roman" w:cs="Times New Roman"/>
          <w:sz w:val="20"/>
          <w:szCs w:val="20"/>
        </w:rPr>
        <w:t xml:space="preserve">, which is the capital city of the </w:t>
      </w:r>
      <w:r w:rsidR="002342D1" w:rsidRPr="00386CC4">
        <w:rPr>
          <w:rFonts w:ascii="Times New Roman" w:hAnsi="Times New Roman" w:cs="Times New Roman"/>
          <w:sz w:val="20"/>
          <w:szCs w:val="20"/>
        </w:rPr>
        <w:t>Philippines</w:t>
      </w:r>
      <w:r w:rsidR="009F7CA6" w:rsidRPr="00386CC4">
        <w:rPr>
          <w:rFonts w:ascii="Times New Roman" w:hAnsi="Times New Roman" w:cs="Times New Roman"/>
          <w:sz w:val="20"/>
          <w:szCs w:val="20"/>
        </w:rPr>
        <w:t xml:space="preserve">, </w:t>
      </w:r>
      <w:r w:rsidR="005C2D62" w:rsidRPr="00386CC4">
        <w:rPr>
          <w:rFonts w:ascii="Times New Roman" w:hAnsi="Times New Roman" w:cs="Times New Roman"/>
          <w:sz w:val="20"/>
          <w:szCs w:val="20"/>
        </w:rPr>
        <w:t>was constructed in the early 1800’</w:t>
      </w:r>
      <w:r w:rsidR="00337EB3" w:rsidRPr="00386CC4">
        <w:rPr>
          <w:rFonts w:ascii="Times New Roman" w:hAnsi="Times New Roman" w:cs="Times New Roman"/>
          <w:sz w:val="20"/>
          <w:szCs w:val="20"/>
        </w:rPr>
        <w:t>s</w:t>
      </w:r>
      <w:r w:rsidR="00B3710D" w:rsidRPr="00386CC4">
        <w:rPr>
          <w:rFonts w:ascii="Times New Roman" w:hAnsi="Times New Roman" w:cs="Times New Roman"/>
          <w:sz w:val="20"/>
          <w:szCs w:val="20"/>
        </w:rPr>
        <w:t xml:space="preserve"> [5</w:t>
      </w:r>
      <w:r w:rsidR="005971BE" w:rsidRPr="00386CC4">
        <w:rPr>
          <w:rFonts w:ascii="Times New Roman" w:hAnsi="Times New Roman" w:cs="Times New Roman"/>
          <w:sz w:val="20"/>
          <w:szCs w:val="20"/>
        </w:rPr>
        <w:t>]</w:t>
      </w:r>
      <w:r w:rsidR="00337EB3" w:rsidRPr="00386CC4">
        <w:rPr>
          <w:rFonts w:ascii="Times New Roman" w:hAnsi="Times New Roman" w:cs="Times New Roman"/>
          <w:sz w:val="20"/>
          <w:szCs w:val="20"/>
        </w:rPr>
        <w:t>.</w:t>
      </w:r>
      <w:r w:rsidR="0000383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8409C0" w:rsidRPr="00386CC4">
        <w:rPr>
          <w:rFonts w:ascii="Times New Roman" w:hAnsi="Times New Roman" w:cs="Times New Roman"/>
          <w:sz w:val="20"/>
          <w:szCs w:val="20"/>
        </w:rPr>
        <w:t xml:space="preserve">These </w:t>
      </w:r>
      <w:r w:rsidR="00397DFC" w:rsidRPr="00386CC4">
        <w:rPr>
          <w:rFonts w:ascii="Times New Roman" w:hAnsi="Times New Roman" w:cs="Times New Roman"/>
          <w:sz w:val="20"/>
          <w:szCs w:val="20"/>
        </w:rPr>
        <w:t xml:space="preserve">sites </w:t>
      </w:r>
      <w:r w:rsidR="00A55517" w:rsidRPr="00386CC4">
        <w:rPr>
          <w:rFonts w:ascii="Times New Roman" w:hAnsi="Times New Roman" w:cs="Times New Roman"/>
          <w:sz w:val="20"/>
          <w:szCs w:val="20"/>
        </w:rPr>
        <w:t xml:space="preserve">were chosen </w:t>
      </w:r>
      <w:r w:rsidR="00517CFC" w:rsidRPr="00386CC4">
        <w:rPr>
          <w:rFonts w:ascii="Times New Roman" w:hAnsi="Times New Roman" w:cs="Times New Roman"/>
          <w:sz w:val="20"/>
          <w:szCs w:val="20"/>
        </w:rPr>
        <w:t>for this study because of their d</w:t>
      </w:r>
      <w:r w:rsidR="00D17B38" w:rsidRPr="00386CC4">
        <w:rPr>
          <w:rFonts w:ascii="Times New Roman" w:hAnsi="Times New Roman" w:cs="Times New Roman"/>
          <w:sz w:val="20"/>
          <w:szCs w:val="20"/>
        </w:rPr>
        <w:t>ifferent geographical locations, hence, differ</w:t>
      </w:r>
      <w:r w:rsidR="000F420D" w:rsidRPr="00386CC4">
        <w:rPr>
          <w:rFonts w:ascii="Times New Roman" w:hAnsi="Times New Roman" w:cs="Times New Roman"/>
          <w:sz w:val="20"/>
          <w:szCs w:val="20"/>
        </w:rPr>
        <w:t xml:space="preserve">ent raw materials used in its </w:t>
      </w:r>
      <w:r w:rsidR="00D17B38" w:rsidRPr="00386CC4">
        <w:rPr>
          <w:rFonts w:ascii="Times New Roman" w:hAnsi="Times New Roman" w:cs="Times New Roman"/>
          <w:sz w:val="20"/>
          <w:szCs w:val="20"/>
        </w:rPr>
        <w:t xml:space="preserve">construction. It also represents the unique </w:t>
      </w:r>
      <w:r w:rsidR="00681180" w:rsidRPr="00386CC4">
        <w:rPr>
          <w:rFonts w:ascii="Times New Roman" w:hAnsi="Times New Roman" w:cs="Times New Roman"/>
          <w:sz w:val="20"/>
          <w:szCs w:val="20"/>
        </w:rPr>
        <w:t>building</w:t>
      </w:r>
      <w:r w:rsidR="00D17B38" w:rsidRPr="00386CC4">
        <w:rPr>
          <w:rFonts w:ascii="Times New Roman" w:hAnsi="Times New Roman" w:cs="Times New Roman"/>
          <w:sz w:val="20"/>
          <w:szCs w:val="20"/>
        </w:rPr>
        <w:t xml:space="preserve">-making methods characteristic of the </w:t>
      </w:r>
      <w:r w:rsidR="00F04AA3" w:rsidRPr="00386CC4">
        <w:rPr>
          <w:rFonts w:ascii="Times New Roman" w:hAnsi="Times New Roman" w:cs="Times New Roman"/>
          <w:sz w:val="20"/>
          <w:szCs w:val="20"/>
        </w:rPr>
        <w:t xml:space="preserve">Jesuits (Misamis Oriental) and the </w:t>
      </w:r>
      <w:r w:rsidR="00D17B38" w:rsidRPr="00386CC4">
        <w:rPr>
          <w:rFonts w:ascii="Times New Roman" w:hAnsi="Times New Roman" w:cs="Times New Roman"/>
          <w:sz w:val="20"/>
          <w:szCs w:val="20"/>
        </w:rPr>
        <w:t>Franciscans</w:t>
      </w:r>
      <w:r w:rsidR="00CF794D" w:rsidRPr="00386CC4">
        <w:rPr>
          <w:rFonts w:ascii="Times New Roman" w:hAnsi="Times New Roman" w:cs="Times New Roman"/>
          <w:sz w:val="20"/>
          <w:szCs w:val="20"/>
        </w:rPr>
        <w:t xml:space="preserve"> (Metro Manila) </w:t>
      </w:r>
      <w:r w:rsidR="00F04AA3" w:rsidRPr="00386CC4">
        <w:rPr>
          <w:rFonts w:ascii="Times New Roman" w:hAnsi="Times New Roman" w:cs="Times New Roman"/>
          <w:sz w:val="20"/>
          <w:szCs w:val="20"/>
        </w:rPr>
        <w:t xml:space="preserve">which are major </w:t>
      </w:r>
      <w:r w:rsidR="00D17B38" w:rsidRPr="00386CC4">
        <w:rPr>
          <w:rFonts w:ascii="Times New Roman" w:hAnsi="Times New Roman" w:cs="Times New Roman"/>
          <w:sz w:val="20"/>
          <w:szCs w:val="20"/>
        </w:rPr>
        <w:t>Catholic religious orders</w:t>
      </w:r>
      <w:r w:rsidR="00F04AA3" w:rsidRPr="00386CC4">
        <w:rPr>
          <w:rFonts w:ascii="Times New Roman" w:hAnsi="Times New Roman" w:cs="Times New Roman"/>
          <w:sz w:val="20"/>
          <w:szCs w:val="20"/>
        </w:rPr>
        <w:t xml:space="preserve"> during the Spanish Era in the Philippines</w:t>
      </w:r>
      <w:r w:rsidR="00D17B38" w:rsidRPr="00386CC4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D17B38" w:rsidRPr="00386CC4" w:rsidRDefault="00D17B38" w:rsidP="00892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4DA7" w:rsidRDefault="009B42B8" w:rsidP="00892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 xml:space="preserve">Complexometric titration using </w:t>
      </w:r>
      <w:r w:rsidR="005939DC" w:rsidRPr="00386CC4">
        <w:rPr>
          <w:rFonts w:ascii="Times New Roman" w:hAnsi="Times New Roman" w:cs="Times New Roman"/>
          <w:sz w:val="20"/>
          <w:szCs w:val="20"/>
        </w:rPr>
        <w:t>ethylenediaminetetraacetic acid (</w:t>
      </w:r>
      <w:r w:rsidRPr="00386CC4">
        <w:rPr>
          <w:rFonts w:ascii="Times New Roman" w:hAnsi="Times New Roman" w:cs="Times New Roman"/>
          <w:sz w:val="20"/>
          <w:szCs w:val="20"/>
        </w:rPr>
        <w:t>EDTA</w:t>
      </w:r>
      <w:r w:rsidR="005939DC" w:rsidRPr="00386CC4">
        <w:rPr>
          <w:rFonts w:ascii="Times New Roman" w:hAnsi="Times New Roman" w:cs="Times New Roman"/>
          <w:sz w:val="20"/>
          <w:szCs w:val="20"/>
        </w:rPr>
        <w:t>)</w:t>
      </w:r>
      <w:r w:rsidRPr="00386CC4">
        <w:rPr>
          <w:rFonts w:ascii="Times New Roman" w:hAnsi="Times New Roman" w:cs="Times New Roman"/>
          <w:sz w:val="20"/>
          <w:szCs w:val="20"/>
        </w:rPr>
        <w:t xml:space="preserve"> and o</w:t>
      </w:r>
      <w:r w:rsidR="00FA2450" w:rsidRPr="00386CC4">
        <w:rPr>
          <w:rFonts w:ascii="Times New Roman" w:hAnsi="Times New Roman" w:cs="Times New Roman"/>
          <w:sz w:val="20"/>
          <w:szCs w:val="20"/>
        </w:rPr>
        <w:t>xidation-reduction (r</w:t>
      </w:r>
      <w:r w:rsidRPr="00386CC4">
        <w:rPr>
          <w:rFonts w:ascii="Times New Roman" w:hAnsi="Times New Roman" w:cs="Times New Roman"/>
          <w:sz w:val="20"/>
          <w:szCs w:val="20"/>
        </w:rPr>
        <w:t xml:space="preserve">edox) titration with </w:t>
      </w:r>
      <w:r w:rsidR="001446EE" w:rsidRPr="00386CC4">
        <w:rPr>
          <w:rFonts w:ascii="Times New Roman" w:hAnsi="Times New Roman" w:cs="Times New Roman"/>
          <w:sz w:val="20"/>
          <w:szCs w:val="20"/>
        </w:rPr>
        <w:t>potassium permanganate (</w:t>
      </w:r>
      <w:r w:rsidRPr="00386CC4">
        <w:rPr>
          <w:rFonts w:ascii="Times New Roman" w:hAnsi="Times New Roman" w:cs="Times New Roman"/>
          <w:sz w:val="20"/>
          <w:szCs w:val="20"/>
        </w:rPr>
        <w:t>KMnO</w:t>
      </w:r>
      <w:r w:rsidRPr="00386CC4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1446EE" w:rsidRPr="00386CC4">
        <w:rPr>
          <w:rFonts w:ascii="Times New Roman" w:hAnsi="Times New Roman" w:cs="Times New Roman"/>
          <w:sz w:val="20"/>
          <w:szCs w:val="20"/>
        </w:rPr>
        <w:t>)</w:t>
      </w:r>
      <w:r w:rsidRPr="00386CC4">
        <w:rPr>
          <w:rFonts w:ascii="Times New Roman" w:hAnsi="Times New Roman" w:cs="Times New Roman"/>
          <w:sz w:val="20"/>
          <w:szCs w:val="20"/>
        </w:rPr>
        <w:t xml:space="preserve"> were the techniques </w:t>
      </w:r>
      <w:r w:rsidR="00EC7BF0" w:rsidRPr="00386CC4">
        <w:rPr>
          <w:rFonts w:ascii="Times New Roman" w:hAnsi="Times New Roman" w:cs="Times New Roman"/>
          <w:sz w:val="20"/>
          <w:szCs w:val="20"/>
        </w:rPr>
        <w:t xml:space="preserve">utilized </w:t>
      </w:r>
      <w:r w:rsidR="00D22AD0" w:rsidRPr="00386CC4">
        <w:rPr>
          <w:rFonts w:ascii="Times New Roman" w:hAnsi="Times New Roman" w:cs="Times New Roman"/>
          <w:sz w:val="20"/>
          <w:szCs w:val="20"/>
        </w:rPr>
        <w:t>to quanti</w:t>
      </w:r>
      <w:r w:rsidR="00D27358" w:rsidRPr="00386CC4">
        <w:rPr>
          <w:rFonts w:ascii="Times New Roman" w:hAnsi="Times New Roman" w:cs="Times New Roman"/>
          <w:sz w:val="20"/>
          <w:szCs w:val="20"/>
        </w:rPr>
        <w:t xml:space="preserve">fy the amount of calcium in the </w:t>
      </w:r>
      <w:r w:rsidR="001446EE" w:rsidRPr="00386CC4">
        <w:rPr>
          <w:rFonts w:ascii="Times New Roman" w:hAnsi="Times New Roman" w:cs="Times New Roman"/>
          <w:sz w:val="20"/>
          <w:szCs w:val="20"/>
        </w:rPr>
        <w:t xml:space="preserve">historic </w:t>
      </w:r>
      <w:r w:rsidR="001C7B69" w:rsidRPr="00386CC4">
        <w:rPr>
          <w:rFonts w:ascii="Times New Roman" w:hAnsi="Times New Roman" w:cs="Times New Roman"/>
          <w:sz w:val="20"/>
          <w:szCs w:val="20"/>
        </w:rPr>
        <w:t xml:space="preserve">mortar </w:t>
      </w:r>
      <w:r w:rsidR="00D22AD0" w:rsidRPr="00386CC4">
        <w:rPr>
          <w:rFonts w:ascii="Times New Roman" w:hAnsi="Times New Roman" w:cs="Times New Roman"/>
          <w:sz w:val="20"/>
          <w:szCs w:val="20"/>
        </w:rPr>
        <w:t>samples</w:t>
      </w:r>
      <w:r w:rsidR="001446EE" w:rsidRPr="00386CC4">
        <w:rPr>
          <w:rFonts w:ascii="Times New Roman" w:hAnsi="Times New Roman" w:cs="Times New Roman"/>
          <w:sz w:val="20"/>
          <w:szCs w:val="20"/>
        </w:rPr>
        <w:t xml:space="preserve"> from Misamis Oriental and Metro Manila</w:t>
      </w:r>
      <w:r w:rsidR="00D22AD0" w:rsidRPr="00386CC4">
        <w:rPr>
          <w:rFonts w:ascii="Times New Roman" w:hAnsi="Times New Roman" w:cs="Times New Roman"/>
          <w:sz w:val="20"/>
          <w:szCs w:val="20"/>
        </w:rPr>
        <w:t xml:space="preserve">. </w:t>
      </w:r>
      <w:r w:rsidRPr="00386CC4">
        <w:rPr>
          <w:rFonts w:ascii="Times New Roman" w:hAnsi="Times New Roman" w:cs="Times New Roman"/>
          <w:sz w:val="20"/>
          <w:szCs w:val="20"/>
        </w:rPr>
        <w:t xml:space="preserve">The accuracy of these methods was </w:t>
      </w:r>
      <w:r w:rsidR="00D22AD0" w:rsidRPr="00386CC4">
        <w:rPr>
          <w:rFonts w:ascii="Times New Roman" w:hAnsi="Times New Roman" w:cs="Times New Roman"/>
          <w:sz w:val="20"/>
          <w:szCs w:val="20"/>
        </w:rPr>
        <w:t>confirmed using atomic absorption spectroscopy (AAS)</w:t>
      </w:r>
      <w:r w:rsidR="00E0203F" w:rsidRPr="00386CC4">
        <w:rPr>
          <w:rFonts w:ascii="Times New Roman" w:hAnsi="Times New Roman" w:cs="Times New Roman"/>
          <w:sz w:val="20"/>
          <w:szCs w:val="20"/>
        </w:rPr>
        <w:t>.</w:t>
      </w:r>
      <w:r w:rsidR="00E73A12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1446EE" w:rsidRPr="00386CC4">
        <w:rPr>
          <w:rFonts w:ascii="Times New Roman" w:hAnsi="Times New Roman" w:cs="Times New Roman"/>
          <w:sz w:val="20"/>
          <w:szCs w:val="20"/>
        </w:rPr>
        <w:t>Statistical analysis (</w:t>
      </w:r>
      <w:r w:rsidR="001446EE" w:rsidRPr="00386CC4">
        <w:rPr>
          <w:rFonts w:ascii="Times New Roman" w:hAnsi="Times New Roman" w:cs="Times New Roman"/>
          <w:i/>
          <w:sz w:val="20"/>
          <w:szCs w:val="20"/>
        </w:rPr>
        <w:t>t</w:t>
      </w:r>
      <w:r w:rsidR="001446EE" w:rsidRPr="00386CC4">
        <w:rPr>
          <w:rFonts w:ascii="Times New Roman" w:hAnsi="Times New Roman" w:cs="Times New Roman"/>
          <w:sz w:val="20"/>
          <w:szCs w:val="20"/>
        </w:rPr>
        <w:t xml:space="preserve">-test and </w:t>
      </w:r>
      <w:r w:rsidR="001446EE" w:rsidRPr="00386CC4">
        <w:rPr>
          <w:rFonts w:ascii="Times New Roman" w:hAnsi="Times New Roman" w:cs="Times New Roman"/>
          <w:i/>
          <w:sz w:val="20"/>
          <w:szCs w:val="20"/>
        </w:rPr>
        <w:t>F</w:t>
      </w:r>
      <w:r w:rsidR="001446EE" w:rsidRPr="00386CC4">
        <w:rPr>
          <w:rFonts w:ascii="Times New Roman" w:hAnsi="Times New Roman" w:cs="Times New Roman"/>
          <w:sz w:val="20"/>
          <w:szCs w:val="20"/>
        </w:rPr>
        <w:t>-test) was also</w:t>
      </w:r>
      <w:r w:rsidR="00046D06" w:rsidRPr="00386CC4">
        <w:rPr>
          <w:rFonts w:ascii="Times New Roman" w:hAnsi="Times New Roman" w:cs="Times New Roman"/>
          <w:sz w:val="20"/>
          <w:szCs w:val="20"/>
        </w:rPr>
        <w:t xml:space="preserve"> employed to determine if </w:t>
      </w:r>
      <w:r w:rsidR="001446EE" w:rsidRPr="00386CC4">
        <w:rPr>
          <w:rFonts w:ascii="Times New Roman" w:hAnsi="Times New Roman" w:cs="Times New Roman"/>
          <w:sz w:val="20"/>
          <w:szCs w:val="20"/>
        </w:rPr>
        <w:t>both titration methods yield comparable</w:t>
      </w:r>
      <w:r w:rsidR="00046D06" w:rsidRPr="00386CC4">
        <w:rPr>
          <w:rFonts w:ascii="Times New Roman" w:hAnsi="Times New Roman" w:cs="Times New Roman"/>
          <w:sz w:val="20"/>
          <w:szCs w:val="20"/>
        </w:rPr>
        <w:t xml:space="preserve"> results. </w:t>
      </w:r>
      <w:r w:rsidR="000F1733" w:rsidRPr="00386CC4">
        <w:rPr>
          <w:rFonts w:ascii="Times New Roman" w:hAnsi="Times New Roman" w:cs="Times New Roman"/>
          <w:sz w:val="20"/>
          <w:szCs w:val="20"/>
        </w:rPr>
        <w:t xml:space="preserve">EDTA </w:t>
      </w:r>
      <w:r w:rsidR="007C7141" w:rsidRPr="00386CC4">
        <w:rPr>
          <w:rFonts w:ascii="Times New Roman" w:hAnsi="Times New Roman" w:cs="Times New Roman"/>
          <w:sz w:val="20"/>
          <w:szCs w:val="20"/>
        </w:rPr>
        <w:t>can be completely deprotonated to the anion, EDTA</w:t>
      </w:r>
      <w:r w:rsidR="007C7141" w:rsidRPr="00386CC4">
        <w:rPr>
          <w:rFonts w:ascii="Times New Roman" w:hAnsi="Times New Roman" w:cs="Times New Roman"/>
          <w:sz w:val="20"/>
          <w:szCs w:val="20"/>
          <w:vertAlign w:val="superscript"/>
        </w:rPr>
        <w:t>4-</w:t>
      </w:r>
      <w:r w:rsidR="007C7141" w:rsidRPr="00386CC4">
        <w:rPr>
          <w:rFonts w:ascii="Times New Roman" w:hAnsi="Times New Roman" w:cs="Times New Roman"/>
          <w:sz w:val="20"/>
          <w:szCs w:val="20"/>
        </w:rPr>
        <w:t xml:space="preserve"> in basic solution, to form a 1:1 complex with the calcium ions present in the lime mortar sample</w:t>
      </w:r>
      <w:r w:rsidR="0016743B" w:rsidRPr="00386CC4">
        <w:rPr>
          <w:rFonts w:ascii="Times New Roman" w:hAnsi="Times New Roman" w:cs="Times New Roman"/>
          <w:sz w:val="20"/>
          <w:szCs w:val="20"/>
        </w:rPr>
        <w:t xml:space="preserve"> as shown in equation (1).</w:t>
      </w:r>
      <w:r w:rsidR="00660DEC" w:rsidRPr="00386CC4">
        <w:rPr>
          <w:rFonts w:ascii="Times New Roman" w:hAnsi="Times New Roman" w:cs="Times New Roman"/>
          <w:sz w:val="20"/>
          <w:szCs w:val="20"/>
        </w:rPr>
        <w:t xml:space="preserve"> Since EDTA is a stronger complexing agent than the indicator</w:t>
      </w:r>
      <w:r w:rsidR="00812A63" w:rsidRPr="00386CC4">
        <w:rPr>
          <w:rFonts w:ascii="Times New Roman" w:hAnsi="Times New Roman" w:cs="Times New Roman"/>
          <w:sz w:val="20"/>
          <w:szCs w:val="20"/>
        </w:rPr>
        <w:t xml:space="preserve">, </w:t>
      </w:r>
      <w:r w:rsidR="00660DEC" w:rsidRPr="00386CC4">
        <w:rPr>
          <w:rFonts w:ascii="Times New Roman" w:hAnsi="Times New Roman" w:cs="Times New Roman"/>
          <w:sz w:val="20"/>
          <w:szCs w:val="20"/>
        </w:rPr>
        <w:t xml:space="preserve">Eriochrome black T (EBT), it will displace the calcium-EBT complex forcing the indicator to return to its original form (blue color) </w:t>
      </w:r>
      <w:r w:rsidR="007B0D38" w:rsidRPr="00386CC4">
        <w:rPr>
          <w:rFonts w:ascii="Times New Roman" w:hAnsi="Times New Roman" w:cs="Times New Roman"/>
          <w:sz w:val="20"/>
          <w:szCs w:val="20"/>
        </w:rPr>
        <w:t>marking</w:t>
      </w:r>
      <w:r w:rsidR="00660DEC" w:rsidRPr="00386CC4">
        <w:rPr>
          <w:rFonts w:ascii="Times New Roman" w:hAnsi="Times New Roman" w:cs="Times New Roman"/>
          <w:sz w:val="20"/>
          <w:szCs w:val="20"/>
        </w:rPr>
        <w:t xml:space="preserve"> the endpoint</w:t>
      </w:r>
      <w:r w:rsidR="007B0D38" w:rsidRPr="00386CC4">
        <w:rPr>
          <w:rFonts w:ascii="Times New Roman" w:hAnsi="Times New Roman" w:cs="Times New Roman"/>
          <w:sz w:val="20"/>
          <w:szCs w:val="20"/>
        </w:rPr>
        <w:t xml:space="preserve"> of the titration</w:t>
      </w:r>
      <w:r w:rsidR="00660DEC" w:rsidRPr="00386CC4">
        <w:rPr>
          <w:rFonts w:ascii="Times New Roman" w:hAnsi="Times New Roman" w:cs="Times New Roman"/>
          <w:sz w:val="20"/>
          <w:szCs w:val="20"/>
        </w:rPr>
        <w:t>.</w:t>
      </w:r>
    </w:p>
    <w:p w:rsidR="00112FB7" w:rsidRPr="00386CC4" w:rsidRDefault="00112FB7" w:rsidP="00892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7141" w:rsidRPr="00C80BF0" w:rsidRDefault="00112FB7" w:rsidP="00112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ab/>
      </w:r>
      <w:r w:rsidR="007C7141" w:rsidRPr="00C80BF0">
        <w:rPr>
          <w:rFonts w:ascii="Times New Roman" w:hAnsi="Times New Roman" w:cs="Times New Roman"/>
          <w:sz w:val="20"/>
          <w:szCs w:val="20"/>
          <w:lang w:val="es-ES"/>
        </w:rPr>
        <w:t>CaCO</w:t>
      </w:r>
      <w:r w:rsidR="007C7141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3</w:t>
      </w:r>
      <w:r w:rsidR="007C7141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+ EDTA</w:t>
      </w:r>
      <w:r w:rsidR="007C7141" w:rsidRPr="00C80BF0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4-</w:t>
      </w:r>
      <w:r w:rsidR="007C7141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(aq)</w:t>
      </w:r>
      <w:r w:rsidR="007C7141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7C7141" w:rsidRPr="00386CC4">
        <w:rPr>
          <w:rFonts w:ascii="Times New Roman" w:hAnsi="Times New Roman" w:cs="Times New Roman"/>
          <w:sz w:val="20"/>
          <w:szCs w:val="20"/>
        </w:rPr>
        <w:sym w:font="Wingdings" w:char="F0E0"/>
      </w:r>
      <w:r w:rsidR="007C7141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Ca(EDTA)</w:t>
      </w:r>
      <w:r w:rsidR="007C7141" w:rsidRPr="00C80BF0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2-</w:t>
      </w:r>
      <w:r w:rsidR="007C7141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(aq)</w:t>
      </w:r>
      <w:r w:rsidR="007C7141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+ CO</w:t>
      </w:r>
      <w:r w:rsidR="007C7141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3</w:t>
      </w:r>
      <w:r w:rsidR="007C7141" w:rsidRPr="00C80BF0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2-</w:t>
      </w:r>
      <w:r w:rsidR="007C7141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(aq)</w:t>
      </w:r>
      <w:r w:rsidR="000F420D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 xml:space="preserve"> </w:t>
      </w:r>
      <w:r w:rsidR="000F420D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  <w:t xml:space="preserve">   </w:t>
      </w:r>
      <w:r w:rsidR="000F420D" w:rsidRPr="00C80BF0">
        <w:rPr>
          <w:rFonts w:ascii="Times New Roman" w:hAnsi="Times New Roman" w:cs="Times New Roman"/>
          <w:sz w:val="20"/>
          <w:szCs w:val="20"/>
          <w:lang w:val="es-ES"/>
        </w:rPr>
        <w:t>(1)</w:t>
      </w:r>
    </w:p>
    <w:p w:rsidR="00D1056E" w:rsidRPr="00C80BF0" w:rsidRDefault="00D1056E" w:rsidP="00892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:rsidR="00046D06" w:rsidRPr="00386CC4" w:rsidRDefault="00FA2450" w:rsidP="00892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>The r</w:t>
      </w:r>
      <w:r w:rsidR="00E73A12" w:rsidRPr="00386CC4">
        <w:rPr>
          <w:rFonts w:ascii="Times New Roman" w:hAnsi="Times New Roman" w:cs="Times New Roman"/>
          <w:sz w:val="20"/>
          <w:szCs w:val="20"/>
        </w:rPr>
        <w:t xml:space="preserve">edox reaction </w:t>
      </w:r>
      <w:r w:rsidRPr="00386CC4">
        <w:rPr>
          <w:rFonts w:ascii="Times New Roman" w:hAnsi="Times New Roman" w:cs="Times New Roman"/>
          <w:sz w:val="20"/>
          <w:szCs w:val="20"/>
        </w:rPr>
        <w:t xml:space="preserve">between oxalic acid and </w:t>
      </w:r>
      <w:r w:rsidR="00046D06" w:rsidRPr="00386CC4">
        <w:rPr>
          <w:rFonts w:ascii="Times New Roman" w:hAnsi="Times New Roman" w:cs="Times New Roman"/>
          <w:sz w:val="20"/>
          <w:szCs w:val="20"/>
        </w:rPr>
        <w:t>KMnO</w:t>
      </w:r>
      <w:r w:rsidR="00046D06" w:rsidRPr="00386CC4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046D06" w:rsidRPr="00386CC4">
        <w:rPr>
          <w:rFonts w:ascii="Times New Roman" w:hAnsi="Times New Roman" w:cs="Times New Roman"/>
          <w:sz w:val="20"/>
          <w:szCs w:val="20"/>
        </w:rPr>
        <w:t xml:space="preserve">is another method to </w:t>
      </w:r>
      <w:r w:rsidRPr="00386CC4">
        <w:rPr>
          <w:rFonts w:ascii="Times New Roman" w:hAnsi="Times New Roman" w:cs="Times New Roman"/>
          <w:sz w:val="20"/>
          <w:szCs w:val="20"/>
        </w:rPr>
        <w:t xml:space="preserve">detect the amount of calcium in old mortar samples. </w:t>
      </w:r>
      <w:r w:rsidR="00225C9F" w:rsidRPr="00386CC4">
        <w:rPr>
          <w:rFonts w:ascii="Times New Roman" w:hAnsi="Times New Roman" w:cs="Times New Roman"/>
          <w:sz w:val="20"/>
          <w:szCs w:val="20"/>
        </w:rPr>
        <w:t>Calcium w</w:t>
      </w:r>
      <w:r w:rsidR="00375DF9" w:rsidRPr="00386CC4">
        <w:rPr>
          <w:rFonts w:ascii="Times New Roman" w:hAnsi="Times New Roman" w:cs="Times New Roman"/>
          <w:sz w:val="20"/>
          <w:szCs w:val="20"/>
        </w:rPr>
        <w:t>as</w:t>
      </w:r>
      <w:r w:rsidR="00225C9F" w:rsidRPr="00386CC4">
        <w:rPr>
          <w:rFonts w:ascii="Times New Roman" w:hAnsi="Times New Roman" w:cs="Times New Roman"/>
          <w:sz w:val="20"/>
          <w:szCs w:val="20"/>
        </w:rPr>
        <w:t xml:space="preserve"> precipitated with oxalate ion and dissolved in dilute acid</w:t>
      </w:r>
      <w:r w:rsidR="00036FF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053371" w:rsidRPr="00386CC4">
        <w:rPr>
          <w:rFonts w:ascii="Times New Roman" w:hAnsi="Times New Roman" w:cs="Times New Roman"/>
          <w:sz w:val="20"/>
          <w:szCs w:val="20"/>
        </w:rPr>
        <w:t xml:space="preserve">as represented by </w:t>
      </w:r>
      <w:r w:rsidR="00036FF9" w:rsidRPr="00386CC4">
        <w:rPr>
          <w:rFonts w:ascii="Times New Roman" w:hAnsi="Times New Roman" w:cs="Times New Roman"/>
          <w:sz w:val="20"/>
          <w:szCs w:val="20"/>
        </w:rPr>
        <w:t xml:space="preserve">equation </w:t>
      </w:r>
      <w:r w:rsidR="00053371" w:rsidRPr="00386CC4">
        <w:rPr>
          <w:rFonts w:ascii="Times New Roman" w:hAnsi="Times New Roman" w:cs="Times New Roman"/>
          <w:sz w:val="20"/>
          <w:szCs w:val="20"/>
        </w:rPr>
        <w:t>(</w:t>
      </w:r>
      <w:r w:rsidR="008055EC" w:rsidRPr="00386CC4">
        <w:rPr>
          <w:rFonts w:ascii="Times New Roman" w:hAnsi="Times New Roman" w:cs="Times New Roman"/>
          <w:sz w:val="20"/>
          <w:szCs w:val="20"/>
        </w:rPr>
        <w:t>2</w:t>
      </w:r>
      <w:r w:rsidR="00053371" w:rsidRPr="00386CC4">
        <w:rPr>
          <w:rFonts w:ascii="Times New Roman" w:hAnsi="Times New Roman" w:cs="Times New Roman"/>
          <w:sz w:val="20"/>
          <w:szCs w:val="20"/>
        </w:rPr>
        <w:t>)</w:t>
      </w:r>
      <w:r w:rsidR="00225C9F" w:rsidRPr="00386CC4">
        <w:rPr>
          <w:rFonts w:ascii="Times New Roman" w:hAnsi="Times New Roman" w:cs="Times New Roman"/>
          <w:sz w:val="20"/>
          <w:szCs w:val="20"/>
        </w:rPr>
        <w:t>.</w:t>
      </w:r>
      <w:r w:rsidR="00036FF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225C9F" w:rsidRPr="00386CC4">
        <w:rPr>
          <w:rFonts w:ascii="Times New Roman" w:hAnsi="Times New Roman" w:cs="Times New Roman"/>
          <w:sz w:val="20"/>
          <w:szCs w:val="20"/>
        </w:rPr>
        <w:t xml:space="preserve">The </w:t>
      </w:r>
      <w:r w:rsidR="00036FF9" w:rsidRPr="00386CC4">
        <w:rPr>
          <w:rFonts w:ascii="Times New Roman" w:hAnsi="Times New Roman" w:cs="Times New Roman"/>
          <w:sz w:val="20"/>
          <w:szCs w:val="20"/>
        </w:rPr>
        <w:t xml:space="preserve">liberated </w:t>
      </w:r>
      <w:r w:rsidR="00225C9F" w:rsidRPr="00386CC4">
        <w:rPr>
          <w:rFonts w:ascii="Times New Roman" w:hAnsi="Times New Roman" w:cs="Times New Roman"/>
          <w:sz w:val="20"/>
          <w:szCs w:val="20"/>
        </w:rPr>
        <w:t xml:space="preserve">oxalic acid was titrated with </w:t>
      </w:r>
      <w:r w:rsidR="00046D06" w:rsidRPr="00386CC4">
        <w:rPr>
          <w:rFonts w:ascii="Times New Roman" w:hAnsi="Times New Roman" w:cs="Times New Roman"/>
          <w:sz w:val="20"/>
          <w:szCs w:val="20"/>
        </w:rPr>
        <w:t>KMnO</w:t>
      </w:r>
      <w:r w:rsidR="00046D06" w:rsidRPr="00386CC4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053371" w:rsidRPr="00386CC4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053371" w:rsidRPr="00386CC4">
        <w:rPr>
          <w:rFonts w:ascii="Times New Roman" w:hAnsi="Times New Roman" w:cs="Times New Roman"/>
          <w:sz w:val="20"/>
          <w:szCs w:val="20"/>
        </w:rPr>
        <w:t xml:space="preserve">as shown in equation (3), </w:t>
      </w:r>
      <w:r w:rsidR="00375DF9" w:rsidRPr="00386CC4">
        <w:rPr>
          <w:rFonts w:ascii="Times New Roman" w:hAnsi="Times New Roman" w:cs="Times New Roman"/>
          <w:sz w:val="20"/>
          <w:szCs w:val="20"/>
        </w:rPr>
        <w:t xml:space="preserve">which is a strong oxidizing agent. </w:t>
      </w:r>
      <w:r w:rsidR="00E73A12" w:rsidRPr="00386CC4">
        <w:rPr>
          <w:rFonts w:ascii="Times New Roman" w:hAnsi="Times New Roman" w:cs="Times New Roman"/>
          <w:sz w:val="20"/>
          <w:szCs w:val="20"/>
        </w:rPr>
        <w:t xml:space="preserve">Due to the intense color of the permanganate ion, it is already sufficient in detecting the endpoint of the titration. The permanganate ion </w:t>
      </w:r>
      <w:r w:rsidR="00036FF9" w:rsidRPr="00386CC4">
        <w:rPr>
          <w:rFonts w:ascii="Times New Roman" w:hAnsi="Times New Roman" w:cs="Times New Roman"/>
          <w:sz w:val="20"/>
          <w:szCs w:val="20"/>
        </w:rPr>
        <w:t>which for</w:t>
      </w:r>
      <w:r w:rsidRPr="00386CC4">
        <w:rPr>
          <w:rFonts w:ascii="Times New Roman" w:hAnsi="Times New Roman" w:cs="Times New Roman"/>
          <w:sz w:val="20"/>
          <w:szCs w:val="20"/>
        </w:rPr>
        <w:t>m</w:t>
      </w:r>
      <w:r w:rsidR="00036FF9" w:rsidRPr="00386CC4">
        <w:rPr>
          <w:rFonts w:ascii="Times New Roman" w:hAnsi="Times New Roman" w:cs="Times New Roman"/>
          <w:sz w:val="20"/>
          <w:szCs w:val="20"/>
        </w:rPr>
        <w:t>s</w:t>
      </w:r>
      <w:r w:rsidRPr="00386CC4">
        <w:rPr>
          <w:rFonts w:ascii="Times New Roman" w:hAnsi="Times New Roman" w:cs="Times New Roman"/>
          <w:sz w:val="20"/>
          <w:szCs w:val="20"/>
        </w:rPr>
        <w:t xml:space="preserve"> a </w:t>
      </w:r>
      <w:r w:rsidR="00053371" w:rsidRPr="00386CC4">
        <w:rPr>
          <w:rFonts w:ascii="Times New Roman" w:hAnsi="Times New Roman" w:cs="Times New Roman"/>
          <w:sz w:val="20"/>
          <w:szCs w:val="20"/>
        </w:rPr>
        <w:t>Mn</w:t>
      </w:r>
      <w:r w:rsidR="00E73A12" w:rsidRPr="00386CC4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="00053371" w:rsidRPr="00386CC4">
        <w:rPr>
          <w:rFonts w:ascii="Times New Roman" w:hAnsi="Times New Roman" w:cs="Times New Roman"/>
          <w:sz w:val="20"/>
          <w:szCs w:val="20"/>
          <w:vertAlign w:val="superscript"/>
        </w:rPr>
        <w:t xml:space="preserve">7 </w:t>
      </w:r>
      <w:r w:rsidR="00053371" w:rsidRPr="00386CC4">
        <w:rPr>
          <w:rFonts w:ascii="Times New Roman" w:hAnsi="Times New Roman" w:cs="Times New Roman"/>
          <w:sz w:val="20"/>
          <w:szCs w:val="20"/>
        </w:rPr>
        <w:t xml:space="preserve">oxidation </w:t>
      </w:r>
      <w:r w:rsidR="00E73A12" w:rsidRPr="00386CC4">
        <w:rPr>
          <w:rFonts w:ascii="Times New Roman" w:hAnsi="Times New Roman" w:cs="Times New Roman"/>
          <w:sz w:val="20"/>
          <w:szCs w:val="20"/>
        </w:rPr>
        <w:t xml:space="preserve">state was reduced to manganese ion </w:t>
      </w:r>
      <w:r w:rsidR="000D3A7E" w:rsidRPr="00386CC4">
        <w:rPr>
          <w:rFonts w:ascii="Times New Roman" w:hAnsi="Times New Roman" w:cs="Times New Roman"/>
          <w:sz w:val="20"/>
          <w:szCs w:val="20"/>
        </w:rPr>
        <w:t>with</w:t>
      </w:r>
      <w:r w:rsidRPr="00386CC4">
        <w:rPr>
          <w:rFonts w:ascii="Times New Roman" w:hAnsi="Times New Roman" w:cs="Times New Roman"/>
          <w:sz w:val="20"/>
          <w:szCs w:val="20"/>
        </w:rPr>
        <w:t xml:space="preserve"> a</w:t>
      </w:r>
      <w:r w:rsidR="00053371" w:rsidRPr="00386CC4">
        <w:rPr>
          <w:rFonts w:ascii="Times New Roman" w:hAnsi="Times New Roman" w:cs="Times New Roman"/>
          <w:sz w:val="20"/>
          <w:szCs w:val="20"/>
        </w:rPr>
        <w:t>n oxidation state of Mn</w:t>
      </w:r>
      <w:r w:rsidR="00E73A12" w:rsidRPr="00386CC4">
        <w:rPr>
          <w:rFonts w:ascii="Times New Roman" w:hAnsi="Times New Roman" w:cs="Times New Roman"/>
          <w:sz w:val="20"/>
          <w:szCs w:val="20"/>
          <w:vertAlign w:val="superscript"/>
        </w:rPr>
        <w:t>+2</w:t>
      </w:r>
      <w:r w:rsidR="00036FF9" w:rsidRPr="00386CC4">
        <w:rPr>
          <w:rFonts w:ascii="Times New Roman" w:hAnsi="Times New Roman" w:cs="Times New Roman"/>
          <w:sz w:val="20"/>
          <w:szCs w:val="20"/>
        </w:rPr>
        <w:t xml:space="preserve"> while carbon w</w:t>
      </w:r>
      <w:r w:rsidR="000D3A7E" w:rsidRPr="00386CC4">
        <w:rPr>
          <w:rFonts w:ascii="Times New Roman" w:hAnsi="Times New Roman" w:cs="Times New Roman"/>
          <w:sz w:val="20"/>
          <w:szCs w:val="20"/>
        </w:rPr>
        <w:t>as</w:t>
      </w:r>
      <w:r w:rsidR="00036FF9" w:rsidRPr="00386CC4">
        <w:rPr>
          <w:rFonts w:ascii="Times New Roman" w:hAnsi="Times New Roman" w:cs="Times New Roman"/>
          <w:sz w:val="20"/>
          <w:szCs w:val="20"/>
        </w:rPr>
        <w:t xml:space="preserve"> oxidized from </w:t>
      </w:r>
      <w:r w:rsidR="000D3A7E" w:rsidRPr="00386CC4">
        <w:rPr>
          <w:rFonts w:ascii="Times New Roman" w:hAnsi="Times New Roman" w:cs="Times New Roman"/>
          <w:sz w:val="20"/>
          <w:szCs w:val="20"/>
        </w:rPr>
        <w:t>C</w:t>
      </w:r>
      <w:r w:rsidR="00036FF9" w:rsidRPr="00386CC4">
        <w:rPr>
          <w:rFonts w:ascii="Times New Roman" w:hAnsi="Times New Roman" w:cs="Times New Roman"/>
          <w:sz w:val="20"/>
          <w:szCs w:val="20"/>
          <w:vertAlign w:val="superscript"/>
        </w:rPr>
        <w:t>+3</w:t>
      </w:r>
      <w:r w:rsidR="00036FF9" w:rsidRPr="00386CC4">
        <w:rPr>
          <w:rFonts w:ascii="Times New Roman" w:hAnsi="Times New Roman" w:cs="Times New Roman"/>
          <w:sz w:val="20"/>
          <w:szCs w:val="20"/>
        </w:rPr>
        <w:t xml:space="preserve"> to a </w:t>
      </w:r>
      <w:r w:rsidR="000D3A7E" w:rsidRPr="00386CC4">
        <w:rPr>
          <w:rFonts w:ascii="Times New Roman" w:hAnsi="Times New Roman" w:cs="Times New Roman"/>
          <w:sz w:val="20"/>
          <w:szCs w:val="20"/>
        </w:rPr>
        <w:t>C</w:t>
      </w:r>
      <w:r w:rsidR="00036FF9" w:rsidRPr="00386CC4">
        <w:rPr>
          <w:rFonts w:ascii="Times New Roman" w:hAnsi="Times New Roman" w:cs="Times New Roman"/>
          <w:sz w:val="20"/>
          <w:szCs w:val="20"/>
          <w:vertAlign w:val="superscript"/>
        </w:rPr>
        <w:t>+4</w:t>
      </w:r>
      <w:r w:rsidR="00036FF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0D3A7E" w:rsidRPr="00386CC4">
        <w:rPr>
          <w:rFonts w:ascii="Times New Roman" w:hAnsi="Times New Roman" w:cs="Times New Roman"/>
          <w:sz w:val="20"/>
          <w:szCs w:val="20"/>
        </w:rPr>
        <w:t xml:space="preserve">oxidation </w:t>
      </w:r>
      <w:r w:rsidR="00036FF9" w:rsidRPr="00386CC4">
        <w:rPr>
          <w:rFonts w:ascii="Times New Roman" w:hAnsi="Times New Roman" w:cs="Times New Roman"/>
          <w:sz w:val="20"/>
          <w:szCs w:val="20"/>
        </w:rPr>
        <w:t>state</w:t>
      </w:r>
      <w:r w:rsidR="000D3A7E" w:rsidRPr="00386CC4">
        <w:rPr>
          <w:rFonts w:ascii="Times New Roman" w:hAnsi="Times New Roman" w:cs="Times New Roman"/>
          <w:sz w:val="20"/>
          <w:szCs w:val="20"/>
        </w:rPr>
        <w:t>s</w:t>
      </w:r>
      <w:r w:rsidR="00036FF9" w:rsidRPr="00386CC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43F69" w:rsidRPr="00386CC4" w:rsidRDefault="00C43F69" w:rsidP="00892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5DF9" w:rsidRPr="00C80BF0" w:rsidRDefault="00112FB7" w:rsidP="00112FB7">
      <w:pPr>
        <w:pStyle w:val="ListParagraph"/>
        <w:tabs>
          <w:tab w:val="clear" w:pos="720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vertAlign w:val="subscript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ab/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>CaC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2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>O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4(aq)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+ 2H</w:t>
      </w:r>
      <w:r w:rsidR="00375DF9" w:rsidRPr="00C80BF0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+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(aq)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375DF9" w:rsidRPr="00386CC4">
        <w:rPr>
          <w:rFonts w:ascii="Times New Roman" w:hAnsi="Times New Roman" w:cs="Times New Roman"/>
          <w:sz w:val="20"/>
          <w:szCs w:val="20"/>
        </w:rPr>
        <w:sym w:font="Wingdings" w:char="F0E0"/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Ca</w:t>
      </w:r>
      <w:r w:rsidR="00375DF9" w:rsidRPr="00C80BF0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2+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(aq)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+ H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2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>C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2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>O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4(aq)</w:t>
      </w:r>
      <w:r w:rsidR="000F420D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 xml:space="preserve"> </w:t>
      </w:r>
      <w:r w:rsidR="000F420D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sz w:val="20"/>
          <w:szCs w:val="20"/>
          <w:lang w:val="es-ES"/>
        </w:rPr>
        <w:tab/>
        <w:t xml:space="preserve">   </w:t>
      </w:r>
      <w:r w:rsidR="000F420D" w:rsidRPr="00C80BF0">
        <w:rPr>
          <w:rFonts w:ascii="Times New Roman" w:hAnsi="Times New Roman" w:cs="Times New Roman"/>
          <w:sz w:val="20"/>
          <w:szCs w:val="20"/>
          <w:lang w:val="es-ES"/>
        </w:rPr>
        <w:t>(2)</w:t>
      </w:r>
    </w:p>
    <w:p w:rsidR="00375DF9" w:rsidRPr="00C80BF0" w:rsidRDefault="00112FB7" w:rsidP="00112FB7">
      <w:pPr>
        <w:pStyle w:val="ListParagraph"/>
        <w:tabs>
          <w:tab w:val="clear" w:pos="720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vertAlign w:val="subscript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ab/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>5H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2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>C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2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>O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 xml:space="preserve">4(aq) 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>+ 2MnO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4</w:t>
      </w:r>
      <w:r w:rsidR="00375DF9" w:rsidRPr="00C80BF0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-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(aq)</w:t>
      </w:r>
      <w:r w:rsidR="00375DF9" w:rsidRPr="00C80BF0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 xml:space="preserve"> 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>+ 6H</w:t>
      </w:r>
      <w:r w:rsidR="00375DF9" w:rsidRPr="00C80BF0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+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(aq)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375DF9" w:rsidRPr="00386CC4">
        <w:rPr>
          <w:rFonts w:ascii="Times New Roman" w:hAnsi="Times New Roman" w:cs="Times New Roman"/>
          <w:sz w:val="20"/>
          <w:szCs w:val="20"/>
        </w:rPr>
        <w:sym w:font="Wingdings" w:char="F0E0"/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10CO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2(g)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+ 8H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2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>O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(l)</w:t>
      </w:r>
      <w:r w:rsidR="00375DF9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+ 2Mn</w:t>
      </w:r>
      <w:r w:rsidR="00375DF9" w:rsidRPr="00C80BF0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2+</w:t>
      </w:r>
      <w:r w:rsidR="00375DF9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>(aq)</w:t>
      </w:r>
      <w:r w:rsidR="000F420D" w:rsidRPr="00C80BF0">
        <w:rPr>
          <w:rFonts w:ascii="Times New Roman" w:hAnsi="Times New Roman" w:cs="Times New Roman"/>
          <w:sz w:val="20"/>
          <w:szCs w:val="20"/>
          <w:vertAlign w:val="subscript"/>
          <w:lang w:val="es-ES"/>
        </w:rPr>
        <w:t xml:space="preserve"> </w:t>
      </w:r>
      <w:r w:rsidR="000F420D" w:rsidRPr="00C80BF0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931FA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931FA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931FAB">
        <w:rPr>
          <w:rFonts w:ascii="Times New Roman" w:hAnsi="Times New Roman" w:cs="Times New Roman"/>
          <w:sz w:val="20"/>
          <w:szCs w:val="20"/>
          <w:lang w:val="es-ES"/>
        </w:rPr>
        <w:tab/>
      </w:r>
      <w:r w:rsidR="00931FAB">
        <w:rPr>
          <w:rFonts w:ascii="Times New Roman" w:hAnsi="Times New Roman" w:cs="Times New Roman"/>
          <w:sz w:val="20"/>
          <w:szCs w:val="20"/>
          <w:lang w:val="es-ES"/>
        </w:rPr>
        <w:tab/>
        <w:t xml:space="preserve">   </w:t>
      </w:r>
      <w:r w:rsidR="000F420D" w:rsidRPr="00C80BF0">
        <w:rPr>
          <w:rFonts w:ascii="Times New Roman" w:hAnsi="Times New Roman" w:cs="Times New Roman"/>
          <w:sz w:val="20"/>
          <w:szCs w:val="20"/>
          <w:lang w:val="es-ES"/>
        </w:rPr>
        <w:t>(3)</w:t>
      </w:r>
    </w:p>
    <w:p w:rsidR="00E73A12" w:rsidRPr="00C80BF0" w:rsidRDefault="00E73A12" w:rsidP="008925D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</w:p>
    <w:p w:rsidR="00E73A12" w:rsidRPr="00386CC4" w:rsidRDefault="00E73A12" w:rsidP="00892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FAB">
        <w:rPr>
          <w:rFonts w:ascii="Times New Roman" w:hAnsi="Times New Roman" w:cs="Times New Roman"/>
          <w:sz w:val="20"/>
          <w:szCs w:val="20"/>
          <w:lang w:val="en-US"/>
        </w:rPr>
        <w:t xml:space="preserve">Different complexometric and redox titration methods </w:t>
      </w:r>
      <w:r w:rsidR="00046D06" w:rsidRPr="00386CC4">
        <w:rPr>
          <w:rFonts w:ascii="Times New Roman" w:hAnsi="Times New Roman" w:cs="Times New Roman"/>
          <w:sz w:val="20"/>
          <w:szCs w:val="20"/>
        </w:rPr>
        <w:t>were</w:t>
      </w:r>
      <w:r w:rsidRPr="00386CC4">
        <w:rPr>
          <w:rFonts w:ascii="Times New Roman" w:hAnsi="Times New Roman" w:cs="Times New Roman"/>
          <w:sz w:val="20"/>
          <w:szCs w:val="20"/>
        </w:rPr>
        <w:t xml:space="preserve"> applied for limestone [</w:t>
      </w:r>
      <w:r w:rsidR="00B3710D" w:rsidRPr="00386CC4">
        <w:rPr>
          <w:rFonts w:ascii="Times New Roman" w:hAnsi="Times New Roman" w:cs="Times New Roman"/>
          <w:sz w:val="20"/>
          <w:szCs w:val="20"/>
        </w:rPr>
        <w:t>6,</w:t>
      </w:r>
      <w:r w:rsidR="00931FAB">
        <w:rPr>
          <w:rFonts w:ascii="Times New Roman" w:hAnsi="Times New Roman" w:cs="Times New Roman"/>
          <w:sz w:val="20"/>
          <w:szCs w:val="20"/>
        </w:rPr>
        <w:t xml:space="preserve"> </w:t>
      </w:r>
      <w:r w:rsidR="00B3710D" w:rsidRPr="00386CC4">
        <w:rPr>
          <w:rFonts w:ascii="Times New Roman" w:hAnsi="Times New Roman" w:cs="Times New Roman"/>
          <w:sz w:val="20"/>
          <w:szCs w:val="20"/>
        </w:rPr>
        <w:t>7</w:t>
      </w:r>
      <w:r w:rsidRPr="00386CC4">
        <w:rPr>
          <w:rFonts w:ascii="Times New Roman" w:hAnsi="Times New Roman" w:cs="Times New Roman"/>
          <w:sz w:val="20"/>
          <w:szCs w:val="20"/>
        </w:rPr>
        <w:t>] using a variety of titrants and colored indicators, such as disodium EGTA, calcon and E</w:t>
      </w:r>
      <w:r w:rsidR="00046D06" w:rsidRPr="00386CC4">
        <w:rPr>
          <w:rFonts w:ascii="Times New Roman" w:hAnsi="Times New Roman" w:cs="Times New Roman"/>
          <w:sz w:val="20"/>
          <w:szCs w:val="20"/>
        </w:rPr>
        <w:t>B</w:t>
      </w:r>
      <w:r w:rsidRPr="00386CC4">
        <w:rPr>
          <w:rFonts w:ascii="Times New Roman" w:hAnsi="Times New Roman" w:cs="Times New Roman"/>
          <w:sz w:val="20"/>
          <w:szCs w:val="20"/>
        </w:rPr>
        <w:t>T indicators</w:t>
      </w:r>
      <w:r w:rsidR="00931FAB">
        <w:rPr>
          <w:rFonts w:ascii="Times New Roman" w:hAnsi="Times New Roman" w:cs="Times New Roman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sz w:val="20"/>
          <w:szCs w:val="20"/>
        </w:rPr>
        <w:t>[</w:t>
      </w:r>
      <w:r w:rsidR="00B3710D" w:rsidRPr="00386CC4">
        <w:rPr>
          <w:rFonts w:ascii="Times New Roman" w:hAnsi="Times New Roman" w:cs="Times New Roman"/>
          <w:sz w:val="20"/>
          <w:szCs w:val="20"/>
        </w:rPr>
        <w:t>8, 9</w:t>
      </w:r>
      <w:r w:rsidRPr="00386CC4">
        <w:rPr>
          <w:rFonts w:ascii="Times New Roman" w:hAnsi="Times New Roman" w:cs="Times New Roman"/>
          <w:sz w:val="20"/>
          <w:szCs w:val="20"/>
        </w:rPr>
        <w:t xml:space="preserve">], and </w:t>
      </w:r>
      <w:r w:rsidRPr="00386CC4">
        <w:rPr>
          <w:rFonts w:ascii="Times New Roman" w:hAnsi="Times New Roman" w:cs="Times New Roman"/>
          <w:color w:val="222222"/>
          <w:sz w:val="20"/>
          <w:szCs w:val="20"/>
        </w:rPr>
        <w:t>azochromotropic acid derivative indicators [</w:t>
      </w:r>
      <w:r w:rsidR="00B3710D" w:rsidRPr="00386CC4">
        <w:rPr>
          <w:rFonts w:ascii="Times New Roman" w:hAnsi="Times New Roman" w:cs="Times New Roman"/>
          <w:color w:val="222222"/>
          <w:sz w:val="20"/>
          <w:szCs w:val="20"/>
        </w:rPr>
        <w:t>10</w:t>
      </w:r>
      <w:r w:rsidRPr="00386CC4">
        <w:rPr>
          <w:rFonts w:ascii="Times New Roman" w:hAnsi="Times New Roman" w:cs="Times New Roman"/>
          <w:color w:val="222222"/>
          <w:sz w:val="20"/>
          <w:szCs w:val="20"/>
        </w:rPr>
        <w:t>]</w:t>
      </w:r>
      <w:r w:rsidRPr="00386CC4">
        <w:rPr>
          <w:rFonts w:ascii="Times New Roman" w:hAnsi="Times New Roman" w:cs="Times New Roman"/>
          <w:sz w:val="20"/>
          <w:szCs w:val="20"/>
        </w:rPr>
        <w:t>. Potentiometric titration using calcium sensitive electrodes [</w:t>
      </w:r>
      <w:r w:rsidR="00B3710D" w:rsidRPr="00386CC4">
        <w:rPr>
          <w:rFonts w:ascii="Times New Roman" w:hAnsi="Times New Roman" w:cs="Times New Roman"/>
          <w:sz w:val="20"/>
          <w:szCs w:val="20"/>
        </w:rPr>
        <w:t>11</w:t>
      </w:r>
      <w:r w:rsidRPr="00386CC4">
        <w:rPr>
          <w:rFonts w:ascii="Times New Roman" w:hAnsi="Times New Roman" w:cs="Times New Roman"/>
          <w:sz w:val="20"/>
          <w:szCs w:val="20"/>
        </w:rPr>
        <w:t xml:space="preserve">] was also reported in literature, as well as flow-injection analysis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[</w:t>
      </w:r>
      <w:r w:rsidR="00B3710D" w:rsidRPr="00386CC4">
        <w:rPr>
          <w:rFonts w:ascii="Times New Roman" w:hAnsi="Times New Roman" w:cs="Times New Roman"/>
          <w:color w:val="auto"/>
          <w:sz w:val="20"/>
          <w:szCs w:val="20"/>
        </w:rPr>
        <w:t>12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] </w:t>
      </w:r>
      <w:r w:rsidRPr="00386CC4">
        <w:rPr>
          <w:rFonts w:ascii="Times New Roman" w:hAnsi="Times New Roman" w:cs="Times New Roman"/>
          <w:sz w:val="20"/>
          <w:szCs w:val="20"/>
        </w:rPr>
        <w:t xml:space="preserve">and atomic absorption spectroscopy methods </w:t>
      </w:r>
      <w:r w:rsidRPr="00386CC4">
        <w:rPr>
          <w:rFonts w:ascii="Times New Roman" w:hAnsi="Times New Roman" w:cs="Times New Roman"/>
          <w:color w:val="222222"/>
          <w:sz w:val="20"/>
          <w:szCs w:val="20"/>
        </w:rPr>
        <w:t>[</w:t>
      </w:r>
      <w:r w:rsidR="00B3710D" w:rsidRPr="00386CC4">
        <w:rPr>
          <w:rFonts w:ascii="Times New Roman" w:hAnsi="Times New Roman" w:cs="Times New Roman"/>
          <w:color w:val="222222"/>
          <w:sz w:val="20"/>
          <w:szCs w:val="20"/>
        </w:rPr>
        <w:t>13</w:t>
      </w:r>
      <w:r w:rsidRPr="00386CC4">
        <w:rPr>
          <w:rFonts w:ascii="Times New Roman" w:hAnsi="Times New Roman" w:cs="Times New Roman"/>
          <w:color w:val="222222"/>
          <w:sz w:val="20"/>
          <w:szCs w:val="20"/>
        </w:rPr>
        <w:t>]</w:t>
      </w:r>
      <w:r w:rsidRPr="00386CC4">
        <w:rPr>
          <w:rFonts w:ascii="Times New Roman" w:hAnsi="Times New Roman" w:cs="Times New Roman"/>
          <w:sz w:val="20"/>
          <w:szCs w:val="20"/>
        </w:rPr>
        <w:t xml:space="preserve">. Calcium oxide was determined in lime mortars by titrating with EDTA and methylene blue indicator </w:t>
      </w:r>
      <w:r w:rsidRPr="00386CC4">
        <w:rPr>
          <w:rFonts w:ascii="Times New Roman" w:hAnsi="Times New Roman" w:cs="Times New Roman"/>
          <w:color w:val="222222"/>
          <w:sz w:val="20"/>
          <w:szCs w:val="20"/>
        </w:rPr>
        <w:t>[</w:t>
      </w:r>
      <w:r w:rsidR="00B3710D" w:rsidRPr="00386CC4">
        <w:rPr>
          <w:rFonts w:ascii="Times New Roman" w:hAnsi="Times New Roman" w:cs="Times New Roman"/>
          <w:color w:val="222222"/>
          <w:sz w:val="20"/>
          <w:szCs w:val="20"/>
        </w:rPr>
        <w:t>14</w:t>
      </w:r>
      <w:r w:rsidRPr="00386CC4">
        <w:rPr>
          <w:rFonts w:ascii="Times New Roman" w:hAnsi="Times New Roman" w:cs="Times New Roman"/>
          <w:color w:val="222222"/>
          <w:sz w:val="20"/>
          <w:szCs w:val="20"/>
        </w:rPr>
        <w:t>]</w:t>
      </w:r>
      <w:r w:rsidR="00E601FC" w:rsidRPr="00386CC4">
        <w:rPr>
          <w:rFonts w:ascii="Times New Roman" w:hAnsi="Times New Roman" w:cs="Times New Roman"/>
          <w:color w:val="222222"/>
          <w:sz w:val="20"/>
          <w:szCs w:val="20"/>
        </w:rPr>
        <w:t>;</w:t>
      </w:r>
      <w:r w:rsidR="00046D06" w:rsidRPr="00386CC4">
        <w:rPr>
          <w:rFonts w:ascii="Times New Roman" w:hAnsi="Times New Roman" w:cs="Times New Roman"/>
          <w:color w:val="222222"/>
          <w:sz w:val="20"/>
          <w:szCs w:val="20"/>
        </w:rPr>
        <w:t xml:space="preserve"> h</w:t>
      </w:r>
      <w:r w:rsidRPr="00386CC4">
        <w:rPr>
          <w:rFonts w:ascii="Times New Roman" w:hAnsi="Times New Roman" w:cs="Times New Roman"/>
          <w:sz w:val="20"/>
          <w:szCs w:val="20"/>
        </w:rPr>
        <w:t xml:space="preserve">owever, the sample preparation and analysis are different from this study. In general, none of these reported methods </w:t>
      </w:r>
      <w:r w:rsidR="00046D06" w:rsidRPr="00386CC4">
        <w:rPr>
          <w:rFonts w:ascii="Times New Roman" w:hAnsi="Times New Roman" w:cs="Times New Roman"/>
          <w:sz w:val="20"/>
          <w:szCs w:val="20"/>
        </w:rPr>
        <w:t>were</w:t>
      </w:r>
      <w:r w:rsidRPr="00386CC4">
        <w:rPr>
          <w:rFonts w:ascii="Times New Roman" w:hAnsi="Times New Roman" w:cs="Times New Roman"/>
          <w:sz w:val="20"/>
          <w:szCs w:val="20"/>
        </w:rPr>
        <w:t xml:space="preserve"> applied directly on historic lime-based mortars whose chemical properties were </w:t>
      </w:r>
      <w:r w:rsidR="00046D06" w:rsidRPr="00386CC4">
        <w:rPr>
          <w:rFonts w:ascii="Times New Roman" w:hAnsi="Times New Roman" w:cs="Times New Roman"/>
          <w:sz w:val="20"/>
          <w:szCs w:val="20"/>
        </w:rPr>
        <w:t xml:space="preserve">influenced </w:t>
      </w:r>
      <w:r w:rsidRPr="00386CC4">
        <w:rPr>
          <w:rFonts w:ascii="Times New Roman" w:hAnsi="Times New Roman" w:cs="Times New Roman"/>
          <w:sz w:val="20"/>
          <w:szCs w:val="20"/>
        </w:rPr>
        <w:t xml:space="preserve">by the local manufacturing process.  </w:t>
      </w:r>
    </w:p>
    <w:p w:rsidR="0001284B" w:rsidRDefault="0001284B" w:rsidP="0001284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31C6E" w:rsidRPr="00386CC4" w:rsidRDefault="00031C6E" w:rsidP="0001284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b/>
          <w:color w:val="auto"/>
          <w:sz w:val="20"/>
          <w:szCs w:val="20"/>
        </w:rPr>
        <w:t>Materials and Methods</w:t>
      </w:r>
    </w:p>
    <w:p w:rsidR="00031C6E" w:rsidRPr="0001284B" w:rsidRDefault="00031C6E" w:rsidP="0001284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1284B">
        <w:rPr>
          <w:rFonts w:ascii="Times New Roman" w:hAnsi="Times New Roman" w:cs="Times New Roman"/>
          <w:b/>
          <w:color w:val="auto"/>
          <w:sz w:val="20"/>
          <w:szCs w:val="20"/>
        </w:rPr>
        <w:t>Mortar sample</w:t>
      </w:r>
      <w:r w:rsidR="00DD2EA9" w:rsidRPr="0001284B">
        <w:rPr>
          <w:rFonts w:ascii="Times New Roman" w:hAnsi="Times New Roman" w:cs="Times New Roman"/>
          <w:b/>
          <w:color w:val="auto"/>
          <w:sz w:val="20"/>
          <w:szCs w:val="20"/>
        </w:rPr>
        <w:t>s</w:t>
      </w:r>
    </w:p>
    <w:p w:rsidR="002F31A6" w:rsidRDefault="00DD2EA9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 xml:space="preserve">The </w:t>
      </w:r>
      <w:r w:rsidR="006B4E61" w:rsidRPr="00386CC4">
        <w:rPr>
          <w:rFonts w:ascii="Times New Roman" w:hAnsi="Times New Roman" w:cs="Times New Roman"/>
          <w:sz w:val="20"/>
          <w:szCs w:val="20"/>
        </w:rPr>
        <w:t xml:space="preserve">lime-based </w:t>
      </w:r>
      <w:r w:rsidRPr="00386CC4">
        <w:rPr>
          <w:rFonts w:ascii="Times New Roman" w:hAnsi="Times New Roman" w:cs="Times New Roman"/>
          <w:sz w:val="20"/>
          <w:szCs w:val="20"/>
        </w:rPr>
        <w:t>mortar samples were col</w:t>
      </w:r>
      <w:r w:rsidR="00B9025C" w:rsidRPr="00386CC4">
        <w:rPr>
          <w:rFonts w:ascii="Times New Roman" w:hAnsi="Times New Roman" w:cs="Times New Roman"/>
          <w:sz w:val="20"/>
          <w:szCs w:val="20"/>
        </w:rPr>
        <w:t>lected from</w:t>
      </w:r>
      <w:r w:rsidR="001F0B90" w:rsidRPr="00386CC4">
        <w:rPr>
          <w:rFonts w:ascii="Times New Roman" w:hAnsi="Times New Roman" w:cs="Times New Roman"/>
          <w:sz w:val="20"/>
          <w:szCs w:val="20"/>
        </w:rPr>
        <w:t xml:space="preserve"> two different </w:t>
      </w:r>
      <w:r w:rsidR="00BA3A8D" w:rsidRPr="00386CC4">
        <w:rPr>
          <w:rFonts w:ascii="Times New Roman" w:hAnsi="Times New Roman" w:cs="Times New Roman"/>
          <w:sz w:val="20"/>
          <w:szCs w:val="20"/>
        </w:rPr>
        <w:t xml:space="preserve">sites </w:t>
      </w:r>
      <w:r w:rsidRPr="00386CC4">
        <w:rPr>
          <w:rFonts w:ascii="Times New Roman" w:hAnsi="Times New Roman" w:cs="Times New Roman"/>
          <w:sz w:val="20"/>
          <w:szCs w:val="20"/>
        </w:rPr>
        <w:t xml:space="preserve">in the Philippines. </w:t>
      </w:r>
      <w:r w:rsidR="00BA7CBB" w:rsidRPr="00386CC4">
        <w:rPr>
          <w:rFonts w:ascii="Times New Roman" w:hAnsi="Times New Roman" w:cs="Times New Roman"/>
          <w:sz w:val="20"/>
          <w:szCs w:val="20"/>
        </w:rPr>
        <w:t>One sample was acquired</w:t>
      </w:r>
      <w:r w:rsidR="00E14D11" w:rsidRPr="00386CC4">
        <w:rPr>
          <w:rFonts w:ascii="Times New Roman" w:hAnsi="Times New Roman" w:cs="Times New Roman"/>
          <w:sz w:val="20"/>
          <w:szCs w:val="20"/>
        </w:rPr>
        <w:t xml:space="preserve"> from</w:t>
      </w:r>
      <w:r w:rsidR="001F0B90" w:rsidRPr="00386CC4">
        <w:rPr>
          <w:rFonts w:ascii="Times New Roman" w:hAnsi="Times New Roman" w:cs="Times New Roman"/>
          <w:sz w:val="20"/>
          <w:szCs w:val="20"/>
        </w:rPr>
        <w:t xml:space="preserve"> the southern Mindanao I</w:t>
      </w:r>
      <w:r w:rsidR="00E14D11" w:rsidRPr="00386CC4">
        <w:rPr>
          <w:rFonts w:ascii="Times New Roman" w:hAnsi="Times New Roman" w:cs="Times New Roman"/>
          <w:sz w:val="20"/>
          <w:szCs w:val="20"/>
        </w:rPr>
        <w:t xml:space="preserve">sland at </w:t>
      </w:r>
      <w:r w:rsidR="001F0B90" w:rsidRPr="00386CC4">
        <w:rPr>
          <w:rFonts w:ascii="Times New Roman" w:hAnsi="Times New Roman" w:cs="Times New Roman"/>
          <w:sz w:val="20"/>
          <w:szCs w:val="20"/>
        </w:rPr>
        <w:t xml:space="preserve">Misamis Oriental </w:t>
      </w:r>
      <w:r w:rsidR="00E14D11" w:rsidRPr="00386CC4">
        <w:rPr>
          <w:rFonts w:ascii="Times New Roman" w:hAnsi="Times New Roman" w:cs="Times New Roman"/>
          <w:sz w:val="20"/>
          <w:szCs w:val="20"/>
        </w:rPr>
        <w:t xml:space="preserve">in April 2015 </w:t>
      </w:r>
      <w:r w:rsidR="001F0B90" w:rsidRPr="00386CC4">
        <w:rPr>
          <w:rFonts w:ascii="Times New Roman" w:hAnsi="Times New Roman" w:cs="Times New Roman"/>
          <w:sz w:val="20"/>
          <w:szCs w:val="20"/>
        </w:rPr>
        <w:t>and the other was obtained from the northern Luzon Island at Metro Manila</w:t>
      </w:r>
      <w:r w:rsidR="00E601FC" w:rsidRPr="00386CC4">
        <w:rPr>
          <w:rFonts w:ascii="Times New Roman" w:hAnsi="Times New Roman" w:cs="Times New Roman"/>
          <w:sz w:val="20"/>
          <w:szCs w:val="20"/>
        </w:rPr>
        <w:t xml:space="preserve">, where the capital city of the Philippines is </w:t>
      </w:r>
      <w:r w:rsidR="005F4661" w:rsidRPr="00386CC4">
        <w:rPr>
          <w:rFonts w:ascii="Times New Roman" w:hAnsi="Times New Roman" w:cs="Times New Roman"/>
          <w:sz w:val="20"/>
          <w:szCs w:val="20"/>
        </w:rPr>
        <w:t>located (Figure 1), in April 201</w:t>
      </w:r>
      <w:r w:rsidR="00E601FC" w:rsidRPr="00386CC4">
        <w:rPr>
          <w:rFonts w:ascii="Times New Roman" w:hAnsi="Times New Roman" w:cs="Times New Roman"/>
          <w:sz w:val="20"/>
          <w:szCs w:val="20"/>
        </w:rPr>
        <w:t>4.</w:t>
      </w:r>
      <w:r w:rsidR="00F22DFF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B24398" w:rsidRPr="00386CC4">
        <w:rPr>
          <w:rFonts w:ascii="Times New Roman" w:hAnsi="Times New Roman" w:cs="Times New Roman"/>
          <w:sz w:val="20"/>
          <w:szCs w:val="20"/>
        </w:rPr>
        <w:t>Each respective sample was found within the ruins</w:t>
      </w:r>
      <w:r w:rsidR="00FB7BEF" w:rsidRPr="00386CC4">
        <w:rPr>
          <w:rFonts w:ascii="Times New Roman" w:hAnsi="Times New Roman" w:cs="Times New Roman"/>
          <w:sz w:val="20"/>
          <w:szCs w:val="20"/>
        </w:rPr>
        <w:t xml:space="preserve"> of </w:t>
      </w:r>
      <w:r w:rsidR="00266724" w:rsidRPr="00386CC4">
        <w:rPr>
          <w:rFonts w:ascii="Times New Roman" w:hAnsi="Times New Roman" w:cs="Times New Roman"/>
          <w:sz w:val="20"/>
          <w:szCs w:val="20"/>
        </w:rPr>
        <w:t xml:space="preserve">old </w:t>
      </w:r>
      <w:r w:rsidR="00B24398" w:rsidRPr="00386CC4">
        <w:rPr>
          <w:rFonts w:ascii="Times New Roman" w:hAnsi="Times New Roman" w:cs="Times New Roman"/>
          <w:sz w:val="20"/>
          <w:szCs w:val="20"/>
        </w:rPr>
        <w:t xml:space="preserve">Catholic </w:t>
      </w:r>
      <w:r w:rsidR="00266724" w:rsidRPr="00386CC4">
        <w:rPr>
          <w:rFonts w:ascii="Times New Roman" w:hAnsi="Times New Roman" w:cs="Times New Roman"/>
          <w:sz w:val="20"/>
          <w:szCs w:val="20"/>
        </w:rPr>
        <w:t>church</w:t>
      </w:r>
      <w:r w:rsidR="00FB7BEF" w:rsidRPr="00386CC4">
        <w:rPr>
          <w:rFonts w:ascii="Times New Roman" w:hAnsi="Times New Roman" w:cs="Times New Roman"/>
          <w:sz w:val="20"/>
          <w:szCs w:val="20"/>
        </w:rPr>
        <w:t>es</w:t>
      </w:r>
      <w:r w:rsidR="00B24398" w:rsidRPr="00386CC4">
        <w:rPr>
          <w:rFonts w:ascii="Times New Roman" w:hAnsi="Times New Roman" w:cs="Times New Roman"/>
          <w:sz w:val="20"/>
          <w:szCs w:val="20"/>
        </w:rPr>
        <w:t xml:space="preserve"> built in the 19</w:t>
      </w:r>
      <w:r w:rsidR="00B24398" w:rsidRPr="00386CC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24398" w:rsidRPr="00386CC4">
        <w:rPr>
          <w:rFonts w:ascii="Times New Roman" w:hAnsi="Times New Roman" w:cs="Times New Roman"/>
          <w:sz w:val="20"/>
          <w:szCs w:val="20"/>
        </w:rPr>
        <w:t xml:space="preserve"> century</w:t>
      </w:r>
      <w:r w:rsidR="00266724" w:rsidRPr="00386CC4">
        <w:rPr>
          <w:rFonts w:ascii="Times New Roman" w:hAnsi="Times New Roman" w:cs="Times New Roman"/>
          <w:sz w:val="20"/>
          <w:szCs w:val="20"/>
        </w:rPr>
        <w:t xml:space="preserve">. </w:t>
      </w:r>
      <w:r w:rsidR="00D71996" w:rsidRPr="00386CC4">
        <w:rPr>
          <w:rFonts w:ascii="Times New Roman" w:hAnsi="Times New Roman" w:cs="Times New Roman"/>
          <w:sz w:val="20"/>
          <w:szCs w:val="20"/>
        </w:rPr>
        <w:t xml:space="preserve">The </w:t>
      </w:r>
      <w:r w:rsidR="001F0B90" w:rsidRPr="00386CC4">
        <w:rPr>
          <w:rFonts w:ascii="Times New Roman" w:hAnsi="Times New Roman" w:cs="Times New Roman"/>
          <w:sz w:val="20"/>
          <w:szCs w:val="20"/>
        </w:rPr>
        <w:t xml:space="preserve">sample from Misamis Oriental </w:t>
      </w:r>
      <w:r w:rsidR="00BD2620" w:rsidRPr="00386CC4">
        <w:rPr>
          <w:rFonts w:ascii="Times New Roman" w:hAnsi="Times New Roman" w:cs="Times New Roman"/>
          <w:sz w:val="20"/>
          <w:szCs w:val="20"/>
        </w:rPr>
        <w:t xml:space="preserve">(8.2g) </w:t>
      </w:r>
      <w:r w:rsidR="00E14D11" w:rsidRPr="00386CC4">
        <w:rPr>
          <w:rFonts w:ascii="Times New Roman" w:hAnsi="Times New Roman" w:cs="Times New Roman"/>
          <w:sz w:val="20"/>
          <w:szCs w:val="20"/>
        </w:rPr>
        <w:t xml:space="preserve">was </w:t>
      </w:r>
      <w:r w:rsidR="00BA3A8D" w:rsidRPr="00386CC4">
        <w:rPr>
          <w:rFonts w:ascii="Times New Roman" w:hAnsi="Times New Roman" w:cs="Times New Roman"/>
          <w:sz w:val="20"/>
          <w:szCs w:val="20"/>
        </w:rPr>
        <w:t>gently scra</w:t>
      </w:r>
      <w:r w:rsidR="00D71996" w:rsidRPr="00386CC4">
        <w:rPr>
          <w:rFonts w:ascii="Times New Roman" w:hAnsi="Times New Roman" w:cs="Times New Roman"/>
          <w:sz w:val="20"/>
          <w:szCs w:val="20"/>
        </w:rPr>
        <w:t>ped-off from a coral-stone wall ruin</w:t>
      </w:r>
      <w:r w:rsidR="00BA7CBB" w:rsidRPr="00386CC4">
        <w:rPr>
          <w:rFonts w:ascii="Times New Roman" w:hAnsi="Times New Roman" w:cs="Times New Roman"/>
          <w:sz w:val="20"/>
          <w:szCs w:val="20"/>
        </w:rPr>
        <w:t>, w</w:t>
      </w:r>
      <w:r w:rsidR="007C4CFC" w:rsidRPr="00386CC4">
        <w:rPr>
          <w:rFonts w:ascii="Times New Roman" w:hAnsi="Times New Roman" w:cs="Times New Roman"/>
          <w:sz w:val="20"/>
          <w:szCs w:val="20"/>
        </w:rPr>
        <w:t>hich is believed to be part of the church’s</w:t>
      </w:r>
      <w:r w:rsidR="00BA7CBB" w:rsidRPr="00386CC4">
        <w:rPr>
          <w:rFonts w:ascii="Times New Roman" w:hAnsi="Times New Roman" w:cs="Times New Roman"/>
          <w:sz w:val="20"/>
          <w:szCs w:val="20"/>
        </w:rPr>
        <w:t xml:space="preserve"> window arch</w:t>
      </w:r>
      <w:r w:rsidR="00D71996" w:rsidRPr="00386CC4">
        <w:rPr>
          <w:rFonts w:ascii="Times New Roman" w:hAnsi="Times New Roman" w:cs="Times New Roman"/>
          <w:sz w:val="20"/>
          <w:szCs w:val="20"/>
        </w:rPr>
        <w:t>, while the Metro Manila sample</w:t>
      </w:r>
      <w:r w:rsidR="00BD2620" w:rsidRPr="00386CC4">
        <w:rPr>
          <w:rFonts w:ascii="Times New Roman" w:hAnsi="Times New Roman" w:cs="Times New Roman"/>
          <w:sz w:val="20"/>
          <w:szCs w:val="20"/>
        </w:rPr>
        <w:t xml:space="preserve"> (14.7g) </w:t>
      </w:r>
      <w:r w:rsidR="00D71996" w:rsidRPr="00386CC4">
        <w:rPr>
          <w:rFonts w:ascii="Times New Roman" w:hAnsi="Times New Roman" w:cs="Times New Roman"/>
          <w:sz w:val="20"/>
          <w:szCs w:val="20"/>
        </w:rPr>
        <w:t>was</w:t>
      </w:r>
      <w:r w:rsidR="00266724" w:rsidRPr="00386CC4">
        <w:rPr>
          <w:rFonts w:ascii="Times New Roman" w:hAnsi="Times New Roman" w:cs="Times New Roman"/>
          <w:sz w:val="20"/>
          <w:szCs w:val="20"/>
        </w:rPr>
        <w:t xml:space="preserve"> taken from a loose brick fragment wall believed to be </w:t>
      </w:r>
      <w:r w:rsidR="00FB7BEF" w:rsidRPr="00386CC4">
        <w:rPr>
          <w:rFonts w:ascii="Times New Roman" w:hAnsi="Times New Roman" w:cs="Times New Roman"/>
          <w:sz w:val="20"/>
          <w:szCs w:val="20"/>
        </w:rPr>
        <w:t xml:space="preserve">a segment </w:t>
      </w:r>
      <w:r w:rsidR="00266724" w:rsidRPr="00386CC4">
        <w:rPr>
          <w:rFonts w:ascii="Times New Roman" w:hAnsi="Times New Roman" w:cs="Times New Roman"/>
          <w:sz w:val="20"/>
          <w:szCs w:val="20"/>
        </w:rPr>
        <w:t xml:space="preserve">of the </w:t>
      </w:r>
      <w:r w:rsidR="007C4CFC" w:rsidRPr="00386CC4">
        <w:rPr>
          <w:rFonts w:ascii="Times New Roman" w:hAnsi="Times New Roman" w:cs="Times New Roman"/>
          <w:sz w:val="20"/>
          <w:szCs w:val="20"/>
        </w:rPr>
        <w:t xml:space="preserve">old </w:t>
      </w:r>
      <w:r w:rsidR="00BD2620" w:rsidRPr="00386CC4">
        <w:rPr>
          <w:rFonts w:ascii="Times New Roman" w:hAnsi="Times New Roman" w:cs="Times New Roman"/>
          <w:sz w:val="20"/>
          <w:szCs w:val="20"/>
        </w:rPr>
        <w:t xml:space="preserve">church </w:t>
      </w:r>
      <w:r w:rsidR="00266724" w:rsidRPr="00386CC4">
        <w:rPr>
          <w:rFonts w:ascii="Times New Roman" w:hAnsi="Times New Roman" w:cs="Times New Roman"/>
          <w:sz w:val="20"/>
          <w:szCs w:val="20"/>
        </w:rPr>
        <w:t>founda</w:t>
      </w:r>
      <w:r w:rsidR="007262B2" w:rsidRPr="00386CC4">
        <w:rPr>
          <w:rFonts w:ascii="Times New Roman" w:hAnsi="Times New Roman" w:cs="Times New Roman"/>
          <w:sz w:val="20"/>
          <w:szCs w:val="20"/>
        </w:rPr>
        <w:t>tion</w:t>
      </w:r>
      <w:r w:rsidR="00324CEA" w:rsidRPr="00386CC4">
        <w:rPr>
          <w:rFonts w:ascii="Times New Roman" w:hAnsi="Times New Roman" w:cs="Times New Roman"/>
          <w:sz w:val="20"/>
          <w:szCs w:val="20"/>
        </w:rPr>
        <w:t>.</w:t>
      </w:r>
      <w:r w:rsidR="007262B2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BA3A8D" w:rsidRPr="00386CC4">
        <w:rPr>
          <w:rFonts w:ascii="Times New Roman" w:hAnsi="Times New Roman" w:cs="Times New Roman"/>
          <w:sz w:val="20"/>
          <w:szCs w:val="20"/>
        </w:rPr>
        <w:t>The mortars used in the analysis were removed from its surrounding materials at an a</w:t>
      </w:r>
      <w:r w:rsidR="002F31A6" w:rsidRPr="00386CC4">
        <w:rPr>
          <w:rFonts w:ascii="Times New Roman" w:hAnsi="Times New Roman" w:cs="Times New Roman"/>
          <w:sz w:val="20"/>
          <w:szCs w:val="20"/>
        </w:rPr>
        <w:t xml:space="preserve">pproximate depth </w:t>
      </w:r>
      <w:r w:rsidR="00BA3A8D" w:rsidRPr="00386CC4">
        <w:rPr>
          <w:rFonts w:ascii="Times New Roman" w:hAnsi="Times New Roman" w:cs="Times New Roman"/>
          <w:sz w:val="20"/>
          <w:szCs w:val="20"/>
        </w:rPr>
        <w:t xml:space="preserve">of about 0.5 to 1.5 cm from its </w:t>
      </w:r>
      <w:r w:rsidR="002F31A6" w:rsidRPr="00386CC4">
        <w:rPr>
          <w:rFonts w:ascii="Times New Roman" w:hAnsi="Times New Roman" w:cs="Times New Roman"/>
          <w:sz w:val="20"/>
          <w:szCs w:val="20"/>
        </w:rPr>
        <w:t>surface to</w:t>
      </w:r>
      <w:r w:rsidR="00BD2620" w:rsidRPr="00386CC4">
        <w:rPr>
          <w:rFonts w:ascii="Times New Roman" w:hAnsi="Times New Roman" w:cs="Times New Roman"/>
          <w:sz w:val="20"/>
          <w:szCs w:val="20"/>
        </w:rPr>
        <w:t xml:space="preserve"> prevent contamination. </w:t>
      </w:r>
      <w:r w:rsidR="007262B2" w:rsidRPr="00386CC4">
        <w:rPr>
          <w:rFonts w:ascii="Times New Roman" w:hAnsi="Times New Roman" w:cs="Times New Roman"/>
          <w:sz w:val="20"/>
          <w:szCs w:val="20"/>
        </w:rPr>
        <w:t xml:space="preserve">Both mortars </w:t>
      </w:r>
      <w:r w:rsidR="002F31A6" w:rsidRPr="00386CC4">
        <w:rPr>
          <w:rFonts w:ascii="Times New Roman" w:hAnsi="Times New Roman" w:cs="Times New Roman"/>
          <w:sz w:val="20"/>
          <w:szCs w:val="20"/>
        </w:rPr>
        <w:t xml:space="preserve">are made entirely of lime binder which was evident from </w:t>
      </w:r>
      <w:r w:rsidR="00BA3A8D" w:rsidRPr="00386CC4">
        <w:rPr>
          <w:rFonts w:ascii="Times New Roman" w:hAnsi="Times New Roman" w:cs="Times New Roman"/>
          <w:sz w:val="20"/>
          <w:szCs w:val="20"/>
        </w:rPr>
        <w:t>its</w:t>
      </w:r>
      <w:r w:rsidR="006B4E61" w:rsidRPr="00386CC4">
        <w:rPr>
          <w:rFonts w:ascii="Times New Roman" w:hAnsi="Times New Roman" w:cs="Times New Roman"/>
          <w:sz w:val="20"/>
          <w:szCs w:val="20"/>
        </w:rPr>
        <w:t xml:space="preserve"> powdery texture.</w:t>
      </w:r>
    </w:p>
    <w:p w:rsidR="00315C6A" w:rsidRDefault="00315C6A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C6A" w:rsidRDefault="00315C6A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1FAB" w:rsidRDefault="00931FAB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1FAB" w:rsidRDefault="00931FAB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1FAB" w:rsidRDefault="00931FAB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1FAB" w:rsidRDefault="00931FAB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1FAB" w:rsidRDefault="00931FAB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1FAB" w:rsidRDefault="00931FAB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5C6A" w:rsidRPr="00386CC4" w:rsidRDefault="00315C6A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31A6" w:rsidRPr="00386CC4" w:rsidRDefault="008055EC" w:rsidP="000128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BE26035" wp14:editId="2691ABB2">
            <wp:simplePos x="0" y="0"/>
            <wp:positionH relativeFrom="column">
              <wp:posOffset>2674158</wp:posOffset>
            </wp:positionH>
            <wp:positionV relativeFrom="paragraph">
              <wp:posOffset>111125</wp:posOffset>
            </wp:positionV>
            <wp:extent cx="1697990" cy="1591310"/>
            <wp:effectExtent l="0" t="0" r="0" b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79" r="4295"/>
                    <a:stretch/>
                  </pic:blipFill>
                  <pic:spPr bwMode="auto">
                    <a:xfrm>
                      <a:off x="0" y="0"/>
                      <a:ext cx="169799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362" w:rsidRPr="00386CC4" w:rsidRDefault="008055EC" w:rsidP="0001284B">
      <w:pPr>
        <w:tabs>
          <w:tab w:val="clear" w:pos="720"/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3D74885B" wp14:editId="3A9FE9D8">
            <wp:simplePos x="0" y="0"/>
            <wp:positionH relativeFrom="column">
              <wp:posOffset>3267248</wp:posOffset>
            </wp:positionH>
            <wp:positionV relativeFrom="paragraph">
              <wp:posOffset>1602105</wp:posOffset>
            </wp:positionV>
            <wp:extent cx="1670685" cy="1614805"/>
            <wp:effectExtent l="0" t="0" r="5715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7" t="5357" r="10781"/>
                    <a:stretch/>
                  </pic:blipFill>
                  <pic:spPr bwMode="auto">
                    <a:xfrm>
                      <a:off x="0" y="0"/>
                      <a:ext cx="167068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CC4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AD4B1" wp14:editId="1D1E603F">
                <wp:simplePos x="0" y="0"/>
                <wp:positionH relativeFrom="column">
                  <wp:posOffset>2518583</wp:posOffset>
                </wp:positionH>
                <wp:positionV relativeFrom="paragraph">
                  <wp:posOffset>2117090</wp:posOffset>
                </wp:positionV>
                <wp:extent cx="633095" cy="203835"/>
                <wp:effectExtent l="38100" t="38100" r="52705" b="6286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095" cy="203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diamond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2D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98.3pt;margin-top:166.7pt;width:49.85pt;height:16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" strokecolor="red">
                <v:stroke startarrow="diamond" endarrow="block"/>
              </v:shape>
            </w:pict>
          </mc:Fallback>
        </mc:AlternateContent>
      </w:r>
      <w:r w:rsidRPr="00386CC4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F117A" wp14:editId="272E3ED4">
                <wp:simplePos x="0" y="0"/>
                <wp:positionH relativeFrom="column">
                  <wp:posOffset>1742440</wp:posOffset>
                </wp:positionH>
                <wp:positionV relativeFrom="paragraph">
                  <wp:posOffset>954232</wp:posOffset>
                </wp:positionV>
                <wp:extent cx="855980" cy="270510"/>
                <wp:effectExtent l="38100" t="38100" r="58420" b="5334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598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diamond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A1F20" id="AutoShape 8" o:spid="_x0000_s1026" type="#_x0000_t32" style="position:absolute;margin-left:137.2pt;margin-top:75.15pt;width:67.4pt;height:21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" strokecolor="red">
                <v:stroke startarrow="diamond" endarrow="block"/>
              </v:shape>
            </w:pict>
          </mc:Fallback>
        </mc:AlternateContent>
      </w:r>
      <w:r w:rsidR="00FB7BEF" w:rsidRPr="00386CC4">
        <w:rPr>
          <w:rFonts w:ascii="Times New Roman" w:hAnsi="Times New Roman" w:cs="Times New Roman"/>
          <w:noProof/>
          <w:sz w:val="20"/>
          <w:szCs w:val="20"/>
          <w:lang w:eastAsia="en-PH"/>
        </w:rPr>
        <w:t xml:space="preserve">  </w:t>
      </w:r>
      <w:r w:rsidR="00C51495" w:rsidRPr="00386CC4">
        <w:rPr>
          <w:rFonts w:ascii="Times New Roman" w:hAnsi="Times New Roman" w:cs="Times New Roman"/>
          <w:noProof/>
          <w:sz w:val="20"/>
          <w:szCs w:val="20"/>
          <w:lang w:eastAsia="en-PH"/>
        </w:rPr>
        <w:t xml:space="preserve">                     </w:t>
      </w:r>
      <w:r w:rsidR="000A5362" w:rsidRPr="00386CC4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A131CA0" wp14:editId="2A3DFB18">
            <wp:extent cx="2143889" cy="307361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18" cy="30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495" w:rsidRPr="00386CC4" w:rsidRDefault="00C51495" w:rsidP="0001284B">
      <w:pPr>
        <w:tabs>
          <w:tab w:val="clear" w:pos="720"/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1FAB" w:rsidRDefault="00931FAB" w:rsidP="00931F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493A" w:rsidRPr="00386CC4" w:rsidRDefault="00D84E04" w:rsidP="00931FAB">
      <w:pPr>
        <w:spacing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 xml:space="preserve">Figure 1. </w:t>
      </w:r>
      <w:r w:rsidR="00A92050" w:rsidRPr="00386CC4">
        <w:rPr>
          <w:rFonts w:ascii="Times New Roman" w:hAnsi="Times New Roman" w:cs="Times New Roman"/>
          <w:sz w:val="20"/>
          <w:szCs w:val="20"/>
        </w:rPr>
        <w:t xml:space="preserve">Location map </w:t>
      </w:r>
      <w:r w:rsidRPr="00386CC4">
        <w:rPr>
          <w:rFonts w:ascii="Times New Roman" w:hAnsi="Times New Roman" w:cs="Times New Roman"/>
          <w:sz w:val="20"/>
          <w:szCs w:val="20"/>
        </w:rPr>
        <w:t>showing the collection site at Misamis</w:t>
      </w:r>
      <w:r w:rsidR="00931FAB">
        <w:rPr>
          <w:rFonts w:ascii="Times New Roman" w:hAnsi="Times New Roman" w:cs="Times New Roman"/>
          <w:sz w:val="20"/>
          <w:szCs w:val="20"/>
        </w:rPr>
        <w:t xml:space="preserve"> Oriental and Metro Manila. </w:t>
      </w:r>
      <w:r w:rsidR="006673AE" w:rsidRPr="00386CC4">
        <w:rPr>
          <w:rFonts w:ascii="Times New Roman" w:hAnsi="Times New Roman" w:cs="Times New Roman"/>
          <w:sz w:val="20"/>
          <w:szCs w:val="20"/>
        </w:rPr>
        <w:t>Inset photo</w:t>
      </w:r>
      <w:r w:rsidR="0024493A" w:rsidRPr="00386CC4">
        <w:rPr>
          <w:rFonts w:ascii="Times New Roman" w:hAnsi="Times New Roman" w:cs="Times New Roman"/>
          <w:sz w:val="20"/>
          <w:szCs w:val="20"/>
        </w:rPr>
        <w:t>s show</w:t>
      </w:r>
      <w:r w:rsidR="006673AE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sz w:val="20"/>
          <w:szCs w:val="20"/>
        </w:rPr>
        <w:t>the</w:t>
      </w:r>
      <w:r w:rsidR="00BA3A8D" w:rsidRPr="00386CC4">
        <w:rPr>
          <w:rFonts w:ascii="Times New Roman" w:hAnsi="Times New Roman" w:cs="Times New Roman"/>
          <w:sz w:val="20"/>
          <w:szCs w:val="20"/>
        </w:rPr>
        <w:t xml:space="preserve"> historical lime mortars used for this study</w:t>
      </w:r>
    </w:p>
    <w:p w:rsidR="0024493A" w:rsidRPr="00386CC4" w:rsidRDefault="0024493A" w:rsidP="000128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31CF" w:rsidRPr="00386CC4" w:rsidRDefault="008D46ED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Each mortar samples (</w:t>
      </w:r>
      <w:r w:rsidR="0038304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between 4.0 </w:t>
      </w:r>
      <w:r w:rsidR="0024493A" w:rsidRPr="00386CC4">
        <w:rPr>
          <w:rFonts w:ascii="Times New Roman" w:hAnsi="Times New Roman" w:cs="Times New Roman"/>
          <w:color w:val="auto"/>
          <w:sz w:val="20"/>
          <w:szCs w:val="20"/>
        </w:rPr>
        <w:t>to 8.0g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24493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were </w:t>
      </w:r>
      <w:r w:rsidR="0073773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gently </w:t>
      </w:r>
      <w:r w:rsidR="007931CF" w:rsidRPr="00386CC4">
        <w:rPr>
          <w:rFonts w:ascii="Times New Roman" w:hAnsi="Times New Roman" w:cs="Times New Roman"/>
          <w:color w:val="auto"/>
          <w:sz w:val="20"/>
          <w:szCs w:val="20"/>
        </w:rPr>
        <w:t>pulverized</w:t>
      </w:r>
      <w:r w:rsidR="0024493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into small pieces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and</w:t>
      </w:r>
      <w:r w:rsidR="007931C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disaggregated, ensuring that </w:t>
      </w:r>
      <w:r w:rsidR="0073773B" w:rsidRPr="00386CC4">
        <w:rPr>
          <w:rFonts w:ascii="Times New Roman" w:hAnsi="Times New Roman" w:cs="Times New Roman"/>
          <w:color w:val="auto"/>
          <w:sz w:val="20"/>
          <w:szCs w:val="20"/>
        </w:rPr>
        <w:t>the original texture of the aggregate is not lost in th</w:t>
      </w:r>
      <w:r w:rsidR="00FE7E1D" w:rsidRPr="00386CC4">
        <w:rPr>
          <w:rFonts w:ascii="Times New Roman" w:hAnsi="Times New Roman" w:cs="Times New Roman"/>
          <w:color w:val="auto"/>
          <w:sz w:val="20"/>
          <w:szCs w:val="20"/>
        </w:rPr>
        <w:t>is</w:t>
      </w:r>
      <w:r w:rsidR="0073773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process. The </w:t>
      </w:r>
      <w:r w:rsidR="007931C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crushed </w:t>
      </w:r>
      <w:r w:rsidR="0073773B" w:rsidRPr="00386CC4">
        <w:rPr>
          <w:rFonts w:ascii="Times New Roman" w:hAnsi="Times New Roman" w:cs="Times New Roman"/>
          <w:color w:val="auto"/>
          <w:sz w:val="20"/>
          <w:szCs w:val="20"/>
        </w:rPr>
        <w:t>material</w:t>
      </w:r>
      <w:r w:rsidR="007931CF" w:rsidRPr="00386CC4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73773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</w:t>
      </w:r>
      <w:r w:rsidR="007931C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ere </w:t>
      </w:r>
      <w:r w:rsidR="0073773B" w:rsidRPr="00386CC4">
        <w:rPr>
          <w:rFonts w:ascii="Times New Roman" w:hAnsi="Times New Roman" w:cs="Times New Roman"/>
          <w:color w:val="auto"/>
          <w:sz w:val="20"/>
          <w:szCs w:val="20"/>
        </w:rPr>
        <w:t>sieved through sizes of 4.75</w:t>
      </w:r>
      <w:r w:rsidR="006264F0" w:rsidRPr="00386CC4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73773B" w:rsidRPr="00386CC4">
        <w:rPr>
          <w:rFonts w:ascii="Times New Roman" w:hAnsi="Times New Roman" w:cs="Times New Roman"/>
          <w:color w:val="auto"/>
          <w:sz w:val="20"/>
          <w:szCs w:val="20"/>
        </w:rPr>
        <w:t>, 2.36</w:t>
      </w:r>
      <w:r w:rsidR="006264F0" w:rsidRPr="00386CC4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73773B" w:rsidRPr="00386CC4">
        <w:rPr>
          <w:rFonts w:ascii="Times New Roman" w:hAnsi="Times New Roman" w:cs="Times New Roman"/>
          <w:color w:val="auto"/>
          <w:sz w:val="20"/>
          <w:szCs w:val="20"/>
        </w:rPr>
        <w:t>, 1.18</w:t>
      </w:r>
      <w:r w:rsidR="006264F0" w:rsidRPr="00386CC4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73773B" w:rsidRPr="00386CC4">
        <w:rPr>
          <w:rFonts w:ascii="Times New Roman" w:hAnsi="Times New Roman" w:cs="Times New Roman"/>
          <w:color w:val="auto"/>
          <w:sz w:val="20"/>
          <w:szCs w:val="20"/>
        </w:rPr>
        <w:t>, 0.600, 0.425, 0.250, 0.150 and 0.075 mm</w:t>
      </w:r>
      <w:r w:rsidR="007931C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using a USA Standard Testing Sieve ASTME11 Specification. </w:t>
      </w:r>
      <w:r w:rsidR="0099033E" w:rsidRPr="00386CC4">
        <w:rPr>
          <w:rFonts w:ascii="Times New Roman" w:hAnsi="Times New Roman" w:cs="Times New Roman"/>
          <w:color w:val="auto"/>
          <w:sz w:val="20"/>
          <w:szCs w:val="20"/>
        </w:rPr>
        <w:t>Fractions smaller than 0.075</w:t>
      </w:r>
      <w:r w:rsidR="00FE7E1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9033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mm and retained in the “pan” were also included. </w:t>
      </w:r>
      <w:r w:rsidR="007931CF" w:rsidRPr="00386CC4">
        <w:rPr>
          <w:rFonts w:ascii="Times New Roman" w:hAnsi="Times New Roman" w:cs="Times New Roman"/>
          <w:color w:val="auto"/>
          <w:sz w:val="20"/>
          <w:szCs w:val="20"/>
        </w:rPr>
        <w:t>Efficient separatio</w:t>
      </w:r>
      <w:r w:rsidR="0038304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n of the different fractions was </w:t>
      </w:r>
      <w:r w:rsidR="007931C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achieved by having the sieves shaken </w:t>
      </w:r>
      <w:r w:rsidR="00383047" w:rsidRPr="00386CC4">
        <w:rPr>
          <w:rFonts w:ascii="Times New Roman" w:hAnsi="Times New Roman" w:cs="Times New Roman"/>
          <w:color w:val="auto"/>
          <w:sz w:val="20"/>
          <w:szCs w:val="20"/>
        </w:rPr>
        <w:t>in</w:t>
      </w:r>
      <w:r w:rsidR="007931C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 mechanical shaker (US Ty</w:t>
      </w:r>
      <w:r w:rsidR="00383047" w:rsidRPr="00386CC4">
        <w:rPr>
          <w:rFonts w:ascii="Times New Roman" w:hAnsi="Times New Roman" w:cs="Times New Roman"/>
          <w:color w:val="auto"/>
          <w:sz w:val="20"/>
          <w:szCs w:val="20"/>
        </w:rPr>
        <w:t>ler brand) for</w:t>
      </w:r>
      <w:r w:rsidR="0099033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5 min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utes. </w:t>
      </w:r>
      <w:r w:rsidR="0099033E" w:rsidRPr="00386CC4">
        <w:rPr>
          <w:rFonts w:ascii="Times New Roman" w:hAnsi="Times New Roman" w:cs="Times New Roman"/>
          <w:color w:val="auto"/>
          <w:sz w:val="20"/>
          <w:szCs w:val="20"/>
        </w:rPr>
        <w:t>The resulting fr</w:t>
      </w:r>
      <w:r w:rsidR="00383047" w:rsidRPr="00386CC4">
        <w:rPr>
          <w:rFonts w:ascii="Times New Roman" w:hAnsi="Times New Roman" w:cs="Times New Roman"/>
          <w:color w:val="auto"/>
          <w:sz w:val="20"/>
          <w:szCs w:val="20"/>
        </w:rPr>
        <w:t>actions were individually weigh</w:t>
      </w:r>
      <w:r w:rsidR="0099033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ed and labelled according to </w:t>
      </w:r>
      <w:r w:rsidR="00114A4F" w:rsidRPr="00386CC4">
        <w:rPr>
          <w:rFonts w:ascii="Times New Roman" w:hAnsi="Times New Roman" w:cs="Times New Roman"/>
          <w:color w:val="auto"/>
          <w:sz w:val="20"/>
          <w:szCs w:val="20"/>
        </w:rPr>
        <w:t>their</w:t>
      </w:r>
      <w:r w:rsidR="0099033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respective </w:t>
      </w:r>
      <w:r w:rsidR="0038304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retained </w:t>
      </w:r>
      <w:r w:rsidR="0099033E" w:rsidRPr="00386CC4">
        <w:rPr>
          <w:rFonts w:ascii="Times New Roman" w:hAnsi="Times New Roman" w:cs="Times New Roman"/>
          <w:color w:val="auto"/>
          <w:sz w:val="20"/>
          <w:szCs w:val="20"/>
        </w:rPr>
        <w:t>sieve size</w:t>
      </w:r>
      <w:r w:rsidR="00383047" w:rsidRPr="00386CC4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031C6E" w:rsidRPr="00386CC4" w:rsidRDefault="00031C6E" w:rsidP="0001284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031C6E" w:rsidRPr="00192C11" w:rsidRDefault="00031C6E" w:rsidP="0001284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2C11">
        <w:rPr>
          <w:rFonts w:ascii="Times New Roman" w:hAnsi="Times New Roman" w:cs="Times New Roman"/>
          <w:b/>
          <w:color w:val="auto"/>
          <w:sz w:val="20"/>
          <w:szCs w:val="20"/>
        </w:rPr>
        <w:t>An</w:t>
      </w:r>
      <w:r w:rsidR="00AA370C" w:rsidRPr="00192C11">
        <w:rPr>
          <w:rFonts w:ascii="Times New Roman" w:hAnsi="Times New Roman" w:cs="Times New Roman"/>
          <w:b/>
          <w:color w:val="auto"/>
          <w:sz w:val="20"/>
          <w:szCs w:val="20"/>
        </w:rPr>
        <w:t xml:space="preserve">alysis by </w:t>
      </w:r>
      <w:r w:rsidR="00931FAB">
        <w:rPr>
          <w:rFonts w:ascii="Times New Roman" w:hAnsi="Times New Roman" w:cs="Times New Roman"/>
          <w:b/>
          <w:color w:val="auto"/>
          <w:sz w:val="20"/>
          <w:szCs w:val="20"/>
        </w:rPr>
        <w:t>F</w:t>
      </w:r>
      <w:r w:rsidR="00931FAB" w:rsidRPr="00192C11">
        <w:rPr>
          <w:rFonts w:ascii="Times New Roman" w:hAnsi="Times New Roman" w:cs="Times New Roman"/>
          <w:b/>
          <w:color w:val="auto"/>
          <w:sz w:val="20"/>
          <w:szCs w:val="20"/>
        </w:rPr>
        <w:t xml:space="preserve">ourier transform infrared spectroscopy </w:t>
      </w:r>
    </w:p>
    <w:p w:rsidR="00E7098D" w:rsidRPr="00386CC4" w:rsidRDefault="00383047" w:rsidP="00931FA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For both mortar samples, a s</w:t>
      </w:r>
      <w:r w:rsidR="00B8173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mall portion of </w:t>
      </w:r>
      <w:r w:rsidR="00542442" w:rsidRPr="00386CC4">
        <w:rPr>
          <w:rFonts w:ascii="Times New Roman" w:hAnsi="Times New Roman" w:cs="Times New Roman"/>
          <w:color w:val="auto"/>
          <w:sz w:val="20"/>
          <w:szCs w:val="20"/>
        </w:rPr>
        <w:t>sieved fraction retained in the “pan”</w:t>
      </w:r>
      <w:r w:rsidR="00B8173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B57B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(&lt;0.075mm) </w:t>
      </w:r>
      <w:r w:rsidR="00542442" w:rsidRPr="00386CC4">
        <w:rPr>
          <w:rFonts w:ascii="Times New Roman" w:hAnsi="Times New Roman" w:cs="Times New Roman"/>
          <w:color w:val="auto"/>
          <w:sz w:val="20"/>
          <w:szCs w:val="20"/>
        </w:rPr>
        <w:t>was mixed</w:t>
      </w:r>
      <w:r w:rsidR="00B8173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542442" w:rsidRPr="00386CC4">
        <w:rPr>
          <w:rFonts w:ascii="Times New Roman" w:hAnsi="Times New Roman" w:cs="Times New Roman"/>
          <w:color w:val="auto"/>
          <w:sz w:val="20"/>
          <w:szCs w:val="20"/>
        </w:rPr>
        <w:t>ground</w:t>
      </w:r>
      <w:r w:rsidR="00B8173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ed, and pressed together </w:t>
      </w:r>
      <w:r w:rsidR="00B9139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with KBr powder </w:t>
      </w:r>
      <w:r w:rsidR="00B8173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to form a thin and transparent pellet. </w:t>
      </w:r>
      <w:r w:rsidR="0054244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ratio of sample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relative to the amount of KBr </w:t>
      </w:r>
      <w:r w:rsidR="00542442" w:rsidRPr="00386CC4">
        <w:rPr>
          <w:rFonts w:ascii="Times New Roman" w:hAnsi="Times New Roman" w:cs="Times New Roman"/>
          <w:color w:val="auto"/>
          <w:sz w:val="20"/>
          <w:szCs w:val="20"/>
        </w:rPr>
        <w:t>is about 1 to 2%</w:t>
      </w:r>
      <w:r w:rsidR="00CD598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CD598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ure </w:t>
      </w:r>
      <w:r w:rsidR="00A54D5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analytical grade </w:t>
      </w:r>
      <w:r w:rsidR="0041103B" w:rsidRPr="00386CC4">
        <w:rPr>
          <w:rFonts w:ascii="Times New Roman" w:hAnsi="Times New Roman" w:cs="Times New Roman"/>
          <w:color w:val="auto"/>
          <w:sz w:val="20"/>
          <w:szCs w:val="20"/>
        </w:rPr>
        <w:t>SiO</w:t>
      </w:r>
      <w:r w:rsidR="0041103B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CD598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(Sigma-Aldrich) and </w:t>
      </w:r>
      <w:r w:rsidR="0041103B" w:rsidRPr="00386CC4">
        <w:rPr>
          <w:rFonts w:ascii="Times New Roman" w:hAnsi="Times New Roman" w:cs="Times New Roman"/>
          <w:color w:val="auto"/>
          <w:sz w:val="20"/>
          <w:szCs w:val="20"/>
        </w:rPr>
        <w:t>CaCO</w:t>
      </w:r>
      <w:r w:rsidR="0041103B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="0041103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D5989" w:rsidRPr="00386CC4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923B81" w:rsidRPr="00386CC4">
        <w:rPr>
          <w:rFonts w:ascii="Times New Roman" w:hAnsi="Times New Roman" w:cs="Times New Roman"/>
          <w:color w:val="auto"/>
          <w:sz w:val="20"/>
          <w:szCs w:val="20"/>
        </w:rPr>
        <w:t>Unichem</w:t>
      </w:r>
      <w:r w:rsidR="007B0CF4" w:rsidRPr="00386CC4">
        <w:rPr>
          <w:rFonts w:ascii="Times New Roman" w:hAnsi="Times New Roman" w:cs="Times New Roman"/>
          <w:color w:val="auto"/>
          <w:sz w:val="20"/>
          <w:szCs w:val="20"/>
        </w:rPr>
        <w:t>, 98%</w:t>
      </w:r>
      <w:r w:rsidR="0041103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) were also pelletized with KBr. The IR spectrum was </w:t>
      </w:r>
      <w:r w:rsidR="00031C6E" w:rsidRPr="00386CC4">
        <w:rPr>
          <w:rFonts w:ascii="Times New Roman" w:hAnsi="Times New Roman" w:cs="Times New Roman"/>
          <w:color w:val="auto"/>
          <w:sz w:val="20"/>
          <w:szCs w:val="20"/>
        </w:rPr>
        <w:t>recorded u</w:t>
      </w:r>
      <w:r w:rsidR="00F734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sing a </w:t>
      </w:r>
      <w:r w:rsidR="00031C6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Thermo Scientific Nicolet 6700 FT-IR Spectrophotometer </w:t>
      </w:r>
      <w:r w:rsidR="00F734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in the </w:t>
      </w:r>
      <w:r w:rsidR="00D65A7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finger print </w:t>
      </w:r>
      <w:r w:rsidR="00F73491" w:rsidRPr="00386CC4">
        <w:rPr>
          <w:rFonts w:ascii="Times New Roman" w:hAnsi="Times New Roman" w:cs="Times New Roman"/>
          <w:color w:val="auto"/>
          <w:sz w:val="20"/>
          <w:szCs w:val="20"/>
        </w:rPr>
        <w:t>region 2400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F73491" w:rsidRPr="00386CC4">
        <w:rPr>
          <w:rFonts w:ascii="Times New Roman" w:hAnsi="Times New Roman" w:cs="Times New Roman"/>
          <w:color w:val="auto"/>
          <w:sz w:val="20"/>
          <w:szCs w:val="20"/>
        </w:rPr>
        <w:t>400cm</w:t>
      </w:r>
      <w:r w:rsidR="00F73491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-1</w:t>
      </w:r>
      <w:r w:rsidR="00D65A76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 </w:t>
      </w:r>
      <w:r w:rsidR="00D65A76" w:rsidRPr="00386CC4">
        <w:rPr>
          <w:rFonts w:ascii="Times New Roman" w:hAnsi="Times New Roman" w:cs="Times New Roman"/>
          <w:color w:val="auto"/>
          <w:sz w:val="20"/>
          <w:szCs w:val="20"/>
        </w:rPr>
        <w:t>wi</w:t>
      </w:r>
      <w:r w:rsidR="00F73491" w:rsidRPr="00386CC4">
        <w:rPr>
          <w:rFonts w:ascii="Times New Roman" w:hAnsi="Times New Roman" w:cs="Times New Roman"/>
          <w:color w:val="auto"/>
          <w:sz w:val="20"/>
          <w:szCs w:val="20"/>
        </w:rPr>
        <w:t>th a resolution of 4 cm</w:t>
      </w:r>
      <w:r w:rsidR="00F73491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-1 </w:t>
      </w:r>
      <w:r w:rsidR="00F73491" w:rsidRPr="00386CC4">
        <w:rPr>
          <w:rFonts w:ascii="Times New Roman" w:hAnsi="Times New Roman" w:cs="Times New Roman"/>
          <w:color w:val="auto"/>
          <w:sz w:val="20"/>
          <w:szCs w:val="20"/>
        </w:rPr>
        <w:t>and 32 scans per spectrum</w:t>
      </w:r>
      <w:r w:rsidR="009D678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[15]</w:t>
      </w:r>
      <w:r w:rsidR="00F734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The </w:t>
      </w:r>
      <w:r w:rsidR="00D65A7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spectrum was reported as absorbance relative to the wave number. </w:t>
      </w:r>
    </w:p>
    <w:p w:rsidR="00F73491" w:rsidRPr="00386CC4" w:rsidRDefault="00F73491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931FAB" w:rsidRDefault="00FB7729" w:rsidP="00931FA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2C11">
        <w:rPr>
          <w:rFonts w:ascii="Times New Roman" w:hAnsi="Times New Roman" w:cs="Times New Roman"/>
          <w:b/>
          <w:color w:val="auto"/>
          <w:sz w:val="20"/>
          <w:szCs w:val="20"/>
        </w:rPr>
        <w:t>Titration with EDTA solution</w:t>
      </w:r>
      <w:r w:rsidR="00931FAB">
        <w:rPr>
          <w:rFonts w:ascii="Times New Roman" w:hAnsi="Times New Roman" w:cs="Times New Roman"/>
          <w:b/>
          <w:color w:val="auto"/>
          <w:sz w:val="20"/>
          <w:szCs w:val="20"/>
        </w:rPr>
        <w:t xml:space="preserve">: </w:t>
      </w:r>
      <w:r w:rsidR="00345959" w:rsidRPr="00192C11">
        <w:rPr>
          <w:rFonts w:ascii="Times New Roman" w:hAnsi="Times New Roman" w:cs="Times New Roman"/>
          <w:b/>
          <w:color w:val="auto"/>
          <w:sz w:val="20"/>
          <w:szCs w:val="20"/>
        </w:rPr>
        <w:t>Standardization of EDTA</w:t>
      </w:r>
    </w:p>
    <w:p w:rsidR="006C6F3D" w:rsidRPr="00931FAB" w:rsidRDefault="00345959" w:rsidP="00931FA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The EDTA solution was p</w:t>
      </w:r>
      <w:r w:rsidR="00E9541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repared by </w:t>
      </w:r>
      <w:r w:rsidR="00EA74F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mixing </w:t>
      </w:r>
      <w:r w:rsidR="00E95417" w:rsidRPr="00386CC4">
        <w:rPr>
          <w:rFonts w:ascii="Times New Roman" w:hAnsi="Times New Roman" w:cs="Times New Roman"/>
          <w:color w:val="auto"/>
          <w:sz w:val="20"/>
          <w:szCs w:val="20"/>
        </w:rPr>
        <w:t>2.0g EDTA</w:t>
      </w:r>
      <w:r w:rsidR="00036FF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powder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923B81" w:rsidRPr="00386CC4">
        <w:rPr>
          <w:rFonts w:ascii="Times New Roman" w:hAnsi="Times New Roman" w:cs="Times New Roman"/>
          <w:color w:val="auto"/>
          <w:sz w:val="20"/>
          <w:szCs w:val="20"/>
        </w:rPr>
        <w:t>Himedia</w:t>
      </w:r>
      <w:r w:rsidR="007B0CF4" w:rsidRPr="00386CC4">
        <w:rPr>
          <w:rFonts w:ascii="Times New Roman" w:hAnsi="Times New Roman" w:cs="Times New Roman"/>
          <w:color w:val="auto"/>
          <w:sz w:val="20"/>
          <w:szCs w:val="20"/>
        </w:rPr>
        <w:t>, 99.5%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E9541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1.0g of </w:t>
      </w:r>
      <w:r w:rsidR="00E9541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NaOH 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923B81" w:rsidRPr="00386CC4">
        <w:rPr>
          <w:rFonts w:ascii="Times New Roman" w:hAnsi="Times New Roman" w:cs="Times New Roman"/>
          <w:color w:val="auto"/>
          <w:sz w:val="20"/>
          <w:szCs w:val="20"/>
        </w:rPr>
        <w:t>Unichem</w:t>
      </w:r>
      <w:r w:rsidR="007B0CF4" w:rsidRPr="00386CC4">
        <w:rPr>
          <w:rFonts w:ascii="Times New Roman" w:hAnsi="Times New Roman" w:cs="Times New Roman"/>
          <w:color w:val="auto"/>
          <w:sz w:val="20"/>
          <w:szCs w:val="20"/>
        </w:rPr>
        <w:t>, 96%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E9541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and 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</w:rPr>
        <w:t>0.15g of MgCl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</w:rPr>
        <w:t>•2H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</w:rPr>
        <w:t>O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923B81" w:rsidRPr="00386CC4">
        <w:rPr>
          <w:rFonts w:ascii="Times New Roman" w:hAnsi="Times New Roman" w:cs="Times New Roman"/>
          <w:color w:val="auto"/>
          <w:sz w:val="20"/>
          <w:szCs w:val="20"/>
        </w:rPr>
        <w:t>Qualikems</w:t>
      </w:r>
      <w:r w:rsidR="007B0CF4" w:rsidRPr="00386CC4">
        <w:rPr>
          <w:rFonts w:ascii="Times New Roman" w:hAnsi="Times New Roman" w:cs="Times New Roman"/>
          <w:color w:val="auto"/>
          <w:sz w:val="20"/>
          <w:szCs w:val="20"/>
        </w:rPr>
        <w:t>, 99%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E95417" w:rsidRPr="00386CC4">
        <w:rPr>
          <w:rFonts w:ascii="Times New Roman" w:hAnsi="Times New Roman" w:cs="Times New Roman"/>
          <w:color w:val="auto"/>
          <w:sz w:val="20"/>
          <w:szCs w:val="20"/>
        </w:rPr>
        <w:t>. It was diluted with distilled wa</w:t>
      </w:r>
      <w:r w:rsidR="003B617B" w:rsidRPr="00386CC4">
        <w:rPr>
          <w:rFonts w:ascii="Times New Roman" w:hAnsi="Times New Roman" w:cs="Times New Roman"/>
          <w:color w:val="auto"/>
          <w:sz w:val="20"/>
          <w:szCs w:val="20"/>
        </w:rPr>
        <w:t>ter in a 1</w:t>
      </w:r>
      <w:r w:rsidR="007B117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L volumetric flask. All chemical reagents 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are analytical grade.</w:t>
      </w:r>
    </w:p>
    <w:p w:rsidR="006C6F3D" w:rsidRPr="00386CC4" w:rsidRDefault="006C6F3D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31FAB" w:rsidRDefault="00931FAB" w:rsidP="0001284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Preparation of standard analyte</w:t>
      </w:r>
    </w:p>
    <w:p w:rsidR="00C37AC6" w:rsidRPr="00386CC4" w:rsidRDefault="007B1177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analyte was prepared by measuring 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0.</w:t>
      </w:r>
      <w:r w:rsidR="00E95417" w:rsidRPr="00386CC4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E9541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g of 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oven dried (110</w:t>
      </w:r>
      <w:r w:rsidR="006C6F3D" w:rsidRPr="00386CC4">
        <w:rPr>
          <w:rFonts w:ascii="Cambria Math" w:hAnsi="Cambria Math" w:cs="Cambria Math"/>
          <w:color w:val="auto"/>
          <w:sz w:val="20"/>
          <w:szCs w:val="20"/>
        </w:rPr>
        <w:t>⁰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 for 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h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>ou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rs.) analytical grade CaCO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923B81" w:rsidRPr="00386CC4">
        <w:rPr>
          <w:rFonts w:ascii="Times New Roman" w:hAnsi="Times New Roman" w:cs="Times New Roman"/>
          <w:color w:val="auto"/>
          <w:sz w:val="20"/>
          <w:szCs w:val="20"/>
        </w:rPr>
        <w:t>Unichem</w:t>
      </w:r>
      <w:r w:rsidR="007B0CF4" w:rsidRPr="00386CC4">
        <w:rPr>
          <w:rFonts w:ascii="Times New Roman" w:hAnsi="Times New Roman" w:cs="Times New Roman"/>
          <w:color w:val="auto"/>
          <w:sz w:val="20"/>
          <w:szCs w:val="20"/>
        </w:rPr>
        <w:t>, 98%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>) in three separate 100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C6F3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 beakers. </w:t>
      </w:r>
      <w:r w:rsidR="00275DC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Concentrated </w:t>
      </w:r>
      <w:r w:rsidR="00083F00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analytical grade </w:t>
      </w:r>
      <w:r w:rsidR="00275DC8" w:rsidRPr="00386CC4">
        <w:rPr>
          <w:rFonts w:ascii="Times New Roman" w:hAnsi="Times New Roman" w:cs="Times New Roman"/>
          <w:color w:val="auto"/>
          <w:sz w:val="20"/>
          <w:szCs w:val="20"/>
        </w:rPr>
        <w:t>HC</w:t>
      </w:r>
      <w:r w:rsidR="00C37AC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l </w:t>
      </w:r>
      <w:r w:rsidR="00275DC8" w:rsidRPr="00386CC4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923B81" w:rsidRPr="00386CC4">
        <w:rPr>
          <w:rFonts w:ascii="Times New Roman" w:hAnsi="Times New Roman" w:cs="Times New Roman"/>
          <w:color w:val="auto"/>
          <w:sz w:val="20"/>
          <w:szCs w:val="20"/>
        </w:rPr>
        <w:t>Macron</w:t>
      </w:r>
      <w:r w:rsidR="00A638B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) was added drop wise </w:t>
      </w:r>
      <w:r w:rsidR="00083F00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until </w:t>
      </w:r>
      <w:r w:rsidR="00C37AC6" w:rsidRPr="00386CC4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083F00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37AC6" w:rsidRPr="00386CC4">
        <w:rPr>
          <w:rFonts w:ascii="Times New Roman" w:hAnsi="Times New Roman" w:cs="Times New Roman"/>
          <w:color w:val="auto"/>
          <w:sz w:val="20"/>
          <w:szCs w:val="20"/>
        </w:rPr>
        <w:t>mL</w:t>
      </w:r>
      <w:r w:rsidR="00275DC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This was followed by the addition of </w:t>
      </w:r>
      <w:r w:rsidR="00275DC8" w:rsidRPr="00386CC4">
        <w:rPr>
          <w:rFonts w:ascii="Times New Roman" w:hAnsi="Times New Roman" w:cs="Times New Roman"/>
          <w:color w:val="auto"/>
          <w:sz w:val="20"/>
          <w:szCs w:val="20"/>
        </w:rPr>
        <w:t>50</w:t>
      </w:r>
      <w:r w:rsidR="00083F00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 </w:t>
      </w:r>
      <w:r w:rsidR="00275DC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distilled water 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>and</w:t>
      </w:r>
      <w:r w:rsidR="00275DC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33B03" w:rsidRPr="00386CC4">
        <w:rPr>
          <w:rFonts w:ascii="Times New Roman" w:hAnsi="Times New Roman" w:cs="Times New Roman"/>
          <w:color w:val="auto"/>
          <w:sz w:val="20"/>
          <w:szCs w:val="20"/>
        </w:rPr>
        <w:t>boiled in</w:t>
      </w:r>
      <w:r w:rsidR="00275DC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</w:t>
      </w:r>
      <w:r w:rsidR="00DE5B27" w:rsidRPr="00386CC4">
        <w:rPr>
          <w:rFonts w:ascii="Times New Roman" w:hAnsi="Times New Roman" w:cs="Times New Roman"/>
          <w:color w:val="auto"/>
          <w:sz w:val="20"/>
          <w:szCs w:val="20"/>
        </w:rPr>
        <w:t>ater bath for 5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37AC6" w:rsidRPr="00386CC4">
        <w:rPr>
          <w:rFonts w:ascii="Times New Roman" w:hAnsi="Times New Roman" w:cs="Times New Roman"/>
          <w:color w:val="auto"/>
          <w:sz w:val="20"/>
          <w:szCs w:val="20"/>
        </w:rPr>
        <w:t>min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>utes</w:t>
      </w:r>
      <w:r w:rsidR="00233B0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>T</w:t>
      </w:r>
      <w:r w:rsidR="00275DC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he solution was transferred </w:t>
      </w:r>
      <w:r w:rsidR="00233B03" w:rsidRPr="00386CC4">
        <w:rPr>
          <w:rFonts w:ascii="Times New Roman" w:hAnsi="Times New Roman" w:cs="Times New Roman"/>
          <w:color w:val="auto"/>
          <w:sz w:val="20"/>
          <w:szCs w:val="20"/>
        </w:rPr>
        <w:t>in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>to</w:t>
      </w:r>
      <w:r w:rsidR="004F145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r w:rsidR="00931FAB" w:rsidRPr="00386CC4">
        <w:rPr>
          <w:rFonts w:ascii="Times New Roman" w:hAnsi="Times New Roman" w:cs="Times New Roman"/>
          <w:color w:val="auto"/>
          <w:sz w:val="20"/>
          <w:szCs w:val="20"/>
        </w:rPr>
        <w:t>250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mL</w:t>
      </w:r>
      <w:r w:rsidR="004F145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volumetric flask 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after cooling </w:t>
      </w:r>
      <w:r w:rsidR="004F145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and diluted with distilled water. </w:t>
      </w:r>
    </w:p>
    <w:p w:rsidR="00C37AC6" w:rsidRPr="00386CC4" w:rsidRDefault="00C37AC6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F1459" w:rsidRPr="00386CC4" w:rsidRDefault="004F1459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A 25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 aliquot was </w:t>
      </w:r>
      <w:r w:rsidR="00DE5B2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pipetted in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three indi</w:t>
      </w:r>
      <w:r w:rsidR="00DE5B27" w:rsidRPr="00386CC4">
        <w:rPr>
          <w:rFonts w:ascii="Times New Roman" w:hAnsi="Times New Roman" w:cs="Times New Roman"/>
          <w:color w:val="auto"/>
          <w:sz w:val="20"/>
          <w:szCs w:val="20"/>
        </w:rPr>
        <w:t>vidual 250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E5B2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 Erlenmeyer flasks and 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>combined</w:t>
      </w:r>
      <w:r w:rsidR="00DE5B2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with 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 of ammonium buffer </w:t>
      </w:r>
      <w:r w:rsidR="00DE5B2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and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drops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of EBT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indicator</w:t>
      </w:r>
      <w:r w:rsidR="00C37AC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923B81" w:rsidRPr="00386CC4">
        <w:rPr>
          <w:rFonts w:ascii="Times New Roman" w:hAnsi="Times New Roman" w:cs="Times New Roman"/>
          <w:color w:val="auto"/>
          <w:sz w:val="20"/>
          <w:szCs w:val="20"/>
        </w:rPr>
        <w:t>Merck</w:t>
      </w:r>
      <w:r w:rsidR="00C37AC6" w:rsidRPr="00386CC4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 titration set-up was </w:t>
      </w:r>
      <w:r w:rsidR="00C37AC6" w:rsidRPr="00386CC4">
        <w:rPr>
          <w:rFonts w:ascii="Times New Roman" w:hAnsi="Times New Roman" w:cs="Times New Roman"/>
          <w:color w:val="auto"/>
          <w:sz w:val="20"/>
          <w:szCs w:val="20"/>
        </w:rPr>
        <w:t>assembled</w:t>
      </w:r>
      <w:r w:rsidR="00CA63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and the CaCO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lastRenderedPageBreak/>
        <w:t>solution</w:t>
      </w:r>
      <w:r w:rsidR="00CA63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in the flask</w:t>
      </w:r>
      <w:r w:rsidR="007E26A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was titrated with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EDTA solution </w:t>
      </w:r>
      <w:r w:rsidR="00CA63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in the burette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until the first appearance of a persistent clear blue color</w:t>
      </w:r>
      <w:r w:rsidR="00CA63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, marking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the endpoint of the titration.</w:t>
      </w:r>
      <w:r w:rsidR="00C37AC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The concentration of EDTA was calculated in molarity.</w:t>
      </w:r>
    </w:p>
    <w:p w:rsidR="004F1459" w:rsidRPr="00386CC4" w:rsidRDefault="004F1459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31FAB" w:rsidRDefault="00FB7729" w:rsidP="0001284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2C11">
        <w:rPr>
          <w:rFonts w:ascii="Times New Roman" w:hAnsi="Times New Roman" w:cs="Times New Roman"/>
          <w:b/>
          <w:color w:val="auto"/>
          <w:sz w:val="20"/>
          <w:szCs w:val="20"/>
        </w:rPr>
        <w:t>Preparat</w:t>
      </w:r>
      <w:r w:rsidR="00642510" w:rsidRPr="00192C11">
        <w:rPr>
          <w:rFonts w:ascii="Times New Roman" w:hAnsi="Times New Roman" w:cs="Times New Roman"/>
          <w:b/>
          <w:color w:val="auto"/>
          <w:sz w:val="20"/>
          <w:szCs w:val="20"/>
        </w:rPr>
        <w:t>ion of unknown analyte</w:t>
      </w:r>
    </w:p>
    <w:p w:rsidR="004F1459" w:rsidRPr="00386CC4" w:rsidRDefault="004F1459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About 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</w:rPr>
        <w:t>0.10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to </w:t>
      </w:r>
      <w:r w:rsidR="00A74CB8" w:rsidRPr="00386CC4">
        <w:rPr>
          <w:rFonts w:ascii="Times New Roman" w:hAnsi="Times New Roman" w:cs="Times New Roman"/>
          <w:color w:val="auto"/>
          <w:sz w:val="20"/>
          <w:szCs w:val="20"/>
        </w:rPr>
        <w:t>0.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>15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g </w:t>
      </w:r>
      <w:r w:rsidR="005A288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of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mortar sample</w:t>
      </w:r>
      <w:r w:rsidR="005A2887" w:rsidRPr="00386CC4">
        <w:rPr>
          <w:rFonts w:ascii="Times New Roman" w:hAnsi="Times New Roman" w:cs="Times New Roman"/>
          <w:color w:val="auto"/>
          <w:sz w:val="20"/>
          <w:szCs w:val="20"/>
        </w:rPr>
        <w:t>s from the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sieve size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A2887" w:rsidRPr="00386CC4">
        <w:rPr>
          <w:rFonts w:ascii="Times New Roman" w:hAnsi="Times New Roman" w:cs="Times New Roman"/>
          <w:color w:val="auto"/>
          <w:sz w:val="20"/>
          <w:szCs w:val="20"/>
        </w:rPr>
        <w:t>left in the pan (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>&lt;0.075mm</w:t>
      </w:r>
      <w:r w:rsidR="005A2887" w:rsidRPr="00386CC4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</w:t>
      </w:r>
      <w:r w:rsidR="005A2887" w:rsidRPr="00386CC4">
        <w:rPr>
          <w:rFonts w:ascii="Times New Roman" w:hAnsi="Times New Roman" w:cs="Times New Roman"/>
          <w:color w:val="auto"/>
          <w:sz w:val="20"/>
          <w:szCs w:val="20"/>
        </w:rPr>
        <w:t>ere</w:t>
      </w:r>
      <w:r w:rsidR="00642510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dried in an oven for 24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>h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>ou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>rs</w:t>
      </w:r>
      <w:r w:rsidR="00031C6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>at 110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312D" w:rsidRPr="00386CC4">
        <w:rPr>
          <w:rFonts w:ascii="Cambria Math" w:hAnsi="Cambria Math" w:cs="Cambria Math"/>
          <w:color w:val="auto"/>
          <w:sz w:val="20"/>
          <w:szCs w:val="20"/>
        </w:rPr>
        <w:t>⁰</w:t>
      </w:r>
      <w:r w:rsidR="005A2887" w:rsidRPr="00386CC4">
        <w:rPr>
          <w:rFonts w:ascii="Times New Roman" w:hAnsi="Times New Roman" w:cs="Times New Roman"/>
          <w:color w:val="auto"/>
          <w:sz w:val="20"/>
          <w:szCs w:val="20"/>
        </w:rPr>
        <w:t>C. Drop-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>wise addition of concentrated HCl was done</w:t>
      </w:r>
      <w:r w:rsidR="005A288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directly on the sample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until dissolution was complete. It was then boiled in 50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 distilled water, cooled and diluted </w:t>
      </w:r>
      <w:r w:rsidR="005A288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to the mark with distilled water </w:t>
      </w:r>
      <w:r w:rsidR="00642510" w:rsidRPr="00386CC4">
        <w:rPr>
          <w:rFonts w:ascii="Times New Roman" w:hAnsi="Times New Roman" w:cs="Times New Roman"/>
          <w:color w:val="auto"/>
          <w:sz w:val="20"/>
          <w:szCs w:val="20"/>
        </w:rPr>
        <w:t>in a 250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>mL volumetric flask. A 25</w:t>
      </w:r>
      <w:r w:rsidR="00642510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>mL aliquot portion was titrated with the standardized EDTA solution until the appearance of a persistent clear b</w:t>
      </w:r>
      <w:r w:rsidR="00031C6E" w:rsidRPr="00386CC4">
        <w:rPr>
          <w:rFonts w:ascii="Times New Roman" w:hAnsi="Times New Roman" w:cs="Times New Roman"/>
          <w:color w:val="auto"/>
          <w:sz w:val="20"/>
          <w:szCs w:val="20"/>
        </w:rPr>
        <w:t>l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>ue color</w:t>
      </w:r>
      <w:r w:rsidR="00642510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with EBT indicator</w:t>
      </w:r>
      <w:r w:rsidR="008E312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2C2B4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Three replicate trials were done. </w:t>
      </w:r>
      <w:r w:rsidR="005A288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concentration of calcium in the </w:t>
      </w:r>
      <w:r w:rsidR="002C2B4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unknown sample </w:t>
      </w:r>
      <w:r w:rsidR="00FB772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was reported </w:t>
      </w:r>
      <w:r w:rsidR="002C2B4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in terms of its percentage composition. </w:t>
      </w:r>
    </w:p>
    <w:p w:rsidR="002C2B48" w:rsidRPr="00386CC4" w:rsidRDefault="002C2B48" w:rsidP="0001284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931FAB" w:rsidRDefault="00FB7729" w:rsidP="00931FA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2C11">
        <w:rPr>
          <w:rFonts w:ascii="Times New Roman" w:hAnsi="Times New Roman" w:cs="Times New Roman"/>
          <w:b/>
          <w:color w:val="auto"/>
          <w:sz w:val="20"/>
          <w:szCs w:val="20"/>
        </w:rPr>
        <w:t>Titration with KMnO</w:t>
      </w:r>
      <w:r w:rsidRPr="00931FAB">
        <w:rPr>
          <w:rFonts w:ascii="Times New Roman" w:hAnsi="Times New Roman" w:cs="Times New Roman"/>
          <w:b/>
          <w:color w:val="auto"/>
          <w:sz w:val="20"/>
          <w:szCs w:val="20"/>
          <w:vertAlign w:val="subscript"/>
        </w:rPr>
        <w:t>4</w:t>
      </w:r>
      <w:r w:rsidRPr="00192C1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solution</w:t>
      </w:r>
      <w:r w:rsidR="00931FAB">
        <w:rPr>
          <w:rFonts w:ascii="Times New Roman" w:hAnsi="Times New Roman" w:cs="Times New Roman"/>
          <w:b/>
          <w:color w:val="auto"/>
          <w:sz w:val="20"/>
          <w:szCs w:val="20"/>
        </w:rPr>
        <w:t xml:space="preserve">: </w:t>
      </w:r>
      <w:r w:rsidR="00323FC6" w:rsidRPr="00192C11">
        <w:rPr>
          <w:rFonts w:ascii="Times New Roman" w:hAnsi="Times New Roman" w:cs="Times New Roman"/>
          <w:b/>
          <w:color w:val="auto"/>
          <w:sz w:val="20"/>
          <w:szCs w:val="20"/>
        </w:rPr>
        <w:t>Standardization</w:t>
      </w:r>
      <w:r w:rsidR="002C2B48" w:rsidRPr="00192C1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of KMnO</w:t>
      </w:r>
      <w:r w:rsidR="002C2B48" w:rsidRPr="00192C11">
        <w:rPr>
          <w:rFonts w:ascii="Times New Roman" w:hAnsi="Times New Roman" w:cs="Times New Roman"/>
          <w:b/>
          <w:color w:val="auto"/>
          <w:sz w:val="20"/>
          <w:szCs w:val="20"/>
          <w:vertAlign w:val="subscript"/>
        </w:rPr>
        <w:t>4</w:t>
      </w:r>
    </w:p>
    <w:p w:rsidR="002C2B48" w:rsidRPr="00931FAB" w:rsidRDefault="002C2B48" w:rsidP="00931FA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The KMnO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solution w</w:t>
      </w:r>
      <w:r w:rsidR="00642510" w:rsidRPr="00386CC4">
        <w:rPr>
          <w:rFonts w:ascii="Times New Roman" w:hAnsi="Times New Roman" w:cs="Times New Roman"/>
          <w:color w:val="auto"/>
          <w:sz w:val="20"/>
          <w:szCs w:val="20"/>
        </w:rPr>
        <w:t>as prepared by dissolving 1.58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g analytical grade KMnO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powder (</w:t>
      </w:r>
      <w:r w:rsidR="00A54D58" w:rsidRPr="00386CC4">
        <w:rPr>
          <w:rFonts w:ascii="Times New Roman" w:hAnsi="Times New Roman" w:cs="Times New Roman"/>
          <w:color w:val="auto"/>
          <w:sz w:val="20"/>
          <w:szCs w:val="20"/>
        </w:rPr>
        <w:t>Univar</w:t>
      </w:r>
      <w:r w:rsidR="007B0CF4" w:rsidRPr="00386CC4">
        <w:rPr>
          <w:rFonts w:ascii="Times New Roman" w:hAnsi="Times New Roman" w:cs="Times New Roman"/>
          <w:color w:val="auto"/>
          <w:sz w:val="20"/>
          <w:szCs w:val="20"/>
        </w:rPr>
        <w:t>, 99%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) in 50</w:t>
      </w:r>
      <w:r w:rsidR="00642510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mL dist</w:t>
      </w:r>
      <w:r w:rsidR="00642510" w:rsidRPr="00386CC4">
        <w:rPr>
          <w:rFonts w:ascii="Times New Roman" w:hAnsi="Times New Roman" w:cs="Times New Roman"/>
          <w:color w:val="auto"/>
          <w:sz w:val="20"/>
          <w:szCs w:val="20"/>
        </w:rPr>
        <w:t>illed water and diluted in a 1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L volumetric flask. </w:t>
      </w:r>
    </w:p>
    <w:p w:rsidR="002C2B48" w:rsidRPr="00386CC4" w:rsidRDefault="002C2B48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31FAB" w:rsidRDefault="00AD48D8" w:rsidP="0001284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2C11">
        <w:rPr>
          <w:rFonts w:ascii="Times New Roman" w:hAnsi="Times New Roman" w:cs="Times New Roman"/>
          <w:b/>
          <w:color w:val="auto"/>
          <w:sz w:val="20"/>
          <w:szCs w:val="20"/>
        </w:rPr>
        <w:t>Preparation of standard a</w:t>
      </w:r>
      <w:r w:rsidR="00642510" w:rsidRPr="00192C11">
        <w:rPr>
          <w:rFonts w:ascii="Times New Roman" w:hAnsi="Times New Roman" w:cs="Times New Roman"/>
          <w:b/>
          <w:color w:val="auto"/>
          <w:sz w:val="20"/>
          <w:szCs w:val="20"/>
        </w:rPr>
        <w:t>nalyte</w:t>
      </w:r>
    </w:p>
    <w:p w:rsidR="0009656A" w:rsidRPr="00386CC4" w:rsidRDefault="002C2B48" w:rsidP="00931FA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A dried (110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Cambria Math" w:hAnsi="Cambria Math" w:cs="Cambria Math"/>
          <w:color w:val="auto"/>
          <w:sz w:val="20"/>
          <w:szCs w:val="20"/>
        </w:rPr>
        <w:t>⁰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 for 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>2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h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>ou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rs) Na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C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4 </w:t>
      </w:r>
      <w:r w:rsidR="00A54D58" w:rsidRPr="00386CC4">
        <w:rPr>
          <w:rFonts w:ascii="Times New Roman" w:hAnsi="Times New Roman" w:cs="Times New Roman"/>
          <w:color w:val="auto"/>
          <w:sz w:val="20"/>
          <w:szCs w:val="20"/>
        </w:rPr>
        <w:t>(Unichem</w:t>
      </w:r>
      <w:r w:rsidR="007B0CF4" w:rsidRPr="00386CC4">
        <w:rPr>
          <w:rFonts w:ascii="Times New Roman" w:hAnsi="Times New Roman" w:cs="Times New Roman"/>
          <w:color w:val="auto"/>
          <w:sz w:val="20"/>
          <w:szCs w:val="20"/>
        </w:rPr>
        <w:t>, 99.8%</w:t>
      </w:r>
      <w:r w:rsidR="00A54D5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measuring about 0.22g was placed in 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>a 500</w:t>
      </w:r>
      <w:r w:rsidR="00642510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>mL beaker and dissolved in 250</w:t>
      </w:r>
      <w:r w:rsidR="00642510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</w:rPr>
        <w:t>mL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 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</w:rPr>
        <w:t>.75M H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</w:rPr>
        <w:t>SO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A54D58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 </w:t>
      </w:r>
      <w:r w:rsidR="00A54D58" w:rsidRPr="00386CC4">
        <w:rPr>
          <w:rFonts w:ascii="Times New Roman" w:hAnsi="Times New Roman" w:cs="Times New Roman"/>
          <w:color w:val="auto"/>
          <w:sz w:val="20"/>
          <w:szCs w:val="20"/>
        </w:rPr>
        <w:t>(Macron)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It was 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heated 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and maintained at a temperature 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</w:rPr>
        <w:t>between 80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</w:rPr>
        <w:t>90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9656A" w:rsidRPr="00386CC4">
        <w:rPr>
          <w:rFonts w:ascii="Cambria Math" w:hAnsi="Cambria Math" w:cs="Cambria Math"/>
          <w:color w:val="auto"/>
          <w:sz w:val="20"/>
          <w:szCs w:val="20"/>
        </w:rPr>
        <w:t>⁰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</w:rPr>
        <w:t>C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>, while being titrated with the prepared KMnO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solution. 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appearance of </w:t>
      </w:r>
      <w:r w:rsidR="00642510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</w:rPr>
        <w:t>persistent pink color marks the end point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of the titration</w:t>
      </w:r>
      <w:r w:rsidR="00323FC6" w:rsidRPr="00386CC4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76425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Three trials were done.</w:t>
      </w:r>
      <w:r w:rsidR="00100CA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BB354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blank </w:t>
      </w:r>
      <w:r w:rsidR="00BB354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sample 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was also </w:t>
      </w:r>
      <w:r w:rsidR="00BB354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prepared by using 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>0.75M H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</w:rPr>
        <w:t>SO</w:t>
      </w:r>
      <w:r w:rsidR="0009656A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76425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B354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and titrated </w:t>
      </w:r>
      <w:r w:rsidR="00764252" w:rsidRPr="00386CC4">
        <w:rPr>
          <w:rFonts w:ascii="Times New Roman" w:hAnsi="Times New Roman" w:cs="Times New Roman"/>
          <w:color w:val="auto"/>
          <w:sz w:val="20"/>
          <w:szCs w:val="20"/>
        </w:rPr>
        <w:t>directly with KMnO</w:t>
      </w:r>
      <w:r w:rsidR="00764252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764252" w:rsidRPr="00386CC4">
        <w:rPr>
          <w:rFonts w:ascii="Times New Roman" w:hAnsi="Times New Roman" w:cs="Times New Roman"/>
          <w:color w:val="auto"/>
          <w:sz w:val="20"/>
          <w:szCs w:val="20"/>
        </w:rPr>
        <w:t>. The volume obtained (0.2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64252" w:rsidRPr="00386CC4">
        <w:rPr>
          <w:rFonts w:ascii="Times New Roman" w:hAnsi="Times New Roman" w:cs="Times New Roman"/>
          <w:color w:val="auto"/>
          <w:sz w:val="20"/>
          <w:szCs w:val="20"/>
        </w:rPr>
        <w:t>mL) was subtracted from the volume of tit</w:t>
      </w:r>
      <w:r w:rsidR="0077322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rant acquired with the sample. </w:t>
      </w:r>
      <w:r w:rsidR="00764252" w:rsidRPr="00386CC4">
        <w:rPr>
          <w:rFonts w:ascii="Times New Roman" w:hAnsi="Times New Roman" w:cs="Times New Roman"/>
          <w:color w:val="auto"/>
          <w:sz w:val="20"/>
          <w:szCs w:val="20"/>
        </w:rPr>
        <w:t>The concentration of KMnO</w:t>
      </w:r>
      <w:r w:rsidR="00764252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76425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was calculated and expressed in molarity.</w:t>
      </w:r>
    </w:p>
    <w:p w:rsidR="00764252" w:rsidRPr="00386CC4" w:rsidRDefault="00764252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E2614" w:rsidRDefault="004E2614" w:rsidP="00931FA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Preparation of unknown analyte</w:t>
      </w:r>
    </w:p>
    <w:p w:rsidR="00E3591E" w:rsidRPr="00386CC4" w:rsidRDefault="00F2775C" w:rsidP="00931FA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The sieved fractions retained in the “pan” were dried for 3 h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>ou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rs at 120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Cambria Math" w:hAnsi="Cambria Math" w:cs="Cambria Math"/>
          <w:color w:val="auto"/>
          <w:sz w:val="20"/>
          <w:szCs w:val="20"/>
        </w:rPr>
        <w:t>⁰</w:t>
      </w:r>
      <w:r w:rsidR="0058635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 in an oven and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cooled</w:t>
      </w:r>
      <w:r w:rsidR="0077322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About 0.25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0.30g were</w:t>
      </w:r>
      <w:r w:rsidR="0058635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obtained </w:t>
      </w:r>
      <w:r w:rsidR="00F202D6" w:rsidRPr="00386CC4">
        <w:rPr>
          <w:rFonts w:ascii="Times New Roman" w:hAnsi="Times New Roman" w:cs="Times New Roman"/>
          <w:color w:val="auto"/>
          <w:sz w:val="20"/>
          <w:szCs w:val="20"/>
        </w:rPr>
        <w:t>for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each dried mortar sample and pl</w:t>
      </w:r>
      <w:r w:rsidR="0058635D" w:rsidRPr="00386CC4">
        <w:rPr>
          <w:rFonts w:ascii="Times New Roman" w:hAnsi="Times New Roman" w:cs="Times New Roman"/>
          <w:color w:val="auto"/>
          <w:sz w:val="20"/>
          <w:szCs w:val="20"/>
        </w:rPr>
        <w:t>aced in separate 250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8635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 beakers. </w:t>
      </w:r>
      <w:r w:rsidR="00F202D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To dissolve the solid samples, </w:t>
      </w:r>
      <w:r w:rsidR="00E3591E" w:rsidRPr="00386CC4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F202D6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3591E" w:rsidRPr="00386CC4">
        <w:rPr>
          <w:rFonts w:ascii="Times New Roman" w:hAnsi="Times New Roman" w:cs="Times New Roman"/>
          <w:color w:val="auto"/>
          <w:sz w:val="20"/>
          <w:szCs w:val="20"/>
        </w:rPr>
        <w:t>mL drop-wise addition of concentrated analytical grade HCl (</w:t>
      </w:r>
      <w:r w:rsidR="007B0CF4" w:rsidRPr="00386CC4">
        <w:rPr>
          <w:rFonts w:ascii="Times New Roman" w:hAnsi="Times New Roman" w:cs="Times New Roman"/>
          <w:color w:val="auto"/>
          <w:sz w:val="20"/>
          <w:szCs w:val="20"/>
        </w:rPr>
        <w:t>Macron</w:t>
      </w:r>
      <w:r w:rsidR="00E3591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) was carefully </w:t>
      </w:r>
      <w:r w:rsidR="00F202D6" w:rsidRPr="00386CC4">
        <w:rPr>
          <w:rFonts w:ascii="Times New Roman" w:hAnsi="Times New Roman" w:cs="Times New Roman"/>
          <w:color w:val="auto"/>
          <w:sz w:val="20"/>
          <w:szCs w:val="20"/>
        </w:rPr>
        <w:t>done</w:t>
      </w:r>
      <w:r w:rsidR="00E3591E" w:rsidRPr="00386CC4">
        <w:rPr>
          <w:rFonts w:ascii="Times New Roman" w:hAnsi="Times New Roman" w:cs="Times New Roman"/>
          <w:color w:val="auto"/>
          <w:sz w:val="20"/>
          <w:szCs w:val="20"/>
        </w:rPr>
        <w:t>. This was followed by mixing 40</w:t>
      </w:r>
      <w:r w:rsidR="00F202D6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3591E" w:rsidRPr="00386CC4">
        <w:rPr>
          <w:rFonts w:ascii="Times New Roman" w:hAnsi="Times New Roman" w:cs="Times New Roman"/>
          <w:color w:val="auto"/>
          <w:sz w:val="20"/>
          <w:szCs w:val="20"/>
        </w:rPr>
        <w:t>mL distilled water and stirred for 10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3591E" w:rsidRPr="00386CC4">
        <w:rPr>
          <w:rFonts w:ascii="Times New Roman" w:hAnsi="Times New Roman" w:cs="Times New Roman"/>
          <w:color w:val="auto"/>
          <w:sz w:val="20"/>
          <w:szCs w:val="20"/>
        </w:rPr>
        <w:t>min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>utes</w:t>
      </w:r>
      <w:r w:rsidR="00E3591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at room temperature (30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3591E" w:rsidRPr="00386CC4">
        <w:rPr>
          <w:rFonts w:ascii="Cambria Math" w:hAnsi="Cambria Math" w:cs="Cambria Math"/>
          <w:color w:val="auto"/>
          <w:sz w:val="20"/>
          <w:szCs w:val="20"/>
        </w:rPr>
        <w:t>⁰</w:t>
      </w:r>
      <w:r w:rsidR="00E3591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C) until all carbon dioxide was removed from the solution. </w:t>
      </w:r>
    </w:p>
    <w:p w:rsidR="00E3591E" w:rsidRPr="00386CC4" w:rsidRDefault="00E3591E" w:rsidP="0001284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931FAB" w:rsidRDefault="00E025BB" w:rsidP="00931FA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A 20</w:t>
      </w:r>
      <w:r w:rsidR="00F202D6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 </w:t>
      </w:r>
      <w:r w:rsidR="00F202D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aliquot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of the digested mortar sample</w:t>
      </w:r>
      <w:r w:rsidR="00644F03" w:rsidRPr="00386CC4">
        <w:rPr>
          <w:rFonts w:ascii="Times New Roman" w:hAnsi="Times New Roman" w:cs="Times New Roman"/>
          <w:color w:val="auto"/>
          <w:sz w:val="20"/>
          <w:szCs w:val="20"/>
        </w:rPr>
        <w:t>s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was added with 3 drops of saturated bromine water and gently </w:t>
      </w:r>
      <w:r w:rsidR="0034783F" w:rsidRPr="00386CC4">
        <w:rPr>
          <w:rFonts w:ascii="Times New Roman" w:hAnsi="Times New Roman" w:cs="Times New Roman"/>
          <w:color w:val="auto"/>
          <w:sz w:val="20"/>
          <w:szCs w:val="20"/>
        </w:rPr>
        <w:t>boiled for 3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4783F" w:rsidRPr="00386CC4">
        <w:rPr>
          <w:rFonts w:ascii="Times New Roman" w:hAnsi="Times New Roman" w:cs="Times New Roman"/>
          <w:color w:val="auto"/>
          <w:sz w:val="20"/>
          <w:szCs w:val="20"/>
        </w:rPr>
        <w:t>min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>utes</w:t>
      </w:r>
      <w:r w:rsidR="0034783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Each sample portion was diluted </w:t>
      </w:r>
      <w:r w:rsidR="00002FD8" w:rsidRPr="00386CC4">
        <w:rPr>
          <w:rFonts w:ascii="Times New Roman" w:hAnsi="Times New Roman" w:cs="Times New Roman"/>
          <w:color w:val="auto"/>
          <w:sz w:val="20"/>
          <w:szCs w:val="20"/>
        </w:rPr>
        <w:t>with</w:t>
      </w:r>
      <w:r w:rsidR="0034783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20</w:t>
      </w:r>
      <w:r w:rsidR="0077766C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4783F" w:rsidRPr="00386CC4">
        <w:rPr>
          <w:rFonts w:ascii="Times New Roman" w:hAnsi="Times New Roman" w:cs="Times New Roman"/>
          <w:color w:val="auto"/>
          <w:sz w:val="20"/>
          <w:szCs w:val="20"/>
        </w:rPr>
        <w:t>mL distilled water</w:t>
      </w:r>
      <w:r w:rsidR="00002FD8" w:rsidRPr="00386CC4">
        <w:rPr>
          <w:rFonts w:ascii="Times New Roman" w:hAnsi="Times New Roman" w:cs="Times New Roman"/>
          <w:color w:val="auto"/>
          <w:sz w:val="20"/>
          <w:szCs w:val="20"/>
        </w:rPr>
        <w:t>, boiled and added with 15</w:t>
      </w:r>
      <w:r w:rsidR="0077766C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02FD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 of hot </w:t>
      </w:r>
      <w:r w:rsidR="001F45E9" w:rsidRPr="00386CC4">
        <w:rPr>
          <w:rFonts w:ascii="Times New Roman" w:hAnsi="Times New Roman" w:cs="Times New Roman"/>
          <w:color w:val="auto"/>
          <w:sz w:val="20"/>
          <w:szCs w:val="20"/>
        </w:rPr>
        <w:t>6% (w/v) (NH</w:t>
      </w:r>
      <w:r w:rsidR="001F45E9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1F45E9" w:rsidRPr="00386CC4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1F45E9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1F45E9" w:rsidRPr="00386CC4">
        <w:rPr>
          <w:rFonts w:ascii="Times New Roman" w:hAnsi="Times New Roman" w:cs="Times New Roman"/>
          <w:color w:val="auto"/>
          <w:sz w:val="20"/>
          <w:szCs w:val="20"/>
        </w:rPr>
        <w:t>C</w:t>
      </w:r>
      <w:r w:rsidR="001F45E9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1F45E9" w:rsidRPr="00386CC4">
        <w:rPr>
          <w:rFonts w:ascii="Times New Roman" w:hAnsi="Times New Roman" w:cs="Times New Roman"/>
          <w:color w:val="auto"/>
          <w:sz w:val="20"/>
          <w:szCs w:val="20"/>
        </w:rPr>
        <w:t>O</w:t>
      </w:r>
      <w:r w:rsidR="001F45E9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CD5B4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54D58" w:rsidRPr="00386CC4">
        <w:rPr>
          <w:rFonts w:ascii="Times New Roman" w:hAnsi="Times New Roman" w:cs="Times New Roman"/>
          <w:color w:val="auto"/>
          <w:sz w:val="20"/>
          <w:szCs w:val="20"/>
        </w:rPr>
        <w:t>(Mallinckrodt</w:t>
      </w:r>
      <w:r w:rsidR="007B0CF4" w:rsidRPr="00386CC4">
        <w:rPr>
          <w:rFonts w:ascii="Times New Roman" w:hAnsi="Times New Roman" w:cs="Times New Roman"/>
          <w:color w:val="auto"/>
          <w:sz w:val="20"/>
          <w:szCs w:val="20"/>
        </w:rPr>
        <w:t>, 99%</w:t>
      </w:r>
      <w:r w:rsidR="00A54D5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CD5B4F" w:rsidRPr="00386CC4">
        <w:rPr>
          <w:rFonts w:ascii="Times New Roman" w:hAnsi="Times New Roman" w:cs="Times New Roman"/>
          <w:color w:val="auto"/>
          <w:sz w:val="20"/>
          <w:szCs w:val="20"/>
        </w:rPr>
        <w:t>solution</w:t>
      </w:r>
      <w:r w:rsidR="00002FD8" w:rsidRPr="00386CC4">
        <w:rPr>
          <w:rFonts w:ascii="Times New Roman" w:hAnsi="Times New Roman" w:cs="Times New Roman"/>
          <w:color w:val="auto"/>
          <w:sz w:val="20"/>
          <w:szCs w:val="20"/>
        </w:rPr>
        <w:t>. To precipitate the CaC</w:t>
      </w:r>
      <w:r w:rsidR="00002FD8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002FD8" w:rsidRPr="00386CC4">
        <w:rPr>
          <w:rFonts w:ascii="Times New Roman" w:hAnsi="Times New Roman" w:cs="Times New Roman"/>
          <w:color w:val="auto"/>
          <w:sz w:val="20"/>
          <w:szCs w:val="20"/>
        </w:rPr>
        <w:t>O</w:t>
      </w:r>
      <w:r w:rsidR="00002FD8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002FD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8A7B73" w:rsidRPr="00386CC4">
        <w:rPr>
          <w:rFonts w:ascii="Times New Roman" w:hAnsi="Times New Roman" w:cs="Times New Roman"/>
          <w:color w:val="auto"/>
          <w:sz w:val="20"/>
          <w:szCs w:val="20"/>
        </w:rPr>
        <w:t>6M NH</w:t>
      </w:r>
      <w:r w:rsidR="008A7B73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="008A7B7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54D58" w:rsidRPr="00386CC4">
        <w:rPr>
          <w:rFonts w:ascii="Times New Roman" w:hAnsi="Times New Roman" w:cs="Times New Roman"/>
          <w:color w:val="auto"/>
          <w:sz w:val="20"/>
          <w:szCs w:val="20"/>
        </w:rPr>
        <w:t>(Merck</w:t>
      </w:r>
      <w:r w:rsidR="007B0CF4" w:rsidRPr="00386CC4">
        <w:rPr>
          <w:rFonts w:ascii="Times New Roman" w:hAnsi="Times New Roman" w:cs="Times New Roman"/>
          <w:color w:val="auto"/>
          <w:sz w:val="20"/>
          <w:szCs w:val="20"/>
        </w:rPr>
        <w:t>, 25%</w:t>
      </w:r>
      <w:r w:rsidR="00A54D5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8A7B73" w:rsidRPr="00386CC4">
        <w:rPr>
          <w:rFonts w:ascii="Times New Roman" w:hAnsi="Times New Roman" w:cs="Times New Roman"/>
          <w:color w:val="auto"/>
          <w:sz w:val="20"/>
          <w:szCs w:val="20"/>
        </w:rPr>
        <w:t>solu</w:t>
      </w:r>
      <w:r w:rsidR="0077766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tion was added slowly until </w:t>
      </w:r>
      <w:r w:rsidR="008A7B73" w:rsidRPr="00386CC4">
        <w:rPr>
          <w:rFonts w:ascii="Times New Roman" w:hAnsi="Times New Roman" w:cs="Times New Roman"/>
          <w:color w:val="auto"/>
          <w:sz w:val="20"/>
          <w:szCs w:val="20"/>
        </w:rPr>
        <w:t>color changes from an</w:t>
      </w:r>
      <w:r w:rsidR="0077766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intermediate yellow-orange or</w:t>
      </w:r>
      <w:r w:rsidR="008A7B7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pH range from 4.5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–</w:t>
      </w:r>
    </w:p>
    <w:p w:rsidR="0077766C" w:rsidRPr="00386CC4" w:rsidRDefault="008A7B73" w:rsidP="00931FA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5.5. </w:t>
      </w:r>
      <w:r w:rsidR="00644F03" w:rsidRPr="00386CC4">
        <w:rPr>
          <w:rFonts w:ascii="Times New Roman" w:hAnsi="Times New Roman" w:cs="Times New Roman"/>
          <w:color w:val="auto"/>
          <w:sz w:val="20"/>
          <w:szCs w:val="20"/>
        </w:rPr>
        <w:t>The solution was allowed to stand for 20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44F03" w:rsidRPr="00386CC4">
        <w:rPr>
          <w:rFonts w:ascii="Times New Roman" w:hAnsi="Times New Roman" w:cs="Times New Roman"/>
          <w:color w:val="auto"/>
          <w:sz w:val="20"/>
          <w:szCs w:val="20"/>
        </w:rPr>
        <w:t>min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>utes</w:t>
      </w:r>
      <w:r w:rsidR="00644F0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and filtered. </w:t>
      </w:r>
      <w:r w:rsidR="004A6E7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precipitate was washed </w:t>
      </w:r>
      <w:r w:rsidR="00114A4F" w:rsidRPr="00386CC4">
        <w:rPr>
          <w:rFonts w:ascii="Times New Roman" w:hAnsi="Times New Roman" w:cs="Times New Roman"/>
          <w:color w:val="auto"/>
          <w:sz w:val="20"/>
          <w:szCs w:val="20"/>
        </w:rPr>
        <w:t>several times with 5.0</w:t>
      </w:r>
      <w:r w:rsidR="00931FA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14A4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 of </w:t>
      </w:r>
      <w:r w:rsidR="00FC0EFE" w:rsidRPr="00386CC4">
        <w:rPr>
          <w:rFonts w:ascii="Times New Roman" w:hAnsi="Times New Roman" w:cs="Times New Roman"/>
          <w:color w:val="auto"/>
          <w:sz w:val="20"/>
          <w:szCs w:val="20"/>
        </w:rPr>
        <w:t>cold water to induce the format</w:t>
      </w:r>
      <w:r w:rsidR="00644F03" w:rsidRPr="00386CC4">
        <w:rPr>
          <w:rFonts w:ascii="Times New Roman" w:hAnsi="Times New Roman" w:cs="Times New Roman"/>
          <w:color w:val="auto"/>
          <w:sz w:val="20"/>
          <w:szCs w:val="20"/>
        </w:rPr>
        <w:t>ion of more precipitates.</w:t>
      </w:r>
    </w:p>
    <w:p w:rsidR="003F6E93" w:rsidRPr="00386CC4" w:rsidRDefault="00644F03" w:rsidP="0001284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386C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A6E7F" w:rsidRPr="00386C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7458B1" w:rsidRPr="004E2614" w:rsidRDefault="007458B1" w:rsidP="004E261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The CaC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4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precipitate from each trial was dissolved in 15</w:t>
      </w:r>
      <w:r w:rsidR="0077766C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4E261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mL distilled water and 7</w:t>
      </w:r>
      <w:r w:rsidR="0077766C" w:rsidRPr="00386CC4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4E261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mL 3M H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SO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in a beaker. It was heated and maintained at a temperature between 80</w:t>
      </w:r>
      <w:r w:rsidR="004E2614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90</w:t>
      </w:r>
      <w:r w:rsidR="004E261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Cambria Math" w:hAnsi="Cambria Math" w:cs="Cambria Math"/>
          <w:color w:val="auto"/>
          <w:sz w:val="20"/>
          <w:szCs w:val="20"/>
        </w:rPr>
        <w:t>⁰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C while being titrated with the standardized KMnO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A blank volume was </w:t>
      </w:r>
      <w:r w:rsidR="00DE6B8A" w:rsidRPr="00386CC4">
        <w:rPr>
          <w:rFonts w:ascii="Times New Roman" w:hAnsi="Times New Roman" w:cs="Times New Roman"/>
          <w:color w:val="auto"/>
          <w:sz w:val="20"/>
          <w:szCs w:val="20"/>
        </w:rPr>
        <w:t>titrated (0.20</w:t>
      </w:r>
      <w:r w:rsidR="004E261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5610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mL) and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subtracted from the volume of KMnO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consumed. The percentage of calcium in the mortar samples was computed.</w:t>
      </w:r>
    </w:p>
    <w:p w:rsidR="00B938F5" w:rsidRPr="00192C11" w:rsidRDefault="00B938F5" w:rsidP="0001284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938F5" w:rsidRPr="00192C11" w:rsidRDefault="004E2614" w:rsidP="0001284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Calcium d</w:t>
      </w:r>
      <w:r w:rsidR="00A96F1A" w:rsidRPr="00192C11">
        <w:rPr>
          <w:rFonts w:ascii="Times New Roman" w:hAnsi="Times New Roman" w:cs="Times New Roman"/>
          <w:b/>
          <w:color w:val="auto"/>
          <w:sz w:val="20"/>
          <w:szCs w:val="20"/>
        </w:rPr>
        <w:t xml:space="preserve">etermination by </w:t>
      </w:r>
      <w:r w:rsidRPr="00192C11">
        <w:rPr>
          <w:rFonts w:ascii="Times New Roman" w:hAnsi="Times New Roman" w:cs="Times New Roman"/>
          <w:b/>
          <w:color w:val="auto"/>
          <w:sz w:val="20"/>
          <w:szCs w:val="20"/>
        </w:rPr>
        <w:t>atom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ic absorption spectroscopy </w:t>
      </w:r>
    </w:p>
    <w:p w:rsidR="004E2614" w:rsidRDefault="00E94960" w:rsidP="004E2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 xml:space="preserve">Calibration curves were </w:t>
      </w:r>
      <w:r w:rsidR="00DC7F89" w:rsidRPr="00386CC4">
        <w:rPr>
          <w:rFonts w:ascii="Times New Roman" w:hAnsi="Times New Roman" w:cs="Times New Roman"/>
          <w:sz w:val="20"/>
          <w:szCs w:val="20"/>
        </w:rPr>
        <w:t xml:space="preserve">prepared by diluting a </w:t>
      </w:r>
      <w:r w:rsidR="00D66AEB" w:rsidRPr="00386CC4">
        <w:rPr>
          <w:rFonts w:ascii="Times New Roman" w:hAnsi="Times New Roman" w:cs="Times New Roman"/>
          <w:sz w:val="20"/>
          <w:szCs w:val="20"/>
        </w:rPr>
        <w:t>commercially available 1000</w:t>
      </w:r>
      <w:r w:rsidR="004E2614">
        <w:rPr>
          <w:rFonts w:ascii="Times New Roman" w:hAnsi="Times New Roman" w:cs="Times New Roman"/>
          <w:sz w:val="20"/>
          <w:szCs w:val="20"/>
        </w:rPr>
        <w:t xml:space="preserve"> </w:t>
      </w:r>
      <w:r w:rsidR="00170620" w:rsidRPr="00386CC4">
        <w:rPr>
          <w:rFonts w:ascii="Times New Roman" w:hAnsi="Times New Roman" w:cs="Times New Roman"/>
          <w:sz w:val="20"/>
          <w:szCs w:val="20"/>
        </w:rPr>
        <w:t xml:space="preserve">ppm </w:t>
      </w:r>
      <w:r w:rsidR="00DC7F89" w:rsidRPr="00386CC4">
        <w:rPr>
          <w:rFonts w:ascii="Times New Roman" w:hAnsi="Times New Roman" w:cs="Times New Roman"/>
          <w:sz w:val="20"/>
          <w:szCs w:val="20"/>
        </w:rPr>
        <w:t>analytical standard gra</w:t>
      </w:r>
      <w:r w:rsidR="00D66AEB" w:rsidRPr="00386CC4">
        <w:rPr>
          <w:rFonts w:ascii="Times New Roman" w:hAnsi="Times New Roman" w:cs="Times New Roman"/>
          <w:sz w:val="20"/>
          <w:szCs w:val="20"/>
        </w:rPr>
        <w:t>de calcium solution (Fluka</w:t>
      </w:r>
      <w:r w:rsidR="00DC7F89" w:rsidRPr="00386CC4">
        <w:rPr>
          <w:rFonts w:ascii="Times New Roman" w:hAnsi="Times New Roman" w:cs="Times New Roman"/>
          <w:sz w:val="20"/>
          <w:szCs w:val="20"/>
        </w:rPr>
        <w:t xml:space="preserve">) to </w:t>
      </w:r>
      <w:r w:rsidR="00170620" w:rsidRPr="00386CC4">
        <w:rPr>
          <w:rFonts w:ascii="Times New Roman" w:hAnsi="Times New Roman" w:cs="Times New Roman"/>
          <w:sz w:val="20"/>
          <w:szCs w:val="20"/>
        </w:rPr>
        <w:t xml:space="preserve">concentrations of </w:t>
      </w:r>
      <w:r w:rsidR="00D66AEB" w:rsidRPr="00386CC4">
        <w:rPr>
          <w:rFonts w:ascii="Times New Roman" w:hAnsi="Times New Roman" w:cs="Times New Roman"/>
          <w:sz w:val="20"/>
          <w:szCs w:val="20"/>
        </w:rPr>
        <w:t>0.10, 0.30, 0.50, 0.80 and 1.0</w:t>
      </w:r>
      <w:r w:rsidR="004E2614">
        <w:rPr>
          <w:rFonts w:ascii="Times New Roman" w:hAnsi="Times New Roman" w:cs="Times New Roman"/>
          <w:sz w:val="20"/>
          <w:szCs w:val="20"/>
        </w:rPr>
        <w:t xml:space="preserve"> </w:t>
      </w:r>
      <w:r w:rsidR="00DC7F89" w:rsidRPr="00386CC4">
        <w:rPr>
          <w:rFonts w:ascii="Times New Roman" w:hAnsi="Times New Roman" w:cs="Times New Roman"/>
          <w:sz w:val="20"/>
          <w:szCs w:val="20"/>
        </w:rPr>
        <w:t>ppm</w:t>
      </w:r>
      <w:r w:rsidR="00170620" w:rsidRPr="00386CC4">
        <w:rPr>
          <w:rFonts w:ascii="Times New Roman" w:hAnsi="Times New Roman" w:cs="Times New Roman"/>
          <w:sz w:val="20"/>
          <w:szCs w:val="20"/>
        </w:rPr>
        <w:t>, respectively</w:t>
      </w:r>
      <w:r w:rsidR="00D66AEB" w:rsidRPr="00386CC4">
        <w:rPr>
          <w:rFonts w:ascii="Times New Roman" w:hAnsi="Times New Roman" w:cs="Times New Roman"/>
          <w:sz w:val="20"/>
          <w:szCs w:val="20"/>
        </w:rPr>
        <w:t>, in separate 50</w:t>
      </w:r>
      <w:r w:rsidR="004E2614">
        <w:rPr>
          <w:rFonts w:ascii="Times New Roman" w:hAnsi="Times New Roman" w:cs="Times New Roman"/>
          <w:sz w:val="20"/>
          <w:szCs w:val="20"/>
        </w:rPr>
        <w:t xml:space="preserve"> </w:t>
      </w:r>
      <w:r w:rsidR="00433CB6" w:rsidRPr="00386CC4">
        <w:rPr>
          <w:rFonts w:ascii="Times New Roman" w:hAnsi="Times New Roman" w:cs="Times New Roman"/>
          <w:sz w:val="20"/>
          <w:szCs w:val="20"/>
        </w:rPr>
        <w:t>mL volumetric flasks. The</w:t>
      </w:r>
      <w:r w:rsidR="00170620" w:rsidRPr="00386CC4">
        <w:rPr>
          <w:rFonts w:ascii="Times New Roman" w:hAnsi="Times New Roman" w:cs="Times New Roman"/>
          <w:sz w:val="20"/>
          <w:szCs w:val="20"/>
        </w:rPr>
        <w:t xml:space="preserve"> concentration </w:t>
      </w:r>
      <w:r w:rsidR="00433CB6" w:rsidRPr="00386CC4">
        <w:rPr>
          <w:rFonts w:ascii="Times New Roman" w:hAnsi="Times New Roman" w:cs="Times New Roman"/>
          <w:sz w:val="20"/>
          <w:szCs w:val="20"/>
        </w:rPr>
        <w:t>range</w:t>
      </w:r>
      <w:r w:rsidR="00170620" w:rsidRPr="00386CC4">
        <w:rPr>
          <w:rFonts w:ascii="Times New Roman" w:hAnsi="Times New Roman" w:cs="Times New Roman"/>
          <w:sz w:val="20"/>
          <w:szCs w:val="20"/>
        </w:rPr>
        <w:t xml:space="preserve"> assures that the calibration curve is linear as required by Beer’s Law. A </w:t>
      </w:r>
      <w:r w:rsidR="00433CB6" w:rsidRPr="00386CC4">
        <w:rPr>
          <w:rFonts w:ascii="Times New Roman" w:hAnsi="Times New Roman" w:cs="Times New Roman"/>
          <w:sz w:val="20"/>
          <w:szCs w:val="20"/>
        </w:rPr>
        <w:t>chemical suppressant (</w:t>
      </w:r>
      <w:r w:rsidR="00DE6B8A" w:rsidRPr="00386CC4">
        <w:rPr>
          <w:rFonts w:ascii="Times New Roman" w:hAnsi="Times New Roman" w:cs="Times New Roman"/>
          <w:sz w:val="20"/>
          <w:szCs w:val="20"/>
        </w:rPr>
        <w:t>2.5</w:t>
      </w:r>
      <w:r w:rsidR="004E2614">
        <w:rPr>
          <w:rFonts w:ascii="Times New Roman" w:hAnsi="Times New Roman" w:cs="Times New Roman"/>
          <w:sz w:val="20"/>
          <w:szCs w:val="20"/>
        </w:rPr>
        <w:t xml:space="preserve"> </w:t>
      </w:r>
      <w:r w:rsidR="00433CB6" w:rsidRPr="00386CC4">
        <w:rPr>
          <w:rFonts w:ascii="Times New Roman" w:hAnsi="Times New Roman" w:cs="Times New Roman"/>
          <w:sz w:val="20"/>
          <w:szCs w:val="20"/>
        </w:rPr>
        <w:t xml:space="preserve">mL, </w:t>
      </w:r>
      <w:r w:rsidRPr="00386CC4">
        <w:rPr>
          <w:rFonts w:ascii="Times New Roman" w:hAnsi="Times New Roman" w:cs="Times New Roman"/>
          <w:sz w:val="20"/>
          <w:szCs w:val="20"/>
        </w:rPr>
        <w:t xml:space="preserve">5.0% w/v </w:t>
      </w:r>
      <w:r w:rsidR="00433CB6" w:rsidRPr="00386CC4">
        <w:rPr>
          <w:rFonts w:ascii="Times New Roman" w:hAnsi="Times New Roman" w:cs="Times New Roman"/>
          <w:sz w:val="20"/>
          <w:szCs w:val="20"/>
        </w:rPr>
        <w:t>strontium nitrate</w:t>
      </w:r>
      <w:r w:rsidR="00557B23" w:rsidRPr="00386CC4">
        <w:rPr>
          <w:rFonts w:ascii="Times New Roman" w:hAnsi="Times New Roman" w:cs="Times New Roman"/>
          <w:sz w:val="20"/>
          <w:szCs w:val="20"/>
        </w:rPr>
        <w:t>, Sr(NO</w:t>
      </w:r>
      <w:r w:rsidR="00557B23" w:rsidRPr="00386CC4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557B23" w:rsidRPr="00386CC4">
        <w:rPr>
          <w:rFonts w:ascii="Times New Roman" w:hAnsi="Times New Roman" w:cs="Times New Roman"/>
          <w:sz w:val="20"/>
          <w:szCs w:val="20"/>
        </w:rPr>
        <w:t>)</w:t>
      </w:r>
      <w:r w:rsidR="00557B23" w:rsidRPr="00386CC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33CB6" w:rsidRPr="00386CC4">
        <w:rPr>
          <w:rFonts w:ascii="Times New Roman" w:hAnsi="Times New Roman" w:cs="Times New Roman"/>
          <w:sz w:val="20"/>
          <w:szCs w:val="20"/>
        </w:rPr>
        <w:t xml:space="preserve">) </w:t>
      </w:r>
      <w:r w:rsidRPr="00386CC4">
        <w:rPr>
          <w:rFonts w:ascii="Times New Roman" w:hAnsi="Times New Roman" w:cs="Times New Roman"/>
          <w:sz w:val="20"/>
          <w:szCs w:val="20"/>
        </w:rPr>
        <w:t>w</w:t>
      </w:r>
      <w:r w:rsidR="00433CB6" w:rsidRPr="00386CC4">
        <w:rPr>
          <w:rFonts w:ascii="Times New Roman" w:hAnsi="Times New Roman" w:cs="Times New Roman"/>
          <w:sz w:val="20"/>
          <w:szCs w:val="20"/>
        </w:rPr>
        <w:t>ere</w:t>
      </w:r>
      <w:r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433CB6" w:rsidRPr="00386CC4">
        <w:rPr>
          <w:rFonts w:ascii="Times New Roman" w:hAnsi="Times New Roman" w:cs="Times New Roman"/>
          <w:sz w:val="20"/>
          <w:szCs w:val="20"/>
        </w:rPr>
        <w:t xml:space="preserve">also </w:t>
      </w:r>
      <w:r w:rsidRPr="00386CC4">
        <w:rPr>
          <w:rFonts w:ascii="Times New Roman" w:hAnsi="Times New Roman" w:cs="Times New Roman"/>
          <w:sz w:val="20"/>
          <w:szCs w:val="20"/>
        </w:rPr>
        <w:t>added to each standard solution</w:t>
      </w:r>
      <w:r w:rsidR="00433CB6" w:rsidRPr="00386CC4">
        <w:rPr>
          <w:rFonts w:ascii="Times New Roman" w:hAnsi="Times New Roman" w:cs="Times New Roman"/>
          <w:sz w:val="20"/>
          <w:szCs w:val="20"/>
        </w:rPr>
        <w:t xml:space="preserve"> before diluting to the mark with distilled water. </w:t>
      </w:r>
      <w:r w:rsidR="008C2A10" w:rsidRPr="00386CC4">
        <w:rPr>
          <w:rFonts w:ascii="Times New Roman" w:hAnsi="Times New Roman" w:cs="Times New Roman"/>
          <w:sz w:val="20"/>
          <w:szCs w:val="20"/>
        </w:rPr>
        <w:t xml:space="preserve">Absorbance readings were recorded in a Shimadzu AA-6300 Atomic Absorption Spectrophotometer in an air-acetylene gas mixture at a </w:t>
      </w:r>
      <w:r w:rsidR="00433CB6" w:rsidRPr="00386CC4">
        <w:rPr>
          <w:rFonts w:ascii="Times New Roman" w:hAnsi="Times New Roman" w:cs="Times New Roman"/>
          <w:sz w:val="20"/>
          <w:szCs w:val="20"/>
        </w:rPr>
        <w:t xml:space="preserve">detection wavelength </w:t>
      </w:r>
      <w:r w:rsidR="008C2A10" w:rsidRPr="00386CC4">
        <w:rPr>
          <w:rFonts w:ascii="Times New Roman" w:hAnsi="Times New Roman" w:cs="Times New Roman"/>
          <w:sz w:val="20"/>
          <w:szCs w:val="20"/>
        </w:rPr>
        <w:t>of</w:t>
      </w:r>
      <w:r w:rsidR="00D66AEB" w:rsidRPr="00386CC4">
        <w:rPr>
          <w:rFonts w:ascii="Times New Roman" w:hAnsi="Times New Roman" w:cs="Times New Roman"/>
          <w:sz w:val="20"/>
          <w:szCs w:val="20"/>
        </w:rPr>
        <w:t xml:space="preserve"> 423</w:t>
      </w:r>
      <w:r w:rsidR="004E2614">
        <w:rPr>
          <w:rFonts w:ascii="Times New Roman" w:hAnsi="Times New Roman" w:cs="Times New Roman"/>
          <w:sz w:val="20"/>
          <w:szCs w:val="20"/>
        </w:rPr>
        <w:t xml:space="preserve"> </w:t>
      </w:r>
      <w:r w:rsidR="00433CB6" w:rsidRPr="00386CC4">
        <w:rPr>
          <w:rFonts w:ascii="Times New Roman" w:hAnsi="Times New Roman" w:cs="Times New Roman"/>
          <w:sz w:val="20"/>
          <w:szCs w:val="20"/>
        </w:rPr>
        <w:t>nm</w:t>
      </w:r>
      <w:r w:rsidR="008C2A10" w:rsidRPr="00386CC4">
        <w:rPr>
          <w:rFonts w:ascii="Times New Roman" w:hAnsi="Times New Roman" w:cs="Times New Roman"/>
          <w:sz w:val="20"/>
          <w:szCs w:val="20"/>
        </w:rPr>
        <w:t>. Three replicate measurements were performed. Distilled water was used as solvent blank during the experiment</w:t>
      </w:r>
      <w:r w:rsidR="00623737" w:rsidRPr="00386CC4">
        <w:rPr>
          <w:rFonts w:ascii="Times New Roman" w:hAnsi="Times New Roman" w:cs="Times New Roman"/>
          <w:sz w:val="20"/>
          <w:szCs w:val="20"/>
        </w:rPr>
        <w:t xml:space="preserve"> [</w:t>
      </w:r>
      <w:r w:rsidR="006264F0" w:rsidRPr="00386CC4">
        <w:rPr>
          <w:rFonts w:ascii="Times New Roman" w:hAnsi="Times New Roman" w:cs="Times New Roman"/>
          <w:sz w:val="20"/>
          <w:szCs w:val="20"/>
        </w:rPr>
        <w:t>1</w:t>
      </w:r>
      <w:r w:rsidR="009D6785" w:rsidRPr="00386CC4">
        <w:rPr>
          <w:rFonts w:ascii="Times New Roman" w:hAnsi="Times New Roman" w:cs="Times New Roman"/>
          <w:sz w:val="20"/>
          <w:szCs w:val="20"/>
        </w:rPr>
        <w:t>6</w:t>
      </w:r>
      <w:r w:rsidR="006264F0" w:rsidRPr="00386CC4">
        <w:rPr>
          <w:rFonts w:ascii="Times New Roman" w:hAnsi="Times New Roman" w:cs="Times New Roman"/>
          <w:sz w:val="20"/>
          <w:szCs w:val="20"/>
        </w:rPr>
        <w:t>]</w:t>
      </w:r>
      <w:r w:rsidR="008C2A10" w:rsidRPr="00386CC4">
        <w:rPr>
          <w:rFonts w:ascii="Times New Roman" w:hAnsi="Times New Roman" w:cs="Times New Roman"/>
          <w:sz w:val="20"/>
          <w:szCs w:val="20"/>
        </w:rPr>
        <w:t>.</w:t>
      </w:r>
    </w:p>
    <w:p w:rsidR="004E2614" w:rsidRDefault="004E2614" w:rsidP="004E2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4960" w:rsidRDefault="0025195D" w:rsidP="004E2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 xml:space="preserve">For the mortar samples, </w:t>
      </w:r>
      <w:r w:rsidR="00D66AEB" w:rsidRPr="00386CC4">
        <w:rPr>
          <w:rFonts w:ascii="Times New Roman" w:hAnsi="Times New Roman" w:cs="Times New Roman"/>
          <w:sz w:val="20"/>
          <w:szCs w:val="20"/>
        </w:rPr>
        <w:t>0.</w:t>
      </w:r>
      <w:r w:rsidR="00DE6B8A" w:rsidRPr="00386CC4">
        <w:rPr>
          <w:rFonts w:ascii="Times New Roman" w:hAnsi="Times New Roman" w:cs="Times New Roman"/>
          <w:sz w:val="20"/>
          <w:szCs w:val="20"/>
        </w:rPr>
        <w:t>20</w:t>
      </w:r>
      <w:r w:rsidR="004E2614">
        <w:rPr>
          <w:rFonts w:ascii="Times New Roman" w:hAnsi="Times New Roman" w:cs="Times New Roman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sz w:val="20"/>
          <w:szCs w:val="20"/>
        </w:rPr>
        <w:t xml:space="preserve">mL aliquot portion from the original </w:t>
      </w:r>
      <w:r w:rsidR="00D66AEB" w:rsidRPr="00386CC4">
        <w:rPr>
          <w:rFonts w:ascii="Times New Roman" w:hAnsi="Times New Roman" w:cs="Times New Roman"/>
          <w:sz w:val="20"/>
          <w:szCs w:val="20"/>
        </w:rPr>
        <w:t>250</w:t>
      </w:r>
      <w:r w:rsidR="004E2614">
        <w:rPr>
          <w:rFonts w:ascii="Times New Roman" w:hAnsi="Times New Roman" w:cs="Times New Roman"/>
          <w:sz w:val="20"/>
          <w:szCs w:val="20"/>
        </w:rPr>
        <w:t xml:space="preserve"> </w:t>
      </w:r>
      <w:r w:rsidR="00E03070" w:rsidRPr="00386CC4">
        <w:rPr>
          <w:rFonts w:ascii="Times New Roman" w:hAnsi="Times New Roman" w:cs="Times New Roman"/>
          <w:sz w:val="20"/>
          <w:szCs w:val="20"/>
        </w:rPr>
        <w:t xml:space="preserve">mL EDTA </w:t>
      </w:r>
      <w:r w:rsidRPr="00386CC4">
        <w:rPr>
          <w:rFonts w:ascii="Times New Roman" w:hAnsi="Times New Roman" w:cs="Times New Roman"/>
          <w:sz w:val="20"/>
          <w:szCs w:val="20"/>
        </w:rPr>
        <w:t>digested b</w:t>
      </w:r>
      <w:r w:rsidR="00D66AEB" w:rsidRPr="00386CC4">
        <w:rPr>
          <w:rFonts w:ascii="Times New Roman" w:hAnsi="Times New Roman" w:cs="Times New Roman"/>
          <w:sz w:val="20"/>
          <w:szCs w:val="20"/>
        </w:rPr>
        <w:t xml:space="preserve">inder fraction </w:t>
      </w:r>
      <w:r w:rsidR="004E2614">
        <w:rPr>
          <w:rFonts w:ascii="Times New Roman" w:hAnsi="Times New Roman" w:cs="Times New Roman"/>
          <w:sz w:val="20"/>
          <w:szCs w:val="20"/>
        </w:rPr>
        <w:t xml:space="preserve">       </w:t>
      </w:r>
      <w:r w:rsidR="00D66AEB" w:rsidRPr="00386CC4">
        <w:rPr>
          <w:rFonts w:ascii="Times New Roman" w:hAnsi="Times New Roman" w:cs="Times New Roman"/>
          <w:sz w:val="20"/>
          <w:szCs w:val="20"/>
        </w:rPr>
        <w:t xml:space="preserve">(&lt; 0.075 mm) </w:t>
      </w:r>
      <w:r w:rsidR="00DE6B8A" w:rsidRPr="00386CC4">
        <w:rPr>
          <w:rFonts w:ascii="Times New Roman" w:hAnsi="Times New Roman" w:cs="Times New Roman"/>
          <w:sz w:val="20"/>
          <w:szCs w:val="20"/>
        </w:rPr>
        <w:t>was added with 0.50</w:t>
      </w:r>
      <w:r w:rsidR="004E2614">
        <w:rPr>
          <w:rFonts w:ascii="Times New Roman" w:hAnsi="Times New Roman" w:cs="Times New Roman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sz w:val="20"/>
          <w:szCs w:val="20"/>
        </w:rPr>
        <w:t xml:space="preserve">mL of 5.0% </w:t>
      </w:r>
      <w:r w:rsidR="00557B23" w:rsidRPr="00386CC4">
        <w:rPr>
          <w:rFonts w:ascii="Times New Roman" w:hAnsi="Times New Roman" w:cs="Times New Roman"/>
          <w:sz w:val="20"/>
          <w:szCs w:val="20"/>
        </w:rPr>
        <w:t>Sr(NO</w:t>
      </w:r>
      <w:r w:rsidR="00557B23" w:rsidRPr="00386CC4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557B23" w:rsidRPr="00386CC4">
        <w:rPr>
          <w:rFonts w:ascii="Times New Roman" w:hAnsi="Times New Roman" w:cs="Times New Roman"/>
          <w:sz w:val="20"/>
          <w:szCs w:val="20"/>
        </w:rPr>
        <w:t>)</w:t>
      </w:r>
      <w:r w:rsidR="00557B23" w:rsidRPr="00386CC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557B23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D66AEB" w:rsidRPr="00386CC4">
        <w:rPr>
          <w:rFonts w:ascii="Times New Roman" w:hAnsi="Times New Roman" w:cs="Times New Roman"/>
          <w:sz w:val="20"/>
          <w:szCs w:val="20"/>
        </w:rPr>
        <w:t>in separate 100</w:t>
      </w:r>
      <w:r w:rsidR="004E2614">
        <w:rPr>
          <w:rFonts w:ascii="Times New Roman" w:hAnsi="Times New Roman" w:cs="Times New Roman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sz w:val="20"/>
          <w:szCs w:val="20"/>
        </w:rPr>
        <w:t xml:space="preserve">mL volumetric flasks. </w:t>
      </w:r>
      <w:r w:rsidR="00851782" w:rsidRPr="00386CC4">
        <w:rPr>
          <w:rFonts w:ascii="Times New Roman" w:hAnsi="Times New Roman" w:cs="Times New Roman"/>
          <w:sz w:val="20"/>
          <w:szCs w:val="20"/>
        </w:rPr>
        <w:t xml:space="preserve">The same </w:t>
      </w:r>
      <w:r w:rsidR="00623737" w:rsidRPr="00386CC4">
        <w:rPr>
          <w:rFonts w:ascii="Times New Roman" w:hAnsi="Times New Roman" w:cs="Times New Roman"/>
          <w:sz w:val="20"/>
          <w:szCs w:val="20"/>
        </w:rPr>
        <w:t>AAS parameters mentioned in the preparation of the calcium standard curve were</w:t>
      </w:r>
      <w:r w:rsidR="00851782" w:rsidRPr="00386CC4">
        <w:rPr>
          <w:rFonts w:ascii="Times New Roman" w:hAnsi="Times New Roman" w:cs="Times New Roman"/>
          <w:sz w:val="20"/>
          <w:szCs w:val="20"/>
        </w:rPr>
        <w:t xml:space="preserve"> followed </w:t>
      </w:r>
      <w:r w:rsidR="00623737" w:rsidRPr="00386CC4">
        <w:rPr>
          <w:rFonts w:ascii="Times New Roman" w:hAnsi="Times New Roman" w:cs="Times New Roman"/>
          <w:sz w:val="20"/>
          <w:szCs w:val="20"/>
        </w:rPr>
        <w:t>afterwards</w:t>
      </w:r>
      <w:r w:rsidR="00851782" w:rsidRPr="00386CC4">
        <w:rPr>
          <w:rFonts w:ascii="Times New Roman" w:hAnsi="Times New Roman" w:cs="Times New Roman"/>
          <w:sz w:val="20"/>
          <w:szCs w:val="20"/>
        </w:rPr>
        <w:t>.</w:t>
      </w:r>
    </w:p>
    <w:p w:rsidR="008708BC" w:rsidRPr="00386CC4" w:rsidRDefault="008708BC" w:rsidP="00450B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226" w:rsidRPr="00386CC4" w:rsidRDefault="0070009F" w:rsidP="00450B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6CC4">
        <w:rPr>
          <w:rFonts w:ascii="Times New Roman" w:hAnsi="Times New Roman" w:cs="Times New Roman"/>
          <w:b/>
          <w:sz w:val="20"/>
          <w:szCs w:val="20"/>
        </w:rPr>
        <w:t>Results and Discussion</w:t>
      </w:r>
    </w:p>
    <w:p w:rsidR="00EE7359" w:rsidRPr="00450B22" w:rsidRDefault="00CF29BB" w:rsidP="00450B2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0B22">
        <w:rPr>
          <w:rFonts w:ascii="Times New Roman" w:hAnsi="Times New Roman" w:cs="Times New Roman"/>
          <w:b/>
          <w:sz w:val="20"/>
          <w:szCs w:val="20"/>
        </w:rPr>
        <w:t xml:space="preserve">Particle size </w:t>
      </w:r>
      <w:r w:rsidR="00EE7359" w:rsidRPr="00450B22">
        <w:rPr>
          <w:rFonts w:ascii="Times New Roman" w:hAnsi="Times New Roman" w:cs="Times New Roman"/>
          <w:b/>
          <w:sz w:val="20"/>
          <w:szCs w:val="20"/>
        </w:rPr>
        <w:t>distribution in mortars</w:t>
      </w:r>
    </w:p>
    <w:p w:rsidR="00561C3B" w:rsidRDefault="00F671DE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>T</w:t>
      </w:r>
      <w:r w:rsidR="00A95B74" w:rsidRPr="00386CC4">
        <w:rPr>
          <w:rFonts w:ascii="Times New Roman" w:hAnsi="Times New Roman" w:cs="Times New Roman"/>
          <w:sz w:val="20"/>
          <w:szCs w:val="20"/>
        </w:rPr>
        <w:t xml:space="preserve">he mechanical separation of </w:t>
      </w:r>
      <w:r w:rsidRPr="00386CC4">
        <w:rPr>
          <w:rFonts w:ascii="Times New Roman" w:hAnsi="Times New Roman" w:cs="Times New Roman"/>
          <w:sz w:val="20"/>
          <w:szCs w:val="20"/>
        </w:rPr>
        <w:t xml:space="preserve">different </w:t>
      </w:r>
      <w:r w:rsidR="00F559A0" w:rsidRPr="00386CC4">
        <w:rPr>
          <w:rFonts w:ascii="Times New Roman" w:hAnsi="Times New Roman" w:cs="Times New Roman"/>
          <w:sz w:val="20"/>
          <w:szCs w:val="20"/>
        </w:rPr>
        <w:t xml:space="preserve">grain </w:t>
      </w:r>
      <w:r w:rsidRPr="00386CC4">
        <w:rPr>
          <w:rFonts w:ascii="Times New Roman" w:hAnsi="Times New Roman" w:cs="Times New Roman"/>
          <w:sz w:val="20"/>
          <w:szCs w:val="20"/>
        </w:rPr>
        <w:t xml:space="preserve">sizes in the mortar samples was achieved through sieve analysis. </w:t>
      </w:r>
      <w:r w:rsidR="00F559A0" w:rsidRPr="00386CC4">
        <w:rPr>
          <w:rFonts w:ascii="Times New Roman" w:hAnsi="Times New Roman" w:cs="Times New Roman"/>
          <w:sz w:val="20"/>
          <w:szCs w:val="20"/>
        </w:rPr>
        <w:t>The relativ</w:t>
      </w:r>
      <w:r w:rsidR="00704647" w:rsidRPr="00386CC4">
        <w:rPr>
          <w:rFonts w:ascii="Times New Roman" w:hAnsi="Times New Roman" w:cs="Times New Roman"/>
          <w:sz w:val="20"/>
          <w:szCs w:val="20"/>
        </w:rPr>
        <w:t>e sizes of the particles and their distribution in the mortar are</w:t>
      </w:r>
      <w:r w:rsidR="00F559A0" w:rsidRPr="00386CC4">
        <w:rPr>
          <w:rFonts w:ascii="Times New Roman" w:hAnsi="Times New Roman" w:cs="Times New Roman"/>
          <w:sz w:val="20"/>
          <w:szCs w:val="20"/>
        </w:rPr>
        <w:t xml:space="preserve"> related to </w:t>
      </w:r>
      <w:r w:rsidR="00704647" w:rsidRPr="00386CC4">
        <w:rPr>
          <w:rFonts w:ascii="Times New Roman" w:hAnsi="Times New Roman" w:cs="Times New Roman"/>
          <w:sz w:val="20"/>
          <w:szCs w:val="20"/>
        </w:rPr>
        <w:t>their</w:t>
      </w:r>
      <w:r w:rsidR="00E20F8E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F559A0" w:rsidRPr="00386CC4">
        <w:rPr>
          <w:rFonts w:ascii="Times New Roman" w:hAnsi="Times New Roman" w:cs="Times New Roman"/>
          <w:sz w:val="20"/>
          <w:szCs w:val="20"/>
        </w:rPr>
        <w:t>engineering behaviour</w:t>
      </w:r>
      <w:r w:rsidR="00E20F8E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E20F8E" w:rsidRPr="00386CC4">
        <w:rPr>
          <w:rFonts w:ascii="Times New Roman" w:hAnsi="Times New Roman" w:cs="Times New Roman"/>
          <w:sz w:val="20"/>
          <w:szCs w:val="20"/>
        </w:rPr>
        <w:lastRenderedPageBreak/>
        <w:t>[</w:t>
      </w:r>
      <w:r w:rsidR="006264F0" w:rsidRPr="00386CC4">
        <w:rPr>
          <w:rFonts w:ascii="Times New Roman" w:hAnsi="Times New Roman" w:cs="Times New Roman"/>
          <w:sz w:val="20"/>
          <w:szCs w:val="20"/>
        </w:rPr>
        <w:t>1</w:t>
      </w:r>
      <w:r w:rsidR="009D6785" w:rsidRPr="00386CC4">
        <w:rPr>
          <w:rFonts w:ascii="Times New Roman" w:hAnsi="Times New Roman" w:cs="Times New Roman"/>
          <w:sz w:val="20"/>
          <w:szCs w:val="20"/>
        </w:rPr>
        <w:t>7</w:t>
      </w:r>
      <w:r w:rsidR="00E20F8E" w:rsidRPr="00386CC4">
        <w:rPr>
          <w:rFonts w:ascii="Times New Roman" w:hAnsi="Times New Roman" w:cs="Times New Roman"/>
          <w:sz w:val="20"/>
          <w:szCs w:val="20"/>
        </w:rPr>
        <w:t xml:space="preserve">]. Figure 2 shows the relationship between the mesh size and the percentage of particles retained in a specific sieve for both lime mortar samples. Based on the American Society for Testing and Materials (ASTM, 1980) classification system, the sample from Misamis Oriental is </w:t>
      </w:r>
      <w:r w:rsidR="00683EED" w:rsidRPr="00386CC4">
        <w:rPr>
          <w:rFonts w:ascii="Times New Roman" w:hAnsi="Times New Roman" w:cs="Times New Roman"/>
          <w:sz w:val="20"/>
          <w:szCs w:val="20"/>
        </w:rPr>
        <w:t>generally composed of fine sand aggregates since most of its</w:t>
      </w:r>
      <w:r w:rsidR="00704647" w:rsidRPr="00386CC4">
        <w:rPr>
          <w:rFonts w:ascii="Times New Roman" w:hAnsi="Times New Roman" w:cs="Times New Roman"/>
          <w:sz w:val="20"/>
          <w:szCs w:val="20"/>
        </w:rPr>
        <w:t xml:space="preserve"> weight </w:t>
      </w:r>
      <w:r w:rsidR="00683EED" w:rsidRPr="00386CC4">
        <w:rPr>
          <w:rFonts w:ascii="Times New Roman" w:hAnsi="Times New Roman" w:cs="Times New Roman"/>
          <w:sz w:val="20"/>
          <w:szCs w:val="20"/>
        </w:rPr>
        <w:t>retained in the 0.250</w:t>
      </w:r>
      <w:r w:rsidR="002238A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683EED" w:rsidRPr="00386CC4">
        <w:rPr>
          <w:rFonts w:ascii="Times New Roman" w:hAnsi="Times New Roman" w:cs="Times New Roman"/>
          <w:sz w:val="20"/>
          <w:szCs w:val="20"/>
        </w:rPr>
        <w:t xml:space="preserve">mm </w:t>
      </w:r>
      <w:r w:rsidR="00E20F8E" w:rsidRPr="00386CC4">
        <w:rPr>
          <w:rFonts w:ascii="Times New Roman" w:hAnsi="Times New Roman" w:cs="Times New Roman"/>
          <w:sz w:val="20"/>
          <w:szCs w:val="20"/>
        </w:rPr>
        <w:t xml:space="preserve">and </w:t>
      </w:r>
      <w:r w:rsidR="00683EED" w:rsidRPr="00386CC4">
        <w:rPr>
          <w:rFonts w:ascii="Times New Roman" w:hAnsi="Times New Roman" w:cs="Times New Roman"/>
          <w:sz w:val="20"/>
          <w:szCs w:val="20"/>
        </w:rPr>
        <w:t>0.150</w:t>
      </w:r>
      <w:r w:rsidR="002238A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683EED" w:rsidRPr="00386CC4">
        <w:rPr>
          <w:rFonts w:ascii="Times New Roman" w:hAnsi="Times New Roman" w:cs="Times New Roman"/>
          <w:sz w:val="20"/>
          <w:szCs w:val="20"/>
        </w:rPr>
        <w:t>mm</w:t>
      </w:r>
      <w:r w:rsidR="00E20F8E" w:rsidRPr="00386CC4">
        <w:rPr>
          <w:rFonts w:ascii="Times New Roman" w:hAnsi="Times New Roman" w:cs="Times New Roman"/>
          <w:sz w:val="20"/>
          <w:szCs w:val="20"/>
        </w:rPr>
        <w:t xml:space="preserve"> sieve sizes, respectively. </w:t>
      </w:r>
      <w:r w:rsidR="00E25997" w:rsidRPr="00386CC4">
        <w:rPr>
          <w:rFonts w:ascii="Times New Roman" w:hAnsi="Times New Roman" w:cs="Times New Roman"/>
          <w:sz w:val="20"/>
          <w:szCs w:val="20"/>
        </w:rPr>
        <w:t>T</w:t>
      </w:r>
      <w:r w:rsidR="009E584C" w:rsidRPr="00386CC4">
        <w:rPr>
          <w:rFonts w:ascii="Times New Roman" w:hAnsi="Times New Roman" w:cs="Times New Roman"/>
          <w:sz w:val="20"/>
          <w:szCs w:val="20"/>
        </w:rPr>
        <w:t>he Metro Manila sample,</w:t>
      </w:r>
      <w:r w:rsidR="00E25997" w:rsidRPr="00386CC4">
        <w:rPr>
          <w:rFonts w:ascii="Times New Roman" w:hAnsi="Times New Roman" w:cs="Times New Roman"/>
          <w:sz w:val="20"/>
          <w:szCs w:val="20"/>
        </w:rPr>
        <w:t xml:space="preserve"> however, </w:t>
      </w:r>
      <w:r w:rsidR="00A24685" w:rsidRPr="00386CC4">
        <w:rPr>
          <w:rFonts w:ascii="Times New Roman" w:hAnsi="Times New Roman" w:cs="Times New Roman"/>
          <w:sz w:val="20"/>
          <w:szCs w:val="20"/>
        </w:rPr>
        <w:t xml:space="preserve">is </w:t>
      </w:r>
      <w:r w:rsidR="00704647" w:rsidRPr="00386CC4">
        <w:rPr>
          <w:rFonts w:ascii="Times New Roman" w:hAnsi="Times New Roman" w:cs="Times New Roman"/>
          <w:sz w:val="20"/>
          <w:szCs w:val="20"/>
        </w:rPr>
        <w:t xml:space="preserve">mainly made </w:t>
      </w:r>
      <w:r w:rsidR="00107909" w:rsidRPr="00386CC4">
        <w:rPr>
          <w:rFonts w:ascii="Times New Roman" w:hAnsi="Times New Roman" w:cs="Times New Roman"/>
          <w:sz w:val="20"/>
          <w:szCs w:val="20"/>
        </w:rPr>
        <w:t xml:space="preserve">up of medium to fine sand aggregates due to </w:t>
      </w:r>
      <w:r w:rsidR="00CE6239" w:rsidRPr="00386CC4">
        <w:rPr>
          <w:rFonts w:ascii="Times New Roman" w:hAnsi="Times New Roman" w:cs="Times New Roman"/>
          <w:sz w:val="20"/>
          <w:szCs w:val="20"/>
        </w:rPr>
        <w:t xml:space="preserve">more </w:t>
      </w:r>
      <w:r w:rsidR="00A24685" w:rsidRPr="00386CC4">
        <w:rPr>
          <w:rFonts w:ascii="Times New Roman" w:hAnsi="Times New Roman" w:cs="Times New Roman"/>
          <w:sz w:val="20"/>
          <w:szCs w:val="20"/>
        </w:rPr>
        <w:t xml:space="preserve">particles </w:t>
      </w:r>
      <w:r w:rsidR="00CE6239" w:rsidRPr="00386CC4">
        <w:rPr>
          <w:rFonts w:ascii="Times New Roman" w:hAnsi="Times New Roman" w:cs="Times New Roman"/>
          <w:sz w:val="20"/>
          <w:szCs w:val="20"/>
        </w:rPr>
        <w:t>distributed within the</w:t>
      </w:r>
      <w:r w:rsidR="00704647" w:rsidRPr="00386CC4">
        <w:rPr>
          <w:rFonts w:ascii="Times New Roman" w:hAnsi="Times New Roman" w:cs="Times New Roman"/>
          <w:sz w:val="20"/>
          <w:szCs w:val="20"/>
        </w:rPr>
        <w:t xml:space="preserve"> sieve size range of</w:t>
      </w:r>
      <w:r w:rsidR="008E1DF3" w:rsidRPr="00386CC4">
        <w:rPr>
          <w:rFonts w:ascii="Times New Roman" w:hAnsi="Times New Roman" w:cs="Times New Roman"/>
          <w:sz w:val="20"/>
          <w:szCs w:val="20"/>
        </w:rPr>
        <w:t xml:space="preserve"> 0</w:t>
      </w:r>
      <w:r w:rsidR="00107909" w:rsidRPr="00386CC4">
        <w:rPr>
          <w:rFonts w:ascii="Times New Roman" w:hAnsi="Times New Roman" w:cs="Times New Roman"/>
          <w:sz w:val="20"/>
          <w:szCs w:val="20"/>
        </w:rPr>
        <w:t>.600</w:t>
      </w:r>
      <w:r w:rsidR="002238A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107909" w:rsidRPr="00386CC4">
        <w:rPr>
          <w:rFonts w:ascii="Times New Roman" w:hAnsi="Times New Roman" w:cs="Times New Roman"/>
          <w:sz w:val="20"/>
          <w:szCs w:val="20"/>
        </w:rPr>
        <w:t>mm to 0.250</w:t>
      </w:r>
      <w:r w:rsidR="002238A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107909" w:rsidRPr="00386CC4">
        <w:rPr>
          <w:rFonts w:ascii="Times New Roman" w:hAnsi="Times New Roman" w:cs="Times New Roman"/>
          <w:sz w:val="20"/>
          <w:szCs w:val="20"/>
        </w:rPr>
        <w:t xml:space="preserve">mm, respectively. </w:t>
      </w:r>
      <w:r w:rsidR="008E1DF3" w:rsidRPr="00386CC4">
        <w:rPr>
          <w:rFonts w:ascii="Times New Roman" w:hAnsi="Times New Roman" w:cs="Times New Roman"/>
          <w:sz w:val="20"/>
          <w:szCs w:val="20"/>
        </w:rPr>
        <w:t xml:space="preserve">The absence of </w:t>
      </w:r>
      <w:r w:rsidR="00CE6239" w:rsidRPr="00386CC4">
        <w:rPr>
          <w:rFonts w:ascii="Times New Roman" w:hAnsi="Times New Roman" w:cs="Times New Roman"/>
          <w:sz w:val="20"/>
          <w:szCs w:val="20"/>
        </w:rPr>
        <w:t xml:space="preserve">particles </w:t>
      </w:r>
      <w:r w:rsidR="00561C3B" w:rsidRPr="00386CC4">
        <w:rPr>
          <w:rFonts w:ascii="Times New Roman" w:hAnsi="Times New Roman" w:cs="Times New Roman"/>
          <w:sz w:val="20"/>
          <w:szCs w:val="20"/>
        </w:rPr>
        <w:t xml:space="preserve">retained </w:t>
      </w:r>
      <w:r w:rsidR="008E1DF3" w:rsidRPr="00386CC4">
        <w:rPr>
          <w:rFonts w:ascii="Times New Roman" w:hAnsi="Times New Roman" w:cs="Times New Roman"/>
          <w:sz w:val="20"/>
          <w:szCs w:val="20"/>
        </w:rPr>
        <w:t xml:space="preserve">in </w:t>
      </w:r>
      <w:r w:rsidR="00561C3B" w:rsidRPr="00386CC4">
        <w:rPr>
          <w:rFonts w:ascii="Times New Roman" w:hAnsi="Times New Roman" w:cs="Times New Roman"/>
          <w:sz w:val="20"/>
          <w:szCs w:val="20"/>
        </w:rPr>
        <w:t xml:space="preserve">the </w:t>
      </w:r>
      <w:r w:rsidR="008E1DF3" w:rsidRPr="00386CC4">
        <w:rPr>
          <w:rFonts w:ascii="Times New Roman" w:hAnsi="Times New Roman" w:cs="Times New Roman"/>
          <w:sz w:val="20"/>
          <w:szCs w:val="20"/>
        </w:rPr>
        <w:t>4.750</w:t>
      </w:r>
      <w:r w:rsidR="002238A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8E1DF3" w:rsidRPr="00386CC4">
        <w:rPr>
          <w:rFonts w:ascii="Times New Roman" w:hAnsi="Times New Roman" w:cs="Times New Roman"/>
          <w:sz w:val="20"/>
          <w:szCs w:val="20"/>
        </w:rPr>
        <w:t>mm sieve</w:t>
      </w:r>
      <w:r w:rsidR="00561C3B" w:rsidRPr="00386CC4">
        <w:rPr>
          <w:rFonts w:ascii="Times New Roman" w:hAnsi="Times New Roman" w:cs="Times New Roman"/>
          <w:sz w:val="20"/>
          <w:szCs w:val="20"/>
        </w:rPr>
        <w:t xml:space="preserve"> size </w:t>
      </w:r>
      <w:r w:rsidR="008E1DF3" w:rsidRPr="00386CC4">
        <w:rPr>
          <w:rFonts w:ascii="Times New Roman" w:hAnsi="Times New Roman" w:cs="Times New Roman"/>
          <w:sz w:val="20"/>
          <w:szCs w:val="20"/>
        </w:rPr>
        <w:t xml:space="preserve">for the Misamis Oriental sample </w:t>
      </w:r>
      <w:r w:rsidR="00561C3B" w:rsidRPr="00386CC4">
        <w:rPr>
          <w:rFonts w:ascii="Times New Roman" w:hAnsi="Times New Roman" w:cs="Times New Roman"/>
          <w:sz w:val="20"/>
          <w:szCs w:val="20"/>
        </w:rPr>
        <w:t xml:space="preserve">was compensated by a higher </w:t>
      </w:r>
      <w:r w:rsidR="00833BDE" w:rsidRPr="00386CC4">
        <w:rPr>
          <w:rFonts w:ascii="Times New Roman" w:hAnsi="Times New Roman" w:cs="Times New Roman"/>
          <w:sz w:val="20"/>
          <w:szCs w:val="20"/>
        </w:rPr>
        <w:t xml:space="preserve">percentage amount </w:t>
      </w:r>
      <w:r w:rsidR="00561C3B" w:rsidRPr="00386CC4">
        <w:rPr>
          <w:rFonts w:ascii="Times New Roman" w:hAnsi="Times New Roman" w:cs="Times New Roman"/>
          <w:sz w:val="20"/>
          <w:szCs w:val="20"/>
        </w:rPr>
        <w:t xml:space="preserve">of binder fraction </w:t>
      </w:r>
      <w:r w:rsidR="00833BDE" w:rsidRPr="00386CC4">
        <w:rPr>
          <w:rFonts w:ascii="Times New Roman" w:hAnsi="Times New Roman" w:cs="Times New Roman"/>
          <w:sz w:val="20"/>
          <w:szCs w:val="20"/>
        </w:rPr>
        <w:t>from</w:t>
      </w:r>
      <w:r w:rsidR="00561C3B" w:rsidRPr="00386CC4">
        <w:rPr>
          <w:rFonts w:ascii="Times New Roman" w:hAnsi="Times New Roman" w:cs="Times New Roman"/>
          <w:sz w:val="20"/>
          <w:szCs w:val="20"/>
        </w:rPr>
        <w:t xml:space="preserve"> the “pan” (&lt;0.075</w:t>
      </w:r>
      <w:r w:rsidR="002238A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561C3B" w:rsidRPr="00386CC4">
        <w:rPr>
          <w:rFonts w:ascii="Times New Roman" w:hAnsi="Times New Roman" w:cs="Times New Roman"/>
          <w:sz w:val="20"/>
          <w:szCs w:val="20"/>
        </w:rPr>
        <w:t>mm)</w:t>
      </w:r>
      <w:r w:rsidR="008B75BB" w:rsidRPr="00386CC4">
        <w:rPr>
          <w:rFonts w:ascii="Times New Roman" w:hAnsi="Times New Roman" w:cs="Times New Roman"/>
          <w:sz w:val="20"/>
          <w:szCs w:val="20"/>
        </w:rPr>
        <w:t xml:space="preserve"> [</w:t>
      </w:r>
      <w:r w:rsidR="006264F0" w:rsidRPr="00386CC4">
        <w:rPr>
          <w:rFonts w:ascii="Times New Roman" w:hAnsi="Times New Roman" w:cs="Times New Roman"/>
          <w:sz w:val="20"/>
          <w:szCs w:val="20"/>
        </w:rPr>
        <w:t>1</w:t>
      </w:r>
      <w:r w:rsidR="009D6785" w:rsidRPr="00386CC4">
        <w:rPr>
          <w:rFonts w:ascii="Times New Roman" w:hAnsi="Times New Roman" w:cs="Times New Roman"/>
          <w:sz w:val="20"/>
          <w:szCs w:val="20"/>
        </w:rPr>
        <w:t>8</w:t>
      </w:r>
      <w:r w:rsidR="008B75BB" w:rsidRPr="00386CC4">
        <w:rPr>
          <w:rFonts w:ascii="Times New Roman" w:hAnsi="Times New Roman" w:cs="Times New Roman"/>
          <w:sz w:val="20"/>
          <w:szCs w:val="20"/>
        </w:rPr>
        <w:t>]</w:t>
      </w:r>
      <w:r w:rsidR="00561C3B" w:rsidRPr="00386CC4">
        <w:rPr>
          <w:rFonts w:ascii="Times New Roman" w:hAnsi="Times New Roman" w:cs="Times New Roman"/>
          <w:sz w:val="20"/>
          <w:szCs w:val="20"/>
        </w:rPr>
        <w:t xml:space="preserve"> which is comparable </w:t>
      </w:r>
      <w:r w:rsidR="00CE6239" w:rsidRPr="00386CC4">
        <w:rPr>
          <w:rFonts w:ascii="Times New Roman" w:hAnsi="Times New Roman" w:cs="Times New Roman"/>
          <w:sz w:val="20"/>
          <w:szCs w:val="20"/>
        </w:rPr>
        <w:t xml:space="preserve">in weight </w:t>
      </w:r>
      <w:r w:rsidR="002238A9" w:rsidRPr="00386CC4">
        <w:rPr>
          <w:rFonts w:ascii="Times New Roman" w:hAnsi="Times New Roman" w:cs="Times New Roman"/>
          <w:sz w:val="20"/>
          <w:szCs w:val="20"/>
        </w:rPr>
        <w:t xml:space="preserve">with </w:t>
      </w:r>
      <w:r w:rsidR="00561C3B" w:rsidRPr="00386CC4">
        <w:rPr>
          <w:rFonts w:ascii="Times New Roman" w:hAnsi="Times New Roman" w:cs="Times New Roman"/>
          <w:sz w:val="20"/>
          <w:szCs w:val="20"/>
        </w:rPr>
        <w:t>the 0.150</w:t>
      </w:r>
      <w:r w:rsidR="002238A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561C3B" w:rsidRPr="00386CC4">
        <w:rPr>
          <w:rFonts w:ascii="Times New Roman" w:hAnsi="Times New Roman" w:cs="Times New Roman"/>
          <w:sz w:val="20"/>
          <w:szCs w:val="20"/>
        </w:rPr>
        <w:t>mm sieve size.</w:t>
      </w:r>
      <w:r w:rsidR="00833BDE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CF3CF6" w:rsidRPr="00386CC4">
        <w:rPr>
          <w:rFonts w:ascii="Times New Roman" w:hAnsi="Times New Roman" w:cs="Times New Roman"/>
          <w:sz w:val="20"/>
          <w:szCs w:val="20"/>
        </w:rPr>
        <w:t xml:space="preserve">This is in contrast with </w:t>
      </w:r>
      <w:r w:rsidR="00833BDE" w:rsidRPr="00386CC4">
        <w:rPr>
          <w:rFonts w:ascii="Times New Roman" w:hAnsi="Times New Roman" w:cs="Times New Roman"/>
          <w:sz w:val="20"/>
          <w:szCs w:val="20"/>
        </w:rPr>
        <w:t xml:space="preserve">the Metro Manila sample </w:t>
      </w:r>
      <w:r w:rsidR="00CF3CF6" w:rsidRPr="00386CC4">
        <w:rPr>
          <w:rFonts w:ascii="Times New Roman" w:hAnsi="Times New Roman" w:cs="Times New Roman"/>
          <w:sz w:val="20"/>
          <w:szCs w:val="20"/>
        </w:rPr>
        <w:t xml:space="preserve">which </w:t>
      </w:r>
      <w:r w:rsidR="002238A9" w:rsidRPr="00386CC4">
        <w:rPr>
          <w:rFonts w:ascii="Times New Roman" w:hAnsi="Times New Roman" w:cs="Times New Roman"/>
          <w:sz w:val="20"/>
          <w:szCs w:val="20"/>
        </w:rPr>
        <w:t>has a well-represented</w:t>
      </w:r>
      <w:r w:rsidR="00CE6239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2238A9" w:rsidRPr="00386CC4">
        <w:rPr>
          <w:rFonts w:ascii="Times New Roman" w:hAnsi="Times New Roman" w:cs="Times New Roman"/>
          <w:sz w:val="20"/>
          <w:szCs w:val="20"/>
        </w:rPr>
        <w:t>particle size distribution</w:t>
      </w:r>
      <w:r w:rsidR="00CE6239" w:rsidRPr="00386CC4">
        <w:rPr>
          <w:rFonts w:ascii="Times New Roman" w:hAnsi="Times New Roman" w:cs="Times New Roman"/>
          <w:sz w:val="20"/>
          <w:szCs w:val="20"/>
        </w:rPr>
        <w:t xml:space="preserve">, </w:t>
      </w:r>
      <w:r w:rsidR="00CF3CF6" w:rsidRPr="00386CC4">
        <w:rPr>
          <w:rFonts w:ascii="Times New Roman" w:hAnsi="Times New Roman" w:cs="Times New Roman"/>
          <w:sz w:val="20"/>
          <w:szCs w:val="20"/>
        </w:rPr>
        <w:t xml:space="preserve">hence, </w:t>
      </w:r>
      <w:r w:rsidR="00CE6239" w:rsidRPr="00386CC4">
        <w:rPr>
          <w:rFonts w:ascii="Times New Roman" w:hAnsi="Times New Roman" w:cs="Times New Roman"/>
          <w:sz w:val="20"/>
          <w:szCs w:val="20"/>
        </w:rPr>
        <w:t xml:space="preserve">a </w:t>
      </w:r>
      <w:r w:rsidR="002238A9" w:rsidRPr="00386CC4">
        <w:rPr>
          <w:rFonts w:ascii="Times New Roman" w:hAnsi="Times New Roman" w:cs="Times New Roman"/>
          <w:sz w:val="20"/>
          <w:szCs w:val="20"/>
        </w:rPr>
        <w:t xml:space="preserve">relatively </w:t>
      </w:r>
      <w:r w:rsidR="00CE6239" w:rsidRPr="00386CC4">
        <w:rPr>
          <w:rFonts w:ascii="Times New Roman" w:hAnsi="Times New Roman" w:cs="Times New Roman"/>
          <w:sz w:val="20"/>
          <w:szCs w:val="20"/>
        </w:rPr>
        <w:t xml:space="preserve">lower percentage </w:t>
      </w:r>
      <w:r w:rsidR="00CF3CF6" w:rsidRPr="00386CC4">
        <w:rPr>
          <w:rFonts w:ascii="Times New Roman" w:hAnsi="Times New Roman" w:cs="Times New Roman"/>
          <w:sz w:val="20"/>
          <w:szCs w:val="20"/>
        </w:rPr>
        <w:t xml:space="preserve">of </w:t>
      </w:r>
      <w:r w:rsidR="002238A9" w:rsidRPr="00386CC4">
        <w:rPr>
          <w:rFonts w:ascii="Times New Roman" w:hAnsi="Times New Roman" w:cs="Times New Roman"/>
          <w:sz w:val="20"/>
          <w:szCs w:val="20"/>
        </w:rPr>
        <w:t xml:space="preserve">the </w:t>
      </w:r>
      <w:r w:rsidR="00CE6239" w:rsidRPr="00386CC4">
        <w:rPr>
          <w:rFonts w:ascii="Times New Roman" w:hAnsi="Times New Roman" w:cs="Times New Roman"/>
          <w:sz w:val="20"/>
          <w:szCs w:val="20"/>
        </w:rPr>
        <w:t xml:space="preserve">binder </w:t>
      </w:r>
      <w:r w:rsidR="00CF3CF6" w:rsidRPr="00386CC4">
        <w:rPr>
          <w:rFonts w:ascii="Times New Roman" w:hAnsi="Times New Roman" w:cs="Times New Roman"/>
          <w:sz w:val="20"/>
          <w:szCs w:val="20"/>
        </w:rPr>
        <w:t>fraction was observed.</w:t>
      </w:r>
      <w:r w:rsidR="001858DE" w:rsidRPr="00386CC4">
        <w:rPr>
          <w:rFonts w:ascii="Times New Roman" w:hAnsi="Times New Roman" w:cs="Times New Roman"/>
          <w:sz w:val="20"/>
          <w:szCs w:val="20"/>
        </w:rPr>
        <w:t xml:space="preserve"> There </w:t>
      </w:r>
      <w:r w:rsidR="00D14DF5" w:rsidRPr="00386CC4">
        <w:rPr>
          <w:rFonts w:ascii="Times New Roman" w:hAnsi="Times New Roman" w:cs="Times New Roman"/>
          <w:sz w:val="20"/>
          <w:szCs w:val="20"/>
        </w:rPr>
        <w:t>was</w:t>
      </w:r>
      <w:r w:rsidR="001858DE" w:rsidRPr="00386CC4">
        <w:rPr>
          <w:rFonts w:ascii="Times New Roman" w:hAnsi="Times New Roman" w:cs="Times New Roman"/>
          <w:sz w:val="20"/>
          <w:szCs w:val="20"/>
        </w:rPr>
        <w:t xml:space="preserve"> no evidence </w:t>
      </w:r>
      <w:r w:rsidR="00D14DF5" w:rsidRPr="00386CC4">
        <w:rPr>
          <w:rFonts w:ascii="Times New Roman" w:hAnsi="Times New Roman" w:cs="Times New Roman"/>
          <w:sz w:val="20"/>
          <w:szCs w:val="20"/>
        </w:rPr>
        <w:t>which may suggest that the aggregates in both mortar samples are calcitic (CaCO</w:t>
      </w:r>
      <w:r w:rsidR="00D14DF5" w:rsidRPr="00386CC4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D14DF5" w:rsidRPr="00386CC4">
        <w:rPr>
          <w:rFonts w:ascii="Times New Roman" w:hAnsi="Times New Roman" w:cs="Times New Roman"/>
          <w:sz w:val="20"/>
          <w:szCs w:val="20"/>
        </w:rPr>
        <w:t xml:space="preserve">) in nature. </w:t>
      </w:r>
      <w:r w:rsidR="001858DE" w:rsidRPr="00386C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2614" w:rsidRPr="00386CC4" w:rsidRDefault="004E2614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6C4B" w:rsidRPr="00386CC4" w:rsidRDefault="00996C4B" w:rsidP="00450B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6CC4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41B4429" wp14:editId="5512D02E">
            <wp:extent cx="4280007" cy="2351314"/>
            <wp:effectExtent l="0" t="0" r="6350" b="114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2614" w:rsidRDefault="004E2614" w:rsidP="00450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F01EB" w:rsidRPr="00386CC4" w:rsidRDefault="00CE5395" w:rsidP="00450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>Figure</w:t>
      </w:r>
      <w:r w:rsidR="00E24E6A" w:rsidRPr="00386CC4">
        <w:rPr>
          <w:rFonts w:ascii="Times New Roman" w:hAnsi="Times New Roman" w:cs="Times New Roman"/>
          <w:sz w:val="20"/>
          <w:szCs w:val="20"/>
        </w:rPr>
        <w:t xml:space="preserve"> 2</w:t>
      </w:r>
      <w:r w:rsidR="00FE5400" w:rsidRPr="00386CC4">
        <w:rPr>
          <w:rFonts w:ascii="Times New Roman" w:hAnsi="Times New Roman" w:cs="Times New Roman"/>
          <w:sz w:val="20"/>
          <w:szCs w:val="20"/>
        </w:rPr>
        <w:t xml:space="preserve">. </w:t>
      </w:r>
      <w:r w:rsidR="00833BDE" w:rsidRPr="00386CC4">
        <w:rPr>
          <w:rFonts w:ascii="Times New Roman" w:hAnsi="Times New Roman" w:cs="Times New Roman"/>
          <w:sz w:val="20"/>
          <w:szCs w:val="20"/>
        </w:rPr>
        <w:t>Grain size w</w:t>
      </w:r>
      <w:r w:rsidRPr="00386CC4">
        <w:rPr>
          <w:rFonts w:ascii="Times New Roman" w:hAnsi="Times New Roman" w:cs="Times New Roman"/>
          <w:sz w:val="20"/>
          <w:szCs w:val="20"/>
        </w:rPr>
        <w:t>eight distributions of the mortar samples</w:t>
      </w:r>
      <w:r w:rsidR="00334C5E" w:rsidRPr="00386C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46E1" w:rsidRPr="00386CC4" w:rsidRDefault="00A046E1" w:rsidP="00450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264F0" w:rsidRDefault="00CA05A6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 xml:space="preserve">To know if the </w:t>
      </w:r>
      <w:r w:rsidR="00EF70E4" w:rsidRPr="00386CC4">
        <w:rPr>
          <w:rFonts w:ascii="Times New Roman" w:hAnsi="Times New Roman" w:cs="Times New Roman"/>
          <w:sz w:val="20"/>
          <w:szCs w:val="20"/>
        </w:rPr>
        <w:t xml:space="preserve">old </w:t>
      </w:r>
      <w:r w:rsidRPr="00386CC4">
        <w:rPr>
          <w:rFonts w:ascii="Times New Roman" w:hAnsi="Times New Roman" w:cs="Times New Roman"/>
          <w:sz w:val="20"/>
          <w:szCs w:val="20"/>
        </w:rPr>
        <w:t xml:space="preserve">mortar samples were manufactured </w:t>
      </w:r>
      <w:r w:rsidR="00EF70E4" w:rsidRPr="00386CC4">
        <w:rPr>
          <w:rFonts w:ascii="Times New Roman" w:hAnsi="Times New Roman" w:cs="Times New Roman"/>
          <w:sz w:val="20"/>
          <w:szCs w:val="20"/>
        </w:rPr>
        <w:t>with</w:t>
      </w:r>
      <w:r w:rsidRPr="00386CC4">
        <w:rPr>
          <w:rFonts w:ascii="Times New Roman" w:hAnsi="Times New Roman" w:cs="Times New Roman"/>
          <w:sz w:val="20"/>
          <w:szCs w:val="20"/>
        </w:rPr>
        <w:t xml:space="preserve"> good representation</w:t>
      </w:r>
      <w:r w:rsidR="00766167" w:rsidRPr="00386CC4">
        <w:rPr>
          <w:rFonts w:ascii="Times New Roman" w:hAnsi="Times New Roman" w:cs="Times New Roman"/>
          <w:sz w:val="20"/>
          <w:szCs w:val="20"/>
        </w:rPr>
        <w:t xml:space="preserve">s </w:t>
      </w:r>
      <w:r w:rsidRPr="00386CC4">
        <w:rPr>
          <w:rFonts w:ascii="Times New Roman" w:hAnsi="Times New Roman" w:cs="Times New Roman"/>
          <w:sz w:val="20"/>
          <w:szCs w:val="20"/>
        </w:rPr>
        <w:t>of each particle sizes, a</w:t>
      </w:r>
      <w:r w:rsidR="00EF70E4" w:rsidRPr="00386CC4">
        <w:rPr>
          <w:rFonts w:ascii="Times New Roman" w:hAnsi="Times New Roman" w:cs="Times New Roman"/>
          <w:sz w:val="20"/>
          <w:szCs w:val="20"/>
        </w:rPr>
        <w:t xml:space="preserve"> gradation curve was plotted as shown in Figure 3.</w:t>
      </w:r>
      <w:r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EF70E4" w:rsidRPr="00386CC4">
        <w:rPr>
          <w:rFonts w:ascii="Times New Roman" w:hAnsi="Times New Roman" w:cs="Times New Roman"/>
          <w:sz w:val="20"/>
          <w:szCs w:val="20"/>
        </w:rPr>
        <w:t xml:space="preserve">From this logarithmic plot, </w:t>
      </w:r>
      <w:r w:rsidR="003355C3" w:rsidRPr="00386CC4">
        <w:rPr>
          <w:rFonts w:ascii="Times New Roman" w:hAnsi="Times New Roman" w:cs="Times New Roman"/>
          <w:sz w:val="20"/>
          <w:szCs w:val="20"/>
        </w:rPr>
        <w:t>the important basic parameters of effective size</w:t>
      </w:r>
      <w:r w:rsidR="00766167" w:rsidRPr="00386CC4">
        <w:rPr>
          <w:rFonts w:ascii="Times New Roman" w:hAnsi="Times New Roman" w:cs="Times New Roman"/>
          <w:sz w:val="20"/>
          <w:szCs w:val="20"/>
        </w:rPr>
        <w:t xml:space="preserve"> (D</w:t>
      </w:r>
      <w:r w:rsidR="00766167" w:rsidRPr="00386CC4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="00766167" w:rsidRPr="00386CC4">
        <w:rPr>
          <w:rFonts w:ascii="Times New Roman" w:hAnsi="Times New Roman" w:cs="Times New Roman"/>
          <w:sz w:val="20"/>
          <w:szCs w:val="20"/>
        </w:rPr>
        <w:t>)</w:t>
      </w:r>
      <w:r w:rsidR="003355C3" w:rsidRPr="00386CC4">
        <w:rPr>
          <w:rFonts w:ascii="Times New Roman" w:hAnsi="Times New Roman" w:cs="Times New Roman"/>
          <w:sz w:val="20"/>
          <w:szCs w:val="20"/>
        </w:rPr>
        <w:t xml:space="preserve">, uniformity coefficient </w:t>
      </w:r>
      <w:r w:rsidR="00766167" w:rsidRPr="00386CC4">
        <w:rPr>
          <w:rFonts w:ascii="Times New Roman" w:hAnsi="Times New Roman" w:cs="Times New Roman"/>
          <w:sz w:val="20"/>
          <w:szCs w:val="20"/>
        </w:rPr>
        <w:t>(C</w:t>
      </w:r>
      <w:r w:rsidR="00766167" w:rsidRPr="00386CC4">
        <w:rPr>
          <w:rFonts w:ascii="Times New Roman" w:hAnsi="Times New Roman" w:cs="Times New Roman"/>
          <w:sz w:val="20"/>
          <w:szCs w:val="20"/>
          <w:vertAlign w:val="subscript"/>
        </w:rPr>
        <w:t>u</w:t>
      </w:r>
      <w:r w:rsidR="00766167" w:rsidRPr="00386CC4">
        <w:rPr>
          <w:rFonts w:ascii="Times New Roman" w:hAnsi="Times New Roman" w:cs="Times New Roman"/>
          <w:sz w:val="20"/>
          <w:szCs w:val="20"/>
        </w:rPr>
        <w:t xml:space="preserve">) </w:t>
      </w:r>
      <w:r w:rsidR="003355C3" w:rsidRPr="00386CC4">
        <w:rPr>
          <w:rFonts w:ascii="Times New Roman" w:hAnsi="Times New Roman" w:cs="Times New Roman"/>
          <w:sz w:val="20"/>
          <w:szCs w:val="20"/>
        </w:rPr>
        <w:t xml:space="preserve">and coefficient of </w:t>
      </w:r>
      <w:r w:rsidR="00766167" w:rsidRPr="00386CC4">
        <w:rPr>
          <w:rFonts w:ascii="Times New Roman" w:hAnsi="Times New Roman" w:cs="Times New Roman"/>
          <w:sz w:val="20"/>
          <w:szCs w:val="20"/>
        </w:rPr>
        <w:t>curvature (C</w:t>
      </w:r>
      <w:r w:rsidR="00766167" w:rsidRPr="00386CC4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766167" w:rsidRPr="00386CC4">
        <w:rPr>
          <w:rFonts w:ascii="Times New Roman" w:hAnsi="Times New Roman" w:cs="Times New Roman"/>
          <w:sz w:val="20"/>
          <w:szCs w:val="20"/>
        </w:rPr>
        <w:t>)</w:t>
      </w:r>
      <w:r w:rsidR="003355C3" w:rsidRPr="00386CC4">
        <w:rPr>
          <w:rFonts w:ascii="Times New Roman" w:hAnsi="Times New Roman" w:cs="Times New Roman"/>
          <w:sz w:val="20"/>
          <w:szCs w:val="20"/>
        </w:rPr>
        <w:t xml:space="preserve"> were</w:t>
      </w:r>
      <w:r w:rsidR="00766167" w:rsidRPr="00386CC4">
        <w:rPr>
          <w:rFonts w:ascii="Times New Roman" w:hAnsi="Times New Roman" w:cs="Times New Roman"/>
          <w:sz w:val="20"/>
          <w:szCs w:val="20"/>
        </w:rPr>
        <w:t xml:space="preserve"> computed. D</w:t>
      </w:r>
      <w:r w:rsidR="00766167" w:rsidRPr="00386CC4">
        <w:rPr>
          <w:rFonts w:ascii="Times New Roman" w:hAnsi="Times New Roman" w:cs="Times New Roman"/>
          <w:sz w:val="20"/>
          <w:szCs w:val="20"/>
          <w:vertAlign w:val="subscript"/>
        </w:rPr>
        <w:t xml:space="preserve">10 </w:t>
      </w:r>
      <w:r w:rsidR="00766167" w:rsidRPr="00386CC4">
        <w:rPr>
          <w:rFonts w:ascii="Times New Roman" w:hAnsi="Times New Roman" w:cs="Times New Roman"/>
          <w:sz w:val="20"/>
          <w:szCs w:val="20"/>
        </w:rPr>
        <w:t xml:space="preserve">is defined as the value for the grain size diameter (D) that passed through the sieve at 10% and was extrapolated on the graph. </w:t>
      </w:r>
      <w:r w:rsidR="00953A72" w:rsidRPr="00386CC4">
        <w:rPr>
          <w:rFonts w:ascii="Times New Roman" w:hAnsi="Times New Roman" w:cs="Times New Roman"/>
          <w:sz w:val="20"/>
          <w:szCs w:val="20"/>
        </w:rPr>
        <w:t>To compute for C</w:t>
      </w:r>
      <w:r w:rsidR="00953A72" w:rsidRPr="00386CC4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953A72" w:rsidRPr="00386CC4">
        <w:rPr>
          <w:rFonts w:ascii="Times New Roman" w:hAnsi="Times New Roman" w:cs="Times New Roman"/>
          <w:sz w:val="20"/>
          <w:szCs w:val="20"/>
        </w:rPr>
        <w:t xml:space="preserve"> and C</w:t>
      </w:r>
      <w:r w:rsidR="00953A72" w:rsidRPr="00386CC4">
        <w:rPr>
          <w:rFonts w:ascii="Times New Roman" w:hAnsi="Times New Roman" w:cs="Times New Roman"/>
          <w:sz w:val="20"/>
          <w:szCs w:val="20"/>
          <w:vertAlign w:val="subscript"/>
        </w:rPr>
        <w:t>u</w:t>
      </w:r>
      <w:r w:rsidR="00953A72" w:rsidRPr="00386CC4">
        <w:rPr>
          <w:rFonts w:ascii="Times New Roman" w:hAnsi="Times New Roman" w:cs="Times New Roman"/>
          <w:sz w:val="20"/>
          <w:szCs w:val="20"/>
        </w:rPr>
        <w:t>, the values for D</w:t>
      </w:r>
      <w:r w:rsidR="00953A72" w:rsidRPr="00386CC4">
        <w:rPr>
          <w:rFonts w:ascii="Times New Roman" w:hAnsi="Times New Roman" w:cs="Times New Roman"/>
          <w:sz w:val="20"/>
          <w:szCs w:val="20"/>
          <w:vertAlign w:val="subscript"/>
        </w:rPr>
        <w:t>30</w:t>
      </w:r>
      <w:r w:rsidR="00953A72" w:rsidRPr="00386CC4">
        <w:rPr>
          <w:rFonts w:ascii="Times New Roman" w:hAnsi="Times New Roman" w:cs="Times New Roman"/>
          <w:sz w:val="20"/>
          <w:szCs w:val="20"/>
        </w:rPr>
        <w:t xml:space="preserve"> and D</w:t>
      </w:r>
      <w:r w:rsidR="00953A72" w:rsidRPr="00386CC4">
        <w:rPr>
          <w:rFonts w:ascii="Times New Roman" w:hAnsi="Times New Roman" w:cs="Times New Roman"/>
          <w:sz w:val="20"/>
          <w:szCs w:val="20"/>
          <w:vertAlign w:val="subscript"/>
        </w:rPr>
        <w:t>60</w:t>
      </w:r>
      <w:r w:rsidR="00953A72" w:rsidRPr="00386CC4">
        <w:rPr>
          <w:rFonts w:ascii="Times New Roman" w:hAnsi="Times New Roman" w:cs="Times New Roman"/>
          <w:sz w:val="20"/>
          <w:szCs w:val="20"/>
        </w:rPr>
        <w:t>, or 30% and 60% of particles</w:t>
      </w:r>
      <w:r w:rsidR="00FE5400" w:rsidRPr="00386CC4">
        <w:rPr>
          <w:rFonts w:ascii="Times New Roman" w:hAnsi="Times New Roman" w:cs="Times New Roman"/>
          <w:sz w:val="20"/>
          <w:szCs w:val="20"/>
        </w:rPr>
        <w:t xml:space="preserve"> that passed through the sieve, </w:t>
      </w:r>
      <w:r w:rsidR="00953A72" w:rsidRPr="00386CC4">
        <w:rPr>
          <w:rFonts w:ascii="Times New Roman" w:hAnsi="Times New Roman" w:cs="Times New Roman"/>
          <w:sz w:val="20"/>
          <w:szCs w:val="20"/>
        </w:rPr>
        <w:t>respectively, were also obtained. The results were tabulated in Table 1 for each mortar samples. Since the values for C</w:t>
      </w:r>
      <w:r w:rsidR="00953A72" w:rsidRPr="00386CC4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A13808" w:rsidRPr="00386CC4">
        <w:rPr>
          <w:rFonts w:ascii="Times New Roman" w:hAnsi="Times New Roman" w:cs="Times New Roman"/>
          <w:sz w:val="20"/>
          <w:szCs w:val="20"/>
        </w:rPr>
        <w:t xml:space="preserve"> are within</w:t>
      </w:r>
      <w:r w:rsidR="00953A72" w:rsidRPr="00386CC4">
        <w:rPr>
          <w:rFonts w:ascii="Times New Roman" w:hAnsi="Times New Roman" w:cs="Times New Roman"/>
          <w:sz w:val="20"/>
          <w:szCs w:val="20"/>
        </w:rPr>
        <w:t xml:space="preserve"> the ranges of 1 to 3 and have C</w:t>
      </w:r>
      <w:r w:rsidR="00953A72" w:rsidRPr="00386CC4">
        <w:rPr>
          <w:rFonts w:ascii="Times New Roman" w:hAnsi="Times New Roman" w:cs="Times New Roman"/>
          <w:sz w:val="20"/>
          <w:szCs w:val="20"/>
          <w:vertAlign w:val="subscript"/>
        </w:rPr>
        <w:t>u</w:t>
      </w:r>
      <w:r w:rsidR="00953A72" w:rsidRPr="00386CC4">
        <w:rPr>
          <w:rFonts w:ascii="Times New Roman" w:hAnsi="Times New Roman" w:cs="Times New Roman"/>
          <w:sz w:val="20"/>
          <w:szCs w:val="20"/>
        </w:rPr>
        <w:t xml:space="preserve"> values that are greater than 4, both Misamis Oriental and Metro Manila samples are considered as well-graded [</w:t>
      </w:r>
      <w:r w:rsidR="006264F0" w:rsidRPr="00386CC4">
        <w:rPr>
          <w:rFonts w:ascii="Times New Roman" w:hAnsi="Times New Roman" w:cs="Times New Roman"/>
          <w:sz w:val="20"/>
          <w:szCs w:val="20"/>
        </w:rPr>
        <w:t>1</w:t>
      </w:r>
      <w:r w:rsidR="009D6785" w:rsidRPr="00386CC4">
        <w:rPr>
          <w:rFonts w:ascii="Times New Roman" w:hAnsi="Times New Roman" w:cs="Times New Roman"/>
          <w:sz w:val="20"/>
          <w:szCs w:val="20"/>
        </w:rPr>
        <w:t>9</w:t>
      </w:r>
      <w:r w:rsidR="00953A72" w:rsidRPr="00386CC4">
        <w:rPr>
          <w:rFonts w:ascii="Times New Roman" w:hAnsi="Times New Roman" w:cs="Times New Roman"/>
          <w:sz w:val="20"/>
          <w:szCs w:val="20"/>
        </w:rPr>
        <w:t>].</w:t>
      </w:r>
    </w:p>
    <w:p w:rsidR="004E2614" w:rsidRPr="00386CC4" w:rsidRDefault="004E2614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BE3" w:rsidRPr="00386CC4" w:rsidRDefault="00DB7FAE" w:rsidP="00450B2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86CC4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DC95525" wp14:editId="3FD43D84">
            <wp:extent cx="4495800" cy="2447925"/>
            <wp:effectExtent l="0" t="0" r="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2614" w:rsidRDefault="004E2614" w:rsidP="00450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264F0" w:rsidRPr="00386CC4" w:rsidRDefault="006264F0" w:rsidP="00450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>Figure 3. Particle size gradation curve of the mortar samples</w:t>
      </w:r>
    </w:p>
    <w:p w:rsidR="006264F0" w:rsidRDefault="006264F0" w:rsidP="00450B2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E2614" w:rsidRDefault="004E2614" w:rsidP="00450B2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E2614" w:rsidRDefault="004E2614" w:rsidP="00450B2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E2614" w:rsidRPr="00386CC4" w:rsidRDefault="004E2614" w:rsidP="00450B2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E5400" w:rsidRDefault="00FE5400" w:rsidP="00450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>Table 1. Soil parameters used for classification of mortar samples</w:t>
      </w:r>
    </w:p>
    <w:p w:rsidR="004E2614" w:rsidRPr="00386CC4" w:rsidRDefault="004E2614" w:rsidP="00450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1711"/>
        <w:gridCol w:w="1411"/>
      </w:tblGrid>
      <w:tr w:rsidR="00314F90" w:rsidRPr="00386CC4" w:rsidTr="004E2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314F90" w:rsidRPr="00386CC4" w:rsidRDefault="00314F90" w:rsidP="00450B2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</w:p>
        </w:tc>
        <w:tc>
          <w:tcPr>
            <w:tcW w:w="0" w:type="auto"/>
            <w:gridSpan w:val="2"/>
          </w:tcPr>
          <w:p w:rsidR="00314F90" w:rsidRPr="00386CC4" w:rsidRDefault="00105E17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Mortar S</w:t>
            </w:r>
            <w:r w:rsidR="00314F90" w:rsidRPr="00386CC4">
              <w:rPr>
                <w:rFonts w:ascii="Times New Roman" w:hAnsi="Times New Roman" w:cs="Times New Roman"/>
                <w:sz w:val="20"/>
                <w:szCs w:val="20"/>
              </w:rPr>
              <w:t>amples</w:t>
            </w:r>
          </w:p>
        </w:tc>
      </w:tr>
      <w:tr w:rsidR="00314F90" w:rsidRPr="00386CC4" w:rsidTr="004E2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314F90" w:rsidRPr="00386CC4" w:rsidRDefault="00314F90" w:rsidP="00450B2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314F90" w:rsidRPr="00386CC4" w:rsidRDefault="00314F90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b/>
                <w:sz w:val="20"/>
                <w:szCs w:val="20"/>
              </w:rPr>
              <w:t>Misamis Oriental</w:t>
            </w:r>
          </w:p>
        </w:tc>
        <w:tc>
          <w:tcPr>
            <w:tcW w:w="0" w:type="auto"/>
          </w:tcPr>
          <w:p w:rsidR="00314F90" w:rsidRPr="00386CC4" w:rsidRDefault="00314F90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b/>
                <w:sz w:val="20"/>
                <w:szCs w:val="20"/>
              </w:rPr>
              <w:t>Metro Manila</w:t>
            </w:r>
          </w:p>
        </w:tc>
      </w:tr>
      <w:tr w:rsidR="00314F90" w:rsidRPr="00386CC4" w:rsidTr="004E26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nil"/>
            </w:tcBorders>
          </w:tcPr>
          <w:p w:rsidR="00314F90" w:rsidRPr="004E2614" w:rsidRDefault="00314F90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</w:t>
            </w:r>
            <w:r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nil"/>
            </w:tcBorders>
          </w:tcPr>
          <w:p w:rsidR="00314F90" w:rsidRPr="00386CC4" w:rsidRDefault="00AE420B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="00314F90" w:rsidRPr="00386CC4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nil"/>
            </w:tcBorders>
          </w:tcPr>
          <w:p w:rsidR="00314F90" w:rsidRPr="00386CC4" w:rsidRDefault="00314F90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</w:tr>
      <w:tr w:rsidR="00314F90" w:rsidRPr="00386CC4" w:rsidTr="004E2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:rsidR="00314F90" w:rsidRPr="004E2614" w:rsidRDefault="00314F90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</w:t>
            </w:r>
            <w:r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14F90" w:rsidRPr="00386CC4" w:rsidRDefault="00314F90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14F90" w:rsidRPr="00386CC4" w:rsidRDefault="00314F90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0.300</w:t>
            </w:r>
          </w:p>
        </w:tc>
      </w:tr>
      <w:tr w:rsidR="00314F90" w:rsidRPr="00386CC4" w:rsidTr="004E26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:rsidR="00314F90" w:rsidRPr="004E2614" w:rsidRDefault="00314F90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</w:t>
            </w:r>
            <w:r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60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14F90" w:rsidRPr="00386CC4" w:rsidRDefault="00314F90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14F90" w:rsidRPr="00386CC4" w:rsidRDefault="00314F90" w:rsidP="00450B22">
            <w:pPr>
              <w:tabs>
                <w:tab w:val="left" w:pos="7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</w:tr>
      <w:tr w:rsidR="00314F90" w:rsidRPr="00386CC4" w:rsidTr="004E2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</w:tcPr>
          <w:p w:rsidR="00314F90" w:rsidRPr="004E2614" w:rsidRDefault="00AE420B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b</w:t>
            </w:r>
            <w:r w:rsidR="00314F90"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</w:t>
            </w:r>
            <w:r w:rsidR="00314F90"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u</w:t>
            </w:r>
            <w:r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14F90" w:rsidRPr="00386CC4" w:rsidRDefault="00314F90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14F90" w:rsidRPr="00386CC4" w:rsidRDefault="00314F90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</w:tr>
      <w:tr w:rsidR="00314F90" w:rsidRPr="00386CC4" w:rsidTr="004E26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7F7F7F" w:themeColor="text1" w:themeTint="80"/>
            </w:tcBorders>
          </w:tcPr>
          <w:p w:rsidR="00314F90" w:rsidRPr="004E2614" w:rsidRDefault="00AE420B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c</w:t>
            </w:r>
            <w:r w:rsidR="00314F90"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</w:t>
            </w:r>
            <w:r w:rsidR="00314F90" w:rsidRPr="004E26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nil"/>
              <w:bottom w:val="single" w:sz="4" w:space="0" w:color="7F7F7F" w:themeColor="text1" w:themeTint="80"/>
            </w:tcBorders>
          </w:tcPr>
          <w:p w:rsidR="00314F90" w:rsidRPr="00386CC4" w:rsidRDefault="00314F90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</w:p>
        </w:tc>
        <w:tc>
          <w:tcPr>
            <w:tcW w:w="0" w:type="auto"/>
            <w:tcBorders>
              <w:top w:val="nil"/>
              <w:bottom w:val="single" w:sz="4" w:space="0" w:color="7F7F7F" w:themeColor="text1" w:themeTint="80"/>
            </w:tcBorders>
          </w:tcPr>
          <w:p w:rsidR="00314F90" w:rsidRPr="00386CC4" w:rsidRDefault="00314F90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</w:tr>
    </w:tbl>
    <w:p w:rsidR="00EF70E4" w:rsidRPr="004E2614" w:rsidRDefault="00026296" w:rsidP="00450B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6CC4">
        <w:rPr>
          <w:rFonts w:ascii="Times New Roman" w:hAnsi="Times New Roman" w:cs="Times New Roman"/>
          <w:sz w:val="20"/>
          <w:szCs w:val="20"/>
        </w:rPr>
        <w:tab/>
      </w:r>
      <w:r w:rsidR="004E261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F76439" w:rsidRPr="004E2614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="005118BE" w:rsidRPr="004E2614">
        <w:rPr>
          <w:rFonts w:ascii="Times New Roman" w:hAnsi="Times New Roman" w:cs="Times New Roman"/>
          <w:sz w:val="18"/>
          <w:szCs w:val="18"/>
        </w:rPr>
        <w:t>determine</w:t>
      </w:r>
      <w:r w:rsidR="00F76439" w:rsidRPr="004E2614">
        <w:rPr>
          <w:rFonts w:ascii="Times New Roman" w:hAnsi="Times New Roman" w:cs="Times New Roman"/>
          <w:sz w:val="18"/>
          <w:szCs w:val="18"/>
        </w:rPr>
        <w:t>d</w:t>
      </w:r>
      <w:r w:rsidR="005118BE" w:rsidRPr="004E2614">
        <w:rPr>
          <w:rFonts w:ascii="Times New Roman" w:hAnsi="Times New Roman" w:cs="Times New Roman"/>
          <w:sz w:val="18"/>
          <w:szCs w:val="18"/>
        </w:rPr>
        <w:t xml:space="preserve"> by </w:t>
      </w:r>
      <w:r w:rsidR="004E2614">
        <w:rPr>
          <w:rFonts w:ascii="Times New Roman" w:hAnsi="Times New Roman" w:cs="Times New Roman"/>
          <w:sz w:val="18"/>
          <w:szCs w:val="18"/>
        </w:rPr>
        <w:t xml:space="preserve">extrapolation, </w:t>
      </w:r>
      <w:r w:rsidR="00F76439" w:rsidRPr="004E2614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="00610E05" w:rsidRPr="004E2614">
        <w:rPr>
          <w:rFonts w:ascii="Times New Roman" w:hAnsi="Times New Roman" w:cs="Times New Roman"/>
          <w:sz w:val="18"/>
          <w:szCs w:val="18"/>
        </w:rPr>
        <w:t>greater than 4</w:t>
      </w:r>
      <w:r w:rsidR="004E2614">
        <w:rPr>
          <w:rFonts w:ascii="Times New Roman" w:hAnsi="Times New Roman" w:cs="Times New Roman"/>
          <w:sz w:val="18"/>
          <w:szCs w:val="18"/>
        </w:rPr>
        <w:t>,</w:t>
      </w:r>
      <w:r w:rsidR="00BD1D78" w:rsidRPr="004E2614">
        <w:rPr>
          <w:rFonts w:ascii="Times New Roman" w:hAnsi="Times New Roman" w:cs="Times New Roman"/>
          <w:sz w:val="18"/>
          <w:szCs w:val="18"/>
        </w:rPr>
        <w:t xml:space="preserve"> </w:t>
      </w:r>
      <w:r w:rsidR="00F76439" w:rsidRPr="004E2614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="00610E05" w:rsidRPr="004E2614">
        <w:rPr>
          <w:rFonts w:ascii="Times New Roman" w:hAnsi="Times New Roman" w:cs="Times New Roman"/>
          <w:sz w:val="18"/>
          <w:szCs w:val="18"/>
        </w:rPr>
        <w:t>between 1-3</w:t>
      </w:r>
    </w:p>
    <w:p w:rsidR="008708BC" w:rsidRPr="00386CC4" w:rsidRDefault="008708BC" w:rsidP="00450B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061" w:rsidRPr="00505835" w:rsidRDefault="00EF70E4" w:rsidP="00450B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5835">
        <w:rPr>
          <w:rFonts w:ascii="Times New Roman" w:hAnsi="Times New Roman" w:cs="Times New Roman"/>
          <w:b/>
          <w:sz w:val="20"/>
          <w:szCs w:val="20"/>
        </w:rPr>
        <w:t xml:space="preserve">Binder characterization by </w:t>
      </w:r>
      <w:r w:rsidR="004E2614">
        <w:rPr>
          <w:rFonts w:ascii="Times New Roman" w:hAnsi="Times New Roman" w:cs="Times New Roman"/>
          <w:b/>
          <w:sz w:val="20"/>
          <w:szCs w:val="20"/>
        </w:rPr>
        <w:t xml:space="preserve">Fourier transformation infrared </w:t>
      </w:r>
      <w:r w:rsidR="00766167" w:rsidRPr="00505835">
        <w:rPr>
          <w:rFonts w:ascii="Times New Roman" w:hAnsi="Times New Roman" w:cs="Times New Roman"/>
          <w:b/>
          <w:sz w:val="20"/>
          <w:szCs w:val="20"/>
        </w:rPr>
        <w:t>spectroscop</w:t>
      </w:r>
      <w:r w:rsidR="009D6EC1" w:rsidRPr="00505835">
        <w:rPr>
          <w:rFonts w:ascii="Times New Roman" w:hAnsi="Times New Roman" w:cs="Times New Roman"/>
          <w:b/>
          <w:sz w:val="20"/>
          <w:szCs w:val="20"/>
        </w:rPr>
        <w:t>y</w:t>
      </w:r>
    </w:p>
    <w:p w:rsidR="00382356" w:rsidRPr="00386CC4" w:rsidRDefault="004E65C5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 xml:space="preserve">There are evidences from X-ray diffraction (XRD) studies that </w:t>
      </w:r>
      <w:r w:rsidR="005A6BDB" w:rsidRPr="00386CC4">
        <w:rPr>
          <w:rFonts w:ascii="Times New Roman" w:hAnsi="Times New Roman" w:cs="Times New Roman"/>
          <w:sz w:val="20"/>
          <w:szCs w:val="20"/>
        </w:rPr>
        <w:t>peak intensities corresponding to calcite increases relative to the other minerals present in lime mortars as the sieve size decreases [</w:t>
      </w:r>
      <w:r w:rsidR="001F7D41" w:rsidRPr="00386CC4">
        <w:rPr>
          <w:rFonts w:ascii="Times New Roman" w:hAnsi="Times New Roman" w:cs="Times New Roman"/>
          <w:sz w:val="20"/>
          <w:szCs w:val="20"/>
        </w:rPr>
        <w:t>1</w:t>
      </w:r>
      <w:r w:rsidR="009D6785" w:rsidRPr="00386CC4">
        <w:rPr>
          <w:rFonts w:ascii="Times New Roman" w:hAnsi="Times New Roman" w:cs="Times New Roman"/>
          <w:sz w:val="20"/>
          <w:szCs w:val="20"/>
        </w:rPr>
        <w:t>8</w:t>
      </w:r>
      <w:r w:rsidR="005A6BDB" w:rsidRPr="00386CC4">
        <w:rPr>
          <w:rFonts w:ascii="Times New Roman" w:hAnsi="Times New Roman" w:cs="Times New Roman"/>
          <w:sz w:val="20"/>
          <w:szCs w:val="20"/>
        </w:rPr>
        <w:t>]. He</w:t>
      </w:r>
      <w:r w:rsidR="00752958" w:rsidRPr="00386CC4">
        <w:rPr>
          <w:rFonts w:ascii="Times New Roman" w:hAnsi="Times New Roman" w:cs="Times New Roman"/>
          <w:sz w:val="20"/>
          <w:szCs w:val="20"/>
        </w:rPr>
        <w:t>nce, the finest fraction which wa</w:t>
      </w:r>
      <w:r w:rsidR="005A6BDB" w:rsidRPr="00386CC4">
        <w:rPr>
          <w:rFonts w:ascii="Times New Roman" w:hAnsi="Times New Roman" w:cs="Times New Roman"/>
          <w:sz w:val="20"/>
          <w:szCs w:val="20"/>
        </w:rPr>
        <w:t xml:space="preserve">s </w:t>
      </w:r>
      <w:r w:rsidR="00752958" w:rsidRPr="00386CC4">
        <w:rPr>
          <w:rFonts w:ascii="Times New Roman" w:hAnsi="Times New Roman" w:cs="Times New Roman"/>
          <w:sz w:val="20"/>
          <w:szCs w:val="20"/>
        </w:rPr>
        <w:t>retained</w:t>
      </w:r>
      <w:r w:rsidR="005A6BDB" w:rsidRPr="00386CC4">
        <w:rPr>
          <w:rFonts w:ascii="Times New Roman" w:hAnsi="Times New Roman" w:cs="Times New Roman"/>
          <w:sz w:val="20"/>
          <w:szCs w:val="20"/>
        </w:rPr>
        <w:t xml:space="preserve"> in the </w:t>
      </w:r>
      <w:r w:rsidR="00752958" w:rsidRPr="00386CC4">
        <w:rPr>
          <w:rFonts w:ascii="Times New Roman" w:hAnsi="Times New Roman" w:cs="Times New Roman"/>
          <w:sz w:val="20"/>
          <w:szCs w:val="20"/>
        </w:rPr>
        <w:t>“</w:t>
      </w:r>
      <w:r w:rsidR="005A6BDB" w:rsidRPr="00386CC4">
        <w:rPr>
          <w:rFonts w:ascii="Times New Roman" w:hAnsi="Times New Roman" w:cs="Times New Roman"/>
          <w:sz w:val="20"/>
          <w:szCs w:val="20"/>
        </w:rPr>
        <w:t>pan</w:t>
      </w:r>
      <w:r w:rsidR="00752958" w:rsidRPr="00386CC4">
        <w:rPr>
          <w:rFonts w:ascii="Times New Roman" w:hAnsi="Times New Roman" w:cs="Times New Roman"/>
          <w:sz w:val="20"/>
          <w:szCs w:val="20"/>
        </w:rPr>
        <w:t>”</w:t>
      </w:r>
      <w:r w:rsidR="005A6BDB" w:rsidRPr="00386CC4">
        <w:rPr>
          <w:rFonts w:ascii="Times New Roman" w:hAnsi="Times New Roman" w:cs="Times New Roman"/>
          <w:sz w:val="20"/>
          <w:szCs w:val="20"/>
        </w:rPr>
        <w:t xml:space="preserve"> (&lt;0.075 mm) is considered to be the binder fraction and concentrated with CaCO</w:t>
      </w:r>
      <w:r w:rsidR="005A6BDB" w:rsidRPr="00386CC4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5A6BDB" w:rsidRPr="00386CC4">
        <w:rPr>
          <w:rFonts w:ascii="Times New Roman" w:hAnsi="Times New Roman" w:cs="Times New Roman"/>
          <w:sz w:val="20"/>
          <w:szCs w:val="20"/>
        </w:rPr>
        <w:t>.</w:t>
      </w:r>
      <w:r w:rsidR="0010358D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752958" w:rsidRPr="00386CC4">
        <w:rPr>
          <w:rFonts w:ascii="Times New Roman" w:hAnsi="Times New Roman" w:cs="Times New Roman"/>
          <w:sz w:val="20"/>
          <w:szCs w:val="20"/>
        </w:rPr>
        <w:t xml:space="preserve">Figure 4 shows the infrared spectrum of the mortar sample’s binder fractions (&lt;0.075) compared with pure calcium carbonate and pure silicon dioxide. </w:t>
      </w:r>
      <w:r w:rsidR="00752958" w:rsidRPr="00386CC4">
        <w:rPr>
          <w:rFonts w:ascii="Times New Roman" w:hAnsi="Times New Roman" w:cs="Times New Roman"/>
          <w:color w:val="auto"/>
          <w:sz w:val="20"/>
          <w:szCs w:val="20"/>
        </w:rPr>
        <w:t>These will serve as IR absorption standards for comparing the old lime mortar sample with sand (composed of SiO</w:t>
      </w:r>
      <w:r w:rsidR="00752958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752958" w:rsidRPr="00386CC4">
        <w:rPr>
          <w:rFonts w:ascii="Times New Roman" w:hAnsi="Times New Roman" w:cs="Times New Roman"/>
          <w:color w:val="auto"/>
          <w:sz w:val="20"/>
          <w:szCs w:val="20"/>
        </w:rPr>
        <w:t>) and lime (mainly contains CaCO</w:t>
      </w:r>
      <w:r w:rsidR="00752958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="00752958" w:rsidRPr="00386CC4">
        <w:rPr>
          <w:rFonts w:ascii="Times New Roman" w:hAnsi="Times New Roman" w:cs="Times New Roman"/>
          <w:color w:val="auto"/>
          <w:sz w:val="20"/>
          <w:szCs w:val="20"/>
        </w:rPr>
        <w:t>), respectively, which are raw materials in its manufacture</w:t>
      </w:r>
      <w:r w:rsidR="000768E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D43E1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For calcium carbonate, </w:t>
      </w:r>
      <w:r w:rsidR="000768EE" w:rsidRPr="00386CC4">
        <w:rPr>
          <w:rFonts w:ascii="Times New Roman" w:hAnsi="Times New Roman" w:cs="Times New Roman"/>
          <w:color w:val="auto"/>
          <w:sz w:val="20"/>
          <w:szCs w:val="20"/>
        </w:rPr>
        <w:t>the characteristic IR absorption peaks are the C-O in-plane bending (ʋ4) at 712 cm</w:t>
      </w:r>
      <w:r w:rsidR="000768EE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-1</w:t>
      </w:r>
      <w:r w:rsidR="000768E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and C-O out-of-plane bending (ʋ2) at 876 cm</w:t>
      </w:r>
      <w:r w:rsidR="000768EE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-1</w:t>
      </w:r>
      <w:r w:rsidR="000768E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These sharp peaks are suitable in determining the presence of </w:t>
      </w:r>
      <w:r w:rsidR="00BC36D2" w:rsidRPr="00386CC4">
        <w:rPr>
          <w:rFonts w:ascii="Times New Roman" w:hAnsi="Times New Roman" w:cs="Times New Roman"/>
          <w:color w:val="auto"/>
          <w:sz w:val="20"/>
          <w:szCs w:val="20"/>
        </w:rPr>
        <w:t>CaCO</w:t>
      </w:r>
      <w:r w:rsidR="00BC36D2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="000768E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because few compounds absorb strongly at this wavenumber. Furthermore, the broad peak at 1419 cm</w:t>
      </w:r>
      <w:r w:rsidR="000768EE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-1 </w:t>
      </w:r>
      <w:r w:rsidR="000768E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is attributed to the </w:t>
      </w:r>
      <w:r w:rsidR="00BC36D2" w:rsidRPr="00386CC4">
        <w:rPr>
          <w:rFonts w:ascii="Times New Roman" w:hAnsi="Times New Roman" w:cs="Times New Roman"/>
          <w:color w:val="auto"/>
          <w:sz w:val="20"/>
          <w:szCs w:val="20"/>
        </w:rPr>
        <w:t>C-O asymmetric stretching (ʋ3) of CaCO</w:t>
      </w:r>
      <w:r w:rsidR="00BC36D2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="00C225F6" w:rsidRPr="00386CC4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BB6C1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86062" w:rsidRPr="00386CC4">
        <w:rPr>
          <w:rFonts w:ascii="Times New Roman" w:hAnsi="Times New Roman" w:cs="Times New Roman"/>
          <w:color w:val="auto"/>
          <w:sz w:val="20"/>
          <w:szCs w:val="20"/>
        </w:rPr>
        <w:t>The most intense absorption bands of silicon dioxide a</w:t>
      </w:r>
      <w:r w:rsidR="00124C1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re centered at </w:t>
      </w:r>
      <w:r w:rsidR="00086062" w:rsidRPr="00386CC4">
        <w:rPr>
          <w:rFonts w:ascii="Times New Roman" w:hAnsi="Times New Roman" w:cs="Times New Roman"/>
          <w:color w:val="auto"/>
          <w:sz w:val="20"/>
          <w:szCs w:val="20"/>
        </w:rPr>
        <w:t>1082 cm</w:t>
      </w:r>
      <w:r w:rsidR="00086062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-1 </w:t>
      </w:r>
      <w:r w:rsidR="00124C13" w:rsidRPr="00386CC4">
        <w:rPr>
          <w:rFonts w:ascii="Times New Roman" w:hAnsi="Times New Roman" w:cs="Times New Roman"/>
          <w:color w:val="auto"/>
          <w:sz w:val="20"/>
          <w:szCs w:val="20"/>
        </w:rPr>
        <w:t>assigned to the a</w:t>
      </w:r>
      <w:r w:rsidR="0008606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symmetric stretching mode </w:t>
      </w:r>
      <w:r w:rsidR="00124C1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of Si-O-Si, </w:t>
      </w:r>
      <w:r w:rsidR="00086062" w:rsidRPr="00386CC4">
        <w:rPr>
          <w:rFonts w:ascii="Times New Roman" w:hAnsi="Times New Roman" w:cs="Times New Roman"/>
          <w:color w:val="auto"/>
          <w:sz w:val="20"/>
          <w:szCs w:val="20"/>
        </w:rPr>
        <w:t>795 cm</w:t>
      </w:r>
      <w:r w:rsidR="00086062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-1 </w:t>
      </w:r>
      <w:r w:rsidR="00124C1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which is the symmetric </w:t>
      </w:r>
      <w:r w:rsidR="0008606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stretching mode </w:t>
      </w:r>
      <w:r w:rsidR="00124C1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of </w:t>
      </w:r>
      <w:r w:rsidR="00086062" w:rsidRPr="00386CC4">
        <w:rPr>
          <w:rFonts w:ascii="Times New Roman" w:hAnsi="Times New Roman" w:cs="Times New Roman"/>
          <w:color w:val="auto"/>
          <w:sz w:val="20"/>
          <w:szCs w:val="20"/>
        </w:rPr>
        <w:t>Si-O-Si and</w:t>
      </w:r>
      <w:r w:rsidR="00124C1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the bending vibrations of Si-O-Si </w:t>
      </w:r>
      <w:r w:rsidR="00086062" w:rsidRPr="00386CC4">
        <w:rPr>
          <w:rFonts w:ascii="Times New Roman" w:hAnsi="Times New Roman" w:cs="Times New Roman"/>
          <w:color w:val="auto"/>
          <w:sz w:val="20"/>
          <w:szCs w:val="20"/>
        </w:rPr>
        <w:t>centered at 463 cm</w:t>
      </w:r>
      <w:r w:rsidR="00124C13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-1</w:t>
      </w:r>
      <w:r w:rsidR="00124C13" w:rsidRPr="00386CC4">
        <w:rPr>
          <w:rFonts w:ascii="Times New Roman" w:hAnsi="Times New Roman" w:cs="Times New Roman"/>
          <w:color w:val="auto"/>
          <w:sz w:val="20"/>
          <w:szCs w:val="20"/>
        </w:rPr>
        <w:t>, respectively [</w:t>
      </w:r>
      <w:r w:rsidR="009D6785" w:rsidRPr="00386CC4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1F7D41" w:rsidRPr="00386CC4">
        <w:rPr>
          <w:rFonts w:ascii="Times New Roman" w:hAnsi="Times New Roman" w:cs="Times New Roman"/>
          <w:color w:val="auto"/>
          <w:sz w:val="20"/>
          <w:szCs w:val="20"/>
        </w:rPr>
        <w:t>,2</w:t>
      </w:r>
      <w:r w:rsidR="009D6785" w:rsidRPr="00386CC4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124C1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]. Based on the IR spectrum </w:t>
      </w:r>
      <w:r w:rsidR="002E514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in Figure 4, </w:t>
      </w:r>
      <w:r w:rsidR="00124C1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binder </w:t>
      </w:r>
      <w:r w:rsidR="002E514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fractions from both mortar samples have </w:t>
      </w:r>
      <w:r w:rsidR="00382356" w:rsidRPr="00386CC4">
        <w:rPr>
          <w:rFonts w:ascii="Times New Roman" w:hAnsi="Times New Roman" w:cs="Times New Roman"/>
          <w:color w:val="auto"/>
          <w:sz w:val="20"/>
          <w:szCs w:val="20"/>
        </w:rPr>
        <w:t>absorption peaks that are very similar</w:t>
      </w:r>
      <w:r w:rsidR="009E502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8235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with </w:t>
      </w:r>
      <w:r w:rsidR="009E5024" w:rsidRPr="00386CC4">
        <w:rPr>
          <w:rFonts w:ascii="Times New Roman" w:hAnsi="Times New Roman" w:cs="Times New Roman"/>
          <w:color w:val="auto"/>
          <w:sz w:val="20"/>
          <w:szCs w:val="20"/>
        </w:rPr>
        <w:t>the bands of</w:t>
      </w:r>
      <w:r w:rsidR="002E514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calcium carbonate</w:t>
      </w:r>
      <w:r w:rsidR="005E6FB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The absence of </w:t>
      </w:r>
      <w:r w:rsidR="00382356" w:rsidRPr="00386CC4">
        <w:rPr>
          <w:rFonts w:ascii="Times New Roman" w:hAnsi="Times New Roman" w:cs="Times New Roman"/>
          <w:color w:val="auto"/>
          <w:sz w:val="20"/>
          <w:szCs w:val="20"/>
        </w:rPr>
        <w:t>peaks</w:t>
      </w:r>
      <w:r w:rsidR="005E6FB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8235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attributed to </w:t>
      </w:r>
      <w:r w:rsidR="005E6FB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silicon dioxide </w:t>
      </w:r>
      <w:r w:rsidR="00382356" w:rsidRPr="00386CC4">
        <w:rPr>
          <w:rFonts w:ascii="Times New Roman" w:hAnsi="Times New Roman" w:cs="Times New Roman"/>
          <w:color w:val="auto"/>
          <w:sz w:val="20"/>
          <w:szCs w:val="20"/>
        </w:rPr>
        <w:t>confirms that the binder fraction in the mortar sample is purely CaCO</w:t>
      </w:r>
      <w:r w:rsidR="00382356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="00382356" w:rsidRPr="00386CC4">
        <w:rPr>
          <w:rFonts w:ascii="Times New Roman" w:hAnsi="Times New Roman" w:cs="Times New Roman"/>
          <w:color w:val="auto"/>
          <w:sz w:val="20"/>
          <w:szCs w:val="20"/>
        </w:rPr>
        <w:t>. Hence, this fraction was targe</w:t>
      </w:r>
      <w:r w:rsidR="001F7D4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ted for digestion with acid and </w:t>
      </w:r>
      <w:r w:rsidR="00382356" w:rsidRPr="00386CC4">
        <w:rPr>
          <w:rFonts w:ascii="Times New Roman" w:hAnsi="Times New Roman" w:cs="Times New Roman"/>
          <w:color w:val="auto"/>
          <w:sz w:val="20"/>
          <w:szCs w:val="20"/>
        </w:rPr>
        <w:t>titrated with EDTA and KMnO</w:t>
      </w:r>
      <w:r w:rsidR="00382356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38235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to determine the calcium content. </w:t>
      </w:r>
    </w:p>
    <w:p w:rsidR="00791F13" w:rsidRPr="00386CC4" w:rsidRDefault="00791F13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791F13" w:rsidRDefault="00791F13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noProof/>
          <w:color w:val="auto"/>
          <w:sz w:val="20"/>
          <w:szCs w:val="20"/>
          <w:lang w:val="en-US"/>
        </w:rPr>
        <w:drawing>
          <wp:inline distT="0" distB="0" distL="0" distR="0" wp14:anchorId="4C48B8F5" wp14:editId="1CEC7E33">
            <wp:extent cx="4610100" cy="2624509"/>
            <wp:effectExtent l="19050" t="19050" r="19050" b="2349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33" cy="26257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05955" w:rsidRPr="00386CC4" w:rsidRDefault="00905955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BA7014" w:rsidRPr="00386CC4" w:rsidRDefault="00BA7014" w:rsidP="0090595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 xml:space="preserve">Figure </w:t>
      </w:r>
      <w:r w:rsidR="005A6BDB" w:rsidRPr="00386CC4">
        <w:rPr>
          <w:rFonts w:ascii="Times New Roman" w:hAnsi="Times New Roman" w:cs="Times New Roman"/>
          <w:sz w:val="20"/>
          <w:szCs w:val="20"/>
        </w:rPr>
        <w:t xml:space="preserve">4. </w:t>
      </w:r>
      <w:r w:rsidRPr="00386CC4">
        <w:rPr>
          <w:rFonts w:ascii="Times New Roman" w:hAnsi="Times New Roman" w:cs="Times New Roman"/>
          <w:sz w:val="20"/>
          <w:szCs w:val="20"/>
        </w:rPr>
        <w:t xml:space="preserve">Spectrum </w:t>
      </w:r>
      <w:r w:rsidR="005A6BDB" w:rsidRPr="00386CC4">
        <w:rPr>
          <w:rFonts w:ascii="Times New Roman" w:hAnsi="Times New Roman" w:cs="Times New Roman"/>
          <w:sz w:val="20"/>
          <w:szCs w:val="20"/>
        </w:rPr>
        <w:t>of m</w:t>
      </w:r>
      <w:r w:rsidR="00F722B5" w:rsidRPr="00386CC4">
        <w:rPr>
          <w:rFonts w:ascii="Times New Roman" w:hAnsi="Times New Roman" w:cs="Times New Roman"/>
          <w:sz w:val="20"/>
          <w:szCs w:val="20"/>
        </w:rPr>
        <w:t xml:space="preserve">ortar fractions retained in pan (&lt;0.075 mm) taken at </w:t>
      </w:r>
      <w:r w:rsidR="005A6BDB" w:rsidRPr="00386CC4">
        <w:rPr>
          <w:rFonts w:ascii="Times New Roman" w:hAnsi="Times New Roman" w:cs="Times New Roman"/>
          <w:sz w:val="20"/>
          <w:szCs w:val="20"/>
        </w:rPr>
        <w:t xml:space="preserve">finger print region </w:t>
      </w:r>
      <w:r w:rsidR="0090595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A6BDB" w:rsidRPr="00386CC4">
        <w:rPr>
          <w:rFonts w:ascii="Times New Roman" w:hAnsi="Times New Roman" w:cs="Times New Roman"/>
          <w:sz w:val="20"/>
          <w:szCs w:val="20"/>
        </w:rPr>
        <w:t>(2400</w:t>
      </w:r>
      <w:r w:rsidR="00905955">
        <w:rPr>
          <w:rFonts w:ascii="Times New Roman" w:hAnsi="Times New Roman" w:cs="Times New Roman"/>
          <w:sz w:val="20"/>
          <w:szCs w:val="20"/>
        </w:rPr>
        <w:t xml:space="preserve"> – </w:t>
      </w:r>
      <w:r w:rsidR="005A6BDB" w:rsidRPr="00386CC4">
        <w:rPr>
          <w:rFonts w:ascii="Times New Roman" w:hAnsi="Times New Roman" w:cs="Times New Roman"/>
          <w:sz w:val="20"/>
          <w:szCs w:val="20"/>
        </w:rPr>
        <w:t>400</w:t>
      </w:r>
      <w:r w:rsidR="00905955">
        <w:rPr>
          <w:rFonts w:ascii="Times New Roman" w:hAnsi="Times New Roman" w:cs="Times New Roman"/>
          <w:sz w:val="20"/>
          <w:szCs w:val="20"/>
        </w:rPr>
        <w:t xml:space="preserve"> </w:t>
      </w:r>
      <w:r w:rsidR="005A6BDB" w:rsidRPr="00386CC4">
        <w:rPr>
          <w:rFonts w:ascii="Times New Roman" w:hAnsi="Times New Roman" w:cs="Times New Roman"/>
          <w:sz w:val="20"/>
          <w:szCs w:val="20"/>
        </w:rPr>
        <w:t>cm</w:t>
      </w:r>
      <w:r w:rsidR="005A6BDB" w:rsidRPr="00386CC4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FE5400" w:rsidRPr="00386CC4">
        <w:rPr>
          <w:rFonts w:ascii="Times New Roman" w:hAnsi="Times New Roman" w:cs="Times New Roman"/>
          <w:sz w:val="20"/>
          <w:szCs w:val="20"/>
        </w:rPr>
        <w:t>)</w:t>
      </w:r>
    </w:p>
    <w:p w:rsidR="00FE5400" w:rsidRPr="00505835" w:rsidRDefault="00FE5400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6DF" w:rsidRPr="00505835" w:rsidRDefault="007112C4" w:rsidP="00450B22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5835">
        <w:rPr>
          <w:rFonts w:ascii="Times New Roman" w:hAnsi="Times New Roman" w:cs="Times New Roman"/>
          <w:b/>
          <w:color w:val="auto"/>
          <w:sz w:val="20"/>
          <w:szCs w:val="20"/>
        </w:rPr>
        <w:t>Analysis of EDTA t</w:t>
      </w:r>
      <w:r w:rsidR="0070089C" w:rsidRPr="00505835">
        <w:rPr>
          <w:rFonts w:ascii="Times New Roman" w:hAnsi="Times New Roman" w:cs="Times New Roman"/>
          <w:b/>
          <w:color w:val="auto"/>
          <w:sz w:val="20"/>
          <w:szCs w:val="20"/>
        </w:rPr>
        <w:t>itration</w:t>
      </w:r>
    </w:p>
    <w:p w:rsidR="005256DF" w:rsidRPr="00386CC4" w:rsidRDefault="002C47AC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mean value obtained from the standardization </w:t>
      </w:r>
      <w:r w:rsidR="00610BF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of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EDTA solution using pure analytical grade CaCO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="008430B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was </w:t>
      </w:r>
      <w:r w:rsidR="00724DB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4743 ± 132.9 µM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at 95% confidence </w:t>
      </w:r>
      <w:r w:rsidR="00BF6D76" w:rsidRPr="00386CC4">
        <w:rPr>
          <w:rFonts w:ascii="Times New Roman" w:hAnsi="Times New Roman" w:cs="Times New Roman"/>
          <w:color w:val="auto"/>
          <w:sz w:val="20"/>
          <w:szCs w:val="20"/>
        </w:rPr>
        <w:t>level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. The standard</w:t>
      </w:r>
      <w:r w:rsidR="00610BF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deviation of 1.49</w:t>
      </w:r>
      <w:r w:rsidR="0090595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10BF9" w:rsidRPr="00386CC4">
        <w:rPr>
          <w:rFonts w:ascii="Times New Roman" w:hAnsi="Times New Roman" w:cs="Times New Roman"/>
          <w:color w:val="auto"/>
          <w:sz w:val="20"/>
          <w:szCs w:val="20"/>
        </w:rPr>
        <w:t>x</w:t>
      </w:r>
      <w:r w:rsidR="0090595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10BF9" w:rsidRPr="00386CC4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="00610BF9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-5 </w:t>
      </w:r>
      <w:r w:rsidR="00610BF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indicates that the </w:t>
      </w:r>
      <w:r w:rsidR="004624F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concentration </w:t>
      </w:r>
      <w:r w:rsidR="006F188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of each trial run is </w:t>
      </w:r>
      <w:r w:rsidR="00610BF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precise. From this standardized EDTA concentration, mortar samples from Misamis Oriental and Metro Manila were titrated. </w:t>
      </w:r>
      <w:r w:rsidR="00926EA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Results show that calcium content </w:t>
      </w:r>
      <w:r w:rsidR="001C3AD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of </w:t>
      </w:r>
      <w:r w:rsidR="006F188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1C3ADF" w:rsidRPr="00386CC4">
        <w:rPr>
          <w:rFonts w:ascii="Times New Roman" w:hAnsi="Times New Roman" w:cs="Times New Roman"/>
          <w:color w:val="auto"/>
          <w:sz w:val="20"/>
          <w:szCs w:val="20"/>
        </w:rPr>
        <w:t>binder fraction</w:t>
      </w:r>
      <w:r w:rsidR="00905955">
        <w:rPr>
          <w:rFonts w:ascii="Times New Roman" w:hAnsi="Times New Roman" w:cs="Times New Roman"/>
          <w:color w:val="auto"/>
          <w:sz w:val="20"/>
          <w:szCs w:val="20"/>
        </w:rPr>
        <w:t xml:space="preserve"> for Metro Manila </w:t>
      </w:r>
      <w:r w:rsidR="00905955">
        <w:rPr>
          <w:rFonts w:ascii="Times New Roman" w:hAnsi="Times New Roman" w:cs="Times New Roman"/>
          <w:color w:val="auto"/>
          <w:sz w:val="20"/>
          <w:szCs w:val="20"/>
        </w:rPr>
        <w:lastRenderedPageBreak/>
        <w:t>sample (73.54</w:t>
      </w:r>
      <w:r w:rsidR="001C3AD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%) is higher compared to the Misamis Oriental </w:t>
      </w:r>
      <w:r w:rsidR="006F188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sample (59.60%), representing </w:t>
      </w:r>
      <w:r w:rsidR="000343D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 difference of 13.94%. </w:t>
      </w:r>
      <w:r w:rsidR="001C3ADF" w:rsidRPr="00386CC4">
        <w:rPr>
          <w:rFonts w:ascii="Times New Roman" w:hAnsi="Times New Roman" w:cs="Times New Roman"/>
          <w:color w:val="auto"/>
          <w:sz w:val="20"/>
          <w:szCs w:val="20"/>
        </w:rPr>
        <w:t>This implies that the li</w:t>
      </w:r>
      <w:r w:rsidR="006F188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me material used for making </w:t>
      </w:r>
      <w:r w:rsidR="001C3ADF" w:rsidRPr="00386CC4">
        <w:rPr>
          <w:rFonts w:ascii="Times New Roman" w:hAnsi="Times New Roman" w:cs="Times New Roman"/>
          <w:color w:val="auto"/>
          <w:sz w:val="20"/>
          <w:szCs w:val="20"/>
        </w:rPr>
        <w:t>mortar</w:t>
      </w:r>
      <w:r w:rsidR="006F188C" w:rsidRPr="00386CC4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1C3AD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</w:t>
      </w:r>
      <w:r w:rsidR="006F188C" w:rsidRPr="00386CC4">
        <w:rPr>
          <w:rFonts w:ascii="Times New Roman" w:hAnsi="Times New Roman" w:cs="Times New Roman"/>
          <w:color w:val="auto"/>
          <w:sz w:val="20"/>
          <w:szCs w:val="20"/>
        </w:rPr>
        <w:t>ere</w:t>
      </w:r>
      <w:r w:rsidR="001C3AD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so</w:t>
      </w:r>
      <w:r w:rsidR="00461AC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urced from different </w:t>
      </w:r>
      <w:r w:rsidR="009C25D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locations which </w:t>
      </w:r>
      <w:r w:rsidR="006F188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is highly possible </w:t>
      </w:r>
      <w:r w:rsidR="00D84CB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because </w:t>
      </w:r>
      <w:r w:rsidR="000343D5" w:rsidRPr="00386CC4">
        <w:rPr>
          <w:rFonts w:ascii="Times New Roman" w:hAnsi="Times New Roman" w:cs="Times New Roman"/>
          <w:color w:val="auto"/>
          <w:sz w:val="20"/>
          <w:szCs w:val="20"/>
        </w:rPr>
        <w:t>the church ruins</w:t>
      </w:r>
      <w:r w:rsidR="009C25D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343D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are </w:t>
      </w:r>
      <w:r w:rsidR="009C25D9" w:rsidRPr="00386CC4">
        <w:rPr>
          <w:rFonts w:ascii="Times New Roman" w:hAnsi="Times New Roman" w:cs="Times New Roman"/>
          <w:color w:val="auto"/>
          <w:sz w:val="20"/>
          <w:szCs w:val="20"/>
        </w:rPr>
        <w:t>geographically apart.</w:t>
      </w:r>
      <w:r w:rsidR="00D84CB3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Absence of direct trade of raw materials between Metro Manila and Misamis Oriental was also inferred.</w:t>
      </w:r>
      <w:r w:rsidR="000343D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F188C" w:rsidRPr="00386CC4">
        <w:rPr>
          <w:rFonts w:ascii="Times New Roman" w:hAnsi="Times New Roman" w:cs="Times New Roman"/>
          <w:color w:val="auto"/>
          <w:sz w:val="20"/>
          <w:szCs w:val="20"/>
        </w:rPr>
        <w:t>Moreover, d</w:t>
      </w:r>
      <w:r w:rsidR="000343D5" w:rsidRPr="00386CC4">
        <w:rPr>
          <w:rFonts w:ascii="Times New Roman" w:hAnsi="Times New Roman" w:cs="Times New Roman"/>
          <w:color w:val="auto"/>
          <w:sz w:val="20"/>
          <w:szCs w:val="20"/>
        </w:rPr>
        <w:t>ifference in mortar preparation techniques may contribute to th</w:t>
      </w:r>
      <w:r w:rsidR="007430C1" w:rsidRPr="00386CC4">
        <w:rPr>
          <w:rFonts w:ascii="Times New Roman" w:hAnsi="Times New Roman" w:cs="Times New Roman"/>
          <w:color w:val="auto"/>
          <w:sz w:val="20"/>
          <w:szCs w:val="20"/>
        </w:rPr>
        <w:t>is variation</w:t>
      </w:r>
      <w:r w:rsidR="005256D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9C25D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Since the Misamis Oriental </w:t>
      </w:r>
      <w:r w:rsidR="006F188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church ruin </w:t>
      </w:r>
      <w:r w:rsidR="009C25D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is located on a promontory, </w:t>
      </w:r>
      <w:r w:rsidR="00B9100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probably </w:t>
      </w:r>
      <w:r w:rsidR="009C25D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sea shells or corals may have been used as sources of lime which </w:t>
      </w:r>
      <w:r w:rsidR="004026C5" w:rsidRPr="00386CC4">
        <w:rPr>
          <w:rFonts w:ascii="Times New Roman" w:hAnsi="Times New Roman" w:cs="Times New Roman"/>
          <w:color w:val="auto"/>
          <w:sz w:val="20"/>
          <w:szCs w:val="20"/>
        </w:rPr>
        <w:t>accounts</w:t>
      </w:r>
      <w:r w:rsidR="009C25D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91009" w:rsidRPr="00386CC4">
        <w:rPr>
          <w:rFonts w:ascii="Times New Roman" w:hAnsi="Times New Roman" w:cs="Times New Roman"/>
          <w:color w:val="auto"/>
          <w:sz w:val="20"/>
          <w:szCs w:val="20"/>
        </w:rPr>
        <w:t>to</w:t>
      </w:r>
      <w:r w:rsidR="009C25D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the observed difference. </w:t>
      </w:r>
    </w:p>
    <w:p w:rsidR="005A28E6" w:rsidRPr="00386CC4" w:rsidRDefault="005A28E6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03A5A" w:rsidRPr="00386CC4" w:rsidRDefault="005256DF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Table 2 shows the important parameters used to determine the percentage of calcium in the Misamis Oriental sample. </w:t>
      </w:r>
      <w:r w:rsidR="0024500D" w:rsidRPr="00386CC4">
        <w:rPr>
          <w:rFonts w:ascii="Times New Roman" w:hAnsi="Times New Roman" w:cs="Times New Roman"/>
          <w:color w:val="auto"/>
          <w:sz w:val="20"/>
          <w:szCs w:val="20"/>
        </w:rPr>
        <w:t>B</w:t>
      </w:r>
      <w:r w:rsidR="005A28E6" w:rsidRPr="00386CC4">
        <w:rPr>
          <w:rFonts w:ascii="Times New Roman" w:hAnsi="Times New Roman" w:cs="Times New Roman"/>
          <w:color w:val="auto"/>
          <w:sz w:val="20"/>
          <w:szCs w:val="20"/>
        </w:rPr>
        <w:t>inder fraction</w:t>
      </w:r>
      <w:r w:rsidR="0024500D" w:rsidRPr="00386CC4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5A28E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in mortar</w:t>
      </w:r>
      <w:r w:rsidR="00B91009" w:rsidRPr="00386CC4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5A28E6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are expected to be homogenously mixed</w:t>
      </w:r>
      <w:r w:rsidR="007430C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[1, 5</w:t>
      </w:r>
      <w:r w:rsidR="00B91009" w:rsidRPr="00386CC4">
        <w:rPr>
          <w:rFonts w:ascii="Times New Roman" w:hAnsi="Times New Roman" w:cs="Times New Roman"/>
          <w:color w:val="auto"/>
          <w:sz w:val="20"/>
          <w:szCs w:val="20"/>
        </w:rPr>
        <w:t>]</w:t>
      </w:r>
      <w:r w:rsidR="00FA4615" w:rsidRPr="00386CC4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B9100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A4615" w:rsidRPr="00386CC4">
        <w:rPr>
          <w:rFonts w:ascii="Times New Roman" w:hAnsi="Times New Roman" w:cs="Times New Roman"/>
          <w:color w:val="auto"/>
          <w:sz w:val="20"/>
          <w:szCs w:val="20"/>
        </w:rPr>
        <w:t>T</w:t>
      </w:r>
      <w:r w:rsidR="004026C5" w:rsidRPr="00386CC4">
        <w:rPr>
          <w:rFonts w:ascii="Times New Roman" w:hAnsi="Times New Roman" w:cs="Times New Roman"/>
          <w:color w:val="auto"/>
          <w:sz w:val="20"/>
          <w:szCs w:val="20"/>
        </w:rPr>
        <w:t>herefore</w:t>
      </w:r>
      <w:r w:rsidR="00FA4615" w:rsidRPr="00386CC4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4026C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 95% confidence </w:t>
      </w:r>
      <w:r w:rsidR="00BF6D76" w:rsidRPr="00386CC4">
        <w:rPr>
          <w:rFonts w:ascii="Times New Roman" w:hAnsi="Times New Roman" w:cs="Times New Roman"/>
          <w:color w:val="auto"/>
          <w:sz w:val="20"/>
          <w:szCs w:val="20"/>
        </w:rPr>
        <w:t>level</w:t>
      </w:r>
      <w:r w:rsidR="004026C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9100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for the mean calcium content of </w:t>
      </w:r>
      <w:r w:rsidR="004026C5" w:rsidRPr="00386CC4">
        <w:rPr>
          <w:rFonts w:ascii="Times New Roman" w:hAnsi="Times New Roman" w:cs="Times New Roman"/>
          <w:color w:val="auto"/>
          <w:sz w:val="20"/>
          <w:szCs w:val="20"/>
        </w:rPr>
        <w:t>59.60% ± 4.64 gives a</w:t>
      </w:r>
      <w:r w:rsidR="00FA461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9100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range of </w:t>
      </w:r>
      <w:r w:rsidR="004026C5" w:rsidRPr="00386CC4">
        <w:rPr>
          <w:rFonts w:ascii="Times New Roman" w:hAnsi="Times New Roman" w:cs="Times New Roman"/>
          <w:color w:val="auto"/>
          <w:sz w:val="20"/>
          <w:szCs w:val="20"/>
        </w:rPr>
        <w:t>54.96% to 64.24%</w:t>
      </w:r>
      <w:r w:rsidR="00B9100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This percentage represents </w:t>
      </w:r>
      <w:r w:rsidR="00FA461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true amount of calcium in the entire </w:t>
      </w:r>
      <w:r w:rsidR="00B9100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mortar sample obtained from the site. </w:t>
      </w:r>
      <w:r w:rsidR="00303A5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percentage calcium from each trial is also within the 95% confidence limits. </w:t>
      </w:r>
      <w:r w:rsidR="005447A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Since the coefficient of variation is 3.14%, which is less than </w:t>
      </w:r>
      <w:r w:rsidR="00303A5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acceptable percentage of </w:t>
      </w:r>
      <w:r w:rsidR="005447A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5%, </w:t>
      </w:r>
      <w:r w:rsidR="00303A5A" w:rsidRPr="00386CC4">
        <w:rPr>
          <w:rFonts w:ascii="Times New Roman" w:hAnsi="Times New Roman" w:cs="Times New Roman"/>
          <w:color w:val="auto"/>
          <w:sz w:val="20"/>
          <w:szCs w:val="20"/>
        </w:rPr>
        <w:t>the values from this</w:t>
      </w:r>
      <w:r w:rsidR="005447A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titration are consi</w:t>
      </w:r>
      <w:r w:rsidR="007430C1" w:rsidRPr="00386CC4">
        <w:rPr>
          <w:rFonts w:ascii="Times New Roman" w:hAnsi="Times New Roman" w:cs="Times New Roman"/>
          <w:color w:val="auto"/>
          <w:sz w:val="20"/>
          <w:szCs w:val="20"/>
        </w:rPr>
        <w:t>dered precise [22</w:t>
      </w:r>
      <w:r w:rsidR="005447A5" w:rsidRPr="00386CC4">
        <w:rPr>
          <w:rFonts w:ascii="Times New Roman" w:hAnsi="Times New Roman" w:cs="Times New Roman"/>
          <w:color w:val="auto"/>
          <w:sz w:val="20"/>
          <w:szCs w:val="20"/>
        </w:rPr>
        <w:t>].</w:t>
      </w:r>
    </w:p>
    <w:p w:rsidR="009401EA" w:rsidRPr="00386CC4" w:rsidRDefault="009401EA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447A5" w:rsidRDefault="005447A5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Table 2. Calcium content of Misamis Oriental sample using EDTA</w:t>
      </w:r>
    </w:p>
    <w:p w:rsidR="00905955" w:rsidRPr="00386CC4" w:rsidRDefault="00905955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PlainTable2"/>
        <w:tblW w:w="8959" w:type="dxa"/>
        <w:jc w:val="center"/>
        <w:tblLook w:val="04A0" w:firstRow="1" w:lastRow="0" w:firstColumn="1" w:lastColumn="0" w:noHBand="0" w:noVBand="1"/>
      </w:tblPr>
      <w:tblGrid>
        <w:gridCol w:w="1224"/>
        <w:gridCol w:w="650"/>
        <w:gridCol w:w="1708"/>
        <w:gridCol w:w="1692"/>
        <w:gridCol w:w="997"/>
        <w:gridCol w:w="1138"/>
        <w:gridCol w:w="1550"/>
      </w:tblGrid>
      <w:tr w:rsidR="005447A5" w:rsidRPr="00386CC4" w:rsidTr="00105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47A5" w:rsidRPr="00386CC4" w:rsidRDefault="00105E17" w:rsidP="00450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Mass of Mortar S</w:t>
            </w:r>
            <w:r w:rsidR="005447A5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ample (g)</w:t>
            </w:r>
          </w:p>
        </w:tc>
        <w:tc>
          <w:tcPr>
            <w:tcW w:w="0" w:type="auto"/>
          </w:tcPr>
          <w:p w:rsidR="005447A5" w:rsidRPr="00386CC4" w:rsidRDefault="005447A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Trial</w:t>
            </w:r>
          </w:p>
        </w:tc>
        <w:tc>
          <w:tcPr>
            <w:tcW w:w="1708" w:type="dxa"/>
          </w:tcPr>
          <w:p w:rsidR="005447A5" w:rsidRPr="00386CC4" w:rsidRDefault="00105E17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Volume of EDTA Consumed </w:t>
            </w:r>
            <w:r w:rsidR="005447A5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(mL)</w:t>
            </w:r>
          </w:p>
        </w:tc>
        <w:tc>
          <w:tcPr>
            <w:tcW w:w="0" w:type="auto"/>
          </w:tcPr>
          <w:p w:rsidR="005447A5" w:rsidRPr="00386CC4" w:rsidRDefault="005447A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Concentration of Ca (ppm)</w:t>
            </w:r>
          </w:p>
        </w:tc>
        <w:tc>
          <w:tcPr>
            <w:tcW w:w="0" w:type="auto"/>
          </w:tcPr>
          <w:p w:rsidR="005447A5" w:rsidRPr="00386CC4" w:rsidRDefault="005447A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Mass of Ca (g)</w:t>
            </w:r>
          </w:p>
        </w:tc>
        <w:tc>
          <w:tcPr>
            <w:tcW w:w="0" w:type="auto"/>
          </w:tcPr>
          <w:p w:rsidR="005447A5" w:rsidRPr="00386CC4" w:rsidRDefault="00105E17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Ca (w/w) in S</w:t>
            </w:r>
            <w:r w:rsidR="005447A5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ample</w:t>
            </w:r>
          </w:p>
        </w:tc>
        <w:tc>
          <w:tcPr>
            <w:tcW w:w="0" w:type="auto"/>
          </w:tcPr>
          <w:p w:rsidR="005447A5" w:rsidRPr="00386CC4" w:rsidRDefault="005447A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Mean (w/w) and </w:t>
            </w:r>
            <w:r w:rsid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Standard D</w:t>
            </w: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eviation</w:t>
            </w:r>
          </w:p>
        </w:tc>
      </w:tr>
      <w:tr w:rsidR="005447A5" w:rsidRPr="00386CC4" w:rsidTr="00105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bottom w:val="nil"/>
            </w:tcBorders>
          </w:tcPr>
          <w:p w:rsidR="005447A5" w:rsidRPr="00905955" w:rsidRDefault="005447A5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0.1079</w:t>
            </w:r>
          </w:p>
        </w:tc>
        <w:tc>
          <w:tcPr>
            <w:tcW w:w="0" w:type="auto"/>
            <w:tcBorders>
              <w:bottom w:val="nil"/>
            </w:tcBorders>
          </w:tcPr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bottom w:val="nil"/>
            </w:tcBorders>
          </w:tcPr>
          <w:p w:rsidR="005447A5" w:rsidRPr="00386CC4" w:rsidRDefault="005447A5" w:rsidP="00450B22">
            <w:pPr>
              <w:tabs>
                <w:tab w:val="clear" w:pos="720"/>
                <w:tab w:val="left" w:pos="-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32.70</w:t>
            </w:r>
          </w:p>
        </w:tc>
        <w:tc>
          <w:tcPr>
            <w:tcW w:w="0" w:type="auto"/>
            <w:tcBorders>
              <w:bottom w:val="nil"/>
            </w:tcBorders>
          </w:tcPr>
          <w:p w:rsidR="005447A5" w:rsidRPr="00386CC4" w:rsidRDefault="005447A5" w:rsidP="00450B22">
            <w:pPr>
              <w:tabs>
                <w:tab w:val="clear" w:pos="720"/>
                <w:tab w:val="left" w:pos="-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248.62</w:t>
            </w:r>
          </w:p>
        </w:tc>
        <w:tc>
          <w:tcPr>
            <w:tcW w:w="0" w:type="auto"/>
            <w:tcBorders>
              <w:bottom w:val="nil"/>
            </w:tcBorders>
          </w:tcPr>
          <w:p w:rsidR="005447A5" w:rsidRPr="00386CC4" w:rsidRDefault="005447A5" w:rsidP="00450B22">
            <w:pPr>
              <w:ind w:hanging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0.06216</w:t>
            </w:r>
          </w:p>
        </w:tc>
        <w:tc>
          <w:tcPr>
            <w:tcW w:w="0" w:type="auto"/>
            <w:tcBorders>
              <w:bottom w:val="nil"/>
            </w:tcBorders>
          </w:tcPr>
          <w:p w:rsidR="005447A5" w:rsidRPr="00386CC4" w:rsidRDefault="00C16602" w:rsidP="00450B22">
            <w:pPr>
              <w:tabs>
                <w:tab w:val="clear" w:pos="720"/>
                <w:tab w:val="left" w:pos="-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57.60</w:t>
            </w:r>
          </w:p>
        </w:tc>
        <w:tc>
          <w:tcPr>
            <w:tcW w:w="0" w:type="auto"/>
            <w:vMerge w:val="restart"/>
          </w:tcPr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59.60% ± 4.64*</w:t>
            </w:r>
          </w:p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(1.87)</w:t>
            </w:r>
          </w:p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447A5" w:rsidRPr="00386CC4" w:rsidTr="00105E1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bottom w:val="nil"/>
            </w:tcBorders>
          </w:tcPr>
          <w:p w:rsidR="005447A5" w:rsidRPr="00386CC4" w:rsidRDefault="005447A5" w:rsidP="00450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447A5" w:rsidRPr="00386CC4" w:rsidRDefault="005447A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5447A5" w:rsidRPr="00386CC4" w:rsidRDefault="005447A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34.80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447A5" w:rsidRPr="00386CC4" w:rsidRDefault="005447A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264.59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447A5" w:rsidRPr="00386CC4" w:rsidRDefault="005447A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0.06615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447A5" w:rsidRPr="00386CC4" w:rsidRDefault="00C16602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61.30</w:t>
            </w:r>
          </w:p>
        </w:tc>
        <w:tc>
          <w:tcPr>
            <w:tcW w:w="0" w:type="auto"/>
            <w:vMerge/>
          </w:tcPr>
          <w:p w:rsidR="005447A5" w:rsidRPr="00386CC4" w:rsidRDefault="005447A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447A5" w:rsidRPr="00386CC4" w:rsidTr="00105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</w:tcBorders>
          </w:tcPr>
          <w:p w:rsidR="005447A5" w:rsidRPr="00386CC4" w:rsidRDefault="005447A5" w:rsidP="00450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nil"/>
            </w:tcBorders>
          </w:tcPr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34.00</w:t>
            </w:r>
          </w:p>
        </w:tc>
        <w:tc>
          <w:tcPr>
            <w:tcW w:w="0" w:type="auto"/>
            <w:tcBorders>
              <w:top w:val="nil"/>
            </w:tcBorders>
          </w:tcPr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258.50</w:t>
            </w:r>
          </w:p>
        </w:tc>
        <w:tc>
          <w:tcPr>
            <w:tcW w:w="0" w:type="auto"/>
            <w:tcBorders>
              <w:top w:val="nil"/>
            </w:tcBorders>
          </w:tcPr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0.06463</w:t>
            </w:r>
          </w:p>
        </w:tc>
        <w:tc>
          <w:tcPr>
            <w:tcW w:w="0" w:type="auto"/>
            <w:tcBorders>
              <w:top w:val="nil"/>
            </w:tcBorders>
          </w:tcPr>
          <w:p w:rsidR="005447A5" w:rsidRPr="00386CC4" w:rsidRDefault="00C16602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59.89</w:t>
            </w:r>
          </w:p>
        </w:tc>
        <w:tc>
          <w:tcPr>
            <w:tcW w:w="0" w:type="auto"/>
            <w:vMerge/>
          </w:tcPr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447A5" w:rsidRPr="00905955" w:rsidRDefault="00905955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</w:t>
      </w:r>
      <w:r w:rsidR="005447A5" w:rsidRPr="00905955">
        <w:rPr>
          <w:rFonts w:ascii="Times New Roman" w:hAnsi="Times New Roman" w:cs="Times New Roman"/>
          <w:color w:val="auto"/>
          <w:sz w:val="18"/>
          <w:szCs w:val="18"/>
        </w:rPr>
        <w:t xml:space="preserve">* </w:t>
      </w:r>
      <w:r w:rsidR="00BF6D76" w:rsidRPr="00905955">
        <w:rPr>
          <w:rFonts w:ascii="Times New Roman" w:hAnsi="Times New Roman" w:cs="Times New Roman"/>
          <w:color w:val="auto"/>
          <w:sz w:val="18"/>
          <w:szCs w:val="18"/>
        </w:rPr>
        <w:t>at 95% confidence level</w:t>
      </w:r>
    </w:p>
    <w:p w:rsidR="005447A5" w:rsidRPr="00386CC4" w:rsidRDefault="005447A5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37531" w:rsidRPr="00386CC4" w:rsidRDefault="005447A5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Results from Table 3 shows that the Metro Manila sample 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has a 95% confidence </w:t>
      </w:r>
      <w:r w:rsidR="00BF6D76" w:rsidRPr="00386CC4">
        <w:rPr>
          <w:rFonts w:ascii="Times New Roman" w:hAnsi="Times New Roman" w:cs="Times New Roman"/>
          <w:color w:val="auto"/>
          <w:sz w:val="20"/>
          <w:szCs w:val="20"/>
        </w:rPr>
        <w:t>level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for the mean calcium content of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73.54% ± 2.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68 or </w:t>
      </w:r>
      <w:r w:rsidR="002540C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>calcium percentage rang</w:t>
      </w:r>
      <w:r w:rsidR="002540C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e of </w:t>
      </w:r>
      <w:r w:rsidR="003760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70.86% to 76.22%. 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Hence, </w:t>
      </w:r>
      <w:r w:rsidR="003760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E53D4B" w:rsidRPr="00386CC4">
        <w:rPr>
          <w:rFonts w:ascii="Times New Roman" w:hAnsi="Times New Roman" w:cs="Times New Roman"/>
          <w:color w:val="auto"/>
          <w:sz w:val="20"/>
          <w:szCs w:val="20"/>
        </w:rPr>
        <w:t>actual</w:t>
      </w:r>
      <w:r w:rsidR="003760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calcium content for the entire Metro Manila 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mortar </w:t>
      </w:r>
      <w:r w:rsidR="003760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sample 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obtained from the site </w:t>
      </w:r>
      <w:r w:rsidR="003760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should be within this interval 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range. </w:t>
      </w:r>
      <w:r w:rsidR="00376091" w:rsidRPr="00386CC4">
        <w:rPr>
          <w:rFonts w:ascii="Times New Roman" w:hAnsi="Times New Roman" w:cs="Times New Roman"/>
          <w:color w:val="auto"/>
          <w:sz w:val="20"/>
          <w:szCs w:val="20"/>
        </w:rPr>
        <w:t>The individually measure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>d</w:t>
      </w:r>
      <w:r w:rsidR="003760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calcium concentration per trial also falls </w:t>
      </w:r>
      <w:r w:rsidR="002540C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in </w:t>
      </w:r>
      <w:r w:rsidR="007112C4" w:rsidRPr="00386CC4">
        <w:rPr>
          <w:rFonts w:ascii="Times New Roman" w:hAnsi="Times New Roman" w:cs="Times New Roman"/>
          <w:color w:val="auto"/>
          <w:sz w:val="20"/>
          <w:szCs w:val="20"/>
        </w:rPr>
        <w:t>these</w:t>
      </w:r>
      <w:r w:rsidR="003760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confidence </w:t>
      </w:r>
      <w:r w:rsidR="00BF6D76" w:rsidRPr="00386CC4">
        <w:rPr>
          <w:rFonts w:ascii="Times New Roman" w:hAnsi="Times New Roman" w:cs="Times New Roman"/>
          <w:color w:val="auto"/>
          <w:sz w:val="20"/>
          <w:szCs w:val="20"/>
        </w:rPr>
        <w:t>limits</w:t>
      </w:r>
      <w:r w:rsidR="0037609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2540CC" w:rsidRPr="00386CC4">
        <w:rPr>
          <w:rFonts w:ascii="Times New Roman" w:hAnsi="Times New Roman" w:cs="Times New Roman"/>
          <w:color w:val="auto"/>
          <w:sz w:val="20"/>
          <w:szCs w:val="20"/>
        </w:rPr>
        <w:t>The t</w:t>
      </w:r>
      <w:r w:rsidR="005872A4" w:rsidRPr="00386CC4">
        <w:rPr>
          <w:rFonts w:ascii="Times New Roman" w:hAnsi="Times New Roman" w:cs="Times New Roman"/>
          <w:color w:val="auto"/>
          <w:sz w:val="20"/>
          <w:szCs w:val="20"/>
        </w:rPr>
        <w:t>itration of the Metro Manila sample was considered to be more precise than the Misamis Oriental sample</w:t>
      </w:r>
      <w:r w:rsidR="00B02AD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based on the smaller confidence interval </w:t>
      </w:r>
      <w:r w:rsidR="00382E6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value which is </w:t>
      </w:r>
      <w:r w:rsidR="00B02AD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attributed to </w:t>
      </w:r>
      <w:r w:rsidR="00043E9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random errors </w:t>
      </w:r>
      <w:r w:rsidR="00B02AD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brought about by the visual determination of the end point color. </w:t>
      </w:r>
      <w:r w:rsidR="002540CC" w:rsidRPr="00386CC4">
        <w:rPr>
          <w:rFonts w:ascii="Times New Roman" w:hAnsi="Times New Roman" w:cs="Times New Roman"/>
          <w:color w:val="auto"/>
          <w:sz w:val="20"/>
          <w:szCs w:val="20"/>
        </w:rPr>
        <w:t>The computed coefficient of variation (</w:t>
      </w:r>
      <w:r w:rsidR="00776299" w:rsidRPr="00386CC4">
        <w:rPr>
          <w:rFonts w:ascii="Times New Roman" w:hAnsi="Times New Roman" w:cs="Times New Roman"/>
          <w:color w:val="auto"/>
          <w:sz w:val="20"/>
          <w:szCs w:val="20"/>
        </w:rPr>
        <w:t>1.47%</w:t>
      </w:r>
      <w:r w:rsidR="002540CC" w:rsidRPr="00386CC4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77629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supports this high</w:t>
      </w:r>
      <w:r w:rsidR="00B02ADA" w:rsidRPr="00386CC4">
        <w:rPr>
          <w:rFonts w:ascii="Times New Roman" w:hAnsi="Times New Roman" w:cs="Times New Roman"/>
          <w:color w:val="auto"/>
          <w:sz w:val="20"/>
          <w:szCs w:val="20"/>
        </w:rPr>
        <w:t>er</w:t>
      </w:r>
      <w:r w:rsidR="0077629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precision</w:t>
      </w:r>
      <w:r w:rsidR="00B02AD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compared to the Misamis Oriental 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>titration</w:t>
      </w:r>
      <w:r w:rsidR="00776299" w:rsidRPr="00386CC4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2540C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B0256" w:rsidRPr="00386CC4">
        <w:rPr>
          <w:rFonts w:ascii="Times New Roman" w:hAnsi="Times New Roman" w:cs="Times New Roman"/>
          <w:color w:val="auto"/>
          <w:sz w:val="20"/>
          <w:szCs w:val="20"/>
        </w:rPr>
        <w:t>Samples from both sites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yielded mean calcium contents that are statistically consistent with each other suggesting that EDTA titration can be used for old lime mortar samples.</w:t>
      </w:r>
    </w:p>
    <w:p w:rsidR="00FC099B" w:rsidRPr="00386CC4" w:rsidRDefault="00FC099B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447A5" w:rsidRDefault="005447A5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Table 3. Calcium content of Metro Manila sample using EDTA</w:t>
      </w:r>
    </w:p>
    <w:p w:rsidR="00905955" w:rsidRPr="00386CC4" w:rsidRDefault="00905955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PlainTable2"/>
        <w:tblW w:w="8716" w:type="dxa"/>
        <w:jc w:val="center"/>
        <w:tblLook w:val="04A0" w:firstRow="1" w:lastRow="0" w:firstColumn="1" w:lastColumn="0" w:noHBand="0" w:noVBand="1"/>
      </w:tblPr>
      <w:tblGrid>
        <w:gridCol w:w="1203"/>
        <w:gridCol w:w="650"/>
        <w:gridCol w:w="1679"/>
        <w:gridCol w:w="1552"/>
        <w:gridCol w:w="990"/>
        <w:gridCol w:w="1121"/>
        <w:gridCol w:w="1521"/>
      </w:tblGrid>
      <w:tr w:rsidR="00905955" w:rsidRPr="00386CC4" w:rsidTr="00905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447A5" w:rsidRPr="00386CC4" w:rsidRDefault="00105E17" w:rsidP="00450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Mass of Mortar S</w:t>
            </w:r>
            <w:r w:rsidR="005447A5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ample (g)</w:t>
            </w:r>
          </w:p>
        </w:tc>
        <w:tc>
          <w:tcPr>
            <w:tcW w:w="0" w:type="auto"/>
          </w:tcPr>
          <w:p w:rsidR="005447A5" w:rsidRPr="00386CC4" w:rsidRDefault="005447A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Trial</w:t>
            </w:r>
          </w:p>
        </w:tc>
        <w:tc>
          <w:tcPr>
            <w:tcW w:w="1679" w:type="dxa"/>
          </w:tcPr>
          <w:p w:rsidR="005447A5" w:rsidRPr="00386CC4" w:rsidRDefault="005447A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Volume of </w:t>
            </w:r>
            <w:r w:rsid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EDTA C</w:t>
            </w:r>
            <w:r w:rsid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onsumed </w:t>
            </w: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(mL)</w:t>
            </w:r>
          </w:p>
        </w:tc>
        <w:tc>
          <w:tcPr>
            <w:tcW w:w="1552" w:type="dxa"/>
          </w:tcPr>
          <w:p w:rsidR="005447A5" w:rsidRPr="00386CC4" w:rsidRDefault="005447A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Concentration of Ca (ppm)</w:t>
            </w:r>
          </w:p>
        </w:tc>
        <w:tc>
          <w:tcPr>
            <w:tcW w:w="0" w:type="auto"/>
          </w:tcPr>
          <w:p w:rsidR="005447A5" w:rsidRPr="00386CC4" w:rsidRDefault="005447A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Mass of Ca (g)</w:t>
            </w:r>
          </w:p>
        </w:tc>
        <w:tc>
          <w:tcPr>
            <w:tcW w:w="0" w:type="auto"/>
          </w:tcPr>
          <w:p w:rsidR="005447A5" w:rsidRPr="00386CC4" w:rsidRDefault="00105E17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Ca (w/w) in S</w:t>
            </w:r>
            <w:r w:rsidR="005447A5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ample</w:t>
            </w:r>
          </w:p>
        </w:tc>
        <w:tc>
          <w:tcPr>
            <w:tcW w:w="0" w:type="auto"/>
          </w:tcPr>
          <w:p w:rsidR="005447A5" w:rsidRPr="00386CC4" w:rsidRDefault="00105E17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Mean (w/w) and Standard D</w:t>
            </w:r>
            <w:r w:rsidR="005447A5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eviation</w:t>
            </w:r>
          </w:p>
        </w:tc>
      </w:tr>
      <w:tr w:rsidR="00905955" w:rsidRPr="00386CC4" w:rsidTr="0090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bottom w:val="nil"/>
            </w:tcBorders>
          </w:tcPr>
          <w:p w:rsidR="005447A5" w:rsidRPr="00905955" w:rsidRDefault="005447A5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0.1027</w:t>
            </w:r>
          </w:p>
          <w:p w:rsidR="005447A5" w:rsidRPr="00905955" w:rsidRDefault="005447A5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5447A5" w:rsidRPr="00905955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679" w:type="dxa"/>
            <w:tcBorders>
              <w:bottom w:val="nil"/>
            </w:tcBorders>
          </w:tcPr>
          <w:p w:rsidR="005447A5" w:rsidRPr="00905955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39.30</w:t>
            </w:r>
          </w:p>
        </w:tc>
        <w:tc>
          <w:tcPr>
            <w:tcW w:w="1552" w:type="dxa"/>
            <w:tcBorders>
              <w:bottom w:val="nil"/>
            </w:tcBorders>
          </w:tcPr>
          <w:p w:rsidR="005447A5" w:rsidRPr="00905955" w:rsidRDefault="005447A5" w:rsidP="00450B22">
            <w:pPr>
              <w:ind w:hanging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298.80</w:t>
            </w:r>
          </w:p>
        </w:tc>
        <w:tc>
          <w:tcPr>
            <w:tcW w:w="0" w:type="auto"/>
            <w:tcBorders>
              <w:bottom w:val="nil"/>
            </w:tcBorders>
          </w:tcPr>
          <w:p w:rsidR="005447A5" w:rsidRPr="00905955" w:rsidRDefault="005447A5" w:rsidP="00450B22">
            <w:pPr>
              <w:ind w:hanging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0.07470</w:t>
            </w:r>
          </w:p>
        </w:tc>
        <w:tc>
          <w:tcPr>
            <w:tcW w:w="0" w:type="auto"/>
            <w:tcBorders>
              <w:bottom w:val="nil"/>
            </w:tcBorders>
          </w:tcPr>
          <w:p w:rsidR="005447A5" w:rsidRPr="00905955" w:rsidRDefault="00724DB7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72.74</w:t>
            </w:r>
          </w:p>
        </w:tc>
        <w:tc>
          <w:tcPr>
            <w:tcW w:w="0" w:type="auto"/>
            <w:vMerge w:val="restart"/>
          </w:tcPr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73.54% ± 2.68*</w:t>
            </w:r>
          </w:p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(1.08)</w:t>
            </w:r>
          </w:p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5955" w:rsidRPr="00386CC4" w:rsidTr="009059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bottom w:val="nil"/>
            </w:tcBorders>
          </w:tcPr>
          <w:p w:rsidR="005447A5" w:rsidRPr="00905955" w:rsidRDefault="005447A5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447A5" w:rsidRPr="00905955" w:rsidRDefault="005447A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5447A5" w:rsidRPr="00905955" w:rsidRDefault="005447A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39.50</w:t>
            </w:r>
          </w:p>
        </w:tc>
        <w:tc>
          <w:tcPr>
            <w:tcW w:w="1552" w:type="dxa"/>
            <w:tcBorders>
              <w:top w:val="nil"/>
              <w:bottom w:val="nil"/>
            </w:tcBorders>
          </w:tcPr>
          <w:p w:rsidR="005447A5" w:rsidRPr="00905955" w:rsidRDefault="005447A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300.32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447A5" w:rsidRPr="00905955" w:rsidRDefault="005447A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0.07508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447A5" w:rsidRPr="00905955" w:rsidRDefault="00724DB7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73.11</w:t>
            </w:r>
          </w:p>
        </w:tc>
        <w:tc>
          <w:tcPr>
            <w:tcW w:w="0" w:type="auto"/>
            <w:vMerge/>
          </w:tcPr>
          <w:p w:rsidR="005447A5" w:rsidRPr="00386CC4" w:rsidRDefault="005447A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5955" w:rsidRPr="00386CC4" w:rsidTr="0090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</w:tcBorders>
          </w:tcPr>
          <w:p w:rsidR="005447A5" w:rsidRPr="00905955" w:rsidRDefault="005447A5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5447A5" w:rsidRPr="00905955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679" w:type="dxa"/>
            <w:tcBorders>
              <w:top w:val="nil"/>
            </w:tcBorders>
          </w:tcPr>
          <w:p w:rsidR="005447A5" w:rsidRPr="00905955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40.40</w:t>
            </w:r>
          </w:p>
        </w:tc>
        <w:tc>
          <w:tcPr>
            <w:tcW w:w="1552" w:type="dxa"/>
            <w:tcBorders>
              <w:top w:val="nil"/>
            </w:tcBorders>
          </w:tcPr>
          <w:p w:rsidR="005447A5" w:rsidRPr="00905955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307.16</w:t>
            </w:r>
          </w:p>
        </w:tc>
        <w:tc>
          <w:tcPr>
            <w:tcW w:w="0" w:type="auto"/>
            <w:tcBorders>
              <w:top w:val="nil"/>
            </w:tcBorders>
          </w:tcPr>
          <w:p w:rsidR="005447A5" w:rsidRPr="00905955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0.07679</w:t>
            </w:r>
          </w:p>
        </w:tc>
        <w:tc>
          <w:tcPr>
            <w:tcW w:w="0" w:type="auto"/>
            <w:tcBorders>
              <w:top w:val="nil"/>
            </w:tcBorders>
          </w:tcPr>
          <w:p w:rsidR="005447A5" w:rsidRPr="00905955" w:rsidRDefault="00724DB7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59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74.77</w:t>
            </w:r>
          </w:p>
        </w:tc>
        <w:tc>
          <w:tcPr>
            <w:tcW w:w="0" w:type="auto"/>
            <w:vMerge/>
          </w:tcPr>
          <w:p w:rsidR="005447A5" w:rsidRPr="00386CC4" w:rsidRDefault="005447A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447A5" w:rsidRPr="00905955" w:rsidRDefault="00905955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</w:t>
      </w:r>
      <w:r w:rsidR="005447A5" w:rsidRPr="00905955">
        <w:rPr>
          <w:rFonts w:ascii="Times New Roman" w:hAnsi="Times New Roman" w:cs="Times New Roman"/>
          <w:color w:val="auto"/>
          <w:sz w:val="18"/>
          <w:szCs w:val="18"/>
        </w:rPr>
        <w:t xml:space="preserve">* at 95% confidence </w:t>
      </w:r>
      <w:r w:rsidR="00BF6D76" w:rsidRPr="00905955">
        <w:rPr>
          <w:rFonts w:ascii="Times New Roman" w:hAnsi="Times New Roman" w:cs="Times New Roman"/>
          <w:color w:val="auto"/>
          <w:sz w:val="18"/>
          <w:szCs w:val="18"/>
        </w:rPr>
        <w:t>level</w:t>
      </w:r>
    </w:p>
    <w:p w:rsidR="0024500D" w:rsidRPr="00386CC4" w:rsidRDefault="0024500D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776299" w:rsidRPr="00505835" w:rsidRDefault="007112C4" w:rsidP="00450B22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  <w:vertAlign w:val="subscript"/>
        </w:rPr>
      </w:pPr>
      <w:r w:rsidRPr="00505835">
        <w:rPr>
          <w:rFonts w:ascii="Times New Roman" w:hAnsi="Times New Roman" w:cs="Times New Roman"/>
          <w:b/>
          <w:color w:val="auto"/>
          <w:sz w:val="20"/>
          <w:szCs w:val="20"/>
        </w:rPr>
        <w:t>Analysis of KMnO</w:t>
      </w:r>
      <w:r w:rsidRPr="00505835">
        <w:rPr>
          <w:rFonts w:ascii="Times New Roman" w:hAnsi="Times New Roman" w:cs="Times New Roman"/>
          <w:b/>
          <w:color w:val="auto"/>
          <w:sz w:val="20"/>
          <w:szCs w:val="20"/>
          <w:vertAlign w:val="subscript"/>
        </w:rPr>
        <w:t>4</w:t>
      </w:r>
      <w:r w:rsidRPr="00505835">
        <w:rPr>
          <w:rFonts w:ascii="Times New Roman" w:hAnsi="Times New Roman" w:cs="Times New Roman"/>
          <w:b/>
          <w:color w:val="auto"/>
          <w:sz w:val="20"/>
          <w:szCs w:val="20"/>
        </w:rPr>
        <w:t xml:space="preserve"> t</w:t>
      </w:r>
      <w:r w:rsidR="00776299" w:rsidRPr="00505835">
        <w:rPr>
          <w:rFonts w:ascii="Times New Roman" w:hAnsi="Times New Roman" w:cs="Times New Roman"/>
          <w:b/>
          <w:color w:val="auto"/>
          <w:sz w:val="20"/>
          <w:szCs w:val="20"/>
        </w:rPr>
        <w:t>itration</w:t>
      </w:r>
      <w:r w:rsidR="00E82CBD" w:rsidRPr="00505835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787029" w:rsidRPr="00386CC4" w:rsidRDefault="00776299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The KMnO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solution was first standardized using sodium oxalat</w:t>
      </w:r>
      <w:r w:rsidR="00724DB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e and the mean concentration is 10660 ± 640.5 µM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at a 95% confidence </w:t>
      </w:r>
      <w:r w:rsidR="00BF6D76" w:rsidRPr="00386CC4">
        <w:rPr>
          <w:rFonts w:ascii="Times New Roman" w:hAnsi="Times New Roman" w:cs="Times New Roman"/>
          <w:color w:val="auto"/>
          <w:sz w:val="20"/>
          <w:szCs w:val="20"/>
        </w:rPr>
        <w:t>level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. Precision for the standardizatio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n 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method was 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>considered high due to the small value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>2.58</w:t>
      </w:r>
      <w:r w:rsidR="00EA536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>x</w:t>
      </w:r>
      <w:r w:rsidR="00EA536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-4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AF08F9" w:rsidRPr="00386CC4">
        <w:rPr>
          <w:rFonts w:ascii="Times New Roman" w:hAnsi="Times New Roman" w:cs="Times New Roman"/>
          <w:color w:val="auto"/>
          <w:sz w:val="20"/>
          <w:szCs w:val="20"/>
        </w:rPr>
        <w:t>of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the 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standard deviation.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>results of KMnO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titration on the Misamis Oriental sample </w:t>
      </w:r>
      <w:r w:rsidR="00AF08F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shown in Table 4 </w:t>
      </w:r>
      <w:r w:rsidR="00696ED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is 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consistent with the 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mean calcium 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>conce</w:t>
      </w:r>
      <w:r w:rsidR="00AF08F9" w:rsidRPr="00386CC4">
        <w:rPr>
          <w:rFonts w:ascii="Times New Roman" w:hAnsi="Times New Roman" w:cs="Times New Roman"/>
          <w:color w:val="auto"/>
          <w:sz w:val="20"/>
          <w:szCs w:val="20"/>
        </w:rPr>
        <w:t>ntration values obtained from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EDTA titration 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and 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>differ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only 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>by 1.47</w:t>
      </w:r>
      <w:r w:rsidR="00CA75F0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units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. However, the confidence </w:t>
      </w:r>
      <w:r w:rsidR="00BF6D76" w:rsidRPr="00386CC4">
        <w:rPr>
          <w:rFonts w:ascii="Times New Roman" w:hAnsi="Times New Roman" w:cs="Times New Roman"/>
          <w:color w:val="auto"/>
          <w:sz w:val="20"/>
          <w:szCs w:val="20"/>
        </w:rPr>
        <w:t>limits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87029" w:rsidRPr="00386CC4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AF08F9" w:rsidRPr="00386CC4">
        <w:rPr>
          <w:rFonts w:ascii="Times New Roman" w:hAnsi="Times New Roman" w:cs="Times New Roman"/>
          <w:color w:val="auto"/>
          <w:sz w:val="20"/>
          <w:szCs w:val="20"/>
        </w:rPr>
        <w:t>± 6.68) and standard deviation equal to 2.69</w:t>
      </w:r>
      <w:r w:rsidR="0078702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is </w:t>
      </w:r>
      <w:r w:rsidR="00787029" w:rsidRPr="00386CC4">
        <w:rPr>
          <w:rFonts w:ascii="Times New Roman" w:hAnsi="Times New Roman" w:cs="Times New Roman"/>
          <w:color w:val="auto"/>
          <w:sz w:val="20"/>
          <w:szCs w:val="20"/>
        </w:rPr>
        <w:t>higher compared</w:t>
      </w:r>
      <w:r w:rsidR="003461E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87029" w:rsidRPr="00386CC4">
        <w:rPr>
          <w:rFonts w:ascii="Times New Roman" w:hAnsi="Times New Roman" w:cs="Times New Roman"/>
          <w:color w:val="auto"/>
          <w:sz w:val="20"/>
          <w:szCs w:val="20"/>
        </w:rPr>
        <w:t>to that of the EDTA titrat</w:t>
      </w:r>
      <w:r w:rsidR="00AF08F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ion. This is due to the tedious </w:t>
      </w:r>
      <w:r w:rsidR="00787029" w:rsidRPr="00386CC4">
        <w:rPr>
          <w:rFonts w:ascii="Times New Roman" w:hAnsi="Times New Roman" w:cs="Times New Roman"/>
          <w:color w:val="auto"/>
          <w:sz w:val="20"/>
          <w:szCs w:val="20"/>
        </w:rPr>
        <w:t>process of crystallization</w:t>
      </w:r>
      <w:r w:rsidR="00AF08F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</w:t>
      </w:r>
      <w:r w:rsidR="0078702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nd in maintaining the temperature during 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787029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titration which may introduce random errors in the system. Nevertheless, the </w:t>
      </w:r>
      <w:r w:rsidR="00E82CB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measured </w:t>
      </w:r>
      <w:r w:rsidR="002A759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calcium concentration </w:t>
      </w:r>
      <w:r w:rsidR="00E82CB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values </w:t>
      </w:r>
      <w:r w:rsidR="0021359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per replicate </w:t>
      </w:r>
      <w:r w:rsidR="00E82CB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are </w:t>
      </w:r>
      <w:r w:rsidR="00F1317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within the </w:t>
      </w:r>
      <w:r w:rsidR="004E67D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allowable </w:t>
      </w:r>
      <w:r w:rsidR="00F1317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confidence </w:t>
      </w:r>
      <w:r w:rsidR="00BF6D76" w:rsidRPr="00386CC4">
        <w:rPr>
          <w:rFonts w:ascii="Times New Roman" w:hAnsi="Times New Roman" w:cs="Times New Roman"/>
          <w:color w:val="auto"/>
          <w:sz w:val="20"/>
          <w:szCs w:val="20"/>
        </w:rPr>
        <w:t>limits</w:t>
      </w:r>
      <w:r w:rsidR="00F1317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and the coefficient of variation </w:t>
      </w:r>
      <w:r w:rsidR="009401E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(4.45%) </w:t>
      </w:r>
      <w:r w:rsidR="00F1317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is still less than 5%, making the </w:t>
      </w:r>
      <w:r w:rsidR="004E67D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titration </w:t>
      </w:r>
      <w:r w:rsidR="00F1317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process precise. </w:t>
      </w:r>
    </w:p>
    <w:p w:rsidR="00776299" w:rsidRDefault="00776299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05E17" w:rsidRPr="00386CC4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776299" w:rsidRDefault="00776299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vertAlign w:val="subscript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Table 4. Calcium content of Misamis Oriental sample using KMnO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</w:p>
    <w:p w:rsidR="00EA536A" w:rsidRPr="00386CC4" w:rsidRDefault="00EA536A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PlainTable2"/>
        <w:tblW w:w="8614" w:type="dxa"/>
        <w:jc w:val="center"/>
        <w:tblLook w:val="04A0" w:firstRow="1" w:lastRow="0" w:firstColumn="1" w:lastColumn="0" w:noHBand="0" w:noVBand="1"/>
      </w:tblPr>
      <w:tblGrid>
        <w:gridCol w:w="1637"/>
        <w:gridCol w:w="650"/>
        <w:gridCol w:w="1958"/>
        <w:gridCol w:w="1094"/>
        <w:gridCol w:w="1349"/>
        <w:gridCol w:w="1926"/>
      </w:tblGrid>
      <w:tr w:rsidR="00105E17" w:rsidRPr="00386CC4" w:rsidTr="00105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776299" w:rsidRPr="00386CC4" w:rsidRDefault="00105E17" w:rsidP="00450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Mass of Mortar S</w:t>
            </w:r>
            <w:r w:rsidR="00776299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ample (g)</w:t>
            </w:r>
          </w:p>
        </w:tc>
        <w:tc>
          <w:tcPr>
            <w:tcW w:w="566" w:type="dxa"/>
          </w:tcPr>
          <w:p w:rsidR="00776299" w:rsidRPr="00386CC4" w:rsidRDefault="00776299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Trial</w:t>
            </w:r>
          </w:p>
        </w:tc>
        <w:tc>
          <w:tcPr>
            <w:tcW w:w="0" w:type="auto"/>
          </w:tcPr>
          <w:p w:rsidR="00776299" w:rsidRPr="00386CC4" w:rsidRDefault="00776299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Volume of KMnO</w:t>
            </w: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</w:rPr>
              <w:t>4</w:t>
            </w:r>
            <w:r w:rsid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</w:t>
            </w: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onsumed (mL)</w:t>
            </w:r>
          </w:p>
        </w:tc>
        <w:tc>
          <w:tcPr>
            <w:tcW w:w="0" w:type="auto"/>
          </w:tcPr>
          <w:p w:rsidR="00776299" w:rsidRPr="00386CC4" w:rsidRDefault="00776299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Mass of Ca (g)</w:t>
            </w:r>
          </w:p>
        </w:tc>
        <w:tc>
          <w:tcPr>
            <w:tcW w:w="0" w:type="auto"/>
          </w:tcPr>
          <w:p w:rsidR="00776299" w:rsidRPr="00386CC4" w:rsidRDefault="00105E17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Ca (w/w) in S</w:t>
            </w:r>
            <w:r w:rsidR="00776299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ample</w:t>
            </w:r>
          </w:p>
        </w:tc>
        <w:tc>
          <w:tcPr>
            <w:tcW w:w="0" w:type="auto"/>
          </w:tcPr>
          <w:p w:rsidR="00776299" w:rsidRPr="00386CC4" w:rsidRDefault="00105E17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Mean (w/w) and Standard D</w:t>
            </w:r>
            <w:r w:rsidR="00776299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eviation</w:t>
            </w:r>
          </w:p>
        </w:tc>
      </w:tr>
      <w:tr w:rsidR="00105E17" w:rsidRPr="00386CC4" w:rsidTr="00105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 w:val="restart"/>
            <w:tcBorders>
              <w:bottom w:val="nil"/>
            </w:tcBorders>
          </w:tcPr>
          <w:p w:rsidR="00776299" w:rsidRPr="00105E17" w:rsidRDefault="00776299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:rsidR="00776299" w:rsidRPr="00105E17" w:rsidRDefault="00776299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0.03597</w:t>
            </w:r>
          </w:p>
        </w:tc>
        <w:tc>
          <w:tcPr>
            <w:tcW w:w="566" w:type="dxa"/>
            <w:tcBorders>
              <w:bottom w:val="nil"/>
            </w:tcBorders>
          </w:tcPr>
          <w:p w:rsidR="00776299" w:rsidRPr="00105E17" w:rsidRDefault="00776299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</w:tcPr>
          <w:p w:rsidR="00776299" w:rsidRPr="00105E17" w:rsidRDefault="00776299" w:rsidP="00450B22">
            <w:pPr>
              <w:tabs>
                <w:tab w:val="clear" w:pos="720"/>
                <w:tab w:val="left" w:pos="-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20.50</w:t>
            </w:r>
          </w:p>
        </w:tc>
        <w:tc>
          <w:tcPr>
            <w:tcW w:w="0" w:type="auto"/>
            <w:tcBorders>
              <w:bottom w:val="nil"/>
            </w:tcBorders>
          </w:tcPr>
          <w:p w:rsidR="00776299" w:rsidRPr="00105E17" w:rsidRDefault="00776299" w:rsidP="00450B22">
            <w:pPr>
              <w:ind w:hanging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0.02190</w:t>
            </w:r>
          </w:p>
        </w:tc>
        <w:tc>
          <w:tcPr>
            <w:tcW w:w="0" w:type="auto"/>
            <w:tcBorders>
              <w:bottom w:val="nil"/>
            </w:tcBorders>
          </w:tcPr>
          <w:p w:rsidR="00776299" w:rsidRPr="00105E17" w:rsidRDefault="00776299" w:rsidP="00450B22">
            <w:pPr>
              <w:tabs>
                <w:tab w:val="clear" w:pos="720"/>
                <w:tab w:val="left" w:pos="-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60.87</w:t>
            </w:r>
          </w:p>
        </w:tc>
        <w:tc>
          <w:tcPr>
            <w:tcW w:w="0" w:type="auto"/>
            <w:vMerge w:val="restart"/>
          </w:tcPr>
          <w:p w:rsidR="00776299" w:rsidRPr="00386CC4" w:rsidRDefault="00776299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60.48% ± 6.68* (2.69)</w:t>
            </w:r>
          </w:p>
        </w:tc>
      </w:tr>
      <w:tr w:rsidR="00105E17" w:rsidRPr="00386CC4" w:rsidTr="00105E1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/>
            <w:tcBorders>
              <w:top w:val="nil"/>
              <w:bottom w:val="nil"/>
            </w:tcBorders>
          </w:tcPr>
          <w:p w:rsidR="00776299" w:rsidRPr="00105E17" w:rsidRDefault="00776299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6299" w:rsidRPr="00105E17" w:rsidRDefault="00776299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76299" w:rsidRPr="00105E17" w:rsidRDefault="00776299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21.20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76299" w:rsidRPr="00105E17" w:rsidRDefault="00776299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0.02264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76299" w:rsidRPr="00105E17" w:rsidRDefault="00776299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62.95</w:t>
            </w:r>
          </w:p>
        </w:tc>
        <w:tc>
          <w:tcPr>
            <w:tcW w:w="0" w:type="auto"/>
            <w:vMerge/>
          </w:tcPr>
          <w:p w:rsidR="00776299" w:rsidRPr="00386CC4" w:rsidRDefault="00776299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05E17" w:rsidRPr="00386CC4" w:rsidTr="00105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/>
            <w:tcBorders>
              <w:top w:val="nil"/>
            </w:tcBorders>
          </w:tcPr>
          <w:p w:rsidR="00776299" w:rsidRPr="00105E17" w:rsidRDefault="00776299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6299" w:rsidRPr="00105E17" w:rsidRDefault="00776299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</w:tcPr>
          <w:p w:rsidR="00776299" w:rsidRPr="00105E17" w:rsidRDefault="00776299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19.40</w:t>
            </w:r>
          </w:p>
        </w:tc>
        <w:tc>
          <w:tcPr>
            <w:tcW w:w="0" w:type="auto"/>
            <w:tcBorders>
              <w:top w:val="nil"/>
            </w:tcBorders>
          </w:tcPr>
          <w:p w:rsidR="00776299" w:rsidRPr="00105E17" w:rsidRDefault="00776299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0.02072</w:t>
            </w:r>
          </w:p>
        </w:tc>
        <w:tc>
          <w:tcPr>
            <w:tcW w:w="0" w:type="auto"/>
            <w:tcBorders>
              <w:top w:val="nil"/>
            </w:tcBorders>
          </w:tcPr>
          <w:p w:rsidR="00776299" w:rsidRPr="00105E17" w:rsidRDefault="00776299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57.61</w:t>
            </w:r>
          </w:p>
        </w:tc>
        <w:tc>
          <w:tcPr>
            <w:tcW w:w="0" w:type="auto"/>
            <w:vMerge/>
          </w:tcPr>
          <w:p w:rsidR="00776299" w:rsidRPr="00386CC4" w:rsidRDefault="00776299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776299" w:rsidRPr="00386CC4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776299" w:rsidRPr="00105E17">
        <w:rPr>
          <w:rFonts w:ascii="Times New Roman" w:hAnsi="Times New Roman" w:cs="Times New Roman"/>
          <w:color w:val="auto"/>
          <w:sz w:val="18"/>
          <w:szCs w:val="18"/>
        </w:rPr>
        <w:t xml:space="preserve">* </w:t>
      </w:r>
      <w:r w:rsidR="00BF6D76" w:rsidRPr="00105E17">
        <w:rPr>
          <w:rFonts w:ascii="Times New Roman" w:hAnsi="Times New Roman" w:cs="Times New Roman"/>
          <w:color w:val="auto"/>
          <w:sz w:val="18"/>
          <w:szCs w:val="18"/>
        </w:rPr>
        <w:t>at 95% confidence level</w:t>
      </w:r>
    </w:p>
    <w:p w:rsidR="004E67DE" w:rsidRPr="00386CC4" w:rsidRDefault="00776299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ab/>
      </w:r>
    </w:p>
    <w:p w:rsidR="0069588A" w:rsidRPr="00386CC4" w:rsidRDefault="004E67DE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same </w:t>
      </w:r>
      <w:r w:rsidR="00043E98" w:rsidRPr="00386CC4">
        <w:rPr>
          <w:rFonts w:ascii="Times New Roman" w:hAnsi="Times New Roman" w:cs="Times New Roman"/>
          <w:color w:val="auto"/>
          <w:sz w:val="20"/>
          <w:szCs w:val="20"/>
        </w:rPr>
        <w:t>pattern of consistency was also observed for KMnO</w:t>
      </w:r>
      <w:r w:rsidR="00043E98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043E9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titration of Metro Manila sample shown in Table 5 compared to the results of EDTA titration and differs</w:t>
      </w:r>
      <w:r w:rsidR="002A759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by 0.286</w:t>
      </w:r>
      <w:r w:rsidR="00CA75F0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units</w:t>
      </w:r>
      <w:r w:rsidR="0042524F" w:rsidRPr="00386CC4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2A759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 high confidence </w:t>
      </w:r>
      <w:r w:rsidR="00BF6D76" w:rsidRPr="00386CC4">
        <w:rPr>
          <w:rFonts w:ascii="Times New Roman" w:hAnsi="Times New Roman" w:cs="Times New Roman"/>
          <w:color w:val="auto"/>
          <w:sz w:val="20"/>
          <w:szCs w:val="20"/>
        </w:rPr>
        <w:t>limit</w:t>
      </w:r>
      <w:r w:rsidR="002A759D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value (± 6.88)</w:t>
      </w:r>
      <w:r w:rsidR="00043E9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</w:t>
      </w:r>
      <w:r w:rsidR="00A13808" w:rsidRPr="00386CC4">
        <w:rPr>
          <w:rFonts w:ascii="Times New Roman" w:hAnsi="Times New Roman" w:cs="Times New Roman"/>
          <w:color w:val="auto"/>
          <w:sz w:val="20"/>
          <w:szCs w:val="20"/>
        </w:rPr>
        <w:t>nd standard deviation (2.77) were</w:t>
      </w:r>
      <w:r w:rsidR="00043E9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also obtained from the Metro Manila sample </w:t>
      </w:r>
      <w:r w:rsidR="006958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supporting the idea that </w:t>
      </w:r>
      <w:r w:rsidR="00043E98" w:rsidRPr="00386CC4">
        <w:rPr>
          <w:rFonts w:ascii="Times New Roman" w:hAnsi="Times New Roman" w:cs="Times New Roman"/>
          <w:color w:val="auto"/>
          <w:sz w:val="20"/>
          <w:szCs w:val="20"/>
        </w:rPr>
        <w:t>KMnO</w:t>
      </w:r>
      <w:r w:rsidR="00043E98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043E98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titration method is more prone to random errors. </w:t>
      </w:r>
      <w:r w:rsidR="00F1317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A coefficient of variation of 3.78% and </w:t>
      </w:r>
      <w:r w:rsidR="006958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calcium concentration </w:t>
      </w:r>
      <w:r w:rsidR="00F1317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values </w:t>
      </w:r>
      <w:r w:rsidR="0053797C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per replicate, </w:t>
      </w:r>
      <w:r w:rsidR="006958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which are </w:t>
      </w:r>
      <w:r w:rsidR="00F1317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within the given confidence </w:t>
      </w:r>
      <w:r w:rsidR="00BF6D76" w:rsidRPr="00386CC4">
        <w:rPr>
          <w:rFonts w:ascii="Times New Roman" w:hAnsi="Times New Roman" w:cs="Times New Roman"/>
          <w:color w:val="auto"/>
          <w:sz w:val="20"/>
          <w:szCs w:val="20"/>
        </w:rPr>
        <w:t>limits</w:t>
      </w:r>
      <w:r w:rsidR="0053797C" w:rsidRPr="00386CC4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F1317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3797C" w:rsidRPr="00386CC4">
        <w:rPr>
          <w:rFonts w:ascii="Times New Roman" w:hAnsi="Times New Roman" w:cs="Times New Roman"/>
          <w:color w:val="auto"/>
          <w:sz w:val="20"/>
          <w:szCs w:val="20"/>
        </w:rPr>
        <w:t>make</w:t>
      </w:r>
      <w:r w:rsidR="001D4A8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the </w:t>
      </w:r>
      <w:r w:rsidR="0069588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data obtained precise and </w:t>
      </w:r>
      <w:r w:rsidR="001D4A85" w:rsidRPr="00386CC4">
        <w:rPr>
          <w:rFonts w:ascii="Times New Roman" w:hAnsi="Times New Roman" w:cs="Times New Roman"/>
          <w:color w:val="auto"/>
          <w:sz w:val="20"/>
          <w:szCs w:val="20"/>
        </w:rPr>
        <w:t>reliable.</w:t>
      </w:r>
    </w:p>
    <w:p w:rsidR="00776299" w:rsidRPr="00386CC4" w:rsidRDefault="001D4A85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F13175" w:rsidRDefault="00F13175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vertAlign w:val="subscript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Table 5. Calcium content of Metro Manila sample using KMnO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</w:p>
    <w:p w:rsidR="00105E17" w:rsidRPr="00386CC4" w:rsidRDefault="00105E17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PlainTable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764"/>
        <w:gridCol w:w="1783"/>
        <w:gridCol w:w="1358"/>
        <w:gridCol w:w="1180"/>
        <w:gridCol w:w="1961"/>
      </w:tblGrid>
      <w:tr w:rsidR="00F13175" w:rsidRPr="00386CC4" w:rsidTr="00105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</w:tcPr>
          <w:p w:rsidR="00F13175" w:rsidRPr="00386CC4" w:rsidRDefault="00105E17" w:rsidP="00450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Mass of Mortar S</w:t>
            </w:r>
            <w:r w:rsidR="00F13175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ample (g)</w:t>
            </w:r>
          </w:p>
        </w:tc>
        <w:tc>
          <w:tcPr>
            <w:tcW w:w="764" w:type="dxa"/>
          </w:tcPr>
          <w:p w:rsidR="00F13175" w:rsidRPr="00386CC4" w:rsidRDefault="00F1317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Trial</w:t>
            </w:r>
          </w:p>
        </w:tc>
        <w:tc>
          <w:tcPr>
            <w:tcW w:w="1783" w:type="dxa"/>
          </w:tcPr>
          <w:p w:rsidR="00F13175" w:rsidRPr="00386CC4" w:rsidRDefault="00F1317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Volume of KMnO</w:t>
            </w: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</w:rPr>
              <w:t>4</w:t>
            </w:r>
            <w:r w:rsid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</w:t>
            </w: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onsumed (mL)</w:t>
            </w:r>
          </w:p>
        </w:tc>
        <w:tc>
          <w:tcPr>
            <w:tcW w:w="1358" w:type="dxa"/>
          </w:tcPr>
          <w:p w:rsidR="00F13175" w:rsidRPr="00386CC4" w:rsidRDefault="00F13175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Mass of Ca (g)</w:t>
            </w:r>
          </w:p>
        </w:tc>
        <w:tc>
          <w:tcPr>
            <w:tcW w:w="1180" w:type="dxa"/>
          </w:tcPr>
          <w:p w:rsidR="00F13175" w:rsidRPr="00386CC4" w:rsidRDefault="00105E17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Ca (w/w) in S</w:t>
            </w:r>
            <w:r w:rsidR="00F13175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ample</w:t>
            </w:r>
          </w:p>
        </w:tc>
        <w:tc>
          <w:tcPr>
            <w:tcW w:w="1961" w:type="dxa"/>
          </w:tcPr>
          <w:p w:rsidR="00F13175" w:rsidRPr="00386CC4" w:rsidRDefault="00105E17" w:rsidP="00450B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Mean (w/w) and Standard D</w:t>
            </w:r>
            <w:r w:rsidR="00F13175"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eviation</w:t>
            </w:r>
          </w:p>
        </w:tc>
      </w:tr>
      <w:tr w:rsidR="00F13175" w:rsidRPr="00386CC4" w:rsidTr="00105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Merge w:val="restart"/>
            <w:tcBorders>
              <w:bottom w:val="nil"/>
            </w:tcBorders>
          </w:tcPr>
          <w:p w:rsidR="00F13175" w:rsidRPr="00105E17" w:rsidRDefault="00F13175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0.03423</w:t>
            </w:r>
          </w:p>
        </w:tc>
        <w:tc>
          <w:tcPr>
            <w:tcW w:w="764" w:type="dxa"/>
            <w:tcBorders>
              <w:bottom w:val="nil"/>
            </w:tcBorders>
          </w:tcPr>
          <w:p w:rsidR="00F13175" w:rsidRPr="00105E17" w:rsidRDefault="00F1317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bottom w:val="nil"/>
            </w:tcBorders>
          </w:tcPr>
          <w:p w:rsidR="00F13175" w:rsidRPr="00105E17" w:rsidRDefault="00F1317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23.80</w:t>
            </w:r>
          </w:p>
        </w:tc>
        <w:tc>
          <w:tcPr>
            <w:tcW w:w="1358" w:type="dxa"/>
            <w:tcBorders>
              <w:bottom w:val="nil"/>
            </w:tcBorders>
          </w:tcPr>
          <w:p w:rsidR="00F13175" w:rsidRPr="00105E17" w:rsidRDefault="00F13175" w:rsidP="00450B22">
            <w:pPr>
              <w:ind w:hanging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0.02542</w:t>
            </w:r>
          </w:p>
        </w:tc>
        <w:tc>
          <w:tcPr>
            <w:tcW w:w="1180" w:type="dxa"/>
            <w:tcBorders>
              <w:bottom w:val="nil"/>
            </w:tcBorders>
          </w:tcPr>
          <w:p w:rsidR="00F13175" w:rsidRPr="00105E17" w:rsidRDefault="00F1317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74.26</w:t>
            </w:r>
          </w:p>
        </w:tc>
        <w:tc>
          <w:tcPr>
            <w:tcW w:w="1961" w:type="dxa"/>
            <w:vMerge w:val="restart"/>
          </w:tcPr>
          <w:p w:rsidR="00F13175" w:rsidRPr="00386CC4" w:rsidRDefault="00F1317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73.33% ± 6.88* (2.77)</w:t>
            </w:r>
          </w:p>
          <w:p w:rsidR="00F13175" w:rsidRPr="00386CC4" w:rsidRDefault="00F1317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3175" w:rsidRPr="00386CC4" w:rsidTr="00105E1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Merge/>
            <w:tcBorders>
              <w:top w:val="nil"/>
              <w:bottom w:val="nil"/>
            </w:tcBorders>
          </w:tcPr>
          <w:p w:rsidR="00F13175" w:rsidRPr="00105E17" w:rsidRDefault="00F13175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F13175" w:rsidRPr="00105E17" w:rsidRDefault="00F1317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F13175" w:rsidRPr="00105E17" w:rsidRDefault="00F1317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24.20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F13175" w:rsidRPr="00105E17" w:rsidRDefault="00F1317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0.02585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F13175" w:rsidRPr="00105E17" w:rsidRDefault="00F1317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75.51</w:t>
            </w:r>
          </w:p>
        </w:tc>
        <w:tc>
          <w:tcPr>
            <w:tcW w:w="1961" w:type="dxa"/>
            <w:vMerge/>
          </w:tcPr>
          <w:p w:rsidR="00F13175" w:rsidRPr="00386CC4" w:rsidRDefault="00F13175" w:rsidP="00450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3175" w:rsidRPr="00386CC4" w:rsidTr="00105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Merge/>
            <w:tcBorders>
              <w:top w:val="nil"/>
            </w:tcBorders>
          </w:tcPr>
          <w:p w:rsidR="00F13175" w:rsidRPr="00105E17" w:rsidRDefault="00F13175" w:rsidP="00450B2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:rsidR="00F13175" w:rsidRPr="00105E17" w:rsidRDefault="00F1317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83" w:type="dxa"/>
            <w:tcBorders>
              <w:top w:val="nil"/>
            </w:tcBorders>
          </w:tcPr>
          <w:p w:rsidR="00F13175" w:rsidRPr="00105E17" w:rsidRDefault="00F1317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22.50</w:t>
            </w:r>
          </w:p>
        </w:tc>
        <w:tc>
          <w:tcPr>
            <w:tcW w:w="1358" w:type="dxa"/>
            <w:tcBorders>
              <w:top w:val="nil"/>
            </w:tcBorders>
          </w:tcPr>
          <w:p w:rsidR="00F13175" w:rsidRPr="00105E17" w:rsidRDefault="00F1317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0.02403</w:t>
            </w:r>
          </w:p>
        </w:tc>
        <w:tc>
          <w:tcPr>
            <w:tcW w:w="1180" w:type="dxa"/>
            <w:tcBorders>
              <w:top w:val="nil"/>
            </w:tcBorders>
          </w:tcPr>
          <w:p w:rsidR="00F13175" w:rsidRPr="00105E17" w:rsidRDefault="00F1317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70.21</w:t>
            </w:r>
          </w:p>
        </w:tc>
        <w:tc>
          <w:tcPr>
            <w:tcW w:w="1961" w:type="dxa"/>
            <w:vMerge/>
          </w:tcPr>
          <w:p w:rsidR="00F13175" w:rsidRPr="00386CC4" w:rsidRDefault="00F13175" w:rsidP="00450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13175" w:rsidRP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05E17">
        <w:rPr>
          <w:rFonts w:ascii="Times New Roman" w:hAnsi="Times New Roman" w:cs="Times New Roman"/>
          <w:color w:val="auto"/>
          <w:sz w:val="18"/>
          <w:szCs w:val="18"/>
        </w:rPr>
        <w:t xml:space="preserve">     </w:t>
      </w:r>
      <w:r w:rsidR="00F13175" w:rsidRPr="00105E17">
        <w:rPr>
          <w:rFonts w:ascii="Times New Roman" w:hAnsi="Times New Roman" w:cs="Times New Roman"/>
          <w:color w:val="auto"/>
          <w:sz w:val="18"/>
          <w:szCs w:val="18"/>
        </w:rPr>
        <w:t xml:space="preserve">* </w:t>
      </w:r>
      <w:r w:rsidR="00BF6D76" w:rsidRPr="00105E17">
        <w:rPr>
          <w:rFonts w:ascii="Times New Roman" w:hAnsi="Times New Roman" w:cs="Times New Roman"/>
          <w:color w:val="auto"/>
          <w:sz w:val="18"/>
          <w:szCs w:val="18"/>
        </w:rPr>
        <w:t>at 95% confidence level</w:t>
      </w:r>
    </w:p>
    <w:p w:rsidR="001D4A85" w:rsidRPr="00386CC4" w:rsidRDefault="001D4A85" w:rsidP="00450B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1D4A85" w:rsidRPr="00505835" w:rsidRDefault="001D4A85" w:rsidP="00450B22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583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Comparison </w:t>
      </w:r>
      <w:r w:rsidR="00E82CBD" w:rsidRPr="00505835">
        <w:rPr>
          <w:rFonts w:ascii="Times New Roman" w:hAnsi="Times New Roman" w:cs="Times New Roman"/>
          <w:b/>
          <w:color w:val="auto"/>
          <w:sz w:val="20"/>
          <w:szCs w:val="20"/>
        </w:rPr>
        <w:t>of EDTA and KMnO</w:t>
      </w:r>
      <w:r w:rsidR="00E82CBD" w:rsidRPr="00505835">
        <w:rPr>
          <w:rFonts w:ascii="Times New Roman" w:hAnsi="Times New Roman" w:cs="Times New Roman"/>
          <w:b/>
          <w:color w:val="auto"/>
          <w:sz w:val="20"/>
          <w:szCs w:val="20"/>
          <w:vertAlign w:val="subscript"/>
        </w:rPr>
        <w:t xml:space="preserve">4 </w:t>
      </w:r>
      <w:r w:rsidRPr="00505835">
        <w:rPr>
          <w:rFonts w:ascii="Times New Roman" w:hAnsi="Times New Roman" w:cs="Times New Roman"/>
          <w:b/>
          <w:color w:val="auto"/>
          <w:sz w:val="20"/>
          <w:szCs w:val="20"/>
        </w:rPr>
        <w:t>titration methods</w:t>
      </w:r>
    </w:p>
    <w:p w:rsidR="005578E3" w:rsidRPr="00386CC4" w:rsidRDefault="005578E3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Results of the two tailed </w:t>
      </w:r>
      <w:r w:rsidRPr="00386CC4">
        <w:rPr>
          <w:rFonts w:ascii="Times New Roman" w:hAnsi="Times New Roman" w:cs="Times New Roman"/>
          <w:i/>
          <w:color w:val="auto"/>
          <w:sz w:val="20"/>
          <w:szCs w:val="20"/>
        </w:rPr>
        <w:t>t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-test for </w:t>
      </w:r>
      <w:r w:rsidR="00277F1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two independent means </w:t>
      </w:r>
      <w:r w:rsidR="00A055F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performed on </w:t>
      </w:r>
      <w:r w:rsidR="00277F1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Misamis Oriental mortar samples </w:t>
      </w:r>
      <w:r w:rsidR="00A055F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indicate 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that at 95% confidence level, the calculated </w:t>
      </w:r>
      <w:r w:rsidR="00225102" w:rsidRPr="00386CC4">
        <w:rPr>
          <w:rFonts w:ascii="Times New Roman" w:hAnsi="Times New Roman" w:cs="Times New Roman"/>
          <w:i/>
          <w:color w:val="auto"/>
          <w:sz w:val="20"/>
          <w:szCs w:val="20"/>
        </w:rPr>
        <w:t xml:space="preserve">t 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277F1E" w:rsidRPr="00386CC4">
        <w:rPr>
          <w:rFonts w:ascii="Times New Roman" w:hAnsi="Times New Roman" w:cs="Times New Roman"/>
          <w:i/>
          <w:color w:val="auto"/>
          <w:sz w:val="20"/>
          <w:szCs w:val="20"/>
        </w:rPr>
        <w:t>t</w:t>
      </w:r>
      <w:r w:rsidR="00277F1E" w:rsidRPr="00386CC4">
        <w:rPr>
          <w:rFonts w:ascii="Times New Roman" w:hAnsi="Times New Roman" w:cs="Times New Roman"/>
          <w:i/>
          <w:color w:val="auto"/>
          <w:sz w:val="20"/>
          <w:szCs w:val="20"/>
          <w:vertAlign w:val="subscript"/>
        </w:rPr>
        <w:t>calc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277F1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>is</w:t>
      </w:r>
      <w:r w:rsidR="00277F1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0.4653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which is </w:t>
      </w:r>
      <w:r w:rsidR="00277F1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less than the 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critical </w:t>
      </w:r>
      <w:r w:rsidR="00225102" w:rsidRPr="00386CC4">
        <w:rPr>
          <w:rFonts w:ascii="Times New Roman" w:hAnsi="Times New Roman" w:cs="Times New Roman"/>
          <w:i/>
          <w:color w:val="auto"/>
          <w:sz w:val="20"/>
          <w:szCs w:val="20"/>
        </w:rPr>
        <w:t>t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277F1E" w:rsidRPr="00386CC4">
        <w:rPr>
          <w:rFonts w:ascii="Times New Roman" w:hAnsi="Times New Roman" w:cs="Times New Roman"/>
          <w:i/>
          <w:color w:val="auto"/>
          <w:sz w:val="20"/>
          <w:szCs w:val="20"/>
        </w:rPr>
        <w:t>t</w:t>
      </w:r>
      <w:r w:rsidR="00277F1E" w:rsidRPr="00386CC4">
        <w:rPr>
          <w:rFonts w:ascii="Times New Roman" w:hAnsi="Times New Roman" w:cs="Times New Roman"/>
          <w:i/>
          <w:color w:val="auto"/>
          <w:sz w:val="20"/>
          <w:szCs w:val="20"/>
          <w:vertAlign w:val="subscript"/>
        </w:rPr>
        <w:t>table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277F1E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value of 2.776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>for 4 degrees of freedom. Hence, the null hypothesis (H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0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>) is accepted and the two titration methods, EDTA and KMnO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>, are not significantly different at p</w:t>
      </w:r>
      <w:r w:rsidR="00105E1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2510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&lt;0.05. 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For the Metro Manila mortar samples, the same </w:t>
      </w:r>
      <w:r w:rsidR="00A02B5B" w:rsidRPr="00386CC4">
        <w:rPr>
          <w:rFonts w:ascii="Times New Roman" w:hAnsi="Times New Roman" w:cs="Times New Roman"/>
          <w:i/>
          <w:color w:val="auto"/>
          <w:sz w:val="20"/>
          <w:szCs w:val="20"/>
        </w:rPr>
        <w:t>t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</w:rPr>
        <w:t>test yield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>ed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r w:rsidR="00BA7F04" w:rsidRPr="00386CC4">
        <w:rPr>
          <w:rFonts w:ascii="Times New Roman" w:hAnsi="Times New Roman" w:cs="Times New Roman"/>
          <w:i/>
          <w:color w:val="auto"/>
          <w:sz w:val="20"/>
          <w:szCs w:val="20"/>
        </w:rPr>
        <w:t>t</w:t>
      </w:r>
      <w:r w:rsidR="00BA7F04" w:rsidRPr="00386CC4">
        <w:rPr>
          <w:rFonts w:ascii="Times New Roman" w:hAnsi="Times New Roman" w:cs="Times New Roman"/>
          <w:i/>
          <w:color w:val="auto"/>
          <w:sz w:val="20"/>
          <w:szCs w:val="20"/>
          <w:vertAlign w:val="subscript"/>
        </w:rPr>
        <w:t>calc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 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value of 0.1242 which is also less than the </w:t>
      </w:r>
      <w:r w:rsidR="00BA7F04" w:rsidRPr="00386CC4">
        <w:rPr>
          <w:rFonts w:ascii="Times New Roman" w:hAnsi="Times New Roman" w:cs="Times New Roman"/>
          <w:i/>
          <w:color w:val="auto"/>
          <w:sz w:val="20"/>
          <w:szCs w:val="20"/>
        </w:rPr>
        <w:t>t</w:t>
      </w:r>
      <w:r w:rsidR="00BA7F04" w:rsidRPr="00386CC4">
        <w:rPr>
          <w:rFonts w:ascii="Times New Roman" w:hAnsi="Times New Roman" w:cs="Times New Roman"/>
          <w:i/>
          <w:color w:val="auto"/>
          <w:sz w:val="20"/>
          <w:szCs w:val="20"/>
          <w:vertAlign w:val="subscript"/>
        </w:rPr>
        <w:t>table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 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</w:rPr>
        <w:t>(2.776) for a 95% confidence and 4 degrees of freedom. The null hypothesis is therefore accepted an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>d there is no significant difference</w:t>
      </w:r>
      <w:r w:rsidR="001F6FC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between the 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</w:rPr>
        <w:t>calcium concentration</w:t>
      </w:r>
      <w:r w:rsidR="001F6FC7" w:rsidRPr="00386CC4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resulting from the EDTA and KMnO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BA7F0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F6FC7" w:rsidRPr="00386CC4">
        <w:rPr>
          <w:rFonts w:ascii="Times New Roman" w:hAnsi="Times New Roman" w:cs="Times New Roman"/>
          <w:color w:val="auto"/>
          <w:sz w:val="20"/>
          <w:szCs w:val="20"/>
        </w:rPr>
        <w:t>titration</w:t>
      </w:r>
      <w:r w:rsidR="007430C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[23,</w:t>
      </w:r>
      <w:r w:rsidR="00105E1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430C1" w:rsidRPr="00386CC4">
        <w:rPr>
          <w:rFonts w:ascii="Times New Roman" w:hAnsi="Times New Roman" w:cs="Times New Roman"/>
          <w:color w:val="auto"/>
          <w:sz w:val="20"/>
          <w:szCs w:val="20"/>
        </w:rPr>
        <w:t>24]</w:t>
      </w:r>
      <w:r w:rsidR="001F6FC7" w:rsidRPr="00386CC4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1F6FC7" w:rsidRPr="00386CC4" w:rsidRDefault="001F6FC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0091A" w:rsidRPr="00386CC4" w:rsidRDefault="001F6FC7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precision of the two different titration methods was evaluated using the </w:t>
      </w:r>
      <w:r w:rsidRPr="00386CC4">
        <w:rPr>
          <w:rFonts w:ascii="Times New Roman" w:hAnsi="Times New Roman" w:cs="Times New Roman"/>
          <w:i/>
          <w:color w:val="auto"/>
          <w:sz w:val="20"/>
          <w:szCs w:val="20"/>
        </w:rPr>
        <w:t>F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-test. For the Misamis Oriental mortar samples, the computed </w:t>
      </w:r>
      <w:r w:rsidRPr="00386CC4">
        <w:rPr>
          <w:rFonts w:ascii="Times New Roman" w:hAnsi="Times New Roman" w:cs="Times New Roman"/>
          <w:i/>
          <w:color w:val="auto"/>
          <w:sz w:val="20"/>
          <w:szCs w:val="20"/>
        </w:rPr>
        <w:t>F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-value (</w:t>
      </w:r>
      <w:r w:rsidRPr="00386CC4">
        <w:rPr>
          <w:rFonts w:ascii="Times New Roman" w:hAnsi="Times New Roman" w:cs="Times New Roman"/>
          <w:i/>
          <w:color w:val="auto"/>
          <w:sz w:val="20"/>
          <w:szCs w:val="20"/>
        </w:rPr>
        <w:t>F</w:t>
      </w:r>
      <w:r w:rsidRPr="00386CC4">
        <w:rPr>
          <w:rFonts w:ascii="Times New Roman" w:hAnsi="Times New Roman" w:cs="Times New Roman"/>
          <w:i/>
          <w:color w:val="auto"/>
          <w:sz w:val="20"/>
          <w:szCs w:val="20"/>
          <w:vertAlign w:val="subscript"/>
        </w:rPr>
        <w:t>calc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) is 2.07 and for the Metro Manila sample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02B5B" w:rsidRPr="00386CC4">
        <w:rPr>
          <w:rFonts w:ascii="Times New Roman" w:hAnsi="Times New Roman" w:cs="Times New Roman"/>
          <w:i/>
          <w:color w:val="auto"/>
          <w:sz w:val="20"/>
          <w:szCs w:val="20"/>
        </w:rPr>
        <w:t>F</w:t>
      </w:r>
      <w:r w:rsidR="00A02B5B" w:rsidRPr="00386CC4">
        <w:rPr>
          <w:rFonts w:ascii="Times New Roman" w:hAnsi="Times New Roman" w:cs="Times New Roman"/>
          <w:i/>
          <w:color w:val="auto"/>
          <w:sz w:val="20"/>
          <w:szCs w:val="20"/>
          <w:vertAlign w:val="subscript"/>
        </w:rPr>
        <w:t>calc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is equal to 6.58. Since both </w:t>
      </w:r>
      <w:r w:rsidR="00A02B5B" w:rsidRPr="00386CC4">
        <w:rPr>
          <w:rFonts w:ascii="Times New Roman" w:hAnsi="Times New Roman" w:cs="Times New Roman"/>
          <w:i/>
          <w:color w:val="auto"/>
          <w:sz w:val="20"/>
          <w:szCs w:val="20"/>
        </w:rPr>
        <w:t>F</w:t>
      </w:r>
      <w:r w:rsidR="00A02B5B" w:rsidRPr="00386CC4">
        <w:rPr>
          <w:rFonts w:ascii="Times New Roman" w:hAnsi="Times New Roman" w:cs="Times New Roman"/>
          <w:i/>
          <w:color w:val="auto"/>
          <w:sz w:val="20"/>
          <w:szCs w:val="20"/>
          <w:vertAlign w:val="subscript"/>
        </w:rPr>
        <w:t>calc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values </w:t>
      </w:r>
      <w:r w:rsidR="0010091A" w:rsidRPr="00386CC4">
        <w:rPr>
          <w:rFonts w:ascii="Times New Roman" w:hAnsi="Times New Roman" w:cs="Times New Roman"/>
          <w:color w:val="auto"/>
          <w:sz w:val="20"/>
          <w:szCs w:val="20"/>
        </w:rPr>
        <w:t>did not exceed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the tabulated critical value of </w:t>
      </w:r>
      <w:r w:rsidR="00A02B5B" w:rsidRPr="00386CC4">
        <w:rPr>
          <w:rFonts w:ascii="Times New Roman" w:hAnsi="Times New Roman" w:cs="Times New Roman"/>
          <w:i/>
          <w:color w:val="auto"/>
          <w:sz w:val="20"/>
          <w:szCs w:val="20"/>
        </w:rPr>
        <w:t xml:space="preserve">F 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for a 95% confidence level at two degrees of freedom (19.0), there is </w:t>
      </w:r>
      <w:r w:rsidR="0010091A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statistically 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>no significant difference between the standard deviations of the EDTA and KMnO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titration methods for both mortar samples</w:t>
      </w:r>
      <w:r w:rsidR="007430C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[23]</w:t>
      </w:r>
      <w:r w:rsidR="00A02B5B" w:rsidRPr="00386CC4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10091A" w:rsidRPr="00386CC4" w:rsidRDefault="0010091A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ab/>
      </w:r>
    </w:p>
    <w:p w:rsidR="00187E05" w:rsidRPr="00386CC4" w:rsidRDefault="0010091A" w:rsidP="00450B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Pr="00386CC4">
        <w:rPr>
          <w:rFonts w:ascii="Times New Roman" w:hAnsi="Times New Roman" w:cs="Times New Roman"/>
          <w:i/>
          <w:color w:val="auto"/>
          <w:sz w:val="20"/>
          <w:szCs w:val="20"/>
        </w:rPr>
        <w:t>t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-test and </w:t>
      </w:r>
      <w:r w:rsidRPr="00386CC4">
        <w:rPr>
          <w:rFonts w:ascii="Times New Roman" w:hAnsi="Times New Roman" w:cs="Times New Roman"/>
          <w:i/>
          <w:color w:val="auto"/>
          <w:sz w:val="20"/>
          <w:szCs w:val="20"/>
        </w:rPr>
        <w:t>F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-test </w:t>
      </w:r>
      <w:r w:rsidR="007A2590" w:rsidRPr="00386CC4">
        <w:rPr>
          <w:rFonts w:ascii="Times New Roman" w:hAnsi="Times New Roman" w:cs="Times New Roman"/>
          <w:color w:val="auto"/>
          <w:sz w:val="20"/>
          <w:szCs w:val="20"/>
        </w:rPr>
        <w:t>analysis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proves that the EDTA and KMnO</w:t>
      </w:r>
      <w:r w:rsidRPr="00386CC4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titration methods</w:t>
      </w:r>
      <w:r w:rsidR="005D1CC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done in this study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will provide the same analytical results</w:t>
      </w:r>
      <w:r w:rsidR="007A2590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and the </w:t>
      </w:r>
      <w:r w:rsidR="005D1CC1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observed difference are attributed entirely to random errors and not to systematic errors. </w:t>
      </w:r>
      <w:r w:rsidR="00187E0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This shows that both methods are comparable </w:t>
      </w:r>
      <w:r w:rsidR="005D1CC1" w:rsidRPr="00386CC4">
        <w:rPr>
          <w:rFonts w:ascii="Times New Roman" w:hAnsi="Times New Roman" w:cs="Times New Roman"/>
          <w:color w:val="auto"/>
          <w:sz w:val="20"/>
          <w:szCs w:val="20"/>
        </w:rPr>
        <w:t>and either method is effective in determining</w:t>
      </w:r>
      <w:r w:rsidR="00187E05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D1CC1" w:rsidRPr="00386CC4">
        <w:rPr>
          <w:rFonts w:ascii="Times New Roman" w:hAnsi="Times New Roman" w:cs="Times New Roman"/>
          <w:color w:val="auto"/>
          <w:sz w:val="20"/>
          <w:szCs w:val="20"/>
        </w:rPr>
        <w:t>the concentration of calcium o</w:t>
      </w:r>
      <w:r w:rsidR="00187E05" w:rsidRPr="00386CC4">
        <w:rPr>
          <w:rFonts w:ascii="Times New Roman" w:hAnsi="Times New Roman" w:cs="Times New Roman"/>
          <w:color w:val="auto"/>
          <w:sz w:val="20"/>
          <w:szCs w:val="20"/>
        </w:rPr>
        <w:t>n old lime mortar samples.</w:t>
      </w:r>
      <w:r w:rsidR="00187E05" w:rsidRPr="00386C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187E05" w:rsidRPr="00386CC4" w:rsidRDefault="00187E05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236EA" w:rsidRPr="00505835" w:rsidRDefault="00114F54" w:rsidP="00450B2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5835">
        <w:rPr>
          <w:rFonts w:ascii="Times New Roman" w:hAnsi="Times New Roman" w:cs="Times New Roman"/>
          <w:b/>
          <w:sz w:val="20"/>
          <w:szCs w:val="20"/>
        </w:rPr>
        <w:t>A</w:t>
      </w:r>
      <w:r w:rsidR="000236EA" w:rsidRPr="00505835">
        <w:rPr>
          <w:rFonts w:ascii="Times New Roman" w:hAnsi="Times New Roman" w:cs="Times New Roman"/>
          <w:b/>
          <w:sz w:val="20"/>
          <w:szCs w:val="20"/>
        </w:rPr>
        <w:t xml:space="preserve">tomic </w:t>
      </w:r>
      <w:r w:rsidR="0058047E" w:rsidRPr="00505835">
        <w:rPr>
          <w:rFonts w:ascii="Times New Roman" w:hAnsi="Times New Roman" w:cs="Times New Roman"/>
          <w:b/>
          <w:sz w:val="20"/>
          <w:szCs w:val="20"/>
        </w:rPr>
        <w:t>a</w:t>
      </w:r>
      <w:r w:rsidR="000236EA" w:rsidRPr="00505835">
        <w:rPr>
          <w:rFonts w:ascii="Times New Roman" w:hAnsi="Times New Roman" w:cs="Times New Roman"/>
          <w:b/>
          <w:sz w:val="20"/>
          <w:szCs w:val="20"/>
        </w:rPr>
        <w:t xml:space="preserve">bsorption </w:t>
      </w:r>
      <w:r w:rsidR="0058047E" w:rsidRPr="00505835">
        <w:rPr>
          <w:rFonts w:ascii="Times New Roman" w:hAnsi="Times New Roman" w:cs="Times New Roman"/>
          <w:b/>
          <w:sz w:val="20"/>
          <w:szCs w:val="20"/>
        </w:rPr>
        <w:t>s</w:t>
      </w:r>
      <w:r w:rsidR="000236EA" w:rsidRPr="00505835">
        <w:rPr>
          <w:rFonts w:ascii="Times New Roman" w:hAnsi="Times New Roman" w:cs="Times New Roman"/>
          <w:b/>
          <w:sz w:val="20"/>
          <w:szCs w:val="20"/>
        </w:rPr>
        <w:t xml:space="preserve">pectroscopy </w:t>
      </w:r>
      <w:r w:rsidRPr="00505835">
        <w:rPr>
          <w:rFonts w:ascii="Times New Roman" w:hAnsi="Times New Roman" w:cs="Times New Roman"/>
          <w:b/>
          <w:sz w:val="20"/>
          <w:szCs w:val="20"/>
        </w:rPr>
        <w:t>analysis of calcium</w:t>
      </w:r>
    </w:p>
    <w:p w:rsidR="00C56EEC" w:rsidRDefault="00592CE9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>AAS was used t</w:t>
      </w:r>
      <w:r w:rsidR="005B59AB" w:rsidRPr="00386CC4">
        <w:rPr>
          <w:rFonts w:ascii="Times New Roman" w:hAnsi="Times New Roman" w:cs="Times New Roman"/>
          <w:sz w:val="20"/>
          <w:szCs w:val="20"/>
        </w:rPr>
        <w:t>o further validate the resul</w:t>
      </w:r>
      <w:r w:rsidRPr="00386CC4">
        <w:rPr>
          <w:rFonts w:ascii="Times New Roman" w:hAnsi="Times New Roman" w:cs="Times New Roman"/>
          <w:sz w:val="20"/>
          <w:szCs w:val="20"/>
        </w:rPr>
        <w:t>ts of the titration methods in determining the amount of calcium on the old mortar sample</w:t>
      </w:r>
      <w:r w:rsidR="004279F1" w:rsidRPr="00386CC4">
        <w:rPr>
          <w:rFonts w:ascii="Times New Roman" w:hAnsi="Times New Roman" w:cs="Times New Roman"/>
          <w:sz w:val="20"/>
          <w:szCs w:val="20"/>
        </w:rPr>
        <w:t>’</w:t>
      </w:r>
      <w:r w:rsidRPr="00386CC4">
        <w:rPr>
          <w:rFonts w:ascii="Times New Roman" w:hAnsi="Times New Roman" w:cs="Times New Roman"/>
          <w:sz w:val="20"/>
          <w:szCs w:val="20"/>
        </w:rPr>
        <w:t>s</w:t>
      </w:r>
      <w:r w:rsidR="004279F1" w:rsidRPr="00386CC4">
        <w:rPr>
          <w:rFonts w:ascii="Times New Roman" w:hAnsi="Times New Roman" w:cs="Times New Roman"/>
          <w:sz w:val="20"/>
          <w:szCs w:val="20"/>
        </w:rPr>
        <w:t xml:space="preserve"> binder fraction</w:t>
      </w:r>
      <w:r w:rsidRPr="00386CC4">
        <w:rPr>
          <w:rFonts w:ascii="Times New Roman" w:hAnsi="Times New Roman" w:cs="Times New Roman"/>
          <w:sz w:val="20"/>
          <w:szCs w:val="20"/>
        </w:rPr>
        <w:t>.</w:t>
      </w:r>
      <w:r w:rsidR="00F1565E" w:rsidRPr="00386CC4">
        <w:rPr>
          <w:rFonts w:ascii="Times New Roman" w:hAnsi="Times New Roman" w:cs="Times New Roman"/>
          <w:sz w:val="20"/>
          <w:szCs w:val="20"/>
        </w:rPr>
        <w:t xml:space="preserve"> Table </w:t>
      </w:r>
      <w:r w:rsidR="00F86AE8" w:rsidRPr="00386CC4">
        <w:rPr>
          <w:rFonts w:ascii="Times New Roman" w:hAnsi="Times New Roman" w:cs="Times New Roman"/>
          <w:sz w:val="20"/>
          <w:szCs w:val="20"/>
        </w:rPr>
        <w:t>6</w:t>
      </w:r>
      <w:r w:rsidR="00F1565E" w:rsidRPr="00386CC4">
        <w:rPr>
          <w:rFonts w:ascii="Times New Roman" w:hAnsi="Times New Roman" w:cs="Times New Roman"/>
          <w:sz w:val="20"/>
          <w:szCs w:val="20"/>
        </w:rPr>
        <w:t xml:space="preserve"> shows that the calcium concentration obtained </w:t>
      </w:r>
      <w:r w:rsidR="00C56EEC" w:rsidRPr="00386CC4">
        <w:rPr>
          <w:rFonts w:ascii="Times New Roman" w:hAnsi="Times New Roman" w:cs="Times New Roman"/>
          <w:sz w:val="20"/>
          <w:szCs w:val="20"/>
        </w:rPr>
        <w:t xml:space="preserve">in the </w:t>
      </w:r>
      <w:r w:rsidR="00F1565E" w:rsidRPr="00386CC4">
        <w:rPr>
          <w:rFonts w:ascii="Times New Roman" w:hAnsi="Times New Roman" w:cs="Times New Roman"/>
          <w:sz w:val="20"/>
          <w:szCs w:val="20"/>
        </w:rPr>
        <w:t>AAS</w:t>
      </w:r>
      <w:r w:rsidR="00C56EEC" w:rsidRPr="00386CC4">
        <w:rPr>
          <w:rFonts w:ascii="Times New Roman" w:hAnsi="Times New Roman" w:cs="Times New Roman"/>
          <w:sz w:val="20"/>
          <w:szCs w:val="20"/>
        </w:rPr>
        <w:t xml:space="preserve"> of the Misamis Oriental sample differs by about 1.2 to 2.3 units from the titration methods or a percentage difference of about less than 3.9%. The Metro Manila sample however differs from the titration m</w:t>
      </w:r>
      <w:r w:rsidR="0053797C" w:rsidRPr="00386CC4">
        <w:rPr>
          <w:rFonts w:ascii="Times New Roman" w:hAnsi="Times New Roman" w:cs="Times New Roman"/>
          <w:sz w:val="20"/>
          <w:szCs w:val="20"/>
        </w:rPr>
        <w:t>ethod by about 4.3 to 4.8 units</w:t>
      </w:r>
      <w:r w:rsidR="00C56EEC" w:rsidRPr="00386CC4">
        <w:rPr>
          <w:rFonts w:ascii="Times New Roman" w:hAnsi="Times New Roman" w:cs="Times New Roman"/>
          <w:sz w:val="20"/>
          <w:szCs w:val="20"/>
        </w:rPr>
        <w:t xml:space="preserve"> which translates to a percentage difference of roughly less than 6.4%</w:t>
      </w:r>
      <w:r w:rsidR="00F86AE8" w:rsidRPr="00386CC4">
        <w:rPr>
          <w:rFonts w:ascii="Times New Roman" w:hAnsi="Times New Roman" w:cs="Times New Roman"/>
          <w:sz w:val="20"/>
          <w:szCs w:val="20"/>
        </w:rPr>
        <w:t xml:space="preserve"> from the titration methods. These percentage differences are statistically acceptable considering the comparison is between a classical method and an instrumental method [</w:t>
      </w:r>
      <w:r w:rsidR="007430C1" w:rsidRPr="00386CC4">
        <w:rPr>
          <w:rFonts w:ascii="Times New Roman" w:hAnsi="Times New Roman" w:cs="Times New Roman"/>
          <w:sz w:val="20"/>
          <w:szCs w:val="20"/>
        </w:rPr>
        <w:t>25</w:t>
      </w:r>
      <w:r w:rsidR="00F86AE8" w:rsidRPr="00386CC4">
        <w:rPr>
          <w:rFonts w:ascii="Times New Roman" w:hAnsi="Times New Roman" w:cs="Times New Roman"/>
          <w:sz w:val="20"/>
          <w:szCs w:val="20"/>
        </w:rPr>
        <w:t>].</w:t>
      </w:r>
      <w:r w:rsidR="00C56EEC" w:rsidRPr="00386CC4">
        <w:rPr>
          <w:rFonts w:ascii="Times New Roman" w:hAnsi="Times New Roman" w:cs="Times New Roman"/>
          <w:sz w:val="20"/>
          <w:szCs w:val="20"/>
        </w:rPr>
        <w:t xml:space="preserve">  </w:t>
      </w:r>
      <w:r w:rsidR="00F1565E" w:rsidRPr="00386C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5E17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5E17" w:rsidRPr="00386CC4" w:rsidRDefault="00105E17" w:rsidP="00450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6AE8" w:rsidRPr="00386CC4" w:rsidRDefault="00F86AE8" w:rsidP="00450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92B06" w:rsidRDefault="000236EA" w:rsidP="00450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 xml:space="preserve">Table </w:t>
      </w:r>
      <w:r w:rsidR="0010091A" w:rsidRPr="00386CC4">
        <w:rPr>
          <w:rFonts w:ascii="Times New Roman" w:hAnsi="Times New Roman" w:cs="Times New Roman"/>
          <w:sz w:val="20"/>
          <w:szCs w:val="20"/>
        </w:rPr>
        <w:t>6</w:t>
      </w:r>
      <w:r w:rsidR="0058047E" w:rsidRPr="00386CC4">
        <w:rPr>
          <w:rFonts w:ascii="Times New Roman" w:hAnsi="Times New Roman" w:cs="Times New Roman"/>
          <w:sz w:val="20"/>
          <w:szCs w:val="20"/>
        </w:rPr>
        <w:t xml:space="preserve">. </w:t>
      </w:r>
      <w:r w:rsidRPr="00386CC4">
        <w:rPr>
          <w:rFonts w:ascii="Times New Roman" w:hAnsi="Times New Roman" w:cs="Times New Roman"/>
          <w:sz w:val="20"/>
          <w:szCs w:val="20"/>
        </w:rPr>
        <w:t xml:space="preserve">Summary of </w:t>
      </w:r>
      <w:r w:rsidR="00B24DE6" w:rsidRPr="00386CC4">
        <w:rPr>
          <w:rFonts w:ascii="Times New Roman" w:hAnsi="Times New Roman" w:cs="Times New Roman"/>
          <w:sz w:val="20"/>
          <w:szCs w:val="20"/>
        </w:rPr>
        <w:t>AAS</w:t>
      </w:r>
      <w:r w:rsidRPr="00386CC4">
        <w:rPr>
          <w:rFonts w:ascii="Times New Roman" w:hAnsi="Times New Roman" w:cs="Times New Roman"/>
          <w:sz w:val="20"/>
          <w:szCs w:val="20"/>
        </w:rPr>
        <w:t xml:space="preserve"> data for calcium content</w:t>
      </w:r>
    </w:p>
    <w:p w:rsidR="00105E17" w:rsidRPr="00386CC4" w:rsidRDefault="00105E17" w:rsidP="00450B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611"/>
        <w:gridCol w:w="650"/>
        <w:gridCol w:w="1561"/>
        <w:gridCol w:w="1239"/>
        <w:gridCol w:w="711"/>
        <w:gridCol w:w="2026"/>
      </w:tblGrid>
      <w:tr w:rsidR="005B59AB" w:rsidRPr="00386CC4" w:rsidTr="00105E17">
        <w:trPr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59AB" w:rsidRPr="00105E17" w:rsidRDefault="00105E17" w:rsidP="00450B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S</w:t>
            </w:r>
            <w:r w:rsidR="005B59AB" w:rsidRPr="0010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59AB" w:rsidRPr="00105E17" w:rsidRDefault="005B59AB" w:rsidP="00450B22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105E17" w:rsidRDefault="00105E17" w:rsidP="00450B22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Mass of S</w:t>
            </w:r>
            <w:r w:rsidR="005B59AB" w:rsidRPr="0010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ample </w:t>
            </w:r>
          </w:p>
          <w:p w:rsidR="005B59AB" w:rsidRPr="00105E17" w:rsidRDefault="005B59AB" w:rsidP="00450B22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59AB" w:rsidRPr="00105E17" w:rsidRDefault="005B59AB" w:rsidP="00450B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Absorbance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B59AB" w:rsidRPr="00105E17" w:rsidRDefault="005B59AB" w:rsidP="00450B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Ca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5B59AB" w:rsidRPr="00105E17" w:rsidRDefault="005B59AB" w:rsidP="00450B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and</w:t>
            </w:r>
          </w:p>
          <w:p w:rsidR="005B59AB" w:rsidRPr="00105E17" w:rsidRDefault="00105E17" w:rsidP="00450B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D</w:t>
            </w:r>
            <w:r w:rsidR="005B59AB" w:rsidRPr="00105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eviation</w:t>
            </w:r>
          </w:p>
        </w:tc>
      </w:tr>
      <w:tr w:rsidR="005B59AB" w:rsidRPr="00386CC4" w:rsidTr="00105E1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Misamis Oriental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0.1079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0.0538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5B59AB" w:rsidRPr="00386CC4" w:rsidRDefault="00C16602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61.09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:rsidR="005B59AB" w:rsidRPr="00386CC4" w:rsidRDefault="00105E17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58.21% ± 6.31</w:t>
            </w:r>
            <w:r w:rsidR="005B59AB" w:rsidRPr="00386CC4">
              <w:rPr>
                <w:rFonts w:ascii="Times New Roman" w:hAnsi="Times New Roman" w:cs="Times New Roman"/>
                <w:sz w:val="20"/>
                <w:szCs w:val="20"/>
              </w:rPr>
              <w:t>* (2.54)</w:t>
            </w:r>
          </w:p>
        </w:tc>
      </w:tr>
      <w:tr w:rsidR="005B59AB" w:rsidRPr="00386CC4" w:rsidTr="00105E17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0.1079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0.0506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C16602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57.19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AB" w:rsidRPr="00386CC4" w:rsidTr="00105E17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0.1079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0.0499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C16602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56.34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AB" w:rsidRPr="00386CC4" w:rsidTr="00105E17">
        <w:trPr>
          <w:jc w:val="center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Metro Manila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0.1027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0.0640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C16602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77.26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78.11% ± 4.82* (1.94)</w:t>
            </w:r>
          </w:p>
        </w:tc>
      </w:tr>
      <w:tr w:rsidR="005B59AB" w:rsidRPr="00386CC4" w:rsidTr="00105E17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0.1027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0.0664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B59AB" w:rsidRPr="00386CC4" w:rsidRDefault="00724DB7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80.33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AB" w:rsidRPr="00386CC4" w:rsidTr="00105E17">
        <w:trPr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0.1027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0.0636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</w:tcPr>
          <w:p w:rsidR="005B59AB" w:rsidRPr="00386CC4" w:rsidRDefault="00724DB7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CC4">
              <w:rPr>
                <w:rFonts w:ascii="Times New Roman" w:hAnsi="Times New Roman" w:cs="Times New Roman"/>
                <w:sz w:val="20"/>
                <w:szCs w:val="20"/>
              </w:rPr>
              <w:t>76.74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5B59AB" w:rsidRPr="00386CC4" w:rsidRDefault="005B59AB" w:rsidP="0045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3D5F" w:rsidRPr="00386CC4" w:rsidRDefault="00136024" w:rsidP="00450B2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05E17">
        <w:rPr>
          <w:rFonts w:ascii="Times New Roman" w:hAnsi="Times New Roman" w:cs="Times New Roman"/>
          <w:color w:val="auto"/>
          <w:sz w:val="18"/>
          <w:szCs w:val="18"/>
        </w:rPr>
        <w:t xml:space="preserve">* </w:t>
      </w:r>
      <w:r w:rsidR="00BF6D76" w:rsidRPr="00105E17">
        <w:rPr>
          <w:rFonts w:ascii="Times New Roman" w:hAnsi="Times New Roman" w:cs="Times New Roman"/>
          <w:color w:val="auto"/>
          <w:sz w:val="18"/>
          <w:szCs w:val="18"/>
        </w:rPr>
        <w:t>at 95% confidence level</w:t>
      </w:r>
    </w:p>
    <w:p w:rsidR="000A5CA0" w:rsidRPr="00386CC4" w:rsidRDefault="000A5CA0" w:rsidP="002E3E31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D5164" w:rsidRPr="00386CC4" w:rsidRDefault="0070009F" w:rsidP="005058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6CC4">
        <w:rPr>
          <w:rFonts w:ascii="Times New Roman" w:hAnsi="Times New Roman" w:cs="Times New Roman"/>
          <w:b/>
          <w:sz w:val="20"/>
          <w:szCs w:val="20"/>
        </w:rPr>
        <w:t>Conclusion</w:t>
      </w:r>
    </w:p>
    <w:p w:rsidR="002523AF" w:rsidRPr="00386CC4" w:rsidRDefault="002523AF" w:rsidP="00505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CC4">
        <w:rPr>
          <w:rFonts w:ascii="Times New Roman" w:hAnsi="Times New Roman" w:cs="Times New Roman"/>
          <w:sz w:val="20"/>
          <w:szCs w:val="20"/>
        </w:rPr>
        <w:t>The calcium c</w:t>
      </w:r>
      <w:r w:rsidR="004608D0" w:rsidRPr="00386CC4">
        <w:rPr>
          <w:rFonts w:ascii="Times New Roman" w:hAnsi="Times New Roman" w:cs="Times New Roman"/>
          <w:sz w:val="20"/>
          <w:szCs w:val="20"/>
        </w:rPr>
        <w:t>ontent</w:t>
      </w:r>
      <w:r w:rsidRPr="00386CC4">
        <w:rPr>
          <w:rFonts w:ascii="Times New Roman" w:hAnsi="Times New Roman" w:cs="Times New Roman"/>
          <w:sz w:val="20"/>
          <w:szCs w:val="20"/>
        </w:rPr>
        <w:t xml:space="preserve"> of the binder fraction</w:t>
      </w:r>
      <w:r w:rsidR="009609A5" w:rsidRPr="00386CC4">
        <w:rPr>
          <w:rFonts w:ascii="Times New Roman" w:hAnsi="Times New Roman" w:cs="Times New Roman"/>
          <w:sz w:val="20"/>
          <w:szCs w:val="20"/>
        </w:rPr>
        <w:t>s</w:t>
      </w:r>
      <w:r w:rsidRPr="00386CC4">
        <w:rPr>
          <w:rFonts w:ascii="Times New Roman" w:hAnsi="Times New Roman" w:cs="Times New Roman"/>
          <w:sz w:val="20"/>
          <w:szCs w:val="20"/>
        </w:rPr>
        <w:t xml:space="preserve"> in the </w:t>
      </w:r>
      <w:r w:rsidR="009609A5" w:rsidRPr="00386CC4">
        <w:rPr>
          <w:rFonts w:ascii="Times New Roman" w:hAnsi="Times New Roman" w:cs="Times New Roman"/>
          <w:sz w:val="20"/>
          <w:szCs w:val="20"/>
        </w:rPr>
        <w:t xml:space="preserve">historic </w:t>
      </w:r>
      <w:r w:rsidRPr="00386CC4">
        <w:rPr>
          <w:rFonts w:ascii="Times New Roman" w:hAnsi="Times New Roman" w:cs="Times New Roman"/>
          <w:sz w:val="20"/>
          <w:szCs w:val="20"/>
        </w:rPr>
        <w:t>lime mortar sample</w:t>
      </w:r>
      <w:r w:rsidR="009609A5" w:rsidRPr="00386CC4">
        <w:rPr>
          <w:rFonts w:ascii="Times New Roman" w:hAnsi="Times New Roman" w:cs="Times New Roman"/>
          <w:sz w:val="20"/>
          <w:szCs w:val="20"/>
        </w:rPr>
        <w:t>s</w:t>
      </w:r>
      <w:r w:rsidRPr="00386CC4">
        <w:rPr>
          <w:rFonts w:ascii="Times New Roman" w:hAnsi="Times New Roman" w:cs="Times New Roman"/>
          <w:sz w:val="20"/>
          <w:szCs w:val="20"/>
        </w:rPr>
        <w:t xml:space="preserve"> w</w:t>
      </w:r>
      <w:r w:rsidR="009609A5" w:rsidRPr="00386CC4">
        <w:rPr>
          <w:rFonts w:ascii="Times New Roman" w:hAnsi="Times New Roman" w:cs="Times New Roman"/>
          <w:sz w:val="20"/>
          <w:szCs w:val="20"/>
        </w:rPr>
        <w:t>ere</w:t>
      </w:r>
      <w:r w:rsidRPr="00386CC4">
        <w:rPr>
          <w:rFonts w:ascii="Times New Roman" w:hAnsi="Times New Roman" w:cs="Times New Roman"/>
          <w:sz w:val="20"/>
          <w:szCs w:val="20"/>
        </w:rPr>
        <w:t xml:space="preserve"> determined quantitatively using EDTA and KMnO</w:t>
      </w:r>
      <w:r w:rsidRPr="00386CC4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386CC4">
        <w:rPr>
          <w:rFonts w:ascii="Times New Roman" w:hAnsi="Times New Roman" w:cs="Times New Roman"/>
          <w:sz w:val="20"/>
          <w:szCs w:val="20"/>
        </w:rPr>
        <w:t xml:space="preserve"> titration.</w:t>
      </w:r>
      <w:r w:rsidR="004608D0" w:rsidRPr="00386CC4">
        <w:rPr>
          <w:rFonts w:ascii="Times New Roman" w:hAnsi="Times New Roman" w:cs="Times New Roman"/>
          <w:sz w:val="20"/>
          <w:szCs w:val="20"/>
        </w:rPr>
        <w:t xml:space="preserve"> </w:t>
      </w:r>
      <w:r w:rsidR="00EC4242" w:rsidRPr="00386CC4">
        <w:rPr>
          <w:rFonts w:ascii="Times New Roman" w:hAnsi="Times New Roman" w:cs="Times New Roman"/>
          <w:sz w:val="20"/>
          <w:szCs w:val="20"/>
        </w:rPr>
        <w:t xml:space="preserve">This serves as </w:t>
      </w:r>
      <w:r w:rsidR="00756535" w:rsidRPr="00386CC4">
        <w:rPr>
          <w:rFonts w:ascii="Times New Roman" w:hAnsi="Times New Roman" w:cs="Times New Roman"/>
          <w:sz w:val="20"/>
          <w:szCs w:val="20"/>
        </w:rPr>
        <w:t xml:space="preserve">a </w:t>
      </w:r>
      <w:r w:rsidR="00EC4242" w:rsidRPr="00386CC4">
        <w:rPr>
          <w:rFonts w:ascii="Times New Roman" w:hAnsi="Times New Roman" w:cs="Times New Roman"/>
          <w:sz w:val="20"/>
          <w:szCs w:val="20"/>
        </w:rPr>
        <w:t xml:space="preserve">very useful baseline information for future renovation work of historic structures in the Philippines. Lime mortars are not manufactured the same since the </w:t>
      </w:r>
      <w:r w:rsidR="004608D0" w:rsidRPr="00386CC4">
        <w:rPr>
          <w:rFonts w:ascii="Times New Roman" w:hAnsi="Times New Roman" w:cs="Times New Roman"/>
          <w:sz w:val="20"/>
          <w:szCs w:val="20"/>
        </w:rPr>
        <w:t xml:space="preserve">two church </w:t>
      </w:r>
      <w:r w:rsidR="003B6B17" w:rsidRPr="00386CC4">
        <w:rPr>
          <w:rFonts w:ascii="Times New Roman" w:hAnsi="Times New Roman" w:cs="Times New Roman"/>
          <w:sz w:val="20"/>
          <w:szCs w:val="20"/>
        </w:rPr>
        <w:t xml:space="preserve">ruins </w:t>
      </w:r>
      <w:r w:rsidR="00EC4242" w:rsidRPr="00386CC4">
        <w:rPr>
          <w:rFonts w:ascii="Times New Roman" w:hAnsi="Times New Roman" w:cs="Times New Roman"/>
          <w:sz w:val="20"/>
          <w:szCs w:val="20"/>
        </w:rPr>
        <w:t xml:space="preserve">in this study </w:t>
      </w:r>
      <w:r w:rsidR="004608D0" w:rsidRPr="00386CC4">
        <w:rPr>
          <w:rFonts w:ascii="Times New Roman" w:hAnsi="Times New Roman" w:cs="Times New Roman"/>
          <w:sz w:val="20"/>
          <w:szCs w:val="20"/>
        </w:rPr>
        <w:t xml:space="preserve">have no direct relation with each other and are geographically apart. </w:t>
      </w:r>
      <w:r w:rsidR="009565B3" w:rsidRPr="00386CC4">
        <w:rPr>
          <w:rFonts w:ascii="Times New Roman" w:hAnsi="Times New Roman" w:cs="Times New Roman"/>
          <w:sz w:val="20"/>
          <w:szCs w:val="20"/>
        </w:rPr>
        <w:t>Both EDTA and KMnO</w:t>
      </w:r>
      <w:r w:rsidR="009565B3" w:rsidRPr="00386CC4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9565B3" w:rsidRPr="00386CC4">
        <w:rPr>
          <w:rFonts w:ascii="Times New Roman" w:hAnsi="Times New Roman" w:cs="Times New Roman"/>
          <w:sz w:val="20"/>
          <w:szCs w:val="20"/>
        </w:rPr>
        <w:t xml:space="preserve"> titration methods yield</w:t>
      </w:r>
      <w:r w:rsidR="00EC4242" w:rsidRPr="00386CC4">
        <w:rPr>
          <w:rFonts w:ascii="Times New Roman" w:hAnsi="Times New Roman" w:cs="Times New Roman"/>
          <w:sz w:val="20"/>
          <w:szCs w:val="20"/>
        </w:rPr>
        <w:t>ed</w:t>
      </w:r>
      <w:r w:rsidR="009565B3" w:rsidRPr="00386CC4">
        <w:rPr>
          <w:rFonts w:ascii="Times New Roman" w:hAnsi="Times New Roman" w:cs="Times New Roman"/>
          <w:sz w:val="20"/>
          <w:szCs w:val="20"/>
        </w:rPr>
        <w:t xml:space="preserve"> comparable results </w:t>
      </w:r>
      <w:r w:rsidR="00EC4242" w:rsidRPr="00386CC4">
        <w:rPr>
          <w:rFonts w:ascii="Times New Roman" w:hAnsi="Times New Roman" w:cs="Times New Roman"/>
          <w:sz w:val="20"/>
          <w:szCs w:val="20"/>
        </w:rPr>
        <w:t xml:space="preserve">and have high precision </w:t>
      </w:r>
      <w:r w:rsidR="009565B3" w:rsidRPr="00386CC4">
        <w:rPr>
          <w:rFonts w:ascii="Times New Roman" w:hAnsi="Times New Roman" w:cs="Times New Roman"/>
          <w:sz w:val="20"/>
          <w:szCs w:val="20"/>
        </w:rPr>
        <w:t>based on the statistical tests performed</w:t>
      </w:r>
      <w:r w:rsidR="002A294D" w:rsidRPr="00386CC4">
        <w:rPr>
          <w:rFonts w:ascii="Times New Roman" w:hAnsi="Times New Roman" w:cs="Times New Roman"/>
          <w:sz w:val="20"/>
          <w:szCs w:val="20"/>
        </w:rPr>
        <w:t xml:space="preserve"> and supported by</w:t>
      </w:r>
      <w:r w:rsidR="00EC4242" w:rsidRPr="00386CC4">
        <w:rPr>
          <w:rFonts w:ascii="Times New Roman" w:hAnsi="Times New Roman" w:cs="Times New Roman"/>
          <w:sz w:val="20"/>
          <w:szCs w:val="20"/>
        </w:rPr>
        <w:t xml:space="preserve"> AAS data</w:t>
      </w:r>
      <w:r w:rsidR="002A294D" w:rsidRPr="00386CC4">
        <w:rPr>
          <w:rFonts w:ascii="Times New Roman" w:hAnsi="Times New Roman" w:cs="Times New Roman"/>
          <w:sz w:val="20"/>
          <w:szCs w:val="20"/>
        </w:rPr>
        <w:t xml:space="preserve"> in this study</w:t>
      </w:r>
      <w:r w:rsidR="00EC4242" w:rsidRPr="00386CC4">
        <w:rPr>
          <w:rFonts w:ascii="Times New Roman" w:hAnsi="Times New Roman" w:cs="Times New Roman"/>
          <w:sz w:val="20"/>
          <w:szCs w:val="20"/>
        </w:rPr>
        <w:t>. Hence, both titration techniques can be applied for calcium analysis of historic mortars. Furthermore, t</w:t>
      </w:r>
      <w:r w:rsidR="00DB2A8C" w:rsidRPr="00386CC4">
        <w:rPr>
          <w:rFonts w:ascii="Times New Roman" w:hAnsi="Times New Roman" w:cs="Times New Roman"/>
          <w:sz w:val="20"/>
          <w:szCs w:val="20"/>
        </w:rPr>
        <w:t>he approach of analyzing the sieved fractions separately is not common in literature</w:t>
      </w:r>
      <w:r w:rsidR="00EC4242" w:rsidRPr="00386CC4">
        <w:rPr>
          <w:rFonts w:ascii="Times New Roman" w:hAnsi="Times New Roman" w:cs="Times New Roman"/>
          <w:sz w:val="20"/>
          <w:szCs w:val="20"/>
        </w:rPr>
        <w:t xml:space="preserve">, especially </w:t>
      </w:r>
      <w:r w:rsidR="00756535" w:rsidRPr="00386CC4">
        <w:rPr>
          <w:rFonts w:ascii="Times New Roman" w:hAnsi="Times New Roman" w:cs="Times New Roman"/>
          <w:sz w:val="20"/>
          <w:szCs w:val="20"/>
        </w:rPr>
        <w:t xml:space="preserve">since </w:t>
      </w:r>
      <w:r w:rsidR="00EC4242" w:rsidRPr="00386CC4">
        <w:rPr>
          <w:rFonts w:ascii="Times New Roman" w:hAnsi="Times New Roman" w:cs="Times New Roman"/>
          <w:sz w:val="20"/>
          <w:szCs w:val="20"/>
        </w:rPr>
        <w:t xml:space="preserve">the analysis of calcium content in this study </w:t>
      </w:r>
      <w:r w:rsidR="00DB2A8C" w:rsidRPr="00386CC4">
        <w:rPr>
          <w:rFonts w:ascii="Times New Roman" w:hAnsi="Times New Roman" w:cs="Times New Roman"/>
          <w:sz w:val="20"/>
          <w:szCs w:val="20"/>
        </w:rPr>
        <w:t xml:space="preserve">was focused on the finest fraction (&lt;0.075mm) which </w:t>
      </w:r>
      <w:r w:rsidR="008940FD" w:rsidRPr="00386CC4">
        <w:rPr>
          <w:rFonts w:ascii="Times New Roman" w:hAnsi="Times New Roman" w:cs="Times New Roman"/>
          <w:sz w:val="20"/>
          <w:szCs w:val="20"/>
        </w:rPr>
        <w:t xml:space="preserve">makes it unique. </w:t>
      </w:r>
      <w:r w:rsidR="003B6B17" w:rsidRPr="00386CC4">
        <w:rPr>
          <w:rFonts w:ascii="Times New Roman" w:hAnsi="Times New Roman" w:cs="Times New Roman"/>
          <w:sz w:val="20"/>
          <w:szCs w:val="20"/>
        </w:rPr>
        <w:t>This study could be utilized readily for routine analysis of calcium in lime mortars that is simple, reproducible and cost-effective.</w:t>
      </w:r>
    </w:p>
    <w:p w:rsidR="00DB2A8C" w:rsidRPr="00386CC4" w:rsidRDefault="00DB2A8C" w:rsidP="005058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555E" w:rsidRPr="007026FA" w:rsidRDefault="0070009F" w:rsidP="005058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26FA">
        <w:rPr>
          <w:rFonts w:ascii="Times New Roman" w:hAnsi="Times New Roman" w:cs="Times New Roman"/>
          <w:b/>
          <w:sz w:val="20"/>
          <w:szCs w:val="20"/>
        </w:rPr>
        <w:t>Acknowledgement</w:t>
      </w:r>
    </w:p>
    <w:p w:rsidR="00756535" w:rsidRPr="007026FA" w:rsidRDefault="00BB5FF1" w:rsidP="00105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6FA">
        <w:rPr>
          <w:rFonts w:ascii="Times New Roman" w:hAnsi="Times New Roman" w:cs="Times New Roman"/>
          <w:sz w:val="20"/>
          <w:szCs w:val="20"/>
        </w:rPr>
        <w:t xml:space="preserve">The authors would </w:t>
      </w:r>
      <w:r w:rsidR="002E3E31" w:rsidRPr="007026FA">
        <w:rPr>
          <w:rFonts w:ascii="Times New Roman" w:hAnsi="Times New Roman" w:cs="Times New Roman"/>
          <w:sz w:val="20"/>
          <w:szCs w:val="20"/>
        </w:rPr>
        <w:t xml:space="preserve">like to </w:t>
      </w:r>
      <w:r w:rsidR="001A7EB9" w:rsidRPr="007026FA">
        <w:rPr>
          <w:rFonts w:ascii="Times New Roman" w:hAnsi="Times New Roman" w:cs="Times New Roman"/>
          <w:sz w:val="20"/>
          <w:szCs w:val="20"/>
        </w:rPr>
        <w:t xml:space="preserve">convey </w:t>
      </w:r>
      <w:r w:rsidR="002E3E31" w:rsidRPr="007026FA">
        <w:rPr>
          <w:rFonts w:ascii="Times New Roman" w:hAnsi="Times New Roman" w:cs="Times New Roman"/>
          <w:sz w:val="20"/>
          <w:szCs w:val="20"/>
        </w:rPr>
        <w:t xml:space="preserve">their sincere gratitude </w:t>
      </w:r>
      <w:r w:rsidR="001A7EB9" w:rsidRPr="007026FA">
        <w:rPr>
          <w:rFonts w:ascii="Times New Roman" w:hAnsi="Times New Roman" w:cs="Times New Roman"/>
          <w:sz w:val="20"/>
          <w:szCs w:val="20"/>
        </w:rPr>
        <w:t>to the Chemistry Department of the De La Salle University, Manila for the generous support</w:t>
      </w:r>
      <w:r w:rsidR="000229E5" w:rsidRPr="007026FA">
        <w:rPr>
          <w:rFonts w:ascii="Times New Roman" w:hAnsi="Times New Roman" w:cs="Times New Roman"/>
          <w:sz w:val="20"/>
          <w:szCs w:val="20"/>
        </w:rPr>
        <w:t xml:space="preserve"> in equipment use and for subsidizing the</w:t>
      </w:r>
      <w:r w:rsidR="006C5E28" w:rsidRPr="007026FA">
        <w:rPr>
          <w:rFonts w:ascii="Times New Roman" w:hAnsi="Times New Roman" w:cs="Times New Roman"/>
          <w:sz w:val="20"/>
          <w:szCs w:val="20"/>
        </w:rPr>
        <w:t xml:space="preserve"> chemical reagents </w:t>
      </w:r>
      <w:r w:rsidR="00C66BAD" w:rsidRPr="007026FA">
        <w:rPr>
          <w:rFonts w:ascii="Times New Roman" w:hAnsi="Times New Roman" w:cs="Times New Roman"/>
          <w:sz w:val="20"/>
          <w:szCs w:val="20"/>
        </w:rPr>
        <w:t>in this study</w:t>
      </w:r>
      <w:r w:rsidR="00520D4D" w:rsidRPr="007026FA">
        <w:rPr>
          <w:rFonts w:ascii="Times New Roman" w:hAnsi="Times New Roman" w:cs="Times New Roman"/>
          <w:sz w:val="20"/>
          <w:szCs w:val="20"/>
        </w:rPr>
        <w:t xml:space="preserve">. </w:t>
      </w:r>
      <w:r w:rsidR="000229E5" w:rsidRPr="007026FA">
        <w:rPr>
          <w:rFonts w:ascii="Times New Roman" w:hAnsi="Times New Roman" w:cs="Times New Roman"/>
          <w:sz w:val="20"/>
          <w:szCs w:val="20"/>
        </w:rPr>
        <w:t xml:space="preserve">The helpful insights and assistance of the following persons are highly appreciated: </w:t>
      </w:r>
      <w:r w:rsidR="007E5DE1" w:rsidRPr="007026FA">
        <w:rPr>
          <w:rFonts w:ascii="Times New Roman" w:hAnsi="Times New Roman" w:cs="Times New Roman"/>
          <w:sz w:val="20"/>
          <w:szCs w:val="20"/>
        </w:rPr>
        <w:t xml:space="preserve">Dr. </w:t>
      </w:r>
      <w:r w:rsidR="000F50D3" w:rsidRPr="007026FA">
        <w:rPr>
          <w:rFonts w:ascii="Times New Roman" w:hAnsi="Times New Roman" w:cs="Times New Roman"/>
          <w:sz w:val="20"/>
          <w:szCs w:val="20"/>
        </w:rPr>
        <w:t>Glenn Alea</w:t>
      </w:r>
      <w:r w:rsidR="0058047E" w:rsidRPr="007026FA">
        <w:rPr>
          <w:rFonts w:ascii="Times New Roman" w:hAnsi="Times New Roman" w:cs="Times New Roman"/>
          <w:sz w:val="20"/>
          <w:szCs w:val="20"/>
        </w:rPr>
        <w:t xml:space="preserve">, Mr. Michael Ajero and </w:t>
      </w:r>
      <w:r w:rsidR="000F50D3" w:rsidRPr="007026FA">
        <w:rPr>
          <w:rFonts w:ascii="Times New Roman" w:hAnsi="Times New Roman" w:cs="Times New Roman"/>
          <w:sz w:val="20"/>
          <w:szCs w:val="20"/>
        </w:rPr>
        <w:t>Dr. Maria Carmen Tan</w:t>
      </w:r>
      <w:r w:rsidR="00105E17">
        <w:rPr>
          <w:rFonts w:ascii="Times New Roman" w:hAnsi="Times New Roman" w:cs="Times New Roman"/>
          <w:sz w:val="20"/>
          <w:szCs w:val="20"/>
        </w:rPr>
        <w:t xml:space="preserve">. </w:t>
      </w:r>
      <w:r w:rsidR="00756535" w:rsidRPr="007026FA">
        <w:rPr>
          <w:rFonts w:ascii="Times New Roman" w:hAnsi="Times New Roman" w:cs="Times New Roman"/>
          <w:sz w:val="20"/>
          <w:szCs w:val="20"/>
        </w:rPr>
        <w:t xml:space="preserve">The authors would </w:t>
      </w:r>
      <w:r w:rsidR="00ED4121" w:rsidRPr="007026FA">
        <w:rPr>
          <w:rFonts w:ascii="Times New Roman" w:hAnsi="Times New Roman" w:cs="Times New Roman"/>
          <w:sz w:val="20"/>
          <w:szCs w:val="20"/>
        </w:rPr>
        <w:t xml:space="preserve">also </w:t>
      </w:r>
      <w:r w:rsidR="00756535" w:rsidRPr="007026FA">
        <w:rPr>
          <w:rFonts w:ascii="Times New Roman" w:hAnsi="Times New Roman" w:cs="Times New Roman"/>
          <w:sz w:val="20"/>
          <w:szCs w:val="20"/>
        </w:rPr>
        <w:t>like to ack</w:t>
      </w:r>
      <w:r w:rsidR="00442AD2">
        <w:rPr>
          <w:rFonts w:ascii="Times New Roman" w:hAnsi="Times New Roman" w:cs="Times New Roman"/>
          <w:sz w:val="20"/>
          <w:szCs w:val="20"/>
        </w:rPr>
        <w:t>nowledge M</w:t>
      </w:r>
      <w:r w:rsidR="00952840" w:rsidRPr="007026FA">
        <w:rPr>
          <w:rFonts w:ascii="Times New Roman" w:hAnsi="Times New Roman" w:cs="Times New Roman"/>
          <w:sz w:val="20"/>
          <w:szCs w:val="20"/>
        </w:rPr>
        <w:t>s</w:t>
      </w:r>
      <w:r w:rsidR="00442AD2">
        <w:rPr>
          <w:rFonts w:ascii="Times New Roman" w:hAnsi="Times New Roman" w:cs="Times New Roman"/>
          <w:sz w:val="20"/>
          <w:szCs w:val="20"/>
        </w:rPr>
        <w:t>.</w:t>
      </w:r>
      <w:r w:rsidR="00952840" w:rsidRPr="007026FA">
        <w:rPr>
          <w:rFonts w:ascii="Times New Roman" w:hAnsi="Times New Roman" w:cs="Times New Roman"/>
          <w:sz w:val="20"/>
          <w:szCs w:val="20"/>
        </w:rPr>
        <w:t xml:space="preserve"> Mutya N. Reynancia, English Program Coordinator and Advanced English Proficiency Training Coordinator of the General Education Department of </w:t>
      </w:r>
      <w:r w:rsidR="00ED4121" w:rsidRPr="007026FA">
        <w:rPr>
          <w:rFonts w:ascii="Times New Roman" w:hAnsi="Times New Roman" w:cs="Times New Roman"/>
          <w:sz w:val="20"/>
          <w:szCs w:val="20"/>
        </w:rPr>
        <w:t xml:space="preserve">the </w:t>
      </w:r>
      <w:r w:rsidR="00952840" w:rsidRPr="007026FA">
        <w:rPr>
          <w:rFonts w:ascii="Times New Roman" w:hAnsi="Times New Roman" w:cs="Times New Roman"/>
          <w:sz w:val="20"/>
          <w:szCs w:val="20"/>
        </w:rPr>
        <w:t xml:space="preserve">Far Eastern University Diliman, Quezon City for her expertise in editing this article.  </w:t>
      </w:r>
    </w:p>
    <w:p w:rsidR="00A673BC" w:rsidRPr="00386CC4" w:rsidRDefault="00A673BC" w:rsidP="00350A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3438" w:rsidRDefault="0070009F" w:rsidP="00350A7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b/>
          <w:color w:val="auto"/>
          <w:sz w:val="20"/>
          <w:szCs w:val="20"/>
        </w:rPr>
        <w:t>References</w:t>
      </w:r>
    </w:p>
    <w:p w:rsidR="00105E17" w:rsidRPr="00386CC4" w:rsidRDefault="00105E17" w:rsidP="00350A7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913252" w:rsidRDefault="00C42713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C4">
        <w:rPr>
          <w:rFonts w:ascii="Times New Roman" w:hAnsi="Times New Roman" w:cs="Times New Roman"/>
          <w:color w:val="auto"/>
          <w:sz w:val="20"/>
          <w:szCs w:val="20"/>
        </w:rPr>
        <w:t>Jose, Jr., R.</w:t>
      </w:r>
      <w:r w:rsidR="00105E1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T. </w:t>
      </w:r>
      <w:r w:rsidR="00476CC4" w:rsidRPr="00386CC4">
        <w:rPr>
          <w:rFonts w:ascii="Times New Roman" w:hAnsi="Times New Roman" w:cs="Times New Roman"/>
          <w:color w:val="auto"/>
          <w:sz w:val="20"/>
          <w:szCs w:val="20"/>
        </w:rPr>
        <w:t>(2003)</w:t>
      </w:r>
      <w:r w:rsidRPr="00386CC4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476CC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6CC4" w:rsidRPr="00386CC4">
        <w:rPr>
          <w:rFonts w:ascii="Times New Roman" w:hAnsi="Times New Roman" w:cs="Times New Roman"/>
          <w:i/>
          <w:color w:val="auto"/>
          <w:sz w:val="20"/>
          <w:szCs w:val="20"/>
        </w:rPr>
        <w:t>Palitada</w:t>
      </w:r>
      <w:r w:rsidR="00105E17">
        <w:rPr>
          <w:rFonts w:ascii="Times New Roman" w:hAnsi="Times New Roman" w:cs="Times New Roman"/>
          <w:color w:val="auto"/>
          <w:sz w:val="20"/>
          <w:szCs w:val="20"/>
        </w:rPr>
        <w:t>: Skin of the c</w:t>
      </w:r>
      <w:r w:rsidR="00476CC4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hurch. In: Zero In: Skin </w:t>
      </w:r>
      <w:r w:rsidR="00913252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surface essence. </w:t>
      </w:r>
      <w:r w:rsidR="00476CC4" w:rsidRPr="00386CC4">
        <w:rPr>
          <w:rFonts w:ascii="Times New Roman" w:hAnsi="Times New Roman" w:cs="Times New Roman"/>
          <w:color w:val="auto"/>
          <w:sz w:val="20"/>
          <w:szCs w:val="20"/>
        </w:rPr>
        <w:t>Ateneo Art Gallery, Ayala Foundation, Inc., Eugenio Lopez Foundation, Inc., and Museum Pambata Foundation, Inc.</w:t>
      </w:r>
      <w:r w:rsidR="004C06F7" w:rsidRPr="00386CC4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8C023F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 p</w:t>
      </w:r>
      <w:r w:rsidR="004C06F7" w:rsidRPr="00386CC4">
        <w:rPr>
          <w:rFonts w:ascii="Times New Roman" w:hAnsi="Times New Roman" w:cs="Times New Roman"/>
          <w:color w:val="auto"/>
          <w:sz w:val="20"/>
          <w:szCs w:val="20"/>
        </w:rPr>
        <w:t xml:space="preserve">p. </w:t>
      </w:r>
      <w:r w:rsidR="008C023F" w:rsidRPr="00386CC4">
        <w:rPr>
          <w:rFonts w:ascii="Times New Roman" w:hAnsi="Times New Roman" w:cs="Times New Roman"/>
          <w:color w:val="auto"/>
          <w:sz w:val="20"/>
          <w:szCs w:val="20"/>
        </w:rPr>
        <w:t>27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</w:t>
      </w:r>
      <w:r w:rsidR="008C023F" w:rsidRPr="00913252">
        <w:rPr>
          <w:rFonts w:ascii="Times New Roman" w:hAnsi="Times New Roman" w:cs="Times New Roman"/>
          <w:color w:val="auto"/>
          <w:sz w:val="20"/>
          <w:szCs w:val="20"/>
        </w:rPr>
        <w:t>28</w:t>
      </w:r>
      <w:r w:rsidR="004C06F7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913252" w:rsidRDefault="00476CC4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Elert, K., Rodriguez-Navarro, C., S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ebastian Pardo, E., Hansen, E. and </w:t>
      </w: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Cazallo, O. (2002)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.</w:t>
      </w: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Lime mortars for the conservation of historic buildings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Studies in Conservation</w:t>
      </w:r>
      <w:r w:rsidR="00FE2BB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47: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62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75.</w:t>
      </w:r>
    </w:p>
    <w:p w:rsidR="00913252" w:rsidRDefault="00476CC4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Moropoulou, A., Bakolas, A. and Aggelakopoulou, E. (2000)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The effects of limestone characteristics and calcinations temperature to the reactivity of the quicklime.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Cement and Concrete Research</w:t>
      </w:r>
      <w:r w:rsidR="00FE2BB3" w:rsidRPr="00913252">
        <w:rPr>
          <w:rFonts w:ascii="Times New Roman" w:hAnsi="Times New Roman" w:cs="Times New Roman"/>
          <w:i/>
          <w:color w:val="auto"/>
          <w:sz w:val="20"/>
          <w:szCs w:val="20"/>
        </w:rPr>
        <w:t>,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31: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633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639.</w:t>
      </w:r>
    </w:p>
    <w:p w:rsidR="00913252" w:rsidRDefault="00C112BD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Neri, L.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M.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(2011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A report on the archaeological survey along the coastal area of Misamis Oriental, Philippines. </w:t>
      </w:r>
      <w:r w:rsidR="00476CC4" w:rsidRPr="00913252">
        <w:rPr>
          <w:rFonts w:ascii="Times New Roman" w:hAnsi="Times New Roman" w:cs="Times New Roman"/>
          <w:i/>
          <w:color w:val="auto"/>
          <w:sz w:val="20"/>
          <w:szCs w:val="20"/>
        </w:rPr>
        <w:t>Hukay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(Journal for Archaeological Research in Asia and the Pacific)</w:t>
      </w:r>
      <w:r w:rsidR="00FE2BB3" w:rsidRPr="00913252">
        <w:rPr>
          <w:rFonts w:ascii="Times New Roman" w:hAnsi="Times New Roman" w:cs="Times New Roman"/>
          <w:i/>
          <w:color w:val="auto"/>
          <w:sz w:val="20"/>
          <w:szCs w:val="20"/>
        </w:rPr>
        <w:t>,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16: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27.</w:t>
      </w:r>
    </w:p>
    <w:p w:rsidR="00913252" w:rsidRDefault="00C42713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Javellana, S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. </w:t>
      </w: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J</w:t>
      </w:r>
      <w:r w:rsid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. </w:t>
      </w: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R.</w:t>
      </w:r>
      <w:r w:rsid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B.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(2010)</w:t>
      </w: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.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 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>La Casa de Dios, The l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egacy of Filipino-Hispanic 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churches in the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Philippines. Pasig: Ortigas Foundation, Inc.</w:t>
      </w:r>
      <w:r w:rsidR="004C06F7" w:rsidRPr="00913252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8C18E8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p</w:t>
      </w:r>
      <w:r w:rsidR="004C06F7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p. </w:t>
      </w:r>
      <w:r w:rsidR="008C18E8" w:rsidRPr="00913252">
        <w:rPr>
          <w:rFonts w:ascii="Times New Roman" w:hAnsi="Times New Roman" w:cs="Times New Roman"/>
          <w:color w:val="auto"/>
          <w:sz w:val="20"/>
          <w:szCs w:val="20"/>
        </w:rPr>
        <w:t>184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D70013" w:rsidRPr="00913252">
        <w:rPr>
          <w:rFonts w:ascii="Times New Roman" w:hAnsi="Times New Roman" w:cs="Times New Roman"/>
          <w:color w:val="auto"/>
          <w:sz w:val="20"/>
          <w:szCs w:val="20"/>
        </w:rPr>
        <w:t>187</w:t>
      </w:r>
      <w:r w:rsidR="004C06F7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913252" w:rsidRDefault="00C42713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Style w:val="hlfld-title"/>
          <w:rFonts w:ascii="Times New Roman" w:hAnsi="Times New Roman" w:cs="Times New Roman"/>
          <w:color w:val="auto"/>
          <w:sz w:val="20"/>
          <w:szCs w:val="20"/>
        </w:rPr>
        <w:t>Cheng, K.</w:t>
      </w:r>
      <w:r w:rsidR="00913252">
        <w:rPr>
          <w:rStyle w:val="hlfld-title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Style w:val="hlfld-title"/>
          <w:rFonts w:ascii="Times New Roman" w:hAnsi="Times New Roman" w:cs="Times New Roman"/>
          <w:color w:val="auto"/>
          <w:sz w:val="20"/>
          <w:szCs w:val="20"/>
        </w:rPr>
        <w:t>L., Kurtz, T.</w:t>
      </w:r>
      <w:r w:rsidR="00476CC4" w:rsidRPr="00913252">
        <w:rPr>
          <w:rStyle w:val="hlfld-title"/>
          <w:rFonts w:ascii="Times New Roman" w:hAnsi="Times New Roman" w:cs="Times New Roman"/>
          <w:color w:val="auto"/>
          <w:sz w:val="20"/>
          <w:szCs w:val="20"/>
        </w:rPr>
        <w:t xml:space="preserve"> an</w:t>
      </w:r>
      <w:r w:rsidRPr="00913252">
        <w:rPr>
          <w:rStyle w:val="hlfld-title"/>
          <w:rFonts w:ascii="Times New Roman" w:hAnsi="Times New Roman" w:cs="Times New Roman"/>
          <w:color w:val="auto"/>
          <w:sz w:val="20"/>
          <w:szCs w:val="20"/>
        </w:rPr>
        <w:t>d Bray, R.</w:t>
      </w:r>
      <w:r w:rsidR="00913252">
        <w:rPr>
          <w:rStyle w:val="hlfld-title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Style w:val="hlfld-title"/>
          <w:rFonts w:ascii="Times New Roman" w:hAnsi="Times New Roman" w:cs="Times New Roman"/>
          <w:color w:val="auto"/>
          <w:sz w:val="20"/>
          <w:szCs w:val="20"/>
        </w:rPr>
        <w:t xml:space="preserve">H. </w:t>
      </w:r>
      <w:r w:rsidR="00476CC4" w:rsidRPr="00913252">
        <w:rPr>
          <w:rStyle w:val="hlfld-title"/>
          <w:rFonts w:ascii="Times New Roman" w:hAnsi="Times New Roman" w:cs="Times New Roman"/>
          <w:color w:val="auto"/>
          <w:sz w:val="20"/>
          <w:szCs w:val="20"/>
        </w:rPr>
        <w:t>(1952). Determination of calcium, magnesium, and iron in limestone.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6CC4" w:rsidRPr="00913252">
        <w:rPr>
          <w:rStyle w:val="HTMLCite"/>
          <w:rFonts w:ascii="Times New Roman" w:hAnsi="Times New Roman" w:cs="Times New Roman"/>
          <w:color w:val="auto"/>
          <w:sz w:val="20"/>
          <w:szCs w:val="20"/>
        </w:rPr>
        <w:t>Analytical Chemistry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476CC4" w:rsidRPr="00913252">
        <w:rPr>
          <w:rStyle w:val="apple-converted-space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6CC4" w:rsidRPr="00913252">
        <w:rPr>
          <w:rStyle w:val="citationvolume"/>
          <w:rFonts w:ascii="Times New Roman" w:hAnsi="Times New Roman" w:cs="Times New Roman"/>
          <w:iCs/>
          <w:color w:val="auto"/>
          <w:sz w:val="20"/>
          <w:szCs w:val="20"/>
        </w:rPr>
        <w:t>24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(10):1640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–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1641.</w:t>
      </w:r>
    </w:p>
    <w:p w:rsidR="00913252" w:rsidRDefault="00CF29BB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Skoog, D.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A., West, D.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M., Holler, F.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J.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and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Crouch, S.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R. (201</w:t>
      </w:r>
      <w:r w:rsidR="00460D75" w:rsidRPr="00913252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Funda</w:t>
      </w:r>
      <w:r w:rsidR="00C05D27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mentals of analytical chemistry,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913252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th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05D27" w:rsidRPr="00913252">
        <w:rPr>
          <w:rFonts w:ascii="Times New Roman" w:hAnsi="Times New Roman" w:cs="Times New Roman"/>
          <w:color w:val="auto"/>
          <w:sz w:val="20"/>
          <w:szCs w:val="20"/>
        </w:rPr>
        <w:t>Ed</w:t>
      </w:r>
      <w:r w:rsidR="00460D75" w:rsidRPr="00913252">
        <w:rPr>
          <w:rFonts w:ascii="Times New Roman" w:hAnsi="Times New Roman" w:cs="Times New Roman"/>
          <w:color w:val="auto"/>
          <w:sz w:val="20"/>
          <w:szCs w:val="20"/>
        </w:rPr>
        <w:t>. Brooks/Cole</w:t>
      </w:r>
      <w:r w:rsidR="00412FA1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460D75" w:rsidRPr="00913252">
        <w:rPr>
          <w:rFonts w:ascii="Times New Roman" w:hAnsi="Times New Roman" w:cs="Times New Roman"/>
          <w:color w:val="auto"/>
          <w:sz w:val="20"/>
          <w:szCs w:val="20"/>
        </w:rPr>
        <w:t>Cengage Learning</w:t>
      </w:r>
      <w:r w:rsidR="004C06F7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: pp. </w:t>
      </w:r>
      <w:r w:rsidR="007346DB" w:rsidRPr="00913252">
        <w:rPr>
          <w:rFonts w:ascii="Times New Roman" w:hAnsi="Times New Roman" w:cs="Times New Roman"/>
          <w:color w:val="auto"/>
          <w:sz w:val="20"/>
          <w:szCs w:val="20"/>
        </w:rPr>
        <w:t>991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7346DB" w:rsidRPr="00913252">
        <w:rPr>
          <w:rFonts w:ascii="Times New Roman" w:hAnsi="Times New Roman" w:cs="Times New Roman"/>
          <w:color w:val="auto"/>
          <w:sz w:val="20"/>
          <w:szCs w:val="20"/>
        </w:rPr>
        <w:t>994</w:t>
      </w:r>
      <w:r w:rsidR="004C06F7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913252" w:rsidRDefault="00476CC4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Page, J.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O. (1968). Compleximetric determination of calcium in impure calcium carbonate and limestone.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Analytica Chimica Acta,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42: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233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238.</w:t>
      </w:r>
    </w:p>
    <w:p w:rsidR="00913252" w:rsidRDefault="00476CC4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Malmsta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dt, H.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V. and Hadjiioannou, T.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P.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(1958). Rapid and accurate automatic titration of calcium and magnesium in dolomites and limestones use of 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</w:rPr>
        <w:t>EDTA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titran and automatic derivative spectrophotometric end-point termination.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Analytica Chimica Acta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19: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563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569.</w:t>
      </w:r>
    </w:p>
    <w:p w:rsidR="00913252" w:rsidRDefault="00476CC4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lastRenderedPageBreak/>
        <w:t>Rathore, D.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P.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S.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>, Kumar, M.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and Bhargava, P.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K.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(1997). Complexometric determination of calcium and magnesium in dolomite, limestone, magnesite, phosphatic and silicate matrices using azochromotropic acid derivative as an indicator.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Chemia Analityczna (Warsaw)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913252">
        <w:rPr>
          <w:rStyle w:val="publication-meta-journal"/>
          <w:rFonts w:ascii="Times New Roman" w:hAnsi="Times New Roman" w:cs="Times New Roman"/>
          <w:color w:val="auto"/>
          <w:sz w:val="20"/>
          <w:szCs w:val="20"/>
        </w:rPr>
        <w:t xml:space="preserve"> 42:</w:t>
      </w:r>
      <w:r w:rsidR="00913252">
        <w:rPr>
          <w:rStyle w:val="publication-meta-journal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Style w:val="publication-meta-journal"/>
          <w:rFonts w:ascii="Times New Roman" w:hAnsi="Times New Roman" w:cs="Times New Roman"/>
          <w:color w:val="auto"/>
          <w:sz w:val="20"/>
          <w:szCs w:val="20"/>
        </w:rPr>
        <w:t>725</w:t>
      </w:r>
      <w:r w:rsidR="00913252">
        <w:rPr>
          <w:rStyle w:val="publication-meta-journal"/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Style w:val="publication-meta-journal"/>
          <w:rFonts w:ascii="Times New Roman" w:hAnsi="Times New Roman" w:cs="Times New Roman"/>
          <w:color w:val="auto"/>
          <w:sz w:val="20"/>
          <w:szCs w:val="20"/>
        </w:rPr>
        <w:t>728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913252" w:rsidRDefault="00476CC4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Hadjiioannou, T.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P. and Papastathopoulous, D.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S. (1970). EDTA titration of calcium and magnesium with calcium-selective electrode.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Talanta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17(5):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399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406.</w:t>
      </w:r>
    </w:p>
    <w:p w:rsidR="00913252" w:rsidRDefault="00476CC4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De Oliveira, W. and Mendes, A. (1987). 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Determination of calcium and magnesium in limestone and dolomite by enthalpimetric flow-injection analysis.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Talanta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34(6):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543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546. </w:t>
      </w:r>
    </w:p>
    <w:p w:rsidR="00913252" w:rsidRDefault="00476CC4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Robinson, P. (1980). Determination of calcium, magnesium, manganese, strontium, sodium and iron in the carbonate fraction of limestones and dolomites.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Chemical Geology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, 28: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135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146.</w:t>
      </w:r>
    </w:p>
    <w:p w:rsidR="00913252" w:rsidRDefault="00C42713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Middendorf,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B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, Hughes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J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J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, Callebaut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K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, Baronio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, G. and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Papayianni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, I. (2005).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Investigative methods for the characterisation of historic mortars. Part 2: Chemical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characterization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476CC4" w:rsidRPr="00913252">
        <w:rPr>
          <w:rFonts w:ascii="Times New Roman" w:hAnsi="Times New Roman" w:cs="Times New Roman"/>
          <w:i/>
          <w:color w:val="auto"/>
          <w:sz w:val="20"/>
          <w:szCs w:val="20"/>
        </w:rPr>
        <w:t>Materials and Structures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,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38: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>771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476CC4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780. </w:t>
      </w:r>
    </w:p>
    <w:p w:rsidR="00913252" w:rsidRDefault="009D6785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Pires, J. (2015). Simple analysis of historical lime mortars.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Journal of Chemical Education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92: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521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523.</w:t>
      </w:r>
    </w:p>
    <w:p w:rsidR="00913252" w:rsidRDefault="006264F0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Cayme, J.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M. and Asor, Jr, A.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N. (2015). Extraction methods for quantifying iron, calcium and magnesium in a historic brickwork produced during the Spanish Colonial Period in the Philippines.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KIMIKA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26(1):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28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38. </w:t>
      </w:r>
    </w:p>
    <w:p w:rsidR="00913252" w:rsidRDefault="00C42713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Reddy, B.V.V. and Gupta, A. </w:t>
      </w:r>
      <w:r w:rsidR="006264F0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(2008). Influence 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of sand gradation on the characteristics of mortars </w:t>
      </w:r>
      <w:r w:rsidR="006264F0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and 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</w:rPr>
        <w:t>soil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</w:rPr>
        <w:t>cement block masonry</w:t>
      </w:r>
      <w:r w:rsidR="00913252" w:rsidRPr="00913252">
        <w:rPr>
          <w:rFonts w:ascii="Times New Roman" w:hAnsi="Times New Roman" w:cs="Times New Roman"/>
          <w:i/>
          <w:color w:val="auto"/>
          <w:sz w:val="20"/>
          <w:szCs w:val="20"/>
        </w:rPr>
        <w:t xml:space="preserve">. </w:t>
      </w:r>
      <w:r w:rsidR="006264F0" w:rsidRPr="00913252">
        <w:rPr>
          <w:rFonts w:ascii="Times New Roman" w:hAnsi="Times New Roman" w:cs="Times New Roman"/>
          <w:i/>
          <w:color w:val="auto"/>
          <w:sz w:val="20"/>
          <w:szCs w:val="20"/>
        </w:rPr>
        <w:t>Construction and Building Materials</w:t>
      </w:r>
      <w:r w:rsidR="006264F0" w:rsidRPr="00913252">
        <w:rPr>
          <w:rFonts w:ascii="Times New Roman" w:hAnsi="Times New Roman" w:cs="Times New Roman"/>
          <w:color w:val="auto"/>
          <w:sz w:val="20"/>
          <w:szCs w:val="20"/>
        </w:rPr>
        <w:t>, 22</w:t>
      </w:r>
      <w:r w:rsidR="00FE2BB3" w:rsidRPr="00913252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264F0" w:rsidRPr="00913252">
        <w:rPr>
          <w:rFonts w:ascii="Times New Roman" w:hAnsi="Times New Roman" w:cs="Times New Roman"/>
          <w:color w:val="auto"/>
          <w:sz w:val="20"/>
          <w:szCs w:val="20"/>
        </w:rPr>
        <w:t>1614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6264F0" w:rsidRPr="00913252">
        <w:rPr>
          <w:rFonts w:ascii="Times New Roman" w:hAnsi="Times New Roman" w:cs="Times New Roman"/>
          <w:color w:val="auto"/>
          <w:sz w:val="20"/>
          <w:szCs w:val="20"/>
        </w:rPr>
        <w:t>1623.</w:t>
      </w:r>
    </w:p>
    <w:p w:rsidR="00913252" w:rsidRDefault="00C42713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Miranda, J., Carvalho, A.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P. and Pires, J. </w:t>
      </w:r>
      <w:r w:rsidR="001F7D41" w:rsidRPr="00913252">
        <w:rPr>
          <w:rFonts w:ascii="Times New Roman" w:hAnsi="Times New Roman" w:cs="Times New Roman"/>
          <w:color w:val="auto"/>
          <w:sz w:val="20"/>
          <w:szCs w:val="20"/>
        </w:rPr>
        <w:t>(2012)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1F7D41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Assessment 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</w:rPr>
        <w:t>of the binder in historical mortars by various techniques</w:t>
      </w:r>
      <w:r w:rsidR="00FE2BB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1F7D41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F7D41" w:rsidRPr="00913252">
        <w:rPr>
          <w:rFonts w:ascii="Times New Roman" w:hAnsi="Times New Roman" w:cs="Times New Roman"/>
          <w:i/>
          <w:color w:val="auto"/>
          <w:sz w:val="20"/>
          <w:szCs w:val="20"/>
        </w:rPr>
        <w:t>Archaeometry</w:t>
      </w:r>
      <w:r w:rsidR="001F7D41" w:rsidRPr="00913252">
        <w:rPr>
          <w:rFonts w:ascii="Times New Roman" w:hAnsi="Times New Roman" w:cs="Times New Roman"/>
          <w:color w:val="auto"/>
          <w:sz w:val="20"/>
          <w:szCs w:val="20"/>
        </w:rPr>
        <w:t>, 54(2)</w:t>
      </w:r>
      <w:r w:rsidR="00FE2BB3" w:rsidRPr="00913252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F7D41" w:rsidRPr="00913252">
        <w:rPr>
          <w:rFonts w:ascii="Times New Roman" w:hAnsi="Times New Roman" w:cs="Times New Roman"/>
          <w:color w:val="auto"/>
          <w:sz w:val="20"/>
          <w:szCs w:val="20"/>
        </w:rPr>
        <w:t>267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1F7D41" w:rsidRPr="00913252">
        <w:rPr>
          <w:rFonts w:ascii="Times New Roman" w:hAnsi="Times New Roman" w:cs="Times New Roman"/>
          <w:color w:val="auto"/>
          <w:sz w:val="20"/>
          <w:szCs w:val="20"/>
        </w:rPr>
        <w:t>277.</w:t>
      </w:r>
    </w:p>
    <w:p w:rsidR="00913252" w:rsidRDefault="00C42713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Holtz, R. and Kovacs, W. </w:t>
      </w:r>
      <w:r w:rsidR="001F7D41" w:rsidRPr="00913252">
        <w:rPr>
          <w:rFonts w:ascii="Times New Roman" w:hAnsi="Times New Roman" w:cs="Times New Roman"/>
          <w:color w:val="auto"/>
          <w:sz w:val="20"/>
          <w:szCs w:val="20"/>
        </w:rPr>
        <w:t>(1981)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1F7D41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An 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</w:rPr>
        <w:t>introduction to geotechnical engineering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1F7D41" w:rsidRPr="00913252">
        <w:rPr>
          <w:rFonts w:ascii="Times New Roman" w:hAnsi="Times New Roman" w:cs="Times New Roman"/>
          <w:color w:val="auto"/>
          <w:sz w:val="20"/>
          <w:szCs w:val="20"/>
        </w:rPr>
        <w:t>Prentice-Hall, Inc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>, New Jersey</w:t>
      </w:r>
      <w:r w:rsidR="001F7D41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913252" w:rsidRDefault="001F7D41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Cayme, J.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M., Asor, Jr, A.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N., Al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ano, M.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 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K.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 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>A.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 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T. and Miranda, E.T. </w:t>
      </w:r>
      <w:r w:rsidRPr="00913252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(2016).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Chemical characterization of historical brickwork of the church convento in Pagsanjan, Laguna.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KIMIKA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27(1):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30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41.</w:t>
      </w:r>
    </w:p>
    <w:p w:rsidR="00913252" w:rsidRDefault="001F7D41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Musi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c, S., Filipovic-Vincekovic, N. and Sekovanic, L.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(2011). Precipitation of amorphous SiO</w:t>
      </w:r>
      <w:r w:rsidRPr="00913252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particles and their properties. </w:t>
      </w:r>
      <w:r w:rsidR="00FE2BB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Braz</w:t>
      </w:r>
      <w:r w:rsidR="00913252">
        <w:rPr>
          <w:rFonts w:ascii="Times New Roman" w:hAnsi="Times New Roman" w:cs="Times New Roman"/>
          <w:i/>
          <w:color w:val="auto"/>
          <w:sz w:val="20"/>
          <w:szCs w:val="20"/>
        </w:rPr>
        <w:t xml:space="preserve">ilian </w:t>
      </w:r>
      <w:r w:rsidR="00FE2BB3" w:rsidRPr="00913252">
        <w:rPr>
          <w:rFonts w:ascii="Times New Roman" w:hAnsi="Times New Roman" w:cs="Times New Roman"/>
          <w:i/>
          <w:color w:val="auto"/>
          <w:sz w:val="20"/>
          <w:szCs w:val="20"/>
        </w:rPr>
        <w:t>Journal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FE2BB3" w:rsidRPr="00913252">
        <w:rPr>
          <w:rFonts w:ascii="Times New Roman" w:hAnsi="Times New Roman" w:cs="Times New Roman"/>
          <w:i/>
          <w:color w:val="auto"/>
          <w:sz w:val="20"/>
          <w:szCs w:val="20"/>
        </w:rPr>
        <w:t xml:space="preserve">of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Chem</w:t>
      </w:r>
      <w:r w:rsidR="00FE2BB3" w:rsidRPr="00913252">
        <w:rPr>
          <w:rFonts w:ascii="Times New Roman" w:hAnsi="Times New Roman" w:cs="Times New Roman"/>
          <w:i/>
          <w:color w:val="auto"/>
          <w:sz w:val="20"/>
          <w:szCs w:val="20"/>
        </w:rPr>
        <w:t>ical Engineering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28(1):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89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94.</w:t>
      </w:r>
    </w:p>
    <w:p w:rsidR="00913252" w:rsidRDefault="00213598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Couto, M.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F., Peternelli, L.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A.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and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Barbosa, M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H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P. 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(2013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Classification of the coefficients of variation for sugarcane crops.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Ciencia Rural, Santa Maria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43(6):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975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961.</w:t>
      </w:r>
    </w:p>
    <w:p w:rsidR="00913252" w:rsidRDefault="00CB0256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Limentani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G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B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Ringo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M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C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Ye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F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B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>ergquist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M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>L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 and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McSorley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E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>O. (2005)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>Beyond the t-t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est: Statist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ical </w:t>
      </w:r>
      <w:r w:rsidR="00913252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equivalence testing. </w:t>
      </w:r>
      <w:r w:rsidRPr="00913252">
        <w:rPr>
          <w:rFonts w:ascii="Times New Roman" w:hAnsi="Times New Roman" w:cs="Times New Roman"/>
          <w:i/>
          <w:color w:val="auto"/>
          <w:sz w:val="20"/>
          <w:szCs w:val="20"/>
        </w:rPr>
        <w:t>Analytical Chemistry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, 77(11)</w:t>
      </w:r>
      <w:r w:rsidR="00FE2BB3" w:rsidRPr="00913252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221 – 226</w:t>
      </w:r>
      <w:r w:rsidR="000A7986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913252" w:rsidRDefault="001F72EF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Lu</w:t>
      </w:r>
      <w:r w:rsidR="005A5733" w:rsidRPr="00913252">
        <w:rPr>
          <w:rFonts w:ascii="Times New Roman" w:hAnsi="Times New Roman" w:cs="Times New Roman"/>
          <w:color w:val="auto"/>
          <w:sz w:val="20"/>
          <w:szCs w:val="20"/>
        </w:rPr>
        <w:t>ng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5A573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K.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A5733" w:rsidRPr="00913252">
        <w:rPr>
          <w:rFonts w:ascii="Times New Roman" w:hAnsi="Times New Roman" w:cs="Times New Roman"/>
          <w:color w:val="auto"/>
          <w:sz w:val="20"/>
          <w:szCs w:val="20"/>
        </w:rPr>
        <w:t>R., Gorko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5A573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M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A5733" w:rsidRPr="00913252">
        <w:rPr>
          <w:rFonts w:ascii="Times New Roman" w:hAnsi="Times New Roman" w:cs="Times New Roman"/>
          <w:color w:val="auto"/>
          <w:sz w:val="20"/>
          <w:szCs w:val="20"/>
        </w:rPr>
        <w:t>A, Llewelyn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5A573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J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 and W</w:t>
      </w:r>
      <w:r w:rsidR="005A5733" w:rsidRPr="00913252">
        <w:rPr>
          <w:rFonts w:ascii="Times New Roman" w:hAnsi="Times New Roman" w:cs="Times New Roman"/>
          <w:color w:val="auto"/>
          <w:sz w:val="20"/>
          <w:szCs w:val="20"/>
        </w:rPr>
        <w:t>iggin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N. (2003)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5A5733" w:rsidRPr="00913252">
        <w:rPr>
          <w:rFonts w:ascii="Times New Roman" w:hAnsi="Times New Roman" w:cs="Times New Roman"/>
          <w:color w:val="auto"/>
          <w:sz w:val="20"/>
          <w:szCs w:val="20"/>
        </w:rPr>
        <w:t>Statistical method for the determination of equivalence of automated test procedures</w:t>
      </w:r>
      <w:r w:rsidR="00474C38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5A5733" w:rsidRPr="00913252">
        <w:rPr>
          <w:rFonts w:ascii="Times New Roman" w:hAnsi="Times New Roman" w:cs="Times New Roman"/>
          <w:i/>
          <w:color w:val="auto"/>
          <w:sz w:val="20"/>
          <w:szCs w:val="20"/>
        </w:rPr>
        <w:t>Journal of Automated Methods and management in Chemistry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, 25(6): </w:t>
      </w:r>
      <w:r w:rsidR="005A5733" w:rsidRPr="00913252">
        <w:rPr>
          <w:rFonts w:ascii="Times New Roman" w:hAnsi="Times New Roman" w:cs="Times New Roman"/>
          <w:color w:val="auto"/>
          <w:sz w:val="20"/>
          <w:szCs w:val="20"/>
        </w:rPr>
        <w:t>123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5A5733" w:rsidRPr="00913252">
        <w:rPr>
          <w:rFonts w:ascii="Times New Roman" w:hAnsi="Times New Roman" w:cs="Times New Roman"/>
          <w:color w:val="auto"/>
          <w:sz w:val="20"/>
          <w:szCs w:val="20"/>
        </w:rPr>
        <w:t>127.</w:t>
      </w:r>
    </w:p>
    <w:p w:rsidR="003B6B17" w:rsidRPr="00913252" w:rsidRDefault="0080050B" w:rsidP="00913252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13252">
        <w:rPr>
          <w:rFonts w:ascii="Times New Roman" w:hAnsi="Times New Roman" w:cs="Times New Roman"/>
          <w:color w:val="auto"/>
          <w:sz w:val="20"/>
          <w:szCs w:val="20"/>
        </w:rPr>
        <w:t>Miller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J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C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. and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Miller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J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N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(1993)</w:t>
      </w:r>
      <w:r w:rsidR="00C42713" w:rsidRPr="0091325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 Stat</w:t>
      </w:r>
      <w:r w:rsidR="00C05D27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istics for analytical chemistry, </w:t>
      </w:r>
      <w:r w:rsidRPr="00913252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913252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rd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Ed. </w:t>
      </w:r>
      <w:r w:rsidR="004E29A3" w:rsidRPr="00913252">
        <w:rPr>
          <w:rFonts w:ascii="Times New Roman" w:hAnsi="Times New Roman" w:cs="Times New Roman"/>
          <w:color w:val="auto"/>
          <w:sz w:val="20"/>
          <w:szCs w:val="20"/>
        </w:rPr>
        <w:t>Ellis Horwood PTR Prentice Hall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>, New York</w:t>
      </w:r>
      <w:r w:rsidR="004E29A3" w:rsidRPr="00913252">
        <w:rPr>
          <w:rFonts w:ascii="Times New Roman" w:hAnsi="Times New Roman" w:cs="Times New Roman"/>
          <w:color w:val="auto"/>
          <w:sz w:val="20"/>
          <w:szCs w:val="20"/>
        </w:rPr>
        <w:t xml:space="preserve">: pp. </w:t>
      </w:r>
      <w:r w:rsidR="00A03FED" w:rsidRPr="00913252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913252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A03FED" w:rsidRPr="00913252">
        <w:rPr>
          <w:rFonts w:ascii="Times New Roman" w:hAnsi="Times New Roman" w:cs="Times New Roman"/>
          <w:color w:val="auto"/>
          <w:sz w:val="20"/>
          <w:szCs w:val="20"/>
        </w:rPr>
        <w:t>10.</w:t>
      </w:r>
    </w:p>
    <w:p w:rsidR="00F86AE8" w:rsidRPr="00386CC4" w:rsidRDefault="00F86AE8" w:rsidP="00CB0256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9F5470" w:rsidRPr="00386CC4" w:rsidRDefault="009F5470" w:rsidP="002E3E31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sectPr w:rsidR="009F5470" w:rsidRPr="00386CC4" w:rsidSect="00C80BF0">
      <w:pgSz w:w="11906" w:h="16838" w:code="9"/>
      <w:pgMar w:top="1440" w:right="1440" w:bottom="1440" w:left="1440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36A" w:rsidRDefault="00EA536A" w:rsidP="008513FD">
      <w:pPr>
        <w:spacing w:after="0" w:line="240" w:lineRule="auto"/>
      </w:pPr>
      <w:r>
        <w:separator/>
      </w:r>
    </w:p>
  </w:endnote>
  <w:endnote w:type="continuationSeparator" w:id="0">
    <w:p w:rsidR="00EA536A" w:rsidRDefault="00EA536A" w:rsidP="0085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36A" w:rsidRDefault="00EA536A" w:rsidP="008513FD">
      <w:pPr>
        <w:spacing w:after="0" w:line="240" w:lineRule="auto"/>
      </w:pPr>
      <w:r>
        <w:separator/>
      </w:r>
    </w:p>
  </w:footnote>
  <w:footnote w:type="continuationSeparator" w:id="0">
    <w:p w:rsidR="00EA536A" w:rsidRDefault="00EA536A" w:rsidP="00851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ECF"/>
    <w:multiLevelType w:val="hybridMultilevel"/>
    <w:tmpl w:val="5D22599E"/>
    <w:lvl w:ilvl="0" w:tplc="846C9B74">
      <w:numFmt w:val="bullet"/>
      <w:lvlText w:val="-"/>
      <w:lvlJc w:val="left"/>
      <w:pPr>
        <w:ind w:left="720" w:hanging="360"/>
      </w:pPr>
      <w:rPr>
        <w:rFonts w:ascii="Calibri" w:eastAsia="WenQuanYi Micro He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A20"/>
    <w:multiLevelType w:val="hybridMultilevel"/>
    <w:tmpl w:val="904E95AE"/>
    <w:lvl w:ilvl="0" w:tplc="5C662554">
      <w:numFmt w:val="bullet"/>
      <w:lvlText w:val=""/>
      <w:lvlJc w:val="left"/>
      <w:pPr>
        <w:ind w:left="720" w:hanging="360"/>
      </w:pPr>
      <w:rPr>
        <w:rFonts w:ascii="Symbol" w:eastAsia="WenQuanYi Micro He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7C7A"/>
    <w:multiLevelType w:val="hybridMultilevel"/>
    <w:tmpl w:val="E5F6BE4A"/>
    <w:lvl w:ilvl="0" w:tplc="C66EE7EC"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04841"/>
    <w:multiLevelType w:val="multilevel"/>
    <w:tmpl w:val="50A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F6A4E"/>
    <w:multiLevelType w:val="hybridMultilevel"/>
    <w:tmpl w:val="4170C7AE"/>
    <w:lvl w:ilvl="0" w:tplc="58B0EAC6"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5D4A"/>
    <w:multiLevelType w:val="hybridMultilevel"/>
    <w:tmpl w:val="59D26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97E6A"/>
    <w:multiLevelType w:val="hybridMultilevel"/>
    <w:tmpl w:val="84808F94"/>
    <w:lvl w:ilvl="0" w:tplc="BED0B9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4307E"/>
    <w:multiLevelType w:val="hybridMultilevel"/>
    <w:tmpl w:val="CA7C92C0"/>
    <w:lvl w:ilvl="0" w:tplc="6F00CE9C">
      <w:start w:val="2"/>
      <w:numFmt w:val="bullet"/>
      <w:lvlText w:val=""/>
      <w:lvlJc w:val="left"/>
      <w:pPr>
        <w:ind w:left="720" w:hanging="360"/>
      </w:pPr>
      <w:rPr>
        <w:rFonts w:ascii="Symbol" w:eastAsia="WenQuanYi Micro He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E55A5"/>
    <w:multiLevelType w:val="hybridMultilevel"/>
    <w:tmpl w:val="E91201E2"/>
    <w:lvl w:ilvl="0" w:tplc="96DC18AC"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2D83"/>
    <w:multiLevelType w:val="hybridMultilevel"/>
    <w:tmpl w:val="F3082A9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2ED2"/>
    <w:multiLevelType w:val="hybridMultilevel"/>
    <w:tmpl w:val="1FE4EA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01E51"/>
    <w:multiLevelType w:val="hybridMultilevel"/>
    <w:tmpl w:val="8F06847A"/>
    <w:lvl w:ilvl="0" w:tplc="20A0F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548B5"/>
    <w:multiLevelType w:val="hybridMultilevel"/>
    <w:tmpl w:val="36104FB6"/>
    <w:lvl w:ilvl="0" w:tplc="D2B4BA30">
      <w:numFmt w:val="bullet"/>
      <w:lvlText w:val="-"/>
      <w:lvlJc w:val="left"/>
      <w:pPr>
        <w:ind w:left="720" w:hanging="360"/>
      </w:pPr>
      <w:rPr>
        <w:rFonts w:ascii="Calibri" w:eastAsia="WenQuanYi Micro He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27221"/>
    <w:multiLevelType w:val="hybridMultilevel"/>
    <w:tmpl w:val="AB44CB14"/>
    <w:lvl w:ilvl="0" w:tplc="B8AC0EAE">
      <w:numFmt w:val="bullet"/>
      <w:lvlText w:val=""/>
      <w:lvlJc w:val="left"/>
      <w:pPr>
        <w:ind w:left="720" w:hanging="360"/>
      </w:pPr>
      <w:rPr>
        <w:rFonts w:ascii="Wingdings" w:eastAsia="WenQuanYi Micro Hei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F32D2"/>
    <w:multiLevelType w:val="multilevel"/>
    <w:tmpl w:val="B22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3"/>
  </w:num>
  <w:num w:numId="5">
    <w:abstractNumId w:val="4"/>
  </w:num>
  <w:num w:numId="6">
    <w:abstractNumId w:val="14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3B"/>
    <w:rsid w:val="00000275"/>
    <w:rsid w:val="00000D3A"/>
    <w:rsid w:val="0000243E"/>
    <w:rsid w:val="00002FD8"/>
    <w:rsid w:val="000031F8"/>
    <w:rsid w:val="00003839"/>
    <w:rsid w:val="000045A3"/>
    <w:rsid w:val="00004B3B"/>
    <w:rsid w:val="00010A57"/>
    <w:rsid w:val="00011CBE"/>
    <w:rsid w:val="00012116"/>
    <w:rsid w:val="0001284B"/>
    <w:rsid w:val="0001295C"/>
    <w:rsid w:val="000129B9"/>
    <w:rsid w:val="00014694"/>
    <w:rsid w:val="00014F80"/>
    <w:rsid w:val="00017CAD"/>
    <w:rsid w:val="000218C4"/>
    <w:rsid w:val="000229E5"/>
    <w:rsid w:val="000236EA"/>
    <w:rsid w:val="00023D5F"/>
    <w:rsid w:val="00024BCB"/>
    <w:rsid w:val="00025277"/>
    <w:rsid w:val="000259E4"/>
    <w:rsid w:val="00026296"/>
    <w:rsid w:val="000266B4"/>
    <w:rsid w:val="000315AE"/>
    <w:rsid w:val="00031C6E"/>
    <w:rsid w:val="000327B8"/>
    <w:rsid w:val="0003297D"/>
    <w:rsid w:val="00033263"/>
    <w:rsid w:val="00034118"/>
    <w:rsid w:val="000343D5"/>
    <w:rsid w:val="00035AA1"/>
    <w:rsid w:val="0003618C"/>
    <w:rsid w:val="00036FF9"/>
    <w:rsid w:val="00037599"/>
    <w:rsid w:val="000407CA"/>
    <w:rsid w:val="000411B2"/>
    <w:rsid w:val="000435EF"/>
    <w:rsid w:val="00043E98"/>
    <w:rsid w:val="0004495C"/>
    <w:rsid w:val="000458A2"/>
    <w:rsid w:val="000459B2"/>
    <w:rsid w:val="00045B36"/>
    <w:rsid w:val="00046D06"/>
    <w:rsid w:val="000470F6"/>
    <w:rsid w:val="00050F2C"/>
    <w:rsid w:val="00052915"/>
    <w:rsid w:val="00053371"/>
    <w:rsid w:val="00053BCB"/>
    <w:rsid w:val="0005421C"/>
    <w:rsid w:val="00055366"/>
    <w:rsid w:val="000569E8"/>
    <w:rsid w:val="00056A12"/>
    <w:rsid w:val="00060249"/>
    <w:rsid w:val="00060337"/>
    <w:rsid w:val="00060471"/>
    <w:rsid w:val="00061542"/>
    <w:rsid w:val="0006379C"/>
    <w:rsid w:val="000642E5"/>
    <w:rsid w:val="00064349"/>
    <w:rsid w:val="000644FB"/>
    <w:rsid w:val="000665EA"/>
    <w:rsid w:val="0006710A"/>
    <w:rsid w:val="00070270"/>
    <w:rsid w:val="0007192E"/>
    <w:rsid w:val="000768EE"/>
    <w:rsid w:val="00077378"/>
    <w:rsid w:val="0007796A"/>
    <w:rsid w:val="0008141E"/>
    <w:rsid w:val="000825EB"/>
    <w:rsid w:val="00082EB7"/>
    <w:rsid w:val="00082F03"/>
    <w:rsid w:val="00083F00"/>
    <w:rsid w:val="00085EDA"/>
    <w:rsid w:val="00086062"/>
    <w:rsid w:val="000870D0"/>
    <w:rsid w:val="0008792F"/>
    <w:rsid w:val="000927B9"/>
    <w:rsid w:val="00093F05"/>
    <w:rsid w:val="000940AD"/>
    <w:rsid w:val="00094406"/>
    <w:rsid w:val="0009656A"/>
    <w:rsid w:val="00097BC5"/>
    <w:rsid w:val="000A0171"/>
    <w:rsid w:val="000A3D88"/>
    <w:rsid w:val="000A5362"/>
    <w:rsid w:val="000A5483"/>
    <w:rsid w:val="000A57C6"/>
    <w:rsid w:val="000A5CA0"/>
    <w:rsid w:val="000A7986"/>
    <w:rsid w:val="000B1358"/>
    <w:rsid w:val="000B1A82"/>
    <w:rsid w:val="000B29FF"/>
    <w:rsid w:val="000B2E47"/>
    <w:rsid w:val="000B4741"/>
    <w:rsid w:val="000B540D"/>
    <w:rsid w:val="000B57B3"/>
    <w:rsid w:val="000B58E8"/>
    <w:rsid w:val="000B72FB"/>
    <w:rsid w:val="000C0EB5"/>
    <w:rsid w:val="000C246D"/>
    <w:rsid w:val="000C721F"/>
    <w:rsid w:val="000D1DC0"/>
    <w:rsid w:val="000D3A7E"/>
    <w:rsid w:val="000D664D"/>
    <w:rsid w:val="000E0A2E"/>
    <w:rsid w:val="000E3EDC"/>
    <w:rsid w:val="000E3F9F"/>
    <w:rsid w:val="000E4244"/>
    <w:rsid w:val="000E4336"/>
    <w:rsid w:val="000E5E42"/>
    <w:rsid w:val="000E5FDA"/>
    <w:rsid w:val="000E61A5"/>
    <w:rsid w:val="000E6486"/>
    <w:rsid w:val="000E7216"/>
    <w:rsid w:val="000F094C"/>
    <w:rsid w:val="000F0B75"/>
    <w:rsid w:val="000F1733"/>
    <w:rsid w:val="000F1C33"/>
    <w:rsid w:val="000F420D"/>
    <w:rsid w:val="000F445D"/>
    <w:rsid w:val="000F50D3"/>
    <w:rsid w:val="000F50F7"/>
    <w:rsid w:val="000F6CF0"/>
    <w:rsid w:val="0010091A"/>
    <w:rsid w:val="00100CA2"/>
    <w:rsid w:val="00100EE3"/>
    <w:rsid w:val="0010317E"/>
    <w:rsid w:val="001033B4"/>
    <w:rsid w:val="0010358D"/>
    <w:rsid w:val="0010369A"/>
    <w:rsid w:val="0010523D"/>
    <w:rsid w:val="00105E17"/>
    <w:rsid w:val="00106AE9"/>
    <w:rsid w:val="00106BBA"/>
    <w:rsid w:val="0010740D"/>
    <w:rsid w:val="00107909"/>
    <w:rsid w:val="00112382"/>
    <w:rsid w:val="00112C14"/>
    <w:rsid w:val="00112FB7"/>
    <w:rsid w:val="001133A2"/>
    <w:rsid w:val="0011411D"/>
    <w:rsid w:val="00114895"/>
    <w:rsid w:val="00114908"/>
    <w:rsid w:val="00114A4F"/>
    <w:rsid w:val="00114C45"/>
    <w:rsid w:val="00114F54"/>
    <w:rsid w:val="00114FFC"/>
    <w:rsid w:val="00117F8D"/>
    <w:rsid w:val="00120DC3"/>
    <w:rsid w:val="00121059"/>
    <w:rsid w:val="001213E3"/>
    <w:rsid w:val="001223FE"/>
    <w:rsid w:val="00122686"/>
    <w:rsid w:val="00122A31"/>
    <w:rsid w:val="00122DD8"/>
    <w:rsid w:val="00124BFB"/>
    <w:rsid w:val="00124C13"/>
    <w:rsid w:val="00126EA0"/>
    <w:rsid w:val="0012777E"/>
    <w:rsid w:val="00127FF8"/>
    <w:rsid w:val="001314B0"/>
    <w:rsid w:val="00132B92"/>
    <w:rsid w:val="00135537"/>
    <w:rsid w:val="001356E8"/>
    <w:rsid w:val="00136024"/>
    <w:rsid w:val="001365B2"/>
    <w:rsid w:val="0014019E"/>
    <w:rsid w:val="001446EE"/>
    <w:rsid w:val="00145A12"/>
    <w:rsid w:val="00145A76"/>
    <w:rsid w:val="00147749"/>
    <w:rsid w:val="001478C9"/>
    <w:rsid w:val="001532D2"/>
    <w:rsid w:val="00153C4E"/>
    <w:rsid w:val="0015581A"/>
    <w:rsid w:val="0015746B"/>
    <w:rsid w:val="001577B2"/>
    <w:rsid w:val="00161B6A"/>
    <w:rsid w:val="001620FB"/>
    <w:rsid w:val="001622C7"/>
    <w:rsid w:val="00162CFA"/>
    <w:rsid w:val="0016345F"/>
    <w:rsid w:val="001635A1"/>
    <w:rsid w:val="00163670"/>
    <w:rsid w:val="0016611C"/>
    <w:rsid w:val="00166B4E"/>
    <w:rsid w:val="00166E4B"/>
    <w:rsid w:val="001670EF"/>
    <w:rsid w:val="0016743B"/>
    <w:rsid w:val="00167889"/>
    <w:rsid w:val="00170620"/>
    <w:rsid w:val="00170A73"/>
    <w:rsid w:val="00171A3B"/>
    <w:rsid w:val="001739BE"/>
    <w:rsid w:val="0017523D"/>
    <w:rsid w:val="00175494"/>
    <w:rsid w:val="001755F0"/>
    <w:rsid w:val="00175C96"/>
    <w:rsid w:val="001778D4"/>
    <w:rsid w:val="00177998"/>
    <w:rsid w:val="00180088"/>
    <w:rsid w:val="00180686"/>
    <w:rsid w:val="00181D7B"/>
    <w:rsid w:val="001830E4"/>
    <w:rsid w:val="00183B7A"/>
    <w:rsid w:val="001845AE"/>
    <w:rsid w:val="00184E7C"/>
    <w:rsid w:val="00184F4D"/>
    <w:rsid w:val="001858DE"/>
    <w:rsid w:val="0018598C"/>
    <w:rsid w:val="001869AA"/>
    <w:rsid w:val="00187E05"/>
    <w:rsid w:val="00190039"/>
    <w:rsid w:val="0019273F"/>
    <w:rsid w:val="00192C11"/>
    <w:rsid w:val="00192C20"/>
    <w:rsid w:val="00195645"/>
    <w:rsid w:val="00195F67"/>
    <w:rsid w:val="001974EB"/>
    <w:rsid w:val="00197562"/>
    <w:rsid w:val="001A024A"/>
    <w:rsid w:val="001A171E"/>
    <w:rsid w:val="001A1B3F"/>
    <w:rsid w:val="001A22EE"/>
    <w:rsid w:val="001A536C"/>
    <w:rsid w:val="001A56ED"/>
    <w:rsid w:val="001A7AEC"/>
    <w:rsid w:val="001A7D0C"/>
    <w:rsid w:val="001A7EB9"/>
    <w:rsid w:val="001B1D59"/>
    <w:rsid w:val="001B4362"/>
    <w:rsid w:val="001B6176"/>
    <w:rsid w:val="001B78F3"/>
    <w:rsid w:val="001B7E39"/>
    <w:rsid w:val="001C0541"/>
    <w:rsid w:val="001C24E4"/>
    <w:rsid w:val="001C33AF"/>
    <w:rsid w:val="001C3ADF"/>
    <w:rsid w:val="001C6CAC"/>
    <w:rsid w:val="001C6EAC"/>
    <w:rsid w:val="001C7B69"/>
    <w:rsid w:val="001C7C69"/>
    <w:rsid w:val="001C7EE6"/>
    <w:rsid w:val="001D0066"/>
    <w:rsid w:val="001D1B0F"/>
    <w:rsid w:val="001D3CE3"/>
    <w:rsid w:val="001D4A85"/>
    <w:rsid w:val="001E0C2D"/>
    <w:rsid w:val="001E0E20"/>
    <w:rsid w:val="001E3CCD"/>
    <w:rsid w:val="001E5CD6"/>
    <w:rsid w:val="001E65F2"/>
    <w:rsid w:val="001E754E"/>
    <w:rsid w:val="001F0B08"/>
    <w:rsid w:val="001F0B90"/>
    <w:rsid w:val="001F1363"/>
    <w:rsid w:val="001F45E9"/>
    <w:rsid w:val="001F46D9"/>
    <w:rsid w:val="001F6FC7"/>
    <w:rsid w:val="001F729B"/>
    <w:rsid w:val="001F72EF"/>
    <w:rsid w:val="001F7D41"/>
    <w:rsid w:val="002001CC"/>
    <w:rsid w:val="002006BF"/>
    <w:rsid w:val="00202647"/>
    <w:rsid w:val="00203799"/>
    <w:rsid w:val="002042A7"/>
    <w:rsid w:val="0020458F"/>
    <w:rsid w:val="002049EC"/>
    <w:rsid w:val="002052D9"/>
    <w:rsid w:val="00205DA8"/>
    <w:rsid w:val="00206575"/>
    <w:rsid w:val="0021180D"/>
    <w:rsid w:val="00211D1A"/>
    <w:rsid w:val="00211DC8"/>
    <w:rsid w:val="002127AC"/>
    <w:rsid w:val="00213598"/>
    <w:rsid w:val="00214694"/>
    <w:rsid w:val="002200A6"/>
    <w:rsid w:val="0022022A"/>
    <w:rsid w:val="00221048"/>
    <w:rsid w:val="002236AD"/>
    <w:rsid w:val="002238A9"/>
    <w:rsid w:val="002241D1"/>
    <w:rsid w:val="0022449E"/>
    <w:rsid w:val="0022456A"/>
    <w:rsid w:val="00225102"/>
    <w:rsid w:val="00225865"/>
    <w:rsid w:val="00225C9F"/>
    <w:rsid w:val="00226B87"/>
    <w:rsid w:val="00231AE3"/>
    <w:rsid w:val="00233B03"/>
    <w:rsid w:val="002342BE"/>
    <w:rsid w:val="002342D1"/>
    <w:rsid w:val="00237798"/>
    <w:rsid w:val="00240207"/>
    <w:rsid w:val="00243C3B"/>
    <w:rsid w:val="0024493A"/>
    <w:rsid w:val="0024500D"/>
    <w:rsid w:val="00245194"/>
    <w:rsid w:val="0024740A"/>
    <w:rsid w:val="002515C2"/>
    <w:rsid w:val="0025195D"/>
    <w:rsid w:val="002523AF"/>
    <w:rsid w:val="00252FC0"/>
    <w:rsid w:val="002540CC"/>
    <w:rsid w:val="0025651A"/>
    <w:rsid w:val="00256A02"/>
    <w:rsid w:val="0025704B"/>
    <w:rsid w:val="00264AF9"/>
    <w:rsid w:val="00265F1E"/>
    <w:rsid w:val="00266724"/>
    <w:rsid w:val="00267033"/>
    <w:rsid w:val="00267C1D"/>
    <w:rsid w:val="0027023E"/>
    <w:rsid w:val="00270BC1"/>
    <w:rsid w:val="00271F2D"/>
    <w:rsid w:val="0027263F"/>
    <w:rsid w:val="002730B4"/>
    <w:rsid w:val="002731C9"/>
    <w:rsid w:val="0027573B"/>
    <w:rsid w:val="00275DC8"/>
    <w:rsid w:val="0027694A"/>
    <w:rsid w:val="00277F1E"/>
    <w:rsid w:val="00280134"/>
    <w:rsid w:val="00280EA4"/>
    <w:rsid w:val="002812B4"/>
    <w:rsid w:val="002829B0"/>
    <w:rsid w:val="00283196"/>
    <w:rsid w:val="00283CD7"/>
    <w:rsid w:val="00284DBF"/>
    <w:rsid w:val="002909F4"/>
    <w:rsid w:val="00292169"/>
    <w:rsid w:val="00292441"/>
    <w:rsid w:val="0029258D"/>
    <w:rsid w:val="00293AB4"/>
    <w:rsid w:val="00293AE1"/>
    <w:rsid w:val="00293E23"/>
    <w:rsid w:val="0029465A"/>
    <w:rsid w:val="002952B1"/>
    <w:rsid w:val="00296922"/>
    <w:rsid w:val="00296DFA"/>
    <w:rsid w:val="002A173A"/>
    <w:rsid w:val="002A21EE"/>
    <w:rsid w:val="002A294D"/>
    <w:rsid w:val="002A41A3"/>
    <w:rsid w:val="002A41BD"/>
    <w:rsid w:val="002A4B78"/>
    <w:rsid w:val="002A759D"/>
    <w:rsid w:val="002B04C2"/>
    <w:rsid w:val="002B06F6"/>
    <w:rsid w:val="002B2204"/>
    <w:rsid w:val="002B2C83"/>
    <w:rsid w:val="002B31F1"/>
    <w:rsid w:val="002B44A7"/>
    <w:rsid w:val="002B4A36"/>
    <w:rsid w:val="002B514D"/>
    <w:rsid w:val="002B74B9"/>
    <w:rsid w:val="002C0D67"/>
    <w:rsid w:val="002C1055"/>
    <w:rsid w:val="002C2B48"/>
    <w:rsid w:val="002C338F"/>
    <w:rsid w:val="002C40FD"/>
    <w:rsid w:val="002C47AC"/>
    <w:rsid w:val="002C77A0"/>
    <w:rsid w:val="002D0A13"/>
    <w:rsid w:val="002D2D5F"/>
    <w:rsid w:val="002D4BCA"/>
    <w:rsid w:val="002D733A"/>
    <w:rsid w:val="002E044F"/>
    <w:rsid w:val="002E11E1"/>
    <w:rsid w:val="002E2371"/>
    <w:rsid w:val="002E27B7"/>
    <w:rsid w:val="002E3E31"/>
    <w:rsid w:val="002E46E7"/>
    <w:rsid w:val="002E4C75"/>
    <w:rsid w:val="002E514C"/>
    <w:rsid w:val="002E6F35"/>
    <w:rsid w:val="002E7932"/>
    <w:rsid w:val="002F01EB"/>
    <w:rsid w:val="002F1D4F"/>
    <w:rsid w:val="002F31A6"/>
    <w:rsid w:val="002F44B5"/>
    <w:rsid w:val="002F4E9D"/>
    <w:rsid w:val="002F5A01"/>
    <w:rsid w:val="002F62A8"/>
    <w:rsid w:val="002F6F03"/>
    <w:rsid w:val="002F7478"/>
    <w:rsid w:val="00301495"/>
    <w:rsid w:val="0030273A"/>
    <w:rsid w:val="00302BE3"/>
    <w:rsid w:val="003031C5"/>
    <w:rsid w:val="003033C5"/>
    <w:rsid w:val="00303A5A"/>
    <w:rsid w:val="00303DB7"/>
    <w:rsid w:val="00305365"/>
    <w:rsid w:val="003060B9"/>
    <w:rsid w:val="00306987"/>
    <w:rsid w:val="00307A9D"/>
    <w:rsid w:val="003104A1"/>
    <w:rsid w:val="00313DDA"/>
    <w:rsid w:val="00314F90"/>
    <w:rsid w:val="00315C6A"/>
    <w:rsid w:val="00315CB4"/>
    <w:rsid w:val="00316834"/>
    <w:rsid w:val="0032026E"/>
    <w:rsid w:val="00323F70"/>
    <w:rsid w:val="00323FC6"/>
    <w:rsid w:val="003241C1"/>
    <w:rsid w:val="00324C8C"/>
    <w:rsid w:val="00324CEA"/>
    <w:rsid w:val="003258E1"/>
    <w:rsid w:val="003260DA"/>
    <w:rsid w:val="00332C64"/>
    <w:rsid w:val="003330DA"/>
    <w:rsid w:val="00333F1D"/>
    <w:rsid w:val="00334C5E"/>
    <w:rsid w:val="00334F9B"/>
    <w:rsid w:val="00335236"/>
    <w:rsid w:val="003355C3"/>
    <w:rsid w:val="003358B7"/>
    <w:rsid w:val="00337B22"/>
    <w:rsid w:val="00337EB3"/>
    <w:rsid w:val="0034020F"/>
    <w:rsid w:val="0034153C"/>
    <w:rsid w:val="003458F1"/>
    <w:rsid w:val="00345959"/>
    <w:rsid w:val="00345D34"/>
    <w:rsid w:val="003461E2"/>
    <w:rsid w:val="003468AB"/>
    <w:rsid w:val="0034783F"/>
    <w:rsid w:val="00350A71"/>
    <w:rsid w:val="003519BE"/>
    <w:rsid w:val="00353280"/>
    <w:rsid w:val="00353738"/>
    <w:rsid w:val="00354604"/>
    <w:rsid w:val="00355690"/>
    <w:rsid w:val="00357400"/>
    <w:rsid w:val="00362D88"/>
    <w:rsid w:val="003726B4"/>
    <w:rsid w:val="00372EA9"/>
    <w:rsid w:val="003735D8"/>
    <w:rsid w:val="00373839"/>
    <w:rsid w:val="00373913"/>
    <w:rsid w:val="0037401A"/>
    <w:rsid w:val="00374645"/>
    <w:rsid w:val="00374E96"/>
    <w:rsid w:val="0037521A"/>
    <w:rsid w:val="00375DF9"/>
    <w:rsid w:val="00376091"/>
    <w:rsid w:val="00377362"/>
    <w:rsid w:val="00382356"/>
    <w:rsid w:val="00382E69"/>
    <w:rsid w:val="00383047"/>
    <w:rsid w:val="0038571D"/>
    <w:rsid w:val="00386CC4"/>
    <w:rsid w:val="00390478"/>
    <w:rsid w:val="00390696"/>
    <w:rsid w:val="003915AF"/>
    <w:rsid w:val="00393721"/>
    <w:rsid w:val="00394817"/>
    <w:rsid w:val="0039703B"/>
    <w:rsid w:val="00397DFC"/>
    <w:rsid w:val="003A10B7"/>
    <w:rsid w:val="003A1D8F"/>
    <w:rsid w:val="003A2B48"/>
    <w:rsid w:val="003A38A4"/>
    <w:rsid w:val="003A3A29"/>
    <w:rsid w:val="003A4366"/>
    <w:rsid w:val="003A4404"/>
    <w:rsid w:val="003A7353"/>
    <w:rsid w:val="003A7ED4"/>
    <w:rsid w:val="003B03C7"/>
    <w:rsid w:val="003B237F"/>
    <w:rsid w:val="003B276D"/>
    <w:rsid w:val="003B2F98"/>
    <w:rsid w:val="003B5426"/>
    <w:rsid w:val="003B617B"/>
    <w:rsid w:val="003B66C7"/>
    <w:rsid w:val="003B6B17"/>
    <w:rsid w:val="003C11FC"/>
    <w:rsid w:val="003C15A9"/>
    <w:rsid w:val="003C1880"/>
    <w:rsid w:val="003C3A53"/>
    <w:rsid w:val="003C3FAB"/>
    <w:rsid w:val="003C429B"/>
    <w:rsid w:val="003D32DE"/>
    <w:rsid w:val="003D430E"/>
    <w:rsid w:val="003D4454"/>
    <w:rsid w:val="003D4AF3"/>
    <w:rsid w:val="003D4E44"/>
    <w:rsid w:val="003D5072"/>
    <w:rsid w:val="003D5292"/>
    <w:rsid w:val="003D582B"/>
    <w:rsid w:val="003D6BE7"/>
    <w:rsid w:val="003D7B02"/>
    <w:rsid w:val="003D7F18"/>
    <w:rsid w:val="003E2176"/>
    <w:rsid w:val="003E47D0"/>
    <w:rsid w:val="003E4DA7"/>
    <w:rsid w:val="003E5AAC"/>
    <w:rsid w:val="003F1567"/>
    <w:rsid w:val="003F6AA6"/>
    <w:rsid w:val="003F6E93"/>
    <w:rsid w:val="004026C5"/>
    <w:rsid w:val="00402A9A"/>
    <w:rsid w:val="004030D3"/>
    <w:rsid w:val="00404459"/>
    <w:rsid w:val="00410611"/>
    <w:rsid w:val="0041103B"/>
    <w:rsid w:val="00411980"/>
    <w:rsid w:val="004122C6"/>
    <w:rsid w:val="00412FA1"/>
    <w:rsid w:val="00413E3B"/>
    <w:rsid w:val="00416C5E"/>
    <w:rsid w:val="00420723"/>
    <w:rsid w:val="004215A2"/>
    <w:rsid w:val="0042524F"/>
    <w:rsid w:val="004279F1"/>
    <w:rsid w:val="0043086D"/>
    <w:rsid w:val="0043340B"/>
    <w:rsid w:val="00433CB6"/>
    <w:rsid w:val="004342B1"/>
    <w:rsid w:val="004359B7"/>
    <w:rsid w:val="00435FB8"/>
    <w:rsid w:val="00437BAB"/>
    <w:rsid w:val="00441659"/>
    <w:rsid w:val="00442AD2"/>
    <w:rsid w:val="004433E7"/>
    <w:rsid w:val="00444618"/>
    <w:rsid w:val="00445238"/>
    <w:rsid w:val="00446060"/>
    <w:rsid w:val="00446EE8"/>
    <w:rsid w:val="00450089"/>
    <w:rsid w:val="004501F7"/>
    <w:rsid w:val="00450B22"/>
    <w:rsid w:val="00451B91"/>
    <w:rsid w:val="004529B4"/>
    <w:rsid w:val="00452C22"/>
    <w:rsid w:val="00454B6A"/>
    <w:rsid w:val="00457816"/>
    <w:rsid w:val="00457A64"/>
    <w:rsid w:val="00460871"/>
    <w:rsid w:val="004608D0"/>
    <w:rsid w:val="00460A83"/>
    <w:rsid w:val="00460D75"/>
    <w:rsid w:val="0046138A"/>
    <w:rsid w:val="004614F0"/>
    <w:rsid w:val="00461608"/>
    <w:rsid w:val="00461AC5"/>
    <w:rsid w:val="004624F8"/>
    <w:rsid w:val="00462896"/>
    <w:rsid w:val="00462BB4"/>
    <w:rsid w:val="00463438"/>
    <w:rsid w:val="0046414D"/>
    <w:rsid w:val="00464242"/>
    <w:rsid w:val="00470DA5"/>
    <w:rsid w:val="00471469"/>
    <w:rsid w:val="00474C38"/>
    <w:rsid w:val="00474E6A"/>
    <w:rsid w:val="00476270"/>
    <w:rsid w:val="00476570"/>
    <w:rsid w:val="00476CC4"/>
    <w:rsid w:val="00480151"/>
    <w:rsid w:val="004806DF"/>
    <w:rsid w:val="00480BD0"/>
    <w:rsid w:val="00481AB4"/>
    <w:rsid w:val="00482692"/>
    <w:rsid w:val="004846B7"/>
    <w:rsid w:val="00486AE5"/>
    <w:rsid w:val="00490C41"/>
    <w:rsid w:val="004925FC"/>
    <w:rsid w:val="00494D11"/>
    <w:rsid w:val="004954EA"/>
    <w:rsid w:val="00497806"/>
    <w:rsid w:val="004A0321"/>
    <w:rsid w:val="004A2B8D"/>
    <w:rsid w:val="004A3D2D"/>
    <w:rsid w:val="004A440D"/>
    <w:rsid w:val="004A458F"/>
    <w:rsid w:val="004A48AF"/>
    <w:rsid w:val="004A5206"/>
    <w:rsid w:val="004A6E7F"/>
    <w:rsid w:val="004B210C"/>
    <w:rsid w:val="004B4B91"/>
    <w:rsid w:val="004B6DF5"/>
    <w:rsid w:val="004B7B2F"/>
    <w:rsid w:val="004C06F7"/>
    <w:rsid w:val="004C0B60"/>
    <w:rsid w:val="004C57AF"/>
    <w:rsid w:val="004C5E3C"/>
    <w:rsid w:val="004C701D"/>
    <w:rsid w:val="004C7298"/>
    <w:rsid w:val="004C77A8"/>
    <w:rsid w:val="004D0517"/>
    <w:rsid w:val="004D06C3"/>
    <w:rsid w:val="004D1F05"/>
    <w:rsid w:val="004D25E2"/>
    <w:rsid w:val="004D5066"/>
    <w:rsid w:val="004D6F70"/>
    <w:rsid w:val="004D7485"/>
    <w:rsid w:val="004D791A"/>
    <w:rsid w:val="004D7BF4"/>
    <w:rsid w:val="004E028F"/>
    <w:rsid w:val="004E1614"/>
    <w:rsid w:val="004E1E9D"/>
    <w:rsid w:val="004E2614"/>
    <w:rsid w:val="004E29A3"/>
    <w:rsid w:val="004E323F"/>
    <w:rsid w:val="004E4F7B"/>
    <w:rsid w:val="004E5257"/>
    <w:rsid w:val="004E5C58"/>
    <w:rsid w:val="004E65C5"/>
    <w:rsid w:val="004E67DE"/>
    <w:rsid w:val="004F0608"/>
    <w:rsid w:val="004F1459"/>
    <w:rsid w:val="004F164B"/>
    <w:rsid w:val="004F2AA6"/>
    <w:rsid w:val="004F3EDE"/>
    <w:rsid w:val="004F4C48"/>
    <w:rsid w:val="004F662A"/>
    <w:rsid w:val="004F69AE"/>
    <w:rsid w:val="004F7862"/>
    <w:rsid w:val="004F7BEB"/>
    <w:rsid w:val="004F7C0B"/>
    <w:rsid w:val="004F7E20"/>
    <w:rsid w:val="00503D63"/>
    <w:rsid w:val="00504FE6"/>
    <w:rsid w:val="00505835"/>
    <w:rsid w:val="0050783C"/>
    <w:rsid w:val="005118BE"/>
    <w:rsid w:val="00513AEE"/>
    <w:rsid w:val="00513E5F"/>
    <w:rsid w:val="005146C8"/>
    <w:rsid w:val="00517398"/>
    <w:rsid w:val="00517C86"/>
    <w:rsid w:val="00517CFC"/>
    <w:rsid w:val="00520146"/>
    <w:rsid w:val="00520D4D"/>
    <w:rsid w:val="005225FB"/>
    <w:rsid w:val="00523B80"/>
    <w:rsid w:val="005256DF"/>
    <w:rsid w:val="00525B18"/>
    <w:rsid w:val="00525F09"/>
    <w:rsid w:val="00530A59"/>
    <w:rsid w:val="005327A4"/>
    <w:rsid w:val="00532B0E"/>
    <w:rsid w:val="005346D8"/>
    <w:rsid w:val="005349D6"/>
    <w:rsid w:val="00537144"/>
    <w:rsid w:val="0053779B"/>
    <w:rsid w:val="0053797C"/>
    <w:rsid w:val="00540B03"/>
    <w:rsid w:val="00541577"/>
    <w:rsid w:val="005416D0"/>
    <w:rsid w:val="00541BDA"/>
    <w:rsid w:val="00542442"/>
    <w:rsid w:val="005441DB"/>
    <w:rsid w:val="005447A5"/>
    <w:rsid w:val="00546A6B"/>
    <w:rsid w:val="00547412"/>
    <w:rsid w:val="00547CB5"/>
    <w:rsid w:val="005527AF"/>
    <w:rsid w:val="00553A60"/>
    <w:rsid w:val="00556920"/>
    <w:rsid w:val="005569B2"/>
    <w:rsid w:val="005578E3"/>
    <w:rsid w:val="00557B23"/>
    <w:rsid w:val="00560313"/>
    <w:rsid w:val="00561C3B"/>
    <w:rsid w:val="00561F0D"/>
    <w:rsid w:val="00562364"/>
    <w:rsid w:val="0056248C"/>
    <w:rsid w:val="00562EC4"/>
    <w:rsid w:val="0056357F"/>
    <w:rsid w:val="00563636"/>
    <w:rsid w:val="00564466"/>
    <w:rsid w:val="005650B7"/>
    <w:rsid w:val="0056606E"/>
    <w:rsid w:val="00566836"/>
    <w:rsid w:val="00567D7D"/>
    <w:rsid w:val="005703E6"/>
    <w:rsid w:val="005727BA"/>
    <w:rsid w:val="0057450F"/>
    <w:rsid w:val="00574970"/>
    <w:rsid w:val="00575CB3"/>
    <w:rsid w:val="0057648C"/>
    <w:rsid w:val="0057776C"/>
    <w:rsid w:val="0058047E"/>
    <w:rsid w:val="005809EC"/>
    <w:rsid w:val="0058363C"/>
    <w:rsid w:val="005844B2"/>
    <w:rsid w:val="0058635D"/>
    <w:rsid w:val="005872A4"/>
    <w:rsid w:val="00587E7C"/>
    <w:rsid w:val="00590170"/>
    <w:rsid w:val="00591163"/>
    <w:rsid w:val="0059185A"/>
    <w:rsid w:val="00591892"/>
    <w:rsid w:val="00592962"/>
    <w:rsid w:val="00592B06"/>
    <w:rsid w:val="00592CE9"/>
    <w:rsid w:val="005939DC"/>
    <w:rsid w:val="005939FC"/>
    <w:rsid w:val="00593EE5"/>
    <w:rsid w:val="005946A1"/>
    <w:rsid w:val="005949E9"/>
    <w:rsid w:val="00595CC9"/>
    <w:rsid w:val="005963D5"/>
    <w:rsid w:val="00596B51"/>
    <w:rsid w:val="005971BE"/>
    <w:rsid w:val="005A01BA"/>
    <w:rsid w:val="005A26D0"/>
    <w:rsid w:val="005A2887"/>
    <w:rsid w:val="005A28E6"/>
    <w:rsid w:val="005A2F62"/>
    <w:rsid w:val="005A2F91"/>
    <w:rsid w:val="005A423F"/>
    <w:rsid w:val="005A4494"/>
    <w:rsid w:val="005A4A96"/>
    <w:rsid w:val="005A5733"/>
    <w:rsid w:val="005A5D4A"/>
    <w:rsid w:val="005A5FB2"/>
    <w:rsid w:val="005A644D"/>
    <w:rsid w:val="005A6B71"/>
    <w:rsid w:val="005A6BDB"/>
    <w:rsid w:val="005A6CB2"/>
    <w:rsid w:val="005A7647"/>
    <w:rsid w:val="005B3558"/>
    <w:rsid w:val="005B59AB"/>
    <w:rsid w:val="005B5B39"/>
    <w:rsid w:val="005B735A"/>
    <w:rsid w:val="005C1999"/>
    <w:rsid w:val="005C29A6"/>
    <w:rsid w:val="005C2D62"/>
    <w:rsid w:val="005C72C8"/>
    <w:rsid w:val="005C7360"/>
    <w:rsid w:val="005D1863"/>
    <w:rsid w:val="005D1CC1"/>
    <w:rsid w:val="005D3D3A"/>
    <w:rsid w:val="005D498A"/>
    <w:rsid w:val="005D69A4"/>
    <w:rsid w:val="005D6C4C"/>
    <w:rsid w:val="005E01C2"/>
    <w:rsid w:val="005E04AC"/>
    <w:rsid w:val="005E497F"/>
    <w:rsid w:val="005E4DBD"/>
    <w:rsid w:val="005E56FC"/>
    <w:rsid w:val="005E60B5"/>
    <w:rsid w:val="005E62A3"/>
    <w:rsid w:val="005E6FB1"/>
    <w:rsid w:val="005F01D4"/>
    <w:rsid w:val="005F1117"/>
    <w:rsid w:val="005F195B"/>
    <w:rsid w:val="005F20F2"/>
    <w:rsid w:val="005F26F8"/>
    <w:rsid w:val="005F39E0"/>
    <w:rsid w:val="005F4661"/>
    <w:rsid w:val="005F4FDB"/>
    <w:rsid w:val="005F6AC5"/>
    <w:rsid w:val="005F7533"/>
    <w:rsid w:val="0060083F"/>
    <w:rsid w:val="00602388"/>
    <w:rsid w:val="00606B0F"/>
    <w:rsid w:val="00607E8C"/>
    <w:rsid w:val="006105A4"/>
    <w:rsid w:val="00610BF9"/>
    <w:rsid w:val="00610E05"/>
    <w:rsid w:val="00610F0C"/>
    <w:rsid w:val="0061243F"/>
    <w:rsid w:val="0061350D"/>
    <w:rsid w:val="006146A3"/>
    <w:rsid w:val="00616843"/>
    <w:rsid w:val="00621769"/>
    <w:rsid w:val="00621C80"/>
    <w:rsid w:val="00622B60"/>
    <w:rsid w:val="00623737"/>
    <w:rsid w:val="0062423D"/>
    <w:rsid w:val="0062490B"/>
    <w:rsid w:val="00625992"/>
    <w:rsid w:val="006264F0"/>
    <w:rsid w:val="006273E0"/>
    <w:rsid w:val="0063168F"/>
    <w:rsid w:val="006320A3"/>
    <w:rsid w:val="00632B70"/>
    <w:rsid w:val="00634248"/>
    <w:rsid w:val="00641744"/>
    <w:rsid w:val="00642510"/>
    <w:rsid w:val="006431FE"/>
    <w:rsid w:val="00643770"/>
    <w:rsid w:val="00644AEB"/>
    <w:rsid w:val="00644F03"/>
    <w:rsid w:val="006521A1"/>
    <w:rsid w:val="00653226"/>
    <w:rsid w:val="00655C48"/>
    <w:rsid w:val="006570CB"/>
    <w:rsid w:val="00660DEC"/>
    <w:rsid w:val="006617D7"/>
    <w:rsid w:val="00662757"/>
    <w:rsid w:val="006638BF"/>
    <w:rsid w:val="00665F1F"/>
    <w:rsid w:val="0066637D"/>
    <w:rsid w:val="00666BE9"/>
    <w:rsid w:val="006673AE"/>
    <w:rsid w:val="00667C18"/>
    <w:rsid w:val="00672AE6"/>
    <w:rsid w:val="0067321B"/>
    <w:rsid w:val="0067451D"/>
    <w:rsid w:val="00676F1E"/>
    <w:rsid w:val="00676F33"/>
    <w:rsid w:val="00677E9B"/>
    <w:rsid w:val="00681180"/>
    <w:rsid w:val="00683EED"/>
    <w:rsid w:val="0068541E"/>
    <w:rsid w:val="0069267D"/>
    <w:rsid w:val="006933A7"/>
    <w:rsid w:val="00693671"/>
    <w:rsid w:val="00694EED"/>
    <w:rsid w:val="00695302"/>
    <w:rsid w:val="0069588A"/>
    <w:rsid w:val="00696ED4"/>
    <w:rsid w:val="0069726C"/>
    <w:rsid w:val="006A4222"/>
    <w:rsid w:val="006A4E81"/>
    <w:rsid w:val="006A6908"/>
    <w:rsid w:val="006A7342"/>
    <w:rsid w:val="006B2C56"/>
    <w:rsid w:val="006B4E61"/>
    <w:rsid w:val="006B6E63"/>
    <w:rsid w:val="006B6F95"/>
    <w:rsid w:val="006C3E9C"/>
    <w:rsid w:val="006C3EB8"/>
    <w:rsid w:val="006C5795"/>
    <w:rsid w:val="006C5BEE"/>
    <w:rsid w:val="006C5E28"/>
    <w:rsid w:val="006C6F3D"/>
    <w:rsid w:val="006D0C71"/>
    <w:rsid w:val="006D1C96"/>
    <w:rsid w:val="006D1DBF"/>
    <w:rsid w:val="006D1F84"/>
    <w:rsid w:val="006D2834"/>
    <w:rsid w:val="006D28F7"/>
    <w:rsid w:val="006D2A74"/>
    <w:rsid w:val="006D33FC"/>
    <w:rsid w:val="006D447A"/>
    <w:rsid w:val="006D6819"/>
    <w:rsid w:val="006D71ED"/>
    <w:rsid w:val="006D780D"/>
    <w:rsid w:val="006D7C2C"/>
    <w:rsid w:val="006E2AB1"/>
    <w:rsid w:val="006E510C"/>
    <w:rsid w:val="006E5D9D"/>
    <w:rsid w:val="006E6FAD"/>
    <w:rsid w:val="006F0211"/>
    <w:rsid w:val="006F054F"/>
    <w:rsid w:val="006F1400"/>
    <w:rsid w:val="006F188C"/>
    <w:rsid w:val="006F46E0"/>
    <w:rsid w:val="006F69E1"/>
    <w:rsid w:val="0070009F"/>
    <w:rsid w:val="0070089C"/>
    <w:rsid w:val="007009E3"/>
    <w:rsid w:val="00700B01"/>
    <w:rsid w:val="00701D5D"/>
    <w:rsid w:val="007026FA"/>
    <w:rsid w:val="00703CEB"/>
    <w:rsid w:val="00704647"/>
    <w:rsid w:val="0070523A"/>
    <w:rsid w:val="007110BA"/>
    <w:rsid w:val="007112C4"/>
    <w:rsid w:val="007127CB"/>
    <w:rsid w:val="00717D7E"/>
    <w:rsid w:val="00722C71"/>
    <w:rsid w:val="00724C01"/>
    <w:rsid w:val="00724DB7"/>
    <w:rsid w:val="007262B2"/>
    <w:rsid w:val="00727249"/>
    <w:rsid w:val="00730C95"/>
    <w:rsid w:val="00732C99"/>
    <w:rsid w:val="00733BBF"/>
    <w:rsid w:val="00733C9F"/>
    <w:rsid w:val="00733EA7"/>
    <w:rsid w:val="007346DB"/>
    <w:rsid w:val="0073699B"/>
    <w:rsid w:val="0073773B"/>
    <w:rsid w:val="007430C1"/>
    <w:rsid w:val="00743E7D"/>
    <w:rsid w:val="00744667"/>
    <w:rsid w:val="00745076"/>
    <w:rsid w:val="007458B1"/>
    <w:rsid w:val="00745F6C"/>
    <w:rsid w:val="00746760"/>
    <w:rsid w:val="00746AE4"/>
    <w:rsid w:val="007476C3"/>
    <w:rsid w:val="00750045"/>
    <w:rsid w:val="0075139A"/>
    <w:rsid w:val="00752520"/>
    <w:rsid w:val="00752958"/>
    <w:rsid w:val="00753EDC"/>
    <w:rsid w:val="00756535"/>
    <w:rsid w:val="007639DF"/>
    <w:rsid w:val="00764252"/>
    <w:rsid w:val="00764E18"/>
    <w:rsid w:val="00764EDA"/>
    <w:rsid w:val="00765976"/>
    <w:rsid w:val="00765B3D"/>
    <w:rsid w:val="00766167"/>
    <w:rsid w:val="007668AE"/>
    <w:rsid w:val="00770DDC"/>
    <w:rsid w:val="00771B9B"/>
    <w:rsid w:val="0077322C"/>
    <w:rsid w:val="00773D29"/>
    <w:rsid w:val="00776299"/>
    <w:rsid w:val="00776E2C"/>
    <w:rsid w:val="0077766C"/>
    <w:rsid w:val="00777DBA"/>
    <w:rsid w:val="00780264"/>
    <w:rsid w:val="00780812"/>
    <w:rsid w:val="00780D9A"/>
    <w:rsid w:val="007818BE"/>
    <w:rsid w:val="007842BA"/>
    <w:rsid w:val="007851BB"/>
    <w:rsid w:val="007860FF"/>
    <w:rsid w:val="00786E69"/>
    <w:rsid w:val="00787029"/>
    <w:rsid w:val="00791867"/>
    <w:rsid w:val="00791F13"/>
    <w:rsid w:val="007929E8"/>
    <w:rsid w:val="00792CC5"/>
    <w:rsid w:val="007931CF"/>
    <w:rsid w:val="007966D2"/>
    <w:rsid w:val="00797176"/>
    <w:rsid w:val="007A2590"/>
    <w:rsid w:val="007A36EA"/>
    <w:rsid w:val="007A398C"/>
    <w:rsid w:val="007A3C19"/>
    <w:rsid w:val="007A5512"/>
    <w:rsid w:val="007A58C8"/>
    <w:rsid w:val="007B0CF4"/>
    <w:rsid w:val="007B0D38"/>
    <w:rsid w:val="007B1177"/>
    <w:rsid w:val="007B2CEE"/>
    <w:rsid w:val="007B2DE3"/>
    <w:rsid w:val="007B3016"/>
    <w:rsid w:val="007B3312"/>
    <w:rsid w:val="007B44B7"/>
    <w:rsid w:val="007B5668"/>
    <w:rsid w:val="007B6536"/>
    <w:rsid w:val="007B66DD"/>
    <w:rsid w:val="007C09EC"/>
    <w:rsid w:val="007C0D00"/>
    <w:rsid w:val="007C356B"/>
    <w:rsid w:val="007C4CFC"/>
    <w:rsid w:val="007C5019"/>
    <w:rsid w:val="007C5214"/>
    <w:rsid w:val="007C5693"/>
    <w:rsid w:val="007C5ACF"/>
    <w:rsid w:val="007C6BF7"/>
    <w:rsid w:val="007C7141"/>
    <w:rsid w:val="007C7F74"/>
    <w:rsid w:val="007D0D52"/>
    <w:rsid w:val="007D152D"/>
    <w:rsid w:val="007D2ADF"/>
    <w:rsid w:val="007D5611"/>
    <w:rsid w:val="007D56D8"/>
    <w:rsid w:val="007D5EC3"/>
    <w:rsid w:val="007D7062"/>
    <w:rsid w:val="007E23D5"/>
    <w:rsid w:val="007E26A6"/>
    <w:rsid w:val="007E394C"/>
    <w:rsid w:val="007E4C9A"/>
    <w:rsid w:val="007E55E7"/>
    <w:rsid w:val="007E5DE1"/>
    <w:rsid w:val="007E6925"/>
    <w:rsid w:val="007F07F6"/>
    <w:rsid w:val="007F287A"/>
    <w:rsid w:val="007F3187"/>
    <w:rsid w:val="007F3727"/>
    <w:rsid w:val="007F6A3B"/>
    <w:rsid w:val="0080050B"/>
    <w:rsid w:val="00801470"/>
    <w:rsid w:val="00801740"/>
    <w:rsid w:val="00802388"/>
    <w:rsid w:val="008055EC"/>
    <w:rsid w:val="0081055B"/>
    <w:rsid w:val="00812032"/>
    <w:rsid w:val="00812A63"/>
    <w:rsid w:val="00813186"/>
    <w:rsid w:val="008167AC"/>
    <w:rsid w:val="008201A2"/>
    <w:rsid w:val="008213B2"/>
    <w:rsid w:val="00821BFA"/>
    <w:rsid w:val="008233F4"/>
    <w:rsid w:val="008235A5"/>
    <w:rsid w:val="00826066"/>
    <w:rsid w:val="0082697C"/>
    <w:rsid w:val="00826A1E"/>
    <w:rsid w:val="00826C16"/>
    <w:rsid w:val="00830E7F"/>
    <w:rsid w:val="00833BDE"/>
    <w:rsid w:val="00834CCF"/>
    <w:rsid w:val="008368BB"/>
    <w:rsid w:val="00836BF3"/>
    <w:rsid w:val="00836C9E"/>
    <w:rsid w:val="008406F1"/>
    <w:rsid w:val="008409C0"/>
    <w:rsid w:val="00841735"/>
    <w:rsid w:val="00841D1A"/>
    <w:rsid w:val="00842CE7"/>
    <w:rsid w:val="008430B3"/>
    <w:rsid w:val="00845724"/>
    <w:rsid w:val="00847524"/>
    <w:rsid w:val="00850260"/>
    <w:rsid w:val="008513FD"/>
    <w:rsid w:val="00851603"/>
    <w:rsid w:val="00851782"/>
    <w:rsid w:val="00851889"/>
    <w:rsid w:val="00851AC0"/>
    <w:rsid w:val="00854315"/>
    <w:rsid w:val="00854A02"/>
    <w:rsid w:val="008559A3"/>
    <w:rsid w:val="00856D8A"/>
    <w:rsid w:val="00860657"/>
    <w:rsid w:val="00861702"/>
    <w:rsid w:val="008621F3"/>
    <w:rsid w:val="008622B1"/>
    <w:rsid w:val="00862B33"/>
    <w:rsid w:val="00864ED0"/>
    <w:rsid w:val="00870011"/>
    <w:rsid w:val="008708BC"/>
    <w:rsid w:val="00872138"/>
    <w:rsid w:val="008737EB"/>
    <w:rsid w:val="0087453C"/>
    <w:rsid w:val="008753DA"/>
    <w:rsid w:val="00881F98"/>
    <w:rsid w:val="008834CD"/>
    <w:rsid w:val="00885A9F"/>
    <w:rsid w:val="0089082B"/>
    <w:rsid w:val="008925D7"/>
    <w:rsid w:val="008940FD"/>
    <w:rsid w:val="00894E52"/>
    <w:rsid w:val="00897000"/>
    <w:rsid w:val="00897228"/>
    <w:rsid w:val="00897716"/>
    <w:rsid w:val="008A0A35"/>
    <w:rsid w:val="008A0E87"/>
    <w:rsid w:val="008A1D58"/>
    <w:rsid w:val="008A291C"/>
    <w:rsid w:val="008A2B6F"/>
    <w:rsid w:val="008A3308"/>
    <w:rsid w:val="008A37AA"/>
    <w:rsid w:val="008A484D"/>
    <w:rsid w:val="008A5630"/>
    <w:rsid w:val="008A67C3"/>
    <w:rsid w:val="008A7B73"/>
    <w:rsid w:val="008B0303"/>
    <w:rsid w:val="008B0BF6"/>
    <w:rsid w:val="008B2AC6"/>
    <w:rsid w:val="008B3BCE"/>
    <w:rsid w:val="008B3CFD"/>
    <w:rsid w:val="008B4644"/>
    <w:rsid w:val="008B4FE5"/>
    <w:rsid w:val="008B54A5"/>
    <w:rsid w:val="008B63A7"/>
    <w:rsid w:val="008B75BB"/>
    <w:rsid w:val="008C023F"/>
    <w:rsid w:val="008C18E8"/>
    <w:rsid w:val="008C1AAA"/>
    <w:rsid w:val="008C2A10"/>
    <w:rsid w:val="008C3BC0"/>
    <w:rsid w:val="008C5242"/>
    <w:rsid w:val="008C613A"/>
    <w:rsid w:val="008C7254"/>
    <w:rsid w:val="008D0780"/>
    <w:rsid w:val="008D1837"/>
    <w:rsid w:val="008D18D9"/>
    <w:rsid w:val="008D1B8A"/>
    <w:rsid w:val="008D2824"/>
    <w:rsid w:val="008D46ED"/>
    <w:rsid w:val="008D4F64"/>
    <w:rsid w:val="008D5C71"/>
    <w:rsid w:val="008D613D"/>
    <w:rsid w:val="008D7C2A"/>
    <w:rsid w:val="008E0BFF"/>
    <w:rsid w:val="008E1C62"/>
    <w:rsid w:val="008E1DF3"/>
    <w:rsid w:val="008E24CA"/>
    <w:rsid w:val="008E2E33"/>
    <w:rsid w:val="008E312D"/>
    <w:rsid w:val="008E3830"/>
    <w:rsid w:val="008E48C0"/>
    <w:rsid w:val="008E61E4"/>
    <w:rsid w:val="008E6532"/>
    <w:rsid w:val="008E6A80"/>
    <w:rsid w:val="008E7C1E"/>
    <w:rsid w:val="008F062B"/>
    <w:rsid w:val="008F20F0"/>
    <w:rsid w:val="008F261F"/>
    <w:rsid w:val="008F4ED9"/>
    <w:rsid w:val="008F5880"/>
    <w:rsid w:val="008F6186"/>
    <w:rsid w:val="008F6F06"/>
    <w:rsid w:val="008F780B"/>
    <w:rsid w:val="00901719"/>
    <w:rsid w:val="00904446"/>
    <w:rsid w:val="00905955"/>
    <w:rsid w:val="00906A5E"/>
    <w:rsid w:val="0090786C"/>
    <w:rsid w:val="00911334"/>
    <w:rsid w:val="00912AEA"/>
    <w:rsid w:val="00913252"/>
    <w:rsid w:val="00914D70"/>
    <w:rsid w:val="0091767B"/>
    <w:rsid w:val="009219FF"/>
    <w:rsid w:val="00922F98"/>
    <w:rsid w:val="00923B81"/>
    <w:rsid w:val="0092434A"/>
    <w:rsid w:val="00926423"/>
    <w:rsid w:val="00926EAE"/>
    <w:rsid w:val="009270A2"/>
    <w:rsid w:val="00931FAB"/>
    <w:rsid w:val="009337D4"/>
    <w:rsid w:val="00935501"/>
    <w:rsid w:val="0093559E"/>
    <w:rsid w:val="00937531"/>
    <w:rsid w:val="0093764E"/>
    <w:rsid w:val="009401EA"/>
    <w:rsid w:val="009409E4"/>
    <w:rsid w:val="00941526"/>
    <w:rsid w:val="009422C4"/>
    <w:rsid w:val="009448A0"/>
    <w:rsid w:val="00945A9B"/>
    <w:rsid w:val="00945B34"/>
    <w:rsid w:val="0094760B"/>
    <w:rsid w:val="00950B3D"/>
    <w:rsid w:val="00952840"/>
    <w:rsid w:val="00953A72"/>
    <w:rsid w:val="00953EC7"/>
    <w:rsid w:val="0095467F"/>
    <w:rsid w:val="00954EB6"/>
    <w:rsid w:val="009565B3"/>
    <w:rsid w:val="00960270"/>
    <w:rsid w:val="009609A5"/>
    <w:rsid w:val="00962418"/>
    <w:rsid w:val="00963560"/>
    <w:rsid w:val="00963808"/>
    <w:rsid w:val="009645CB"/>
    <w:rsid w:val="0096537D"/>
    <w:rsid w:val="00966400"/>
    <w:rsid w:val="009676EB"/>
    <w:rsid w:val="009700E8"/>
    <w:rsid w:val="00970D2B"/>
    <w:rsid w:val="00973B7C"/>
    <w:rsid w:val="00973FD2"/>
    <w:rsid w:val="00974448"/>
    <w:rsid w:val="00975111"/>
    <w:rsid w:val="00977AF3"/>
    <w:rsid w:val="009847F4"/>
    <w:rsid w:val="0098550A"/>
    <w:rsid w:val="0099033E"/>
    <w:rsid w:val="009958AA"/>
    <w:rsid w:val="00996C4B"/>
    <w:rsid w:val="0099780A"/>
    <w:rsid w:val="009A023F"/>
    <w:rsid w:val="009A0CFC"/>
    <w:rsid w:val="009A1197"/>
    <w:rsid w:val="009A3551"/>
    <w:rsid w:val="009A47D0"/>
    <w:rsid w:val="009A4F0D"/>
    <w:rsid w:val="009A5E85"/>
    <w:rsid w:val="009B39CB"/>
    <w:rsid w:val="009B42B8"/>
    <w:rsid w:val="009B7A41"/>
    <w:rsid w:val="009C0152"/>
    <w:rsid w:val="009C0E72"/>
    <w:rsid w:val="009C25D9"/>
    <w:rsid w:val="009C45CB"/>
    <w:rsid w:val="009C67E2"/>
    <w:rsid w:val="009C7572"/>
    <w:rsid w:val="009C785B"/>
    <w:rsid w:val="009C7EA3"/>
    <w:rsid w:val="009D24D9"/>
    <w:rsid w:val="009D3BF9"/>
    <w:rsid w:val="009D3CB0"/>
    <w:rsid w:val="009D4367"/>
    <w:rsid w:val="009D4C8F"/>
    <w:rsid w:val="009D5164"/>
    <w:rsid w:val="009D5849"/>
    <w:rsid w:val="009D6785"/>
    <w:rsid w:val="009D6EC1"/>
    <w:rsid w:val="009E00BA"/>
    <w:rsid w:val="009E336E"/>
    <w:rsid w:val="009E4CB3"/>
    <w:rsid w:val="009E4D27"/>
    <w:rsid w:val="009E5024"/>
    <w:rsid w:val="009E584C"/>
    <w:rsid w:val="009F1705"/>
    <w:rsid w:val="009F5470"/>
    <w:rsid w:val="009F685B"/>
    <w:rsid w:val="009F7CA6"/>
    <w:rsid w:val="00A0015D"/>
    <w:rsid w:val="00A00C66"/>
    <w:rsid w:val="00A0119F"/>
    <w:rsid w:val="00A02585"/>
    <w:rsid w:val="00A02B5B"/>
    <w:rsid w:val="00A03FED"/>
    <w:rsid w:val="00A04166"/>
    <w:rsid w:val="00A046E1"/>
    <w:rsid w:val="00A04972"/>
    <w:rsid w:val="00A049A2"/>
    <w:rsid w:val="00A055FE"/>
    <w:rsid w:val="00A05D6B"/>
    <w:rsid w:val="00A07EC5"/>
    <w:rsid w:val="00A11F35"/>
    <w:rsid w:val="00A12997"/>
    <w:rsid w:val="00A1319A"/>
    <w:rsid w:val="00A136D5"/>
    <w:rsid w:val="00A13808"/>
    <w:rsid w:val="00A165AB"/>
    <w:rsid w:val="00A21008"/>
    <w:rsid w:val="00A21862"/>
    <w:rsid w:val="00A22C3B"/>
    <w:rsid w:val="00A24685"/>
    <w:rsid w:val="00A24A48"/>
    <w:rsid w:val="00A2592C"/>
    <w:rsid w:val="00A263E6"/>
    <w:rsid w:val="00A27849"/>
    <w:rsid w:val="00A30164"/>
    <w:rsid w:val="00A30400"/>
    <w:rsid w:val="00A30D37"/>
    <w:rsid w:val="00A32592"/>
    <w:rsid w:val="00A33E85"/>
    <w:rsid w:val="00A3592D"/>
    <w:rsid w:val="00A366A3"/>
    <w:rsid w:val="00A40C9E"/>
    <w:rsid w:val="00A40F8F"/>
    <w:rsid w:val="00A4159D"/>
    <w:rsid w:val="00A418A3"/>
    <w:rsid w:val="00A41BCB"/>
    <w:rsid w:val="00A43107"/>
    <w:rsid w:val="00A511D3"/>
    <w:rsid w:val="00A513FC"/>
    <w:rsid w:val="00A53844"/>
    <w:rsid w:val="00A53BDF"/>
    <w:rsid w:val="00A54D58"/>
    <w:rsid w:val="00A55517"/>
    <w:rsid w:val="00A56101"/>
    <w:rsid w:val="00A600FD"/>
    <w:rsid w:val="00A638B8"/>
    <w:rsid w:val="00A658EF"/>
    <w:rsid w:val="00A6709F"/>
    <w:rsid w:val="00A673BC"/>
    <w:rsid w:val="00A67EEF"/>
    <w:rsid w:val="00A718F7"/>
    <w:rsid w:val="00A7246E"/>
    <w:rsid w:val="00A72E71"/>
    <w:rsid w:val="00A73BDC"/>
    <w:rsid w:val="00A73D19"/>
    <w:rsid w:val="00A74059"/>
    <w:rsid w:val="00A74CB8"/>
    <w:rsid w:val="00A74F4A"/>
    <w:rsid w:val="00A75561"/>
    <w:rsid w:val="00A77B32"/>
    <w:rsid w:val="00A80870"/>
    <w:rsid w:val="00A852C8"/>
    <w:rsid w:val="00A85907"/>
    <w:rsid w:val="00A86146"/>
    <w:rsid w:val="00A8675D"/>
    <w:rsid w:val="00A86F7D"/>
    <w:rsid w:val="00A87542"/>
    <w:rsid w:val="00A87F8D"/>
    <w:rsid w:val="00A90038"/>
    <w:rsid w:val="00A90B89"/>
    <w:rsid w:val="00A91B43"/>
    <w:rsid w:val="00A91BBE"/>
    <w:rsid w:val="00A91E86"/>
    <w:rsid w:val="00A92050"/>
    <w:rsid w:val="00A939C2"/>
    <w:rsid w:val="00A94053"/>
    <w:rsid w:val="00A95B74"/>
    <w:rsid w:val="00A96563"/>
    <w:rsid w:val="00A96C93"/>
    <w:rsid w:val="00A96F1A"/>
    <w:rsid w:val="00A96F64"/>
    <w:rsid w:val="00A9744C"/>
    <w:rsid w:val="00A97CD5"/>
    <w:rsid w:val="00AA0B50"/>
    <w:rsid w:val="00AA370C"/>
    <w:rsid w:val="00AA3DAB"/>
    <w:rsid w:val="00AA41B0"/>
    <w:rsid w:val="00AB2C1B"/>
    <w:rsid w:val="00AB418B"/>
    <w:rsid w:val="00AB5427"/>
    <w:rsid w:val="00AC1048"/>
    <w:rsid w:val="00AC2AA2"/>
    <w:rsid w:val="00AC365A"/>
    <w:rsid w:val="00AC686A"/>
    <w:rsid w:val="00AC6E1D"/>
    <w:rsid w:val="00AC74F2"/>
    <w:rsid w:val="00AD1155"/>
    <w:rsid w:val="00AD1445"/>
    <w:rsid w:val="00AD2542"/>
    <w:rsid w:val="00AD38A5"/>
    <w:rsid w:val="00AD3FB6"/>
    <w:rsid w:val="00AD48D8"/>
    <w:rsid w:val="00AD4FAA"/>
    <w:rsid w:val="00AD606B"/>
    <w:rsid w:val="00AE420B"/>
    <w:rsid w:val="00AE4F4C"/>
    <w:rsid w:val="00AE6400"/>
    <w:rsid w:val="00AE689E"/>
    <w:rsid w:val="00AE7D91"/>
    <w:rsid w:val="00AF08F9"/>
    <w:rsid w:val="00AF10CC"/>
    <w:rsid w:val="00AF2359"/>
    <w:rsid w:val="00AF3EED"/>
    <w:rsid w:val="00AF3F53"/>
    <w:rsid w:val="00AF42A2"/>
    <w:rsid w:val="00AF49AE"/>
    <w:rsid w:val="00AF7D30"/>
    <w:rsid w:val="00B00F57"/>
    <w:rsid w:val="00B027AC"/>
    <w:rsid w:val="00B02ADA"/>
    <w:rsid w:val="00B110B4"/>
    <w:rsid w:val="00B1111D"/>
    <w:rsid w:val="00B146C0"/>
    <w:rsid w:val="00B14B32"/>
    <w:rsid w:val="00B15C66"/>
    <w:rsid w:val="00B15D9B"/>
    <w:rsid w:val="00B163E9"/>
    <w:rsid w:val="00B17130"/>
    <w:rsid w:val="00B17934"/>
    <w:rsid w:val="00B202CC"/>
    <w:rsid w:val="00B204D7"/>
    <w:rsid w:val="00B2065A"/>
    <w:rsid w:val="00B236BE"/>
    <w:rsid w:val="00B24398"/>
    <w:rsid w:val="00B24DE6"/>
    <w:rsid w:val="00B26819"/>
    <w:rsid w:val="00B2725B"/>
    <w:rsid w:val="00B27989"/>
    <w:rsid w:val="00B27EFC"/>
    <w:rsid w:val="00B30B98"/>
    <w:rsid w:val="00B346AE"/>
    <w:rsid w:val="00B35517"/>
    <w:rsid w:val="00B35EB5"/>
    <w:rsid w:val="00B3710D"/>
    <w:rsid w:val="00B41C13"/>
    <w:rsid w:val="00B4277E"/>
    <w:rsid w:val="00B46811"/>
    <w:rsid w:val="00B46FE1"/>
    <w:rsid w:val="00B4731F"/>
    <w:rsid w:val="00B47799"/>
    <w:rsid w:val="00B47DC7"/>
    <w:rsid w:val="00B47E70"/>
    <w:rsid w:val="00B53C8A"/>
    <w:rsid w:val="00B5571E"/>
    <w:rsid w:val="00B57DAC"/>
    <w:rsid w:val="00B6231F"/>
    <w:rsid w:val="00B62841"/>
    <w:rsid w:val="00B67626"/>
    <w:rsid w:val="00B67CAC"/>
    <w:rsid w:val="00B708D4"/>
    <w:rsid w:val="00B70E91"/>
    <w:rsid w:val="00B74F6D"/>
    <w:rsid w:val="00B7520A"/>
    <w:rsid w:val="00B76CAA"/>
    <w:rsid w:val="00B80000"/>
    <w:rsid w:val="00B81731"/>
    <w:rsid w:val="00B81DFF"/>
    <w:rsid w:val="00B82DFF"/>
    <w:rsid w:val="00B84273"/>
    <w:rsid w:val="00B84C56"/>
    <w:rsid w:val="00B870E3"/>
    <w:rsid w:val="00B9025C"/>
    <w:rsid w:val="00B90692"/>
    <w:rsid w:val="00B9078B"/>
    <w:rsid w:val="00B90EEE"/>
    <w:rsid w:val="00B91009"/>
    <w:rsid w:val="00B91392"/>
    <w:rsid w:val="00B938F5"/>
    <w:rsid w:val="00B94C41"/>
    <w:rsid w:val="00B95F81"/>
    <w:rsid w:val="00BA0083"/>
    <w:rsid w:val="00BA04F0"/>
    <w:rsid w:val="00BA14F2"/>
    <w:rsid w:val="00BA2B6C"/>
    <w:rsid w:val="00BA2BBB"/>
    <w:rsid w:val="00BA3A8D"/>
    <w:rsid w:val="00BA42E8"/>
    <w:rsid w:val="00BA7014"/>
    <w:rsid w:val="00BA7CBB"/>
    <w:rsid w:val="00BA7F04"/>
    <w:rsid w:val="00BB0F6A"/>
    <w:rsid w:val="00BB10BD"/>
    <w:rsid w:val="00BB2307"/>
    <w:rsid w:val="00BB2933"/>
    <w:rsid w:val="00BB3548"/>
    <w:rsid w:val="00BB3E51"/>
    <w:rsid w:val="00BB3F3F"/>
    <w:rsid w:val="00BB44D2"/>
    <w:rsid w:val="00BB5FF1"/>
    <w:rsid w:val="00BB6C11"/>
    <w:rsid w:val="00BC123F"/>
    <w:rsid w:val="00BC1807"/>
    <w:rsid w:val="00BC2D3B"/>
    <w:rsid w:val="00BC36D2"/>
    <w:rsid w:val="00BC41BD"/>
    <w:rsid w:val="00BC4516"/>
    <w:rsid w:val="00BC5720"/>
    <w:rsid w:val="00BC64D6"/>
    <w:rsid w:val="00BC6562"/>
    <w:rsid w:val="00BD04D3"/>
    <w:rsid w:val="00BD1500"/>
    <w:rsid w:val="00BD1A33"/>
    <w:rsid w:val="00BD1D78"/>
    <w:rsid w:val="00BD1F3E"/>
    <w:rsid w:val="00BD2620"/>
    <w:rsid w:val="00BD3AF7"/>
    <w:rsid w:val="00BD42FF"/>
    <w:rsid w:val="00BD5061"/>
    <w:rsid w:val="00BD540F"/>
    <w:rsid w:val="00BD7749"/>
    <w:rsid w:val="00BE33E4"/>
    <w:rsid w:val="00BE3556"/>
    <w:rsid w:val="00BE4FEB"/>
    <w:rsid w:val="00BE5599"/>
    <w:rsid w:val="00BE5735"/>
    <w:rsid w:val="00BE6904"/>
    <w:rsid w:val="00BF1D0D"/>
    <w:rsid w:val="00BF1DA5"/>
    <w:rsid w:val="00BF55D0"/>
    <w:rsid w:val="00BF6D76"/>
    <w:rsid w:val="00BF73D6"/>
    <w:rsid w:val="00C01D7C"/>
    <w:rsid w:val="00C0242C"/>
    <w:rsid w:val="00C025AD"/>
    <w:rsid w:val="00C02AB0"/>
    <w:rsid w:val="00C05D27"/>
    <w:rsid w:val="00C07228"/>
    <w:rsid w:val="00C10143"/>
    <w:rsid w:val="00C1063B"/>
    <w:rsid w:val="00C1073F"/>
    <w:rsid w:val="00C112BD"/>
    <w:rsid w:val="00C14D87"/>
    <w:rsid w:val="00C1511E"/>
    <w:rsid w:val="00C16602"/>
    <w:rsid w:val="00C1767A"/>
    <w:rsid w:val="00C20923"/>
    <w:rsid w:val="00C20D23"/>
    <w:rsid w:val="00C2180A"/>
    <w:rsid w:val="00C21DDB"/>
    <w:rsid w:val="00C21EEC"/>
    <w:rsid w:val="00C225F6"/>
    <w:rsid w:val="00C22799"/>
    <w:rsid w:val="00C2379B"/>
    <w:rsid w:val="00C24B75"/>
    <w:rsid w:val="00C24EAD"/>
    <w:rsid w:val="00C25225"/>
    <w:rsid w:val="00C2598C"/>
    <w:rsid w:val="00C26273"/>
    <w:rsid w:val="00C26F4D"/>
    <w:rsid w:val="00C300C2"/>
    <w:rsid w:val="00C30546"/>
    <w:rsid w:val="00C313B1"/>
    <w:rsid w:val="00C31E5D"/>
    <w:rsid w:val="00C326CC"/>
    <w:rsid w:val="00C35E97"/>
    <w:rsid w:val="00C367A3"/>
    <w:rsid w:val="00C36B83"/>
    <w:rsid w:val="00C37AC6"/>
    <w:rsid w:val="00C42713"/>
    <w:rsid w:val="00C43837"/>
    <w:rsid w:val="00C43F69"/>
    <w:rsid w:val="00C44308"/>
    <w:rsid w:val="00C44F5C"/>
    <w:rsid w:val="00C4572A"/>
    <w:rsid w:val="00C4591C"/>
    <w:rsid w:val="00C45A9F"/>
    <w:rsid w:val="00C50CF0"/>
    <w:rsid w:val="00C513F2"/>
    <w:rsid w:val="00C51495"/>
    <w:rsid w:val="00C538E0"/>
    <w:rsid w:val="00C5471A"/>
    <w:rsid w:val="00C54831"/>
    <w:rsid w:val="00C54D80"/>
    <w:rsid w:val="00C54FD3"/>
    <w:rsid w:val="00C55628"/>
    <w:rsid w:val="00C565B8"/>
    <w:rsid w:val="00C56EEC"/>
    <w:rsid w:val="00C56F90"/>
    <w:rsid w:val="00C579C0"/>
    <w:rsid w:val="00C60EE8"/>
    <w:rsid w:val="00C618CE"/>
    <w:rsid w:val="00C66BAD"/>
    <w:rsid w:val="00C71300"/>
    <w:rsid w:val="00C71307"/>
    <w:rsid w:val="00C7469F"/>
    <w:rsid w:val="00C750E7"/>
    <w:rsid w:val="00C7713A"/>
    <w:rsid w:val="00C80BF0"/>
    <w:rsid w:val="00C80DCF"/>
    <w:rsid w:val="00C80E7F"/>
    <w:rsid w:val="00C81391"/>
    <w:rsid w:val="00C81D65"/>
    <w:rsid w:val="00C8207F"/>
    <w:rsid w:val="00C82CCC"/>
    <w:rsid w:val="00C834E5"/>
    <w:rsid w:val="00C843A5"/>
    <w:rsid w:val="00C84621"/>
    <w:rsid w:val="00C84CBB"/>
    <w:rsid w:val="00C8654A"/>
    <w:rsid w:val="00C8709C"/>
    <w:rsid w:val="00C8718B"/>
    <w:rsid w:val="00C9061D"/>
    <w:rsid w:val="00C92851"/>
    <w:rsid w:val="00C94C6B"/>
    <w:rsid w:val="00CA018A"/>
    <w:rsid w:val="00CA05A6"/>
    <w:rsid w:val="00CA3D60"/>
    <w:rsid w:val="00CA5C67"/>
    <w:rsid w:val="00CA63A4"/>
    <w:rsid w:val="00CA75F0"/>
    <w:rsid w:val="00CB0256"/>
    <w:rsid w:val="00CB0660"/>
    <w:rsid w:val="00CB07C0"/>
    <w:rsid w:val="00CB098C"/>
    <w:rsid w:val="00CB388A"/>
    <w:rsid w:val="00CB3D91"/>
    <w:rsid w:val="00CB4144"/>
    <w:rsid w:val="00CB44C3"/>
    <w:rsid w:val="00CB4A68"/>
    <w:rsid w:val="00CB508C"/>
    <w:rsid w:val="00CB7824"/>
    <w:rsid w:val="00CC2144"/>
    <w:rsid w:val="00CC23EC"/>
    <w:rsid w:val="00CC2F92"/>
    <w:rsid w:val="00CC55D3"/>
    <w:rsid w:val="00CD0BC1"/>
    <w:rsid w:val="00CD5989"/>
    <w:rsid w:val="00CD5B4F"/>
    <w:rsid w:val="00CD760C"/>
    <w:rsid w:val="00CE1AAF"/>
    <w:rsid w:val="00CE264F"/>
    <w:rsid w:val="00CE2BDC"/>
    <w:rsid w:val="00CE2CCA"/>
    <w:rsid w:val="00CE3EF7"/>
    <w:rsid w:val="00CE4264"/>
    <w:rsid w:val="00CE463B"/>
    <w:rsid w:val="00CE47AC"/>
    <w:rsid w:val="00CE5395"/>
    <w:rsid w:val="00CE58B3"/>
    <w:rsid w:val="00CE6239"/>
    <w:rsid w:val="00CE6FF9"/>
    <w:rsid w:val="00CF17C4"/>
    <w:rsid w:val="00CF1CEF"/>
    <w:rsid w:val="00CF1DEF"/>
    <w:rsid w:val="00CF29BB"/>
    <w:rsid w:val="00CF2B51"/>
    <w:rsid w:val="00CF3CF6"/>
    <w:rsid w:val="00CF7747"/>
    <w:rsid w:val="00CF794D"/>
    <w:rsid w:val="00D003CA"/>
    <w:rsid w:val="00D01203"/>
    <w:rsid w:val="00D01451"/>
    <w:rsid w:val="00D019E2"/>
    <w:rsid w:val="00D0243E"/>
    <w:rsid w:val="00D02AE2"/>
    <w:rsid w:val="00D03097"/>
    <w:rsid w:val="00D03899"/>
    <w:rsid w:val="00D04426"/>
    <w:rsid w:val="00D069E8"/>
    <w:rsid w:val="00D06DED"/>
    <w:rsid w:val="00D1056E"/>
    <w:rsid w:val="00D10C4E"/>
    <w:rsid w:val="00D13596"/>
    <w:rsid w:val="00D13844"/>
    <w:rsid w:val="00D13902"/>
    <w:rsid w:val="00D14DF5"/>
    <w:rsid w:val="00D1686C"/>
    <w:rsid w:val="00D16CAE"/>
    <w:rsid w:val="00D17022"/>
    <w:rsid w:val="00D1785F"/>
    <w:rsid w:val="00D17B38"/>
    <w:rsid w:val="00D2183C"/>
    <w:rsid w:val="00D219E1"/>
    <w:rsid w:val="00D21B8D"/>
    <w:rsid w:val="00D22AD0"/>
    <w:rsid w:val="00D22BB8"/>
    <w:rsid w:val="00D23CFA"/>
    <w:rsid w:val="00D26433"/>
    <w:rsid w:val="00D26EED"/>
    <w:rsid w:val="00D27358"/>
    <w:rsid w:val="00D300CF"/>
    <w:rsid w:val="00D306C4"/>
    <w:rsid w:val="00D317F1"/>
    <w:rsid w:val="00D42E76"/>
    <w:rsid w:val="00D434C8"/>
    <w:rsid w:val="00D436DE"/>
    <w:rsid w:val="00D43E1D"/>
    <w:rsid w:val="00D43E7B"/>
    <w:rsid w:val="00D472F2"/>
    <w:rsid w:val="00D522B9"/>
    <w:rsid w:val="00D5280C"/>
    <w:rsid w:val="00D534F6"/>
    <w:rsid w:val="00D56498"/>
    <w:rsid w:val="00D5749A"/>
    <w:rsid w:val="00D612E3"/>
    <w:rsid w:val="00D615C4"/>
    <w:rsid w:val="00D63858"/>
    <w:rsid w:val="00D638FB"/>
    <w:rsid w:val="00D65A76"/>
    <w:rsid w:val="00D65DC7"/>
    <w:rsid w:val="00D66AEB"/>
    <w:rsid w:val="00D70013"/>
    <w:rsid w:val="00D7073C"/>
    <w:rsid w:val="00D70C26"/>
    <w:rsid w:val="00D71996"/>
    <w:rsid w:val="00D731C6"/>
    <w:rsid w:val="00D757DD"/>
    <w:rsid w:val="00D80331"/>
    <w:rsid w:val="00D811FC"/>
    <w:rsid w:val="00D8295E"/>
    <w:rsid w:val="00D82B2A"/>
    <w:rsid w:val="00D84CB3"/>
    <w:rsid w:val="00D84E04"/>
    <w:rsid w:val="00D86B6C"/>
    <w:rsid w:val="00D9001C"/>
    <w:rsid w:val="00D92796"/>
    <w:rsid w:val="00D92905"/>
    <w:rsid w:val="00D9371A"/>
    <w:rsid w:val="00D9507D"/>
    <w:rsid w:val="00D97E59"/>
    <w:rsid w:val="00DA0A61"/>
    <w:rsid w:val="00DA3107"/>
    <w:rsid w:val="00DA5554"/>
    <w:rsid w:val="00DA698A"/>
    <w:rsid w:val="00DA7705"/>
    <w:rsid w:val="00DA7952"/>
    <w:rsid w:val="00DB2397"/>
    <w:rsid w:val="00DB2A8C"/>
    <w:rsid w:val="00DB5A85"/>
    <w:rsid w:val="00DB5C06"/>
    <w:rsid w:val="00DB5F71"/>
    <w:rsid w:val="00DB7DC5"/>
    <w:rsid w:val="00DB7FAE"/>
    <w:rsid w:val="00DC0D05"/>
    <w:rsid w:val="00DC15B8"/>
    <w:rsid w:val="00DC1DF5"/>
    <w:rsid w:val="00DC2DBF"/>
    <w:rsid w:val="00DC2F8A"/>
    <w:rsid w:val="00DC5FE9"/>
    <w:rsid w:val="00DC78CD"/>
    <w:rsid w:val="00DC7F89"/>
    <w:rsid w:val="00DD0E33"/>
    <w:rsid w:val="00DD2294"/>
    <w:rsid w:val="00DD2EA9"/>
    <w:rsid w:val="00DD63E3"/>
    <w:rsid w:val="00DE02A4"/>
    <w:rsid w:val="00DE08DB"/>
    <w:rsid w:val="00DE0C71"/>
    <w:rsid w:val="00DE3133"/>
    <w:rsid w:val="00DE3595"/>
    <w:rsid w:val="00DE3832"/>
    <w:rsid w:val="00DE3D07"/>
    <w:rsid w:val="00DE4006"/>
    <w:rsid w:val="00DE4E55"/>
    <w:rsid w:val="00DE525D"/>
    <w:rsid w:val="00DE5B27"/>
    <w:rsid w:val="00DE5BFE"/>
    <w:rsid w:val="00DE6942"/>
    <w:rsid w:val="00DE6B8A"/>
    <w:rsid w:val="00DE72C7"/>
    <w:rsid w:val="00DF3B81"/>
    <w:rsid w:val="00DF40D1"/>
    <w:rsid w:val="00DF41C8"/>
    <w:rsid w:val="00DF62D4"/>
    <w:rsid w:val="00DF65B2"/>
    <w:rsid w:val="00E0203F"/>
    <w:rsid w:val="00E025BB"/>
    <w:rsid w:val="00E03070"/>
    <w:rsid w:val="00E03105"/>
    <w:rsid w:val="00E044A3"/>
    <w:rsid w:val="00E048E4"/>
    <w:rsid w:val="00E06F56"/>
    <w:rsid w:val="00E10975"/>
    <w:rsid w:val="00E10DCA"/>
    <w:rsid w:val="00E11860"/>
    <w:rsid w:val="00E141F3"/>
    <w:rsid w:val="00E14BBC"/>
    <w:rsid w:val="00E14D11"/>
    <w:rsid w:val="00E15D80"/>
    <w:rsid w:val="00E20F8E"/>
    <w:rsid w:val="00E24D75"/>
    <w:rsid w:val="00E24E6A"/>
    <w:rsid w:val="00E25997"/>
    <w:rsid w:val="00E30C86"/>
    <w:rsid w:val="00E30FC1"/>
    <w:rsid w:val="00E32D13"/>
    <w:rsid w:val="00E33097"/>
    <w:rsid w:val="00E350A7"/>
    <w:rsid w:val="00E35231"/>
    <w:rsid w:val="00E3591E"/>
    <w:rsid w:val="00E366CC"/>
    <w:rsid w:val="00E36A92"/>
    <w:rsid w:val="00E3706B"/>
    <w:rsid w:val="00E41851"/>
    <w:rsid w:val="00E4188D"/>
    <w:rsid w:val="00E41C1C"/>
    <w:rsid w:val="00E4555E"/>
    <w:rsid w:val="00E51075"/>
    <w:rsid w:val="00E53AC8"/>
    <w:rsid w:val="00E53D4B"/>
    <w:rsid w:val="00E54B23"/>
    <w:rsid w:val="00E55A65"/>
    <w:rsid w:val="00E55F81"/>
    <w:rsid w:val="00E56AB9"/>
    <w:rsid w:val="00E601FC"/>
    <w:rsid w:val="00E60620"/>
    <w:rsid w:val="00E61971"/>
    <w:rsid w:val="00E61B2B"/>
    <w:rsid w:val="00E6227C"/>
    <w:rsid w:val="00E6533A"/>
    <w:rsid w:val="00E65ED1"/>
    <w:rsid w:val="00E67CD2"/>
    <w:rsid w:val="00E7098D"/>
    <w:rsid w:val="00E70A65"/>
    <w:rsid w:val="00E712C1"/>
    <w:rsid w:val="00E72297"/>
    <w:rsid w:val="00E734AB"/>
    <w:rsid w:val="00E73A12"/>
    <w:rsid w:val="00E751CC"/>
    <w:rsid w:val="00E758C6"/>
    <w:rsid w:val="00E769A9"/>
    <w:rsid w:val="00E80394"/>
    <w:rsid w:val="00E81C53"/>
    <w:rsid w:val="00E82CBD"/>
    <w:rsid w:val="00E82EE7"/>
    <w:rsid w:val="00E8739D"/>
    <w:rsid w:val="00E87B7A"/>
    <w:rsid w:val="00E91752"/>
    <w:rsid w:val="00E92E5E"/>
    <w:rsid w:val="00E94960"/>
    <w:rsid w:val="00E95417"/>
    <w:rsid w:val="00EA1070"/>
    <w:rsid w:val="00EA3D97"/>
    <w:rsid w:val="00EA5058"/>
    <w:rsid w:val="00EA536A"/>
    <w:rsid w:val="00EA74FE"/>
    <w:rsid w:val="00EB0D16"/>
    <w:rsid w:val="00EB0E4E"/>
    <w:rsid w:val="00EB1633"/>
    <w:rsid w:val="00EB2C67"/>
    <w:rsid w:val="00EB56FD"/>
    <w:rsid w:val="00EB61C2"/>
    <w:rsid w:val="00EB61D1"/>
    <w:rsid w:val="00EB6D9B"/>
    <w:rsid w:val="00EC3E4F"/>
    <w:rsid w:val="00EC4242"/>
    <w:rsid w:val="00EC61D4"/>
    <w:rsid w:val="00EC66A3"/>
    <w:rsid w:val="00EC7BF0"/>
    <w:rsid w:val="00ED0F3E"/>
    <w:rsid w:val="00ED139F"/>
    <w:rsid w:val="00ED1482"/>
    <w:rsid w:val="00ED329E"/>
    <w:rsid w:val="00ED33AB"/>
    <w:rsid w:val="00ED345D"/>
    <w:rsid w:val="00ED4121"/>
    <w:rsid w:val="00ED73E1"/>
    <w:rsid w:val="00ED7D25"/>
    <w:rsid w:val="00ED7E0D"/>
    <w:rsid w:val="00EE3496"/>
    <w:rsid w:val="00EE3CFC"/>
    <w:rsid w:val="00EE667E"/>
    <w:rsid w:val="00EE7359"/>
    <w:rsid w:val="00EF047A"/>
    <w:rsid w:val="00EF167F"/>
    <w:rsid w:val="00EF1ACB"/>
    <w:rsid w:val="00EF2131"/>
    <w:rsid w:val="00EF6697"/>
    <w:rsid w:val="00EF70E4"/>
    <w:rsid w:val="00EF7AE4"/>
    <w:rsid w:val="00F04120"/>
    <w:rsid w:val="00F04AA3"/>
    <w:rsid w:val="00F07E9F"/>
    <w:rsid w:val="00F115F9"/>
    <w:rsid w:val="00F120B8"/>
    <w:rsid w:val="00F12603"/>
    <w:rsid w:val="00F13175"/>
    <w:rsid w:val="00F14E36"/>
    <w:rsid w:val="00F1565E"/>
    <w:rsid w:val="00F17253"/>
    <w:rsid w:val="00F175FF"/>
    <w:rsid w:val="00F17EE3"/>
    <w:rsid w:val="00F202D6"/>
    <w:rsid w:val="00F212EC"/>
    <w:rsid w:val="00F21E1A"/>
    <w:rsid w:val="00F22013"/>
    <w:rsid w:val="00F22632"/>
    <w:rsid w:val="00F22DFF"/>
    <w:rsid w:val="00F23248"/>
    <w:rsid w:val="00F2554B"/>
    <w:rsid w:val="00F26526"/>
    <w:rsid w:val="00F2775C"/>
    <w:rsid w:val="00F31795"/>
    <w:rsid w:val="00F32E5A"/>
    <w:rsid w:val="00F35E65"/>
    <w:rsid w:val="00F35EB2"/>
    <w:rsid w:val="00F37762"/>
    <w:rsid w:val="00F439BA"/>
    <w:rsid w:val="00F453DF"/>
    <w:rsid w:val="00F50DAA"/>
    <w:rsid w:val="00F528A6"/>
    <w:rsid w:val="00F53463"/>
    <w:rsid w:val="00F559A0"/>
    <w:rsid w:val="00F55AB4"/>
    <w:rsid w:val="00F57297"/>
    <w:rsid w:val="00F5738C"/>
    <w:rsid w:val="00F6072A"/>
    <w:rsid w:val="00F61807"/>
    <w:rsid w:val="00F671DE"/>
    <w:rsid w:val="00F71236"/>
    <w:rsid w:val="00F722B5"/>
    <w:rsid w:val="00F726FC"/>
    <w:rsid w:val="00F73491"/>
    <w:rsid w:val="00F7548B"/>
    <w:rsid w:val="00F75A80"/>
    <w:rsid w:val="00F76439"/>
    <w:rsid w:val="00F8015E"/>
    <w:rsid w:val="00F81786"/>
    <w:rsid w:val="00F837C5"/>
    <w:rsid w:val="00F839CF"/>
    <w:rsid w:val="00F84A3E"/>
    <w:rsid w:val="00F84D69"/>
    <w:rsid w:val="00F86AE8"/>
    <w:rsid w:val="00F87C6B"/>
    <w:rsid w:val="00F927E7"/>
    <w:rsid w:val="00F95494"/>
    <w:rsid w:val="00F974D4"/>
    <w:rsid w:val="00F97C46"/>
    <w:rsid w:val="00FA21F9"/>
    <w:rsid w:val="00FA2450"/>
    <w:rsid w:val="00FA3E58"/>
    <w:rsid w:val="00FA4615"/>
    <w:rsid w:val="00FA51E0"/>
    <w:rsid w:val="00FA5BC9"/>
    <w:rsid w:val="00FA773A"/>
    <w:rsid w:val="00FB2578"/>
    <w:rsid w:val="00FB3C7D"/>
    <w:rsid w:val="00FB4309"/>
    <w:rsid w:val="00FB66A1"/>
    <w:rsid w:val="00FB6F0F"/>
    <w:rsid w:val="00FB7729"/>
    <w:rsid w:val="00FB7B04"/>
    <w:rsid w:val="00FB7BEF"/>
    <w:rsid w:val="00FC099B"/>
    <w:rsid w:val="00FC0E5B"/>
    <w:rsid w:val="00FC0EFE"/>
    <w:rsid w:val="00FC19F8"/>
    <w:rsid w:val="00FC23D8"/>
    <w:rsid w:val="00FC2662"/>
    <w:rsid w:val="00FC29A7"/>
    <w:rsid w:val="00FC2D10"/>
    <w:rsid w:val="00FC34BA"/>
    <w:rsid w:val="00FC488F"/>
    <w:rsid w:val="00FC7B67"/>
    <w:rsid w:val="00FD24D2"/>
    <w:rsid w:val="00FD26FE"/>
    <w:rsid w:val="00FD3680"/>
    <w:rsid w:val="00FE0186"/>
    <w:rsid w:val="00FE1858"/>
    <w:rsid w:val="00FE1A11"/>
    <w:rsid w:val="00FE1D63"/>
    <w:rsid w:val="00FE2BB3"/>
    <w:rsid w:val="00FE30E9"/>
    <w:rsid w:val="00FE5400"/>
    <w:rsid w:val="00FE7E1D"/>
    <w:rsid w:val="00FF03D6"/>
    <w:rsid w:val="00FF251C"/>
    <w:rsid w:val="00FF36B8"/>
    <w:rsid w:val="00FF4B89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1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A7342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00243E"/>
    <w:pPr>
      <w:tabs>
        <w:tab w:val="clear" w:pos="720"/>
      </w:tabs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PH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6C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 w:val="en-US" w:eastAsia="en-US" w:bidi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uiPriority w:val="34"/>
    <w:qFormat/>
    <w:rsid w:val="008A37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5206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PH"/>
    </w:rPr>
  </w:style>
  <w:style w:type="character" w:styleId="Strong">
    <w:name w:val="Strong"/>
    <w:basedOn w:val="DefaultParagraphFont"/>
    <w:uiPriority w:val="22"/>
    <w:qFormat/>
    <w:rsid w:val="004A5206"/>
    <w:rPr>
      <w:b/>
      <w:bCs/>
    </w:rPr>
  </w:style>
  <w:style w:type="character" w:customStyle="1" w:styleId="apple-converted-space">
    <w:name w:val="apple-converted-space"/>
    <w:basedOn w:val="DefaultParagraphFont"/>
    <w:rsid w:val="004A5206"/>
  </w:style>
  <w:style w:type="character" w:styleId="Hyperlink">
    <w:name w:val="Hyperlink"/>
    <w:basedOn w:val="DefaultParagraphFont"/>
    <w:uiPriority w:val="99"/>
    <w:unhideWhenUsed/>
    <w:rsid w:val="004A520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A52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0A"/>
    <w:rPr>
      <w:rFonts w:ascii="Tahoma" w:eastAsia="WenQuanYi Micro Hei" w:hAnsi="Tahoma" w:cs="Tahoma"/>
      <w:color w:val="00000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0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07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13FD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3FD"/>
    <w:rPr>
      <w:rFonts w:ascii="Calibri" w:eastAsia="WenQuanYi Micro Hei" w:hAnsi="Calibri" w:cs="Calibri"/>
      <w:color w:val="00000A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13FD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3FD"/>
    <w:rPr>
      <w:rFonts w:ascii="Calibri" w:eastAsia="WenQuanYi Micro Hei" w:hAnsi="Calibri" w:cs="Calibri"/>
      <w:color w:val="00000A"/>
      <w:lang w:eastAsia="en-US"/>
    </w:rPr>
  </w:style>
  <w:style w:type="character" w:customStyle="1" w:styleId="cit-title">
    <w:name w:val="cit-title"/>
    <w:basedOn w:val="DefaultParagraphFont"/>
    <w:rsid w:val="00354604"/>
  </w:style>
  <w:style w:type="character" w:styleId="HTMLCite">
    <w:name w:val="HTML Cite"/>
    <w:basedOn w:val="DefaultParagraphFont"/>
    <w:uiPriority w:val="99"/>
    <w:semiHidden/>
    <w:unhideWhenUsed/>
    <w:rsid w:val="00354604"/>
    <w:rPr>
      <w:i/>
      <w:iCs/>
    </w:rPr>
  </w:style>
  <w:style w:type="character" w:customStyle="1" w:styleId="cit-sep">
    <w:name w:val="cit-sep"/>
    <w:basedOn w:val="DefaultParagraphFont"/>
    <w:rsid w:val="00354604"/>
  </w:style>
  <w:style w:type="character" w:customStyle="1" w:styleId="cit-print-date">
    <w:name w:val="cit-print-date"/>
    <w:basedOn w:val="DefaultParagraphFont"/>
    <w:rsid w:val="00354604"/>
  </w:style>
  <w:style w:type="character" w:customStyle="1" w:styleId="cit-vol">
    <w:name w:val="cit-vol"/>
    <w:basedOn w:val="DefaultParagraphFont"/>
    <w:rsid w:val="00354604"/>
  </w:style>
  <w:style w:type="character" w:customStyle="1" w:styleId="cit-issue">
    <w:name w:val="cit-issue"/>
    <w:basedOn w:val="DefaultParagraphFont"/>
    <w:rsid w:val="00354604"/>
  </w:style>
  <w:style w:type="character" w:customStyle="1" w:styleId="cit-first-page">
    <w:name w:val="cit-first-page"/>
    <w:basedOn w:val="DefaultParagraphFont"/>
    <w:rsid w:val="00354604"/>
  </w:style>
  <w:style w:type="character" w:customStyle="1" w:styleId="cit-last-page">
    <w:name w:val="cit-last-page"/>
    <w:basedOn w:val="DefaultParagraphFont"/>
    <w:rsid w:val="00354604"/>
  </w:style>
  <w:style w:type="character" w:customStyle="1" w:styleId="Heading4Char">
    <w:name w:val="Heading 4 Char"/>
    <w:basedOn w:val="DefaultParagraphFont"/>
    <w:link w:val="Heading4"/>
    <w:uiPriority w:val="9"/>
    <w:rsid w:val="000024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it-auth">
    <w:name w:val="cit-auth"/>
    <w:basedOn w:val="DefaultParagraphFont"/>
    <w:rsid w:val="0000243E"/>
  </w:style>
  <w:style w:type="character" w:customStyle="1" w:styleId="cit-doi">
    <w:name w:val="cit-doi"/>
    <w:basedOn w:val="DefaultParagraphFont"/>
    <w:rsid w:val="0000243E"/>
  </w:style>
  <w:style w:type="character" w:customStyle="1" w:styleId="Heading5Char">
    <w:name w:val="Heading 5 Char"/>
    <w:basedOn w:val="DefaultParagraphFont"/>
    <w:link w:val="Heading5"/>
    <w:uiPriority w:val="9"/>
    <w:rsid w:val="00B76CAA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E7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">
    <w:name w:val="t"/>
    <w:basedOn w:val="DefaultParagraphFont"/>
    <w:rsid w:val="00E30FC1"/>
  </w:style>
  <w:style w:type="paragraph" w:customStyle="1" w:styleId="journal-title">
    <w:name w:val="journal-title"/>
    <w:basedOn w:val="Normal"/>
    <w:rsid w:val="00973FD2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PH"/>
    </w:rPr>
  </w:style>
  <w:style w:type="paragraph" w:customStyle="1" w:styleId="journal-volume">
    <w:name w:val="journal-volume"/>
    <w:basedOn w:val="Normal"/>
    <w:rsid w:val="00973FD2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PH"/>
    </w:rPr>
  </w:style>
  <w:style w:type="character" w:customStyle="1" w:styleId="accessible-text">
    <w:name w:val="accessible-text"/>
    <w:basedOn w:val="DefaultParagraphFont"/>
    <w:rsid w:val="00973FD2"/>
  </w:style>
  <w:style w:type="character" w:customStyle="1" w:styleId="author">
    <w:name w:val="author"/>
    <w:basedOn w:val="DefaultParagraphFont"/>
    <w:rsid w:val="00973FD2"/>
  </w:style>
  <w:style w:type="character" w:customStyle="1" w:styleId="author-name">
    <w:name w:val="author-name"/>
    <w:basedOn w:val="DefaultParagraphFont"/>
    <w:rsid w:val="00973FD2"/>
  </w:style>
  <w:style w:type="paragraph" w:customStyle="1" w:styleId="article-dochead">
    <w:name w:val="article-dochead"/>
    <w:basedOn w:val="Normal"/>
    <w:rsid w:val="00B47E70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PH"/>
    </w:rPr>
  </w:style>
  <w:style w:type="character" w:customStyle="1" w:styleId="hlfld-title">
    <w:name w:val="hlfld-title"/>
    <w:basedOn w:val="DefaultParagraphFont"/>
    <w:rsid w:val="00166E4B"/>
  </w:style>
  <w:style w:type="character" w:customStyle="1" w:styleId="hlfld-contribauthor">
    <w:name w:val="hlfld-contribauthor"/>
    <w:basedOn w:val="DefaultParagraphFont"/>
    <w:rsid w:val="00166E4B"/>
  </w:style>
  <w:style w:type="character" w:customStyle="1" w:styleId="citationyear">
    <w:name w:val="citation_year"/>
    <w:basedOn w:val="DefaultParagraphFont"/>
    <w:rsid w:val="00166E4B"/>
  </w:style>
  <w:style w:type="character" w:customStyle="1" w:styleId="citationvolume">
    <w:name w:val="citation_volume"/>
    <w:basedOn w:val="DefaultParagraphFont"/>
    <w:rsid w:val="00166E4B"/>
  </w:style>
  <w:style w:type="character" w:customStyle="1" w:styleId="publication-meta-separator">
    <w:name w:val="publication-meta-separator"/>
    <w:basedOn w:val="DefaultParagraphFont"/>
    <w:rsid w:val="006570CB"/>
  </w:style>
  <w:style w:type="character" w:customStyle="1" w:styleId="publication-meta-journal">
    <w:name w:val="publication-meta-journal"/>
    <w:basedOn w:val="DefaultParagraphFont"/>
    <w:rsid w:val="006570C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350D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350D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56A02"/>
    <w:rPr>
      <w:color w:val="808080"/>
      <w:shd w:val="clear" w:color="auto" w:fill="E6E6E6"/>
    </w:rPr>
  </w:style>
  <w:style w:type="table" w:styleId="PlainTable2">
    <w:name w:val="Plain Table 2"/>
    <w:basedOn w:val="TableNormal"/>
    <w:uiPriority w:val="42"/>
    <w:rsid w:val="004E26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3059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06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889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07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4362">
          <w:marLeft w:val="0"/>
          <w:marRight w:val="0"/>
          <w:marTop w:val="0"/>
          <w:marBottom w:val="300"/>
          <w:divBdr>
            <w:top w:val="single" w:sz="6" w:space="0" w:color="D9D9D9"/>
            <w:left w:val="single" w:sz="2" w:space="0" w:color="D9D9D9"/>
            <w:bottom w:val="single" w:sz="6" w:space="0" w:color="D9D9D9"/>
            <w:right w:val="single" w:sz="2" w:space="0" w:color="D9D9D9"/>
          </w:divBdr>
          <w:divsChild>
            <w:div w:id="443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660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8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28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3169">
          <w:marLeft w:val="0"/>
          <w:marRight w:val="0"/>
          <w:marTop w:val="0"/>
          <w:marBottom w:val="300"/>
          <w:divBdr>
            <w:top w:val="single" w:sz="6" w:space="0" w:color="D9D9D9"/>
            <w:left w:val="single" w:sz="2" w:space="0" w:color="D9D9D9"/>
            <w:bottom w:val="single" w:sz="6" w:space="0" w:color="D9D9D9"/>
            <w:right w:val="single" w:sz="2" w:space="0" w:color="D9D9D9"/>
          </w:divBdr>
          <w:divsChild>
            <w:div w:id="10725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86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45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7118">
          <w:marLeft w:val="0"/>
          <w:marRight w:val="0"/>
          <w:marTop w:val="0"/>
          <w:marBottom w:val="300"/>
          <w:divBdr>
            <w:top w:val="single" w:sz="6" w:space="0" w:color="D9D9D9"/>
            <w:left w:val="single" w:sz="2" w:space="0" w:color="D9D9D9"/>
            <w:bottom w:val="single" w:sz="6" w:space="0" w:color="D9D9D9"/>
            <w:right w:val="single" w:sz="2" w:space="0" w:color="D9D9D9"/>
          </w:divBdr>
          <w:divsChild>
            <w:div w:id="18558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065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6460">
          <w:marLeft w:val="0"/>
          <w:marRight w:val="0"/>
          <w:marTop w:val="0"/>
          <w:marBottom w:val="300"/>
          <w:divBdr>
            <w:top w:val="single" w:sz="6" w:space="0" w:color="D9D9D9"/>
            <w:left w:val="single" w:sz="2" w:space="0" w:color="D9D9D9"/>
            <w:bottom w:val="single" w:sz="6" w:space="0" w:color="D9D9D9"/>
            <w:right w:val="single" w:sz="2" w:space="0" w:color="D9D9D9"/>
          </w:divBdr>
          <w:divsChild>
            <w:div w:id="8862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834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001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ochanan%20Mikael\Documents\Conservation%20Stuffs%20-copied%2006%2023%202016\mga%20resulta%20=)\next%20papers\MIX%20MORTAR%20stuffs\opol%20manil%20mortar%20siev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ochanan%20Mikael\Documents\Conservation%20Stuffs%20-copied%2006%2023%202016\mga%20resulta%20=)\MIX%20MORTAR%20stuffs\sieve\opol%20manil%20mortar%20siev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Misamis Oriental</c:v>
          </c:tx>
          <c:spPr>
            <a:solidFill>
              <a:schemeClr val="accent1"/>
            </a:solidFill>
          </c:spPr>
          <c:invertIfNegative val="0"/>
          <c:cat>
            <c:strRef>
              <c:f>combined!$B$4:$B$12</c:f>
              <c:strCache>
                <c:ptCount val="9"/>
                <c:pt idx="0">
                  <c:v>4.750</c:v>
                </c:pt>
                <c:pt idx="1">
                  <c:v>2.360</c:v>
                </c:pt>
                <c:pt idx="2">
                  <c:v>1.180</c:v>
                </c:pt>
                <c:pt idx="3">
                  <c:v>0.600</c:v>
                </c:pt>
                <c:pt idx="4">
                  <c:v>0.425</c:v>
                </c:pt>
                <c:pt idx="5">
                  <c:v>0.250</c:v>
                </c:pt>
                <c:pt idx="6">
                  <c:v>0.150</c:v>
                </c:pt>
                <c:pt idx="7">
                  <c:v>0.075</c:v>
                </c:pt>
                <c:pt idx="8">
                  <c:v>pan</c:v>
                </c:pt>
              </c:strCache>
            </c:strRef>
          </c:cat>
          <c:val>
            <c:numRef>
              <c:f>combined!$D$4:$D$12</c:f>
              <c:numCache>
                <c:formatCode>0.0000</c:formatCode>
                <c:ptCount val="9"/>
                <c:pt idx="0">
                  <c:v>0</c:v>
                </c:pt>
                <c:pt idx="1">
                  <c:v>3.3947124781401063</c:v>
                </c:pt>
                <c:pt idx="2">
                  <c:v>1.7513630284950121</c:v>
                </c:pt>
                <c:pt idx="3">
                  <c:v>8.1215924287624759</c:v>
                </c:pt>
                <c:pt idx="4">
                  <c:v>12.606727702911222</c:v>
                </c:pt>
                <c:pt idx="5">
                  <c:v>26.301306449953714</c:v>
                </c:pt>
                <c:pt idx="6">
                  <c:v>18.141137743030548</c:v>
                </c:pt>
                <c:pt idx="7">
                  <c:v>11.572883448204916</c:v>
                </c:pt>
                <c:pt idx="8">
                  <c:v>18.110276720502007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44-4668-AE66-EC2ACAC95040}"/>
            </c:ext>
          </c:extLst>
        </c:ser>
        <c:ser>
          <c:idx val="1"/>
          <c:order val="1"/>
          <c:tx>
            <c:v>Metro Manila</c:v>
          </c:tx>
          <c:spPr>
            <a:solidFill>
              <a:srgbClr val="C00000"/>
            </a:solidFill>
          </c:spPr>
          <c:invertIfNegative val="0"/>
          <c:val>
            <c:numRef>
              <c:f>combined!$D$19:$D$27</c:f>
              <c:numCache>
                <c:formatCode>General</c:formatCode>
                <c:ptCount val="9"/>
                <c:pt idx="0">
                  <c:v>3.3020441225520543</c:v>
                </c:pt>
                <c:pt idx="1">
                  <c:v>1.9214275503883353</c:v>
                </c:pt>
                <c:pt idx="2">
                  <c:v>6.5004526611712024</c:v>
                </c:pt>
                <c:pt idx="3">
                  <c:v>22.012436270071948</c:v>
                </c:pt>
                <c:pt idx="4">
                  <c:v>17.582312860342121</c:v>
                </c:pt>
                <c:pt idx="5">
                  <c:v>25.265640634678604</c:v>
                </c:pt>
                <c:pt idx="6">
                  <c:v>11.339162338590555</c:v>
                </c:pt>
                <c:pt idx="7">
                  <c:v>4.4563301091151652</c:v>
                </c:pt>
                <c:pt idx="8">
                  <c:v>7.6201934530900068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44-4668-AE66-EC2ACAC950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987968"/>
        <c:axId val="93989888"/>
      </c:barChart>
      <c:catAx>
        <c:axId val="93987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n-PH" sz="900"/>
                  <a:t>Sieve Size (mm)</a:t>
                </a:r>
              </a:p>
            </c:rich>
          </c:tx>
          <c:overlay val="0"/>
        </c:title>
        <c:numFmt formatCode="#,##0.00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93989888"/>
        <c:crosses val="autoZero"/>
        <c:auto val="1"/>
        <c:lblAlgn val="ctr"/>
        <c:lblOffset val="100"/>
        <c:noMultiLvlLbl val="0"/>
      </c:catAx>
      <c:valAx>
        <c:axId val="9398988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Retained Weight (%)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9398796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Misamis Oriental</c:v>
          </c:tx>
          <c:spPr>
            <a:ln w="19050">
              <a:solidFill>
                <a:schemeClr val="bg1">
                  <a:lumMod val="65000"/>
                </a:schemeClr>
              </a:solidFill>
              <a:prstDash val="solid"/>
            </a:ln>
          </c:spPr>
          <c:marker>
            <c:symbol val="square"/>
            <c:size val="4"/>
          </c:marker>
          <c:xVal>
            <c:numRef>
              <c:f>'plot scratch'!$B$3:$B$10</c:f>
              <c:numCache>
                <c:formatCode>General</c:formatCode>
                <c:ptCount val="8"/>
                <c:pt idx="0">
                  <c:v>4.75</c:v>
                </c:pt>
                <c:pt idx="1">
                  <c:v>2.36</c:v>
                </c:pt>
                <c:pt idx="2">
                  <c:v>1.18</c:v>
                </c:pt>
                <c:pt idx="3">
                  <c:v>0.6</c:v>
                </c:pt>
                <c:pt idx="4">
                  <c:v>0.42499999999999999</c:v>
                </c:pt>
                <c:pt idx="5">
                  <c:v>0.25</c:v>
                </c:pt>
                <c:pt idx="6">
                  <c:v>0.15</c:v>
                </c:pt>
                <c:pt idx="7">
                  <c:v>7.4999999999999997E-2</c:v>
                </c:pt>
              </c:numCache>
            </c:numRef>
          </c:xVal>
          <c:yVal>
            <c:numRef>
              <c:f>'plot scratch'!$D$3:$D$10</c:f>
              <c:numCache>
                <c:formatCode>0.0000</c:formatCode>
                <c:ptCount val="8"/>
                <c:pt idx="0">
                  <c:v>100</c:v>
                </c:pt>
                <c:pt idx="1">
                  <c:v>96.605287521859893</c:v>
                </c:pt>
                <c:pt idx="2">
                  <c:v>94.853924493364886</c:v>
                </c:pt>
                <c:pt idx="3">
                  <c:v>86.732332064602417</c:v>
                </c:pt>
                <c:pt idx="4">
                  <c:v>74.125604361691188</c:v>
                </c:pt>
                <c:pt idx="5">
                  <c:v>47.824297911737474</c:v>
                </c:pt>
                <c:pt idx="6">
                  <c:v>29.683160168706927</c:v>
                </c:pt>
                <c:pt idx="7">
                  <c:v>18.110276720502011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8C1-4EA6-8B15-14207E5320CB}"/>
            </c:ext>
          </c:extLst>
        </c:ser>
        <c:ser>
          <c:idx val="1"/>
          <c:order val="1"/>
          <c:tx>
            <c:v>Metro Manila</c:v>
          </c:tx>
          <c:spPr>
            <a:ln w="19050">
              <a:solidFill>
                <a:schemeClr val="bg1">
                  <a:lumMod val="50000"/>
                </a:schemeClr>
              </a:solidFill>
              <a:prstDash val="sysDash"/>
            </a:ln>
          </c:spPr>
          <c:marker>
            <c:symbol val="square"/>
            <c:size val="4"/>
            <c:spPr>
              <a:ln>
                <a:noFill/>
              </a:ln>
            </c:spPr>
          </c:marker>
          <c:xVal>
            <c:numRef>
              <c:f>'plot scratch'!$B$3:$B$10</c:f>
              <c:numCache>
                <c:formatCode>General</c:formatCode>
                <c:ptCount val="8"/>
                <c:pt idx="0">
                  <c:v>4.75</c:v>
                </c:pt>
                <c:pt idx="1">
                  <c:v>2.36</c:v>
                </c:pt>
                <c:pt idx="2">
                  <c:v>1.18</c:v>
                </c:pt>
                <c:pt idx="3">
                  <c:v>0.6</c:v>
                </c:pt>
                <c:pt idx="4">
                  <c:v>0.42499999999999999</c:v>
                </c:pt>
                <c:pt idx="5">
                  <c:v>0.25</c:v>
                </c:pt>
                <c:pt idx="6">
                  <c:v>0.15</c:v>
                </c:pt>
                <c:pt idx="7">
                  <c:v>7.4999999999999997E-2</c:v>
                </c:pt>
              </c:numCache>
            </c:numRef>
          </c:xVal>
          <c:yVal>
            <c:numRef>
              <c:f>'plot scratch'!$C$3:$C$10</c:f>
              <c:numCache>
                <c:formatCode>General</c:formatCode>
                <c:ptCount val="8"/>
                <c:pt idx="0">
                  <c:v>96.697955877447953</c:v>
                </c:pt>
                <c:pt idx="1">
                  <c:v>94.776528327059623</c:v>
                </c:pt>
                <c:pt idx="2">
                  <c:v>88.276075665888413</c:v>
                </c:pt>
                <c:pt idx="3">
                  <c:v>66.263639395816469</c:v>
                </c:pt>
                <c:pt idx="4">
                  <c:v>48.681326535474348</c:v>
                </c:pt>
                <c:pt idx="5">
                  <c:v>23.415685900795744</c:v>
                </c:pt>
                <c:pt idx="6">
                  <c:v>12.076523562205189</c:v>
                </c:pt>
                <c:pt idx="7">
                  <c:v>7.6201934530900237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8C1-4EA6-8B15-14207E5320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4002560"/>
        <c:axId val="94009216"/>
      </c:scatterChart>
      <c:valAx>
        <c:axId val="94002560"/>
        <c:scaling>
          <c:logBase val="10"/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 sz="900"/>
                </a:pPr>
                <a:r>
                  <a:rPr lang="en-PH" sz="900"/>
                  <a:t>Sieve Size (mm)</a:t>
                </a:r>
              </a:p>
            </c:rich>
          </c:tx>
          <c:overlay val="0"/>
        </c:title>
        <c:numFmt formatCode="#,##0.00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94009216"/>
        <c:crosses val="autoZero"/>
        <c:crossBetween val="midCat"/>
        <c:minorUnit val="10"/>
      </c:valAx>
      <c:valAx>
        <c:axId val="94009216"/>
        <c:scaling>
          <c:orientation val="minMax"/>
          <c:max val="100"/>
        </c:scaling>
        <c:delete val="0"/>
        <c:axPos val="r"/>
        <c:majorGridlines/>
        <c:minorGridlines>
          <c:spPr>
            <a:ln>
              <a:noFill/>
            </a:ln>
          </c:spPr>
        </c:minorGridlines>
        <c:title>
          <c:tx>
            <c:rich>
              <a:bodyPr/>
              <a:lstStyle/>
              <a:p>
                <a:pPr>
                  <a:defRPr sz="900"/>
                </a:pPr>
                <a:r>
                  <a:rPr lang="en-US" sz="900"/>
                  <a:t>Percent</a:t>
                </a:r>
                <a:r>
                  <a:rPr lang="en-US" sz="900" baseline="0"/>
                  <a:t> </a:t>
                </a:r>
                <a:r>
                  <a:rPr lang="en-US" sz="900"/>
                  <a:t>Finer (%)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94002560"/>
        <c:crosses val="max"/>
        <c:crossBetween val="midCat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9A64-3AE5-4DC9-933F-1EDEE7A2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5288</Words>
  <Characters>30143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2017-07-25T05:10:00Z</dcterms:created>
  <dcterms:modified xsi:type="dcterms:W3CDTF">2017-09-19T16:40:00Z</dcterms:modified>
</cp:coreProperties>
</file>