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CA6" w:rsidRDefault="004C49D2" w:rsidP="00AC263F">
      <w:pPr>
        <w:jc w:val="center"/>
        <w:outlineLvl w:val="0"/>
        <w:rPr>
          <w:rFonts w:ascii="Times New Roman" w:hAnsi="Times New Roman" w:cs="Times New Roman"/>
          <w:sz w:val="28"/>
        </w:rPr>
      </w:pPr>
      <w:r w:rsidRPr="002A08CC">
        <w:rPr>
          <w:rFonts w:ascii="Times New Roman" w:hAnsi="Times New Roman" w:cs="Times New Roman"/>
          <w:sz w:val="28"/>
        </w:rPr>
        <w:t>EFFECT OF NICKEL ON BIMETALLIC NANOALLOY CATALYST FOR HYDROGEN GENERATION</w:t>
      </w:r>
    </w:p>
    <w:p w:rsidR="00AC263F" w:rsidRPr="00AC263F" w:rsidRDefault="00AC263F" w:rsidP="00AC263F">
      <w:pPr>
        <w:jc w:val="center"/>
        <w:outlineLvl w:val="0"/>
        <w:rPr>
          <w:rFonts w:ascii="Times New Roman" w:hAnsi="Times New Roman" w:cs="Times New Roman"/>
          <w:sz w:val="28"/>
        </w:rPr>
      </w:pPr>
    </w:p>
    <w:p w:rsidR="00785CA6" w:rsidRPr="00AC263F" w:rsidRDefault="007E4813" w:rsidP="00785CA6">
      <w:pPr>
        <w:jc w:val="center"/>
        <w:outlineLvl w:val="0"/>
        <w:rPr>
          <w:rFonts w:ascii="Times New Roman" w:hAnsi="Times New Roman" w:cs="Times New Roman"/>
          <w:sz w:val="28"/>
        </w:rPr>
      </w:pPr>
      <w:r w:rsidRPr="00AC263F">
        <w:rPr>
          <w:rFonts w:ascii="Times New Roman" w:hAnsi="Times New Roman" w:cs="Times New Roman"/>
          <w:sz w:val="28"/>
        </w:rPr>
        <w:t>(</w:t>
      </w:r>
      <w:proofErr w:type="spellStart"/>
      <w:r w:rsidRPr="00AC263F">
        <w:rPr>
          <w:rFonts w:ascii="Times New Roman" w:hAnsi="Times New Roman" w:cs="Times New Roman"/>
          <w:sz w:val="28"/>
        </w:rPr>
        <w:t>Kesan</w:t>
      </w:r>
      <w:proofErr w:type="spellEnd"/>
      <w:r w:rsidRPr="00AC263F">
        <w:rPr>
          <w:rFonts w:ascii="Times New Roman" w:hAnsi="Times New Roman" w:cs="Times New Roman"/>
          <w:sz w:val="28"/>
        </w:rPr>
        <w:t xml:space="preserve"> </w:t>
      </w:r>
      <w:proofErr w:type="spellStart"/>
      <w:r w:rsidRPr="00AC263F">
        <w:rPr>
          <w:rFonts w:ascii="Times New Roman" w:hAnsi="Times New Roman" w:cs="Times New Roman"/>
          <w:sz w:val="28"/>
        </w:rPr>
        <w:t>Nikel</w:t>
      </w:r>
      <w:proofErr w:type="spellEnd"/>
      <w:r w:rsidRPr="00AC263F">
        <w:rPr>
          <w:rFonts w:ascii="Times New Roman" w:hAnsi="Times New Roman" w:cs="Times New Roman"/>
          <w:sz w:val="28"/>
        </w:rPr>
        <w:t xml:space="preserve"> </w:t>
      </w:r>
      <w:proofErr w:type="spellStart"/>
      <w:r w:rsidRPr="00AC263F">
        <w:rPr>
          <w:rFonts w:ascii="Times New Roman" w:hAnsi="Times New Roman" w:cs="Times New Roman"/>
          <w:sz w:val="28"/>
        </w:rPr>
        <w:t>ke</w:t>
      </w:r>
      <w:proofErr w:type="spellEnd"/>
      <w:r w:rsidRPr="00AC263F">
        <w:rPr>
          <w:rFonts w:ascii="Times New Roman" w:hAnsi="Times New Roman" w:cs="Times New Roman"/>
          <w:sz w:val="28"/>
        </w:rPr>
        <w:t xml:space="preserve"> </w:t>
      </w:r>
      <w:proofErr w:type="spellStart"/>
      <w:r w:rsidRPr="00AC263F">
        <w:rPr>
          <w:rFonts w:ascii="Times New Roman" w:hAnsi="Times New Roman" w:cs="Times New Roman"/>
          <w:sz w:val="28"/>
        </w:rPr>
        <w:t>atas</w:t>
      </w:r>
      <w:proofErr w:type="spellEnd"/>
      <w:r w:rsidRPr="00AC263F">
        <w:rPr>
          <w:rFonts w:ascii="Times New Roman" w:hAnsi="Times New Roman" w:cs="Times New Roman"/>
          <w:sz w:val="28"/>
        </w:rPr>
        <w:t xml:space="preserve"> </w:t>
      </w:r>
      <w:proofErr w:type="spellStart"/>
      <w:r w:rsidRPr="00AC263F">
        <w:rPr>
          <w:rFonts w:ascii="Times New Roman" w:hAnsi="Times New Roman" w:cs="Times New Roman"/>
          <w:sz w:val="28"/>
        </w:rPr>
        <w:t>Mangkin</w:t>
      </w:r>
      <w:proofErr w:type="spellEnd"/>
      <w:r w:rsidRPr="00AC263F">
        <w:rPr>
          <w:rFonts w:ascii="Times New Roman" w:hAnsi="Times New Roman" w:cs="Times New Roman"/>
          <w:sz w:val="28"/>
        </w:rPr>
        <w:t xml:space="preserve"> </w:t>
      </w:r>
      <w:proofErr w:type="spellStart"/>
      <w:r w:rsidRPr="00AC263F">
        <w:rPr>
          <w:rFonts w:ascii="Times New Roman" w:hAnsi="Times New Roman" w:cs="Times New Roman"/>
          <w:sz w:val="28"/>
        </w:rPr>
        <w:t>Nanoaloi</w:t>
      </w:r>
      <w:proofErr w:type="spellEnd"/>
      <w:r w:rsidRPr="00AC263F">
        <w:rPr>
          <w:rFonts w:ascii="Times New Roman" w:hAnsi="Times New Roman" w:cs="Times New Roman"/>
          <w:sz w:val="28"/>
        </w:rPr>
        <w:t xml:space="preserve"> </w:t>
      </w:r>
      <w:proofErr w:type="spellStart"/>
      <w:r w:rsidRPr="00AC263F">
        <w:rPr>
          <w:rFonts w:ascii="Times New Roman" w:hAnsi="Times New Roman" w:cs="Times New Roman"/>
          <w:sz w:val="28"/>
        </w:rPr>
        <w:t>Dwilogam</w:t>
      </w:r>
      <w:proofErr w:type="spellEnd"/>
      <w:r w:rsidR="004C49D2" w:rsidRPr="00AC263F">
        <w:rPr>
          <w:rFonts w:ascii="Times New Roman" w:hAnsi="Times New Roman" w:cs="Times New Roman"/>
          <w:sz w:val="28"/>
        </w:rPr>
        <w:t xml:space="preserve"> </w:t>
      </w:r>
      <w:proofErr w:type="spellStart"/>
      <w:r w:rsidRPr="00AC263F">
        <w:rPr>
          <w:rFonts w:ascii="Times New Roman" w:hAnsi="Times New Roman" w:cs="Times New Roman"/>
          <w:sz w:val="28"/>
        </w:rPr>
        <w:t>bagi</w:t>
      </w:r>
      <w:proofErr w:type="spellEnd"/>
      <w:r w:rsidR="004C49D2" w:rsidRPr="00AC263F">
        <w:rPr>
          <w:rFonts w:ascii="Times New Roman" w:hAnsi="Times New Roman" w:cs="Times New Roman"/>
          <w:sz w:val="28"/>
        </w:rPr>
        <w:t xml:space="preserve"> </w:t>
      </w:r>
      <w:proofErr w:type="spellStart"/>
      <w:r w:rsidR="004C49D2" w:rsidRPr="00AC263F">
        <w:rPr>
          <w:rFonts w:ascii="Times New Roman" w:hAnsi="Times New Roman" w:cs="Times New Roman"/>
          <w:sz w:val="28"/>
        </w:rPr>
        <w:t>Penghasilan</w:t>
      </w:r>
      <w:proofErr w:type="spellEnd"/>
      <w:r w:rsidR="004C49D2" w:rsidRPr="00AC263F">
        <w:rPr>
          <w:rFonts w:ascii="Times New Roman" w:hAnsi="Times New Roman" w:cs="Times New Roman"/>
          <w:sz w:val="28"/>
        </w:rPr>
        <w:t xml:space="preserve"> </w:t>
      </w:r>
      <w:proofErr w:type="spellStart"/>
      <w:r w:rsidR="004C49D2" w:rsidRPr="00AC263F">
        <w:rPr>
          <w:rFonts w:ascii="Times New Roman" w:hAnsi="Times New Roman" w:cs="Times New Roman"/>
          <w:sz w:val="28"/>
        </w:rPr>
        <w:t>Hidrogen</w:t>
      </w:r>
      <w:proofErr w:type="spellEnd"/>
      <w:r w:rsidR="004C49D2" w:rsidRPr="00AC263F">
        <w:rPr>
          <w:rFonts w:ascii="Times New Roman" w:hAnsi="Times New Roman" w:cs="Times New Roman"/>
          <w:sz w:val="28"/>
        </w:rPr>
        <w:t>)</w:t>
      </w:r>
    </w:p>
    <w:p w:rsidR="00785CA6" w:rsidRPr="002A08CC" w:rsidRDefault="00785CA6" w:rsidP="00785CA6">
      <w:pPr>
        <w:jc w:val="center"/>
        <w:outlineLvl w:val="0"/>
        <w:rPr>
          <w:rFonts w:ascii="Times New Roman" w:hAnsi="Times New Roman" w:cs="Times New Roman"/>
          <w:b/>
          <w:color w:val="548DD4" w:themeColor="text2" w:themeTint="99"/>
          <w:sz w:val="24"/>
        </w:rPr>
      </w:pPr>
    </w:p>
    <w:p w:rsidR="00785CA6" w:rsidRPr="002A08CC" w:rsidRDefault="004C49D2" w:rsidP="00AC263F">
      <w:pPr>
        <w:jc w:val="center"/>
        <w:outlineLvl w:val="0"/>
        <w:rPr>
          <w:rFonts w:ascii="Times New Roman" w:hAnsi="Times New Roman" w:cs="Times New Roman"/>
          <w:szCs w:val="20"/>
        </w:rPr>
      </w:pPr>
      <w:proofErr w:type="spellStart"/>
      <w:r w:rsidRPr="002A08CC">
        <w:rPr>
          <w:rFonts w:ascii="Times New Roman" w:hAnsi="Times New Roman" w:cs="Times New Roman"/>
          <w:szCs w:val="20"/>
        </w:rPr>
        <w:t>Masitah</w:t>
      </w:r>
      <w:proofErr w:type="spellEnd"/>
      <w:r w:rsidRPr="002A08CC">
        <w:rPr>
          <w:rFonts w:ascii="Times New Roman" w:hAnsi="Times New Roman" w:cs="Times New Roman"/>
          <w:szCs w:val="20"/>
        </w:rPr>
        <w:t xml:space="preserve"> Abdul Halim Azizi</w:t>
      </w:r>
      <w:r w:rsidR="00785CA6" w:rsidRPr="002A08CC">
        <w:rPr>
          <w:rFonts w:ascii="Times New Roman" w:hAnsi="Times New Roman" w:cs="Times New Roman"/>
          <w:szCs w:val="20"/>
          <w:vertAlign w:val="superscript"/>
        </w:rPr>
        <w:t>1</w:t>
      </w:r>
      <w:r w:rsidRPr="002A08CC">
        <w:rPr>
          <w:rFonts w:ascii="Times New Roman" w:hAnsi="Times New Roman" w:cs="Times New Roman"/>
          <w:szCs w:val="20"/>
        </w:rPr>
        <w:t xml:space="preserve">, </w:t>
      </w:r>
      <w:proofErr w:type="spellStart"/>
      <w:r w:rsidRPr="002A08CC">
        <w:rPr>
          <w:rFonts w:ascii="Times New Roman" w:hAnsi="Times New Roman" w:cs="Times New Roman"/>
          <w:szCs w:val="20"/>
        </w:rPr>
        <w:t>Norliza</w:t>
      </w:r>
      <w:proofErr w:type="spellEnd"/>
      <w:r w:rsidRPr="002A08CC">
        <w:rPr>
          <w:rFonts w:ascii="Times New Roman" w:hAnsi="Times New Roman" w:cs="Times New Roman"/>
          <w:szCs w:val="20"/>
        </w:rPr>
        <w:t xml:space="preserve"> Dzakaria</w:t>
      </w:r>
      <w:r w:rsidR="00785CA6" w:rsidRPr="002A08CC">
        <w:rPr>
          <w:rFonts w:ascii="Times New Roman" w:hAnsi="Times New Roman" w:cs="Times New Roman"/>
          <w:szCs w:val="20"/>
          <w:vertAlign w:val="superscript"/>
        </w:rPr>
        <w:t>2</w:t>
      </w:r>
      <w:r w:rsidRPr="002A08CC">
        <w:rPr>
          <w:rFonts w:ascii="Times New Roman" w:hAnsi="Times New Roman" w:cs="Times New Roman"/>
          <w:szCs w:val="20"/>
        </w:rPr>
        <w:t xml:space="preserve">, Wan </w:t>
      </w:r>
      <w:proofErr w:type="gramStart"/>
      <w:r w:rsidRPr="002A08CC">
        <w:rPr>
          <w:rFonts w:ascii="Times New Roman" w:hAnsi="Times New Roman" w:cs="Times New Roman"/>
          <w:szCs w:val="20"/>
        </w:rPr>
        <w:t>Nor</w:t>
      </w:r>
      <w:proofErr w:type="gramEnd"/>
      <w:r w:rsidRPr="002A08CC">
        <w:rPr>
          <w:rFonts w:ascii="Times New Roman" w:hAnsi="Times New Roman" w:cs="Times New Roman"/>
          <w:szCs w:val="20"/>
        </w:rPr>
        <w:t xml:space="preserve"> </w:t>
      </w:r>
      <w:proofErr w:type="spellStart"/>
      <w:r w:rsidRPr="002A08CC">
        <w:rPr>
          <w:rFonts w:ascii="Times New Roman" w:hAnsi="Times New Roman" w:cs="Times New Roman"/>
          <w:szCs w:val="20"/>
        </w:rPr>
        <w:t>Roslam</w:t>
      </w:r>
      <w:proofErr w:type="spellEnd"/>
      <w:r w:rsidRPr="002A08CC">
        <w:rPr>
          <w:rFonts w:ascii="Times New Roman" w:hAnsi="Times New Roman" w:cs="Times New Roman"/>
          <w:szCs w:val="20"/>
        </w:rPr>
        <w:t xml:space="preserve"> Wan Isahak</w:t>
      </w:r>
      <w:r w:rsidRPr="002A08CC">
        <w:rPr>
          <w:rFonts w:ascii="Times New Roman" w:hAnsi="Times New Roman" w:cs="Times New Roman"/>
          <w:szCs w:val="20"/>
          <w:vertAlign w:val="superscript"/>
        </w:rPr>
        <w:t>1</w:t>
      </w:r>
      <w:r w:rsidR="00E574DB" w:rsidRPr="002A08CC">
        <w:rPr>
          <w:rFonts w:ascii="Times New Roman" w:hAnsi="Times New Roman" w:cs="Times New Roman"/>
          <w:szCs w:val="20"/>
          <w:vertAlign w:val="superscript"/>
        </w:rPr>
        <w:t>*</w:t>
      </w:r>
      <w:r w:rsidRPr="002A08CC">
        <w:rPr>
          <w:rFonts w:ascii="Times New Roman" w:hAnsi="Times New Roman" w:cs="Times New Roman"/>
          <w:szCs w:val="20"/>
          <w:vertAlign w:val="subscript"/>
        </w:rPr>
        <w:t xml:space="preserve">, </w:t>
      </w:r>
      <w:proofErr w:type="spellStart"/>
      <w:r w:rsidRPr="002A08CC">
        <w:rPr>
          <w:rFonts w:ascii="Times New Roman" w:hAnsi="Times New Roman" w:cs="Times New Roman"/>
          <w:szCs w:val="20"/>
        </w:rPr>
        <w:t>Mohd</w:t>
      </w:r>
      <w:proofErr w:type="spellEnd"/>
      <w:r w:rsidRPr="002A08CC">
        <w:rPr>
          <w:rFonts w:ascii="Times New Roman" w:hAnsi="Times New Roman" w:cs="Times New Roman"/>
          <w:szCs w:val="20"/>
        </w:rPr>
        <w:t xml:space="preserve"> Ambar Yarmo</w:t>
      </w:r>
      <w:r w:rsidRPr="002A08CC">
        <w:rPr>
          <w:rFonts w:ascii="Times New Roman" w:hAnsi="Times New Roman" w:cs="Times New Roman"/>
          <w:szCs w:val="20"/>
          <w:vertAlign w:val="superscript"/>
        </w:rPr>
        <w:t>2</w:t>
      </w:r>
    </w:p>
    <w:p w:rsidR="004C49D2" w:rsidRPr="002A08CC" w:rsidRDefault="004C49D2" w:rsidP="00785CA6">
      <w:pPr>
        <w:jc w:val="center"/>
        <w:outlineLvl w:val="0"/>
        <w:rPr>
          <w:rFonts w:ascii="Times New Roman" w:hAnsi="Times New Roman" w:cs="Times New Roman"/>
          <w:b/>
          <w:color w:val="548DD4" w:themeColor="text2" w:themeTint="99"/>
          <w:sz w:val="24"/>
        </w:rPr>
      </w:pPr>
    </w:p>
    <w:p w:rsidR="004C49D2" w:rsidRPr="002A08CC" w:rsidRDefault="004C49D2" w:rsidP="004C49D2">
      <w:pPr>
        <w:jc w:val="center"/>
        <w:outlineLvl w:val="0"/>
        <w:rPr>
          <w:rFonts w:ascii="Times New Roman" w:hAnsi="Times New Roman" w:cs="Times New Roman"/>
          <w:i/>
          <w:sz w:val="18"/>
          <w:szCs w:val="18"/>
        </w:rPr>
      </w:pPr>
      <w:r w:rsidRPr="002A08CC">
        <w:rPr>
          <w:rFonts w:ascii="Times New Roman" w:hAnsi="Times New Roman" w:cs="Times New Roman"/>
          <w:i/>
          <w:sz w:val="18"/>
          <w:szCs w:val="18"/>
          <w:vertAlign w:val="superscript"/>
        </w:rPr>
        <w:t>1</w:t>
      </w:r>
      <w:r w:rsidRPr="002A08CC">
        <w:rPr>
          <w:rFonts w:ascii="Times New Roman" w:hAnsi="Times New Roman" w:cs="Times New Roman"/>
          <w:i/>
          <w:sz w:val="18"/>
          <w:szCs w:val="18"/>
        </w:rPr>
        <w:t>Department of Chemical and Process Engineering, Faculty of Engineering and Built Environment</w:t>
      </w:r>
    </w:p>
    <w:p w:rsidR="00785CA6" w:rsidRPr="00AC263F" w:rsidRDefault="004C49D2" w:rsidP="00AC263F">
      <w:pPr>
        <w:jc w:val="center"/>
        <w:outlineLvl w:val="0"/>
        <w:rPr>
          <w:rFonts w:ascii="Times New Roman" w:hAnsi="Times New Roman" w:cs="Times New Roman"/>
          <w:i/>
          <w:sz w:val="18"/>
          <w:szCs w:val="18"/>
        </w:rPr>
      </w:pPr>
      <w:proofErr w:type="spellStart"/>
      <w:r w:rsidRPr="002A08CC">
        <w:rPr>
          <w:rFonts w:ascii="Times New Roman" w:hAnsi="Times New Roman" w:cs="Times New Roman"/>
          <w:i/>
          <w:sz w:val="18"/>
          <w:szCs w:val="18"/>
        </w:rPr>
        <w:t>Universiti</w:t>
      </w:r>
      <w:proofErr w:type="spellEnd"/>
      <w:r w:rsidRPr="002A08CC">
        <w:rPr>
          <w:rFonts w:ascii="Times New Roman" w:hAnsi="Times New Roman" w:cs="Times New Roman"/>
          <w:i/>
          <w:sz w:val="18"/>
          <w:szCs w:val="18"/>
        </w:rPr>
        <w:t xml:space="preserve"> </w:t>
      </w:r>
      <w:proofErr w:type="spellStart"/>
      <w:r w:rsidRPr="002A08CC">
        <w:rPr>
          <w:rFonts w:ascii="Times New Roman" w:hAnsi="Times New Roman" w:cs="Times New Roman"/>
          <w:i/>
          <w:sz w:val="18"/>
          <w:szCs w:val="18"/>
        </w:rPr>
        <w:t>Kebangsaan</w:t>
      </w:r>
      <w:proofErr w:type="spellEnd"/>
      <w:r w:rsidRPr="002A08CC">
        <w:rPr>
          <w:rFonts w:ascii="Times New Roman" w:hAnsi="Times New Roman" w:cs="Times New Roman"/>
          <w:i/>
          <w:sz w:val="18"/>
          <w:szCs w:val="18"/>
        </w:rPr>
        <w:t xml:space="preserve"> Malaysia, 43600 </w:t>
      </w:r>
      <w:r w:rsidR="001D6C2C" w:rsidRPr="002A08CC">
        <w:rPr>
          <w:rFonts w:ascii="Times New Roman" w:hAnsi="Times New Roman" w:cs="Times New Roman"/>
          <w:i/>
          <w:sz w:val="18"/>
          <w:szCs w:val="18"/>
        </w:rPr>
        <w:t xml:space="preserve">UKM </w:t>
      </w:r>
      <w:proofErr w:type="spellStart"/>
      <w:r w:rsidRPr="002A08CC">
        <w:rPr>
          <w:rFonts w:ascii="Times New Roman" w:hAnsi="Times New Roman" w:cs="Times New Roman"/>
          <w:i/>
          <w:sz w:val="18"/>
          <w:szCs w:val="18"/>
        </w:rPr>
        <w:t>Bangi</w:t>
      </w:r>
      <w:proofErr w:type="spellEnd"/>
      <w:r w:rsidR="00AC263F">
        <w:rPr>
          <w:rFonts w:ascii="Times New Roman" w:hAnsi="Times New Roman" w:cs="Times New Roman"/>
          <w:i/>
          <w:sz w:val="18"/>
          <w:szCs w:val="18"/>
        </w:rPr>
        <w:t>, Selangor, Malaysia</w:t>
      </w:r>
    </w:p>
    <w:p w:rsidR="00785CA6" w:rsidRPr="002A08CC" w:rsidRDefault="004C49D2" w:rsidP="00785CA6">
      <w:pPr>
        <w:jc w:val="center"/>
        <w:outlineLvl w:val="0"/>
        <w:rPr>
          <w:rFonts w:ascii="Times New Roman" w:hAnsi="Times New Roman" w:cs="Times New Roman"/>
          <w:i/>
          <w:sz w:val="18"/>
          <w:szCs w:val="18"/>
        </w:rPr>
      </w:pPr>
      <w:r w:rsidRPr="002A08CC">
        <w:rPr>
          <w:rFonts w:ascii="Times New Roman" w:hAnsi="Times New Roman" w:cs="Times New Roman"/>
          <w:i/>
          <w:sz w:val="18"/>
          <w:szCs w:val="18"/>
          <w:vertAlign w:val="superscript"/>
        </w:rPr>
        <w:t>2</w:t>
      </w:r>
      <w:r w:rsidR="00785CA6" w:rsidRPr="002A08CC">
        <w:rPr>
          <w:rFonts w:ascii="Times New Roman" w:hAnsi="Times New Roman" w:cs="Times New Roman"/>
          <w:i/>
          <w:sz w:val="18"/>
          <w:szCs w:val="18"/>
        </w:rPr>
        <w:t>School of Chemical Science and Food Technology, Faculty of Science and Technology</w:t>
      </w:r>
    </w:p>
    <w:p w:rsidR="00785CA6" w:rsidRPr="002A08CC" w:rsidRDefault="00785CA6" w:rsidP="00785CA6">
      <w:pPr>
        <w:jc w:val="center"/>
        <w:outlineLvl w:val="0"/>
        <w:rPr>
          <w:rFonts w:ascii="Times New Roman" w:hAnsi="Times New Roman" w:cs="Times New Roman"/>
          <w:i/>
          <w:sz w:val="18"/>
          <w:szCs w:val="18"/>
        </w:rPr>
      </w:pPr>
      <w:proofErr w:type="spellStart"/>
      <w:r w:rsidRPr="002A08CC">
        <w:rPr>
          <w:rFonts w:ascii="Times New Roman" w:hAnsi="Times New Roman" w:cs="Times New Roman"/>
          <w:i/>
          <w:sz w:val="18"/>
          <w:szCs w:val="18"/>
        </w:rPr>
        <w:t>Universiti</w:t>
      </w:r>
      <w:proofErr w:type="spellEnd"/>
      <w:r w:rsidRPr="002A08CC">
        <w:rPr>
          <w:rFonts w:ascii="Times New Roman" w:hAnsi="Times New Roman" w:cs="Times New Roman"/>
          <w:i/>
          <w:sz w:val="18"/>
          <w:szCs w:val="18"/>
        </w:rPr>
        <w:t xml:space="preserve"> </w:t>
      </w:r>
      <w:proofErr w:type="spellStart"/>
      <w:r w:rsidRPr="002A08CC">
        <w:rPr>
          <w:rFonts w:ascii="Times New Roman" w:hAnsi="Times New Roman" w:cs="Times New Roman"/>
          <w:i/>
          <w:sz w:val="18"/>
          <w:szCs w:val="18"/>
        </w:rPr>
        <w:t>Kebangsaan</w:t>
      </w:r>
      <w:proofErr w:type="spellEnd"/>
      <w:r w:rsidRPr="002A08CC">
        <w:rPr>
          <w:rFonts w:ascii="Times New Roman" w:hAnsi="Times New Roman" w:cs="Times New Roman"/>
          <w:i/>
          <w:sz w:val="18"/>
          <w:szCs w:val="18"/>
        </w:rPr>
        <w:t xml:space="preserve"> Malaysia, 43600 </w:t>
      </w:r>
      <w:r w:rsidR="001D6C2C" w:rsidRPr="002A08CC">
        <w:rPr>
          <w:rFonts w:ascii="Times New Roman" w:hAnsi="Times New Roman" w:cs="Times New Roman"/>
          <w:i/>
          <w:sz w:val="18"/>
          <w:szCs w:val="18"/>
        </w:rPr>
        <w:t xml:space="preserve">UKM </w:t>
      </w:r>
      <w:proofErr w:type="spellStart"/>
      <w:r w:rsidRPr="002A08CC">
        <w:rPr>
          <w:rFonts w:ascii="Times New Roman" w:hAnsi="Times New Roman" w:cs="Times New Roman"/>
          <w:i/>
          <w:sz w:val="18"/>
          <w:szCs w:val="18"/>
        </w:rPr>
        <w:t>Bangi</w:t>
      </w:r>
      <w:proofErr w:type="spellEnd"/>
      <w:r w:rsidR="00AC263F">
        <w:rPr>
          <w:rFonts w:ascii="Times New Roman" w:hAnsi="Times New Roman" w:cs="Times New Roman"/>
          <w:i/>
          <w:sz w:val="18"/>
          <w:szCs w:val="18"/>
        </w:rPr>
        <w:t>, Selangor, Malaysia</w:t>
      </w:r>
    </w:p>
    <w:p w:rsidR="00A415C1" w:rsidRPr="002A08CC" w:rsidRDefault="00A415C1" w:rsidP="00C56AFE">
      <w:pPr>
        <w:outlineLvl w:val="0"/>
        <w:rPr>
          <w:rFonts w:ascii="Times New Roman" w:hAnsi="Times New Roman" w:cs="Times New Roman"/>
          <w:b/>
          <w:color w:val="548DD4" w:themeColor="text2" w:themeTint="99"/>
          <w:sz w:val="24"/>
        </w:rPr>
      </w:pPr>
    </w:p>
    <w:p w:rsidR="00785CA6" w:rsidRPr="00AC263F" w:rsidRDefault="00A415C1" w:rsidP="00AC263F">
      <w:pPr>
        <w:jc w:val="center"/>
        <w:outlineLvl w:val="0"/>
        <w:rPr>
          <w:rFonts w:ascii="Times New Roman" w:hAnsi="Times New Roman" w:cs="Times New Roman"/>
          <w:i/>
          <w:sz w:val="18"/>
        </w:rPr>
      </w:pPr>
      <w:r w:rsidRPr="00AC263F">
        <w:rPr>
          <w:rFonts w:ascii="Times New Roman" w:hAnsi="Times New Roman" w:cs="Times New Roman"/>
          <w:i/>
          <w:sz w:val="18"/>
          <w:vertAlign w:val="superscript"/>
        </w:rPr>
        <w:t>*</w:t>
      </w:r>
      <w:r w:rsidRPr="00AC263F">
        <w:rPr>
          <w:rFonts w:ascii="Times New Roman" w:hAnsi="Times New Roman" w:cs="Times New Roman"/>
          <w:i/>
          <w:sz w:val="18"/>
        </w:rPr>
        <w:t>Cor</w:t>
      </w:r>
      <w:r w:rsidR="00AC263F" w:rsidRPr="00AC263F">
        <w:rPr>
          <w:rFonts w:ascii="Times New Roman" w:hAnsi="Times New Roman" w:cs="Times New Roman"/>
          <w:i/>
          <w:sz w:val="18"/>
        </w:rPr>
        <w:t xml:space="preserve">responding author: </w:t>
      </w:r>
      <w:hyperlink r:id="rId6" w:history="1">
        <w:r w:rsidR="00AC263F" w:rsidRPr="00AC263F">
          <w:rPr>
            <w:rStyle w:val="Hyperlink"/>
            <w:rFonts w:ascii="Times New Roman" w:hAnsi="Times New Roman" w:cs="Times New Roman"/>
            <w:i/>
            <w:color w:val="auto"/>
            <w:sz w:val="18"/>
            <w:u w:val="none"/>
          </w:rPr>
          <w:t>wannorroslam@ukm.edu.my</w:t>
        </w:r>
      </w:hyperlink>
    </w:p>
    <w:p w:rsidR="00AC263F" w:rsidRPr="00AC263F" w:rsidRDefault="00AC263F" w:rsidP="00AC263F">
      <w:pPr>
        <w:jc w:val="center"/>
        <w:outlineLvl w:val="0"/>
        <w:rPr>
          <w:rFonts w:ascii="Times New Roman" w:hAnsi="Times New Roman" w:cs="Times New Roman"/>
          <w:i/>
          <w:color w:val="548DD4" w:themeColor="text2" w:themeTint="99"/>
          <w:sz w:val="18"/>
        </w:rPr>
      </w:pPr>
    </w:p>
    <w:p w:rsidR="00785CA6" w:rsidRPr="00AC263F" w:rsidRDefault="00785CA6" w:rsidP="00785CA6">
      <w:pPr>
        <w:jc w:val="center"/>
        <w:outlineLvl w:val="0"/>
        <w:rPr>
          <w:rFonts w:ascii="Times New Roman" w:hAnsi="Times New Roman" w:cs="Times New Roman"/>
          <w:b/>
          <w:sz w:val="18"/>
          <w:szCs w:val="18"/>
        </w:rPr>
      </w:pPr>
      <w:r w:rsidRPr="00AC263F">
        <w:rPr>
          <w:rFonts w:ascii="Times New Roman" w:hAnsi="Times New Roman" w:cs="Times New Roman"/>
          <w:b/>
          <w:sz w:val="18"/>
          <w:szCs w:val="18"/>
        </w:rPr>
        <w:t>Abstract</w:t>
      </w:r>
    </w:p>
    <w:p w:rsidR="00785CA6" w:rsidRPr="00AC263F" w:rsidRDefault="000B5054" w:rsidP="00785CA6">
      <w:pPr>
        <w:outlineLvl w:val="0"/>
        <w:rPr>
          <w:rFonts w:ascii="Times New Roman" w:hAnsi="Times New Roman" w:cs="Times New Roman"/>
          <w:sz w:val="18"/>
          <w:szCs w:val="18"/>
        </w:rPr>
      </w:pPr>
      <w:r w:rsidRPr="00AC263F">
        <w:rPr>
          <w:rFonts w:ascii="Times New Roman" w:hAnsi="Times New Roman" w:cs="Times New Roman"/>
          <w:sz w:val="18"/>
          <w:szCs w:val="18"/>
        </w:rPr>
        <w:t xml:space="preserve">A mesoporous Fe-Ni catalyst was prepared by microwave combustion method by using glycine as a fuel to help the combustion occur in the microwave. The bimetallic catalyst </w:t>
      </w:r>
      <w:r w:rsidR="00A82523" w:rsidRPr="00AC263F">
        <w:rPr>
          <w:rFonts w:ascii="Times New Roman" w:hAnsi="Times New Roman" w:cs="Times New Roman"/>
          <w:sz w:val="18"/>
          <w:szCs w:val="18"/>
        </w:rPr>
        <w:t xml:space="preserve">synthesized </w:t>
      </w:r>
      <w:r w:rsidRPr="00AC263F">
        <w:rPr>
          <w:rFonts w:ascii="Times New Roman" w:hAnsi="Times New Roman" w:cs="Times New Roman"/>
          <w:sz w:val="18"/>
          <w:szCs w:val="18"/>
        </w:rPr>
        <w:t>was intend to accelerate the production of hydrogen via decomposition of formic acid. The hydrogen produced supposedly can substitute the energy source used now especially from fossil fuels to contribute to the reduction of greenhouse effect. The catalyst sample was characterized by powder X-ray diffraction (XRD), scanning electron microscopy (SEM) and N</w:t>
      </w:r>
      <w:r w:rsidRPr="00AC263F">
        <w:rPr>
          <w:rFonts w:ascii="Times New Roman" w:hAnsi="Times New Roman" w:cs="Times New Roman"/>
          <w:sz w:val="18"/>
          <w:szCs w:val="18"/>
          <w:vertAlign w:val="subscript"/>
        </w:rPr>
        <w:t>2</w:t>
      </w:r>
      <w:r w:rsidRPr="00AC263F">
        <w:rPr>
          <w:rFonts w:ascii="Times New Roman" w:hAnsi="Times New Roman" w:cs="Times New Roman"/>
          <w:sz w:val="18"/>
          <w:szCs w:val="18"/>
        </w:rPr>
        <w:t xml:space="preserve"> adsorption-desorption isotherm (BET). From the BET isotherms, a type IV isotherm was observed, indicate the presence of mesoporous solid. XRD diffractograms of Fe-Ni have well-defined diffraction patterns with strong and sharp diffraction peaks, indicating that they are crystalline. The SEM images show the presence of voids and pores in the sample and spongy structure which also consisted of very fine crystalline. The selectivity for H</w:t>
      </w:r>
      <w:r w:rsidRPr="00AC263F">
        <w:rPr>
          <w:rFonts w:ascii="Times New Roman" w:hAnsi="Times New Roman" w:cs="Times New Roman"/>
          <w:sz w:val="18"/>
          <w:szCs w:val="18"/>
          <w:vertAlign w:val="subscript"/>
        </w:rPr>
        <w:t>2</w:t>
      </w:r>
      <w:r w:rsidRPr="00AC263F">
        <w:rPr>
          <w:rFonts w:ascii="Times New Roman" w:hAnsi="Times New Roman" w:cs="Times New Roman"/>
          <w:sz w:val="18"/>
          <w:szCs w:val="18"/>
        </w:rPr>
        <w:t xml:space="preserve"> formation using the prepared </w:t>
      </w:r>
      <w:r w:rsidR="00E574DB" w:rsidRPr="00AC263F">
        <w:rPr>
          <w:rFonts w:ascii="Times New Roman" w:hAnsi="Times New Roman" w:cs="Times New Roman"/>
          <w:sz w:val="18"/>
          <w:szCs w:val="18"/>
        </w:rPr>
        <w:t xml:space="preserve">bimetallic </w:t>
      </w:r>
      <w:r w:rsidRPr="00AC263F">
        <w:rPr>
          <w:rFonts w:ascii="Times New Roman" w:hAnsi="Times New Roman" w:cs="Times New Roman"/>
          <w:sz w:val="18"/>
          <w:szCs w:val="18"/>
        </w:rPr>
        <w:t xml:space="preserve">catalyst was </w:t>
      </w:r>
      <w:r w:rsidR="00E574DB" w:rsidRPr="00AC263F">
        <w:rPr>
          <w:rFonts w:ascii="Times New Roman" w:hAnsi="Times New Roman" w:cs="Times New Roman"/>
          <w:sz w:val="18"/>
          <w:szCs w:val="18"/>
        </w:rPr>
        <w:t xml:space="preserve">achieved ranging of </w:t>
      </w:r>
      <w:r w:rsidRPr="00AC263F">
        <w:rPr>
          <w:rFonts w:ascii="Times New Roman" w:hAnsi="Times New Roman" w:cs="Times New Roman"/>
          <w:sz w:val="18"/>
          <w:szCs w:val="18"/>
        </w:rPr>
        <w:t>94</w:t>
      </w:r>
      <w:r w:rsidR="00E574DB" w:rsidRPr="00AC263F">
        <w:rPr>
          <w:rFonts w:ascii="Times New Roman" w:hAnsi="Times New Roman" w:cs="Times New Roman"/>
          <w:sz w:val="18"/>
          <w:szCs w:val="18"/>
        </w:rPr>
        <w:t xml:space="preserve"> to 99% for 120 minutes at opt</w:t>
      </w:r>
      <w:r w:rsidRPr="00AC263F">
        <w:rPr>
          <w:rFonts w:ascii="Times New Roman" w:hAnsi="Times New Roman" w:cs="Times New Roman"/>
          <w:sz w:val="18"/>
          <w:szCs w:val="18"/>
        </w:rPr>
        <w:t>imum conversion of formic acid and merely at room temperature.</w:t>
      </w:r>
    </w:p>
    <w:p w:rsidR="00785CA6" w:rsidRPr="00AC263F" w:rsidRDefault="00785CA6" w:rsidP="00785CA6">
      <w:pPr>
        <w:outlineLvl w:val="0"/>
        <w:rPr>
          <w:rFonts w:ascii="Times New Roman" w:hAnsi="Times New Roman" w:cs="Times New Roman"/>
          <w:sz w:val="18"/>
          <w:szCs w:val="18"/>
        </w:rPr>
      </w:pPr>
    </w:p>
    <w:p w:rsidR="00785CA6" w:rsidRPr="00AC263F" w:rsidRDefault="00785CA6" w:rsidP="00785CA6">
      <w:pPr>
        <w:outlineLvl w:val="0"/>
        <w:rPr>
          <w:rFonts w:ascii="Times New Roman" w:hAnsi="Times New Roman" w:cs="Times New Roman"/>
          <w:sz w:val="18"/>
          <w:szCs w:val="18"/>
        </w:rPr>
      </w:pPr>
      <w:r w:rsidRPr="00AC263F">
        <w:rPr>
          <w:rFonts w:ascii="Times New Roman" w:hAnsi="Times New Roman" w:cs="Times New Roman"/>
          <w:b/>
          <w:sz w:val="18"/>
          <w:szCs w:val="18"/>
        </w:rPr>
        <w:t>Keyword</w:t>
      </w:r>
      <w:r w:rsidR="00AC263F">
        <w:rPr>
          <w:rFonts w:ascii="Times New Roman" w:hAnsi="Times New Roman" w:cs="Times New Roman"/>
          <w:b/>
          <w:sz w:val="18"/>
          <w:szCs w:val="18"/>
        </w:rPr>
        <w:t>s</w:t>
      </w:r>
      <w:r w:rsidRPr="00AC263F">
        <w:rPr>
          <w:rFonts w:ascii="Times New Roman" w:hAnsi="Times New Roman" w:cs="Times New Roman"/>
          <w:sz w:val="18"/>
          <w:szCs w:val="18"/>
        </w:rPr>
        <w:t xml:space="preserve">: </w:t>
      </w:r>
      <w:r w:rsidR="00AC263F">
        <w:rPr>
          <w:rFonts w:ascii="Times New Roman" w:hAnsi="Times New Roman" w:cs="Times New Roman"/>
          <w:sz w:val="18"/>
          <w:szCs w:val="18"/>
        </w:rPr>
        <w:t>iron nickel catalyst, hydrogen energy, microwave combustion method,</w:t>
      </w:r>
      <w:r w:rsidR="00126C13" w:rsidRPr="00AC263F">
        <w:rPr>
          <w:rFonts w:ascii="Times New Roman" w:hAnsi="Times New Roman" w:cs="Times New Roman"/>
          <w:sz w:val="18"/>
          <w:szCs w:val="18"/>
        </w:rPr>
        <w:t xml:space="preserve"> H</w:t>
      </w:r>
      <w:r w:rsidR="00126C13" w:rsidRPr="00AC263F">
        <w:rPr>
          <w:rFonts w:ascii="Times New Roman" w:hAnsi="Times New Roman" w:cs="Times New Roman"/>
          <w:sz w:val="18"/>
          <w:szCs w:val="18"/>
          <w:vertAlign w:val="subscript"/>
        </w:rPr>
        <w:t xml:space="preserve">2 </w:t>
      </w:r>
      <w:r w:rsidR="00126C13" w:rsidRPr="00AC263F">
        <w:rPr>
          <w:rFonts w:ascii="Times New Roman" w:hAnsi="Times New Roman" w:cs="Times New Roman"/>
          <w:sz w:val="18"/>
          <w:szCs w:val="18"/>
        </w:rPr>
        <w:t>selectivity</w:t>
      </w:r>
    </w:p>
    <w:p w:rsidR="00126C13" w:rsidRPr="002A08CC" w:rsidRDefault="00126C13" w:rsidP="00785CA6">
      <w:pPr>
        <w:outlineLvl w:val="0"/>
        <w:rPr>
          <w:rFonts w:ascii="Times New Roman" w:hAnsi="Times New Roman" w:cs="Times New Roman"/>
          <w:color w:val="548DD4" w:themeColor="text2" w:themeTint="99"/>
        </w:rPr>
      </w:pPr>
    </w:p>
    <w:p w:rsidR="00785CA6" w:rsidRPr="00AC263F" w:rsidRDefault="00785CA6" w:rsidP="00785CA6">
      <w:pPr>
        <w:jc w:val="center"/>
        <w:outlineLvl w:val="0"/>
        <w:rPr>
          <w:rFonts w:ascii="Times New Roman" w:hAnsi="Times New Roman" w:cs="Times New Roman"/>
          <w:b/>
          <w:noProof/>
          <w:sz w:val="18"/>
          <w:szCs w:val="18"/>
          <w:lang w:val="ms-MY"/>
        </w:rPr>
      </w:pPr>
      <w:r w:rsidRPr="00AC263F">
        <w:rPr>
          <w:rFonts w:ascii="Times New Roman" w:hAnsi="Times New Roman" w:cs="Times New Roman"/>
          <w:b/>
          <w:noProof/>
          <w:sz w:val="18"/>
          <w:szCs w:val="18"/>
          <w:lang w:val="ms-MY"/>
        </w:rPr>
        <w:t>Abstrak</w:t>
      </w:r>
    </w:p>
    <w:p w:rsidR="00785CA6" w:rsidRPr="00AC263F" w:rsidRDefault="002840AF" w:rsidP="00785CA6">
      <w:pPr>
        <w:outlineLvl w:val="0"/>
        <w:rPr>
          <w:rFonts w:ascii="Times New Roman" w:hAnsi="Times New Roman" w:cs="Times New Roman"/>
          <w:noProof/>
          <w:sz w:val="18"/>
          <w:szCs w:val="18"/>
          <w:lang w:val="ms-MY"/>
        </w:rPr>
      </w:pPr>
      <w:r w:rsidRPr="00AC263F">
        <w:rPr>
          <w:rFonts w:ascii="Times New Roman" w:hAnsi="Times New Roman" w:cs="Times New Roman"/>
          <w:noProof/>
          <w:sz w:val="18"/>
          <w:szCs w:val="18"/>
          <w:lang w:val="ms-MY"/>
        </w:rPr>
        <w:t xml:space="preserve">Mangkin Fe-Ni yang bersifat mesoporos telah disediakan dengan menggunakan kaedah pembakaran oleh gelombang mikro dengan bantuan glisin sebagai bahan bakar. Mangkin dwilogam </w:t>
      </w:r>
      <w:r w:rsidR="00A82523" w:rsidRPr="00AC263F">
        <w:rPr>
          <w:rFonts w:ascii="Times New Roman" w:hAnsi="Times New Roman" w:cs="Times New Roman"/>
          <w:noProof/>
          <w:sz w:val="18"/>
          <w:szCs w:val="18"/>
          <w:lang w:val="ms-MY"/>
        </w:rPr>
        <w:t xml:space="preserve">yang disintesis </w:t>
      </w:r>
      <w:r w:rsidRPr="00AC263F">
        <w:rPr>
          <w:rFonts w:ascii="Times New Roman" w:hAnsi="Times New Roman" w:cs="Times New Roman"/>
          <w:noProof/>
          <w:sz w:val="18"/>
          <w:szCs w:val="18"/>
          <w:lang w:val="ms-MY"/>
        </w:rPr>
        <w:t>bertujuan untuk mempe</w:t>
      </w:r>
      <w:r w:rsidR="00767F66" w:rsidRPr="00AC263F">
        <w:rPr>
          <w:rFonts w:ascii="Times New Roman" w:hAnsi="Times New Roman" w:cs="Times New Roman"/>
          <w:noProof/>
          <w:sz w:val="18"/>
          <w:szCs w:val="18"/>
          <w:lang w:val="ms-MY"/>
        </w:rPr>
        <w:t>r</w:t>
      </w:r>
      <w:r w:rsidRPr="00AC263F">
        <w:rPr>
          <w:rFonts w:ascii="Times New Roman" w:hAnsi="Times New Roman" w:cs="Times New Roman"/>
          <w:noProof/>
          <w:sz w:val="18"/>
          <w:szCs w:val="18"/>
          <w:lang w:val="ms-MY"/>
        </w:rPr>
        <w:t xml:space="preserve">cepatkan penghasilan </w:t>
      </w:r>
      <w:r w:rsidR="00767F66" w:rsidRPr="00AC263F">
        <w:rPr>
          <w:rFonts w:ascii="Times New Roman" w:hAnsi="Times New Roman" w:cs="Times New Roman"/>
          <w:noProof/>
          <w:sz w:val="18"/>
          <w:szCs w:val="18"/>
          <w:lang w:val="ms-MY"/>
        </w:rPr>
        <w:t xml:space="preserve">hidrogen melalui penguraian asid formik. Hidrogen yang dihasilkan </w:t>
      </w:r>
      <w:r w:rsidR="00774B13" w:rsidRPr="00AC263F">
        <w:rPr>
          <w:rFonts w:ascii="Times New Roman" w:hAnsi="Times New Roman" w:cs="Times New Roman"/>
          <w:noProof/>
          <w:sz w:val="18"/>
          <w:szCs w:val="18"/>
          <w:lang w:val="ms-MY"/>
        </w:rPr>
        <w:t>diharapkan dapat menggantikan</w:t>
      </w:r>
      <w:r w:rsidR="00FE5962" w:rsidRPr="00AC263F">
        <w:rPr>
          <w:rFonts w:ascii="Times New Roman" w:hAnsi="Times New Roman" w:cs="Times New Roman"/>
          <w:noProof/>
          <w:sz w:val="18"/>
          <w:szCs w:val="18"/>
          <w:lang w:val="ms-MY"/>
        </w:rPr>
        <w:t xml:space="preserve"> sumber tenaga yang digunakan </w:t>
      </w:r>
      <w:r w:rsidR="004A5DC6" w:rsidRPr="00AC263F">
        <w:rPr>
          <w:rFonts w:ascii="Times New Roman" w:hAnsi="Times New Roman" w:cs="Times New Roman"/>
          <w:noProof/>
          <w:sz w:val="18"/>
          <w:szCs w:val="18"/>
          <w:lang w:val="ms-MY"/>
        </w:rPr>
        <w:t>dewasa ini</w:t>
      </w:r>
      <w:r w:rsidR="00FE5962" w:rsidRPr="00AC263F">
        <w:rPr>
          <w:rFonts w:ascii="Times New Roman" w:hAnsi="Times New Roman" w:cs="Times New Roman"/>
          <w:noProof/>
          <w:sz w:val="18"/>
          <w:szCs w:val="18"/>
          <w:lang w:val="ms-MY"/>
        </w:rPr>
        <w:t xml:space="preserve"> terutama daripada bahan </w:t>
      </w:r>
      <w:r w:rsidR="004A5DC6" w:rsidRPr="00AC263F">
        <w:rPr>
          <w:rFonts w:ascii="Times New Roman" w:hAnsi="Times New Roman" w:cs="Times New Roman"/>
          <w:noProof/>
          <w:sz w:val="18"/>
          <w:szCs w:val="18"/>
          <w:lang w:val="ms-MY"/>
        </w:rPr>
        <w:t>api fosil supaya dapat m</w:t>
      </w:r>
      <w:r w:rsidR="00FE5962" w:rsidRPr="00AC263F">
        <w:rPr>
          <w:rFonts w:ascii="Times New Roman" w:hAnsi="Times New Roman" w:cs="Times New Roman"/>
          <w:noProof/>
          <w:sz w:val="18"/>
          <w:szCs w:val="18"/>
          <w:lang w:val="ms-MY"/>
        </w:rPr>
        <w:t>engurang</w:t>
      </w:r>
      <w:r w:rsidR="004A5DC6" w:rsidRPr="00AC263F">
        <w:rPr>
          <w:rFonts w:ascii="Times New Roman" w:hAnsi="Times New Roman" w:cs="Times New Roman"/>
          <w:noProof/>
          <w:sz w:val="18"/>
          <w:szCs w:val="18"/>
          <w:lang w:val="ms-MY"/>
        </w:rPr>
        <w:t>k</w:t>
      </w:r>
      <w:r w:rsidR="00FE5962" w:rsidRPr="00AC263F">
        <w:rPr>
          <w:rFonts w:ascii="Times New Roman" w:hAnsi="Times New Roman" w:cs="Times New Roman"/>
          <w:noProof/>
          <w:sz w:val="18"/>
          <w:szCs w:val="18"/>
          <w:lang w:val="ms-MY"/>
        </w:rPr>
        <w:t>an kesan rumah hijau. Sampel mangkin dic</w:t>
      </w:r>
      <w:r w:rsidR="00AC263F">
        <w:rPr>
          <w:rFonts w:ascii="Times New Roman" w:hAnsi="Times New Roman" w:cs="Times New Roman"/>
          <w:noProof/>
          <w:sz w:val="18"/>
          <w:szCs w:val="18"/>
          <w:lang w:val="ms-MY"/>
        </w:rPr>
        <w:t>irikan dengan pembelauan sinar-X</w:t>
      </w:r>
      <w:r w:rsidR="00FE5962" w:rsidRPr="00AC263F">
        <w:rPr>
          <w:rFonts w:ascii="Times New Roman" w:hAnsi="Times New Roman" w:cs="Times New Roman"/>
          <w:noProof/>
          <w:sz w:val="18"/>
          <w:szCs w:val="18"/>
          <w:lang w:val="ms-MY"/>
        </w:rPr>
        <w:t xml:space="preserve"> (X</w:t>
      </w:r>
      <w:r w:rsidR="00AC263F">
        <w:rPr>
          <w:rFonts w:ascii="Times New Roman" w:hAnsi="Times New Roman" w:cs="Times New Roman"/>
          <w:noProof/>
          <w:sz w:val="18"/>
          <w:szCs w:val="18"/>
          <w:lang w:val="ms-MY"/>
        </w:rPr>
        <w:t>RD), mikroskopi pengimbasan elek</w:t>
      </w:r>
      <w:r w:rsidR="00FE5962" w:rsidRPr="00AC263F">
        <w:rPr>
          <w:rFonts w:ascii="Times New Roman" w:hAnsi="Times New Roman" w:cs="Times New Roman"/>
          <w:noProof/>
          <w:sz w:val="18"/>
          <w:szCs w:val="18"/>
          <w:lang w:val="ms-MY"/>
        </w:rPr>
        <w:t xml:space="preserve">tron </w:t>
      </w:r>
      <w:r w:rsidR="004D0A80" w:rsidRPr="00AC263F">
        <w:rPr>
          <w:rFonts w:ascii="Times New Roman" w:hAnsi="Times New Roman" w:cs="Times New Roman"/>
          <w:noProof/>
          <w:sz w:val="18"/>
          <w:szCs w:val="18"/>
          <w:lang w:val="ms-MY"/>
        </w:rPr>
        <w:t>(SEM), dan isoterma penyerapan-penyahjerapan N</w:t>
      </w:r>
      <w:r w:rsidR="004D0A80" w:rsidRPr="00AC263F">
        <w:rPr>
          <w:rFonts w:ascii="Times New Roman" w:hAnsi="Times New Roman" w:cs="Times New Roman"/>
          <w:noProof/>
          <w:sz w:val="18"/>
          <w:szCs w:val="18"/>
          <w:vertAlign w:val="subscript"/>
          <w:lang w:val="ms-MY"/>
        </w:rPr>
        <w:t>2</w:t>
      </w:r>
      <w:r w:rsidR="004D0A80" w:rsidRPr="00AC263F">
        <w:rPr>
          <w:rFonts w:ascii="Times New Roman" w:hAnsi="Times New Roman" w:cs="Times New Roman"/>
          <w:noProof/>
          <w:sz w:val="18"/>
          <w:szCs w:val="18"/>
          <w:lang w:val="ms-MY"/>
        </w:rPr>
        <w:t xml:space="preserve"> (BET). </w:t>
      </w:r>
      <w:r w:rsidR="009649D2" w:rsidRPr="00AC263F">
        <w:rPr>
          <w:rFonts w:ascii="Times New Roman" w:hAnsi="Times New Roman" w:cs="Times New Roman"/>
          <w:noProof/>
          <w:sz w:val="18"/>
          <w:szCs w:val="18"/>
          <w:lang w:val="ms-MY"/>
        </w:rPr>
        <w:t>Daripada isoterma BET, isoterma jenis IV telah dikenalpasti, menandakan kehadiran pepejal mesoporos. Difraktogram XRD bagi Fe-Ni me</w:t>
      </w:r>
      <w:r w:rsidR="0082634F" w:rsidRPr="00AC263F">
        <w:rPr>
          <w:rFonts w:ascii="Times New Roman" w:hAnsi="Times New Roman" w:cs="Times New Roman"/>
          <w:noProof/>
          <w:sz w:val="18"/>
          <w:szCs w:val="18"/>
          <w:lang w:val="ms-MY"/>
        </w:rPr>
        <w:t>nunjukkan corak yang terbentuk dengan puncak yang baik dan tajam</w:t>
      </w:r>
      <w:r w:rsidR="00B32DC8" w:rsidRPr="00AC263F">
        <w:rPr>
          <w:rFonts w:ascii="Times New Roman" w:hAnsi="Times New Roman" w:cs="Times New Roman"/>
          <w:noProof/>
          <w:sz w:val="18"/>
          <w:szCs w:val="18"/>
          <w:lang w:val="ms-MY"/>
        </w:rPr>
        <w:t xml:space="preserve">, menunjukkan mangkin tersebut merupakan hablur. Imej SEM menunjukkan kehadian ruang dan pori di dalam sampel dan berstruktur span dimana </w:t>
      </w:r>
      <w:r w:rsidR="004A5DC6" w:rsidRPr="00AC263F">
        <w:rPr>
          <w:rFonts w:ascii="Times New Roman" w:hAnsi="Times New Roman" w:cs="Times New Roman"/>
          <w:noProof/>
          <w:sz w:val="18"/>
          <w:szCs w:val="18"/>
          <w:lang w:val="ms-MY"/>
        </w:rPr>
        <w:t xml:space="preserve">ia </w:t>
      </w:r>
      <w:r w:rsidR="00B32DC8" w:rsidRPr="00AC263F">
        <w:rPr>
          <w:rFonts w:ascii="Times New Roman" w:hAnsi="Times New Roman" w:cs="Times New Roman"/>
          <w:noProof/>
          <w:sz w:val="18"/>
          <w:szCs w:val="18"/>
          <w:lang w:val="ms-MY"/>
        </w:rPr>
        <w:t xml:space="preserve">juga </w:t>
      </w:r>
      <w:r w:rsidR="004A5DC6" w:rsidRPr="00AC263F">
        <w:rPr>
          <w:rFonts w:ascii="Times New Roman" w:hAnsi="Times New Roman" w:cs="Times New Roman"/>
          <w:noProof/>
          <w:sz w:val="18"/>
          <w:szCs w:val="18"/>
          <w:lang w:val="ms-MY"/>
        </w:rPr>
        <w:t>terdapat</w:t>
      </w:r>
      <w:r w:rsidR="00B32DC8" w:rsidRPr="00AC263F">
        <w:rPr>
          <w:rFonts w:ascii="Times New Roman" w:hAnsi="Times New Roman" w:cs="Times New Roman"/>
          <w:noProof/>
          <w:sz w:val="18"/>
          <w:szCs w:val="18"/>
          <w:lang w:val="ms-MY"/>
        </w:rPr>
        <w:t xml:space="preserve"> hablur yang sangat halus. Ke</w:t>
      </w:r>
      <w:r w:rsidR="00E574DB" w:rsidRPr="00AC263F">
        <w:rPr>
          <w:rFonts w:ascii="Times New Roman" w:hAnsi="Times New Roman" w:cs="Times New Roman"/>
          <w:noProof/>
          <w:sz w:val="18"/>
          <w:szCs w:val="18"/>
          <w:lang w:val="ms-MY"/>
        </w:rPr>
        <w:t>ter</w:t>
      </w:r>
      <w:r w:rsidR="00B32DC8" w:rsidRPr="00AC263F">
        <w:rPr>
          <w:rFonts w:ascii="Times New Roman" w:hAnsi="Times New Roman" w:cs="Times New Roman"/>
          <w:noProof/>
          <w:sz w:val="18"/>
          <w:szCs w:val="18"/>
          <w:lang w:val="ms-MY"/>
        </w:rPr>
        <w:t xml:space="preserve">pilihan </w:t>
      </w:r>
      <w:r w:rsidR="00E574DB" w:rsidRPr="00AC263F">
        <w:rPr>
          <w:rFonts w:ascii="Times New Roman" w:hAnsi="Times New Roman" w:cs="Times New Roman"/>
          <w:noProof/>
          <w:sz w:val="18"/>
          <w:szCs w:val="18"/>
          <w:lang w:val="ms-MY"/>
        </w:rPr>
        <w:t>terhadap penghasilan gas</w:t>
      </w:r>
      <w:r w:rsidR="00B32DC8" w:rsidRPr="00AC263F">
        <w:rPr>
          <w:rFonts w:ascii="Times New Roman" w:hAnsi="Times New Roman" w:cs="Times New Roman"/>
          <w:noProof/>
          <w:sz w:val="18"/>
          <w:szCs w:val="18"/>
          <w:lang w:val="ms-MY"/>
        </w:rPr>
        <w:t xml:space="preserve"> H</w:t>
      </w:r>
      <w:r w:rsidR="00B32DC8" w:rsidRPr="00AC263F">
        <w:rPr>
          <w:rFonts w:ascii="Times New Roman" w:hAnsi="Times New Roman" w:cs="Times New Roman"/>
          <w:noProof/>
          <w:sz w:val="18"/>
          <w:szCs w:val="18"/>
          <w:vertAlign w:val="subscript"/>
          <w:lang w:val="ms-MY"/>
        </w:rPr>
        <w:t xml:space="preserve">2 </w:t>
      </w:r>
      <w:r w:rsidR="00B32DC8" w:rsidRPr="00AC263F">
        <w:rPr>
          <w:rFonts w:ascii="Times New Roman" w:hAnsi="Times New Roman" w:cs="Times New Roman"/>
          <w:noProof/>
          <w:sz w:val="18"/>
          <w:szCs w:val="18"/>
          <w:lang w:val="ms-MY"/>
        </w:rPr>
        <w:t>menggun</w:t>
      </w:r>
      <w:r w:rsidR="00E574DB" w:rsidRPr="00AC263F">
        <w:rPr>
          <w:rFonts w:ascii="Times New Roman" w:hAnsi="Times New Roman" w:cs="Times New Roman"/>
          <w:noProof/>
          <w:sz w:val="18"/>
          <w:szCs w:val="18"/>
          <w:lang w:val="ms-MY"/>
        </w:rPr>
        <w:t xml:space="preserve">akan mangkin dwilogam FeNi </w:t>
      </w:r>
      <w:r w:rsidR="00B32DC8" w:rsidRPr="00AC263F">
        <w:rPr>
          <w:rFonts w:ascii="Times New Roman" w:hAnsi="Times New Roman" w:cs="Times New Roman"/>
          <w:noProof/>
          <w:sz w:val="18"/>
          <w:szCs w:val="18"/>
          <w:lang w:val="ms-MY"/>
        </w:rPr>
        <w:t>adalah 94</w:t>
      </w:r>
      <w:r w:rsidR="00AC263F">
        <w:rPr>
          <w:rFonts w:ascii="Times New Roman" w:hAnsi="Times New Roman" w:cs="Times New Roman"/>
          <w:noProof/>
          <w:sz w:val="18"/>
          <w:szCs w:val="18"/>
          <w:lang w:val="ms-MY"/>
        </w:rPr>
        <w:t xml:space="preserve"> – </w:t>
      </w:r>
      <w:r w:rsidR="00B32DC8" w:rsidRPr="00AC263F">
        <w:rPr>
          <w:rFonts w:ascii="Times New Roman" w:hAnsi="Times New Roman" w:cs="Times New Roman"/>
          <w:noProof/>
          <w:sz w:val="18"/>
          <w:szCs w:val="18"/>
          <w:lang w:val="ms-MY"/>
        </w:rPr>
        <w:t xml:space="preserve">99% </w:t>
      </w:r>
      <w:r w:rsidR="00E574DB" w:rsidRPr="00AC263F">
        <w:rPr>
          <w:rFonts w:ascii="Times New Roman" w:hAnsi="Times New Roman" w:cs="Times New Roman"/>
          <w:noProof/>
          <w:sz w:val="18"/>
          <w:szCs w:val="18"/>
          <w:lang w:val="ms-MY"/>
        </w:rPr>
        <w:t>pada masa tindak balas</w:t>
      </w:r>
      <w:r w:rsidR="00B32DC8" w:rsidRPr="00AC263F">
        <w:rPr>
          <w:rFonts w:ascii="Times New Roman" w:hAnsi="Times New Roman" w:cs="Times New Roman"/>
          <w:noProof/>
          <w:sz w:val="18"/>
          <w:szCs w:val="18"/>
          <w:lang w:val="ms-MY"/>
        </w:rPr>
        <w:t xml:space="preserve"> 1</w:t>
      </w:r>
      <w:r w:rsidR="00E574DB" w:rsidRPr="00AC263F">
        <w:rPr>
          <w:rFonts w:ascii="Times New Roman" w:hAnsi="Times New Roman" w:cs="Times New Roman"/>
          <w:noProof/>
          <w:sz w:val="18"/>
          <w:szCs w:val="18"/>
          <w:lang w:val="ms-MY"/>
        </w:rPr>
        <w:t>20 minit pada peratus pen</w:t>
      </w:r>
      <w:r w:rsidR="004A5DC6" w:rsidRPr="00AC263F">
        <w:rPr>
          <w:rFonts w:ascii="Times New Roman" w:hAnsi="Times New Roman" w:cs="Times New Roman"/>
          <w:noProof/>
          <w:sz w:val="18"/>
          <w:szCs w:val="18"/>
          <w:lang w:val="ms-MY"/>
        </w:rPr>
        <w:t>ukaran</w:t>
      </w:r>
      <w:r w:rsidR="00E574DB" w:rsidRPr="00AC263F">
        <w:rPr>
          <w:rFonts w:ascii="Times New Roman" w:hAnsi="Times New Roman" w:cs="Times New Roman"/>
          <w:noProof/>
          <w:sz w:val="18"/>
          <w:szCs w:val="18"/>
          <w:lang w:val="ms-MY"/>
        </w:rPr>
        <w:t xml:space="preserve"> asid fomik yang optimum</w:t>
      </w:r>
      <w:r w:rsidR="00B32DC8" w:rsidRPr="00AC263F">
        <w:rPr>
          <w:rFonts w:ascii="Times New Roman" w:hAnsi="Times New Roman" w:cs="Times New Roman"/>
          <w:noProof/>
          <w:sz w:val="18"/>
          <w:szCs w:val="18"/>
          <w:lang w:val="ms-MY"/>
        </w:rPr>
        <w:t xml:space="preserve"> pada suhu bilik.</w:t>
      </w:r>
    </w:p>
    <w:p w:rsidR="00B32DC8" w:rsidRPr="00AC263F" w:rsidRDefault="00B32DC8" w:rsidP="00785CA6">
      <w:pPr>
        <w:outlineLvl w:val="0"/>
        <w:rPr>
          <w:rFonts w:ascii="Times New Roman" w:hAnsi="Times New Roman" w:cs="Times New Roman"/>
          <w:noProof/>
          <w:sz w:val="18"/>
          <w:szCs w:val="18"/>
          <w:lang w:val="ms-MY"/>
        </w:rPr>
      </w:pPr>
    </w:p>
    <w:p w:rsidR="00785CA6" w:rsidRPr="00AC263F" w:rsidRDefault="00785CA6" w:rsidP="00785CA6">
      <w:pPr>
        <w:outlineLvl w:val="0"/>
        <w:rPr>
          <w:rFonts w:ascii="Times New Roman" w:hAnsi="Times New Roman" w:cs="Times New Roman"/>
          <w:noProof/>
          <w:color w:val="548DD4" w:themeColor="text2" w:themeTint="99"/>
          <w:sz w:val="18"/>
          <w:szCs w:val="18"/>
          <w:lang w:val="ms-MY"/>
        </w:rPr>
      </w:pPr>
      <w:r w:rsidRPr="00AC263F">
        <w:rPr>
          <w:rFonts w:ascii="Times New Roman" w:hAnsi="Times New Roman" w:cs="Times New Roman"/>
          <w:b/>
          <w:noProof/>
          <w:sz w:val="18"/>
          <w:szCs w:val="18"/>
          <w:lang w:val="ms-MY"/>
        </w:rPr>
        <w:t xml:space="preserve">Kata kunci: </w:t>
      </w:r>
      <w:r w:rsidR="00AC263F">
        <w:rPr>
          <w:rFonts w:ascii="Times New Roman" w:hAnsi="Times New Roman" w:cs="Times New Roman"/>
          <w:noProof/>
          <w:sz w:val="18"/>
          <w:szCs w:val="18"/>
          <w:lang w:val="ms-MY"/>
        </w:rPr>
        <w:t>mangkin ferum nikel,</w:t>
      </w:r>
      <w:r w:rsidR="0014724D" w:rsidRPr="00AC263F">
        <w:rPr>
          <w:rFonts w:ascii="Times New Roman" w:hAnsi="Times New Roman" w:cs="Times New Roman"/>
          <w:noProof/>
          <w:sz w:val="18"/>
          <w:szCs w:val="18"/>
          <w:lang w:val="ms-MY"/>
        </w:rPr>
        <w:t xml:space="preserve"> tenaga </w:t>
      </w:r>
      <w:r w:rsidR="00C77B0B" w:rsidRPr="00AC263F">
        <w:rPr>
          <w:rFonts w:ascii="Times New Roman" w:hAnsi="Times New Roman" w:cs="Times New Roman"/>
          <w:noProof/>
          <w:sz w:val="18"/>
          <w:szCs w:val="18"/>
          <w:lang w:val="ms-MY"/>
        </w:rPr>
        <w:t>hi</w:t>
      </w:r>
      <w:r w:rsidR="00AC263F">
        <w:rPr>
          <w:rFonts w:ascii="Times New Roman" w:hAnsi="Times New Roman" w:cs="Times New Roman"/>
          <w:noProof/>
          <w:sz w:val="18"/>
          <w:szCs w:val="18"/>
          <w:lang w:val="ms-MY"/>
        </w:rPr>
        <w:t xml:space="preserve">drogen, kaedah pembakaran </w:t>
      </w:r>
      <w:r w:rsidR="0014724D" w:rsidRPr="00AC263F">
        <w:rPr>
          <w:rFonts w:ascii="Times New Roman" w:hAnsi="Times New Roman" w:cs="Times New Roman"/>
          <w:noProof/>
          <w:sz w:val="18"/>
          <w:szCs w:val="18"/>
          <w:lang w:val="ms-MY"/>
        </w:rPr>
        <w:t>gelombang mikro</w:t>
      </w:r>
      <w:r w:rsidR="00AC263F">
        <w:rPr>
          <w:rFonts w:ascii="Times New Roman" w:hAnsi="Times New Roman" w:cs="Times New Roman"/>
          <w:noProof/>
          <w:sz w:val="18"/>
          <w:szCs w:val="18"/>
          <w:lang w:val="ms-MY"/>
        </w:rPr>
        <w:t>,</w:t>
      </w:r>
      <w:r w:rsidR="0014724D" w:rsidRPr="00AC263F">
        <w:rPr>
          <w:rFonts w:ascii="Times New Roman" w:hAnsi="Times New Roman" w:cs="Times New Roman"/>
          <w:noProof/>
          <w:sz w:val="18"/>
          <w:szCs w:val="18"/>
          <w:lang w:val="ms-MY"/>
        </w:rPr>
        <w:t xml:space="preserve"> kepilihan H</w:t>
      </w:r>
      <w:r w:rsidR="0014724D" w:rsidRPr="00AC263F">
        <w:rPr>
          <w:rFonts w:ascii="Times New Roman" w:hAnsi="Times New Roman" w:cs="Times New Roman"/>
          <w:noProof/>
          <w:sz w:val="18"/>
          <w:szCs w:val="18"/>
          <w:vertAlign w:val="subscript"/>
          <w:lang w:val="ms-MY"/>
        </w:rPr>
        <w:t xml:space="preserve">2 </w:t>
      </w:r>
    </w:p>
    <w:p w:rsidR="00C77B0B" w:rsidRPr="00AC263F" w:rsidRDefault="00C77B0B" w:rsidP="00785CA6">
      <w:pPr>
        <w:outlineLvl w:val="0"/>
        <w:rPr>
          <w:rFonts w:ascii="Times New Roman" w:hAnsi="Times New Roman" w:cs="Times New Roman"/>
          <w:b/>
          <w:color w:val="FF0000"/>
          <w:sz w:val="24"/>
          <w:lang w:val="ms-MY"/>
        </w:rPr>
      </w:pPr>
    </w:p>
    <w:p w:rsidR="00026B99" w:rsidRPr="002A08CC" w:rsidRDefault="00785CA6" w:rsidP="00B32DC8">
      <w:pPr>
        <w:jc w:val="center"/>
        <w:outlineLvl w:val="0"/>
        <w:rPr>
          <w:rFonts w:ascii="Times New Roman" w:hAnsi="Times New Roman" w:cs="Times New Roman"/>
          <w:b/>
        </w:rPr>
      </w:pPr>
      <w:r w:rsidRPr="002A08CC">
        <w:rPr>
          <w:rFonts w:ascii="Times New Roman" w:hAnsi="Times New Roman" w:cs="Times New Roman"/>
          <w:b/>
        </w:rPr>
        <w:t>Introduction</w:t>
      </w:r>
    </w:p>
    <w:p w:rsidR="00AC263F" w:rsidRDefault="00A82523" w:rsidP="000B5054">
      <w:pPr>
        <w:outlineLvl w:val="0"/>
        <w:rPr>
          <w:rFonts w:ascii="Times New Roman" w:hAnsi="Times New Roman" w:cs="Times New Roman"/>
          <w:szCs w:val="20"/>
        </w:rPr>
      </w:pPr>
      <w:r w:rsidRPr="002A08CC">
        <w:rPr>
          <w:rFonts w:ascii="Times New Roman" w:hAnsi="Times New Roman" w:cs="Times New Roman"/>
          <w:szCs w:val="20"/>
        </w:rPr>
        <w:t>G</w:t>
      </w:r>
      <w:r w:rsidR="000B5054" w:rsidRPr="002A08CC">
        <w:rPr>
          <w:rFonts w:ascii="Times New Roman" w:hAnsi="Times New Roman" w:cs="Times New Roman"/>
          <w:szCs w:val="20"/>
        </w:rPr>
        <w:t>lobal warming has been continuously increases the attention among scientists and the earth community. This popular problem was resulted from both human activity and natural variability [1]. The emission of greenhouse and toxic gases such as NOx and SO</w:t>
      </w:r>
      <w:r w:rsidR="000B5054" w:rsidRPr="002A08CC">
        <w:rPr>
          <w:rFonts w:ascii="Times New Roman" w:hAnsi="Times New Roman" w:cs="Times New Roman"/>
          <w:szCs w:val="20"/>
          <w:vertAlign w:val="subscript"/>
        </w:rPr>
        <w:t>2</w:t>
      </w:r>
      <w:r w:rsidR="000B5054" w:rsidRPr="002A08CC">
        <w:rPr>
          <w:rFonts w:ascii="Times New Roman" w:hAnsi="Times New Roman" w:cs="Times New Roman"/>
          <w:szCs w:val="20"/>
        </w:rPr>
        <w:t xml:space="preserve"> to the atmosphere is the main reason </w:t>
      </w:r>
      <w:r w:rsidRPr="002A08CC">
        <w:rPr>
          <w:rFonts w:ascii="Times New Roman" w:hAnsi="Times New Roman" w:cs="Times New Roman"/>
          <w:szCs w:val="20"/>
        </w:rPr>
        <w:t>of</w:t>
      </w:r>
      <w:r w:rsidR="000B5054" w:rsidRPr="002A08CC">
        <w:rPr>
          <w:rFonts w:ascii="Times New Roman" w:hAnsi="Times New Roman" w:cs="Times New Roman"/>
          <w:szCs w:val="20"/>
        </w:rPr>
        <w:t xml:space="preserve"> global warming other than environmental pollution due to the combustion of fossil fuel [2]. This all things happened because the source of energy nowadays is mainly from fossil fuels and scientist has found a way to change from petroleum to hydrogen as a n</w:t>
      </w:r>
      <w:r w:rsidR="00AC263F">
        <w:rPr>
          <w:rFonts w:ascii="Times New Roman" w:hAnsi="Times New Roman" w:cs="Times New Roman"/>
          <w:szCs w:val="20"/>
        </w:rPr>
        <w:t>ew technology of energy source.</w:t>
      </w:r>
    </w:p>
    <w:p w:rsidR="00AC263F" w:rsidRDefault="00AC263F" w:rsidP="000B5054">
      <w:pPr>
        <w:outlineLvl w:val="0"/>
        <w:rPr>
          <w:rFonts w:ascii="Times New Roman" w:hAnsi="Times New Roman" w:cs="Times New Roman"/>
          <w:szCs w:val="20"/>
        </w:rPr>
      </w:pPr>
    </w:p>
    <w:p w:rsidR="000B5054" w:rsidRPr="002A08CC" w:rsidRDefault="000B5054" w:rsidP="000B5054">
      <w:pPr>
        <w:outlineLvl w:val="0"/>
        <w:rPr>
          <w:rFonts w:ascii="Times New Roman" w:hAnsi="Times New Roman" w:cs="Times New Roman"/>
          <w:szCs w:val="20"/>
        </w:rPr>
      </w:pPr>
      <w:r w:rsidRPr="002A08CC">
        <w:rPr>
          <w:rFonts w:ascii="Times New Roman" w:hAnsi="Times New Roman" w:cs="Times New Roman"/>
          <w:szCs w:val="20"/>
        </w:rPr>
        <w:t>Hydrogen as a future energy carrier is very dependable due to its clean combustion pathways and high gravimetric energy density [3]. However, hydrogen has a very low volumetric energy density at atmospheric conditions</w:t>
      </w:r>
      <w:r w:rsidR="00A82523" w:rsidRPr="002A08CC">
        <w:rPr>
          <w:rFonts w:ascii="Times New Roman" w:hAnsi="Times New Roman" w:cs="Times New Roman"/>
          <w:szCs w:val="20"/>
        </w:rPr>
        <w:t xml:space="preserve"> [4]</w:t>
      </w:r>
      <w:r w:rsidRPr="002A08CC">
        <w:rPr>
          <w:rFonts w:ascii="Times New Roman" w:hAnsi="Times New Roman" w:cs="Times New Roman"/>
          <w:szCs w:val="20"/>
        </w:rPr>
        <w:t xml:space="preserve">. To obtain a balanced gravimetric and volumetric hydrogen storage density, pure hydrogen can be stored in compressed gases or liquid form. Formic acid has been recognized as a potential hydrogen storage material due to its high gravimetric energy density, nontoxicity, and can be safely handled in aqueous solution [4]. This organic compound which is </w:t>
      </w:r>
      <w:r w:rsidR="00A82523" w:rsidRPr="002A08CC">
        <w:rPr>
          <w:rFonts w:ascii="Times New Roman" w:hAnsi="Times New Roman" w:cs="Times New Roman"/>
          <w:szCs w:val="20"/>
        </w:rPr>
        <w:t xml:space="preserve">in </w:t>
      </w:r>
      <w:r w:rsidRPr="002A08CC">
        <w:rPr>
          <w:rFonts w:ascii="Times New Roman" w:hAnsi="Times New Roman" w:cs="Times New Roman"/>
          <w:szCs w:val="20"/>
        </w:rPr>
        <w:t xml:space="preserve">liquid </w:t>
      </w:r>
      <w:r w:rsidR="00A82523" w:rsidRPr="002A08CC">
        <w:rPr>
          <w:rFonts w:ascii="Times New Roman" w:hAnsi="Times New Roman" w:cs="Times New Roman"/>
          <w:szCs w:val="20"/>
        </w:rPr>
        <w:t xml:space="preserve">form </w:t>
      </w:r>
      <w:r w:rsidRPr="002A08CC">
        <w:rPr>
          <w:rFonts w:ascii="Times New Roman" w:hAnsi="Times New Roman" w:cs="Times New Roman"/>
          <w:szCs w:val="20"/>
        </w:rPr>
        <w:t xml:space="preserve">at room temperature has limited uses including as a preservative and antifungal agent and it’s also contribute in the production of leather and could act as a lime scale remover [5]. </w:t>
      </w:r>
      <w:proofErr w:type="spellStart"/>
      <w:r w:rsidRPr="002A08CC">
        <w:rPr>
          <w:rFonts w:ascii="Times New Roman" w:hAnsi="Times New Roman" w:cs="Times New Roman"/>
          <w:szCs w:val="20"/>
        </w:rPr>
        <w:t>Levulinic</w:t>
      </w:r>
      <w:proofErr w:type="spellEnd"/>
      <w:r w:rsidRPr="002A08CC">
        <w:rPr>
          <w:rFonts w:ascii="Times New Roman" w:hAnsi="Times New Roman" w:cs="Times New Roman"/>
          <w:szCs w:val="20"/>
        </w:rPr>
        <w:t xml:space="preserve"> acid production from cellulosic biomass [6,</w:t>
      </w:r>
      <w:r w:rsidR="00AC263F">
        <w:rPr>
          <w:rFonts w:ascii="Times New Roman" w:hAnsi="Times New Roman" w:cs="Times New Roman"/>
          <w:szCs w:val="20"/>
        </w:rPr>
        <w:t xml:space="preserve"> </w:t>
      </w:r>
      <w:r w:rsidRPr="002A08CC">
        <w:rPr>
          <w:rFonts w:ascii="Times New Roman" w:hAnsi="Times New Roman" w:cs="Times New Roman"/>
          <w:szCs w:val="20"/>
        </w:rPr>
        <w:t>7] and glucose [8,</w:t>
      </w:r>
      <w:r w:rsidR="00AC263F">
        <w:rPr>
          <w:rFonts w:ascii="Times New Roman" w:hAnsi="Times New Roman" w:cs="Times New Roman"/>
          <w:szCs w:val="20"/>
        </w:rPr>
        <w:t xml:space="preserve"> </w:t>
      </w:r>
      <w:r w:rsidRPr="002A08CC">
        <w:rPr>
          <w:rFonts w:ascii="Times New Roman" w:hAnsi="Times New Roman" w:cs="Times New Roman"/>
          <w:szCs w:val="20"/>
        </w:rPr>
        <w:t xml:space="preserve">9] will produce formic acid as a side product and due to the redundancy of formic acid, it makes sense that we utilize the acid to make something useful for the earth and mankind. </w:t>
      </w:r>
    </w:p>
    <w:p w:rsidR="000B5054" w:rsidRPr="002A08CC" w:rsidRDefault="000B5054" w:rsidP="000B5054">
      <w:pPr>
        <w:outlineLvl w:val="0"/>
        <w:rPr>
          <w:rFonts w:ascii="Times New Roman" w:hAnsi="Times New Roman" w:cs="Times New Roman"/>
          <w:szCs w:val="20"/>
        </w:rPr>
      </w:pPr>
      <w:r w:rsidRPr="002A08CC">
        <w:rPr>
          <w:rFonts w:ascii="Times New Roman" w:hAnsi="Times New Roman" w:cs="Times New Roman"/>
          <w:szCs w:val="20"/>
        </w:rPr>
        <w:lastRenderedPageBreak/>
        <w:t>To produce hydrogen, formic acid needs to react in the present of catalyst. Formic acid can undergo two path of reaction that is dehydration (1) and dehydrogenation (2).</w:t>
      </w:r>
    </w:p>
    <w:p w:rsidR="000B5054" w:rsidRPr="002A08CC" w:rsidRDefault="000B5054" w:rsidP="000B5054">
      <w:pPr>
        <w:outlineLvl w:val="0"/>
        <w:rPr>
          <w:rFonts w:ascii="Times New Roman" w:hAnsi="Times New Roman" w:cs="Times New Roman"/>
          <w:szCs w:val="20"/>
        </w:rPr>
      </w:pPr>
    </w:p>
    <w:p w:rsidR="000B5054" w:rsidRPr="002A08CC" w:rsidRDefault="001174A3" w:rsidP="00AC263F">
      <w:pPr>
        <w:ind w:firstLine="720"/>
        <w:outlineLvl w:val="0"/>
        <w:rPr>
          <w:rFonts w:ascii="Times New Roman" w:hAnsi="Times New Roman" w:cs="Times New Roman"/>
          <w:szCs w:val="20"/>
        </w:rPr>
      </w:pPr>
      <w:r>
        <w:rPr>
          <w:rFonts w:ascii="Times New Roman" w:hAnsi="Times New Roman" w:cs="Times New Roman"/>
          <w:noProof/>
          <w:szCs w:val="20"/>
          <w:lang w:val="en-MY" w:eastAsia="en-MY"/>
        </w:rPr>
        <w:pict>
          <v:shapetype id="_x0000_t32" coordsize="21600,21600" o:spt="32" o:oned="t" path="m,l21600,21600e" filled="f">
            <v:path arrowok="t" fillok="f" o:connecttype="none"/>
            <o:lock v:ext="edit" shapetype="t"/>
          </v:shapetype>
          <v:shape id="_x0000_s1027" type="#_x0000_t32" style="position:absolute;left:0;text-align:left;margin-left:75.65pt;margin-top:6pt;width:15.75pt;height:0;z-index:251661312" o:connectortype="straight">
            <v:stroke endarrow="block"/>
          </v:shape>
        </w:pict>
      </w:r>
      <w:r w:rsidR="000B5054" w:rsidRPr="002A08CC">
        <w:rPr>
          <w:rFonts w:ascii="Times New Roman" w:hAnsi="Times New Roman" w:cs="Times New Roman"/>
          <w:szCs w:val="20"/>
        </w:rPr>
        <w:t>HCOOH         H</w:t>
      </w:r>
      <w:r w:rsidR="000B5054" w:rsidRPr="002A08CC">
        <w:rPr>
          <w:rFonts w:ascii="Times New Roman" w:hAnsi="Times New Roman" w:cs="Times New Roman"/>
          <w:szCs w:val="20"/>
          <w:vertAlign w:val="subscript"/>
        </w:rPr>
        <w:t>2</w:t>
      </w:r>
      <w:r w:rsidR="000B5054" w:rsidRPr="002A08CC">
        <w:rPr>
          <w:rFonts w:ascii="Times New Roman" w:hAnsi="Times New Roman" w:cs="Times New Roman"/>
          <w:szCs w:val="20"/>
        </w:rPr>
        <w:t>O + CO   ∆G</w:t>
      </w:r>
      <w:r w:rsidR="000B5054" w:rsidRPr="002A08CC">
        <w:rPr>
          <w:rFonts w:ascii="Times New Roman" w:hAnsi="Times New Roman" w:cs="Times New Roman"/>
          <w:szCs w:val="20"/>
          <w:vertAlign w:val="subscript"/>
        </w:rPr>
        <w:t>298K</w:t>
      </w:r>
      <w:r w:rsidR="000B5054" w:rsidRPr="002A08CC">
        <w:rPr>
          <w:rFonts w:ascii="Times New Roman" w:hAnsi="Times New Roman" w:cs="Times New Roman"/>
          <w:szCs w:val="20"/>
        </w:rPr>
        <w:t xml:space="preserve"> = -14.9 kJ mol</w:t>
      </w:r>
      <w:r w:rsidR="000B5054" w:rsidRPr="002A08CC">
        <w:rPr>
          <w:rFonts w:ascii="Times New Roman" w:hAnsi="Times New Roman" w:cs="Times New Roman"/>
          <w:szCs w:val="20"/>
          <w:vertAlign w:val="superscript"/>
        </w:rPr>
        <w:t>-1</w:t>
      </w:r>
      <w:r w:rsidR="000B5054" w:rsidRPr="002A08CC">
        <w:rPr>
          <w:rFonts w:ascii="Times New Roman" w:hAnsi="Times New Roman" w:cs="Times New Roman"/>
          <w:szCs w:val="20"/>
        </w:rPr>
        <w:tab/>
        <w:t xml:space="preserve">   </w:t>
      </w:r>
      <w:r w:rsidR="000B5054" w:rsidRPr="002A08CC">
        <w:rPr>
          <w:rFonts w:ascii="Times New Roman" w:hAnsi="Times New Roman" w:cs="Times New Roman"/>
          <w:szCs w:val="20"/>
        </w:rPr>
        <w:tab/>
        <w:t xml:space="preserve"> </w:t>
      </w:r>
      <w:r w:rsidR="00AC263F">
        <w:rPr>
          <w:rFonts w:ascii="Times New Roman" w:hAnsi="Times New Roman" w:cs="Times New Roman"/>
          <w:szCs w:val="20"/>
        </w:rPr>
        <w:tab/>
      </w:r>
      <w:r w:rsidR="00AC263F">
        <w:rPr>
          <w:rFonts w:ascii="Times New Roman" w:hAnsi="Times New Roman" w:cs="Times New Roman"/>
          <w:szCs w:val="20"/>
        </w:rPr>
        <w:tab/>
      </w:r>
      <w:r w:rsidR="00AC263F">
        <w:rPr>
          <w:rFonts w:ascii="Times New Roman" w:hAnsi="Times New Roman" w:cs="Times New Roman"/>
          <w:szCs w:val="20"/>
        </w:rPr>
        <w:tab/>
      </w:r>
      <w:r w:rsidR="00AC263F">
        <w:rPr>
          <w:rFonts w:ascii="Times New Roman" w:hAnsi="Times New Roman" w:cs="Times New Roman"/>
          <w:szCs w:val="20"/>
        </w:rPr>
        <w:tab/>
        <w:t xml:space="preserve">   </w:t>
      </w:r>
      <w:r w:rsidR="000B5054" w:rsidRPr="002A08CC">
        <w:rPr>
          <w:rFonts w:ascii="Times New Roman" w:hAnsi="Times New Roman" w:cs="Times New Roman"/>
          <w:szCs w:val="20"/>
        </w:rPr>
        <w:t>(1)</w:t>
      </w:r>
    </w:p>
    <w:p w:rsidR="000B5054" w:rsidRPr="002A08CC" w:rsidRDefault="001174A3" w:rsidP="00AC263F">
      <w:pPr>
        <w:ind w:firstLine="720"/>
        <w:outlineLvl w:val="0"/>
        <w:rPr>
          <w:rFonts w:ascii="Times New Roman" w:hAnsi="Times New Roman" w:cs="Times New Roman"/>
          <w:szCs w:val="20"/>
        </w:rPr>
      </w:pPr>
      <w:r>
        <w:rPr>
          <w:rFonts w:ascii="Times New Roman" w:hAnsi="Times New Roman" w:cs="Times New Roman"/>
          <w:noProof/>
          <w:szCs w:val="20"/>
          <w:lang w:val="en-MY" w:eastAsia="en-MY"/>
        </w:rPr>
        <w:pict>
          <v:shape id="_x0000_s1028" type="#_x0000_t32" style="position:absolute;left:0;text-align:left;margin-left:76.3pt;margin-top:5pt;width:15.75pt;height:0;z-index:251662336" o:connectortype="straight">
            <v:stroke endarrow="block"/>
          </v:shape>
        </w:pict>
      </w:r>
      <w:r w:rsidR="000B5054" w:rsidRPr="002A08CC">
        <w:rPr>
          <w:rFonts w:ascii="Times New Roman" w:hAnsi="Times New Roman" w:cs="Times New Roman"/>
          <w:szCs w:val="20"/>
        </w:rPr>
        <w:t>HCOOH         H</w:t>
      </w:r>
      <w:r w:rsidR="000B5054" w:rsidRPr="002A08CC">
        <w:rPr>
          <w:rFonts w:ascii="Times New Roman" w:hAnsi="Times New Roman" w:cs="Times New Roman"/>
          <w:szCs w:val="20"/>
          <w:vertAlign w:val="subscript"/>
        </w:rPr>
        <w:t>2</w:t>
      </w:r>
      <w:r w:rsidR="000B5054" w:rsidRPr="002A08CC">
        <w:rPr>
          <w:rFonts w:ascii="Times New Roman" w:hAnsi="Times New Roman" w:cs="Times New Roman"/>
          <w:szCs w:val="20"/>
        </w:rPr>
        <w:t xml:space="preserve"> + CO</w:t>
      </w:r>
      <w:r w:rsidR="000B5054" w:rsidRPr="002A08CC">
        <w:rPr>
          <w:rFonts w:ascii="Times New Roman" w:hAnsi="Times New Roman" w:cs="Times New Roman"/>
          <w:szCs w:val="20"/>
          <w:vertAlign w:val="subscript"/>
        </w:rPr>
        <w:t>2</w:t>
      </w:r>
      <w:r w:rsidR="000B5054" w:rsidRPr="002A08CC">
        <w:rPr>
          <w:rFonts w:ascii="Times New Roman" w:hAnsi="Times New Roman" w:cs="Times New Roman"/>
          <w:szCs w:val="20"/>
        </w:rPr>
        <w:t xml:space="preserve">    </w:t>
      </w:r>
      <w:r w:rsidR="005777A8" w:rsidRPr="002A08CC">
        <w:rPr>
          <w:rFonts w:ascii="Times New Roman" w:hAnsi="Times New Roman" w:cs="Times New Roman"/>
          <w:szCs w:val="20"/>
        </w:rPr>
        <w:t xml:space="preserve"> </w:t>
      </w:r>
      <w:r w:rsidR="000B5054" w:rsidRPr="002A08CC">
        <w:rPr>
          <w:rFonts w:ascii="Times New Roman" w:hAnsi="Times New Roman" w:cs="Times New Roman"/>
          <w:szCs w:val="20"/>
        </w:rPr>
        <w:t>∆G</w:t>
      </w:r>
      <w:r w:rsidR="000B5054" w:rsidRPr="002A08CC">
        <w:rPr>
          <w:rFonts w:ascii="Times New Roman" w:hAnsi="Times New Roman" w:cs="Times New Roman"/>
          <w:szCs w:val="20"/>
          <w:vertAlign w:val="subscript"/>
        </w:rPr>
        <w:t>298K</w:t>
      </w:r>
      <w:r w:rsidR="000B5054" w:rsidRPr="002A08CC">
        <w:rPr>
          <w:rFonts w:ascii="Times New Roman" w:hAnsi="Times New Roman" w:cs="Times New Roman"/>
          <w:szCs w:val="20"/>
        </w:rPr>
        <w:t xml:space="preserve"> = -35.0 kJ mol</w:t>
      </w:r>
      <w:r w:rsidR="000B5054" w:rsidRPr="002A08CC">
        <w:rPr>
          <w:rFonts w:ascii="Times New Roman" w:hAnsi="Times New Roman" w:cs="Times New Roman"/>
          <w:szCs w:val="20"/>
          <w:vertAlign w:val="superscript"/>
        </w:rPr>
        <w:t>-1</w:t>
      </w:r>
      <w:r w:rsidR="000B5054" w:rsidRPr="002A08CC">
        <w:rPr>
          <w:rFonts w:ascii="Times New Roman" w:hAnsi="Times New Roman" w:cs="Times New Roman"/>
          <w:szCs w:val="20"/>
        </w:rPr>
        <w:tab/>
      </w:r>
      <w:r w:rsidR="000B5054" w:rsidRPr="002A08CC">
        <w:rPr>
          <w:rFonts w:ascii="Times New Roman" w:hAnsi="Times New Roman" w:cs="Times New Roman"/>
          <w:szCs w:val="20"/>
        </w:rPr>
        <w:tab/>
        <w:t xml:space="preserve"> </w:t>
      </w:r>
      <w:r w:rsidR="00AC263F">
        <w:rPr>
          <w:rFonts w:ascii="Times New Roman" w:hAnsi="Times New Roman" w:cs="Times New Roman"/>
          <w:szCs w:val="20"/>
        </w:rPr>
        <w:tab/>
      </w:r>
      <w:r w:rsidR="00AC263F">
        <w:rPr>
          <w:rFonts w:ascii="Times New Roman" w:hAnsi="Times New Roman" w:cs="Times New Roman"/>
          <w:szCs w:val="20"/>
        </w:rPr>
        <w:tab/>
      </w:r>
      <w:r w:rsidR="00AC263F">
        <w:rPr>
          <w:rFonts w:ascii="Times New Roman" w:hAnsi="Times New Roman" w:cs="Times New Roman"/>
          <w:szCs w:val="20"/>
        </w:rPr>
        <w:tab/>
      </w:r>
      <w:r w:rsidR="00AC263F">
        <w:rPr>
          <w:rFonts w:ascii="Times New Roman" w:hAnsi="Times New Roman" w:cs="Times New Roman"/>
          <w:szCs w:val="20"/>
        </w:rPr>
        <w:tab/>
        <w:t xml:space="preserve">   </w:t>
      </w:r>
      <w:r w:rsidR="000B5054" w:rsidRPr="002A08CC">
        <w:rPr>
          <w:rFonts w:ascii="Times New Roman" w:hAnsi="Times New Roman" w:cs="Times New Roman"/>
          <w:szCs w:val="20"/>
        </w:rPr>
        <w:t>(2)</w:t>
      </w:r>
    </w:p>
    <w:p w:rsidR="000B5054" w:rsidRPr="002A08CC" w:rsidRDefault="000B5054" w:rsidP="000B5054">
      <w:pPr>
        <w:outlineLvl w:val="0"/>
        <w:rPr>
          <w:rFonts w:ascii="Times New Roman" w:hAnsi="Times New Roman" w:cs="Times New Roman"/>
          <w:szCs w:val="20"/>
        </w:rPr>
      </w:pPr>
    </w:p>
    <w:p w:rsidR="00785CA6" w:rsidRDefault="000B5054" w:rsidP="00785CA6">
      <w:pPr>
        <w:outlineLvl w:val="0"/>
        <w:rPr>
          <w:rFonts w:ascii="Times New Roman" w:hAnsi="Times New Roman" w:cs="Times New Roman"/>
          <w:szCs w:val="20"/>
        </w:rPr>
      </w:pPr>
      <w:r w:rsidRPr="002A08CC">
        <w:rPr>
          <w:rFonts w:ascii="Times New Roman" w:hAnsi="Times New Roman" w:cs="Times New Roman"/>
          <w:szCs w:val="20"/>
        </w:rPr>
        <w:t>Carbon monoxide that liberated from reaction (1) is toxic to fuel cell catalysts which will reduce the catalytic performance [4,</w:t>
      </w:r>
      <w:r w:rsidR="00AC263F">
        <w:rPr>
          <w:rFonts w:ascii="Times New Roman" w:hAnsi="Times New Roman" w:cs="Times New Roman"/>
          <w:szCs w:val="20"/>
        </w:rPr>
        <w:t xml:space="preserve"> </w:t>
      </w:r>
      <w:r w:rsidRPr="002A08CC">
        <w:rPr>
          <w:rFonts w:ascii="Times New Roman" w:hAnsi="Times New Roman" w:cs="Times New Roman"/>
          <w:szCs w:val="20"/>
        </w:rPr>
        <w:t xml:space="preserve">10]. In order to avoid formic acid undergoing dehydration, the type of active catalyst used in the reaction at low temperature must be taken into </w:t>
      </w:r>
      <w:r w:rsidR="00AC263F">
        <w:rPr>
          <w:rFonts w:ascii="Times New Roman" w:hAnsi="Times New Roman" w:cs="Times New Roman"/>
          <w:szCs w:val="20"/>
        </w:rPr>
        <w:t xml:space="preserve">account. Flaherty et al. </w:t>
      </w:r>
      <w:r w:rsidRPr="002A08CC">
        <w:rPr>
          <w:rFonts w:ascii="Times New Roman" w:hAnsi="Times New Roman" w:cs="Times New Roman"/>
          <w:szCs w:val="20"/>
        </w:rPr>
        <w:t xml:space="preserve">[11] in their studies on decomposition of formic acid on the molybdenum (Mo) and molybdenum carbide (C-Mo) surfaces </w:t>
      </w:r>
      <w:r w:rsidR="00A82523" w:rsidRPr="002A08CC">
        <w:rPr>
          <w:rFonts w:ascii="Times New Roman" w:hAnsi="Times New Roman" w:cs="Times New Roman"/>
          <w:szCs w:val="20"/>
        </w:rPr>
        <w:t>show</w:t>
      </w:r>
      <w:r w:rsidRPr="002A08CC">
        <w:rPr>
          <w:rFonts w:ascii="Times New Roman" w:hAnsi="Times New Roman" w:cs="Times New Roman"/>
          <w:szCs w:val="20"/>
        </w:rPr>
        <w:t xml:space="preserve"> that at 350</w:t>
      </w:r>
      <w:r w:rsidR="00AC263F">
        <w:rPr>
          <w:rFonts w:ascii="Times New Roman" w:hAnsi="Times New Roman" w:cs="Times New Roman"/>
          <w:szCs w:val="20"/>
        </w:rPr>
        <w:t xml:space="preserve"> – </w:t>
      </w:r>
      <w:r w:rsidRPr="002A08CC">
        <w:rPr>
          <w:rFonts w:ascii="Times New Roman" w:hAnsi="Times New Roman" w:cs="Times New Roman"/>
          <w:szCs w:val="20"/>
        </w:rPr>
        <w:t>450 K, dehydration is the dominant pathway on clean Mo (110) with ~5% or less formic acid undergoing dehydrogenation, while C-Mo (110) selectively promotes 70</w:t>
      </w:r>
      <w:r w:rsidR="00AC263F">
        <w:rPr>
          <w:rFonts w:ascii="Times New Roman" w:hAnsi="Times New Roman" w:cs="Times New Roman"/>
          <w:szCs w:val="20"/>
        </w:rPr>
        <w:t xml:space="preserve"> – </w:t>
      </w:r>
      <w:r w:rsidRPr="002A08CC">
        <w:rPr>
          <w:rFonts w:ascii="Times New Roman" w:hAnsi="Times New Roman" w:cs="Times New Roman"/>
          <w:szCs w:val="20"/>
        </w:rPr>
        <w:t>75% of hydrogen. Hence, the type of catalyst use is very important and here, we report the characteristic of nanoalloy catalyst at different ratio of Fe and Ni composition.</w:t>
      </w:r>
    </w:p>
    <w:p w:rsidR="00AC263F" w:rsidRPr="002A08CC" w:rsidRDefault="00AC263F" w:rsidP="00785CA6">
      <w:pPr>
        <w:outlineLvl w:val="0"/>
        <w:rPr>
          <w:rFonts w:ascii="Times New Roman" w:hAnsi="Times New Roman" w:cs="Times New Roman"/>
          <w:szCs w:val="20"/>
        </w:rPr>
      </w:pPr>
    </w:p>
    <w:p w:rsidR="00026B99" w:rsidRPr="002A08CC" w:rsidRDefault="00DE73D6" w:rsidP="00B32DC8">
      <w:pPr>
        <w:jc w:val="center"/>
        <w:outlineLvl w:val="0"/>
        <w:rPr>
          <w:rFonts w:ascii="Times New Roman" w:hAnsi="Times New Roman" w:cs="Times New Roman"/>
          <w:b/>
          <w:szCs w:val="20"/>
        </w:rPr>
      </w:pPr>
      <w:r w:rsidRPr="002A08CC">
        <w:rPr>
          <w:rFonts w:ascii="Times New Roman" w:hAnsi="Times New Roman" w:cs="Times New Roman"/>
          <w:b/>
          <w:szCs w:val="20"/>
        </w:rPr>
        <w:t>Materials and Methods</w:t>
      </w:r>
    </w:p>
    <w:p w:rsidR="00586D01" w:rsidRPr="002A08CC" w:rsidRDefault="00586D01" w:rsidP="00026B99">
      <w:pPr>
        <w:outlineLvl w:val="0"/>
        <w:rPr>
          <w:rFonts w:ascii="Times New Roman" w:hAnsi="Times New Roman" w:cs="Times New Roman"/>
          <w:b/>
          <w:szCs w:val="20"/>
        </w:rPr>
      </w:pPr>
      <w:r w:rsidRPr="002A08CC">
        <w:rPr>
          <w:rFonts w:ascii="Times New Roman" w:hAnsi="Times New Roman" w:cs="Times New Roman"/>
          <w:b/>
          <w:szCs w:val="20"/>
        </w:rPr>
        <w:t xml:space="preserve">Synthesis </w:t>
      </w:r>
      <w:r w:rsidR="00F210E8" w:rsidRPr="002A08CC">
        <w:rPr>
          <w:rFonts w:ascii="Times New Roman" w:hAnsi="Times New Roman" w:cs="Times New Roman"/>
          <w:b/>
          <w:szCs w:val="20"/>
        </w:rPr>
        <w:t xml:space="preserve">of bimetallic </w:t>
      </w:r>
      <w:proofErr w:type="spellStart"/>
      <w:r w:rsidR="00F210E8" w:rsidRPr="002A08CC">
        <w:rPr>
          <w:rFonts w:ascii="Times New Roman" w:hAnsi="Times New Roman" w:cs="Times New Roman"/>
          <w:b/>
          <w:szCs w:val="20"/>
        </w:rPr>
        <w:t>nanoalloy</w:t>
      </w:r>
      <w:proofErr w:type="spellEnd"/>
      <w:r w:rsidR="00F210E8" w:rsidRPr="002A08CC">
        <w:rPr>
          <w:rFonts w:ascii="Times New Roman" w:hAnsi="Times New Roman" w:cs="Times New Roman"/>
          <w:b/>
          <w:szCs w:val="20"/>
        </w:rPr>
        <w:t xml:space="preserve"> catalysts</w:t>
      </w:r>
    </w:p>
    <w:p w:rsidR="00586D01" w:rsidRPr="002A08CC" w:rsidRDefault="00586D01" w:rsidP="00026B99">
      <w:pPr>
        <w:outlineLvl w:val="0"/>
        <w:rPr>
          <w:rFonts w:ascii="Times New Roman" w:hAnsi="Times New Roman" w:cs="Times New Roman"/>
          <w:szCs w:val="20"/>
        </w:rPr>
      </w:pPr>
      <w:r w:rsidRPr="002A08CC">
        <w:rPr>
          <w:rFonts w:ascii="Times New Roman" w:hAnsi="Times New Roman" w:cs="Times New Roman"/>
          <w:szCs w:val="20"/>
        </w:rPr>
        <w:t>All chemicals were of analytical grades and were used without further purification. Fe-Ni bimetallic catalysts were prepared by microwave combustion method with the weight percentage (wt%) of Fe to Ni as 99:1, 97:3 and 95:5. In order to prepare NiFe</w:t>
      </w:r>
      <w:r w:rsidRPr="002A08CC">
        <w:rPr>
          <w:rFonts w:ascii="Times New Roman" w:hAnsi="Times New Roman" w:cs="Times New Roman"/>
          <w:szCs w:val="20"/>
          <w:vertAlign w:val="subscript"/>
        </w:rPr>
        <w:t>2</w:t>
      </w:r>
      <w:r w:rsidRPr="002A08CC">
        <w:rPr>
          <w:rFonts w:ascii="Times New Roman" w:hAnsi="Times New Roman" w:cs="Times New Roman"/>
          <w:szCs w:val="20"/>
        </w:rPr>
        <w:t>O</w:t>
      </w:r>
      <w:r w:rsidRPr="002A08CC">
        <w:rPr>
          <w:rFonts w:ascii="Times New Roman" w:hAnsi="Times New Roman" w:cs="Times New Roman"/>
          <w:szCs w:val="20"/>
          <w:vertAlign w:val="subscript"/>
        </w:rPr>
        <w:t>4</w:t>
      </w:r>
      <w:r w:rsidRPr="002A08CC">
        <w:rPr>
          <w:rFonts w:ascii="Times New Roman" w:hAnsi="Times New Roman" w:cs="Times New Roman"/>
          <w:szCs w:val="20"/>
        </w:rPr>
        <w:t>, Fe(NO</w:t>
      </w:r>
      <w:r w:rsidRPr="002A08CC">
        <w:rPr>
          <w:rFonts w:ascii="Times New Roman" w:hAnsi="Times New Roman" w:cs="Times New Roman"/>
          <w:szCs w:val="20"/>
          <w:vertAlign w:val="subscript"/>
        </w:rPr>
        <w:t>3</w:t>
      </w:r>
      <w:r w:rsidRPr="002A08CC">
        <w:rPr>
          <w:rFonts w:ascii="Times New Roman" w:hAnsi="Times New Roman" w:cs="Times New Roman"/>
          <w:szCs w:val="20"/>
        </w:rPr>
        <w:t>)</w:t>
      </w:r>
      <w:r w:rsidRPr="002A08CC">
        <w:rPr>
          <w:rFonts w:ascii="Times New Roman" w:hAnsi="Times New Roman" w:cs="Times New Roman"/>
          <w:szCs w:val="20"/>
          <w:vertAlign w:val="subscript"/>
        </w:rPr>
        <w:t>2</w:t>
      </w:r>
      <w:r w:rsidRPr="002A08CC">
        <w:rPr>
          <w:rFonts w:ascii="Times New Roman" w:hAnsi="Times New Roman" w:cs="Times New Roman"/>
          <w:szCs w:val="20"/>
        </w:rPr>
        <w:t>.9H</w:t>
      </w:r>
      <w:r w:rsidRPr="002A08CC">
        <w:rPr>
          <w:rFonts w:ascii="Times New Roman" w:hAnsi="Times New Roman" w:cs="Times New Roman"/>
          <w:szCs w:val="20"/>
          <w:vertAlign w:val="subscript"/>
        </w:rPr>
        <w:t>2</w:t>
      </w:r>
      <w:r w:rsidRPr="002A08CC">
        <w:rPr>
          <w:rFonts w:ascii="Times New Roman" w:hAnsi="Times New Roman" w:cs="Times New Roman"/>
          <w:szCs w:val="20"/>
        </w:rPr>
        <w:t>O and Ni(NO</w:t>
      </w:r>
      <w:r w:rsidRPr="002A08CC">
        <w:rPr>
          <w:rFonts w:ascii="Times New Roman" w:hAnsi="Times New Roman" w:cs="Times New Roman"/>
          <w:szCs w:val="20"/>
          <w:vertAlign w:val="subscript"/>
        </w:rPr>
        <w:t>3</w:t>
      </w:r>
      <w:r w:rsidRPr="002A08CC">
        <w:rPr>
          <w:rFonts w:ascii="Times New Roman" w:hAnsi="Times New Roman" w:cs="Times New Roman"/>
          <w:szCs w:val="20"/>
        </w:rPr>
        <w:t>)</w:t>
      </w:r>
      <w:r w:rsidRPr="002A08CC">
        <w:rPr>
          <w:rFonts w:ascii="Times New Roman" w:hAnsi="Times New Roman" w:cs="Times New Roman"/>
          <w:szCs w:val="20"/>
          <w:vertAlign w:val="subscript"/>
        </w:rPr>
        <w:t>2</w:t>
      </w:r>
      <w:r w:rsidRPr="002A08CC">
        <w:rPr>
          <w:rFonts w:ascii="Times New Roman" w:hAnsi="Times New Roman" w:cs="Times New Roman"/>
          <w:szCs w:val="20"/>
        </w:rPr>
        <w:t>.6H</w:t>
      </w:r>
      <w:r w:rsidRPr="002A08CC">
        <w:rPr>
          <w:rFonts w:ascii="Times New Roman" w:hAnsi="Times New Roman" w:cs="Times New Roman"/>
          <w:szCs w:val="20"/>
          <w:vertAlign w:val="subscript"/>
        </w:rPr>
        <w:t>2</w:t>
      </w:r>
      <w:r w:rsidRPr="002A08CC">
        <w:rPr>
          <w:rFonts w:ascii="Times New Roman" w:hAnsi="Times New Roman" w:cs="Times New Roman"/>
          <w:szCs w:val="20"/>
        </w:rPr>
        <w:t>O with ratio stated before were mixed in a crucible porcelain in the presence of glycine as fuel. The mixture was then put into a microwave with a power of 240 W for 3 min</w:t>
      </w:r>
      <w:r w:rsidR="00F210E8">
        <w:rPr>
          <w:rFonts w:ascii="Times New Roman" w:hAnsi="Times New Roman" w:cs="Times New Roman"/>
          <w:szCs w:val="20"/>
        </w:rPr>
        <w:t>utes</w:t>
      </w:r>
      <w:r w:rsidRPr="002A08CC">
        <w:rPr>
          <w:rFonts w:ascii="Times New Roman" w:hAnsi="Times New Roman" w:cs="Times New Roman"/>
          <w:szCs w:val="20"/>
        </w:rPr>
        <w:t>. The voluminous sponge-like product was produced and washed with distilled water and ethanol. The washed product was dried at 115 ºC in an oven for 24 hours. The product was then reduced in hydrogen gas at 500 ºC for 1 hour to get Fe-Ni bimetallic. The compositions of final obtained catalysts are (100-x)</w:t>
      </w:r>
      <w:proofErr w:type="spellStart"/>
      <w:r w:rsidRPr="002A08CC">
        <w:rPr>
          <w:rFonts w:ascii="Times New Roman" w:hAnsi="Times New Roman" w:cs="Times New Roman"/>
          <w:szCs w:val="20"/>
        </w:rPr>
        <w:t>Fe:xNi</w:t>
      </w:r>
      <w:proofErr w:type="spellEnd"/>
      <w:r w:rsidRPr="002A08CC">
        <w:rPr>
          <w:rFonts w:ascii="Times New Roman" w:hAnsi="Times New Roman" w:cs="Times New Roman"/>
          <w:szCs w:val="20"/>
        </w:rPr>
        <w:t xml:space="preserve"> (x = 0, 1, 3 and 5) in weight percentage ratio, which labelled as F100, FN991, FN973 and FN955, respectively.</w:t>
      </w:r>
    </w:p>
    <w:p w:rsidR="00586D01" w:rsidRPr="002A08CC" w:rsidRDefault="00586D01" w:rsidP="00026B99">
      <w:pPr>
        <w:outlineLvl w:val="0"/>
        <w:rPr>
          <w:rFonts w:ascii="Times New Roman" w:hAnsi="Times New Roman" w:cs="Times New Roman"/>
          <w:szCs w:val="20"/>
        </w:rPr>
      </w:pPr>
    </w:p>
    <w:p w:rsidR="00586D01" w:rsidRPr="002A08CC" w:rsidRDefault="00F210E8" w:rsidP="00026B99">
      <w:pPr>
        <w:outlineLvl w:val="0"/>
        <w:rPr>
          <w:rFonts w:ascii="Times New Roman" w:eastAsia="Times New Roman" w:hAnsi="Times New Roman" w:cs="Times"/>
          <w:b/>
          <w:kern w:val="0"/>
          <w:szCs w:val="20"/>
          <w:lang w:val="en-MY" w:eastAsia="en-US"/>
        </w:rPr>
      </w:pPr>
      <w:r>
        <w:rPr>
          <w:rFonts w:ascii="Times New Roman" w:eastAsia="Times New Roman" w:hAnsi="Times New Roman" w:cs="Times"/>
          <w:b/>
          <w:kern w:val="0"/>
          <w:szCs w:val="20"/>
          <w:lang w:val="en-MY" w:eastAsia="en-US"/>
        </w:rPr>
        <w:t>Characterization of c</w:t>
      </w:r>
      <w:r w:rsidR="00586D01" w:rsidRPr="002A08CC">
        <w:rPr>
          <w:rFonts w:ascii="Times New Roman" w:eastAsia="Times New Roman" w:hAnsi="Times New Roman" w:cs="Times"/>
          <w:b/>
          <w:kern w:val="0"/>
          <w:szCs w:val="20"/>
          <w:lang w:val="en-MY" w:eastAsia="en-US"/>
        </w:rPr>
        <w:t>atalyst</w:t>
      </w:r>
    </w:p>
    <w:p w:rsidR="00026B99" w:rsidRPr="002A08CC" w:rsidRDefault="00586D01" w:rsidP="00026B99">
      <w:pPr>
        <w:outlineLvl w:val="0"/>
        <w:rPr>
          <w:rFonts w:ascii="Times New Roman" w:eastAsia="Times New Roman" w:hAnsi="Times New Roman" w:cs="Times"/>
          <w:kern w:val="0"/>
          <w:szCs w:val="20"/>
          <w:lang w:val="en-MY" w:eastAsia="en-US"/>
        </w:rPr>
      </w:pPr>
      <w:proofErr w:type="spellStart"/>
      <w:r w:rsidRPr="002A08CC">
        <w:rPr>
          <w:rFonts w:ascii="Times New Roman" w:eastAsia="Times New Roman" w:hAnsi="Times New Roman" w:cs="Times"/>
          <w:kern w:val="0"/>
          <w:szCs w:val="20"/>
          <w:lang w:val="en-MY" w:eastAsia="en-US"/>
        </w:rPr>
        <w:t>Brunauer</w:t>
      </w:r>
      <w:proofErr w:type="spellEnd"/>
      <w:r w:rsidRPr="002A08CC">
        <w:rPr>
          <w:rFonts w:ascii="Times New Roman" w:eastAsia="Times New Roman" w:hAnsi="Times New Roman" w:cs="Times"/>
          <w:kern w:val="0"/>
          <w:szCs w:val="20"/>
          <w:lang w:val="en-MY" w:eastAsia="en-US"/>
        </w:rPr>
        <w:t>-Emmett-Teller (BET) surface area of every catalyst were analysed by N</w:t>
      </w:r>
      <w:r w:rsidRPr="002A08CC">
        <w:rPr>
          <w:rFonts w:ascii="Times New Roman" w:eastAsia="Times New Roman" w:hAnsi="Times New Roman" w:cs="Times"/>
          <w:kern w:val="0"/>
          <w:szCs w:val="20"/>
          <w:vertAlign w:val="subscript"/>
          <w:lang w:val="en-MY" w:eastAsia="en-US"/>
        </w:rPr>
        <w:t>2</w:t>
      </w:r>
      <w:r w:rsidRPr="002A08CC">
        <w:rPr>
          <w:rFonts w:ascii="Times New Roman" w:eastAsia="Times New Roman" w:hAnsi="Times New Roman" w:cs="Times"/>
          <w:kern w:val="0"/>
          <w:szCs w:val="20"/>
          <w:lang w:val="en-MY" w:eastAsia="en-US"/>
        </w:rPr>
        <w:t xml:space="preserve"> adsorption and desorption isotherms. In this research, the BET instrument used was Micromeritics ASAP 2020. Samples were degassed at 3</w:t>
      </w:r>
      <w:r w:rsidR="00E574DB" w:rsidRPr="002A08CC">
        <w:rPr>
          <w:rFonts w:ascii="Times New Roman" w:eastAsia="Times New Roman" w:hAnsi="Times New Roman" w:cs="Times"/>
          <w:kern w:val="0"/>
          <w:szCs w:val="20"/>
          <w:lang w:val="en-MY" w:eastAsia="en-US"/>
        </w:rPr>
        <w:t>5</w:t>
      </w:r>
      <w:r w:rsidRPr="002A08CC">
        <w:rPr>
          <w:rFonts w:ascii="Times New Roman" w:eastAsia="Times New Roman" w:hAnsi="Times New Roman" w:cs="Times"/>
          <w:kern w:val="0"/>
          <w:szCs w:val="20"/>
          <w:lang w:val="en-MY" w:eastAsia="en-US"/>
        </w:rPr>
        <w:t>0 ºC for 4 hours prior to the analysis and N</w:t>
      </w:r>
      <w:r w:rsidRPr="002A08CC">
        <w:rPr>
          <w:rFonts w:ascii="Times New Roman" w:eastAsia="Times New Roman" w:hAnsi="Times New Roman" w:cs="Times"/>
          <w:kern w:val="0"/>
          <w:szCs w:val="20"/>
          <w:vertAlign w:val="subscript"/>
          <w:lang w:val="en-MY" w:eastAsia="en-US"/>
        </w:rPr>
        <w:t>2</w:t>
      </w:r>
      <w:r w:rsidRPr="002A08CC">
        <w:rPr>
          <w:rFonts w:ascii="Times New Roman" w:eastAsia="Times New Roman" w:hAnsi="Times New Roman" w:cs="Times"/>
          <w:kern w:val="0"/>
          <w:szCs w:val="20"/>
          <w:lang w:val="en-MY" w:eastAsia="en-US"/>
        </w:rPr>
        <w:t xml:space="preserve"> adsorption was carried out at -196 ºC. X-ray diffraction (XRD) diffractogram of the produced catalysts were recorded on a Bruker AXS D8 Advance using a Cu Kα radiation source (40 kV, 40 mA). Scans were taken over the 2θ range from 10º to 80º and wavelength, λ = 0.154 nm. 1 gram of sample was put on sample holder. The data obtain from the analysis was compared with standard peak data reported by Joint Committee on Powder Diffraction Standard (JCPDS) to get the structure and identity of the sample. The surface morphology of the catalyst was observed by variable pressure scanning electron microscopy (VPSEM).</w:t>
      </w:r>
    </w:p>
    <w:p w:rsidR="00586D01" w:rsidRPr="002A08CC" w:rsidRDefault="00586D01" w:rsidP="00026B99">
      <w:pPr>
        <w:outlineLvl w:val="0"/>
        <w:rPr>
          <w:rFonts w:ascii="Times New Roman" w:eastAsia="Times New Roman" w:hAnsi="Times New Roman" w:cs="Times"/>
          <w:kern w:val="0"/>
          <w:szCs w:val="20"/>
          <w:lang w:val="en-MY" w:eastAsia="en-US"/>
        </w:rPr>
      </w:pPr>
    </w:p>
    <w:p w:rsidR="00586D01" w:rsidRPr="002A08CC" w:rsidRDefault="00586D01" w:rsidP="00026B99">
      <w:pPr>
        <w:outlineLvl w:val="0"/>
        <w:rPr>
          <w:rFonts w:ascii="Times New Roman" w:eastAsia="Times New Roman" w:hAnsi="Times New Roman" w:cs="Times"/>
          <w:b/>
          <w:kern w:val="0"/>
          <w:szCs w:val="20"/>
          <w:lang w:eastAsia="en-US"/>
        </w:rPr>
      </w:pPr>
      <w:r w:rsidRPr="002A08CC">
        <w:rPr>
          <w:rFonts w:ascii="Times New Roman" w:eastAsia="Times New Roman" w:hAnsi="Times New Roman" w:cs="Times"/>
          <w:b/>
          <w:kern w:val="0"/>
          <w:szCs w:val="20"/>
          <w:lang w:eastAsia="en-US"/>
        </w:rPr>
        <w:t xml:space="preserve">Decomposition </w:t>
      </w:r>
      <w:r w:rsidR="00F210E8" w:rsidRPr="002A08CC">
        <w:rPr>
          <w:rFonts w:ascii="Times New Roman" w:eastAsia="Times New Roman" w:hAnsi="Times New Roman" w:cs="Times"/>
          <w:b/>
          <w:kern w:val="0"/>
          <w:szCs w:val="20"/>
          <w:lang w:eastAsia="en-US"/>
        </w:rPr>
        <w:t>of formic acid and product analysis</w:t>
      </w:r>
    </w:p>
    <w:p w:rsidR="00586D01" w:rsidRPr="002A08CC" w:rsidRDefault="00586D01" w:rsidP="00026B99">
      <w:pPr>
        <w:outlineLvl w:val="0"/>
        <w:rPr>
          <w:rFonts w:ascii="Times New Roman" w:hAnsi="Times New Roman" w:cs="Times New Roman"/>
          <w:b/>
          <w:color w:val="548DD4" w:themeColor="text2" w:themeTint="99"/>
          <w:sz w:val="24"/>
          <w:szCs w:val="20"/>
        </w:rPr>
      </w:pPr>
      <w:r w:rsidRPr="002A08CC">
        <w:rPr>
          <w:rFonts w:ascii="Times New Roman" w:eastAsia="Times New Roman" w:hAnsi="Times New Roman" w:cs="Times"/>
          <w:kern w:val="0"/>
          <w:szCs w:val="20"/>
          <w:lang w:eastAsia="en-US"/>
        </w:rPr>
        <w:t>Catalytic decomposition of formic acid by the produced catalyst was performed at room temperature (25 ºC) in a closed reactor containing formic acid with 50% concentration. The produced gases were analyzed using gas chromatography equipped with thermal conductivity detector (GC-TCD). The gases were collected from a gas bag connected to the reactor every 30 minutes and the volume released were recorded until 120 minutes.</w:t>
      </w:r>
    </w:p>
    <w:p w:rsidR="00026B99" w:rsidRPr="002A08CC" w:rsidRDefault="00026B99" w:rsidP="00026B99">
      <w:pPr>
        <w:rPr>
          <w:lang w:eastAsia="en-US"/>
        </w:rPr>
      </w:pPr>
    </w:p>
    <w:p w:rsidR="00E574DB" w:rsidRPr="002A08CC" w:rsidRDefault="00785CA6" w:rsidP="00E574DB">
      <w:pPr>
        <w:jc w:val="center"/>
        <w:outlineLvl w:val="0"/>
        <w:rPr>
          <w:rFonts w:ascii="Times New Roman" w:hAnsi="Times New Roman" w:cs="Times New Roman"/>
          <w:b/>
          <w:szCs w:val="20"/>
        </w:rPr>
      </w:pPr>
      <w:r w:rsidRPr="002A08CC">
        <w:rPr>
          <w:rFonts w:ascii="Times New Roman" w:hAnsi="Times New Roman" w:cs="Times New Roman"/>
          <w:b/>
          <w:szCs w:val="20"/>
        </w:rPr>
        <w:t>Result</w:t>
      </w:r>
      <w:r w:rsidR="00F210E8">
        <w:rPr>
          <w:rFonts w:ascii="Times New Roman" w:hAnsi="Times New Roman" w:cs="Times New Roman"/>
          <w:b/>
          <w:szCs w:val="20"/>
        </w:rPr>
        <w:t>s</w:t>
      </w:r>
      <w:r w:rsidRPr="002A08CC">
        <w:rPr>
          <w:rFonts w:ascii="Times New Roman" w:hAnsi="Times New Roman" w:cs="Times New Roman"/>
          <w:b/>
          <w:szCs w:val="20"/>
        </w:rPr>
        <w:t xml:space="preserve"> and Discussion</w:t>
      </w:r>
    </w:p>
    <w:p w:rsidR="00785CA6" w:rsidRPr="002A08CC" w:rsidRDefault="00C77B0B" w:rsidP="00F210E8">
      <w:pPr>
        <w:outlineLvl w:val="0"/>
        <w:rPr>
          <w:rFonts w:ascii="Times New Roman" w:hAnsi="Times New Roman" w:cs="Times New Roman"/>
          <w:szCs w:val="20"/>
        </w:rPr>
      </w:pPr>
      <w:r w:rsidRPr="002A08CC">
        <w:rPr>
          <w:rFonts w:ascii="Times New Roman" w:hAnsi="Times New Roman" w:cs="Times New Roman"/>
          <w:szCs w:val="20"/>
        </w:rPr>
        <w:t>Table</w:t>
      </w:r>
      <w:r w:rsidR="00BA662B" w:rsidRPr="002A08CC">
        <w:rPr>
          <w:rFonts w:ascii="Times New Roman" w:hAnsi="Times New Roman" w:cs="Times New Roman"/>
          <w:szCs w:val="20"/>
        </w:rPr>
        <w:t xml:space="preserve"> 1 shows the BET surface area of the synthesized catalyst. The BET surface area of the catalysts ranging </w:t>
      </w:r>
      <w:r w:rsidR="00A82523" w:rsidRPr="002A08CC">
        <w:rPr>
          <w:rFonts w:ascii="Times New Roman" w:hAnsi="Times New Roman" w:cs="Times New Roman"/>
          <w:szCs w:val="20"/>
        </w:rPr>
        <w:t xml:space="preserve">from 5.64 to </w:t>
      </w:r>
      <w:r w:rsidR="00BA662B" w:rsidRPr="002A08CC">
        <w:rPr>
          <w:rFonts w:ascii="Times New Roman" w:hAnsi="Times New Roman" w:cs="Times New Roman"/>
          <w:szCs w:val="20"/>
        </w:rPr>
        <w:t>9.02 m</w:t>
      </w:r>
      <w:r w:rsidR="00BA662B" w:rsidRPr="00F210E8">
        <w:rPr>
          <w:rFonts w:ascii="Times New Roman" w:hAnsi="Times New Roman" w:cs="Times New Roman"/>
          <w:szCs w:val="20"/>
          <w:vertAlign w:val="superscript"/>
        </w:rPr>
        <w:t>2</w:t>
      </w:r>
      <w:r w:rsidR="00BA662B" w:rsidRPr="002A08CC">
        <w:rPr>
          <w:rFonts w:ascii="Times New Roman" w:hAnsi="Times New Roman" w:cs="Times New Roman"/>
          <w:szCs w:val="20"/>
        </w:rPr>
        <w:t>/g. The low surface area is due to the high temperature of the reaction in the microwave [12]. The surface area of the catalysts are gradually decreases as the percentage of Ni in the catalyst increase. The N</w:t>
      </w:r>
      <w:r w:rsidR="00BA662B" w:rsidRPr="002A08CC">
        <w:rPr>
          <w:rFonts w:ascii="Times New Roman" w:hAnsi="Times New Roman" w:cs="Times New Roman"/>
          <w:szCs w:val="20"/>
          <w:vertAlign w:val="subscript"/>
        </w:rPr>
        <w:t>2</w:t>
      </w:r>
      <w:r w:rsidR="00BA662B" w:rsidRPr="002A08CC">
        <w:rPr>
          <w:rFonts w:ascii="Times New Roman" w:hAnsi="Times New Roman" w:cs="Times New Roman"/>
          <w:szCs w:val="20"/>
        </w:rPr>
        <w:t xml:space="preserve"> adsorption-desorption isotherms of the catalysts are shown in </w:t>
      </w:r>
      <w:r w:rsidRPr="002A08CC">
        <w:rPr>
          <w:rFonts w:ascii="Times New Roman" w:hAnsi="Times New Roman" w:cs="Times New Roman"/>
          <w:szCs w:val="20"/>
        </w:rPr>
        <w:t>Figure</w:t>
      </w:r>
      <w:r w:rsidR="00F210E8">
        <w:rPr>
          <w:rFonts w:ascii="Times New Roman" w:hAnsi="Times New Roman" w:cs="Times New Roman"/>
          <w:szCs w:val="20"/>
        </w:rPr>
        <w:t xml:space="preserve"> 1. </w:t>
      </w:r>
      <w:r w:rsidR="00BA662B" w:rsidRPr="002A08CC">
        <w:rPr>
          <w:rFonts w:ascii="Times New Roman" w:hAnsi="Times New Roman" w:cs="Times New Roman"/>
          <w:szCs w:val="20"/>
        </w:rPr>
        <w:t xml:space="preserve">For all of them, a type IV isotherm is observed, indicate the presence of mesoporous solids [13]. A similar result has also been reported by </w:t>
      </w:r>
      <w:proofErr w:type="spellStart"/>
      <w:r w:rsidR="00BA662B" w:rsidRPr="002A08CC">
        <w:rPr>
          <w:rFonts w:ascii="Times New Roman" w:hAnsi="Times New Roman" w:cs="Times New Roman"/>
          <w:szCs w:val="20"/>
        </w:rPr>
        <w:t>Feyzi</w:t>
      </w:r>
      <w:proofErr w:type="spellEnd"/>
      <w:r w:rsidR="00BA662B" w:rsidRPr="002A08CC">
        <w:rPr>
          <w:rFonts w:ascii="Times New Roman" w:hAnsi="Times New Roman" w:cs="Times New Roman"/>
          <w:szCs w:val="20"/>
        </w:rPr>
        <w:t xml:space="preserve"> et al. (2010) [14] in the study of iron nickel oxide Fischer-</w:t>
      </w:r>
      <w:proofErr w:type="spellStart"/>
      <w:r w:rsidR="00BA662B" w:rsidRPr="002A08CC">
        <w:rPr>
          <w:rFonts w:ascii="Times New Roman" w:hAnsi="Times New Roman" w:cs="Times New Roman"/>
          <w:szCs w:val="20"/>
        </w:rPr>
        <w:t>Tropsch</w:t>
      </w:r>
      <w:proofErr w:type="spellEnd"/>
      <w:r w:rsidR="00BA662B" w:rsidRPr="002A08CC">
        <w:rPr>
          <w:rFonts w:ascii="Times New Roman" w:hAnsi="Times New Roman" w:cs="Times New Roman"/>
          <w:szCs w:val="20"/>
        </w:rPr>
        <w:t xml:space="preserve"> synthesis (FTS) catalyst. This result may be due to the electronic structure of the catalyst. Having greater surface area does not guarantee the excellency of catalytic activity as </w:t>
      </w:r>
      <w:r w:rsidR="00F210E8">
        <w:rPr>
          <w:rFonts w:ascii="Times New Roman" w:hAnsi="Times New Roman" w:cs="Times New Roman"/>
          <w:szCs w:val="20"/>
        </w:rPr>
        <w:t xml:space="preserve">reported by </w:t>
      </w:r>
      <w:proofErr w:type="spellStart"/>
      <w:r w:rsidR="00F210E8">
        <w:rPr>
          <w:rFonts w:ascii="Times New Roman" w:hAnsi="Times New Roman" w:cs="Times New Roman"/>
          <w:szCs w:val="20"/>
        </w:rPr>
        <w:t>Mandal</w:t>
      </w:r>
      <w:proofErr w:type="spellEnd"/>
      <w:r w:rsidR="00F210E8">
        <w:rPr>
          <w:rFonts w:ascii="Times New Roman" w:hAnsi="Times New Roman" w:cs="Times New Roman"/>
          <w:szCs w:val="20"/>
        </w:rPr>
        <w:t xml:space="preserve"> et al.</w:t>
      </w:r>
      <w:r w:rsidR="00BA662B" w:rsidRPr="002A08CC">
        <w:rPr>
          <w:rFonts w:ascii="Times New Roman" w:hAnsi="Times New Roman" w:cs="Times New Roman"/>
          <w:szCs w:val="20"/>
        </w:rPr>
        <w:t xml:space="preserve"> [15]. As in our work, F100 has larger BET surface area than FN991 but in term of H</w:t>
      </w:r>
      <w:r w:rsidR="00BA662B" w:rsidRPr="002A08CC">
        <w:rPr>
          <w:rFonts w:ascii="Times New Roman" w:hAnsi="Times New Roman" w:cs="Times New Roman"/>
          <w:szCs w:val="20"/>
          <w:vertAlign w:val="subscript"/>
        </w:rPr>
        <w:t>2</w:t>
      </w:r>
      <w:r w:rsidR="00BA662B" w:rsidRPr="002A08CC">
        <w:rPr>
          <w:rFonts w:ascii="Times New Roman" w:hAnsi="Times New Roman" w:cs="Times New Roman"/>
          <w:szCs w:val="20"/>
        </w:rPr>
        <w:t xml:space="preserve"> selectivity, FN991 was more efficient than F100 as stated in </w:t>
      </w:r>
      <w:r w:rsidRPr="002A08CC">
        <w:rPr>
          <w:rFonts w:ascii="Times New Roman" w:hAnsi="Times New Roman" w:cs="Times New Roman"/>
          <w:szCs w:val="20"/>
        </w:rPr>
        <w:t>Figure</w:t>
      </w:r>
      <w:r w:rsidR="00BA662B" w:rsidRPr="002A08CC">
        <w:rPr>
          <w:rFonts w:ascii="Times New Roman" w:hAnsi="Times New Roman" w:cs="Times New Roman"/>
          <w:szCs w:val="20"/>
        </w:rPr>
        <w:t xml:space="preserve"> 4.</w:t>
      </w:r>
    </w:p>
    <w:p w:rsidR="00E574DB" w:rsidRDefault="00E574DB" w:rsidP="00E574DB">
      <w:pPr>
        <w:jc w:val="center"/>
        <w:outlineLvl w:val="0"/>
        <w:rPr>
          <w:rFonts w:ascii="Times New Roman" w:hAnsi="Times New Roman" w:cs="Times New Roman"/>
          <w:b/>
          <w:szCs w:val="20"/>
        </w:rPr>
      </w:pPr>
    </w:p>
    <w:p w:rsidR="00C56AFE" w:rsidRDefault="00C56AFE" w:rsidP="00E574DB">
      <w:pPr>
        <w:jc w:val="center"/>
        <w:outlineLvl w:val="0"/>
        <w:rPr>
          <w:rFonts w:ascii="Times New Roman" w:hAnsi="Times New Roman" w:cs="Times New Roman"/>
          <w:b/>
          <w:szCs w:val="20"/>
        </w:rPr>
      </w:pPr>
    </w:p>
    <w:p w:rsidR="00F210E8" w:rsidRDefault="00F210E8" w:rsidP="00E574DB">
      <w:pPr>
        <w:jc w:val="center"/>
        <w:outlineLvl w:val="0"/>
        <w:rPr>
          <w:rFonts w:ascii="Times New Roman" w:hAnsi="Times New Roman" w:cs="Times New Roman"/>
          <w:b/>
          <w:szCs w:val="20"/>
        </w:rPr>
      </w:pPr>
    </w:p>
    <w:p w:rsidR="00F210E8" w:rsidRDefault="00F210E8" w:rsidP="00E574DB">
      <w:pPr>
        <w:jc w:val="center"/>
        <w:outlineLvl w:val="0"/>
        <w:rPr>
          <w:rFonts w:ascii="Times New Roman" w:hAnsi="Times New Roman" w:cs="Times New Roman"/>
          <w:b/>
          <w:szCs w:val="20"/>
        </w:rPr>
      </w:pPr>
    </w:p>
    <w:p w:rsidR="00F210E8" w:rsidRDefault="00F210E8" w:rsidP="00E574DB">
      <w:pPr>
        <w:jc w:val="center"/>
        <w:outlineLvl w:val="0"/>
        <w:rPr>
          <w:rFonts w:ascii="Times New Roman" w:hAnsi="Times New Roman" w:cs="Times New Roman"/>
          <w:b/>
          <w:szCs w:val="20"/>
        </w:rPr>
      </w:pPr>
    </w:p>
    <w:p w:rsidR="00F210E8" w:rsidRPr="002A08CC" w:rsidRDefault="00F210E8" w:rsidP="00E574DB">
      <w:pPr>
        <w:jc w:val="center"/>
        <w:outlineLvl w:val="0"/>
        <w:rPr>
          <w:rFonts w:ascii="Times New Roman" w:hAnsi="Times New Roman" w:cs="Times New Roman"/>
          <w:b/>
          <w:szCs w:val="20"/>
        </w:rPr>
      </w:pPr>
    </w:p>
    <w:p w:rsidR="00E574DB" w:rsidRPr="002A08CC" w:rsidRDefault="00F210E8" w:rsidP="00E574DB">
      <w:pPr>
        <w:spacing w:after="240"/>
        <w:jc w:val="center"/>
        <w:outlineLvl w:val="0"/>
        <w:rPr>
          <w:rFonts w:ascii="Times New Roman" w:hAnsi="Times New Roman" w:cs="Times New Roman"/>
          <w:szCs w:val="20"/>
        </w:rPr>
      </w:pPr>
      <w:r>
        <w:rPr>
          <w:rFonts w:ascii="Times New Roman" w:hAnsi="Times New Roman" w:cs="Times New Roman"/>
          <w:szCs w:val="20"/>
        </w:rPr>
        <w:lastRenderedPageBreak/>
        <w:t xml:space="preserve">Table 1. </w:t>
      </w:r>
      <w:r w:rsidR="00E574DB" w:rsidRPr="002A08CC">
        <w:rPr>
          <w:rFonts w:ascii="Times New Roman" w:hAnsi="Times New Roman" w:cs="Times New Roman"/>
          <w:szCs w:val="20"/>
        </w:rPr>
        <w:t>Surface properties of catalyst</w:t>
      </w:r>
    </w:p>
    <w:tbl>
      <w:tblPr>
        <w:tblStyle w:val="LightShading1"/>
        <w:tblW w:w="0" w:type="auto"/>
        <w:jc w:val="center"/>
        <w:tblLook w:val="04A0" w:firstRow="1" w:lastRow="0" w:firstColumn="1" w:lastColumn="0" w:noHBand="0" w:noVBand="1"/>
      </w:tblPr>
      <w:tblGrid>
        <w:gridCol w:w="928"/>
        <w:gridCol w:w="1141"/>
        <w:gridCol w:w="1273"/>
        <w:gridCol w:w="1126"/>
      </w:tblGrid>
      <w:tr w:rsidR="00E574DB" w:rsidRPr="002A08CC" w:rsidTr="00F210E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574DB" w:rsidRPr="002A08CC" w:rsidRDefault="00E574DB" w:rsidP="00934396">
            <w:pPr>
              <w:outlineLvl w:val="0"/>
              <w:rPr>
                <w:rFonts w:ascii="Times New Roman" w:hAnsi="Times New Roman" w:cs="Times New Roman"/>
                <w:szCs w:val="20"/>
              </w:rPr>
            </w:pPr>
            <w:r w:rsidRPr="002A08CC">
              <w:rPr>
                <w:rFonts w:ascii="Times New Roman" w:hAnsi="Times New Roman" w:cs="Times New Roman"/>
                <w:szCs w:val="20"/>
              </w:rPr>
              <w:t>Catalyst</w:t>
            </w:r>
          </w:p>
        </w:tc>
        <w:tc>
          <w:tcPr>
            <w:tcW w:w="0" w:type="auto"/>
            <w:shd w:val="clear" w:color="auto" w:fill="auto"/>
          </w:tcPr>
          <w:p w:rsidR="00E574DB" w:rsidRPr="002A08CC" w:rsidRDefault="00E574DB" w:rsidP="00934396">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08CC">
              <w:rPr>
                <w:rFonts w:ascii="Times New Roman" w:eastAsia="Times New Roman" w:hAnsi="Times New Roman" w:cs="Times New Roman"/>
                <w:bCs w:val="0"/>
                <w:color w:val="auto"/>
                <w:kern w:val="0"/>
                <w:szCs w:val="20"/>
                <w:lang w:eastAsia="en-US"/>
              </w:rPr>
              <w:t>S</w:t>
            </w:r>
            <w:r w:rsidRPr="002A08CC">
              <w:rPr>
                <w:rFonts w:ascii="Times New Roman" w:eastAsia="Times New Roman" w:hAnsi="Times New Roman" w:cs="Times New Roman"/>
                <w:bCs w:val="0"/>
                <w:color w:val="auto"/>
                <w:kern w:val="0"/>
                <w:szCs w:val="20"/>
                <w:vertAlign w:val="subscript"/>
                <w:lang w:eastAsia="en-US"/>
              </w:rPr>
              <w:t xml:space="preserve">BET </w:t>
            </w:r>
            <w:r w:rsidRPr="002A08CC">
              <w:rPr>
                <w:rFonts w:ascii="Times New Roman" w:eastAsia="Times New Roman" w:hAnsi="Times New Roman" w:cs="Times New Roman"/>
                <w:bCs w:val="0"/>
                <w:color w:val="auto"/>
                <w:kern w:val="0"/>
                <w:szCs w:val="20"/>
                <w:lang w:eastAsia="en-US"/>
              </w:rPr>
              <w:t>(m</w:t>
            </w:r>
            <w:r w:rsidRPr="002A08CC">
              <w:rPr>
                <w:rFonts w:ascii="Times New Roman" w:eastAsia="Times New Roman" w:hAnsi="Times New Roman" w:cs="Times New Roman"/>
                <w:bCs w:val="0"/>
                <w:color w:val="auto"/>
                <w:kern w:val="0"/>
                <w:szCs w:val="20"/>
                <w:vertAlign w:val="superscript"/>
                <w:lang w:eastAsia="en-US"/>
              </w:rPr>
              <w:t>2</w:t>
            </w:r>
            <w:r w:rsidRPr="002A08CC">
              <w:rPr>
                <w:rFonts w:ascii="Times New Roman" w:eastAsia="Times New Roman" w:hAnsi="Times New Roman" w:cs="Times New Roman"/>
                <w:bCs w:val="0"/>
                <w:color w:val="auto"/>
                <w:kern w:val="0"/>
                <w:szCs w:val="20"/>
                <w:lang w:eastAsia="en-US"/>
              </w:rPr>
              <w:t>/g)</w:t>
            </w:r>
          </w:p>
        </w:tc>
        <w:tc>
          <w:tcPr>
            <w:tcW w:w="0" w:type="auto"/>
            <w:shd w:val="clear" w:color="auto" w:fill="auto"/>
          </w:tcPr>
          <w:p w:rsidR="00E574DB" w:rsidRPr="002A08CC" w:rsidRDefault="00E574DB" w:rsidP="00934396">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roofErr w:type="spellStart"/>
            <w:r w:rsidRPr="002A08CC">
              <w:rPr>
                <w:rFonts w:ascii="Times New Roman" w:eastAsia="Times New Roman" w:hAnsi="Times New Roman" w:cs="Times New Roman"/>
                <w:bCs w:val="0"/>
                <w:color w:val="auto"/>
                <w:kern w:val="0"/>
                <w:szCs w:val="20"/>
                <w:lang w:eastAsia="en-US"/>
              </w:rPr>
              <w:t>V</w:t>
            </w:r>
            <w:r w:rsidRPr="002A08CC">
              <w:rPr>
                <w:rFonts w:ascii="Times New Roman" w:eastAsia="Times New Roman" w:hAnsi="Times New Roman" w:cs="Times New Roman"/>
                <w:bCs w:val="0"/>
                <w:color w:val="auto"/>
                <w:kern w:val="0"/>
                <w:szCs w:val="20"/>
                <w:vertAlign w:val="subscript"/>
                <w:lang w:eastAsia="en-US"/>
              </w:rPr>
              <w:t>pore</w:t>
            </w:r>
            <w:proofErr w:type="spellEnd"/>
            <w:r w:rsidRPr="002A08CC">
              <w:rPr>
                <w:rFonts w:ascii="Times New Roman" w:eastAsia="Times New Roman" w:hAnsi="Times New Roman" w:cs="Times New Roman"/>
                <w:bCs w:val="0"/>
                <w:color w:val="auto"/>
                <w:kern w:val="0"/>
                <w:szCs w:val="20"/>
                <w:lang w:eastAsia="en-US"/>
              </w:rPr>
              <w:t xml:space="preserve"> (cm</w:t>
            </w:r>
            <w:r w:rsidRPr="002A08CC">
              <w:rPr>
                <w:rFonts w:ascii="Times New Roman" w:eastAsia="Times New Roman" w:hAnsi="Times New Roman" w:cs="Times New Roman"/>
                <w:bCs w:val="0"/>
                <w:color w:val="auto"/>
                <w:kern w:val="0"/>
                <w:szCs w:val="20"/>
                <w:vertAlign w:val="superscript"/>
                <w:lang w:eastAsia="en-US"/>
              </w:rPr>
              <w:t>3</w:t>
            </w:r>
            <w:r w:rsidRPr="002A08CC">
              <w:rPr>
                <w:rFonts w:ascii="Times New Roman" w:eastAsia="Times New Roman" w:hAnsi="Times New Roman" w:cs="Times New Roman"/>
                <w:bCs w:val="0"/>
                <w:color w:val="auto"/>
                <w:kern w:val="0"/>
                <w:szCs w:val="20"/>
                <w:lang w:eastAsia="en-US"/>
              </w:rPr>
              <w:t>/g)</w:t>
            </w:r>
          </w:p>
        </w:tc>
        <w:tc>
          <w:tcPr>
            <w:tcW w:w="0" w:type="auto"/>
            <w:shd w:val="clear" w:color="auto" w:fill="auto"/>
          </w:tcPr>
          <w:p w:rsidR="00E574DB" w:rsidRPr="002A08CC" w:rsidRDefault="00E574DB" w:rsidP="00934396">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proofErr w:type="spellStart"/>
            <w:r w:rsidRPr="002A08CC">
              <w:rPr>
                <w:rFonts w:ascii="Times New Roman" w:eastAsia="Times New Roman" w:hAnsi="Times New Roman" w:cs="Times New Roman"/>
                <w:bCs w:val="0"/>
                <w:color w:val="auto"/>
                <w:kern w:val="0"/>
                <w:szCs w:val="20"/>
                <w:lang w:eastAsia="en-US"/>
              </w:rPr>
              <w:t>d</w:t>
            </w:r>
            <w:r w:rsidRPr="002A08CC">
              <w:rPr>
                <w:rFonts w:ascii="Times New Roman" w:eastAsia="Times New Roman" w:hAnsi="Times New Roman" w:cs="Times New Roman"/>
                <w:bCs w:val="0"/>
                <w:color w:val="auto"/>
                <w:kern w:val="0"/>
                <w:szCs w:val="20"/>
                <w:vertAlign w:val="subscript"/>
                <w:lang w:eastAsia="en-US"/>
              </w:rPr>
              <w:t>pore</w:t>
            </w:r>
            <w:proofErr w:type="spellEnd"/>
            <w:r w:rsidRPr="002A08CC">
              <w:rPr>
                <w:rFonts w:ascii="Times New Roman" w:eastAsia="Times New Roman" w:hAnsi="Times New Roman" w:cs="Times New Roman"/>
                <w:bCs w:val="0"/>
                <w:color w:val="auto"/>
                <w:kern w:val="0"/>
                <w:szCs w:val="20"/>
                <w:lang w:eastAsia="en-US"/>
              </w:rPr>
              <w:t xml:space="preserve"> (Ǻ)</w:t>
            </w:r>
          </w:p>
        </w:tc>
      </w:tr>
      <w:tr w:rsidR="00E574DB" w:rsidRPr="002A08CC" w:rsidTr="00F2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574DB" w:rsidRPr="002A08CC" w:rsidRDefault="00E574DB" w:rsidP="00934396">
            <w:pPr>
              <w:outlineLvl w:val="0"/>
              <w:rPr>
                <w:rFonts w:ascii="Times New Roman" w:hAnsi="Times New Roman" w:cs="Times New Roman"/>
                <w:b w:val="0"/>
                <w:szCs w:val="20"/>
              </w:rPr>
            </w:pPr>
            <w:r w:rsidRPr="002A08CC">
              <w:rPr>
                <w:rFonts w:ascii="Times New Roman" w:hAnsi="Times New Roman" w:cs="Times New Roman"/>
                <w:b w:val="0"/>
                <w:szCs w:val="20"/>
              </w:rPr>
              <w:t>F100</w:t>
            </w:r>
          </w:p>
        </w:tc>
        <w:tc>
          <w:tcPr>
            <w:tcW w:w="0" w:type="auto"/>
            <w:shd w:val="clear" w:color="auto" w:fill="auto"/>
            <w:vAlign w:val="center"/>
          </w:tcPr>
          <w:p w:rsidR="00E574DB" w:rsidRPr="002A08CC" w:rsidRDefault="00E574DB" w:rsidP="00934396">
            <w:pPr>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9.02±</w:t>
            </w:r>
            <w:r w:rsidR="00AD6216" w:rsidRPr="002A08CC">
              <w:rPr>
                <w:rFonts w:ascii="Times" w:hAnsi="Times" w:cs="Times"/>
                <w:szCs w:val="18"/>
              </w:rPr>
              <w:t>0.09</w:t>
            </w:r>
          </w:p>
        </w:tc>
        <w:tc>
          <w:tcPr>
            <w:tcW w:w="0" w:type="auto"/>
            <w:shd w:val="clear" w:color="auto" w:fill="auto"/>
            <w:vAlign w:val="center"/>
          </w:tcPr>
          <w:p w:rsidR="00E574DB" w:rsidRPr="002A08CC" w:rsidRDefault="00E574DB" w:rsidP="00934396">
            <w:pPr>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0.048±</w:t>
            </w:r>
            <w:r w:rsidR="001D73EF" w:rsidRPr="002A08CC">
              <w:rPr>
                <w:rFonts w:ascii="Times" w:hAnsi="Times" w:cs="Times"/>
                <w:szCs w:val="18"/>
              </w:rPr>
              <w:t>0.010</w:t>
            </w:r>
          </w:p>
        </w:tc>
        <w:tc>
          <w:tcPr>
            <w:tcW w:w="0" w:type="auto"/>
            <w:shd w:val="clear" w:color="auto" w:fill="auto"/>
            <w:vAlign w:val="center"/>
          </w:tcPr>
          <w:p w:rsidR="00E574DB" w:rsidRPr="002A08CC" w:rsidRDefault="00E574DB" w:rsidP="00934396">
            <w:pPr>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235.30±</w:t>
            </w:r>
            <w:r w:rsidR="002C6FFA" w:rsidRPr="002A08CC">
              <w:rPr>
                <w:rFonts w:ascii="Times" w:hAnsi="Times" w:cs="Times"/>
                <w:szCs w:val="18"/>
              </w:rPr>
              <w:t>2.0</w:t>
            </w:r>
          </w:p>
        </w:tc>
      </w:tr>
      <w:tr w:rsidR="00E574DB" w:rsidRPr="002A08CC" w:rsidTr="00F210E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574DB" w:rsidRPr="002A08CC" w:rsidRDefault="00E574DB" w:rsidP="00934396">
            <w:pPr>
              <w:outlineLvl w:val="0"/>
              <w:rPr>
                <w:rFonts w:ascii="Times New Roman" w:hAnsi="Times New Roman" w:cs="Times New Roman"/>
                <w:b w:val="0"/>
                <w:szCs w:val="20"/>
              </w:rPr>
            </w:pPr>
            <w:r w:rsidRPr="002A08CC">
              <w:rPr>
                <w:rFonts w:ascii="Times New Roman" w:hAnsi="Times New Roman" w:cs="Times New Roman"/>
                <w:b w:val="0"/>
                <w:szCs w:val="20"/>
              </w:rPr>
              <w:t>FN991</w:t>
            </w:r>
          </w:p>
        </w:tc>
        <w:tc>
          <w:tcPr>
            <w:tcW w:w="0" w:type="auto"/>
            <w:shd w:val="clear" w:color="auto" w:fill="auto"/>
            <w:vAlign w:val="center"/>
          </w:tcPr>
          <w:p w:rsidR="00E574DB" w:rsidRPr="002A08CC" w:rsidRDefault="00E574DB" w:rsidP="00934396">
            <w:pPr>
              <w:jc w:val="center"/>
              <w:cnfStyle w:val="000000000000" w:firstRow="0" w:lastRow="0" w:firstColumn="0" w:lastColumn="0" w:oddVBand="0" w:evenVBand="0" w:oddHBand="0"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7.69±</w:t>
            </w:r>
            <w:r w:rsidR="00BE59F7" w:rsidRPr="002A08CC">
              <w:rPr>
                <w:rFonts w:ascii="Times" w:hAnsi="Times" w:cs="Times"/>
                <w:szCs w:val="18"/>
              </w:rPr>
              <w:t>0.04</w:t>
            </w:r>
          </w:p>
        </w:tc>
        <w:tc>
          <w:tcPr>
            <w:tcW w:w="0" w:type="auto"/>
            <w:shd w:val="clear" w:color="auto" w:fill="auto"/>
            <w:vAlign w:val="center"/>
          </w:tcPr>
          <w:p w:rsidR="00E574DB" w:rsidRPr="002A08CC" w:rsidRDefault="00E574DB" w:rsidP="00934396">
            <w:pPr>
              <w:jc w:val="center"/>
              <w:cnfStyle w:val="000000000000" w:firstRow="0" w:lastRow="0" w:firstColumn="0" w:lastColumn="0" w:oddVBand="0" w:evenVBand="0" w:oddHBand="0"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0.034±</w:t>
            </w:r>
            <w:r w:rsidR="001D73EF" w:rsidRPr="002A08CC">
              <w:rPr>
                <w:rFonts w:ascii="Times" w:hAnsi="Times" w:cs="Times"/>
                <w:szCs w:val="18"/>
              </w:rPr>
              <w:t>0.009</w:t>
            </w:r>
          </w:p>
        </w:tc>
        <w:tc>
          <w:tcPr>
            <w:tcW w:w="0" w:type="auto"/>
            <w:shd w:val="clear" w:color="auto" w:fill="auto"/>
            <w:vAlign w:val="center"/>
          </w:tcPr>
          <w:p w:rsidR="00E574DB" w:rsidRPr="002A08CC" w:rsidRDefault="00E574DB" w:rsidP="00934396">
            <w:pPr>
              <w:jc w:val="center"/>
              <w:cnfStyle w:val="000000000000" w:firstRow="0" w:lastRow="0" w:firstColumn="0" w:lastColumn="0" w:oddVBand="0" w:evenVBand="0" w:oddHBand="0"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171.80±</w:t>
            </w:r>
            <w:r w:rsidR="002C6FFA" w:rsidRPr="002A08CC">
              <w:rPr>
                <w:rFonts w:ascii="Times" w:hAnsi="Times" w:cs="Times"/>
                <w:szCs w:val="18"/>
              </w:rPr>
              <w:t>2.0</w:t>
            </w:r>
          </w:p>
        </w:tc>
      </w:tr>
      <w:tr w:rsidR="00E574DB" w:rsidRPr="002A08CC" w:rsidTr="00F210E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574DB" w:rsidRPr="002A08CC" w:rsidRDefault="00E574DB" w:rsidP="00934396">
            <w:pPr>
              <w:outlineLvl w:val="0"/>
              <w:rPr>
                <w:rFonts w:ascii="Times New Roman" w:hAnsi="Times New Roman" w:cs="Times New Roman"/>
                <w:b w:val="0"/>
                <w:szCs w:val="20"/>
              </w:rPr>
            </w:pPr>
            <w:r w:rsidRPr="002A08CC">
              <w:rPr>
                <w:rFonts w:ascii="Times New Roman" w:hAnsi="Times New Roman" w:cs="Times New Roman"/>
                <w:b w:val="0"/>
                <w:szCs w:val="20"/>
              </w:rPr>
              <w:t>FN973</w:t>
            </w:r>
          </w:p>
        </w:tc>
        <w:tc>
          <w:tcPr>
            <w:tcW w:w="0" w:type="auto"/>
            <w:shd w:val="clear" w:color="auto" w:fill="auto"/>
            <w:vAlign w:val="center"/>
          </w:tcPr>
          <w:p w:rsidR="00E574DB" w:rsidRPr="002A08CC" w:rsidRDefault="00E574DB" w:rsidP="00934396">
            <w:pPr>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7.30±</w:t>
            </w:r>
            <w:r w:rsidR="00BE59F7" w:rsidRPr="002A08CC">
              <w:rPr>
                <w:rFonts w:ascii="Times" w:hAnsi="Times" w:cs="Times"/>
                <w:szCs w:val="18"/>
              </w:rPr>
              <w:t>0.05</w:t>
            </w:r>
          </w:p>
        </w:tc>
        <w:tc>
          <w:tcPr>
            <w:tcW w:w="0" w:type="auto"/>
            <w:shd w:val="clear" w:color="auto" w:fill="auto"/>
            <w:vAlign w:val="center"/>
          </w:tcPr>
          <w:p w:rsidR="00E574DB" w:rsidRPr="002A08CC" w:rsidRDefault="00E574DB" w:rsidP="00934396">
            <w:pPr>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0.028±</w:t>
            </w:r>
            <w:r w:rsidR="002C6FFA" w:rsidRPr="002A08CC">
              <w:rPr>
                <w:rFonts w:ascii="Times" w:hAnsi="Times" w:cs="Times"/>
                <w:szCs w:val="18"/>
              </w:rPr>
              <w:t>0.007</w:t>
            </w:r>
          </w:p>
        </w:tc>
        <w:tc>
          <w:tcPr>
            <w:tcW w:w="0" w:type="auto"/>
            <w:shd w:val="clear" w:color="auto" w:fill="auto"/>
            <w:vAlign w:val="center"/>
          </w:tcPr>
          <w:p w:rsidR="00E574DB" w:rsidRPr="002A08CC" w:rsidRDefault="00E574DB" w:rsidP="00934396">
            <w:pPr>
              <w:jc w:val="center"/>
              <w:cnfStyle w:val="000000100000" w:firstRow="0" w:lastRow="0" w:firstColumn="0" w:lastColumn="0" w:oddVBand="0" w:evenVBand="0" w:oddHBand="1"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182.81±</w:t>
            </w:r>
            <w:r w:rsidR="002C6FFA" w:rsidRPr="002A08CC">
              <w:rPr>
                <w:rFonts w:ascii="Times" w:hAnsi="Times" w:cs="Times"/>
                <w:szCs w:val="18"/>
              </w:rPr>
              <w:t>2.0</w:t>
            </w:r>
          </w:p>
        </w:tc>
      </w:tr>
      <w:tr w:rsidR="00E574DB" w:rsidRPr="002A08CC" w:rsidTr="00F210E8">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E574DB" w:rsidRPr="002A08CC" w:rsidRDefault="00E574DB" w:rsidP="00934396">
            <w:pPr>
              <w:outlineLvl w:val="0"/>
              <w:rPr>
                <w:rFonts w:ascii="Times New Roman" w:hAnsi="Times New Roman" w:cs="Times New Roman"/>
                <w:b w:val="0"/>
                <w:szCs w:val="20"/>
              </w:rPr>
            </w:pPr>
            <w:r w:rsidRPr="002A08CC">
              <w:rPr>
                <w:rFonts w:ascii="Times New Roman" w:hAnsi="Times New Roman" w:cs="Times New Roman"/>
                <w:b w:val="0"/>
                <w:szCs w:val="20"/>
              </w:rPr>
              <w:t>FN955</w:t>
            </w:r>
          </w:p>
        </w:tc>
        <w:tc>
          <w:tcPr>
            <w:tcW w:w="0" w:type="auto"/>
            <w:shd w:val="clear" w:color="auto" w:fill="auto"/>
            <w:vAlign w:val="center"/>
          </w:tcPr>
          <w:p w:rsidR="00E574DB" w:rsidRPr="002A08CC" w:rsidRDefault="00E574DB" w:rsidP="00934396">
            <w:pPr>
              <w:jc w:val="center"/>
              <w:cnfStyle w:val="000000000000" w:firstRow="0" w:lastRow="0" w:firstColumn="0" w:lastColumn="0" w:oddVBand="0" w:evenVBand="0" w:oddHBand="0"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5.64±</w:t>
            </w:r>
            <w:r w:rsidR="00BE59F7" w:rsidRPr="002A08CC">
              <w:rPr>
                <w:rFonts w:ascii="Times" w:hAnsi="Times" w:cs="Times"/>
                <w:szCs w:val="18"/>
              </w:rPr>
              <w:t>0.08</w:t>
            </w:r>
          </w:p>
        </w:tc>
        <w:tc>
          <w:tcPr>
            <w:tcW w:w="0" w:type="auto"/>
            <w:shd w:val="clear" w:color="auto" w:fill="auto"/>
            <w:vAlign w:val="center"/>
          </w:tcPr>
          <w:p w:rsidR="00E574DB" w:rsidRPr="002A08CC" w:rsidRDefault="00E574DB" w:rsidP="00934396">
            <w:pPr>
              <w:jc w:val="center"/>
              <w:cnfStyle w:val="000000000000" w:firstRow="0" w:lastRow="0" w:firstColumn="0" w:lastColumn="0" w:oddVBand="0" w:evenVBand="0" w:oddHBand="0"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0.026±</w:t>
            </w:r>
            <w:r w:rsidR="002C6FFA" w:rsidRPr="002A08CC">
              <w:rPr>
                <w:rFonts w:ascii="Times" w:hAnsi="Times" w:cs="Times"/>
                <w:szCs w:val="18"/>
              </w:rPr>
              <w:t>0.007</w:t>
            </w:r>
          </w:p>
        </w:tc>
        <w:tc>
          <w:tcPr>
            <w:tcW w:w="0" w:type="auto"/>
            <w:shd w:val="clear" w:color="auto" w:fill="auto"/>
            <w:vAlign w:val="center"/>
          </w:tcPr>
          <w:p w:rsidR="00E574DB" w:rsidRPr="002A08CC" w:rsidRDefault="00E574DB" w:rsidP="00934396">
            <w:pPr>
              <w:jc w:val="center"/>
              <w:cnfStyle w:val="000000000000" w:firstRow="0" w:lastRow="0" w:firstColumn="0" w:lastColumn="0" w:oddVBand="0" w:evenVBand="0" w:oddHBand="0" w:evenHBand="0" w:firstRowFirstColumn="0" w:firstRowLastColumn="0" w:lastRowFirstColumn="0" w:lastRowLastColumn="0"/>
              <w:rPr>
                <w:rFonts w:ascii="Times" w:eastAsia="Calibri" w:hAnsi="Times" w:cs="Times"/>
                <w:szCs w:val="18"/>
                <w:lang w:eastAsia="ja-JP"/>
              </w:rPr>
            </w:pPr>
            <w:r w:rsidRPr="002A08CC">
              <w:rPr>
                <w:rFonts w:ascii="Times" w:hAnsi="Times" w:cs="Times"/>
                <w:szCs w:val="18"/>
              </w:rPr>
              <w:t>257.65±</w:t>
            </w:r>
            <w:r w:rsidR="002C6FFA" w:rsidRPr="002A08CC">
              <w:rPr>
                <w:rFonts w:ascii="Times" w:hAnsi="Times" w:cs="Times"/>
                <w:szCs w:val="18"/>
              </w:rPr>
              <w:t>2.0</w:t>
            </w:r>
          </w:p>
        </w:tc>
      </w:tr>
    </w:tbl>
    <w:p w:rsidR="00E574DB" w:rsidRPr="002A08CC" w:rsidRDefault="00E574DB" w:rsidP="00E574DB">
      <w:pPr>
        <w:jc w:val="center"/>
        <w:rPr>
          <w:rFonts w:ascii="Times New Roman" w:hAnsi="Times New Roman" w:cs="Times New Roman"/>
          <w:szCs w:val="16"/>
        </w:rPr>
      </w:pPr>
      <w:r w:rsidRPr="00F210E8">
        <w:rPr>
          <w:rFonts w:ascii="Times New Roman" w:hAnsi="Times New Roman" w:cs="Times New Roman"/>
          <w:sz w:val="18"/>
          <w:szCs w:val="16"/>
        </w:rPr>
        <w:t>S</w:t>
      </w:r>
      <w:r w:rsidRPr="00F210E8">
        <w:rPr>
          <w:rFonts w:ascii="Times New Roman" w:hAnsi="Times New Roman" w:cs="Times New Roman"/>
          <w:sz w:val="18"/>
          <w:szCs w:val="16"/>
          <w:vertAlign w:val="subscript"/>
        </w:rPr>
        <w:t>BET</w:t>
      </w:r>
      <w:r w:rsidRPr="00F210E8">
        <w:rPr>
          <w:rFonts w:ascii="Times New Roman" w:hAnsi="Times New Roman" w:cs="Times New Roman"/>
          <w:sz w:val="18"/>
          <w:szCs w:val="16"/>
        </w:rPr>
        <w:t xml:space="preserve">: BET surface area; </w:t>
      </w:r>
      <w:proofErr w:type="spellStart"/>
      <w:r w:rsidRPr="00F210E8">
        <w:rPr>
          <w:rFonts w:ascii="Times New Roman" w:hAnsi="Times New Roman" w:cs="Times New Roman"/>
          <w:sz w:val="18"/>
          <w:szCs w:val="16"/>
        </w:rPr>
        <w:t>V</w:t>
      </w:r>
      <w:r w:rsidRPr="00F210E8">
        <w:rPr>
          <w:rFonts w:ascii="Times New Roman" w:hAnsi="Times New Roman" w:cs="Times New Roman"/>
          <w:sz w:val="18"/>
          <w:szCs w:val="16"/>
          <w:vertAlign w:val="subscript"/>
        </w:rPr>
        <w:t>pore</w:t>
      </w:r>
      <w:proofErr w:type="spellEnd"/>
      <w:r w:rsidRPr="00F210E8">
        <w:rPr>
          <w:rFonts w:ascii="Times New Roman" w:hAnsi="Times New Roman" w:cs="Times New Roman"/>
          <w:sz w:val="18"/>
          <w:szCs w:val="16"/>
        </w:rPr>
        <w:t xml:space="preserve">: total pore volume; </w:t>
      </w:r>
      <w:proofErr w:type="spellStart"/>
      <w:r w:rsidRPr="00F210E8">
        <w:rPr>
          <w:rFonts w:ascii="Times New Roman" w:hAnsi="Times New Roman" w:cs="Times New Roman"/>
          <w:sz w:val="18"/>
          <w:szCs w:val="16"/>
        </w:rPr>
        <w:t>d</w:t>
      </w:r>
      <w:r w:rsidRPr="00F210E8">
        <w:rPr>
          <w:rFonts w:ascii="Times New Roman" w:hAnsi="Times New Roman" w:cs="Times New Roman"/>
          <w:sz w:val="18"/>
          <w:szCs w:val="16"/>
          <w:vertAlign w:val="subscript"/>
        </w:rPr>
        <w:t>pore</w:t>
      </w:r>
      <w:proofErr w:type="spellEnd"/>
      <w:r w:rsidRPr="00F210E8">
        <w:rPr>
          <w:rFonts w:ascii="Times New Roman" w:hAnsi="Times New Roman" w:cs="Times New Roman"/>
          <w:sz w:val="18"/>
          <w:szCs w:val="16"/>
        </w:rPr>
        <w:t>: average pore diameter</w:t>
      </w:r>
    </w:p>
    <w:p w:rsidR="00BA662B" w:rsidRPr="002A08CC" w:rsidRDefault="00BD21EE" w:rsidP="006F4372">
      <w:pPr>
        <w:spacing w:before="240"/>
        <w:jc w:val="center"/>
        <w:outlineLvl w:val="0"/>
        <w:rPr>
          <w:rFonts w:ascii="Times New Roman" w:hAnsi="Times New Roman" w:cs="Times New Roman"/>
          <w:szCs w:val="20"/>
        </w:rPr>
      </w:pPr>
      <w:r w:rsidRPr="002A08CC">
        <w:rPr>
          <w:noProof/>
          <w:lang w:eastAsia="en-US"/>
        </w:rPr>
        <w:drawing>
          <wp:inline distT="0" distB="0" distL="0" distR="0">
            <wp:extent cx="3857133" cy="2520000"/>
            <wp:effectExtent l="19050" t="1905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857133" cy="2520000"/>
                    </a:xfrm>
                    <a:prstGeom prst="rect">
                      <a:avLst/>
                    </a:prstGeom>
                    <a:ln>
                      <a:solidFill>
                        <a:schemeClr val="tx1"/>
                      </a:solidFill>
                    </a:ln>
                  </pic:spPr>
                </pic:pic>
              </a:graphicData>
            </a:graphic>
          </wp:inline>
        </w:drawing>
      </w:r>
    </w:p>
    <w:p w:rsidR="0022030C" w:rsidRPr="00C56AFE" w:rsidRDefault="00C77B0B" w:rsidP="0022030C">
      <w:pPr>
        <w:pStyle w:val="FigureCaption"/>
        <w:rPr>
          <w:noProof/>
          <w:sz w:val="20"/>
          <w:lang w:val="en-MY" w:eastAsia="en-MY"/>
        </w:rPr>
      </w:pPr>
      <w:r w:rsidRPr="00C56AFE">
        <w:rPr>
          <w:sz w:val="20"/>
        </w:rPr>
        <w:t>Figure</w:t>
      </w:r>
      <w:r w:rsidR="0022030C" w:rsidRPr="00C56AFE">
        <w:rPr>
          <w:sz w:val="20"/>
        </w:rPr>
        <w:t xml:space="preserve"> 1</w:t>
      </w:r>
      <w:r w:rsidR="00F210E8" w:rsidRPr="00F210E8">
        <w:rPr>
          <w:sz w:val="20"/>
        </w:rPr>
        <w:t>.</w:t>
      </w:r>
      <w:r w:rsidR="00F210E8">
        <w:rPr>
          <w:b/>
          <w:sz w:val="20"/>
        </w:rPr>
        <w:t xml:space="preserve"> </w:t>
      </w:r>
      <w:r w:rsidR="0022030C" w:rsidRPr="00C56AFE">
        <w:rPr>
          <w:noProof/>
          <w:sz w:val="20"/>
          <w:lang w:val="en-MY" w:eastAsia="en-MY"/>
        </w:rPr>
        <w:t>BET analysis of N</w:t>
      </w:r>
      <w:r w:rsidR="0022030C" w:rsidRPr="00C56AFE">
        <w:rPr>
          <w:noProof/>
          <w:sz w:val="20"/>
          <w:vertAlign w:val="subscript"/>
          <w:lang w:val="en-MY" w:eastAsia="en-MY"/>
        </w:rPr>
        <w:t>2</w:t>
      </w:r>
      <w:r w:rsidR="0022030C" w:rsidRPr="00C56AFE">
        <w:rPr>
          <w:noProof/>
          <w:sz w:val="20"/>
          <w:lang w:val="en-MY" w:eastAsia="en-MY"/>
        </w:rPr>
        <w:t xml:space="preserve"> adsorption-desorption isotherms</w:t>
      </w:r>
    </w:p>
    <w:p w:rsidR="0022030C" w:rsidRPr="002A08CC" w:rsidRDefault="0022030C" w:rsidP="0022030C">
      <w:pPr>
        <w:widowControl/>
        <w:wordWrap/>
        <w:autoSpaceDE/>
        <w:autoSpaceDN/>
        <w:rPr>
          <w:lang w:val="en-MY" w:eastAsia="en-MY"/>
        </w:rPr>
      </w:pPr>
    </w:p>
    <w:p w:rsidR="0022030C" w:rsidRPr="002A08CC" w:rsidRDefault="0022030C" w:rsidP="0022030C">
      <w:pPr>
        <w:widowControl/>
        <w:wordWrap/>
        <w:autoSpaceDE/>
        <w:autoSpaceDN/>
        <w:rPr>
          <w:rFonts w:ascii="Times New Roman" w:eastAsia="Times New Roman" w:hAnsi="Times New Roman" w:cs="Times New Roman"/>
          <w:kern w:val="0"/>
          <w:szCs w:val="20"/>
          <w:lang w:eastAsia="en-US"/>
        </w:rPr>
      </w:pPr>
      <w:r w:rsidRPr="002A08CC">
        <w:rPr>
          <w:rFonts w:ascii="Times New Roman" w:eastAsia="Times New Roman" w:hAnsi="Times New Roman" w:cs="Times New Roman"/>
          <w:kern w:val="0"/>
          <w:szCs w:val="20"/>
          <w:lang w:eastAsia="en-US"/>
        </w:rPr>
        <w:t xml:space="preserve">XRD diffractograms </w:t>
      </w:r>
      <w:r w:rsidR="00F43FE2" w:rsidRPr="002A08CC">
        <w:rPr>
          <w:rFonts w:ascii="Times New Roman" w:eastAsia="Times New Roman" w:hAnsi="Times New Roman" w:cs="Times New Roman"/>
          <w:kern w:val="0"/>
          <w:szCs w:val="20"/>
          <w:lang w:eastAsia="en-US"/>
        </w:rPr>
        <w:t>for</w:t>
      </w:r>
      <w:r w:rsidRPr="002A08CC">
        <w:rPr>
          <w:rFonts w:ascii="Times New Roman" w:eastAsia="Times New Roman" w:hAnsi="Times New Roman" w:cs="Times New Roman"/>
          <w:kern w:val="0"/>
          <w:szCs w:val="20"/>
          <w:lang w:eastAsia="en-US"/>
        </w:rPr>
        <w:t xml:space="preserve"> </w:t>
      </w:r>
      <w:r w:rsidR="00F43FE2" w:rsidRPr="002A08CC">
        <w:rPr>
          <w:rFonts w:ascii="Times New Roman" w:eastAsia="Times New Roman" w:hAnsi="Times New Roman" w:cs="Times New Roman"/>
          <w:kern w:val="0"/>
          <w:szCs w:val="20"/>
          <w:lang w:eastAsia="en-US"/>
        </w:rPr>
        <w:t xml:space="preserve">fresh </w:t>
      </w:r>
      <w:r w:rsidRPr="002A08CC">
        <w:rPr>
          <w:rFonts w:ascii="Times New Roman" w:eastAsia="Times New Roman" w:hAnsi="Times New Roman" w:cs="Times New Roman"/>
          <w:kern w:val="0"/>
          <w:szCs w:val="20"/>
          <w:lang w:eastAsia="en-US"/>
        </w:rPr>
        <w:t xml:space="preserve">Fe </w:t>
      </w:r>
      <w:r w:rsidR="00F43FE2" w:rsidRPr="002A08CC">
        <w:rPr>
          <w:rFonts w:ascii="Times New Roman" w:eastAsia="Times New Roman" w:hAnsi="Times New Roman" w:cs="Times New Roman"/>
          <w:kern w:val="0"/>
          <w:szCs w:val="20"/>
          <w:lang w:eastAsia="en-US"/>
        </w:rPr>
        <w:t xml:space="preserve">and </w:t>
      </w:r>
      <w:proofErr w:type="spellStart"/>
      <w:r w:rsidR="00F43FE2" w:rsidRPr="002A08CC">
        <w:rPr>
          <w:rFonts w:ascii="Times New Roman" w:eastAsia="Times New Roman" w:hAnsi="Times New Roman" w:cs="Times New Roman"/>
          <w:kern w:val="0"/>
          <w:szCs w:val="20"/>
          <w:lang w:eastAsia="en-US"/>
        </w:rPr>
        <w:t>FeNi</w:t>
      </w:r>
      <w:proofErr w:type="spellEnd"/>
      <w:r w:rsidR="00F43FE2" w:rsidRPr="002A08CC">
        <w:rPr>
          <w:rFonts w:ascii="Times New Roman" w:eastAsia="Times New Roman" w:hAnsi="Times New Roman" w:cs="Times New Roman"/>
          <w:kern w:val="0"/>
          <w:szCs w:val="20"/>
          <w:lang w:eastAsia="en-US"/>
        </w:rPr>
        <w:t xml:space="preserve"> bimetallic </w:t>
      </w:r>
      <w:r w:rsidRPr="002A08CC">
        <w:rPr>
          <w:rFonts w:ascii="Times New Roman" w:eastAsia="Times New Roman" w:hAnsi="Times New Roman" w:cs="Times New Roman"/>
          <w:kern w:val="0"/>
          <w:szCs w:val="20"/>
          <w:lang w:eastAsia="en-US"/>
        </w:rPr>
        <w:t xml:space="preserve">catalysts are shown in </w:t>
      </w:r>
      <w:r w:rsidR="00C77B0B" w:rsidRPr="002A08CC">
        <w:rPr>
          <w:rFonts w:ascii="Times New Roman" w:eastAsia="Times New Roman" w:hAnsi="Times New Roman" w:cs="Times New Roman"/>
          <w:kern w:val="0"/>
          <w:szCs w:val="20"/>
          <w:lang w:eastAsia="en-US"/>
        </w:rPr>
        <w:t>Figure</w:t>
      </w:r>
      <w:r w:rsidRPr="002A08CC">
        <w:rPr>
          <w:rFonts w:ascii="Times New Roman" w:eastAsia="Times New Roman" w:hAnsi="Times New Roman" w:cs="Times New Roman"/>
          <w:kern w:val="0"/>
          <w:szCs w:val="20"/>
          <w:lang w:eastAsia="en-US"/>
        </w:rPr>
        <w:t xml:space="preserve"> 2. The XRD pattern of all the samples have well-defined diffraction patterns with strong and sharp diffraction peaks, indicating that they are crystalline.  For F100 catalyst, two phases were detected; Fe (JCPDS file: 03-065-4899) and Fe</w:t>
      </w:r>
      <w:r w:rsidRPr="002A08CC">
        <w:rPr>
          <w:rFonts w:ascii="Times New Roman" w:eastAsia="Times New Roman" w:hAnsi="Times New Roman" w:cs="Times New Roman"/>
          <w:kern w:val="0"/>
          <w:szCs w:val="20"/>
          <w:vertAlign w:val="subscript"/>
          <w:lang w:eastAsia="en-US"/>
        </w:rPr>
        <w:t>3</w:t>
      </w:r>
      <w:r w:rsidRPr="002A08CC">
        <w:rPr>
          <w:rFonts w:ascii="Times New Roman" w:eastAsia="Times New Roman" w:hAnsi="Times New Roman" w:cs="Times New Roman"/>
          <w:kern w:val="0"/>
          <w:szCs w:val="20"/>
          <w:lang w:eastAsia="en-US"/>
        </w:rPr>
        <w:t>O</w:t>
      </w:r>
      <w:r w:rsidRPr="002A08CC">
        <w:rPr>
          <w:rFonts w:ascii="Times New Roman" w:eastAsia="Times New Roman" w:hAnsi="Times New Roman" w:cs="Times New Roman"/>
          <w:kern w:val="0"/>
          <w:szCs w:val="20"/>
          <w:vertAlign w:val="subscript"/>
          <w:lang w:eastAsia="en-US"/>
        </w:rPr>
        <w:t>4</w:t>
      </w:r>
      <w:r w:rsidRPr="002A08CC">
        <w:rPr>
          <w:rFonts w:ascii="Times New Roman" w:eastAsia="Times New Roman" w:hAnsi="Times New Roman" w:cs="Times New Roman"/>
          <w:kern w:val="0"/>
          <w:szCs w:val="20"/>
          <w:lang w:eastAsia="en-US"/>
        </w:rPr>
        <w:t xml:space="preserve"> (JCPDS file: 01-080-6402</w:t>
      </w:r>
      <w:r w:rsidR="00C77B0B" w:rsidRPr="002A08CC">
        <w:rPr>
          <w:rFonts w:ascii="Times New Roman" w:eastAsia="Times New Roman" w:hAnsi="Times New Roman" w:cs="Times New Roman"/>
          <w:kern w:val="0"/>
          <w:szCs w:val="20"/>
          <w:lang w:eastAsia="en-US"/>
        </w:rPr>
        <w:t>)</w:t>
      </w:r>
      <w:r w:rsidRPr="002A08CC">
        <w:rPr>
          <w:rFonts w:ascii="Times New Roman" w:eastAsia="Times New Roman" w:hAnsi="Times New Roman" w:cs="Times New Roman"/>
          <w:kern w:val="0"/>
          <w:szCs w:val="20"/>
          <w:lang w:eastAsia="en-US"/>
        </w:rPr>
        <w:t xml:space="preserve">. For the Fe-Ni catalysts, besides the diffraction peaks of </w:t>
      </w:r>
      <w:proofErr w:type="spellStart"/>
      <w:r w:rsidRPr="002A08CC">
        <w:rPr>
          <w:rFonts w:ascii="Times New Roman" w:eastAsia="Times New Roman" w:hAnsi="Times New Roman" w:cs="Times New Roman"/>
          <w:kern w:val="0"/>
          <w:szCs w:val="20"/>
          <w:lang w:eastAsia="en-US"/>
        </w:rPr>
        <w:t>FeNi</w:t>
      </w:r>
      <w:proofErr w:type="spellEnd"/>
      <w:r w:rsidRPr="002A08CC">
        <w:rPr>
          <w:rFonts w:ascii="Times New Roman" w:eastAsia="Times New Roman" w:hAnsi="Times New Roman" w:cs="Times New Roman"/>
          <w:kern w:val="0"/>
          <w:szCs w:val="20"/>
          <w:lang w:eastAsia="en-US"/>
        </w:rPr>
        <w:t xml:space="preserve"> (JCPDS file: 01-080-7663), the diffraction peak of Fe</w:t>
      </w:r>
      <w:r w:rsidRPr="002A08CC">
        <w:rPr>
          <w:rFonts w:ascii="Times New Roman" w:eastAsia="Times New Roman" w:hAnsi="Times New Roman" w:cs="Times New Roman"/>
          <w:kern w:val="0"/>
          <w:szCs w:val="20"/>
          <w:vertAlign w:val="subscript"/>
          <w:lang w:eastAsia="en-US"/>
        </w:rPr>
        <w:t>3</w:t>
      </w:r>
      <w:r w:rsidRPr="002A08CC">
        <w:rPr>
          <w:rFonts w:ascii="Times New Roman" w:eastAsia="Times New Roman" w:hAnsi="Times New Roman" w:cs="Times New Roman"/>
          <w:kern w:val="0"/>
          <w:szCs w:val="20"/>
          <w:lang w:eastAsia="en-US"/>
        </w:rPr>
        <w:t>O</w:t>
      </w:r>
      <w:r w:rsidRPr="002A08CC">
        <w:rPr>
          <w:rFonts w:ascii="Times New Roman" w:eastAsia="Times New Roman" w:hAnsi="Times New Roman" w:cs="Times New Roman"/>
          <w:kern w:val="0"/>
          <w:szCs w:val="20"/>
          <w:vertAlign w:val="subscript"/>
          <w:lang w:eastAsia="en-US"/>
        </w:rPr>
        <w:t>4</w:t>
      </w:r>
      <w:r w:rsidRPr="002A08CC">
        <w:rPr>
          <w:rFonts w:ascii="Times New Roman" w:eastAsia="Times New Roman" w:hAnsi="Times New Roman" w:cs="Times New Roman"/>
          <w:kern w:val="0"/>
          <w:szCs w:val="20"/>
          <w:lang w:eastAsia="en-US"/>
        </w:rPr>
        <w:t xml:space="preserve"> also detected. A comparatively low intensity of Fe</w:t>
      </w:r>
      <w:r w:rsidRPr="002A08CC">
        <w:rPr>
          <w:rFonts w:ascii="Times New Roman" w:eastAsia="Times New Roman" w:hAnsi="Times New Roman" w:cs="Times New Roman"/>
          <w:kern w:val="0"/>
          <w:szCs w:val="20"/>
          <w:vertAlign w:val="subscript"/>
          <w:lang w:eastAsia="en-US"/>
        </w:rPr>
        <w:t>3</w:t>
      </w:r>
      <w:r w:rsidRPr="002A08CC">
        <w:rPr>
          <w:rFonts w:ascii="Times New Roman" w:eastAsia="Times New Roman" w:hAnsi="Times New Roman" w:cs="Times New Roman"/>
          <w:kern w:val="0"/>
          <w:szCs w:val="20"/>
          <w:lang w:eastAsia="en-US"/>
        </w:rPr>
        <w:t>O</w:t>
      </w:r>
      <w:r w:rsidRPr="002A08CC">
        <w:rPr>
          <w:rFonts w:ascii="Times New Roman" w:eastAsia="Times New Roman" w:hAnsi="Times New Roman" w:cs="Times New Roman"/>
          <w:kern w:val="0"/>
          <w:szCs w:val="20"/>
          <w:vertAlign w:val="subscript"/>
          <w:lang w:eastAsia="en-US"/>
        </w:rPr>
        <w:t>4</w:t>
      </w:r>
      <w:r w:rsidRPr="002A08CC">
        <w:rPr>
          <w:rFonts w:ascii="Times New Roman" w:eastAsia="Times New Roman" w:hAnsi="Times New Roman" w:cs="Times New Roman"/>
          <w:kern w:val="0"/>
          <w:szCs w:val="20"/>
          <w:lang w:eastAsia="en-US"/>
        </w:rPr>
        <w:t xml:space="preserve"> phase was detected on FN991 catalyst than other percentage ration. This indicate that low nickel composition is easy to reduce to form pure metallic.</w:t>
      </w:r>
    </w:p>
    <w:p w:rsidR="0022030C" w:rsidRPr="002A08CC" w:rsidRDefault="0022030C" w:rsidP="0022030C">
      <w:pPr>
        <w:widowControl/>
        <w:wordWrap/>
        <w:autoSpaceDE/>
        <w:autoSpaceDN/>
        <w:rPr>
          <w:rFonts w:ascii="Times New Roman" w:eastAsia="Times New Roman" w:hAnsi="Times New Roman" w:cs="Times New Roman"/>
          <w:kern w:val="0"/>
          <w:szCs w:val="20"/>
          <w:lang w:eastAsia="en-US"/>
        </w:rPr>
      </w:pPr>
    </w:p>
    <w:p w:rsidR="0022030C" w:rsidRPr="002A08CC" w:rsidRDefault="0022030C" w:rsidP="00F210E8">
      <w:pPr>
        <w:widowControl/>
        <w:wordWrap/>
        <w:autoSpaceDE/>
        <w:autoSpaceDN/>
        <w:jc w:val="center"/>
        <w:rPr>
          <w:rFonts w:ascii="Times New Roman" w:eastAsia="Times New Roman" w:hAnsi="Times New Roman" w:cs="Times New Roman"/>
          <w:kern w:val="0"/>
          <w:szCs w:val="20"/>
          <w:lang w:eastAsia="en-US"/>
        </w:rPr>
      </w:pPr>
      <w:r w:rsidRPr="002A08CC">
        <w:rPr>
          <w:noProof/>
          <w:lang w:eastAsia="en-US"/>
        </w:rPr>
        <w:drawing>
          <wp:inline distT="0" distB="0" distL="0" distR="0">
            <wp:extent cx="3855600" cy="2440548"/>
            <wp:effectExtent l="19050" t="1905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5600" cy="2440548"/>
                    </a:xfrm>
                    <a:prstGeom prst="rect">
                      <a:avLst/>
                    </a:prstGeom>
                    <a:noFill/>
                    <a:ln>
                      <a:solidFill>
                        <a:schemeClr val="tx1"/>
                      </a:solidFill>
                    </a:ln>
                  </pic:spPr>
                </pic:pic>
              </a:graphicData>
            </a:graphic>
          </wp:inline>
        </w:drawing>
      </w:r>
    </w:p>
    <w:p w:rsidR="0022030C" w:rsidRPr="00C56AFE" w:rsidRDefault="00C77B0B" w:rsidP="0022030C">
      <w:pPr>
        <w:pStyle w:val="FigureCaption"/>
        <w:rPr>
          <w:sz w:val="20"/>
        </w:rPr>
      </w:pPr>
      <w:r w:rsidRPr="00C56AFE">
        <w:rPr>
          <w:sz w:val="20"/>
        </w:rPr>
        <w:t>Figure</w:t>
      </w:r>
      <w:r w:rsidR="00F210E8">
        <w:rPr>
          <w:sz w:val="20"/>
        </w:rPr>
        <w:t xml:space="preserve"> 2. </w:t>
      </w:r>
      <w:r w:rsidR="0022030C" w:rsidRPr="00C56AFE">
        <w:rPr>
          <w:sz w:val="20"/>
        </w:rPr>
        <w:t xml:space="preserve">XRD </w:t>
      </w:r>
      <w:proofErr w:type="spellStart"/>
      <w:r w:rsidR="0022030C" w:rsidRPr="00C56AFE">
        <w:rPr>
          <w:sz w:val="20"/>
        </w:rPr>
        <w:t>diffractograms</w:t>
      </w:r>
      <w:proofErr w:type="spellEnd"/>
      <w:r w:rsidR="0022030C" w:rsidRPr="00C56AFE">
        <w:rPr>
          <w:sz w:val="20"/>
        </w:rPr>
        <w:t xml:space="preserve"> of prepared (a) F100, (b) FN991, (c) FN973 and (d) FN955</w:t>
      </w:r>
    </w:p>
    <w:p w:rsidR="0022030C" w:rsidRPr="002A08CC" w:rsidRDefault="0022030C" w:rsidP="0022030C">
      <w:pPr>
        <w:widowControl/>
        <w:wordWrap/>
        <w:autoSpaceDE/>
        <w:autoSpaceDN/>
        <w:rPr>
          <w:rFonts w:ascii="Times New Roman" w:eastAsia="Times New Roman" w:hAnsi="Times New Roman" w:cs="Times New Roman"/>
          <w:kern w:val="0"/>
          <w:szCs w:val="18"/>
          <w:lang w:eastAsia="en-US"/>
        </w:rPr>
      </w:pPr>
    </w:p>
    <w:p w:rsidR="0022030C" w:rsidRPr="002A08CC" w:rsidRDefault="0022030C" w:rsidP="0022030C">
      <w:pPr>
        <w:widowControl/>
        <w:wordWrap/>
        <w:autoSpaceDE/>
        <w:autoSpaceDN/>
        <w:rPr>
          <w:rFonts w:ascii="Times New Roman" w:eastAsia="Times New Roman" w:hAnsi="Times New Roman" w:cs="Times New Roman"/>
          <w:kern w:val="0"/>
          <w:szCs w:val="18"/>
          <w:lang w:eastAsia="en-US"/>
        </w:rPr>
      </w:pPr>
      <w:r w:rsidRPr="002A08CC">
        <w:rPr>
          <w:rFonts w:ascii="Times New Roman" w:eastAsia="Times New Roman" w:hAnsi="Times New Roman" w:cs="Times New Roman"/>
          <w:kern w:val="0"/>
          <w:szCs w:val="18"/>
          <w:lang w:eastAsia="en-US"/>
        </w:rPr>
        <w:t xml:space="preserve">The SEM images in </w:t>
      </w:r>
      <w:r w:rsidR="00C77B0B" w:rsidRPr="002A08CC">
        <w:rPr>
          <w:rFonts w:ascii="Times New Roman" w:eastAsia="Times New Roman" w:hAnsi="Times New Roman" w:cs="Times New Roman"/>
          <w:kern w:val="0"/>
          <w:szCs w:val="18"/>
          <w:lang w:eastAsia="en-US"/>
        </w:rPr>
        <w:t>Figure</w:t>
      </w:r>
      <w:r w:rsidRPr="002A08CC">
        <w:rPr>
          <w:rFonts w:ascii="Times New Roman" w:eastAsia="Times New Roman" w:hAnsi="Times New Roman" w:cs="Times New Roman"/>
          <w:kern w:val="0"/>
          <w:szCs w:val="18"/>
          <w:lang w:eastAsia="en-US"/>
        </w:rPr>
        <w:t xml:space="preserve"> 3 (a-d) show the porous structures of the prepared Fe and </w:t>
      </w:r>
      <w:proofErr w:type="spellStart"/>
      <w:r w:rsidRPr="002A08CC">
        <w:rPr>
          <w:rFonts w:ascii="Times New Roman" w:eastAsia="Times New Roman" w:hAnsi="Times New Roman" w:cs="Times New Roman"/>
          <w:kern w:val="0"/>
          <w:szCs w:val="18"/>
          <w:lang w:eastAsia="en-US"/>
        </w:rPr>
        <w:t>FeNi</w:t>
      </w:r>
      <w:proofErr w:type="spellEnd"/>
      <w:r w:rsidRPr="002A08CC">
        <w:rPr>
          <w:rFonts w:ascii="Times New Roman" w:eastAsia="Times New Roman" w:hAnsi="Times New Roman" w:cs="Times New Roman"/>
          <w:kern w:val="0"/>
          <w:szCs w:val="18"/>
          <w:lang w:eastAsia="en-US"/>
        </w:rPr>
        <w:t xml:space="preserve"> catalysts by microwave combustion method. Their morphological characteristics were investigated by variable pressure scanning electron microscope (VPSEM). As can be seen in </w:t>
      </w:r>
      <w:r w:rsidR="004A5DC6" w:rsidRPr="002A08CC">
        <w:rPr>
          <w:rFonts w:ascii="Times New Roman" w:eastAsia="Times New Roman" w:hAnsi="Times New Roman" w:cs="Times New Roman"/>
          <w:kern w:val="0"/>
          <w:szCs w:val="18"/>
          <w:lang w:eastAsia="en-US"/>
        </w:rPr>
        <w:t>Figure</w:t>
      </w:r>
      <w:r w:rsidRPr="002A08CC">
        <w:rPr>
          <w:rFonts w:ascii="Times New Roman" w:eastAsia="Times New Roman" w:hAnsi="Times New Roman" w:cs="Times New Roman"/>
          <w:kern w:val="0"/>
          <w:szCs w:val="18"/>
          <w:lang w:eastAsia="en-US"/>
        </w:rPr>
        <w:t xml:space="preserve"> 3, the SEM images show the presence of voids and pores in the samples, which can be attributed to the release of large amount of gas during the </w:t>
      </w:r>
      <w:r w:rsidRPr="002A08CC">
        <w:rPr>
          <w:rFonts w:ascii="Times New Roman" w:eastAsia="Times New Roman" w:hAnsi="Times New Roman" w:cs="Times New Roman"/>
          <w:kern w:val="0"/>
          <w:szCs w:val="18"/>
          <w:lang w:eastAsia="en-US"/>
        </w:rPr>
        <w:lastRenderedPageBreak/>
        <w:t xml:space="preserve">combustion process. The sample has a spongy structure and one can see that the formation of multigrain agglomeration consisted of very fine crystallite. </w:t>
      </w:r>
    </w:p>
    <w:p w:rsidR="0022030C" w:rsidRPr="002A08CC" w:rsidRDefault="0022030C" w:rsidP="0022030C">
      <w:pPr>
        <w:widowControl/>
        <w:wordWrap/>
        <w:autoSpaceDE/>
        <w:autoSpaceDN/>
        <w:rPr>
          <w:rFonts w:ascii="Times New Roman" w:eastAsia="Times New Roman" w:hAnsi="Times New Roman" w:cs="Times New Roman"/>
          <w:kern w:val="0"/>
          <w:szCs w:val="18"/>
          <w:lang w:eastAsia="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7"/>
        <w:gridCol w:w="4194"/>
      </w:tblGrid>
      <w:tr w:rsidR="0022030C" w:rsidRPr="002A08CC" w:rsidTr="008C24E8">
        <w:trPr>
          <w:jc w:val="center"/>
        </w:trPr>
        <w:tc>
          <w:tcPr>
            <w:tcW w:w="4197" w:type="dxa"/>
          </w:tcPr>
          <w:p w:rsidR="0022030C" w:rsidRPr="002A08CC" w:rsidRDefault="004A7AB1" w:rsidP="004A7AB1">
            <w:pPr>
              <w:jc w:val="right"/>
              <w:rPr>
                <w:szCs w:val="18"/>
              </w:rPr>
            </w:pPr>
            <w:r>
              <w:rPr>
                <w:noProof/>
                <w:lang w:val="en-US" w:eastAsia="en-US"/>
              </w:rPr>
              <w:pict>
                <v:shapetype id="_x0000_t202" coordsize="21600,21600" o:spt="202" path="m,l,21600r21600,l21600,xe">
                  <v:stroke joinstyle="miter"/>
                  <v:path gradientshapeok="t" o:connecttype="rect"/>
                </v:shapetype>
                <v:shape id="_x0000_s1029" type="#_x0000_t202" style="position:absolute;left:0;text-align:left;margin-left:15.7pt;margin-top:3.05pt;width:28.8pt;height:21.95pt;z-index:251663360" filled="f" stroked="f">
                  <v:textbox>
                    <w:txbxContent>
                      <w:p w:rsidR="004A7AB1" w:rsidRPr="004A7AB1" w:rsidRDefault="004A7AB1">
                        <w:pPr>
                          <w:rPr>
                            <w:rFonts w:ascii="Times New Roman" w:hAnsi="Times New Roman" w:cs="Times New Roman"/>
                            <w:b/>
                            <w:color w:val="FFFFFF" w:themeColor="background1"/>
                          </w:rPr>
                        </w:pPr>
                        <w:r w:rsidRPr="004A7AB1">
                          <w:rPr>
                            <w:rFonts w:ascii="Times New Roman" w:hAnsi="Times New Roman" w:cs="Times New Roman"/>
                            <w:b/>
                            <w:color w:val="FFFFFF" w:themeColor="background1"/>
                          </w:rPr>
                          <w:t>(a)</w:t>
                        </w:r>
                      </w:p>
                    </w:txbxContent>
                  </v:textbox>
                </v:shape>
              </w:pict>
            </w:r>
            <w:r w:rsidR="0022030C" w:rsidRPr="002A08CC">
              <w:rPr>
                <w:noProof/>
                <w:lang w:eastAsia="en-US"/>
              </w:rPr>
              <w:drawing>
                <wp:inline distT="0" distB="0" distL="0" distR="0">
                  <wp:extent cx="2359586" cy="1769423"/>
                  <wp:effectExtent l="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4872" cy="1773387"/>
                          </a:xfrm>
                          <a:prstGeom prst="rect">
                            <a:avLst/>
                          </a:prstGeom>
                          <a:noFill/>
                          <a:ln>
                            <a:noFill/>
                          </a:ln>
                        </pic:spPr>
                      </pic:pic>
                    </a:graphicData>
                  </a:graphic>
                </wp:inline>
              </w:drawing>
            </w:r>
          </w:p>
        </w:tc>
        <w:tc>
          <w:tcPr>
            <w:tcW w:w="4194" w:type="dxa"/>
          </w:tcPr>
          <w:p w:rsidR="0022030C" w:rsidRPr="002A08CC" w:rsidRDefault="004A7AB1" w:rsidP="004A7AB1">
            <w:pPr>
              <w:rPr>
                <w:szCs w:val="18"/>
              </w:rPr>
            </w:pPr>
            <w:r>
              <w:rPr>
                <w:rFonts w:eastAsia="Times New Roman"/>
                <w:noProof/>
                <w:kern w:val="0"/>
                <w:szCs w:val="18"/>
                <w:lang w:eastAsia="en-US"/>
              </w:rPr>
              <w:pict>
                <v:shape id="_x0000_s1030" type="#_x0000_t202" style="position:absolute;left:0;text-align:left;margin-left:0;margin-top:3.05pt;width:28.8pt;height:21.95pt;z-index:251664384;mso-position-horizontal-relative:text;mso-position-vertical-relative:text" filled="f" stroked="f">
                  <v:textbox>
                    <w:txbxContent>
                      <w:p w:rsidR="004A7AB1" w:rsidRPr="004A7AB1" w:rsidRDefault="004A7AB1" w:rsidP="004A7AB1">
                        <w:pPr>
                          <w:rPr>
                            <w:rFonts w:ascii="Times New Roman" w:hAnsi="Times New Roman" w:cs="Times New Roman"/>
                            <w:b/>
                            <w:color w:val="FFFFFF" w:themeColor="background1"/>
                          </w:rPr>
                        </w:pPr>
                        <w:r>
                          <w:rPr>
                            <w:rFonts w:ascii="Times New Roman" w:hAnsi="Times New Roman" w:cs="Times New Roman"/>
                            <w:b/>
                            <w:color w:val="FFFFFF" w:themeColor="background1"/>
                          </w:rPr>
                          <w:t>(b</w:t>
                        </w:r>
                        <w:r w:rsidRPr="004A7AB1">
                          <w:rPr>
                            <w:rFonts w:ascii="Times New Roman" w:hAnsi="Times New Roman" w:cs="Times New Roman"/>
                            <w:b/>
                            <w:color w:val="FFFFFF" w:themeColor="background1"/>
                          </w:rPr>
                          <w:t>)</w:t>
                        </w:r>
                      </w:p>
                    </w:txbxContent>
                  </v:textbox>
                </v:shape>
              </w:pict>
            </w:r>
            <w:r w:rsidR="00413C9B" w:rsidRPr="002A08CC">
              <w:rPr>
                <w:noProof/>
                <w:szCs w:val="18"/>
                <w:lang w:eastAsia="en-US"/>
              </w:rPr>
              <w:drawing>
                <wp:inline distT="0" distB="0" distL="0" distR="0">
                  <wp:extent cx="2358638" cy="17691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N991_03.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68102" cy="1776209"/>
                          </a:xfrm>
                          <a:prstGeom prst="rect">
                            <a:avLst/>
                          </a:prstGeom>
                        </pic:spPr>
                      </pic:pic>
                    </a:graphicData>
                  </a:graphic>
                </wp:inline>
              </w:drawing>
            </w:r>
          </w:p>
        </w:tc>
      </w:tr>
      <w:tr w:rsidR="00F43FE2" w:rsidRPr="002A08CC" w:rsidTr="008C24E8">
        <w:trPr>
          <w:jc w:val="center"/>
        </w:trPr>
        <w:tc>
          <w:tcPr>
            <w:tcW w:w="4197" w:type="dxa"/>
          </w:tcPr>
          <w:p w:rsidR="00F43FE2" w:rsidRPr="002A08CC" w:rsidRDefault="00F43FE2" w:rsidP="008C24E8">
            <w:pPr>
              <w:jc w:val="center"/>
              <w:rPr>
                <w:noProof/>
                <w:lang w:eastAsia="en-US"/>
              </w:rPr>
            </w:pPr>
          </w:p>
        </w:tc>
        <w:tc>
          <w:tcPr>
            <w:tcW w:w="4194" w:type="dxa"/>
          </w:tcPr>
          <w:p w:rsidR="00F43FE2" w:rsidRPr="002A08CC" w:rsidRDefault="00F43FE2" w:rsidP="008C24E8">
            <w:pPr>
              <w:jc w:val="center"/>
              <w:rPr>
                <w:szCs w:val="18"/>
              </w:rPr>
            </w:pPr>
          </w:p>
        </w:tc>
      </w:tr>
      <w:tr w:rsidR="0022030C" w:rsidRPr="002A08CC" w:rsidTr="008C24E8">
        <w:trPr>
          <w:jc w:val="center"/>
        </w:trPr>
        <w:tc>
          <w:tcPr>
            <w:tcW w:w="4197" w:type="dxa"/>
          </w:tcPr>
          <w:p w:rsidR="0022030C" w:rsidRPr="002A08CC" w:rsidRDefault="004A7AB1" w:rsidP="004A7AB1">
            <w:pPr>
              <w:jc w:val="right"/>
              <w:rPr>
                <w:szCs w:val="18"/>
              </w:rPr>
            </w:pPr>
            <w:r>
              <w:rPr>
                <w:noProof/>
                <w:lang w:val="en-US" w:eastAsia="en-US"/>
              </w:rPr>
              <w:pict>
                <v:shape id="_x0000_s1031" type="#_x0000_t202" style="position:absolute;left:0;text-align:left;margin-left:15.7pt;margin-top:4.4pt;width:28.8pt;height:21.95pt;z-index:251665408;mso-position-horizontal-relative:text;mso-position-vertical-relative:text" filled="f" stroked="f">
                  <v:textbox>
                    <w:txbxContent>
                      <w:p w:rsidR="004A7AB1" w:rsidRPr="004A7AB1" w:rsidRDefault="004A7AB1" w:rsidP="004A7AB1">
                        <w:pPr>
                          <w:rPr>
                            <w:rFonts w:ascii="Times New Roman" w:hAnsi="Times New Roman" w:cs="Times New Roman"/>
                            <w:b/>
                            <w:color w:val="FFFFFF" w:themeColor="background1"/>
                          </w:rPr>
                        </w:pPr>
                        <w:r>
                          <w:rPr>
                            <w:rFonts w:ascii="Times New Roman" w:hAnsi="Times New Roman" w:cs="Times New Roman"/>
                            <w:b/>
                            <w:color w:val="FFFFFF" w:themeColor="background1"/>
                          </w:rPr>
                          <w:t>(c</w:t>
                        </w:r>
                        <w:r w:rsidRPr="004A7AB1">
                          <w:rPr>
                            <w:rFonts w:ascii="Times New Roman" w:hAnsi="Times New Roman" w:cs="Times New Roman"/>
                            <w:b/>
                            <w:color w:val="FFFFFF" w:themeColor="background1"/>
                          </w:rPr>
                          <w:t>)</w:t>
                        </w:r>
                      </w:p>
                    </w:txbxContent>
                  </v:textbox>
                </v:shape>
              </w:pict>
            </w:r>
            <w:r w:rsidR="0022030C" w:rsidRPr="002A08CC">
              <w:rPr>
                <w:noProof/>
                <w:lang w:eastAsia="en-US"/>
              </w:rPr>
              <w:drawing>
                <wp:inline distT="0" distB="0" distL="0" distR="0">
                  <wp:extent cx="2359588" cy="1769424"/>
                  <wp:effectExtent l="0" t="0" r="0" b="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70272" cy="1777435"/>
                          </a:xfrm>
                          <a:prstGeom prst="rect">
                            <a:avLst/>
                          </a:prstGeom>
                          <a:noFill/>
                          <a:ln>
                            <a:noFill/>
                          </a:ln>
                        </pic:spPr>
                      </pic:pic>
                    </a:graphicData>
                  </a:graphic>
                </wp:inline>
              </w:drawing>
            </w:r>
          </w:p>
        </w:tc>
        <w:tc>
          <w:tcPr>
            <w:tcW w:w="4194" w:type="dxa"/>
          </w:tcPr>
          <w:p w:rsidR="0022030C" w:rsidRPr="002A08CC" w:rsidRDefault="004A7AB1" w:rsidP="004A7AB1">
            <w:pPr>
              <w:rPr>
                <w:szCs w:val="18"/>
              </w:rPr>
            </w:pPr>
            <w:r>
              <w:rPr>
                <w:rFonts w:eastAsia="Times New Roman"/>
                <w:noProof/>
                <w:kern w:val="0"/>
                <w:szCs w:val="18"/>
                <w:lang w:eastAsia="en-US"/>
              </w:rPr>
              <w:pict>
                <v:shape id="_x0000_s1032" type="#_x0000_t202" style="position:absolute;left:0;text-align:left;margin-left:3.8pt;margin-top:2.55pt;width:28.8pt;height:21.95pt;z-index:251666432;mso-position-horizontal-relative:text;mso-position-vertical-relative:text" filled="f" stroked="f">
                  <v:textbox>
                    <w:txbxContent>
                      <w:p w:rsidR="004A7AB1" w:rsidRPr="004A7AB1" w:rsidRDefault="004A7AB1" w:rsidP="004A7AB1">
                        <w:pPr>
                          <w:rPr>
                            <w:rFonts w:ascii="Times New Roman" w:hAnsi="Times New Roman" w:cs="Times New Roman"/>
                            <w:b/>
                            <w:color w:val="FFFFFF" w:themeColor="background1"/>
                          </w:rPr>
                        </w:pPr>
                        <w:r>
                          <w:rPr>
                            <w:rFonts w:ascii="Times New Roman" w:hAnsi="Times New Roman" w:cs="Times New Roman"/>
                            <w:b/>
                            <w:color w:val="FFFFFF" w:themeColor="background1"/>
                          </w:rPr>
                          <w:t>(d</w:t>
                        </w:r>
                        <w:r w:rsidRPr="004A7AB1">
                          <w:rPr>
                            <w:rFonts w:ascii="Times New Roman" w:hAnsi="Times New Roman" w:cs="Times New Roman"/>
                            <w:b/>
                            <w:color w:val="FFFFFF" w:themeColor="background1"/>
                          </w:rPr>
                          <w:t>)</w:t>
                        </w:r>
                      </w:p>
                    </w:txbxContent>
                  </v:textbox>
                </v:shape>
              </w:pict>
            </w:r>
            <w:r w:rsidR="00413C9B" w:rsidRPr="002A08CC">
              <w:rPr>
                <w:noProof/>
                <w:szCs w:val="18"/>
                <w:lang w:eastAsia="en-US"/>
              </w:rPr>
              <w:drawing>
                <wp:inline distT="0" distB="0" distL="0" distR="0">
                  <wp:extent cx="2358917" cy="17693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N955_06.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6666" cy="1775130"/>
                          </a:xfrm>
                          <a:prstGeom prst="rect">
                            <a:avLst/>
                          </a:prstGeom>
                        </pic:spPr>
                      </pic:pic>
                    </a:graphicData>
                  </a:graphic>
                </wp:inline>
              </w:drawing>
            </w:r>
          </w:p>
        </w:tc>
      </w:tr>
    </w:tbl>
    <w:p w:rsidR="0022030C" w:rsidRPr="00C56AFE" w:rsidRDefault="004A5DC6" w:rsidP="0022030C">
      <w:pPr>
        <w:pStyle w:val="TableCaption"/>
        <w:rPr>
          <w:sz w:val="20"/>
          <w:szCs w:val="20"/>
        </w:rPr>
      </w:pPr>
      <w:r w:rsidRPr="00C56AFE">
        <w:rPr>
          <w:sz w:val="20"/>
          <w:szCs w:val="20"/>
        </w:rPr>
        <w:t>Figure</w:t>
      </w:r>
      <w:r w:rsidR="004A7AB1">
        <w:rPr>
          <w:sz w:val="20"/>
          <w:szCs w:val="20"/>
        </w:rPr>
        <w:t xml:space="preserve"> 3. </w:t>
      </w:r>
      <w:r w:rsidR="0022030C" w:rsidRPr="00C56AFE">
        <w:rPr>
          <w:sz w:val="20"/>
          <w:szCs w:val="20"/>
        </w:rPr>
        <w:t>SEM images of prepared (a) F100, (b) FN991, (c) FN973 and (d) FN955</w:t>
      </w:r>
    </w:p>
    <w:p w:rsidR="0022030C" w:rsidRPr="002A08CC" w:rsidRDefault="0022030C" w:rsidP="0022030C">
      <w:pPr>
        <w:widowControl/>
        <w:wordWrap/>
        <w:autoSpaceDE/>
        <w:autoSpaceDN/>
        <w:rPr>
          <w:rFonts w:ascii="Times New Roman" w:eastAsia="Times New Roman" w:hAnsi="Times New Roman" w:cs="Times New Roman"/>
          <w:kern w:val="0"/>
          <w:szCs w:val="18"/>
          <w:lang w:eastAsia="en-US"/>
        </w:rPr>
      </w:pPr>
    </w:p>
    <w:p w:rsidR="0022030C" w:rsidRDefault="004A5DC6" w:rsidP="0022030C">
      <w:pPr>
        <w:rPr>
          <w:rFonts w:ascii="Times New Roman" w:hAnsi="Times New Roman" w:cs="Times New Roman"/>
          <w:lang w:eastAsia="en-US"/>
        </w:rPr>
      </w:pPr>
      <w:r w:rsidRPr="002A08CC">
        <w:rPr>
          <w:rFonts w:ascii="Times New Roman" w:hAnsi="Times New Roman" w:cs="Times New Roman"/>
          <w:lang w:eastAsia="en-US"/>
        </w:rPr>
        <w:t>Figure</w:t>
      </w:r>
      <w:r w:rsidR="0022030C" w:rsidRPr="002A08CC">
        <w:rPr>
          <w:rFonts w:ascii="Times New Roman" w:hAnsi="Times New Roman" w:cs="Times New Roman"/>
          <w:lang w:eastAsia="en-US"/>
        </w:rPr>
        <w:t xml:space="preserve"> 4 shows the graph of H</w:t>
      </w:r>
      <w:r w:rsidR="0022030C" w:rsidRPr="002A08CC">
        <w:rPr>
          <w:rFonts w:ascii="Times New Roman" w:hAnsi="Times New Roman" w:cs="Times New Roman"/>
          <w:vertAlign w:val="subscript"/>
          <w:lang w:eastAsia="en-US"/>
        </w:rPr>
        <w:t>2</w:t>
      </w:r>
      <w:r w:rsidR="0022030C" w:rsidRPr="002A08CC">
        <w:rPr>
          <w:rFonts w:ascii="Times New Roman" w:hAnsi="Times New Roman" w:cs="Times New Roman"/>
          <w:lang w:eastAsia="en-US"/>
        </w:rPr>
        <w:t xml:space="preserve"> production against time. As the time increases, the activity of catalyst decreases.</w:t>
      </w:r>
      <w:r w:rsidR="00A82523" w:rsidRPr="002A08CC">
        <w:rPr>
          <w:rFonts w:ascii="Times New Roman" w:hAnsi="Times New Roman" w:cs="Times New Roman"/>
          <w:lang w:eastAsia="en-US"/>
        </w:rPr>
        <w:t xml:space="preserve"> </w:t>
      </w:r>
      <w:r w:rsidR="00F43FE2" w:rsidRPr="002A08CC">
        <w:rPr>
          <w:rFonts w:ascii="Times New Roman" w:hAnsi="Times New Roman" w:cs="Times New Roman"/>
          <w:lang w:eastAsia="en-US"/>
        </w:rPr>
        <w:t xml:space="preserve">The FN973 catalyst was showed a significant decrement in activity compared to other catalysts. </w:t>
      </w:r>
      <w:r w:rsidR="00A82523" w:rsidRPr="002A08CC">
        <w:rPr>
          <w:rFonts w:ascii="Times New Roman" w:hAnsi="Times New Roman" w:cs="Times New Roman"/>
          <w:lang w:eastAsia="en-US"/>
        </w:rPr>
        <w:t>This</w:t>
      </w:r>
      <w:r w:rsidR="00E020F9" w:rsidRPr="002A08CC">
        <w:rPr>
          <w:rFonts w:ascii="Times New Roman" w:hAnsi="Times New Roman" w:cs="Times New Roman"/>
          <w:lang w:eastAsia="en-US"/>
        </w:rPr>
        <w:t xml:space="preserve"> </w:t>
      </w:r>
      <w:r w:rsidR="00B171EF" w:rsidRPr="002A08CC">
        <w:rPr>
          <w:rFonts w:ascii="Times New Roman" w:hAnsi="Times New Roman" w:cs="Times New Roman"/>
          <w:lang w:eastAsia="en-US"/>
        </w:rPr>
        <w:t>degradation of the catalyst</w:t>
      </w:r>
      <w:r w:rsidR="004363EE" w:rsidRPr="002A08CC">
        <w:rPr>
          <w:rFonts w:ascii="Times New Roman" w:hAnsi="Times New Roman" w:cs="Times New Roman"/>
          <w:lang w:eastAsia="en-US"/>
        </w:rPr>
        <w:t>s</w:t>
      </w:r>
      <w:r w:rsidR="00B171EF" w:rsidRPr="002A08CC">
        <w:rPr>
          <w:rFonts w:ascii="Times New Roman" w:hAnsi="Times New Roman" w:cs="Times New Roman"/>
          <w:lang w:eastAsia="en-US"/>
        </w:rPr>
        <w:t xml:space="preserve"> activity is due to the decreases of formic acid concentration during the reaction process </w:t>
      </w:r>
      <w:r w:rsidR="00F43FE2" w:rsidRPr="002A08CC">
        <w:rPr>
          <w:rFonts w:ascii="Times New Roman" w:hAnsi="Times New Roman" w:cs="Times New Roman"/>
          <w:lang w:eastAsia="en-US"/>
        </w:rPr>
        <w:t xml:space="preserve">which some of them consumed and decompose into hydrogen and carbon dioxide </w:t>
      </w:r>
      <w:r w:rsidR="00B171EF" w:rsidRPr="002A08CC">
        <w:rPr>
          <w:rFonts w:ascii="Times New Roman" w:hAnsi="Times New Roman" w:cs="Times New Roman"/>
          <w:lang w:eastAsia="en-US"/>
        </w:rPr>
        <w:t xml:space="preserve">[4]. </w:t>
      </w:r>
      <w:r w:rsidR="00F43FE2" w:rsidRPr="002A08CC">
        <w:rPr>
          <w:rFonts w:ascii="Times New Roman" w:hAnsi="Times New Roman" w:cs="Times New Roman"/>
          <w:lang w:eastAsia="en-US"/>
        </w:rPr>
        <w:t>It was found that t</w:t>
      </w:r>
      <w:r w:rsidR="0022030C" w:rsidRPr="002A08CC">
        <w:rPr>
          <w:rFonts w:ascii="Times New Roman" w:hAnsi="Times New Roman" w:cs="Times New Roman"/>
          <w:lang w:eastAsia="en-US"/>
        </w:rPr>
        <w:t xml:space="preserve">he </w:t>
      </w:r>
      <w:r w:rsidR="00F43FE2" w:rsidRPr="002A08CC">
        <w:rPr>
          <w:rFonts w:ascii="Times New Roman" w:hAnsi="Times New Roman" w:cs="Times New Roman"/>
          <w:lang w:eastAsia="en-US"/>
        </w:rPr>
        <w:t>FN991 catalyst showed the most</w:t>
      </w:r>
      <w:r w:rsidR="0022030C" w:rsidRPr="002A08CC">
        <w:rPr>
          <w:rFonts w:ascii="Times New Roman" w:hAnsi="Times New Roman" w:cs="Times New Roman"/>
          <w:lang w:eastAsia="en-US"/>
        </w:rPr>
        <w:t xml:space="preserve"> excellent H</w:t>
      </w:r>
      <w:r w:rsidR="0022030C" w:rsidRPr="002A08CC">
        <w:rPr>
          <w:rFonts w:ascii="Times New Roman" w:hAnsi="Times New Roman" w:cs="Times New Roman"/>
          <w:vertAlign w:val="subscript"/>
          <w:lang w:eastAsia="en-US"/>
        </w:rPr>
        <w:t>2</w:t>
      </w:r>
      <w:r w:rsidR="0022030C" w:rsidRPr="002A08CC">
        <w:rPr>
          <w:rFonts w:ascii="Times New Roman" w:hAnsi="Times New Roman" w:cs="Times New Roman"/>
          <w:lang w:eastAsia="en-US"/>
        </w:rPr>
        <w:t xml:space="preserve"> selectivity. The selectivity for H</w:t>
      </w:r>
      <w:r w:rsidR="0022030C" w:rsidRPr="002A08CC">
        <w:rPr>
          <w:rFonts w:ascii="Times New Roman" w:hAnsi="Times New Roman" w:cs="Times New Roman"/>
          <w:vertAlign w:val="subscript"/>
          <w:lang w:eastAsia="en-US"/>
        </w:rPr>
        <w:t>2</w:t>
      </w:r>
      <w:r w:rsidR="0022030C" w:rsidRPr="002A08CC">
        <w:rPr>
          <w:rFonts w:ascii="Times New Roman" w:hAnsi="Times New Roman" w:cs="Times New Roman"/>
          <w:lang w:eastAsia="en-US"/>
        </w:rPr>
        <w:t xml:space="preserve"> formation was 94-99% even at maximum conversion of formic acid. </w:t>
      </w:r>
    </w:p>
    <w:p w:rsidR="004A7AB1" w:rsidRPr="002A08CC" w:rsidRDefault="004A7AB1" w:rsidP="0022030C">
      <w:pPr>
        <w:rPr>
          <w:rFonts w:ascii="Times New Roman" w:hAnsi="Times New Roman" w:cs="Times New Roman"/>
          <w:lang w:eastAsia="en-US"/>
        </w:rPr>
      </w:pPr>
    </w:p>
    <w:p w:rsidR="0022030C" w:rsidRPr="002A08CC" w:rsidRDefault="0022030C" w:rsidP="0022030C">
      <w:pPr>
        <w:jc w:val="center"/>
        <w:rPr>
          <w:rFonts w:ascii="Times New Roman" w:hAnsi="Times New Roman" w:cs="Times New Roman"/>
          <w:lang w:eastAsia="en-US"/>
        </w:rPr>
      </w:pPr>
      <w:r w:rsidRPr="002A08CC">
        <w:rPr>
          <w:noProof/>
          <w:sz w:val="24"/>
          <w:szCs w:val="24"/>
          <w:lang w:eastAsia="en-US"/>
        </w:rPr>
        <w:drawing>
          <wp:inline distT="0" distB="0" distL="0" distR="0">
            <wp:extent cx="3418840" cy="2133600"/>
            <wp:effectExtent l="19050" t="1905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clrChange>
                        <a:clrFrom>
                          <a:srgbClr val="000000"/>
                        </a:clrFrom>
                        <a:clrTo>
                          <a:srgbClr val="000000">
                            <a:alpha val="0"/>
                          </a:srgbClr>
                        </a:clrTo>
                      </a:clrChange>
                      <a:extLst>
                        <a:ext uri="{28A0092B-C50C-407E-A947-70E740481C1C}">
                          <a14:useLocalDpi xmlns:a14="http://schemas.microsoft.com/office/drawing/2010/main" val="0"/>
                        </a:ext>
                      </a:extLst>
                    </a:blip>
                    <a:srcRect t="105" b="105"/>
                    <a:stretch>
                      <a:fillRect/>
                    </a:stretch>
                  </pic:blipFill>
                  <pic:spPr bwMode="auto">
                    <a:xfrm>
                      <a:off x="0" y="0"/>
                      <a:ext cx="3437841" cy="2145458"/>
                    </a:xfrm>
                    <a:prstGeom prst="rect">
                      <a:avLst/>
                    </a:prstGeom>
                    <a:noFill/>
                    <a:ln w="6350" cap="rnd">
                      <a:solidFill>
                        <a:schemeClr val="tx1"/>
                      </a:solidFill>
                      <a:round/>
                      <a:headEnd/>
                      <a:tailEnd/>
                    </a:ln>
                    <a:effectLst>
                      <a:outerShdw algn="br" rotWithShape="0">
                        <a:srgbClr val="000000">
                          <a:alpha val="20000"/>
                        </a:srgbClr>
                      </a:outerShdw>
                    </a:effectLst>
                  </pic:spPr>
                </pic:pic>
              </a:graphicData>
            </a:graphic>
          </wp:inline>
        </w:drawing>
      </w:r>
    </w:p>
    <w:p w:rsidR="0022030C" w:rsidRPr="00C56AFE" w:rsidRDefault="004A5DC6" w:rsidP="0022030C">
      <w:pPr>
        <w:pStyle w:val="TableCaption"/>
        <w:rPr>
          <w:sz w:val="20"/>
          <w:szCs w:val="20"/>
        </w:rPr>
      </w:pPr>
      <w:r w:rsidRPr="00C56AFE">
        <w:rPr>
          <w:sz w:val="20"/>
          <w:szCs w:val="20"/>
        </w:rPr>
        <w:t>Figure</w:t>
      </w:r>
      <w:r w:rsidR="004A7AB1">
        <w:rPr>
          <w:sz w:val="20"/>
          <w:szCs w:val="20"/>
        </w:rPr>
        <w:t xml:space="preserve"> 4. </w:t>
      </w:r>
      <w:r w:rsidR="0022030C" w:rsidRPr="00C56AFE">
        <w:rPr>
          <w:sz w:val="20"/>
          <w:szCs w:val="20"/>
        </w:rPr>
        <w:t>Production of H</w:t>
      </w:r>
      <w:r w:rsidR="0022030C" w:rsidRPr="00C56AFE">
        <w:rPr>
          <w:sz w:val="20"/>
          <w:szCs w:val="20"/>
          <w:vertAlign w:val="subscript"/>
        </w:rPr>
        <w:t xml:space="preserve">2 </w:t>
      </w:r>
      <w:r w:rsidR="0022030C" w:rsidRPr="00C56AFE">
        <w:rPr>
          <w:sz w:val="20"/>
          <w:szCs w:val="20"/>
        </w:rPr>
        <w:t>for 120 minutes</w:t>
      </w:r>
    </w:p>
    <w:p w:rsidR="00785CA6" w:rsidRPr="002A08CC" w:rsidRDefault="00785CA6" w:rsidP="00785CA6">
      <w:pPr>
        <w:outlineLvl w:val="0"/>
        <w:rPr>
          <w:rFonts w:ascii="Times New Roman" w:hAnsi="Times New Roman" w:cs="Times New Roman"/>
          <w:szCs w:val="20"/>
        </w:rPr>
      </w:pPr>
    </w:p>
    <w:p w:rsidR="00785CA6" w:rsidRPr="002A08CC" w:rsidRDefault="00785CA6" w:rsidP="00785CA6">
      <w:pPr>
        <w:jc w:val="center"/>
        <w:outlineLvl w:val="0"/>
        <w:rPr>
          <w:rFonts w:ascii="Times New Roman" w:hAnsi="Times New Roman" w:cs="Times New Roman"/>
          <w:b/>
          <w:szCs w:val="20"/>
        </w:rPr>
      </w:pPr>
      <w:r w:rsidRPr="002A08CC">
        <w:rPr>
          <w:rFonts w:ascii="Times New Roman" w:hAnsi="Times New Roman" w:cs="Times New Roman"/>
          <w:b/>
          <w:szCs w:val="20"/>
        </w:rPr>
        <w:t>Conclusion</w:t>
      </w:r>
    </w:p>
    <w:p w:rsidR="007E7AB2" w:rsidRPr="002A08CC" w:rsidRDefault="007E7AB2" w:rsidP="007E7AB2">
      <w:pPr>
        <w:pStyle w:val="Paragraph"/>
        <w:ind w:firstLine="0"/>
      </w:pPr>
      <w:r w:rsidRPr="002A08CC">
        <w:t xml:space="preserve">In this study three bimetallic alloy have been successfully prepared by microwave combustion method using glycine as a fuel. The doping of Ni in the catalyst increase the activity of the produced catalyst. </w:t>
      </w:r>
      <w:proofErr w:type="spellStart"/>
      <w:r w:rsidRPr="002A08CC">
        <w:t>FeNi</w:t>
      </w:r>
      <w:proofErr w:type="spellEnd"/>
      <w:r w:rsidRPr="002A08CC">
        <w:t xml:space="preserve"> bimet</w:t>
      </w:r>
      <w:r w:rsidR="004E2C3D" w:rsidRPr="002A08CC">
        <w:t xml:space="preserve">allic were found to be an </w:t>
      </w:r>
      <w:r w:rsidRPr="002A08CC">
        <w:t xml:space="preserve">active </w:t>
      </w:r>
      <w:r w:rsidR="004E2C3D" w:rsidRPr="002A08CC">
        <w:t xml:space="preserve">catalyst </w:t>
      </w:r>
      <w:r w:rsidRPr="002A08CC">
        <w:t xml:space="preserve">for the formic acid decomposition at room temperature </w:t>
      </w:r>
      <w:r w:rsidR="004E2C3D" w:rsidRPr="002A08CC">
        <w:t>to produce</w:t>
      </w:r>
      <w:r w:rsidRPr="002A08CC">
        <w:t xml:space="preserve"> hydrogen with selectivity </w:t>
      </w:r>
      <w:r w:rsidR="00E574DB" w:rsidRPr="002A08CC">
        <w:t xml:space="preserve">ranging </w:t>
      </w:r>
      <w:r w:rsidRPr="002A08CC">
        <w:t>of 94</w:t>
      </w:r>
      <w:r w:rsidR="004A7AB1">
        <w:t xml:space="preserve"> – </w:t>
      </w:r>
      <w:r w:rsidRPr="002A08CC">
        <w:t>99% for 120 minutes</w:t>
      </w:r>
      <w:r w:rsidR="004E2C3D" w:rsidRPr="002A08CC">
        <w:t xml:space="preserve"> at room condition</w:t>
      </w:r>
      <w:r w:rsidRPr="002A08CC">
        <w:t xml:space="preserve">. The lower Ni content at 1 wt.% showed </w:t>
      </w:r>
      <w:r w:rsidRPr="002A08CC">
        <w:lastRenderedPageBreak/>
        <w:t>a relatively higher selective to hydrogen rather than produce CO</w:t>
      </w:r>
      <w:r w:rsidRPr="002A08CC">
        <w:rPr>
          <w:vertAlign w:val="subscript"/>
        </w:rPr>
        <w:t>2</w:t>
      </w:r>
      <w:r w:rsidRPr="002A08CC">
        <w:t xml:space="preserve"> gas. The utilization of </w:t>
      </w:r>
      <w:r w:rsidR="004E2C3D" w:rsidRPr="002A08CC">
        <w:t xml:space="preserve">low cost transition metal such as </w:t>
      </w:r>
      <w:r w:rsidRPr="002A08CC">
        <w:t>Fe and Ni to produce catalyst for dehydrogenation of formic acid may represent a new approach to develop an efficient catalyst.</w:t>
      </w:r>
    </w:p>
    <w:p w:rsidR="00785CA6" w:rsidRPr="002A08CC" w:rsidRDefault="00785CA6" w:rsidP="00785CA6">
      <w:pPr>
        <w:outlineLvl w:val="0"/>
        <w:rPr>
          <w:rFonts w:ascii="Times New Roman" w:hAnsi="Times New Roman" w:cs="Times New Roman"/>
          <w:szCs w:val="20"/>
        </w:rPr>
      </w:pPr>
    </w:p>
    <w:p w:rsidR="007E7AB2" w:rsidRPr="002A08CC" w:rsidRDefault="00785CA6" w:rsidP="007E7AB2">
      <w:pPr>
        <w:jc w:val="center"/>
        <w:outlineLvl w:val="0"/>
        <w:rPr>
          <w:rFonts w:ascii="Times New Roman" w:hAnsi="Times New Roman" w:cs="Times New Roman"/>
          <w:b/>
          <w:szCs w:val="20"/>
        </w:rPr>
      </w:pPr>
      <w:r w:rsidRPr="002A08CC">
        <w:rPr>
          <w:rFonts w:ascii="Times New Roman" w:hAnsi="Times New Roman" w:cs="Times New Roman"/>
          <w:b/>
          <w:szCs w:val="20"/>
        </w:rPr>
        <w:t>Acknowledgement</w:t>
      </w:r>
    </w:p>
    <w:p w:rsidR="007E7AB2" w:rsidRPr="002A08CC" w:rsidRDefault="007E7AB2" w:rsidP="007E7AB2">
      <w:pPr>
        <w:outlineLvl w:val="0"/>
        <w:rPr>
          <w:rFonts w:ascii="Times New Roman" w:hAnsi="Times New Roman" w:cs="Times New Roman"/>
          <w:b/>
          <w:szCs w:val="20"/>
        </w:rPr>
      </w:pPr>
      <w:r w:rsidRPr="002A08CC">
        <w:rPr>
          <w:rFonts w:asciiTheme="majorBidi" w:hAnsiTheme="majorBidi" w:cstheme="majorBidi"/>
        </w:rPr>
        <w:t xml:space="preserve">Authors would like to thanks Ministry of Higher Education and </w:t>
      </w:r>
      <w:proofErr w:type="spellStart"/>
      <w:r w:rsidRPr="002A08CC">
        <w:rPr>
          <w:rFonts w:asciiTheme="majorBidi" w:hAnsiTheme="majorBidi" w:cstheme="majorBidi"/>
        </w:rPr>
        <w:t>Universiti</w:t>
      </w:r>
      <w:proofErr w:type="spellEnd"/>
      <w:r w:rsidRPr="002A08CC">
        <w:rPr>
          <w:rFonts w:asciiTheme="majorBidi" w:hAnsiTheme="majorBidi" w:cstheme="majorBidi"/>
        </w:rPr>
        <w:t xml:space="preserve"> </w:t>
      </w:r>
      <w:proofErr w:type="spellStart"/>
      <w:r w:rsidRPr="002A08CC">
        <w:rPr>
          <w:rFonts w:asciiTheme="majorBidi" w:hAnsiTheme="majorBidi" w:cstheme="majorBidi"/>
        </w:rPr>
        <w:t>Kebangsaan</w:t>
      </w:r>
      <w:proofErr w:type="spellEnd"/>
      <w:r w:rsidRPr="002A08CC">
        <w:rPr>
          <w:rFonts w:asciiTheme="majorBidi" w:hAnsiTheme="majorBidi" w:cstheme="majorBidi"/>
        </w:rPr>
        <w:t xml:space="preserve"> Malaysia (UKM) for funding this project under research grant number FRGS/1/2015/SG01/UKM/02/2 and </w:t>
      </w:r>
      <w:r w:rsidR="001D6C2C" w:rsidRPr="002A08CC">
        <w:rPr>
          <w:rFonts w:asciiTheme="majorBidi" w:hAnsiTheme="majorBidi" w:cstheme="majorBidi"/>
        </w:rPr>
        <w:t>DIP-2016-010</w:t>
      </w:r>
      <w:r w:rsidRPr="002A08CC">
        <w:rPr>
          <w:rFonts w:asciiTheme="majorBidi" w:hAnsiTheme="majorBidi" w:cstheme="majorBidi"/>
        </w:rPr>
        <w:t xml:space="preserve"> respectively, Centre of Research and Innovation Management (CRIM), UKM and Fuel Cell Institute, UKM for instruments facilities.</w:t>
      </w:r>
      <w:r w:rsidR="008721B7" w:rsidRPr="002A08CC">
        <w:rPr>
          <w:rFonts w:asciiTheme="majorBidi" w:hAnsiTheme="majorBidi" w:cstheme="majorBidi"/>
        </w:rPr>
        <w:t xml:space="preserve"> </w:t>
      </w:r>
    </w:p>
    <w:p w:rsidR="00785CA6" w:rsidRPr="002A08CC" w:rsidRDefault="00785CA6" w:rsidP="00785CA6">
      <w:pPr>
        <w:outlineLvl w:val="0"/>
        <w:rPr>
          <w:rFonts w:ascii="Times New Roman" w:hAnsi="Times New Roman" w:cs="Times New Roman"/>
          <w:b/>
          <w:color w:val="548DD4" w:themeColor="text2" w:themeTint="99"/>
          <w:sz w:val="24"/>
          <w:szCs w:val="20"/>
        </w:rPr>
      </w:pPr>
    </w:p>
    <w:p w:rsidR="00785CA6" w:rsidRDefault="00785CA6" w:rsidP="00785CA6">
      <w:pPr>
        <w:jc w:val="center"/>
        <w:outlineLvl w:val="0"/>
        <w:rPr>
          <w:rFonts w:ascii="Times New Roman" w:hAnsi="Times New Roman" w:cs="Times New Roman"/>
          <w:b/>
          <w:szCs w:val="20"/>
        </w:rPr>
      </w:pPr>
      <w:r w:rsidRPr="002A08CC">
        <w:rPr>
          <w:rFonts w:ascii="Times New Roman" w:hAnsi="Times New Roman" w:cs="Times New Roman"/>
          <w:b/>
          <w:szCs w:val="20"/>
        </w:rPr>
        <w:t>References</w:t>
      </w:r>
    </w:p>
    <w:p w:rsidR="004A7AB1" w:rsidRPr="002A08CC" w:rsidRDefault="004A7AB1" w:rsidP="00785CA6">
      <w:pPr>
        <w:jc w:val="center"/>
        <w:outlineLvl w:val="0"/>
        <w:rPr>
          <w:rFonts w:ascii="Times New Roman" w:hAnsi="Times New Roman" w:cs="Times New Roman"/>
          <w:b/>
          <w:szCs w:val="20"/>
        </w:rPr>
      </w:pPr>
    </w:p>
    <w:p w:rsidR="000C6BE3" w:rsidRPr="002A08CC" w:rsidRDefault="003C6A1F" w:rsidP="003D5B93">
      <w:pPr>
        <w:pStyle w:val="Reference"/>
        <w:rPr>
          <w:noProof/>
        </w:rPr>
      </w:pPr>
      <w:r w:rsidRPr="002A08CC">
        <w:fldChar w:fldCharType="begin" w:fldLock="1"/>
      </w:r>
      <w:r w:rsidR="001A40A3" w:rsidRPr="002A08CC">
        <w:instrText xml:space="preserve">ADDIN Mendeley Bibliography CSL_BIBLIOGRAPHY </w:instrText>
      </w:r>
      <w:r w:rsidRPr="002A08CC">
        <w:fldChar w:fldCharType="separate"/>
      </w:r>
      <w:r w:rsidR="000C6BE3" w:rsidRPr="002A08CC">
        <w:rPr>
          <w:noProof/>
          <w:szCs w:val="24"/>
        </w:rPr>
        <w:t xml:space="preserve">Jian-bin, H., Shao-wu, W., Yong, L. U. O., Zong-ci, Z. </w:t>
      </w:r>
      <w:r w:rsidR="004A7AB1">
        <w:rPr>
          <w:noProof/>
          <w:szCs w:val="24"/>
        </w:rPr>
        <w:t>and</w:t>
      </w:r>
      <w:r w:rsidR="000C6BE3" w:rsidRPr="002A08CC">
        <w:rPr>
          <w:noProof/>
          <w:szCs w:val="24"/>
        </w:rPr>
        <w:t xml:space="preserve"> Xin-yu, W. E. N. (2012)</w:t>
      </w:r>
      <w:r w:rsidR="00BD1F74" w:rsidRPr="002A08CC">
        <w:rPr>
          <w:noProof/>
          <w:szCs w:val="24"/>
        </w:rPr>
        <w:t xml:space="preserve">. </w:t>
      </w:r>
      <w:r w:rsidR="000C6BE3" w:rsidRPr="002A08CC">
        <w:rPr>
          <w:noProof/>
          <w:szCs w:val="24"/>
        </w:rPr>
        <w:t xml:space="preserve">Debates </w:t>
      </w:r>
      <w:r w:rsidR="00BD1F74" w:rsidRPr="002A08CC">
        <w:rPr>
          <w:noProof/>
          <w:szCs w:val="24"/>
        </w:rPr>
        <w:t xml:space="preserve">on the </w:t>
      </w:r>
      <w:r w:rsidR="000225E8" w:rsidRPr="002A08CC">
        <w:rPr>
          <w:noProof/>
          <w:szCs w:val="24"/>
        </w:rPr>
        <w:t>causes of global warming.</w:t>
      </w:r>
      <w:r w:rsidR="000C6BE3" w:rsidRPr="002A08CC">
        <w:rPr>
          <w:noProof/>
          <w:szCs w:val="24"/>
        </w:rPr>
        <w:t xml:space="preserve"> </w:t>
      </w:r>
      <w:r w:rsidR="000C6BE3" w:rsidRPr="002A08CC">
        <w:rPr>
          <w:i/>
          <w:iCs/>
          <w:noProof/>
          <w:szCs w:val="24"/>
        </w:rPr>
        <w:t>Advances in Climate Change Research</w:t>
      </w:r>
      <w:r w:rsidR="00BD1F74" w:rsidRPr="002A08CC">
        <w:rPr>
          <w:noProof/>
          <w:szCs w:val="24"/>
        </w:rPr>
        <w:t xml:space="preserve">, </w:t>
      </w:r>
      <w:r w:rsidR="000C6BE3" w:rsidRPr="002A08CC">
        <w:rPr>
          <w:noProof/>
          <w:szCs w:val="24"/>
        </w:rPr>
        <w:t>3(1)</w:t>
      </w:r>
      <w:r w:rsidR="00BD1F74" w:rsidRPr="002A08CC">
        <w:rPr>
          <w:noProof/>
          <w:szCs w:val="24"/>
        </w:rPr>
        <w:t xml:space="preserve">: </w:t>
      </w:r>
      <w:r w:rsidR="000C6BE3" w:rsidRPr="002A08CC">
        <w:rPr>
          <w:noProof/>
          <w:szCs w:val="24"/>
        </w:rPr>
        <w:t>38</w:t>
      </w:r>
      <w:r w:rsidR="000225E8">
        <w:rPr>
          <w:noProof/>
          <w:szCs w:val="24"/>
        </w:rPr>
        <w:t xml:space="preserve"> </w:t>
      </w:r>
      <w:r w:rsidR="000C6BE3" w:rsidRPr="002A08CC">
        <w:rPr>
          <w:noProof/>
          <w:szCs w:val="24"/>
        </w:rPr>
        <w:t>–</w:t>
      </w:r>
      <w:r w:rsidR="000225E8">
        <w:rPr>
          <w:noProof/>
          <w:szCs w:val="24"/>
        </w:rPr>
        <w:t xml:space="preserve"> </w:t>
      </w:r>
      <w:r w:rsidR="000C6BE3" w:rsidRPr="002A08CC">
        <w:rPr>
          <w:noProof/>
          <w:szCs w:val="24"/>
        </w:rPr>
        <w:t>44.</w:t>
      </w:r>
    </w:p>
    <w:p w:rsidR="001A40A3" w:rsidRPr="002A08CC" w:rsidRDefault="000C6BE3" w:rsidP="003D5B93">
      <w:pPr>
        <w:pStyle w:val="Reference"/>
        <w:rPr>
          <w:noProof/>
        </w:rPr>
      </w:pPr>
      <w:r w:rsidRPr="002A08CC">
        <w:rPr>
          <w:noProof/>
          <w:szCs w:val="24"/>
        </w:rPr>
        <w:t xml:space="preserve">El Naggar, A. M. A., Awadallah, A. E. </w:t>
      </w:r>
      <w:r w:rsidR="000225E8">
        <w:rPr>
          <w:noProof/>
          <w:szCs w:val="24"/>
        </w:rPr>
        <w:t>and</w:t>
      </w:r>
      <w:r w:rsidRPr="002A08CC">
        <w:rPr>
          <w:noProof/>
          <w:szCs w:val="24"/>
        </w:rPr>
        <w:t xml:space="preserve"> Aboul-Enein, A. A. (2016)</w:t>
      </w:r>
      <w:r w:rsidR="00BD1F74" w:rsidRPr="002A08CC">
        <w:rPr>
          <w:noProof/>
          <w:szCs w:val="24"/>
        </w:rPr>
        <w:t xml:space="preserve">. </w:t>
      </w:r>
      <w:r w:rsidR="00B84995">
        <w:rPr>
          <w:noProof/>
          <w:szCs w:val="24"/>
        </w:rPr>
        <w:t xml:space="preserve">Novel </w:t>
      </w:r>
      <w:r w:rsidR="000225E8">
        <w:rPr>
          <w:noProof/>
          <w:szCs w:val="24"/>
        </w:rPr>
        <w:t>intensified nano-structured zero-valente nickel a</w:t>
      </w:r>
      <w:r w:rsidR="000225E8" w:rsidRPr="002A08CC">
        <w:rPr>
          <w:noProof/>
          <w:szCs w:val="24"/>
        </w:rPr>
        <w:t xml:space="preserve">lloy based </w:t>
      </w:r>
      <w:r w:rsidR="000225E8">
        <w:rPr>
          <w:noProof/>
          <w:szCs w:val="24"/>
        </w:rPr>
        <w:t>catalyst for hydrogen production via m</w:t>
      </w:r>
      <w:r w:rsidR="000225E8" w:rsidRPr="002A08CC">
        <w:rPr>
          <w:noProof/>
          <w:szCs w:val="24"/>
        </w:rPr>
        <w:t>e</w:t>
      </w:r>
      <w:r w:rsidR="000225E8">
        <w:rPr>
          <w:noProof/>
          <w:szCs w:val="24"/>
        </w:rPr>
        <w:t>thane catalytic d</w:t>
      </w:r>
      <w:r w:rsidR="000225E8" w:rsidRPr="002A08CC">
        <w:rPr>
          <w:noProof/>
          <w:szCs w:val="24"/>
        </w:rPr>
        <w:t xml:space="preserve">ecomposition. </w:t>
      </w:r>
      <w:r w:rsidRPr="002A08CC">
        <w:rPr>
          <w:i/>
          <w:iCs/>
          <w:noProof/>
          <w:szCs w:val="24"/>
        </w:rPr>
        <w:t>Renewable and Sustainable Energy Reviews</w:t>
      </w:r>
      <w:r w:rsidR="00BD1F74" w:rsidRPr="002A08CC">
        <w:rPr>
          <w:noProof/>
          <w:szCs w:val="24"/>
        </w:rPr>
        <w:t>, 53:</w:t>
      </w:r>
      <w:r w:rsidRPr="002A08CC">
        <w:rPr>
          <w:noProof/>
          <w:szCs w:val="24"/>
        </w:rPr>
        <w:t xml:space="preserve"> 754</w:t>
      </w:r>
      <w:r w:rsidR="000225E8">
        <w:rPr>
          <w:noProof/>
          <w:szCs w:val="24"/>
        </w:rPr>
        <w:t xml:space="preserve"> </w:t>
      </w:r>
      <w:r w:rsidRPr="002A08CC">
        <w:rPr>
          <w:noProof/>
          <w:szCs w:val="24"/>
        </w:rPr>
        <w:t>–</w:t>
      </w:r>
      <w:r w:rsidR="000225E8">
        <w:rPr>
          <w:noProof/>
          <w:szCs w:val="24"/>
        </w:rPr>
        <w:t xml:space="preserve"> </w:t>
      </w:r>
      <w:r w:rsidRPr="002A08CC">
        <w:rPr>
          <w:noProof/>
          <w:szCs w:val="24"/>
        </w:rPr>
        <w:t>765</w:t>
      </w:r>
      <w:r w:rsidR="001A40A3" w:rsidRPr="002A08CC">
        <w:rPr>
          <w:noProof/>
        </w:rPr>
        <w:t>.</w:t>
      </w:r>
    </w:p>
    <w:p w:rsidR="000C6BE3" w:rsidRPr="000225E8" w:rsidRDefault="000C6BE3" w:rsidP="000225E8">
      <w:pPr>
        <w:pStyle w:val="Reference"/>
        <w:rPr>
          <w:noProof/>
        </w:rPr>
      </w:pPr>
      <w:r w:rsidRPr="002A08CC">
        <w:rPr>
          <w:noProof/>
          <w:szCs w:val="24"/>
        </w:rPr>
        <w:t xml:space="preserve">Montandon-Clerc, M., Dalebrook, A. F. </w:t>
      </w:r>
      <w:r w:rsidR="000225E8">
        <w:rPr>
          <w:noProof/>
          <w:szCs w:val="24"/>
        </w:rPr>
        <w:t>and</w:t>
      </w:r>
      <w:r w:rsidR="00BD1F74" w:rsidRPr="002A08CC">
        <w:rPr>
          <w:noProof/>
          <w:szCs w:val="24"/>
        </w:rPr>
        <w:t xml:space="preserve"> Laurenczy, G. (2015). </w:t>
      </w:r>
      <w:r w:rsidR="00B84995">
        <w:rPr>
          <w:noProof/>
          <w:szCs w:val="24"/>
        </w:rPr>
        <w:t xml:space="preserve">Quantitative </w:t>
      </w:r>
      <w:r w:rsidR="000225E8">
        <w:rPr>
          <w:noProof/>
          <w:szCs w:val="24"/>
        </w:rPr>
        <w:t>aqueous phase formic acid dehydrogenation using i</w:t>
      </w:r>
      <w:r w:rsidRPr="002A08CC">
        <w:rPr>
          <w:noProof/>
          <w:szCs w:val="24"/>
        </w:rPr>
        <w:t>ron(II)</w:t>
      </w:r>
      <w:r w:rsidR="000225E8">
        <w:rPr>
          <w:noProof/>
          <w:szCs w:val="24"/>
        </w:rPr>
        <w:t xml:space="preserve"> based c</w:t>
      </w:r>
      <w:r w:rsidRPr="002A08CC">
        <w:rPr>
          <w:noProof/>
          <w:szCs w:val="24"/>
        </w:rPr>
        <w:t>atalysts</w:t>
      </w:r>
      <w:r w:rsidR="00BD1F74" w:rsidRPr="002A08CC">
        <w:rPr>
          <w:noProof/>
          <w:szCs w:val="24"/>
        </w:rPr>
        <w:t>.</w:t>
      </w:r>
      <w:r w:rsidRPr="002A08CC">
        <w:rPr>
          <w:noProof/>
          <w:szCs w:val="24"/>
        </w:rPr>
        <w:t xml:space="preserve"> </w:t>
      </w:r>
      <w:r w:rsidRPr="002A08CC">
        <w:rPr>
          <w:i/>
          <w:iCs/>
          <w:noProof/>
          <w:szCs w:val="24"/>
        </w:rPr>
        <w:t>Journal of Catalysis</w:t>
      </w:r>
      <w:r w:rsidR="000225E8">
        <w:rPr>
          <w:i/>
          <w:iCs/>
          <w:noProof/>
          <w:szCs w:val="24"/>
        </w:rPr>
        <w:t xml:space="preserve">, </w:t>
      </w:r>
      <w:r w:rsidR="000225E8" w:rsidRPr="000225E8">
        <w:rPr>
          <w:iCs/>
          <w:noProof/>
          <w:szCs w:val="24"/>
        </w:rPr>
        <w:t xml:space="preserve">343: </w:t>
      </w:r>
      <w:r w:rsidR="000225E8">
        <w:rPr>
          <w:iCs/>
          <w:noProof/>
          <w:szCs w:val="24"/>
        </w:rPr>
        <w:t xml:space="preserve">62 </w:t>
      </w:r>
      <w:r w:rsidR="000225E8" w:rsidRPr="002A08CC">
        <w:rPr>
          <w:noProof/>
          <w:szCs w:val="24"/>
        </w:rPr>
        <w:t>–</w:t>
      </w:r>
      <w:r w:rsidR="000225E8">
        <w:rPr>
          <w:noProof/>
          <w:szCs w:val="24"/>
        </w:rPr>
        <w:t xml:space="preserve"> </w:t>
      </w:r>
      <w:r w:rsidR="000225E8" w:rsidRPr="000225E8">
        <w:rPr>
          <w:iCs/>
          <w:noProof/>
          <w:szCs w:val="24"/>
        </w:rPr>
        <w:t>67</w:t>
      </w:r>
      <w:r w:rsidRPr="000225E8">
        <w:rPr>
          <w:noProof/>
          <w:szCs w:val="24"/>
        </w:rPr>
        <w:t xml:space="preserve">. </w:t>
      </w:r>
    </w:p>
    <w:p w:rsidR="001A40A3" w:rsidRPr="002A08CC" w:rsidRDefault="000C6BE3" w:rsidP="001A40A3">
      <w:pPr>
        <w:pStyle w:val="Reference"/>
        <w:rPr>
          <w:noProof/>
        </w:rPr>
      </w:pPr>
      <w:r w:rsidRPr="002A08CC">
        <w:rPr>
          <w:noProof/>
          <w:szCs w:val="24"/>
        </w:rPr>
        <w:t xml:space="preserve">Wang, Z. L., Ping, Y., Yan, J. M., Wang, H. L. </w:t>
      </w:r>
      <w:r w:rsidR="000225E8">
        <w:rPr>
          <w:noProof/>
          <w:szCs w:val="24"/>
        </w:rPr>
        <w:t>and</w:t>
      </w:r>
      <w:r w:rsidRPr="002A08CC">
        <w:rPr>
          <w:noProof/>
          <w:szCs w:val="24"/>
        </w:rPr>
        <w:t xml:space="preserve"> Jiang, Q. (2014)</w:t>
      </w:r>
      <w:r w:rsidR="00BD1F74" w:rsidRPr="002A08CC">
        <w:rPr>
          <w:noProof/>
          <w:szCs w:val="24"/>
        </w:rPr>
        <w:t xml:space="preserve">. </w:t>
      </w:r>
      <w:r w:rsidR="00B84995">
        <w:rPr>
          <w:noProof/>
          <w:szCs w:val="24"/>
        </w:rPr>
        <w:t xml:space="preserve">Hydrogen </w:t>
      </w:r>
      <w:r w:rsidR="000225E8">
        <w:rPr>
          <w:noProof/>
          <w:szCs w:val="24"/>
        </w:rPr>
        <w:t>generation from formic acid decomposition at room t</w:t>
      </w:r>
      <w:r w:rsidR="000225E8" w:rsidRPr="002A08CC">
        <w:rPr>
          <w:noProof/>
          <w:szCs w:val="24"/>
        </w:rPr>
        <w:t>emperature usin</w:t>
      </w:r>
      <w:r w:rsidR="000225E8">
        <w:rPr>
          <w:noProof/>
          <w:szCs w:val="24"/>
        </w:rPr>
        <w:t>g a</w:t>
      </w:r>
      <w:r w:rsidR="00B84995">
        <w:rPr>
          <w:noProof/>
          <w:szCs w:val="24"/>
        </w:rPr>
        <w:t xml:space="preserve"> NiAuPd </w:t>
      </w:r>
      <w:r w:rsidR="000225E8">
        <w:rPr>
          <w:noProof/>
          <w:szCs w:val="24"/>
        </w:rPr>
        <w:t>alloy n</w:t>
      </w:r>
      <w:r w:rsidR="000225E8" w:rsidRPr="002A08CC">
        <w:rPr>
          <w:noProof/>
          <w:szCs w:val="24"/>
        </w:rPr>
        <w:t>anocatalyst.</w:t>
      </w:r>
      <w:r w:rsidR="00BD1F74" w:rsidRPr="002A08CC">
        <w:rPr>
          <w:noProof/>
          <w:szCs w:val="24"/>
        </w:rPr>
        <w:t xml:space="preserve"> </w:t>
      </w:r>
      <w:r w:rsidRPr="002A08CC">
        <w:rPr>
          <w:i/>
          <w:iCs/>
          <w:noProof/>
          <w:szCs w:val="24"/>
        </w:rPr>
        <w:t>International Journal of Hydrogen Energy</w:t>
      </w:r>
      <w:r w:rsidRPr="002A08CC">
        <w:rPr>
          <w:noProof/>
          <w:szCs w:val="24"/>
        </w:rPr>
        <w:t>, 39(10)</w:t>
      </w:r>
      <w:r w:rsidR="00BD1F74" w:rsidRPr="002A08CC">
        <w:rPr>
          <w:noProof/>
          <w:szCs w:val="24"/>
        </w:rPr>
        <w:t xml:space="preserve">: </w:t>
      </w:r>
      <w:r w:rsidRPr="002A08CC">
        <w:rPr>
          <w:noProof/>
          <w:szCs w:val="24"/>
        </w:rPr>
        <w:t>4850</w:t>
      </w:r>
      <w:r w:rsidR="000225E8">
        <w:rPr>
          <w:noProof/>
          <w:szCs w:val="24"/>
        </w:rPr>
        <w:t xml:space="preserve"> </w:t>
      </w:r>
      <w:r w:rsidRPr="002A08CC">
        <w:rPr>
          <w:noProof/>
          <w:szCs w:val="24"/>
        </w:rPr>
        <w:t>–</w:t>
      </w:r>
      <w:r w:rsidR="000225E8">
        <w:rPr>
          <w:noProof/>
          <w:szCs w:val="24"/>
        </w:rPr>
        <w:t xml:space="preserve"> </w:t>
      </w:r>
      <w:r w:rsidRPr="002A08CC">
        <w:rPr>
          <w:noProof/>
          <w:szCs w:val="24"/>
        </w:rPr>
        <w:t>4856</w:t>
      </w:r>
      <w:r w:rsidR="001A40A3" w:rsidRPr="002A08CC">
        <w:rPr>
          <w:noProof/>
        </w:rPr>
        <w:t>.</w:t>
      </w:r>
    </w:p>
    <w:p w:rsidR="001A40A3" w:rsidRPr="002A08CC" w:rsidRDefault="000C6BE3" w:rsidP="001A40A3">
      <w:pPr>
        <w:pStyle w:val="Reference"/>
        <w:rPr>
          <w:noProof/>
        </w:rPr>
      </w:pPr>
      <w:r w:rsidRPr="002A08CC">
        <w:rPr>
          <w:noProof/>
          <w:szCs w:val="24"/>
        </w:rPr>
        <w:t xml:space="preserve">Jia, L., Bulushev, D. A. </w:t>
      </w:r>
      <w:r w:rsidR="000225E8">
        <w:rPr>
          <w:noProof/>
          <w:szCs w:val="24"/>
        </w:rPr>
        <w:t>and</w:t>
      </w:r>
      <w:r w:rsidR="00BD1F74" w:rsidRPr="002A08CC">
        <w:rPr>
          <w:noProof/>
          <w:szCs w:val="24"/>
        </w:rPr>
        <w:t xml:space="preserve"> </w:t>
      </w:r>
      <w:r w:rsidRPr="002A08CC">
        <w:rPr>
          <w:noProof/>
          <w:szCs w:val="24"/>
        </w:rPr>
        <w:t>Ross, J. R. H. (2014)</w:t>
      </w:r>
      <w:r w:rsidR="00BD1F74" w:rsidRPr="002A08CC">
        <w:rPr>
          <w:noProof/>
          <w:szCs w:val="24"/>
        </w:rPr>
        <w:t xml:space="preserve">. </w:t>
      </w:r>
      <w:r w:rsidR="00B84995">
        <w:rPr>
          <w:noProof/>
          <w:szCs w:val="24"/>
        </w:rPr>
        <w:t xml:space="preserve">Formic </w:t>
      </w:r>
      <w:r w:rsidR="000225E8">
        <w:rPr>
          <w:noProof/>
          <w:szCs w:val="24"/>
        </w:rPr>
        <w:t>acid decomposition over palladium based c</w:t>
      </w:r>
      <w:r w:rsidR="000225E8" w:rsidRPr="002A08CC">
        <w:rPr>
          <w:noProof/>
          <w:szCs w:val="24"/>
        </w:rPr>
        <w:t>atalysts</w:t>
      </w:r>
      <w:r w:rsidR="000225E8">
        <w:rPr>
          <w:noProof/>
          <w:szCs w:val="24"/>
        </w:rPr>
        <w:t xml:space="preserve"> doped by potassium c</w:t>
      </w:r>
      <w:r w:rsidR="000225E8" w:rsidRPr="002A08CC">
        <w:rPr>
          <w:noProof/>
          <w:szCs w:val="24"/>
        </w:rPr>
        <w:t xml:space="preserve">arbonate. </w:t>
      </w:r>
      <w:r w:rsidRPr="002A08CC">
        <w:rPr>
          <w:i/>
          <w:iCs/>
          <w:noProof/>
          <w:szCs w:val="24"/>
        </w:rPr>
        <w:t>Catalysis Today</w:t>
      </w:r>
      <w:r w:rsidRPr="002A08CC">
        <w:rPr>
          <w:noProof/>
          <w:szCs w:val="24"/>
        </w:rPr>
        <w:t>, 259</w:t>
      </w:r>
      <w:r w:rsidR="00BD1F74" w:rsidRPr="002A08CC">
        <w:rPr>
          <w:noProof/>
          <w:szCs w:val="24"/>
        </w:rPr>
        <w:t>:</w:t>
      </w:r>
      <w:r w:rsidRPr="002A08CC">
        <w:rPr>
          <w:noProof/>
          <w:szCs w:val="24"/>
        </w:rPr>
        <w:t xml:space="preserve"> 453</w:t>
      </w:r>
      <w:r w:rsidR="000225E8">
        <w:rPr>
          <w:noProof/>
          <w:szCs w:val="24"/>
        </w:rPr>
        <w:t xml:space="preserve"> </w:t>
      </w:r>
      <w:r w:rsidRPr="002A08CC">
        <w:rPr>
          <w:noProof/>
          <w:szCs w:val="24"/>
        </w:rPr>
        <w:t>–</w:t>
      </w:r>
      <w:r w:rsidR="000225E8">
        <w:rPr>
          <w:noProof/>
          <w:szCs w:val="24"/>
        </w:rPr>
        <w:t xml:space="preserve"> </w:t>
      </w:r>
      <w:r w:rsidRPr="002A08CC">
        <w:rPr>
          <w:noProof/>
          <w:szCs w:val="24"/>
        </w:rPr>
        <w:t>459</w:t>
      </w:r>
      <w:r w:rsidR="001A40A3" w:rsidRPr="002A08CC">
        <w:rPr>
          <w:noProof/>
        </w:rPr>
        <w:t>.</w:t>
      </w:r>
    </w:p>
    <w:p w:rsidR="001A40A3" w:rsidRPr="002A08CC" w:rsidRDefault="000C6BE3" w:rsidP="001A40A3">
      <w:pPr>
        <w:pStyle w:val="Reference"/>
        <w:rPr>
          <w:noProof/>
        </w:rPr>
      </w:pPr>
      <w:r w:rsidRPr="002A08CC">
        <w:rPr>
          <w:noProof/>
          <w:szCs w:val="24"/>
        </w:rPr>
        <w:t>Morone, A., Apte, M. and Pandey, R. A. (2015)</w:t>
      </w:r>
      <w:r w:rsidR="00BD1F74" w:rsidRPr="002A08CC">
        <w:rPr>
          <w:noProof/>
          <w:szCs w:val="24"/>
        </w:rPr>
        <w:t>.</w:t>
      </w:r>
      <w:r w:rsidR="00B84995">
        <w:rPr>
          <w:noProof/>
          <w:szCs w:val="24"/>
        </w:rPr>
        <w:t xml:space="preserve"> Levulinic </w:t>
      </w:r>
      <w:r w:rsidR="000225E8">
        <w:rPr>
          <w:noProof/>
          <w:szCs w:val="24"/>
        </w:rPr>
        <w:t>acid p</w:t>
      </w:r>
      <w:r w:rsidR="000225E8" w:rsidRPr="002A08CC">
        <w:rPr>
          <w:noProof/>
          <w:szCs w:val="24"/>
        </w:rPr>
        <w:t>roduct</w:t>
      </w:r>
      <w:r w:rsidR="000225E8">
        <w:rPr>
          <w:noProof/>
          <w:szCs w:val="24"/>
        </w:rPr>
        <w:t>ion from renewable waste resources: bottlenecks, potential remedies, advancements and a</w:t>
      </w:r>
      <w:r w:rsidR="000225E8" w:rsidRPr="002A08CC">
        <w:rPr>
          <w:noProof/>
          <w:szCs w:val="24"/>
        </w:rPr>
        <w:t>pplications.</w:t>
      </w:r>
      <w:r w:rsidR="00BD1F74" w:rsidRPr="002A08CC">
        <w:rPr>
          <w:noProof/>
          <w:szCs w:val="24"/>
        </w:rPr>
        <w:t xml:space="preserve"> </w:t>
      </w:r>
      <w:r w:rsidRPr="002A08CC">
        <w:rPr>
          <w:i/>
          <w:iCs/>
          <w:noProof/>
          <w:szCs w:val="24"/>
        </w:rPr>
        <w:t>Renewable and Sustainable Energy Reviews</w:t>
      </w:r>
      <w:r w:rsidRPr="002A08CC">
        <w:rPr>
          <w:noProof/>
          <w:szCs w:val="24"/>
        </w:rPr>
        <w:t>, 51</w:t>
      </w:r>
      <w:r w:rsidR="00BD1F74" w:rsidRPr="002A08CC">
        <w:rPr>
          <w:noProof/>
          <w:szCs w:val="24"/>
        </w:rPr>
        <w:t xml:space="preserve">: </w:t>
      </w:r>
      <w:r w:rsidRPr="002A08CC">
        <w:rPr>
          <w:noProof/>
          <w:szCs w:val="24"/>
        </w:rPr>
        <w:t>548</w:t>
      </w:r>
      <w:r w:rsidR="000225E8">
        <w:rPr>
          <w:noProof/>
          <w:szCs w:val="24"/>
        </w:rPr>
        <w:t xml:space="preserve"> </w:t>
      </w:r>
      <w:r w:rsidRPr="002A08CC">
        <w:rPr>
          <w:noProof/>
          <w:szCs w:val="24"/>
        </w:rPr>
        <w:t>–</w:t>
      </w:r>
      <w:r w:rsidR="000225E8">
        <w:rPr>
          <w:noProof/>
          <w:szCs w:val="24"/>
        </w:rPr>
        <w:t xml:space="preserve"> </w:t>
      </w:r>
      <w:r w:rsidRPr="002A08CC">
        <w:rPr>
          <w:noProof/>
          <w:szCs w:val="24"/>
        </w:rPr>
        <w:t>565</w:t>
      </w:r>
      <w:r w:rsidR="001A40A3" w:rsidRPr="002A08CC">
        <w:rPr>
          <w:noProof/>
        </w:rPr>
        <w:t>.</w:t>
      </w:r>
    </w:p>
    <w:p w:rsidR="001A40A3" w:rsidRPr="002A08CC" w:rsidRDefault="000C6BE3" w:rsidP="001A40A3">
      <w:pPr>
        <w:pStyle w:val="Reference"/>
        <w:rPr>
          <w:noProof/>
        </w:rPr>
      </w:pPr>
      <w:r w:rsidRPr="002A08CC">
        <w:rPr>
          <w:noProof/>
          <w:szCs w:val="24"/>
        </w:rPr>
        <w:t xml:space="preserve">Yan, K., Jarvis, C., Gu, J. </w:t>
      </w:r>
      <w:r w:rsidR="000225E8">
        <w:rPr>
          <w:noProof/>
          <w:szCs w:val="24"/>
        </w:rPr>
        <w:t>and</w:t>
      </w:r>
      <w:r w:rsidR="00BD1F74" w:rsidRPr="002A08CC">
        <w:rPr>
          <w:noProof/>
          <w:szCs w:val="24"/>
        </w:rPr>
        <w:t xml:space="preserve"> </w:t>
      </w:r>
      <w:r w:rsidRPr="002A08CC">
        <w:rPr>
          <w:noProof/>
          <w:szCs w:val="24"/>
        </w:rPr>
        <w:t>Yan, Y. (2015)</w:t>
      </w:r>
      <w:r w:rsidR="00BD1F74" w:rsidRPr="002A08CC">
        <w:rPr>
          <w:noProof/>
          <w:szCs w:val="24"/>
        </w:rPr>
        <w:t xml:space="preserve">. </w:t>
      </w:r>
      <w:r w:rsidR="00B84995">
        <w:rPr>
          <w:noProof/>
          <w:szCs w:val="24"/>
        </w:rPr>
        <w:t xml:space="preserve">Production </w:t>
      </w:r>
      <w:r w:rsidR="000225E8">
        <w:rPr>
          <w:noProof/>
          <w:szCs w:val="24"/>
        </w:rPr>
        <w:t>and catalytic transformation of levulinic a</w:t>
      </w:r>
      <w:r w:rsidR="000225E8" w:rsidRPr="002A08CC">
        <w:rPr>
          <w:noProof/>
          <w:szCs w:val="24"/>
        </w:rPr>
        <w:t>c</w:t>
      </w:r>
      <w:r w:rsidR="000225E8">
        <w:rPr>
          <w:noProof/>
          <w:szCs w:val="24"/>
        </w:rPr>
        <w:t xml:space="preserve">id: </w:t>
      </w:r>
      <w:r w:rsidR="00B84995">
        <w:rPr>
          <w:noProof/>
          <w:szCs w:val="24"/>
        </w:rPr>
        <w:t xml:space="preserve">A </w:t>
      </w:r>
      <w:r w:rsidR="000225E8">
        <w:rPr>
          <w:noProof/>
          <w:szCs w:val="24"/>
        </w:rPr>
        <w:t>platform for speciality chemicals and f</w:t>
      </w:r>
      <w:r w:rsidR="000225E8" w:rsidRPr="002A08CC">
        <w:rPr>
          <w:noProof/>
          <w:szCs w:val="24"/>
        </w:rPr>
        <w:t xml:space="preserve">uels. </w:t>
      </w:r>
      <w:r w:rsidRPr="002A08CC">
        <w:rPr>
          <w:i/>
          <w:iCs/>
          <w:noProof/>
          <w:szCs w:val="24"/>
        </w:rPr>
        <w:t>Renewable and Sustainable Energy Reviews</w:t>
      </w:r>
      <w:r w:rsidRPr="002A08CC">
        <w:rPr>
          <w:noProof/>
          <w:szCs w:val="24"/>
        </w:rPr>
        <w:t>, 51</w:t>
      </w:r>
      <w:r w:rsidR="00BD1F74" w:rsidRPr="002A08CC">
        <w:rPr>
          <w:noProof/>
          <w:szCs w:val="24"/>
        </w:rPr>
        <w:t xml:space="preserve">: </w:t>
      </w:r>
      <w:r w:rsidRPr="002A08CC">
        <w:rPr>
          <w:noProof/>
          <w:szCs w:val="24"/>
        </w:rPr>
        <w:t xml:space="preserve"> 986</w:t>
      </w:r>
      <w:r w:rsidR="000225E8">
        <w:rPr>
          <w:noProof/>
          <w:szCs w:val="24"/>
        </w:rPr>
        <w:t xml:space="preserve"> </w:t>
      </w:r>
      <w:r w:rsidRPr="002A08CC">
        <w:rPr>
          <w:noProof/>
          <w:szCs w:val="24"/>
        </w:rPr>
        <w:t>–</w:t>
      </w:r>
      <w:r w:rsidR="000225E8">
        <w:rPr>
          <w:noProof/>
          <w:szCs w:val="24"/>
        </w:rPr>
        <w:t xml:space="preserve"> </w:t>
      </w:r>
      <w:r w:rsidRPr="002A08CC">
        <w:rPr>
          <w:noProof/>
          <w:szCs w:val="24"/>
        </w:rPr>
        <w:t>997</w:t>
      </w:r>
      <w:r w:rsidR="001A40A3" w:rsidRPr="002A08CC">
        <w:rPr>
          <w:noProof/>
        </w:rPr>
        <w:t>.</w:t>
      </w:r>
    </w:p>
    <w:p w:rsidR="001A40A3" w:rsidRPr="002A08CC" w:rsidRDefault="000C6BE3" w:rsidP="001A40A3">
      <w:pPr>
        <w:pStyle w:val="Reference"/>
        <w:rPr>
          <w:noProof/>
        </w:rPr>
      </w:pPr>
      <w:r w:rsidRPr="000225E8">
        <w:rPr>
          <w:noProof/>
          <w:szCs w:val="24"/>
        </w:rPr>
        <w:t xml:space="preserve">Ramli, N. A. S. </w:t>
      </w:r>
      <w:r w:rsidR="000225E8">
        <w:rPr>
          <w:noProof/>
          <w:szCs w:val="24"/>
        </w:rPr>
        <w:t>and</w:t>
      </w:r>
      <w:r w:rsidRPr="000225E8">
        <w:rPr>
          <w:noProof/>
          <w:szCs w:val="24"/>
        </w:rPr>
        <w:t xml:space="preserve"> Amin, N. A. S. (2015)</w:t>
      </w:r>
      <w:r w:rsidR="00BD1F74" w:rsidRPr="000225E8">
        <w:rPr>
          <w:noProof/>
          <w:szCs w:val="24"/>
        </w:rPr>
        <w:t xml:space="preserve">. </w:t>
      </w:r>
      <w:r w:rsidR="00B84995">
        <w:rPr>
          <w:noProof/>
          <w:szCs w:val="24"/>
        </w:rPr>
        <w:t xml:space="preserve">Fe/HY </w:t>
      </w:r>
      <w:r w:rsidR="000225E8">
        <w:rPr>
          <w:noProof/>
          <w:szCs w:val="24"/>
        </w:rPr>
        <w:t>zeolite as an effective catalyst for levulinic acid production from glucose: characterization and c</w:t>
      </w:r>
      <w:r w:rsidR="000225E8" w:rsidRPr="002A08CC">
        <w:rPr>
          <w:noProof/>
          <w:szCs w:val="24"/>
        </w:rPr>
        <w:t>ata</w:t>
      </w:r>
      <w:r w:rsidR="000225E8">
        <w:rPr>
          <w:noProof/>
          <w:szCs w:val="24"/>
        </w:rPr>
        <w:t>lytic p</w:t>
      </w:r>
      <w:r w:rsidR="000225E8" w:rsidRPr="002A08CC">
        <w:rPr>
          <w:noProof/>
          <w:szCs w:val="24"/>
        </w:rPr>
        <w:t>erformance.</w:t>
      </w:r>
      <w:r w:rsidRPr="002A08CC">
        <w:rPr>
          <w:noProof/>
          <w:szCs w:val="24"/>
        </w:rPr>
        <w:t xml:space="preserve"> </w:t>
      </w:r>
      <w:r w:rsidRPr="002A08CC">
        <w:rPr>
          <w:i/>
          <w:iCs/>
          <w:noProof/>
          <w:szCs w:val="24"/>
        </w:rPr>
        <w:t>Applied Catalysis B: Environmental</w:t>
      </w:r>
      <w:r w:rsidRPr="002A08CC">
        <w:rPr>
          <w:noProof/>
          <w:szCs w:val="24"/>
        </w:rPr>
        <w:t>, 163</w:t>
      </w:r>
      <w:r w:rsidR="00BD1F74" w:rsidRPr="002A08CC">
        <w:rPr>
          <w:noProof/>
          <w:szCs w:val="24"/>
        </w:rPr>
        <w:t>:</w:t>
      </w:r>
      <w:r w:rsidRPr="002A08CC">
        <w:rPr>
          <w:noProof/>
          <w:szCs w:val="24"/>
        </w:rPr>
        <w:t xml:space="preserve"> 487</w:t>
      </w:r>
      <w:r w:rsidR="000225E8">
        <w:rPr>
          <w:noProof/>
          <w:szCs w:val="24"/>
        </w:rPr>
        <w:t xml:space="preserve"> </w:t>
      </w:r>
      <w:r w:rsidRPr="002A08CC">
        <w:rPr>
          <w:noProof/>
          <w:szCs w:val="24"/>
        </w:rPr>
        <w:t>–</w:t>
      </w:r>
      <w:r w:rsidR="000225E8">
        <w:rPr>
          <w:noProof/>
          <w:szCs w:val="24"/>
        </w:rPr>
        <w:t xml:space="preserve"> </w:t>
      </w:r>
      <w:r w:rsidRPr="002A08CC">
        <w:rPr>
          <w:noProof/>
          <w:szCs w:val="24"/>
        </w:rPr>
        <w:t>498</w:t>
      </w:r>
      <w:r w:rsidR="001A40A3" w:rsidRPr="002A08CC">
        <w:rPr>
          <w:noProof/>
        </w:rPr>
        <w:t>.</w:t>
      </w:r>
    </w:p>
    <w:p w:rsidR="001A40A3" w:rsidRPr="002A08CC" w:rsidRDefault="000C6BE3" w:rsidP="001A40A3">
      <w:pPr>
        <w:pStyle w:val="Reference"/>
        <w:rPr>
          <w:noProof/>
        </w:rPr>
      </w:pPr>
      <w:r w:rsidRPr="002A08CC">
        <w:rPr>
          <w:noProof/>
          <w:szCs w:val="24"/>
        </w:rPr>
        <w:t xml:space="preserve">Zhi, Z., Li, N., Qiao, Y., Zheng, X., Wang, H. </w:t>
      </w:r>
      <w:r w:rsidR="000225E8">
        <w:rPr>
          <w:noProof/>
          <w:szCs w:val="24"/>
        </w:rPr>
        <w:t>and</w:t>
      </w:r>
      <w:r w:rsidRPr="002A08CC">
        <w:rPr>
          <w:noProof/>
          <w:szCs w:val="24"/>
        </w:rPr>
        <w:t xml:space="preserve"> Lu, X. (2015)</w:t>
      </w:r>
      <w:r w:rsidR="00BD1F74" w:rsidRPr="002A08CC">
        <w:rPr>
          <w:noProof/>
          <w:szCs w:val="24"/>
        </w:rPr>
        <w:t xml:space="preserve">. </w:t>
      </w:r>
      <w:r w:rsidR="00B84995">
        <w:rPr>
          <w:noProof/>
          <w:szCs w:val="24"/>
        </w:rPr>
        <w:t xml:space="preserve">Kinetic </w:t>
      </w:r>
      <w:r w:rsidR="000225E8">
        <w:rPr>
          <w:noProof/>
          <w:szCs w:val="24"/>
        </w:rPr>
        <w:t>study of levulinic acid production from corn stalk at relatively high temperature using FeCl</w:t>
      </w:r>
      <w:r w:rsidR="00B84995" w:rsidRPr="000225E8">
        <w:rPr>
          <w:noProof/>
          <w:szCs w:val="24"/>
          <w:vertAlign w:val="subscript"/>
        </w:rPr>
        <w:t>3</w:t>
      </w:r>
      <w:r w:rsidR="000225E8">
        <w:rPr>
          <w:noProof/>
          <w:szCs w:val="24"/>
        </w:rPr>
        <w:t xml:space="preserve"> as c</w:t>
      </w:r>
      <w:r w:rsidRPr="002A08CC">
        <w:rPr>
          <w:noProof/>
          <w:szCs w:val="24"/>
        </w:rPr>
        <w:t>atalyst </w:t>
      </w:r>
      <w:r w:rsidR="00BD1F74" w:rsidRPr="002A08CC">
        <w:rPr>
          <w:noProof/>
          <w:szCs w:val="24"/>
        </w:rPr>
        <w:t xml:space="preserve">: A </w:t>
      </w:r>
      <w:r w:rsidR="000225E8">
        <w:rPr>
          <w:noProof/>
          <w:szCs w:val="24"/>
        </w:rPr>
        <w:t>simplified model e</w:t>
      </w:r>
      <w:r w:rsidR="00BD1F74" w:rsidRPr="002A08CC">
        <w:rPr>
          <w:noProof/>
          <w:szCs w:val="24"/>
        </w:rPr>
        <w:t>valuated.</w:t>
      </w:r>
      <w:r w:rsidRPr="002A08CC">
        <w:rPr>
          <w:noProof/>
          <w:szCs w:val="24"/>
        </w:rPr>
        <w:t xml:space="preserve"> </w:t>
      </w:r>
      <w:r w:rsidRPr="002A08CC">
        <w:rPr>
          <w:i/>
          <w:iCs/>
          <w:noProof/>
          <w:szCs w:val="24"/>
        </w:rPr>
        <w:t>Industrial Crops &amp; Products</w:t>
      </w:r>
      <w:r w:rsidRPr="002A08CC">
        <w:rPr>
          <w:noProof/>
          <w:szCs w:val="24"/>
        </w:rPr>
        <w:t>, 76</w:t>
      </w:r>
      <w:r w:rsidR="00BD1F74" w:rsidRPr="002A08CC">
        <w:rPr>
          <w:noProof/>
          <w:szCs w:val="24"/>
        </w:rPr>
        <w:t xml:space="preserve">: </w:t>
      </w:r>
      <w:r w:rsidRPr="002A08CC">
        <w:rPr>
          <w:noProof/>
          <w:szCs w:val="24"/>
        </w:rPr>
        <w:t>672</w:t>
      </w:r>
      <w:r w:rsidR="000225E8">
        <w:rPr>
          <w:noProof/>
          <w:szCs w:val="24"/>
        </w:rPr>
        <w:t xml:space="preserve"> </w:t>
      </w:r>
      <w:r w:rsidRPr="002A08CC">
        <w:rPr>
          <w:noProof/>
          <w:szCs w:val="24"/>
        </w:rPr>
        <w:t>–</w:t>
      </w:r>
      <w:r w:rsidR="000225E8">
        <w:rPr>
          <w:noProof/>
          <w:szCs w:val="24"/>
        </w:rPr>
        <w:t xml:space="preserve"> </w:t>
      </w:r>
      <w:r w:rsidRPr="002A08CC">
        <w:rPr>
          <w:noProof/>
          <w:szCs w:val="24"/>
        </w:rPr>
        <w:t>680</w:t>
      </w:r>
      <w:r w:rsidR="001A40A3" w:rsidRPr="002A08CC">
        <w:rPr>
          <w:noProof/>
        </w:rPr>
        <w:t>.</w:t>
      </w:r>
    </w:p>
    <w:p w:rsidR="001A40A3" w:rsidRPr="002A08CC" w:rsidRDefault="000C6BE3" w:rsidP="001A40A3">
      <w:pPr>
        <w:pStyle w:val="Reference"/>
        <w:rPr>
          <w:noProof/>
        </w:rPr>
      </w:pPr>
      <w:r w:rsidRPr="002A08CC">
        <w:rPr>
          <w:noProof/>
          <w:szCs w:val="24"/>
        </w:rPr>
        <w:t xml:space="preserve">Tedsree, K., Li, T., Jones, S., Chan, C. </w:t>
      </w:r>
      <w:r w:rsidR="000225E8">
        <w:rPr>
          <w:noProof/>
          <w:szCs w:val="24"/>
        </w:rPr>
        <w:t>W. A., Yu, K. M. K., Bagot, P. A. J., Marquis, E. A.</w:t>
      </w:r>
      <w:r w:rsidRPr="002A08CC">
        <w:rPr>
          <w:noProof/>
          <w:szCs w:val="24"/>
        </w:rPr>
        <w:t xml:space="preserve">, Smith, G. D. W. </w:t>
      </w:r>
      <w:r w:rsidR="000225E8">
        <w:rPr>
          <w:noProof/>
          <w:szCs w:val="24"/>
        </w:rPr>
        <w:t>and</w:t>
      </w:r>
      <w:r w:rsidRPr="002A08CC">
        <w:rPr>
          <w:noProof/>
          <w:szCs w:val="24"/>
        </w:rPr>
        <w:t xml:space="preserve"> Tsang, S. C. E. (2011)</w:t>
      </w:r>
      <w:r w:rsidR="00BD1F74" w:rsidRPr="002A08CC">
        <w:rPr>
          <w:noProof/>
          <w:szCs w:val="24"/>
        </w:rPr>
        <w:t xml:space="preserve">. </w:t>
      </w:r>
      <w:r w:rsidR="00C56AFE">
        <w:rPr>
          <w:noProof/>
          <w:szCs w:val="24"/>
        </w:rPr>
        <w:t xml:space="preserve">Hydrogen </w:t>
      </w:r>
      <w:r w:rsidR="000225E8">
        <w:rPr>
          <w:noProof/>
          <w:szCs w:val="24"/>
        </w:rPr>
        <w:t>production from formic acid d</w:t>
      </w:r>
      <w:r w:rsidR="000225E8" w:rsidRPr="002A08CC">
        <w:rPr>
          <w:noProof/>
          <w:szCs w:val="24"/>
        </w:rPr>
        <w:t xml:space="preserve">ecomposition </w:t>
      </w:r>
      <w:r w:rsidR="000225E8">
        <w:rPr>
          <w:noProof/>
          <w:szCs w:val="24"/>
        </w:rPr>
        <w:t>at room t</w:t>
      </w:r>
      <w:r w:rsidR="000225E8" w:rsidRPr="002A08CC">
        <w:rPr>
          <w:noProof/>
          <w:szCs w:val="24"/>
        </w:rPr>
        <w:t>emperature using a</w:t>
      </w:r>
      <w:r w:rsidR="00C56AFE">
        <w:rPr>
          <w:noProof/>
          <w:szCs w:val="24"/>
        </w:rPr>
        <w:t xml:space="preserve"> Ag-Pd </w:t>
      </w:r>
      <w:r w:rsidR="000225E8">
        <w:rPr>
          <w:noProof/>
          <w:szCs w:val="24"/>
        </w:rPr>
        <w:t>core-shell n</w:t>
      </w:r>
      <w:r w:rsidR="000225E8" w:rsidRPr="002A08CC">
        <w:rPr>
          <w:noProof/>
          <w:szCs w:val="24"/>
        </w:rPr>
        <w:t xml:space="preserve">anocatalyst. </w:t>
      </w:r>
      <w:r w:rsidR="000225E8">
        <w:rPr>
          <w:i/>
          <w:iCs/>
          <w:noProof/>
          <w:szCs w:val="24"/>
        </w:rPr>
        <w:t>Nature N</w:t>
      </w:r>
      <w:r w:rsidRPr="002A08CC">
        <w:rPr>
          <w:i/>
          <w:iCs/>
          <w:noProof/>
          <w:szCs w:val="24"/>
        </w:rPr>
        <w:t>anotechnology</w:t>
      </w:r>
      <w:r w:rsidRPr="002A08CC">
        <w:rPr>
          <w:noProof/>
          <w:szCs w:val="24"/>
        </w:rPr>
        <w:t>, 6(5)</w:t>
      </w:r>
      <w:r w:rsidR="00BD1F74" w:rsidRPr="002A08CC">
        <w:rPr>
          <w:noProof/>
          <w:szCs w:val="24"/>
        </w:rPr>
        <w:t>:</w:t>
      </w:r>
      <w:r w:rsidRPr="002A08CC">
        <w:rPr>
          <w:noProof/>
          <w:szCs w:val="24"/>
        </w:rPr>
        <w:t xml:space="preserve"> 302</w:t>
      </w:r>
      <w:r w:rsidR="000225E8">
        <w:rPr>
          <w:noProof/>
          <w:szCs w:val="24"/>
        </w:rPr>
        <w:t xml:space="preserve"> </w:t>
      </w:r>
      <w:r w:rsidRPr="002A08CC">
        <w:rPr>
          <w:noProof/>
          <w:szCs w:val="24"/>
        </w:rPr>
        <w:t>–</w:t>
      </w:r>
      <w:r w:rsidR="000225E8">
        <w:rPr>
          <w:noProof/>
          <w:szCs w:val="24"/>
        </w:rPr>
        <w:t xml:space="preserve"> </w:t>
      </w:r>
      <w:r w:rsidRPr="002A08CC">
        <w:rPr>
          <w:noProof/>
          <w:szCs w:val="24"/>
        </w:rPr>
        <w:t>307</w:t>
      </w:r>
      <w:r w:rsidR="001A40A3" w:rsidRPr="002A08CC">
        <w:rPr>
          <w:noProof/>
        </w:rPr>
        <w:t>.</w:t>
      </w:r>
    </w:p>
    <w:p w:rsidR="001A40A3" w:rsidRPr="002A08CC" w:rsidRDefault="000C6BE3" w:rsidP="001A40A3">
      <w:pPr>
        <w:pStyle w:val="Reference"/>
        <w:rPr>
          <w:noProof/>
        </w:rPr>
      </w:pPr>
      <w:r w:rsidRPr="002A08CC">
        <w:rPr>
          <w:noProof/>
          <w:szCs w:val="24"/>
        </w:rPr>
        <w:t xml:space="preserve">Flaherty, D. W., Berglund, S. P. </w:t>
      </w:r>
      <w:r w:rsidR="000225E8">
        <w:rPr>
          <w:noProof/>
          <w:szCs w:val="24"/>
        </w:rPr>
        <w:t>and</w:t>
      </w:r>
      <w:r w:rsidRPr="002A08CC">
        <w:rPr>
          <w:noProof/>
          <w:szCs w:val="24"/>
        </w:rPr>
        <w:t xml:space="preserve"> Mullins, </w:t>
      </w:r>
      <w:r w:rsidR="00BD1F74" w:rsidRPr="002A08CC">
        <w:rPr>
          <w:noProof/>
          <w:szCs w:val="24"/>
        </w:rPr>
        <w:t xml:space="preserve">C. B. (2010). </w:t>
      </w:r>
      <w:r w:rsidR="00C56AFE">
        <w:rPr>
          <w:noProof/>
          <w:szCs w:val="24"/>
        </w:rPr>
        <w:t xml:space="preserve">Selective </w:t>
      </w:r>
      <w:r w:rsidR="000225E8">
        <w:rPr>
          <w:noProof/>
          <w:szCs w:val="24"/>
        </w:rPr>
        <w:t>decomposition of formic acid on molybdenum carbide: a new reaction p</w:t>
      </w:r>
      <w:r w:rsidR="000225E8" w:rsidRPr="002A08CC">
        <w:rPr>
          <w:noProof/>
          <w:szCs w:val="24"/>
        </w:rPr>
        <w:t xml:space="preserve">athway. </w:t>
      </w:r>
      <w:r w:rsidRPr="002A08CC">
        <w:rPr>
          <w:i/>
          <w:iCs/>
          <w:noProof/>
          <w:szCs w:val="24"/>
        </w:rPr>
        <w:t>Journal of Catalysis</w:t>
      </w:r>
      <w:r w:rsidRPr="002A08CC">
        <w:rPr>
          <w:noProof/>
          <w:szCs w:val="24"/>
        </w:rPr>
        <w:t xml:space="preserve">, </w:t>
      </w:r>
      <w:r w:rsidRPr="000225E8">
        <w:rPr>
          <w:noProof/>
          <w:szCs w:val="24"/>
        </w:rPr>
        <w:t>269</w:t>
      </w:r>
      <w:r w:rsidRPr="002A08CC">
        <w:rPr>
          <w:noProof/>
          <w:szCs w:val="24"/>
        </w:rPr>
        <w:t>(1)</w:t>
      </w:r>
      <w:r w:rsidR="00BD1F74" w:rsidRPr="002A08CC">
        <w:rPr>
          <w:noProof/>
          <w:szCs w:val="24"/>
        </w:rPr>
        <w:t>:</w:t>
      </w:r>
      <w:r w:rsidRPr="002A08CC">
        <w:rPr>
          <w:noProof/>
          <w:szCs w:val="24"/>
        </w:rPr>
        <w:t xml:space="preserve"> 33</w:t>
      </w:r>
      <w:r w:rsidR="000225E8">
        <w:rPr>
          <w:noProof/>
          <w:szCs w:val="24"/>
        </w:rPr>
        <w:t xml:space="preserve"> </w:t>
      </w:r>
      <w:r w:rsidRPr="002A08CC">
        <w:rPr>
          <w:noProof/>
          <w:szCs w:val="24"/>
        </w:rPr>
        <w:t>–</w:t>
      </w:r>
      <w:r w:rsidR="000225E8">
        <w:rPr>
          <w:noProof/>
          <w:szCs w:val="24"/>
        </w:rPr>
        <w:t xml:space="preserve"> </w:t>
      </w:r>
      <w:r w:rsidRPr="002A08CC">
        <w:rPr>
          <w:noProof/>
          <w:szCs w:val="24"/>
        </w:rPr>
        <w:t>43</w:t>
      </w:r>
      <w:r w:rsidR="001A40A3" w:rsidRPr="002A08CC">
        <w:rPr>
          <w:noProof/>
        </w:rPr>
        <w:t>.</w:t>
      </w:r>
    </w:p>
    <w:p w:rsidR="001A40A3" w:rsidRPr="002A08CC" w:rsidRDefault="000C6BE3" w:rsidP="001A40A3">
      <w:pPr>
        <w:pStyle w:val="Reference"/>
        <w:rPr>
          <w:noProof/>
        </w:rPr>
      </w:pPr>
      <w:r w:rsidRPr="000225E8">
        <w:rPr>
          <w:noProof/>
          <w:szCs w:val="24"/>
        </w:rPr>
        <w:t xml:space="preserve">Kooti, M. </w:t>
      </w:r>
      <w:r w:rsidR="001174A3">
        <w:rPr>
          <w:noProof/>
          <w:szCs w:val="24"/>
        </w:rPr>
        <w:t>and</w:t>
      </w:r>
      <w:r w:rsidRPr="000225E8">
        <w:rPr>
          <w:noProof/>
          <w:szCs w:val="24"/>
        </w:rPr>
        <w:t xml:space="preserve"> Sedeh, A. N. (2012)</w:t>
      </w:r>
      <w:r w:rsidR="00BD1F74" w:rsidRPr="000225E8">
        <w:rPr>
          <w:noProof/>
          <w:szCs w:val="24"/>
        </w:rPr>
        <w:t xml:space="preserve">. </w:t>
      </w:r>
      <w:r w:rsidR="00C56AFE">
        <w:rPr>
          <w:noProof/>
          <w:szCs w:val="24"/>
        </w:rPr>
        <w:t>Glycine-assist</w:t>
      </w:r>
      <w:r w:rsidR="001174A3">
        <w:rPr>
          <w:noProof/>
          <w:szCs w:val="24"/>
        </w:rPr>
        <w:t>ed fabrication of zinc and manganese ferrite n</w:t>
      </w:r>
      <w:r w:rsidR="001174A3" w:rsidRPr="002A08CC">
        <w:rPr>
          <w:noProof/>
          <w:szCs w:val="24"/>
        </w:rPr>
        <w:t>anoparticles.</w:t>
      </w:r>
      <w:r w:rsidR="001174A3">
        <w:rPr>
          <w:noProof/>
          <w:szCs w:val="24"/>
        </w:rPr>
        <w:t xml:space="preserve"> </w:t>
      </w:r>
      <w:r w:rsidRPr="002A08CC">
        <w:rPr>
          <w:i/>
          <w:iCs/>
          <w:noProof/>
          <w:szCs w:val="24"/>
        </w:rPr>
        <w:t>Scientia Iranica</w:t>
      </w:r>
      <w:r w:rsidRPr="002A08CC">
        <w:rPr>
          <w:noProof/>
          <w:szCs w:val="24"/>
        </w:rPr>
        <w:t>, 19(3)</w:t>
      </w:r>
      <w:r w:rsidR="00BD1F74" w:rsidRPr="002A08CC">
        <w:rPr>
          <w:noProof/>
          <w:szCs w:val="24"/>
        </w:rPr>
        <w:t>:</w:t>
      </w:r>
      <w:r w:rsidRPr="002A08CC">
        <w:rPr>
          <w:noProof/>
          <w:szCs w:val="24"/>
        </w:rPr>
        <w:t xml:space="preserve"> 930</w:t>
      </w:r>
      <w:r w:rsidR="001174A3">
        <w:rPr>
          <w:noProof/>
          <w:szCs w:val="24"/>
        </w:rPr>
        <w:t xml:space="preserve"> </w:t>
      </w:r>
      <w:r w:rsidRPr="002A08CC">
        <w:rPr>
          <w:noProof/>
          <w:szCs w:val="24"/>
        </w:rPr>
        <w:t>–</w:t>
      </w:r>
      <w:r w:rsidR="001174A3">
        <w:rPr>
          <w:noProof/>
          <w:szCs w:val="24"/>
        </w:rPr>
        <w:t xml:space="preserve"> </w:t>
      </w:r>
      <w:r w:rsidRPr="002A08CC">
        <w:rPr>
          <w:noProof/>
          <w:szCs w:val="24"/>
        </w:rPr>
        <w:t>933</w:t>
      </w:r>
      <w:r w:rsidR="001A40A3" w:rsidRPr="002A08CC">
        <w:rPr>
          <w:noProof/>
        </w:rPr>
        <w:t>.</w:t>
      </w:r>
    </w:p>
    <w:p w:rsidR="001A40A3" w:rsidRPr="002A08CC" w:rsidRDefault="001A40A3" w:rsidP="001A40A3">
      <w:pPr>
        <w:pStyle w:val="Reference"/>
      </w:pPr>
      <w:r w:rsidRPr="002A08CC">
        <w:t xml:space="preserve">Gregg, </w:t>
      </w:r>
      <w:r w:rsidR="001174A3">
        <w:t>S. J. and</w:t>
      </w:r>
      <w:r w:rsidR="000C6BE3" w:rsidRPr="002A08CC">
        <w:t xml:space="preserve"> </w:t>
      </w:r>
      <w:r w:rsidRPr="002A08CC">
        <w:t xml:space="preserve">Sing, </w:t>
      </w:r>
      <w:r w:rsidR="000C6BE3" w:rsidRPr="002A08CC">
        <w:t xml:space="preserve">K. S. W. (1982). </w:t>
      </w:r>
      <w:r w:rsidRPr="002A08CC">
        <w:t xml:space="preserve">Adsorption, </w:t>
      </w:r>
      <w:r w:rsidR="001174A3" w:rsidRPr="002A08CC">
        <w:t>surface area and porosity</w:t>
      </w:r>
      <w:r w:rsidR="001174A3">
        <w:t xml:space="preserve">. </w:t>
      </w:r>
      <w:r w:rsidR="000C6BE3" w:rsidRPr="002A08CC">
        <w:t>Academic Press, New York.</w:t>
      </w:r>
    </w:p>
    <w:p w:rsidR="001A40A3" w:rsidRPr="002A08CC" w:rsidRDefault="000C6BE3" w:rsidP="001A40A3">
      <w:pPr>
        <w:pStyle w:val="Reference"/>
        <w:rPr>
          <w:noProof/>
        </w:rPr>
      </w:pPr>
      <w:r w:rsidRPr="002A08CC">
        <w:rPr>
          <w:noProof/>
          <w:szCs w:val="24"/>
        </w:rPr>
        <w:t xml:space="preserve">Feyzi, M., Mirzaei, A. A. </w:t>
      </w:r>
      <w:r w:rsidR="001174A3">
        <w:rPr>
          <w:noProof/>
          <w:szCs w:val="24"/>
        </w:rPr>
        <w:t>and</w:t>
      </w:r>
      <w:r w:rsidRPr="002A08CC">
        <w:rPr>
          <w:noProof/>
          <w:szCs w:val="24"/>
        </w:rPr>
        <w:t xml:space="preserve"> Bozorgzadeh, H. R. (2010)</w:t>
      </w:r>
      <w:r w:rsidR="00BD1F74" w:rsidRPr="002A08CC">
        <w:rPr>
          <w:noProof/>
          <w:szCs w:val="24"/>
        </w:rPr>
        <w:t xml:space="preserve">. </w:t>
      </w:r>
      <w:r w:rsidR="00C56AFE">
        <w:rPr>
          <w:noProof/>
          <w:szCs w:val="24"/>
        </w:rPr>
        <w:t>Effects o</w:t>
      </w:r>
      <w:r w:rsidR="001174A3">
        <w:rPr>
          <w:noProof/>
          <w:szCs w:val="24"/>
        </w:rPr>
        <w:t>f preparation and operation conditions on precipitated iron nickel c</w:t>
      </w:r>
      <w:r w:rsidR="001174A3" w:rsidRPr="002A08CC">
        <w:rPr>
          <w:noProof/>
          <w:szCs w:val="24"/>
        </w:rPr>
        <w:t>atalysts</w:t>
      </w:r>
      <w:r w:rsidR="001174A3">
        <w:rPr>
          <w:noProof/>
          <w:szCs w:val="24"/>
        </w:rPr>
        <w:t xml:space="preserve"> for Fischer-Tropsch s</w:t>
      </w:r>
      <w:r w:rsidR="00BD1F74" w:rsidRPr="002A08CC">
        <w:rPr>
          <w:noProof/>
          <w:szCs w:val="24"/>
        </w:rPr>
        <w:t>ynthesis.</w:t>
      </w:r>
      <w:r w:rsidRPr="002A08CC">
        <w:rPr>
          <w:noProof/>
          <w:szCs w:val="24"/>
        </w:rPr>
        <w:t xml:space="preserve"> </w:t>
      </w:r>
      <w:r w:rsidRPr="002A08CC">
        <w:rPr>
          <w:i/>
          <w:iCs/>
          <w:noProof/>
          <w:szCs w:val="24"/>
        </w:rPr>
        <w:t>Journal of Natural Gas Chemistry</w:t>
      </w:r>
      <w:r w:rsidR="00BD1F74" w:rsidRPr="002A08CC">
        <w:rPr>
          <w:noProof/>
          <w:szCs w:val="24"/>
        </w:rPr>
        <w:t>, 19(3):</w:t>
      </w:r>
      <w:r w:rsidRPr="002A08CC">
        <w:rPr>
          <w:noProof/>
          <w:szCs w:val="24"/>
        </w:rPr>
        <w:t xml:space="preserve"> </w:t>
      </w:r>
      <w:r w:rsidR="00BD1F74" w:rsidRPr="002A08CC">
        <w:rPr>
          <w:noProof/>
          <w:szCs w:val="24"/>
        </w:rPr>
        <w:t xml:space="preserve"> </w:t>
      </w:r>
      <w:r w:rsidRPr="002A08CC">
        <w:rPr>
          <w:noProof/>
          <w:szCs w:val="24"/>
        </w:rPr>
        <w:t>341</w:t>
      </w:r>
      <w:r w:rsidR="001174A3">
        <w:rPr>
          <w:noProof/>
          <w:szCs w:val="24"/>
        </w:rPr>
        <w:t xml:space="preserve"> </w:t>
      </w:r>
      <w:r w:rsidRPr="002A08CC">
        <w:rPr>
          <w:noProof/>
          <w:szCs w:val="24"/>
        </w:rPr>
        <w:t>–</w:t>
      </w:r>
      <w:r w:rsidR="001174A3">
        <w:rPr>
          <w:noProof/>
          <w:szCs w:val="24"/>
        </w:rPr>
        <w:t xml:space="preserve"> </w:t>
      </w:r>
      <w:r w:rsidRPr="002A08CC">
        <w:rPr>
          <w:noProof/>
          <w:szCs w:val="24"/>
        </w:rPr>
        <w:t>353</w:t>
      </w:r>
      <w:r w:rsidR="001A40A3" w:rsidRPr="002A08CC">
        <w:rPr>
          <w:noProof/>
        </w:rPr>
        <w:t>.</w:t>
      </w:r>
    </w:p>
    <w:p w:rsidR="001A40A3" w:rsidRPr="002A08CC" w:rsidRDefault="000C6BE3" w:rsidP="001A40A3">
      <w:pPr>
        <w:pStyle w:val="Reference"/>
        <w:rPr>
          <w:noProof/>
        </w:rPr>
      </w:pPr>
      <w:r w:rsidRPr="002A08CC">
        <w:rPr>
          <w:noProof/>
          <w:szCs w:val="24"/>
        </w:rPr>
        <w:t xml:space="preserve">Mandal, K., Bhattacharjee, D. </w:t>
      </w:r>
      <w:r w:rsidR="001174A3">
        <w:rPr>
          <w:noProof/>
          <w:szCs w:val="24"/>
        </w:rPr>
        <w:t>and</w:t>
      </w:r>
      <w:r w:rsidRPr="002A08CC">
        <w:rPr>
          <w:noProof/>
          <w:szCs w:val="24"/>
        </w:rPr>
        <w:t xml:space="preserve"> Dasgupta, S. (2015)</w:t>
      </w:r>
      <w:r w:rsidR="00BD1F74" w:rsidRPr="002A08CC">
        <w:rPr>
          <w:noProof/>
          <w:szCs w:val="24"/>
        </w:rPr>
        <w:t xml:space="preserve">. </w:t>
      </w:r>
      <w:r w:rsidRPr="002A08CC">
        <w:rPr>
          <w:noProof/>
          <w:szCs w:val="24"/>
        </w:rPr>
        <w:t xml:space="preserve">Synthesis </w:t>
      </w:r>
      <w:r w:rsidR="001174A3" w:rsidRPr="002A08CC">
        <w:rPr>
          <w:noProof/>
          <w:szCs w:val="24"/>
        </w:rPr>
        <w:t xml:space="preserve">of </w:t>
      </w:r>
      <w:r w:rsidR="001174A3">
        <w:rPr>
          <w:noProof/>
          <w:szCs w:val="24"/>
        </w:rPr>
        <w:t>n</w:t>
      </w:r>
      <w:r w:rsidR="001174A3" w:rsidRPr="002A08CC">
        <w:rPr>
          <w:noProof/>
          <w:szCs w:val="24"/>
        </w:rPr>
        <w:t>anoporous</w:t>
      </w:r>
      <w:r w:rsidRPr="002A08CC">
        <w:rPr>
          <w:noProof/>
          <w:szCs w:val="24"/>
        </w:rPr>
        <w:t xml:space="preserve"> PdAg </w:t>
      </w:r>
      <w:r w:rsidR="001174A3">
        <w:rPr>
          <w:noProof/>
          <w:szCs w:val="24"/>
        </w:rPr>
        <w:t>n</w:t>
      </w:r>
      <w:r w:rsidR="001174A3" w:rsidRPr="002A08CC">
        <w:rPr>
          <w:noProof/>
          <w:szCs w:val="24"/>
        </w:rPr>
        <w:t xml:space="preserve">anoalloy for </w:t>
      </w:r>
      <w:r w:rsidR="001174A3">
        <w:rPr>
          <w:noProof/>
          <w:szCs w:val="24"/>
        </w:rPr>
        <w:t>h</w:t>
      </w:r>
      <w:r w:rsidR="001174A3" w:rsidRPr="002A08CC">
        <w:rPr>
          <w:noProof/>
          <w:szCs w:val="24"/>
        </w:rPr>
        <w:t xml:space="preserve">ydrogen </w:t>
      </w:r>
      <w:r w:rsidR="001174A3">
        <w:rPr>
          <w:noProof/>
          <w:szCs w:val="24"/>
        </w:rPr>
        <w:t>g</w:t>
      </w:r>
      <w:r w:rsidR="001174A3" w:rsidRPr="002A08CC">
        <w:rPr>
          <w:noProof/>
          <w:szCs w:val="24"/>
        </w:rPr>
        <w:t xml:space="preserve">eneration from </w:t>
      </w:r>
      <w:r w:rsidR="001174A3">
        <w:rPr>
          <w:noProof/>
          <w:szCs w:val="24"/>
        </w:rPr>
        <w:t>formic a</w:t>
      </w:r>
      <w:r w:rsidR="001174A3" w:rsidRPr="002A08CC">
        <w:rPr>
          <w:noProof/>
          <w:szCs w:val="24"/>
        </w:rPr>
        <w:t xml:space="preserve">cid at </w:t>
      </w:r>
      <w:r w:rsidR="001174A3">
        <w:rPr>
          <w:noProof/>
          <w:szCs w:val="24"/>
        </w:rPr>
        <w:t>room t</w:t>
      </w:r>
      <w:r w:rsidR="001174A3" w:rsidRPr="002A08CC">
        <w:rPr>
          <w:noProof/>
          <w:szCs w:val="24"/>
        </w:rPr>
        <w:t>emperature.</w:t>
      </w:r>
      <w:r w:rsidRPr="002A08CC">
        <w:rPr>
          <w:noProof/>
          <w:szCs w:val="24"/>
        </w:rPr>
        <w:t xml:space="preserve"> </w:t>
      </w:r>
      <w:r w:rsidRPr="002A08CC">
        <w:rPr>
          <w:i/>
          <w:iCs/>
          <w:noProof/>
          <w:szCs w:val="24"/>
        </w:rPr>
        <w:t>International Journal of Hydrogen Energy</w:t>
      </w:r>
      <w:r w:rsidRPr="002A08CC">
        <w:rPr>
          <w:noProof/>
          <w:szCs w:val="24"/>
        </w:rPr>
        <w:t>, 40(14)</w:t>
      </w:r>
      <w:r w:rsidR="00BD1F74" w:rsidRPr="002A08CC">
        <w:rPr>
          <w:noProof/>
          <w:szCs w:val="24"/>
        </w:rPr>
        <w:t>:</w:t>
      </w:r>
      <w:r w:rsidRPr="002A08CC">
        <w:rPr>
          <w:noProof/>
          <w:szCs w:val="24"/>
        </w:rPr>
        <w:t xml:space="preserve"> 4786</w:t>
      </w:r>
      <w:r w:rsidR="001174A3">
        <w:rPr>
          <w:noProof/>
          <w:szCs w:val="24"/>
        </w:rPr>
        <w:t xml:space="preserve"> </w:t>
      </w:r>
      <w:r w:rsidRPr="002A08CC">
        <w:rPr>
          <w:noProof/>
          <w:szCs w:val="24"/>
        </w:rPr>
        <w:t>–</w:t>
      </w:r>
      <w:r w:rsidR="001174A3">
        <w:rPr>
          <w:noProof/>
          <w:szCs w:val="24"/>
        </w:rPr>
        <w:t xml:space="preserve"> </w:t>
      </w:r>
      <w:bookmarkStart w:id="0" w:name="_GoBack"/>
      <w:bookmarkEnd w:id="0"/>
      <w:r w:rsidRPr="002A08CC">
        <w:rPr>
          <w:noProof/>
          <w:szCs w:val="24"/>
        </w:rPr>
        <w:t>4793</w:t>
      </w:r>
      <w:r w:rsidR="001A40A3" w:rsidRPr="002A08CC">
        <w:rPr>
          <w:noProof/>
        </w:rPr>
        <w:t>.</w:t>
      </w:r>
    </w:p>
    <w:p w:rsidR="00785CA6" w:rsidRDefault="003C6A1F" w:rsidP="001A40A3">
      <w:pPr>
        <w:outlineLvl w:val="0"/>
        <w:rPr>
          <w:rFonts w:ascii="Times New Roman" w:hAnsi="Times New Roman" w:cs="Times New Roman"/>
          <w:b/>
          <w:color w:val="FF0000"/>
          <w:sz w:val="24"/>
        </w:rPr>
      </w:pPr>
      <w:r w:rsidRPr="002A08CC">
        <w:fldChar w:fldCharType="end"/>
      </w:r>
    </w:p>
    <w:p w:rsidR="00785CA6" w:rsidRPr="00A31D89" w:rsidRDefault="00785CA6" w:rsidP="00785CA6">
      <w:pPr>
        <w:ind w:left="850" w:hangingChars="472" w:hanging="850"/>
        <w:outlineLvl w:val="0"/>
        <w:rPr>
          <w:rFonts w:ascii="Times New Roman" w:hAnsi="Times New Roman" w:cs="Times New Roman"/>
          <w:sz w:val="18"/>
        </w:rPr>
      </w:pPr>
    </w:p>
    <w:p w:rsidR="0082319D" w:rsidRDefault="0082319D"/>
    <w:sectPr w:rsidR="0082319D" w:rsidSect="007768A0">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785CA6"/>
    <w:rsid w:val="000225E8"/>
    <w:rsid w:val="00026B99"/>
    <w:rsid w:val="00041870"/>
    <w:rsid w:val="0009153C"/>
    <w:rsid w:val="000B5054"/>
    <w:rsid w:val="000C6BE3"/>
    <w:rsid w:val="001174A3"/>
    <w:rsid w:val="00126C13"/>
    <w:rsid w:val="0014724D"/>
    <w:rsid w:val="00172EC4"/>
    <w:rsid w:val="001A40A3"/>
    <w:rsid w:val="001D6C2C"/>
    <w:rsid w:val="001D73EF"/>
    <w:rsid w:val="0022030C"/>
    <w:rsid w:val="002840AF"/>
    <w:rsid w:val="002A08CC"/>
    <w:rsid w:val="002B11D0"/>
    <w:rsid w:val="002C6FFA"/>
    <w:rsid w:val="00354AA3"/>
    <w:rsid w:val="003C6A1F"/>
    <w:rsid w:val="00413C9B"/>
    <w:rsid w:val="004363EE"/>
    <w:rsid w:val="004A5DC6"/>
    <w:rsid w:val="004A7AB1"/>
    <w:rsid w:val="004C49D2"/>
    <w:rsid w:val="004D0A80"/>
    <w:rsid w:val="004E2C3D"/>
    <w:rsid w:val="005777A8"/>
    <w:rsid w:val="00580F3A"/>
    <w:rsid w:val="00586D01"/>
    <w:rsid w:val="006133B5"/>
    <w:rsid w:val="006752F3"/>
    <w:rsid w:val="00685C81"/>
    <w:rsid w:val="006F4372"/>
    <w:rsid w:val="00747021"/>
    <w:rsid w:val="00767F66"/>
    <w:rsid w:val="00774B13"/>
    <w:rsid w:val="00785CA6"/>
    <w:rsid w:val="007B6220"/>
    <w:rsid w:val="007C6CA8"/>
    <w:rsid w:val="007E4813"/>
    <w:rsid w:val="007E7AB2"/>
    <w:rsid w:val="008102AB"/>
    <w:rsid w:val="0082319D"/>
    <w:rsid w:val="0082634F"/>
    <w:rsid w:val="00855B26"/>
    <w:rsid w:val="008721B7"/>
    <w:rsid w:val="008A2F02"/>
    <w:rsid w:val="009649D2"/>
    <w:rsid w:val="00A415C1"/>
    <w:rsid w:val="00A82523"/>
    <w:rsid w:val="00AC263F"/>
    <w:rsid w:val="00AD6216"/>
    <w:rsid w:val="00B171EF"/>
    <w:rsid w:val="00B32DC8"/>
    <w:rsid w:val="00B84995"/>
    <w:rsid w:val="00BA662B"/>
    <w:rsid w:val="00BD1F74"/>
    <w:rsid w:val="00BD21EE"/>
    <w:rsid w:val="00BE59F7"/>
    <w:rsid w:val="00C56AFE"/>
    <w:rsid w:val="00C77B0B"/>
    <w:rsid w:val="00CC3BBA"/>
    <w:rsid w:val="00D00809"/>
    <w:rsid w:val="00DE73D6"/>
    <w:rsid w:val="00E020F9"/>
    <w:rsid w:val="00E574DB"/>
    <w:rsid w:val="00F210E8"/>
    <w:rsid w:val="00F43FE2"/>
    <w:rsid w:val="00FE59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27"/>
        <o:r id="V:Rule2" type="connector" idref="#_x0000_s1028"/>
      </o:rules>
    </o:shapelayout>
  </w:shapeDefaults>
  <w:decimalSymbol w:val="."/>
  <w:listSeparator w:val=","/>
  <w15:docId w15:val="{4C8E51FA-AE6D-4758-A92B-C0666292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7E7A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26B99"/>
    <w:pPr>
      <w:keepNext/>
      <w:widowControl/>
      <w:wordWrap/>
      <w:autoSpaceDE/>
      <w:autoSpaceDN/>
      <w:spacing w:before="240" w:after="240"/>
      <w:jc w:val="center"/>
      <w:outlineLvl w:val="1"/>
    </w:pPr>
    <w:rPr>
      <w:rFonts w:ascii="Times New Roman" w:eastAsia="Times New Roman" w:hAnsi="Times New Roman" w:cs="Times New Roman"/>
      <w:b/>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customStyle="1" w:styleId="Heading2Char">
    <w:name w:val="Heading 2 Char"/>
    <w:basedOn w:val="DefaultParagraphFont"/>
    <w:link w:val="Heading2"/>
    <w:rsid w:val="00026B99"/>
    <w:rPr>
      <w:rFonts w:ascii="Times New Roman" w:eastAsia="Times New Roman" w:hAnsi="Times New Roman" w:cs="Times New Roman"/>
      <w:b/>
      <w:sz w:val="24"/>
      <w:szCs w:val="20"/>
    </w:rPr>
  </w:style>
  <w:style w:type="paragraph" w:customStyle="1" w:styleId="FigureCaption">
    <w:name w:val="Figure Caption"/>
    <w:next w:val="Normal"/>
    <w:rsid w:val="0022030C"/>
    <w:pPr>
      <w:spacing w:before="120" w:after="0" w:line="240" w:lineRule="auto"/>
      <w:jc w:val="center"/>
    </w:pPr>
    <w:rPr>
      <w:rFonts w:ascii="Times New Roman" w:eastAsia="Times New Roman" w:hAnsi="Times New Roman" w:cs="Times New Roman"/>
      <w:sz w:val="18"/>
      <w:szCs w:val="20"/>
    </w:rPr>
  </w:style>
  <w:style w:type="table" w:styleId="TableGrid">
    <w:name w:val="Table Grid"/>
    <w:basedOn w:val="TableNormal"/>
    <w:rsid w:val="0022030C"/>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aption">
    <w:name w:val="Table Caption"/>
    <w:basedOn w:val="FigureCaption"/>
    <w:qFormat/>
    <w:rsid w:val="0022030C"/>
    <w:rPr>
      <w:szCs w:val="18"/>
    </w:rPr>
  </w:style>
  <w:style w:type="paragraph" w:customStyle="1" w:styleId="Paragraph">
    <w:name w:val="Paragraph"/>
    <w:basedOn w:val="Normal"/>
    <w:rsid w:val="007E7AB2"/>
    <w:pPr>
      <w:widowControl/>
      <w:wordWrap/>
      <w:autoSpaceDE/>
      <w:autoSpaceDN/>
      <w:ind w:firstLine="284"/>
    </w:pPr>
    <w:rPr>
      <w:rFonts w:ascii="Times New Roman" w:eastAsia="Times New Roman" w:hAnsi="Times New Roman" w:cs="Times New Roman"/>
      <w:kern w:val="0"/>
      <w:szCs w:val="20"/>
      <w:lang w:eastAsia="en-US"/>
    </w:rPr>
  </w:style>
  <w:style w:type="character" w:customStyle="1" w:styleId="Heading1Char">
    <w:name w:val="Heading 1 Char"/>
    <w:basedOn w:val="DefaultParagraphFont"/>
    <w:link w:val="Heading1"/>
    <w:uiPriority w:val="9"/>
    <w:rsid w:val="007E7AB2"/>
    <w:rPr>
      <w:rFonts w:asciiTheme="majorHAnsi" w:eastAsiaTheme="majorEastAsia" w:hAnsiTheme="majorHAnsi" w:cstheme="majorBidi"/>
      <w:color w:val="365F91" w:themeColor="accent1" w:themeShade="BF"/>
      <w:kern w:val="2"/>
      <w:sz w:val="32"/>
      <w:szCs w:val="32"/>
      <w:lang w:eastAsia="ko-KR"/>
    </w:rPr>
  </w:style>
  <w:style w:type="paragraph" w:customStyle="1" w:styleId="Reference">
    <w:name w:val="Reference"/>
    <w:basedOn w:val="Paragraph"/>
    <w:rsid w:val="001A40A3"/>
    <w:pPr>
      <w:numPr>
        <w:numId w:val="2"/>
      </w:numPr>
      <w:ind w:left="426" w:hanging="426"/>
    </w:pPr>
  </w:style>
  <w:style w:type="character" w:styleId="Hyperlink">
    <w:name w:val="Hyperlink"/>
    <w:basedOn w:val="DefaultParagraphFont"/>
    <w:uiPriority w:val="99"/>
    <w:unhideWhenUsed/>
    <w:rsid w:val="00E57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222717">
      <w:bodyDiv w:val="1"/>
      <w:marLeft w:val="0"/>
      <w:marRight w:val="0"/>
      <w:marTop w:val="0"/>
      <w:marBottom w:val="0"/>
      <w:divBdr>
        <w:top w:val="none" w:sz="0" w:space="0" w:color="auto"/>
        <w:left w:val="none" w:sz="0" w:space="0" w:color="auto"/>
        <w:bottom w:val="none" w:sz="0" w:space="0" w:color="auto"/>
        <w:right w:val="none" w:sz="0" w:space="0" w:color="auto"/>
      </w:divBdr>
    </w:div>
    <w:div w:id="132574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annorroslam@ukm.edu.my" TargetMode="External"/><Relationship Id="rId11" Type="http://schemas.openxmlformats.org/officeDocument/2006/relationships/image" Target="media/image5.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tiff"/><Relationship Id="rId4" Type="http://schemas.openxmlformats.org/officeDocument/2006/relationships/settings" Target="settings.xml"/><Relationship Id="rId9" Type="http://schemas.openxmlformats.org/officeDocument/2006/relationships/image" Target="media/image3.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C6D2F-B0BB-4FC1-BEFC-776897B2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2371</Words>
  <Characters>13518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9</cp:revision>
  <dcterms:created xsi:type="dcterms:W3CDTF">2017-04-07T09:36:00Z</dcterms:created>
  <dcterms:modified xsi:type="dcterms:W3CDTF">2017-07-30T01:19:00Z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21e62864-1cf5-3dd9-9499-6dd4594d6534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http://csl.mendeley.com/styles/22056431/Gaya-UKM-2</vt:lpwstr>
  </property>
  <property fmtid="{D5CDD505-2E9C-101B-9397-08002B2CF9AE}" pid="12" name="Mendeley Recent Style Name 3_1">
    <vt:lpwstr>Gaya UKM - Firdaus Pozi</vt:lpwstr>
  </property>
  <property fmtid="{D5CDD505-2E9C-101B-9397-08002B2CF9AE}" pid="13" name="Mendeley Recent Style Id 4_1">
    <vt:lpwstr>http://www.zotero.org/styles/harvard-cite-them-right</vt:lpwstr>
  </property>
  <property fmtid="{D5CDD505-2E9C-101B-9397-08002B2CF9AE}" pid="14" name="Mendeley Recent Style Name 4_1">
    <vt:lpwstr>Harvard - Cite Them Right 9th edition</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http://www.zotero.org/styles/national-library-of-medicine</vt:lpwstr>
  </property>
  <property fmtid="{D5CDD505-2E9C-101B-9397-08002B2CF9AE}" pid="22" name="Mendeley Recent Style Name 8_1">
    <vt:lpwstr>National Library of Medicine</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