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59" w:rsidRDefault="004C4759" w:rsidP="004C4759">
      <w:pPr>
        <w:spacing w:after="0" w:line="240" w:lineRule="auto"/>
        <w:jc w:val="center"/>
        <w:rPr>
          <w:sz w:val="28"/>
          <w:szCs w:val="28"/>
        </w:rPr>
      </w:pPr>
      <w:r>
        <w:rPr>
          <w:sz w:val="28"/>
          <w:szCs w:val="28"/>
        </w:rPr>
        <w:t>SYNTHESIS OF MESOPOROUS SODALITE BY MIXED QUATERNARY AMMONIUM CATION TEMPLATES FOR KNOEVENAGEL CONDENSATION REACTION</w:t>
      </w:r>
    </w:p>
    <w:p w:rsidR="004C4759" w:rsidRDefault="004C4759" w:rsidP="004C4759">
      <w:pPr>
        <w:spacing w:after="0" w:line="240" w:lineRule="auto"/>
        <w:jc w:val="center"/>
        <w:rPr>
          <w:sz w:val="28"/>
          <w:szCs w:val="28"/>
        </w:rPr>
      </w:pPr>
    </w:p>
    <w:p w:rsidR="004C4759" w:rsidRDefault="00BA2CF4" w:rsidP="00AE2F05">
      <w:pPr>
        <w:spacing w:after="0" w:line="240" w:lineRule="auto"/>
        <w:jc w:val="center"/>
        <w:rPr>
          <w:sz w:val="28"/>
          <w:szCs w:val="28"/>
        </w:rPr>
      </w:pPr>
      <w:r>
        <w:rPr>
          <w:sz w:val="28"/>
          <w:szCs w:val="28"/>
        </w:rPr>
        <w:t>(Sintesis Sodalit Mesoliang d</w:t>
      </w:r>
      <w:r w:rsidR="00AE2F05">
        <w:rPr>
          <w:sz w:val="28"/>
          <w:szCs w:val="28"/>
        </w:rPr>
        <w:t>engan Campuran Templat –</w:t>
      </w:r>
      <w:r w:rsidR="007A1616">
        <w:rPr>
          <w:sz w:val="28"/>
          <w:szCs w:val="28"/>
        </w:rPr>
        <w:t xml:space="preserve"> Templat Kation Am</w:t>
      </w:r>
      <w:r>
        <w:rPr>
          <w:sz w:val="28"/>
          <w:szCs w:val="28"/>
        </w:rPr>
        <w:t>onium Kuaterner u</w:t>
      </w:r>
      <w:r w:rsidR="00AE2F05">
        <w:rPr>
          <w:sz w:val="28"/>
          <w:szCs w:val="28"/>
        </w:rPr>
        <w:t>ntuk Tindak Balas Kondensasi Knoevenagel)</w:t>
      </w:r>
    </w:p>
    <w:p w:rsidR="00583F46" w:rsidRDefault="00583F46" w:rsidP="004C4759">
      <w:pPr>
        <w:spacing w:after="0" w:line="240" w:lineRule="auto"/>
        <w:jc w:val="center"/>
        <w:rPr>
          <w:sz w:val="28"/>
          <w:szCs w:val="28"/>
        </w:rPr>
      </w:pPr>
    </w:p>
    <w:p w:rsidR="00583F46" w:rsidRDefault="00583F46" w:rsidP="004C4759">
      <w:pPr>
        <w:spacing w:after="0" w:line="240" w:lineRule="auto"/>
        <w:jc w:val="center"/>
        <w:rPr>
          <w:sz w:val="20"/>
          <w:szCs w:val="20"/>
        </w:rPr>
      </w:pPr>
      <w:r>
        <w:rPr>
          <w:sz w:val="20"/>
          <w:szCs w:val="20"/>
        </w:rPr>
        <w:t>Mohamad Faiz Othman, Shima Shirani Lapari, Zainab Ramli, Sugeng Triwahyono</w:t>
      </w:r>
    </w:p>
    <w:p w:rsidR="00583F46" w:rsidRPr="00583F46" w:rsidRDefault="00583F46" w:rsidP="004C4759">
      <w:pPr>
        <w:spacing w:after="0" w:line="240" w:lineRule="auto"/>
        <w:jc w:val="center"/>
        <w:rPr>
          <w:sz w:val="20"/>
          <w:szCs w:val="20"/>
        </w:rPr>
      </w:pPr>
    </w:p>
    <w:p w:rsidR="00AE2F05" w:rsidRPr="00AE2F05" w:rsidRDefault="00583F46" w:rsidP="004C4759">
      <w:pPr>
        <w:spacing w:after="0" w:line="240" w:lineRule="auto"/>
        <w:jc w:val="center"/>
        <w:rPr>
          <w:i/>
          <w:sz w:val="18"/>
          <w:szCs w:val="20"/>
        </w:rPr>
      </w:pPr>
      <w:r w:rsidRPr="00AE2F05">
        <w:rPr>
          <w:i/>
          <w:sz w:val="18"/>
          <w:szCs w:val="20"/>
        </w:rPr>
        <w:t xml:space="preserve">Department of Chemistry, Faculty of Science, </w:t>
      </w:r>
    </w:p>
    <w:p w:rsidR="00594DCC" w:rsidRPr="00AE2F05" w:rsidRDefault="00583F46" w:rsidP="004C4759">
      <w:pPr>
        <w:spacing w:after="0" w:line="240" w:lineRule="auto"/>
        <w:jc w:val="center"/>
        <w:rPr>
          <w:i/>
          <w:sz w:val="18"/>
          <w:szCs w:val="20"/>
        </w:rPr>
      </w:pPr>
      <w:r w:rsidRPr="00AE2F05">
        <w:rPr>
          <w:i/>
          <w:sz w:val="18"/>
          <w:szCs w:val="20"/>
        </w:rPr>
        <w:t>Universiti Teknologi Malaysia, 81310</w:t>
      </w:r>
      <w:r w:rsidR="00AE2F05" w:rsidRPr="00AE2F05">
        <w:rPr>
          <w:i/>
          <w:sz w:val="18"/>
          <w:szCs w:val="20"/>
        </w:rPr>
        <w:t xml:space="preserve"> </w:t>
      </w:r>
      <w:r w:rsidRPr="00AE2F05">
        <w:rPr>
          <w:i/>
          <w:sz w:val="18"/>
          <w:szCs w:val="20"/>
        </w:rPr>
        <w:t>UTM Johor Bahru, Malaysia</w:t>
      </w:r>
    </w:p>
    <w:p w:rsidR="00AE2F05" w:rsidRDefault="00AE2F05" w:rsidP="004C4759">
      <w:pPr>
        <w:spacing w:after="0" w:line="240" w:lineRule="auto"/>
        <w:jc w:val="center"/>
        <w:rPr>
          <w:i/>
          <w:sz w:val="20"/>
          <w:szCs w:val="20"/>
        </w:rPr>
      </w:pPr>
    </w:p>
    <w:p w:rsidR="00AE2F05" w:rsidRPr="00BE4C57" w:rsidRDefault="00AE2F05" w:rsidP="004C4759">
      <w:pPr>
        <w:spacing w:after="0" w:line="240" w:lineRule="auto"/>
        <w:jc w:val="center"/>
        <w:rPr>
          <w:sz w:val="18"/>
          <w:szCs w:val="20"/>
        </w:rPr>
      </w:pPr>
      <w:r w:rsidRPr="00BE4C57">
        <w:rPr>
          <w:i/>
          <w:sz w:val="18"/>
          <w:szCs w:val="20"/>
        </w:rPr>
        <w:t>*Corresponding author: zainabr@utm.my</w:t>
      </w:r>
    </w:p>
    <w:p w:rsidR="00594DCC" w:rsidRDefault="00594DCC" w:rsidP="004C4759">
      <w:pPr>
        <w:spacing w:after="0" w:line="240" w:lineRule="auto"/>
        <w:jc w:val="center"/>
        <w:rPr>
          <w:sz w:val="20"/>
          <w:szCs w:val="20"/>
        </w:rPr>
      </w:pPr>
    </w:p>
    <w:p w:rsidR="00594DCC" w:rsidRDefault="00594DCC" w:rsidP="004060A1">
      <w:pPr>
        <w:spacing w:after="0" w:line="240" w:lineRule="auto"/>
        <w:jc w:val="center"/>
        <w:rPr>
          <w:sz w:val="18"/>
          <w:szCs w:val="18"/>
        </w:rPr>
      </w:pPr>
      <w:r w:rsidRPr="00594DCC">
        <w:rPr>
          <w:b/>
          <w:sz w:val="18"/>
          <w:szCs w:val="18"/>
        </w:rPr>
        <w:t xml:space="preserve">Abstract </w:t>
      </w:r>
    </w:p>
    <w:p w:rsidR="008E6630" w:rsidRDefault="00594DCC" w:rsidP="008E6630">
      <w:pPr>
        <w:spacing w:after="0" w:line="240" w:lineRule="auto"/>
        <w:jc w:val="both"/>
        <w:rPr>
          <w:color w:val="000000" w:themeColor="text1"/>
          <w:sz w:val="18"/>
          <w:szCs w:val="18"/>
        </w:rPr>
      </w:pPr>
      <w:r w:rsidRPr="00594DCC">
        <w:rPr>
          <w:sz w:val="18"/>
          <w:szCs w:val="18"/>
        </w:rPr>
        <w:t xml:space="preserve">Sodalite (SOD) is a microporous zeolite </w:t>
      </w:r>
      <w:r w:rsidR="00466C32">
        <w:rPr>
          <w:sz w:val="18"/>
          <w:szCs w:val="18"/>
        </w:rPr>
        <w:t>with pore size</w:t>
      </w:r>
      <w:r w:rsidRPr="00594DCC">
        <w:rPr>
          <w:sz w:val="18"/>
          <w:szCs w:val="18"/>
        </w:rPr>
        <w:t xml:space="preserve"> about 2.8 Å</w:t>
      </w:r>
      <w:r w:rsidR="00840E54">
        <w:rPr>
          <w:sz w:val="18"/>
          <w:szCs w:val="18"/>
        </w:rPr>
        <w:t xml:space="preserve"> which</w:t>
      </w:r>
      <w:r w:rsidRPr="00594DCC">
        <w:rPr>
          <w:sz w:val="18"/>
          <w:szCs w:val="18"/>
        </w:rPr>
        <w:t xml:space="preserve"> limits its role as catalyst for the reaction involving bulky molecules. </w:t>
      </w:r>
      <w:r w:rsidR="00466C32">
        <w:rPr>
          <w:sz w:val="18"/>
          <w:szCs w:val="18"/>
        </w:rPr>
        <w:t>To overcome this disadvantage, m</w:t>
      </w:r>
      <w:r w:rsidRPr="00594DCC">
        <w:rPr>
          <w:sz w:val="18"/>
          <w:szCs w:val="18"/>
        </w:rPr>
        <w:t xml:space="preserve">esotemplate can be added to create mesoporosity in </w:t>
      </w:r>
      <w:r w:rsidR="00AE2F05">
        <w:rPr>
          <w:sz w:val="18"/>
          <w:szCs w:val="18"/>
        </w:rPr>
        <w:t xml:space="preserve">the synthesis of </w:t>
      </w:r>
      <w:r w:rsidRPr="00594DCC">
        <w:rPr>
          <w:sz w:val="18"/>
          <w:szCs w:val="18"/>
        </w:rPr>
        <w:t xml:space="preserve">SOD. </w:t>
      </w:r>
      <w:r w:rsidR="00F93C44">
        <w:rPr>
          <w:color w:val="000000" w:themeColor="text1"/>
          <w:sz w:val="18"/>
          <w:szCs w:val="18"/>
        </w:rPr>
        <w:t>A</w:t>
      </w:r>
      <w:r w:rsidR="00052E52" w:rsidRPr="00594DCC">
        <w:rPr>
          <w:color w:val="000000" w:themeColor="text1"/>
          <w:sz w:val="18"/>
          <w:szCs w:val="18"/>
        </w:rPr>
        <w:t xml:space="preserve"> series of SOD </w:t>
      </w:r>
      <w:r w:rsidR="00C47EDA">
        <w:rPr>
          <w:color w:val="000000" w:themeColor="text1"/>
          <w:sz w:val="18"/>
          <w:szCs w:val="18"/>
        </w:rPr>
        <w:t>samples was</w:t>
      </w:r>
      <w:r w:rsidR="00C47EDA" w:rsidRPr="00594DCC">
        <w:rPr>
          <w:color w:val="000000" w:themeColor="text1"/>
          <w:sz w:val="18"/>
          <w:szCs w:val="18"/>
        </w:rPr>
        <w:t xml:space="preserve"> </w:t>
      </w:r>
      <w:r w:rsidR="00052E52" w:rsidRPr="00594DCC">
        <w:rPr>
          <w:color w:val="000000" w:themeColor="text1"/>
          <w:sz w:val="18"/>
          <w:szCs w:val="18"/>
        </w:rPr>
        <w:t xml:space="preserve">synthesized </w:t>
      </w:r>
      <w:r w:rsidRPr="00594DCC">
        <w:rPr>
          <w:color w:val="000000" w:themeColor="text1"/>
          <w:sz w:val="18"/>
          <w:szCs w:val="18"/>
        </w:rPr>
        <w:t>using dual templates approach by mixing tetrapropylammonium</w:t>
      </w:r>
      <w:r w:rsidR="00F65E58">
        <w:rPr>
          <w:color w:val="000000" w:themeColor="text1"/>
          <w:sz w:val="18"/>
          <w:szCs w:val="18"/>
        </w:rPr>
        <w:t xml:space="preserve"> hydroxide</w:t>
      </w:r>
      <w:r w:rsidRPr="00594DCC">
        <w:rPr>
          <w:color w:val="000000" w:themeColor="text1"/>
          <w:sz w:val="18"/>
          <w:szCs w:val="18"/>
        </w:rPr>
        <w:t xml:space="preserve"> </w:t>
      </w:r>
      <w:r w:rsidRPr="00594DCC">
        <w:rPr>
          <w:sz w:val="18"/>
          <w:szCs w:val="18"/>
        </w:rPr>
        <w:t>(</w:t>
      </w:r>
      <w:r w:rsidRPr="00594DCC">
        <w:rPr>
          <w:rFonts w:eastAsia="Calibri"/>
          <w:sz w:val="18"/>
          <w:szCs w:val="18"/>
        </w:rPr>
        <w:t>TPA</w:t>
      </w:r>
      <w:r w:rsidR="00F65E58">
        <w:rPr>
          <w:rFonts w:eastAsia="Calibri"/>
          <w:sz w:val="18"/>
          <w:szCs w:val="18"/>
        </w:rPr>
        <w:t>OH</w:t>
      </w:r>
      <w:r w:rsidRPr="00594DCC">
        <w:rPr>
          <w:rFonts w:eastAsia="Calibri"/>
          <w:sz w:val="18"/>
          <w:szCs w:val="18"/>
        </w:rPr>
        <w:t>) with different quaternary ammonium cations</w:t>
      </w:r>
      <w:r w:rsidR="001251A1">
        <w:rPr>
          <w:rFonts w:eastAsia="Calibri"/>
          <w:sz w:val="18"/>
          <w:szCs w:val="18"/>
        </w:rPr>
        <w:t xml:space="preserve">. The </w:t>
      </w:r>
      <w:r w:rsidR="006D305B">
        <w:rPr>
          <w:rFonts w:eastAsia="Calibri"/>
          <w:sz w:val="18"/>
          <w:szCs w:val="18"/>
        </w:rPr>
        <w:t>samples</w:t>
      </w:r>
      <w:r w:rsidR="001251A1">
        <w:rPr>
          <w:rFonts w:eastAsia="Calibri"/>
          <w:sz w:val="18"/>
          <w:szCs w:val="18"/>
        </w:rPr>
        <w:t xml:space="preserve"> were</w:t>
      </w:r>
      <w:r w:rsidR="00466C32">
        <w:rPr>
          <w:rFonts w:eastAsia="Calibri"/>
          <w:sz w:val="18"/>
          <w:szCs w:val="18"/>
        </w:rPr>
        <w:t xml:space="preserve"> </w:t>
      </w:r>
      <w:r w:rsidR="00052E52">
        <w:rPr>
          <w:rFonts w:eastAsia="Calibri"/>
          <w:sz w:val="18"/>
          <w:szCs w:val="18"/>
        </w:rPr>
        <w:t xml:space="preserve">characterized using </w:t>
      </w:r>
      <w:r w:rsidR="00BE4C57">
        <w:rPr>
          <w:rFonts w:eastAsia="Calibri"/>
          <w:sz w:val="18"/>
          <w:szCs w:val="18"/>
        </w:rPr>
        <w:t>X-ray Diffraction (</w:t>
      </w:r>
      <w:r w:rsidR="00052E52">
        <w:rPr>
          <w:rFonts w:eastAsia="Calibri"/>
          <w:sz w:val="18"/>
          <w:szCs w:val="18"/>
        </w:rPr>
        <w:t>XRD</w:t>
      </w:r>
      <w:r w:rsidR="00BE4C57">
        <w:rPr>
          <w:rFonts w:eastAsia="Calibri"/>
          <w:sz w:val="18"/>
          <w:szCs w:val="18"/>
        </w:rPr>
        <w:t>)</w:t>
      </w:r>
      <w:r w:rsidR="00052E52">
        <w:rPr>
          <w:rFonts w:eastAsia="Calibri"/>
          <w:sz w:val="18"/>
          <w:szCs w:val="18"/>
        </w:rPr>
        <w:t xml:space="preserve">, </w:t>
      </w:r>
      <w:r w:rsidR="00BE4C57">
        <w:rPr>
          <w:rFonts w:eastAsia="Calibri"/>
          <w:sz w:val="18"/>
          <w:szCs w:val="18"/>
        </w:rPr>
        <w:t>Fourier Transformation Infrared (</w:t>
      </w:r>
      <w:r w:rsidR="00052E52">
        <w:rPr>
          <w:rFonts w:eastAsia="Calibri"/>
          <w:sz w:val="18"/>
          <w:szCs w:val="18"/>
        </w:rPr>
        <w:t>FTIR</w:t>
      </w:r>
      <w:r w:rsidR="00BE4C57">
        <w:rPr>
          <w:rFonts w:eastAsia="Calibri"/>
          <w:sz w:val="18"/>
          <w:szCs w:val="18"/>
        </w:rPr>
        <w:t>)</w:t>
      </w:r>
      <w:r w:rsidR="00052E52">
        <w:rPr>
          <w:rFonts w:eastAsia="Calibri"/>
          <w:sz w:val="18"/>
          <w:szCs w:val="18"/>
        </w:rPr>
        <w:t xml:space="preserve"> and N</w:t>
      </w:r>
      <w:r w:rsidR="00052E52">
        <w:rPr>
          <w:rFonts w:eastAsia="Calibri"/>
          <w:sz w:val="18"/>
          <w:szCs w:val="18"/>
          <w:vertAlign w:val="subscript"/>
        </w:rPr>
        <w:t>2</w:t>
      </w:r>
      <w:r w:rsidR="00134184">
        <w:rPr>
          <w:rFonts w:eastAsia="Calibri"/>
          <w:sz w:val="18"/>
          <w:szCs w:val="18"/>
        </w:rPr>
        <w:t xml:space="preserve"> adsorption</w:t>
      </w:r>
      <w:r w:rsidR="00081E63">
        <w:rPr>
          <w:rFonts w:eastAsia="Calibri"/>
          <w:sz w:val="18"/>
          <w:szCs w:val="18"/>
        </w:rPr>
        <w:t xml:space="preserve"> analysis</w:t>
      </w:r>
      <w:r w:rsidR="00134184">
        <w:rPr>
          <w:rFonts w:eastAsia="Calibri"/>
          <w:sz w:val="18"/>
          <w:szCs w:val="18"/>
        </w:rPr>
        <w:t xml:space="preserve">. </w:t>
      </w:r>
      <w:r w:rsidR="006D305B">
        <w:rPr>
          <w:sz w:val="18"/>
          <w:szCs w:val="18"/>
        </w:rPr>
        <w:t xml:space="preserve">From </w:t>
      </w:r>
      <w:r w:rsidR="006D305B" w:rsidRPr="006D305B">
        <w:rPr>
          <w:sz w:val="18"/>
          <w:szCs w:val="18"/>
        </w:rPr>
        <w:t>N</w:t>
      </w:r>
      <w:r w:rsidR="006D305B">
        <w:rPr>
          <w:sz w:val="18"/>
          <w:szCs w:val="18"/>
          <w:vertAlign w:val="subscript"/>
        </w:rPr>
        <w:t>2</w:t>
      </w:r>
      <w:r w:rsidR="006D305B">
        <w:rPr>
          <w:sz w:val="18"/>
          <w:szCs w:val="18"/>
        </w:rPr>
        <w:t xml:space="preserve"> adsorption analysis,</w:t>
      </w:r>
      <w:r w:rsidRPr="00594DCC">
        <w:rPr>
          <w:sz w:val="18"/>
          <w:szCs w:val="18"/>
        </w:rPr>
        <w:t xml:space="preserve"> only SOD sample prepared by mixing TPA</w:t>
      </w:r>
      <w:r w:rsidR="00081E63">
        <w:rPr>
          <w:sz w:val="18"/>
          <w:szCs w:val="18"/>
        </w:rPr>
        <w:t>OH</w:t>
      </w:r>
      <w:r w:rsidRPr="00594DCC">
        <w:rPr>
          <w:sz w:val="18"/>
          <w:szCs w:val="18"/>
        </w:rPr>
        <w:t xml:space="preserve"> with organosilane (SOD-TO) showed the characteristic of mesoporosity with a narrow pore </w:t>
      </w:r>
      <w:r w:rsidR="005655C4">
        <w:rPr>
          <w:sz w:val="18"/>
          <w:szCs w:val="18"/>
        </w:rPr>
        <w:t xml:space="preserve">size </w:t>
      </w:r>
      <w:r w:rsidRPr="00594DCC">
        <w:rPr>
          <w:sz w:val="18"/>
          <w:szCs w:val="18"/>
        </w:rPr>
        <w:t xml:space="preserve">distribution peak centered at </w:t>
      </w:r>
      <w:r w:rsidRPr="00594DCC">
        <w:rPr>
          <w:i/>
          <w:sz w:val="18"/>
          <w:szCs w:val="18"/>
        </w:rPr>
        <w:t>ca.</w:t>
      </w:r>
      <w:r w:rsidRPr="00594DCC">
        <w:rPr>
          <w:sz w:val="18"/>
          <w:szCs w:val="18"/>
        </w:rPr>
        <w:t xml:space="preserve"> 66 Å. </w:t>
      </w:r>
      <w:r w:rsidR="006D305B">
        <w:rPr>
          <w:sz w:val="18"/>
          <w:szCs w:val="18"/>
        </w:rPr>
        <w:t xml:space="preserve">The basicity properties of all SOD samples were evaluated by Hammett indicators test and back titration method. While, the basicity </w:t>
      </w:r>
      <w:r w:rsidR="00152411">
        <w:rPr>
          <w:sz w:val="18"/>
          <w:szCs w:val="18"/>
        </w:rPr>
        <w:t xml:space="preserve">property </w:t>
      </w:r>
      <w:r w:rsidR="006D305B">
        <w:rPr>
          <w:sz w:val="18"/>
          <w:szCs w:val="18"/>
        </w:rPr>
        <w:t xml:space="preserve">of SOD-TO </w:t>
      </w:r>
      <w:r w:rsidR="00152411">
        <w:rPr>
          <w:sz w:val="18"/>
          <w:szCs w:val="18"/>
        </w:rPr>
        <w:t xml:space="preserve">was </w:t>
      </w:r>
      <w:r w:rsidR="006D305B">
        <w:rPr>
          <w:sz w:val="18"/>
          <w:szCs w:val="18"/>
        </w:rPr>
        <w:t>compared with the microporous SOD (Na-SOD) using TPD-CO</w:t>
      </w:r>
      <w:r w:rsidR="006D305B">
        <w:rPr>
          <w:sz w:val="18"/>
          <w:szCs w:val="18"/>
          <w:vertAlign w:val="subscript"/>
        </w:rPr>
        <w:t>2</w:t>
      </w:r>
      <w:r w:rsidR="006D305B">
        <w:rPr>
          <w:sz w:val="18"/>
          <w:szCs w:val="18"/>
        </w:rPr>
        <w:t xml:space="preserve"> analysis.</w:t>
      </w:r>
      <w:r w:rsidRPr="00594DCC">
        <w:rPr>
          <w:sz w:val="18"/>
          <w:szCs w:val="18"/>
        </w:rPr>
        <w:t xml:space="preserve"> </w:t>
      </w:r>
      <w:r w:rsidR="00DC4431">
        <w:rPr>
          <w:sz w:val="18"/>
          <w:szCs w:val="18"/>
        </w:rPr>
        <w:t>A</w:t>
      </w:r>
      <w:r w:rsidR="00DC4431" w:rsidRPr="00594DCC">
        <w:rPr>
          <w:sz w:val="18"/>
          <w:szCs w:val="18"/>
        </w:rPr>
        <w:t xml:space="preserve">ll </w:t>
      </w:r>
      <w:r w:rsidRPr="00594DCC">
        <w:rPr>
          <w:sz w:val="18"/>
          <w:szCs w:val="18"/>
        </w:rPr>
        <w:t>SOD samples</w:t>
      </w:r>
      <w:r w:rsidR="000E47B8">
        <w:rPr>
          <w:sz w:val="18"/>
          <w:szCs w:val="18"/>
        </w:rPr>
        <w:t xml:space="preserve"> </w:t>
      </w:r>
      <w:r w:rsidR="00466C32">
        <w:rPr>
          <w:sz w:val="18"/>
          <w:szCs w:val="18"/>
        </w:rPr>
        <w:t xml:space="preserve">were </w:t>
      </w:r>
      <w:r w:rsidR="006D305B">
        <w:rPr>
          <w:sz w:val="18"/>
          <w:szCs w:val="18"/>
        </w:rPr>
        <w:t>tested</w:t>
      </w:r>
      <w:r w:rsidR="00466C32">
        <w:rPr>
          <w:sz w:val="18"/>
          <w:szCs w:val="18"/>
        </w:rPr>
        <w:t xml:space="preserve"> </w:t>
      </w:r>
      <w:r w:rsidR="006D305B">
        <w:rPr>
          <w:sz w:val="18"/>
          <w:szCs w:val="18"/>
        </w:rPr>
        <w:t>in</w:t>
      </w:r>
      <w:r w:rsidRPr="00594DCC">
        <w:rPr>
          <w:sz w:val="18"/>
          <w:szCs w:val="18"/>
        </w:rPr>
        <w:t xml:space="preserve"> the Knoevenagel condensation reaction of benzaldehyde and diethyl malonate</w:t>
      </w:r>
      <w:r w:rsidR="00DC4431">
        <w:rPr>
          <w:sz w:val="18"/>
          <w:szCs w:val="18"/>
        </w:rPr>
        <w:t>,</w:t>
      </w:r>
      <w:r w:rsidRPr="00594DCC">
        <w:rPr>
          <w:sz w:val="18"/>
          <w:szCs w:val="18"/>
        </w:rPr>
        <w:t xml:space="preserve"> giving diethyl-2-benzylidenemalonate as </w:t>
      </w:r>
      <w:r w:rsidR="00152411">
        <w:rPr>
          <w:sz w:val="18"/>
          <w:szCs w:val="18"/>
        </w:rPr>
        <w:t>the</w:t>
      </w:r>
      <w:r w:rsidR="00152411" w:rsidRPr="00594DCC">
        <w:rPr>
          <w:sz w:val="18"/>
          <w:szCs w:val="18"/>
        </w:rPr>
        <w:t xml:space="preserve"> </w:t>
      </w:r>
      <w:r w:rsidRPr="00594DCC">
        <w:rPr>
          <w:sz w:val="18"/>
          <w:szCs w:val="18"/>
        </w:rPr>
        <w:t xml:space="preserve">main product. </w:t>
      </w:r>
      <w:r w:rsidR="006D305B">
        <w:rPr>
          <w:color w:val="000000" w:themeColor="text1"/>
          <w:sz w:val="18"/>
          <w:szCs w:val="18"/>
        </w:rPr>
        <w:t>The results showed that</w:t>
      </w:r>
      <w:r w:rsidR="00840E54">
        <w:rPr>
          <w:color w:val="000000" w:themeColor="text1"/>
          <w:sz w:val="18"/>
          <w:szCs w:val="18"/>
        </w:rPr>
        <w:t xml:space="preserve"> </w:t>
      </w:r>
      <w:r w:rsidRPr="00594DCC">
        <w:rPr>
          <w:color w:val="000000" w:themeColor="text1"/>
          <w:sz w:val="18"/>
          <w:szCs w:val="18"/>
        </w:rPr>
        <w:t xml:space="preserve">SOD-TO catalyst which possessing the highest amount of basicity and </w:t>
      </w:r>
      <w:r w:rsidR="00152411">
        <w:rPr>
          <w:color w:val="000000" w:themeColor="text1"/>
          <w:sz w:val="18"/>
          <w:szCs w:val="18"/>
        </w:rPr>
        <w:t xml:space="preserve">the highest </w:t>
      </w:r>
      <w:r w:rsidRPr="00594DCC">
        <w:rPr>
          <w:color w:val="000000" w:themeColor="text1"/>
          <w:sz w:val="18"/>
          <w:szCs w:val="18"/>
        </w:rPr>
        <w:t>surface area with</w:t>
      </w:r>
      <w:r w:rsidR="00F93C44">
        <w:rPr>
          <w:color w:val="000000" w:themeColor="text1"/>
          <w:sz w:val="18"/>
          <w:szCs w:val="18"/>
        </w:rPr>
        <w:t xml:space="preserve"> mesoporosity </w:t>
      </w:r>
      <w:r w:rsidR="00DC4431">
        <w:rPr>
          <w:color w:val="000000" w:themeColor="text1"/>
          <w:sz w:val="18"/>
          <w:szCs w:val="18"/>
        </w:rPr>
        <w:t>character</w:t>
      </w:r>
      <w:r w:rsidR="00F93C44">
        <w:rPr>
          <w:color w:val="000000" w:themeColor="text1"/>
          <w:sz w:val="18"/>
          <w:szCs w:val="18"/>
        </w:rPr>
        <w:t xml:space="preserve"> </w:t>
      </w:r>
      <w:r w:rsidR="00DC4431">
        <w:rPr>
          <w:color w:val="000000" w:themeColor="text1"/>
          <w:sz w:val="18"/>
          <w:szCs w:val="18"/>
        </w:rPr>
        <w:t>gave</w:t>
      </w:r>
      <w:r w:rsidRPr="00594DCC">
        <w:rPr>
          <w:color w:val="000000" w:themeColor="text1"/>
          <w:sz w:val="18"/>
          <w:szCs w:val="18"/>
        </w:rPr>
        <w:t xml:space="preserve"> the highest pe</w:t>
      </w:r>
      <w:r w:rsidR="00F93C44">
        <w:rPr>
          <w:color w:val="000000" w:themeColor="text1"/>
          <w:sz w:val="18"/>
          <w:szCs w:val="18"/>
        </w:rPr>
        <w:t>rcentage</w:t>
      </w:r>
      <w:r w:rsidR="004060A1">
        <w:rPr>
          <w:color w:val="000000" w:themeColor="text1"/>
          <w:sz w:val="18"/>
          <w:szCs w:val="18"/>
        </w:rPr>
        <w:t>s</w:t>
      </w:r>
      <w:r w:rsidR="00F93C44">
        <w:rPr>
          <w:color w:val="000000" w:themeColor="text1"/>
          <w:sz w:val="18"/>
          <w:szCs w:val="18"/>
        </w:rPr>
        <w:t xml:space="preserve"> of conversion</w:t>
      </w:r>
      <w:r w:rsidR="004060A1">
        <w:rPr>
          <w:color w:val="000000" w:themeColor="text1"/>
          <w:sz w:val="18"/>
          <w:szCs w:val="18"/>
        </w:rPr>
        <w:t xml:space="preserve"> and yield</w:t>
      </w:r>
      <w:r w:rsidR="00DC4431">
        <w:rPr>
          <w:color w:val="000000" w:themeColor="text1"/>
          <w:sz w:val="18"/>
          <w:szCs w:val="18"/>
        </w:rPr>
        <w:t xml:space="preserve"> of Knoevenagel reaction.</w:t>
      </w:r>
    </w:p>
    <w:p w:rsidR="00594DCC" w:rsidRPr="00594DCC" w:rsidRDefault="00594DCC" w:rsidP="008E6630">
      <w:pPr>
        <w:spacing w:after="0" w:line="240" w:lineRule="auto"/>
        <w:jc w:val="both"/>
        <w:rPr>
          <w:color w:val="000000" w:themeColor="text1"/>
          <w:sz w:val="18"/>
          <w:szCs w:val="18"/>
        </w:rPr>
      </w:pPr>
    </w:p>
    <w:p w:rsidR="003B5D95" w:rsidRDefault="00466C32" w:rsidP="00594DCC">
      <w:pPr>
        <w:spacing w:after="0" w:line="240" w:lineRule="auto"/>
        <w:jc w:val="both"/>
        <w:rPr>
          <w:sz w:val="18"/>
          <w:szCs w:val="18"/>
        </w:rPr>
      </w:pPr>
      <w:r>
        <w:rPr>
          <w:b/>
          <w:sz w:val="18"/>
          <w:szCs w:val="18"/>
        </w:rPr>
        <w:t xml:space="preserve">Keywords: </w:t>
      </w:r>
      <w:r>
        <w:rPr>
          <w:sz w:val="18"/>
          <w:szCs w:val="18"/>
        </w:rPr>
        <w:t xml:space="preserve">sodalite, </w:t>
      </w:r>
      <w:r w:rsidR="003B5D95">
        <w:rPr>
          <w:sz w:val="18"/>
          <w:szCs w:val="18"/>
        </w:rPr>
        <w:t>basic catalyst, dual templates ap</w:t>
      </w:r>
      <w:r w:rsidR="00AE2F05">
        <w:rPr>
          <w:sz w:val="18"/>
          <w:szCs w:val="18"/>
        </w:rPr>
        <w:t xml:space="preserve">proach, mesoporous sodalite, </w:t>
      </w:r>
      <w:r w:rsidR="003B5D95">
        <w:rPr>
          <w:sz w:val="18"/>
          <w:szCs w:val="18"/>
        </w:rPr>
        <w:t>Knoevenagel condensation reaction</w:t>
      </w:r>
    </w:p>
    <w:p w:rsidR="003B5D95" w:rsidRDefault="003B5D95" w:rsidP="00594DCC">
      <w:pPr>
        <w:spacing w:after="0" w:line="240" w:lineRule="auto"/>
        <w:jc w:val="both"/>
        <w:rPr>
          <w:sz w:val="18"/>
          <w:szCs w:val="18"/>
        </w:rPr>
      </w:pPr>
    </w:p>
    <w:p w:rsidR="003B5D95" w:rsidRPr="00BE4C57" w:rsidRDefault="003B5D95" w:rsidP="004060A1">
      <w:pPr>
        <w:spacing w:after="0" w:line="240" w:lineRule="auto"/>
        <w:jc w:val="center"/>
        <w:rPr>
          <w:noProof/>
          <w:sz w:val="18"/>
          <w:szCs w:val="18"/>
          <w:lang w:val="ms-MY"/>
        </w:rPr>
      </w:pPr>
      <w:r w:rsidRPr="00BE4C57">
        <w:rPr>
          <w:b/>
          <w:noProof/>
          <w:sz w:val="18"/>
          <w:szCs w:val="18"/>
          <w:lang w:val="ms-MY"/>
        </w:rPr>
        <w:t>Abstrak</w:t>
      </w:r>
    </w:p>
    <w:p w:rsidR="00277850" w:rsidRPr="00BE4C57" w:rsidRDefault="003B5D95" w:rsidP="003B5D95">
      <w:pPr>
        <w:spacing w:after="0" w:line="240" w:lineRule="auto"/>
        <w:jc w:val="both"/>
        <w:rPr>
          <w:noProof/>
          <w:sz w:val="18"/>
          <w:szCs w:val="18"/>
          <w:lang w:val="ms-MY"/>
        </w:rPr>
      </w:pPr>
      <w:r w:rsidRPr="00BE4C57">
        <w:rPr>
          <w:noProof/>
          <w:sz w:val="18"/>
          <w:szCs w:val="18"/>
          <w:lang w:val="ms-MY"/>
        </w:rPr>
        <w:t>Sodalit (SOD) ialah zeolit mikroliang dengan liang bersaiz sekitar 2.8 Å yang menghadkan peranannya sebagai mangkin untuk tindak balas yang melibatkan molekul</w:t>
      </w:r>
      <w:r w:rsidR="00BE4C57">
        <w:rPr>
          <w:noProof/>
          <w:sz w:val="18"/>
          <w:szCs w:val="18"/>
          <w:lang w:val="ms-MY"/>
        </w:rPr>
        <w:t xml:space="preserve"> – </w:t>
      </w:r>
      <w:r w:rsidRPr="00BE4C57">
        <w:rPr>
          <w:noProof/>
          <w:sz w:val="18"/>
          <w:szCs w:val="18"/>
          <w:lang w:val="ms-MY"/>
        </w:rPr>
        <w:t xml:space="preserve">molekul yang besar. </w:t>
      </w:r>
      <w:r w:rsidR="00F93C44" w:rsidRPr="00BE4C57">
        <w:rPr>
          <w:noProof/>
          <w:sz w:val="18"/>
          <w:szCs w:val="18"/>
          <w:lang w:val="ms-MY"/>
        </w:rPr>
        <w:t xml:space="preserve">Untuk mengatasi kekangan ini, </w:t>
      </w:r>
      <w:r w:rsidR="00E80C18" w:rsidRPr="00BE4C57">
        <w:rPr>
          <w:noProof/>
          <w:sz w:val="18"/>
          <w:szCs w:val="18"/>
          <w:lang w:val="ms-MY"/>
        </w:rPr>
        <w:t xml:space="preserve">mesotemplat boleh ditambahkan </w:t>
      </w:r>
      <w:r w:rsidR="00DC4431" w:rsidRPr="00BE4C57">
        <w:rPr>
          <w:noProof/>
          <w:sz w:val="18"/>
          <w:szCs w:val="18"/>
          <w:lang w:val="ms-MY"/>
        </w:rPr>
        <w:t xml:space="preserve">dalam sintesis SOD </w:t>
      </w:r>
      <w:r w:rsidR="00E80C18" w:rsidRPr="00BE4C57">
        <w:rPr>
          <w:noProof/>
          <w:sz w:val="18"/>
          <w:szCs w:val="18"/>
          <w:lang w:val="ms-MY"/>
        </w:rPr>
        <w:t xml:space="preserve">bagi </w:t>
      </w:r>
      <w:r w:rsidR="00DC4431" w:rsidRPr="00BE4C57">
        <w:rPr>
          <w:noProof/>
          <w:sz w:val="18"/>
          <w:szCs w:val="18"/>
          <w:lang w:val="ms-MY"/>
        </w:rPr>
        <w:t xml:space="preserve">mengwujudkan </w:t>
      </w:r>
      <w:r w:rsidR="00BE4C57">
        <w:rPr>
          <w:noProof/>
          <w:sz w:val="18"/>
          <w:szCs w:val="18"/>
          <w:lang w:val="ms-MY"/>
        </w:rPr>
        <w:t>mesoliang dalam SOD</w:t>
      </w:r>
      <w:r w:rsidR="00E80C18" w:rsidRPr="00BE4C57">
        <w:rPr>
          <w:noProof/>
          <w:sz w:val="18"/>
          <w:szCs w:val="18"/>
          <w:lang w:val="ms-MY"/>
        </w:rPr>
        <w:t>.</w:t>
      </w:r>
      <w:r w:rsidR="00F93C44" w:rsidRPr="00BE4C57">
        <w:rPr>
          <w:noProof/>
          <w:sz w:val="18"/>
          <w:szCs w:val="18"/>
          <w:lang w:val="ms-MY"/>
        </w:rPr>
        <w:t xml:space="preserve"> S</w:t>
      </w:r>
      <w:r w:rsidR="00E80C18" w:rsidRPr="00BE4C57">
        <w:rPr>
          <w:noProof/>
          <w:sz w:val="18"/>
          <w:szCs w:val="18"/>
          <w:lang w:val="ms-MY"/>
        </w:rPr>
        <w:t>atu siri SOD telah disintesis menggunakan pendekatan dwi templat dengan campuran tetrapropilamonium</w:t>
      </w:r>
      <w:r w:rsidR="00F65E58" w:rsidRPr="00BE4C57">
        <w:rPr>
          <w:noProof/>
          <w:sz w:val="18"/>
          <w:szCs w:val="18"/>
          <w:lang w:val="ms-MY"/>
        </w:rPr>
        <w:t xml:space="preserve"> hidroksida</w:t>
      </w:r>
      <w:r w:rsidR="00E80C18" w:rsidRPr="00BE4C57">
        <w:rPr>
          <w:noProof/>
          <w:sz w:val="18"/>
          <w:szCs w:val="18"/>
          <w:lang w:val="ms-MY"/>
        </w:rPr>
        <w:t xml:space="preserve"> (TPA) dengan </w:t>
      </w:r>
      <w:r w:rsidR="00BE4C57">
        <w:rPr>
          <w:noProof/>
          <w:sz w:val="18"/>
          <w:szCs w:val="18"/>
          <w:lang w:val="ms-MY"/>
        </w:rPr>
        <w:t>pel</w:t>
      </w:r>
      <w:r w:rsidR="006022B3" w:rsidRPr="00BE4C57">
        <w:rPr>
          <w:noProof/>
          <w:sz w:val="18"/>
          <w:szCs w:val="18"/>
          <w:lang w:val="ms-MY"/>
        </w:rPr>
        <w:t xml:space="preserve">bagai </w:t>
      </w:r>
      <w:r w:rsidR="00E80C18" w:rsidRPr="00BE4C57">
        <w:rPr>
          <w:noProof/>
          <w:sz w:val="18"/>
          <w:szCs w:val="18"/>
          <w:lang w:val="ms-MY"/>
        </w:rPr>
        <w:t>kation amonium kuaterner</w:t>
      </w:r>
      <w:r w:rsidR="00F93C44" w:rsidRPr="00BE4C57">
        <w:rPr>
          <w:noProof/>
          <w:sz w:val="18"/>
          <w:szCs w:val="18"/>
          <w:lang w:val="ms-MY"/>
        </w:rPr>
        <w:t xml:space="preserve">. Semua sampel telah dicirikan menggunakan </w:t>
      </w:r>
      <w:r w:rsidR="00BE4C57">
        <w:rPr>
          <w:noProof/>
          <w:sz w:val="18"/>
          <w:szCs w:val="18"/>
          <w:lang w:val="ms-MY"/>
        </w:rPr>
        <w:t>pembelauan sinar-X (</w:t>
      </w:r>
      <w:r w:rsidR="00F93C44" w:rsidRPr="00BE4C57">
        <w:rPr>
          <w:noProof/>
          <w:sz w:val="18"/>
          <w:szCs w:val="18"/>
          <w:lang w:val="ms-MY"/>
        </w:rPr>
        <w:t>XRD</w:t>
      </w:r>
      <w:r w:rsidR="00BE4C57">
        <w:rPr>
          <w:noProof/>
          <w:sz w:val="18"/>
          <w:szCs w:val="18"/>
          <w:lang w:val="ms-MY"/>
        </w:rPr>
        <w:t>)</w:t>
      </w:r>
      <w:r w:rsidR="00F93C44" w:rsidRPr="00BE4C57">
        <w:rPr>
          <w:noProof/>
          <w:sz w:val="18"/>
          <w:szCs w:val="18"/>
          <w:lang w:val="ms-MY"/>
        </w:rPr>
        <w:t xml:space="preserve">, </w:t>
      </w:r>
      <w:r w:rsidR="00BE4C57">
        <w:rPr>
          <w:noProof/>
          <w:sz w:val="18"/>
          <w:szCs w:val="18"/>
          <w:lang w:val="ms-MY"/>
        </w:rPr>
        <w:t>Inframerah Tranformasi Fourier (</w:t>
      </w:r>
      <w:r w:rsidR="00E80C18" w:rsidRPr="00BE4C57">
        <w:rPr>
          <w:noProof/>
          <w:sz w:val="18"/>
          <w:szCs w:val="18"/>
          <w:lang w:val="ms-MY"/>
        </w:rPr>
        <w:t>FTIR</w:t>
      </w:r>
      <w:r w:rsidR="00BE4C57">
        <w:rPr>
          <w:noProof/>
          <w:sz w:val="18"/>
          <w:szCs w:val="18"/>
          <w:lang w:val="ms-MY"/>
        </w:rPr>
        <w:t>)</w:t>
      </w:r>
      <w:r w:rsidR="00E80C18" w:rsidRPr="00BE4C57">
        <w:rPr>
          <w:noProof/>
          <w:sz w:val="18"/>
          <w:szCs w:val="18"/>
          <w:lang w:val="ms-MY"/>
        </w:rPr>
        <w:t xml:space="preserve"> dan </w:t>
      </w:r>
      <w:r w:rsidR="00081E63" w:rsidRPr="00BE4C57">
        <w:rPr>
          <w:noProof/>
          <w:sz w:val="18"/>
          <w:szCs w:val="18"/>
          <w:lang w:val="ms-MY"/>
        </w:rPr>
        <w:t xml:space="preserve">analisis </w:t>
      </w:r>
      <w:r w:rsidR="00F93C44" w:rsidRPr="00BE4C57">
        <w:rPr>
          <w:noProof/>
          <w:sz w:val="18"/>
          <w:szCs w:val="18"/>
          <w:lang w:val="ms-MY"/>
        </w:rPr>
        <w:t xml:space="preserve">penjerapan </w:t>
      </w:r>
      <w:r w:rsidR="00E80C18" w:rsidRPr="00BE4C57">
        <w:rPr>
          <w:noProof/>
          <w:sz w:val="18"/>
          <w:szCs w:val="18"/>
          <w:lang w:val="ms-MY"/>
        </w:rPr>
        <w:t>N</w:t>
      </w:r>
      <w:r w:rsidR="00E80C18" w:rsidRPr="00BE4C57">
        <w:rPr>
          <w:noProof/>
          <w:sz w:val="18"/>
          <w:szCs w:val="18"/>
          <w:vertAlign w:val="subscript"/>
          <w:lang w:val="ms-MY"/>
        </w:rPr>
        <w:t>2</w:t>
      </w:r>
      <w:r w:rsidR="00E80C18" w:rsidRPr="00BE4C57">
        <w:rPr>
          <w:noProof/>
          <w:sz w:val="18"/>
          <w:szCs w:val="18"/>
          <w:lang w:val="ms-MY"/>
        </w:rPr>
        <w:t xml:space="preserve">. </w:t>
      </w:r>
      <w:r w:rsidR="00F93C44" w:rsidRPr="00BE4C57">
        <w:rPr>
          <w:noProof/>
          <w:sz w:val="18"/>
          <w:szCs w:val="18"/>
          <w:lang w:val="ms-MY"/>
        </w:rPr>
        <w:t>Daripada analisis penjerapan N</w:t>
      </w:r>
      <w:r w:rsidR="00F93C44" w:rsidRPr="00BE4C57">
        <w:rPr>
          <w:noProof/>
          <w:sz w:val="18"/>
          <w:szCs w:val="18"/>
          <w:vertAlign w:val="subscript"/>
          <w:lang w:val="ms-MY"/>
        </w:rPr>
        <w:t>2</w:t>
      </w:r>
      <w:r w:rsidR="00F93C44" w:rsidRPr="00BE4C57">
        <w:rPr>
          <w:noProof/>
          <w:sz w:val="18"/>
          <w:szCs w:val="18"/>
          <w:lang w:val="ms-MY"/>
        </w:rPr>
        <w:t xml:space="preserve">, </w:t>
      </w:r>
      <w:r w:rsidR="00E80C18" w:rsidRPr="00BE4C57">
        <w:rPr>
          <w:noProof/>
          <w:sz w:val="18"/>
          <w:szCs w:val="18"/>
          <w:lang w:val="ms-MY"/>
        </w:rPr>
        <w:t>sampel SOD yang disintesis hasil campuran TPA dengan organosilana (SOD-TO)</w:t>
      </w:r>
      <w:r w:rsidR="00F93C44" w:rsidRPr="00BE4C57">
        <w:rPr>
          <w:noProof/>
          <w:sz w:val="18"/>
          <w:szCs w:val="18"/>
          <w:lang w:val="ms-MY"/>
        </w:rPr>
        <w:t xml:space="preserve"> sahaja yang</w:t>
      </w:r>
      <w:r w:rsidR="00E80C18" w:rsidRPr="00BE4C57">
        <w:rPr>
          <w:noProof/>
          <w:sz w:val="18"/>
          <w:szCs w:val="18"/>
          <w:lang w:val="ms-MY"/>
        </w:rPr>
        <w:t xml:space="preserve"> menunjukkan ciri-ciri mesoliang dengan puncak penyebaran </w:t>
      </w:r>
      <w:r w:rsidR="005655C4" w:rsidRPr="00BE4C57">
        <w:rPr>
          <w:noProof/>
          <w:sz w:val="18"/>
          <w:szCs w:val="18"/>
          <w:lang w:val="ms-MY"/>
        </w:rPr>
        <w:t xml:space="preserve">sempit saiz </w:t>
      </w:r>
      <w:r w:rsidR="00E80C18" w:rsidRPr="00BE4C57">
        <w:rPr>
          <w:noProof/>
          <w:sz w:val="18"/>
          <w:szCs w:val="18"/>
          <w:lang w:val="ms-MY"/>
        </w:rPr>
        <w:t xml:space="preserve">liang berpusat di </w:t>
      </w:r>
      <w:r w:rsidR="00E80C18" w:rsidRPr="00BE4C57">
        <w:rPr>
          <w:i/>
          <w:noProof/>
          <w:sz w:val="18"/>
          <w:szCs w:val="18"/>
          <w:lang w:val="ms-MY"/>
        </w:rPr>
        <w:t>ca.</w:t>
      </w:r>
      <w:r w:rsidR="00E80C18" w:rsidRPr="00BE4C57">
        <w:rPr>
          <w:noProof/>
          <w:sz w:val="18"/>
          <w:szCs w:val="18"/>
          <w:lang w:val="ms-MY"/>
        </w:rPr>
        <w:t xml:space="preserve"> 66 Å.</w:t>
      </w:r>
      <w:r w:rsidR="00F93C44" w:rsidRPr="00BE4C57">
        <w:rPr>
          <w:noProof/>
          <w:sz w:val="18"/>
          <w:szCs w:val="18"/>
          <w:lang w:val="ms-MY"/>
        </w:rPr>
        <w:t xml:space="preserve"> Ciri-ciri kebesan untuk semua </w:t>
      </w:r>
      <w:r w:rsidR="005655C4" w:rsidRPr="00BE4C57">
        <w:rPr>
          <w:noProof/>
          <w:sz w:val="18"/>
          <w:szCs w:val="18"/>
          <w:lang w:val="ms-MY"/>
        </w:rPr>
        <w:t xml:space="preserve">sampel </w:t>
      </w:r>
      <w:r w:rsidR="00F93C44" w:rsidRPr="00BE4C57">
        <w:rPr>
          <w:noProof/>
          <w:sz w:val="18"/>
          <w:szCs w:val="18"/>
          <w:lang w:val="ms-MY"/>
        </w:rPr>
        <w:t>SOD telah dinilai menggunakan ujian petunjuk Hammett dan kaedah titratan berbalik. Manakala, ciri-ciri kebesan SOD-TO telah dibandingkan dengan SOD mikroliang (Na-SOD)</w:t>
      </w:r>
      <w:r w:rsidR="00024043" w:rsidRPr="00BE4C57">
        <w:rPr>
          <w:noProof/>
          <w:sz w:val="18"/>
          <w:szCs w:val="18"/>
          <w:lang w:val="ms-MY"/>
        </w:rPr>
        <w:t xml:space="preserve"> menggunakan analisis TPD-CO</w:t>
      </w:r>
      <w:r w:rsidR="00024043" w:rsidRPr="00BE4C57">
        <w:rPr>
          <w:noProof/>
          <w:sz w:val="18"/>
          <w:szCs w:val="18"/>
          <w:vertAlign w:val="subscript"/>
          <w:lang w:val="ms-MY"/>
        </w:rPr>
        <w:t>2</w:t>
      </w:r>
      <w:r w:rsidR="00024043" w:rsidRPr="00BE4C57">
        <w:rPr>
          <w:noProof/>
          <w:sz w:val="18"/>
          <w:szCs w:val="18"/>
          <w:lang w:val="ms-MY"/>
        </w:rPr>
        <w:t xml:space="preserve">. </w:t>
      </w:r>
      <w:r w:rsidR="005655C4" w:rsidRPr="00BE4C57">
        <w:rPr>
          <w:noProof/>
          <w:sz w:val="18"/>
          <w:szCs w:val="18"/>
          <w:lang w:val="ms-MY"/>
        </w:rPr>
        <w:t>S</w:t>
      </w:r>
      <w:r w:rsidR="000A3356" w:rsidRPr="00BE4C57">
        <w:rPr>
          <w:noProof/>
          <w:sz w:val="18"/>
          <w:szCs w:val="18"/>
          <w:lang w:val="ms-MY"/>
        </w:rPr>
        <w:t xml:space="preserve">emua sampel SOD </w:t>
      </w:r>
      <w:r w:rsidR="00024043" w:rsidRPr="00BE4C57">
        <w:rPr>
          <w:noProof/>
          <w:sz w:val="18"/>
          <w:szCs w:val="18"/>
          <w:lang w:val="ms-MY"/>
        </w:rPr>
        <w:t>telah diuji dalam</w:t>
      </w:r>
      <w:r w:rsidR="000A3356" w:rsidRPr="00BE4C57">
        <w:rPr>
          <w:noProof/>
          <w:sz w:val="18"/>
          <w:szCs w:val="18"/>
          <w:lang w:val="ms-MY"/>
        </w:rPr>
        <w:t xml:space="preserve"> tindak balas kondensasi Knoevenagel antara</w:t>
      </w:r>
      <w:r w:rsidR="00BE4C57">
        <w:rPr>
          <w:noProof/>
          <w:sz w:val="18"/>
          <w:szCs w:val="18"/>
          <w:lang w:val="ms-MY"/>
        </w:rPr>
        <w:t xml:space="preserve"> benzaldehid dan dietil malonat</w:t>
      </w:r>
      <w:r w:rsidR="000A3356" w:rsidRPr="00BE4C57">
        <w:rPr>
          <w:noProof/>
          <w:sz w:val="18"/>
          <w:szCs w:val="18"/>
          <w:lang w:val="ms-MY"/>
        </w:rPr>
        <w:t xml:space="preserve"> </w:t>
      </w:r>
      <w:r w:rsidR="005655C4" w:rsidRPr="00BE4C57">
        <w:rPr>
          <w:noProof/>
          <w:sz w:val="18"/>
          <w:szCs w:val="18"/>
          <w:lang w:val="ms-MY"/>
        </w:rPr>
        <w:t xml:space="preserve">yang </w:t>
      </w:r>
      <w:r w:rsidR="000A3356" w:rsidRPr="00BE4C57">
        <w:rPr>
          <w:noProof/>
          <w:sz w:val="18"/>
          <w:szCs w:val="18"/>
          <w:lang w:val="ms-MY"/>
        </w:rPr>
        <w:t xml:space="preserve">menghasilkan dietil-2-benzilidenemalonat sebagai hasil utama. </w:t>
      </w:r>
      <w:r w:rsidR="00024043" w:rsidRPr="00BE4C57">
        <w:rPr>
          <w:noProof/>
          <w:sz w:val="18"/>
          <w:szCs w:val="18"/>
          <w:lang w:val="ms-MY"/>
        </w:rPr>
        <w:t>Keputusan menunjukkan</w:t>
      </w:r>
      <w:r w:rsidR="000A3356" w:rsidRPr="00BE4C57">
        <w:rPr>
          <w:noProof/>
          <w:sz w:val="18"/>
          <w:szCs w:val="18"/>
          <w:lang w:val="ms-MY"/>
        </w:rPr>
        <w:t xml:space="preserve"> mangkin SOD-TO </w:t>
      </w:r>
      <w:r w:rsidR="00BE4C57">
        <w:rPr>
          <w:noProof/>
          <w:sz w:val="18"/>
          <w:szCs w:val="18"/>
          <w:lang w:val="ms-MY"/>
        </w:rPr>
        <w:t>yang mempunyai jumlah</w:t>
      </w:r>
      <w:r w:rsidR="00277850" w:rsidRPr="00BE4C57">
        <w:rPr>
          <w:noProof/>
          <w:sz w:val="18"/>
          <w:szCs w:val="18"/>
          <w:lang w:val="ms-MY"/>
        </w:rPr>
        <w:t xml:space="preserve"> kebesan dan luas permukaan yang paling tinggi dengan kehadiran </w:t>
      </w:r>
      <w:r w:rsidR="00BE4C57">
        <w:rPr>
          <w:noProof/>
          <w:sz w:val="18"/>
          <w:szCs w:val="18"/>
          <w:lang w:val="ms-MY"/>
        </w:rPr>
        <w:t>ci</w:t>
      </w:r>
      <w:r w:rsidR="005655C4" w:rsidRPr="00BE4C57">
        <w:rPr>
          <w:noProof/>
          <w:sz w:val="18"/>
          <w:szCs w:val="18"/>
          <w:lang w:val="ms-MY"/>
        </w:rPr>
        <w:t xml:space="preserve">ri </w:t>
      </w:r>
      <w:r w:rsidR="00277850" w:rsidRPr="00BE4C57">
        <w:rPr>
          <w:noProof/>
          <w:sz w:val="18"/>
          <w:szCs w:val="18"/>
          <w:lang w:val="ms-MY"/>
        </w:rPr>
        <w:t>mesoliang dalam strukturnya memberikan peratusan penukaran</w:t>
      </w:r>
      <w:r w:rsidR="004060A1" w:rsidRPr="00BE4C57">
        <w:rPr>
          <w:noProof/>
          <w:sz w:val="18"/>
          <w:szCs w:val="18"/>
          <w:lang w:val="ms-MY"/>
        </w:rPr>
        <w:t xml:space="preserve"> dan hasil</w:t>
      </w:r>
      <w:r w:rsidR="00277850" w:rsidRPr="00BE4C57">
        <w:rPr>
          <w:noProof/>
          <w:sz w:val="18"/>
          <w:szCs w:val="18"/>
          <w:lang w:val="ms-MY"/>
        </w:rPr>
        <w:t xml:space="preserve"> yang paling tinggi</w:t>
      </w:r>
      <w:r w:rsidR="005655C4" w:rsidRPr="00BE4C57">
        <w:rPr>
          <w:noProof/>
          <w:sz w:val="18"/>
          <w:szCs w:val="18"/>
          <w:lang w:val="ms-MY"/>
        </w:rPr>
        <w:t xml:space="preserve"> bagi tindak balas Knoevenagel</w:t>
      </w:r>
      <w:r w:rsidR="00024043" w:rsidRPr="00BE4C57">
        <w:rPr>
          <w:noProof/>
          <w:sz w:val="18"/>
          <w:szCs w:val="18"/>
          <w:lang w:val="ms-MY"/>
        </w:rPr>
        <w:t>.</w:t>
      </w:r>
      <w:r w:rsidR="00277850" w:rsidRPr="00BE4C57">
        <w:rPr>
          <w:noProof/>
          <w:sz w:val="18"/>
          <w:szCs w:val="18"/>
          <w:lang w:val="ms-MY"/>
        </w:rPr>
        <w:t xml:space="preserve"> </w:t>
      </w:r>
    </w:p>
    <w:p w:rsidR="00024043" w:rsidRPr="00BE4C57" w:rsidRDefault="00024043" w:rsidP="003B5D95">
      <w:pPr>
        <w:spacing w:after="0" w:line="240" w:lineRule="auto"/>
        <w:jc w:val="both"/>
        <w:rPr>
          <w:noProof/>
          <w:sz w:val="18"/>
          <w:szCs w:val="18"/>
          <w:lang w:val="ms-MY"/>
        </w:rPr>
      </w:pPr>
    </w:p>
    <w:p w:rsidR="00277850" w:rsidRPr="00BE4C57" w:rsidRDefault="00277850" w:rsidP="003B5D95">
      <w:pPr>
        <w:spacing w:after="0" w:line="240" w:lineRule="auto"/>
        <w:jc w:val="both"/>
        <w:rPr>
          <w:noProof/>
          <w:sz w:val="18"/>
          <w:szCs w:val="18"/>
          <w:lang w:val="ms-MY"/>
        </w:rPr>
      </w:pPr>
      <w:r w:rsidRPr="00BE4C57">
        <w:rPr>
          <w:b/>
          <w:noProof/>
          <w:sz w:val="18"/>
          <w:szCs w:val="18"/>
          <w:lang w:val="ms-MY"/>
        </w:rPr>
        <w:t xml:space="preserve">Kata kunci: </w:t>
      </w:r>
      <w:r w:rsidRPr="00BE4C57">
        <w:rPr>
          <w:noProof/>
          <w:sz w:val="18"/>
          <w:szCs w:val="18"/>
          <w:lang w:val="ms-MY"/>
        </w:rPr>
        <w:t>sodalit, mangkin bes, pendekatan dwi templat, sodalit mesoliang dan tindak balas kondensasi Knoevenagel</w:t>
      </w:r>
    </w:p>
    <w:p w:rsidR="00CB3C10" w:rsidRPr="00D10E1A" w:rsidRDefault="00CB3C10" w:rsidP="00006FDE">
      <w:pPr>
        <w:spacing w:after="0" w:line="240" w:lineRule="auto"/>
        <w:jc w:val="both"/>
        <w:rPr>
          <w:sz w:val="20"/>
          <w:szCs w:val="20"/>
        </w:rPr>
      </w:pPr>
    </w:p>
    <w:p w:rsidR="00583F46" w:rsidRDefault="001251A1" w:rsidP="00277850">
      <w:pPr>
        <w:spacing w:after="0" w:line="240" w:lineRule="auto"/>
        <w:jc w:val="center"/>
        <w:rPr>
          <w:sz w:val="20"/>
          <w:szCs w:val="20"/>
        </w:rPr>
      </w:pPr>
      <w:r>
        <w:rPr>
          <w:b/>
          <w:sz w:val="20"/>
          <w:szCs w:val="20"/>
        </w:rPr>
        <w:t>Introduction</w:t>
      </w:r>
    </w:p>
    <w:p w:rsidR="001251A1" w:rsidRDefault="001251A1" w:rsidP="001251A1">
      <w:pPr>
        <w:spacing w:after="0" w:line="240" w:lineRule="auto"/>
        <w:jc w:val="both"/>
        <w:rPr>
          <w:sz w:val="20"/>
          <w:szCs w:val="20"/>
        </w:rPr>
      </w:pPr>
      <w:r w:rsidRPr="0011592F">
        <w:rPr>
          <w:sz w:val="20"/>
          <w:szCs w:val="20"/>
        </w:rPr>
        <w:t>Zeolites are</w:t>
      </w:r>
      <w:r>
        <w:rPr>
          <w:sz w:val="20"/>
          <w:szCs w:val="20"/>
        </w:rPr>
        <w:t xml:space="preserve"> microporous</w:t>
      </w:r>
      <w:r w:rsidRPr="0011592F">
        <w:rPr>
          <w:sz w:val="20"/>
          <w:szCs w:val="20"/>
        </w:rPr>
        <w:t xml:space="preserve"> crystalline aluminosilicate solids made up </w:t>
      </w:r>
      <w:r>
        <w:rPr>
          <w:sz w:val="20"/>
          <w:szCs w:val="20"/>
        </w:rPr>
        <w:t xml:space="preserve">from corner-sharing </w:t>
      </w:r>
      <w:r w:rsidRPr="0011592F">
        <w:rPr>
          <w:sz w:val="20"/>
          <w:szCs w:val="20"/>
        </w:rPr>
        <w:t>of SiO</w:t>
      </w:r>
      <w:r w:rsidRPr="0011592F">
        <w:rPr>
          <w:sz w:val="20"/>
          <w:szCs w:val="20"/>
          <w:vertAlign w:val="subscript"/>
        </w:rPr>
        <w:t>4</w:t>
      </w:r>
      <w:r w:rsidR="002A7478">
        <w:rPr>
          <w:sz w:val="20"/>
          <w:szCs w:val="20"/>
          <w:vertAlign w:val="superscript"/>
        </w:rPr>
        <w:sym w:font="Symbol" w:char="F02D"/>
      </w:r>
      <w:r w:rsidRPr="0011592F">
        <w:rPr>
          <w:sz w:val="20"/>
          <w:szCs w:val="20"/>
          <w:vertAlign w:val="subscript"/>
        </w:rPr>
        <w:t xml:space="preserve"> </w:t>
      </w:r>
      <w:r w:rsidRPr="0011592F">
        <w:rPr>
          <w:sz w:val="20"/>
          <w:szCs w:val="20"/>
        </w:rPr>
        <w:t>and AlO</w:t>
      </w:r>
      <w:r w:rsidRPr="0011592F">
        <w:rPr>
          <w:sz w:val="20"/>
          <w:szCs w:val="20"/>
          <w:vertAlign w:val="subscript"/>
        </w:rPr>
        <w:t>4</w:t>
      </w:r>
      <w:r w:rsidR="002A7478">
        <w:rPr>
          <w:sz w:val="20"/>
          <w:szCs w:val="20"/>
          <w:vertAlign w:val="superscript"/>
        </w:rPr>
        <w:sym w:font="Symbol" w:char="F02D"/>
      </w:r>
      <w:r w:rsidRPr="0011592F">
        <w:rPr>
          <w:sz w:val="20"/>
          <w:szCs w:val="20"/>
        </w:rPr>
        <w:t xml:space="preserve"> tetrahedra</w:t>
      </w:r>
      <w:r>
        <w:rPr>
          <w:sz w:val="20"/>
          <w:szCs w:val="20"/>
        </w:rPr>
        <w:t>. These tetrahedra are</w:t>
      </w:r>
      <w:r w:rsidRPr="0011592F">
        <w:rPr>
          <w:sz w:val="20"/>
          <w:szCs w:val="20"/>
        </w:rPr>
        <w:t xml:space="preserve"> linked together by sharing all the oxygen atoms</w:t>
      </w:r>
      <w:r w:rsidR="002A7478">
        <w:rPr>
          <w:sz w:val="20"/>
          <w:szCs w:val="20"/>
        </w:rPr>
        <w:t>,</w:t>
      </w:r>
      <w:r w:rsidRPr="0011592F">
        <w:rPr>
          <w:sz w:val="20"/>
          <w:szCs w:val="20"/>
        </w:rPr>
        <w:t xml:space="preserve"> </w:t>
      </w:r>
      <w:r w:rsidR="002A7478">
        <w:rPr>
          <w:sz w:val="20"/>
          <w:szCs w:val="20"/>
        </w:rPr>
        <w:t>forming</w:t>
      </w:r>
      <w:r w:rsidRPr="0011592F">
        <w:rPr>
          <w:sz w:val="20"/>
          <w:szCs w:val="20"/>
        </w:rPr>
        <w:t xml:space="preserve"> a uniformly pores or channels of molecular dimensions</w:t>
      </w:r>
      <w:r>
        <w:rPr>
          <w:sz w:val="20"/>
          <w:szCs w:val="20"/>
        </w:rPr>
        <w:t xml:space="preserve"> [1]</w:t>
      </w:r>
      <w:r w:rsidRPr="0011592F">
        <w:rPr>
          <w:sz w:val="20"/>
          <w:szCs w:val="20"/>
        </w:rPr>
        <w:t>.</w:t>
      </w:r>
      <w:r>
        <w:rPr>
          <w:sz w:val="20"/>
          <w:szCs w:val="20"/>
        </w:rPr>
        <w:t xml:space="preserve"> Microporous zeolites are widely used as catalysts in organic catalytic reactions due to their excellent catalytic performance such as large surface area, environment friendly, easy work-up and shape-selectivity [2]. However, in reactions involving large molecules, the sole presence of micropores in zeolites limit the diffusion of large molecules and lead to poor catalytic performance [3]. Therefore, m</w:t>
      </w:r>
      <w:r w:rsidRPr="00EA70F5">
        <w:rPr>
          <w:sz w:val="20"/>
          <w:szCs w:val="20"/>
        </w:rPr>
        <w:t xml:space="preserve">any studies have </w:t>
      </w:r>
      <w:r w:rsidR="002A7478">
        <w:rPr>
          <w:sz w:val="20"/>
          <w:szCs w:val="20"/>
        </w:rPr>
        <w:t xml:space="preserve">been </w:t>
      </w:r>
      <w:r w:rsidR="008E6630" w:rsidRPr="00EA70F5">
        <w:rPr>
          <w:sz w:val="20"/>
          <w:szCs w:val="20"/>
        </w:rPr>
        <w:t>focus</w:t>
      </w:r>
      <w:r w:rsidR="008E6630">
        <w:rPr>
          <w:sz w:val="20"/>
          <w:szCs w:val="20"/>
        </w:rPr>
        <w:t>ing</w:t>
      </w:r>
      <w:r w:rsidR="002A7478" w:rsidRPr="00EA70F5">
        <w:rPr>
          <w:sz w:val="20"/>
          <w:szCs w:val="20"/>
        </w:rPr>
        <w:t xml:space="preserve"> </w:t>
      </w:r>
      <w:r w:rsidRPr="00EA70F5">
        <w:rPr>
          <w:sz w:val="20"/>
          <w:szCs w:val="20"/>
        </w:rPr>
        <w:t xml:space="preserve">on synthesizing zeolites with proper pore size in order to accelerate the conversion of </w:t>
      </w:r>
      <w:r>
        <w:rPr>
          <w:sz w:val="20"/>
          <w:szCs w:val="20"/>
        </w:rPr>
        <w:t>large</w:t>
      </w:r>
      <w:r w:rsidRPr="00EA70F5">
        <w:rPr>
          <w:sz w:val="20"/>
          <w:szCs w:val="20"/>
        </w:rPr>
        <w:t xml:space="preserve"> molecu</w:t>
      </w:r>
      <w:r>
        <w:rPr>
          <w:sz w:val="20"/>
          <w:szCs w:val="20"/>
        </w:rPr>
        <w:t xml:space="preserve">les. One of the best strategies </w:t>
      </w:r>
      <w:r w:rsidRPr="00EA70F5">
        <w:rPr>
          <w:sz w:val="20"/>
          <w:szCs w:val="20"/>
        </w:rPr>
        <w:t>is by synthesizing a new zeolite that consists of micropores and mesopores (2</w:t>
      </w:r>
      <w:r w:rsidR="00000DA2">
        <w:rPr>
          <w:sz w:val="20"/>
          <w:szCs w:val="20"/>
        </w:rPr>
        <w:t xml:space="preserve"> – </w:t>
      </w:r>
      <w:r w:rsidRPr="00EA70F5">
        <w:rPr>
          <w:sz w:val="20"/>
          <w:szCs w:val="20"/>
        </w:rPr>
        <w:t>50 nm) in one material. This strategy leads to the formation of hierarchical porous zeolites or also known as mesoporous zeolites [</w:t>
      </w:r>
      <w:r>
        <w:rPr>
          <w:sz w:val="20"/>
          <w:szCs w:val="20"/>
        </w:rPr>
        <w:t>4</w:t>
      </w:r>
      <w:r w:rsidRPr="00EA70F5">
        <w:rPr>
          <w:sz w:val="20"/>
          <w:szCs w:val="20"/>
        </w:rPr>
        <w:t xml:space="preserve">]. Mesoporous zeolites </w:t>
      </w:r>
      <w:r w:rsidR="002A7478" w:rsidRPr="00EA70F5">
        <w:rPr>
          <w:sz w:val="20"/>
          <w:szCs w:val="20"/>
        </w:rPr>
        <w:t xml:space="preserve">offer </w:t>
      </w:r>
      <w:r w:rsidRPr="00EA70F5">
        <w:rPr>
          <w:sz w:val="20"/>
          <w:szCs w:val="20"/>
        </w:rPr>
        <w:t xml:space="preserve">some advantages such as fast diffusion and accessible for </w:t>
      </w:r>
      <w:r>
        <w:rPr>
          <w:sz w:val="20"/>
          <w:szCs w:val="20"/>
        </w:rPr>
        <w:t>large</w:t>
      </w:r>
      <w:r w:rsidRPr="00EA70F5">
        <w:rPr>
          <w:sz w:val="20"/>
          <w:szCs w:val="20"/>
        </w:rPr>
        <w:t xml:space="preserve"> molecules [</w:t>
      </w:r>
      <w:r>
        <w:rPr>
          <w:sz w:val="20"/>
          <w:szCs w:val="20"/>
        </w:rPr>
        <w:t>5</w:t>
      </w:r>
      <w:r w:rsidRPr="00EA70F5">
        <w:rPr>
          <w:sz w:val="20"/>
          <w:szCs w:val="20"/>
        </w:rPr>
        <w:t>].</w:t>
      </w:r>
      <w:r>
        <w:rPr>
          <w:sz w:val="20"/>
          <w:szCs w:val="20"/>
        </w:rPr>
        <w:t xml:space="preserve"> </w:t>
      </w:r>
    </w:p>
    <w:p w:rsidR="008E6630" w:rsidRDefault="008E6630" w:rsidP="001251A1">
      <w:pPr>
        <w:spacing w:after="0" w:line="240" w:lineRule="auto"/>
        <w:jc w:val="both"/>
        <w:rPr>
          <w:sz w:val="20"/>
          <w:szCs w:val="20"/>
        </w:rPr>
      </w:pPr>
    </w:p>
    <w:p w:rsidR="001251A1" w:rsidRDefault="001251A1" w:rsidP="001251A1">
      <w:pPr>
        <w:spacing w:after="0" w:line="240" w:lineRule="auto"/>
        <w:jc w:val="both"/>
        <w:rPr>
          <w:rFonts w:cs="Times New Roman"/>
          <w:sz w:val="20"/>
          <w:szCs w:val="20"/>
        </w:rPr>
      </w:pPr>
      <w:r w:rsidRPr="00BB7B9A">
        <w:rPr>
          <w:rFonts w:cs="Times New Roman"/>
          <w:sz w:val="20"/>
          <w:szCs w:val="20"/>
        </w:rPr>
        <w:lastRenderedPageBreak/>
        <w:t xml:space="preserve">There are many </w:t>
      </w:r>
      <w:r>
        <w:rPr>
          <w:rFonts w:cs="Times New Roman"/>
          <w:sz w:val="20"/>
          <w:szCs w:val="20"/>
        </w:rPr>
        <w:t>methods</w:t>
      </w:r>
      <w:r w:rsidRPr="00BB7B9A">
        <w:rPr>
          <w:rFonts w:cs="Times New Roman"/>
          <w:sz w:val="20"/>
          <w:szCs w:val="20"/>
        </w:rPr>
        <w:t xml:space="preserve"> to </w:t>
      </w:r>
      <w:r>
        <w:rPr>
          <w:rFonts w:cs="Times New Roman"/>
          <w:sz w:val="20"/>
          <w:szCs w:val="20"/>
        </w:rPr>
        <w:t>introduce</w:t>
      </w:r>
      <w:r w:rsidRPr="00BB7B9A">
        <w:rPr>
          <w:rFonts w:cs="Times New Roman"/>
          <w:sz w:val="20"/>
          <w:szCs w:val="20"/>
        </w:rPr>
        <w:t xml:space="preserve"> </w:t>
      </w:r>
      <w:r>
        <w:rPr>
          <w:rFonts w:cs="Times New Roman"/>
          <w:sz w:val="20"/>
          <w:szCs w:val="20"/>
        </w:rPr>
        <w:t>mesopores</w:t>
      </w:r>
      <w:r w:rsidRPr="00BB7B9A">
        <w:rPr>
          <w:rFonts w:cs="Times New Roman"/>
          <w:sz w:val="20"/>
          <w:szCs w:val="20"/>
        </w:rPr>
        <w:t xml:space="preserve"> in the zeolite structure. </w:t>
      </w:r>
      <w:r>
        <w:rPr>
          <w:rFonts w:cs="Times New Roman"/>
          <w:sz w:val="20"/>
          <w:szCs w:val="20"/>
        </w:rPr>
        <w:t>The most common methods used are post-synthetic method and templating method [6]. Desilication and dealumination are examples of post-synthetic method. This method has some drawbacks such as reducing the number of active sites and non-uniform nature of the mesopore formation [7]. Recently, the synthesis of mesoporous zeolites has been done by templating methods. This can be achieved by introducing various templates such as</w:t>
      </w:r>
      <w:r w:rsidRPr="00BB7B9A">
        <w:rPr>
          <w:rFonts w:cs="Times New Roman"/>
          <w:sz w:val="20"/>
          <w:szCs w:val="20"/>
        </w:rPr>
        <w:t xml:space="preserve"> “hard” or “soft” templates</w:t>
      </w:r>
      <w:r>
        <w:rPr>
          <w:rFonts w:cs="Times New Roman"/>
          <w:sz w:val="20"/>
          <w:szCs w:val="20"/>
        </w:rPr>
        <w:t xml:space="preserve"> into the zeolites during the synthesis process</w:t>
      </w:r>
      <w:r w:rsidRPr="00BB7B9A">
        <w:rPr>
          <w:rFonts w:cs="Times New Roman"/>
          <w:sz w:val="20"/>
          <w:szCs w:val="20"/>
        </w:rPr>
        <w:t xml:space="preserve">. This low cost method allowed reducing in the number of synthetic steps during the preparation [8]. </w:t>
      </w:r>
      <w:r>
        <w:rPr>
          <w:rFonts w:cs="Times New Roman"/>
          <w:sz w:val="20"/>
          <w:szCs w:val="20"/>
        </w:rPr>
        <w:t>Among these two templates, s</w:t>
      </w:r>
      <w:r w:rsidRPr="00BB7B9A">
        <w:rPr>
          <w:rFonts w:cs="Times New Roman"/>
          <w:sz w:val="20"/>
          <w:szCs w:val="20"/>
        </w:rPr>
        <w:t>oft templating approach</w:t>
      </w:r>
      <w:r>
        <w:rPr>
          <w:rFonts w:cs="Times New Roman"/>
          <w:sz w:val="20"/>
          <w:szCs w:val="20"/>
        </w:rPr>
        <w:t xml:space="preserve"> has</w:t>
      </w:r>
      <w:r w:rsidRPr="00BB7B9A">
        <w:rPr>
          <w:rFonts w:cs="Times New Roman"/>
          <w:sz w:val="20"/>
          <w:szCs w:val="20"/>
        </w:rPr>
        <w:t xml:space="preserve"> been widely used for synthesizing mesoporous zeolites. Some examples of soft templates are surfactants and polymers [9]. The major advantage by using soft templates is </w:t>
      </w:r>
      <w:r w:rsidR="002A7478">
        <w:rPr>
          <w:rFonts w:cs="Times New Roman"/>
          <w:sz w:val="20"/>
          <w:szCs w:val="20"/>
        </w:rPr>
        <w:t xml:space="preserve">the </w:t>
      </w:r>
      <w:r w:rsidR="008E6630">
        <w:rPr>
          <w:rFonts w:cs="Times New Roman"/>
          <w:sz w:val="20"/>
          <w:szCs w:val="20"/>
        </w:rPr>
        <w:t>ea</w:t>
      </w:r>
      <w:r w:rsidR="008E6630" w:rsidRPr="00BB7B9A">
        <w:rPr>
          <w:rFonts w:cs="Times New Roman"/>
          <w:sz w:val="20"/>
          <w:szCs w:val="20"/>
        </w:rPr>
        <w:t xml:space="preserve">sily </w:t>
      </w:r>
      <w:r w:rsidRPr="00BB7B9A">
        <w:rPr>
          <w:rFonts w:cs="Times New Roman"/>
          <w:sz w:val="20"/>
          <w:szCs w:val="20"/>
        </w:rPr>
        <w:t>remove</w:t>
      </w:r>
      <w:r w:rsidR="008E6630">
        <w:rPr>
          <w:rFonts w:cs="Times New Roman"/>
          <w:sz w:val="20"/>
          <w:szCs w:val="20"/>
        </w:rPr>
        <w:t>d</w:t>
      </w:r>
      <w:r w:rsidR="002A7478">
        <w:rPr>
          <w:rFonts w:cs="Times New Roman"/>
          <w:sz w:val="20"/>
          <w:szCs w:val="20"/>
        </w:rPr>
        <w:t xml:space="preserve"> of the templates</w:t>
      </w:r>
      <w:r w:rsidRPr="00BB7B9A">
        <w:rPr>
          <w:rFonts w:cs="Times New Roman"/>
          <w:sz w:val="20"/>
          <w:szCs w:val="20"/>
        </w:rPr>
        <w:t xml:space="preserve"> </w:t>
      </w:r>
      <w:r w:rsidR="00796863">
        <w:rPr>
          <w:rFonts w:cs="Times New Roman"/>
          <w:sz w:val="20"/>
          <w:szCs w:val="20"/>
        </w:rPr>
        <w:t>by</w:t>
      </w:r>
      <w:r w:rsidR="00796863" w:rsidRPr="00BB7B9A">
        <w:rPr>
          <w:rFonts w:cs="Times New Roman"/>
          <w:sz w:val="20"/>
          <w:szCs w:val="20"/>
        </w:rPr>
        <w:t xml:space="preserve"> </w:t>
      </w:r>
      <w:r w:rsidRPr="00BB7B9A">
        <w:rPr>
          <w:rFonts w:cs="Times New Roman"/>
          <w:sz w:val="20"/>
          <w:szCs w:val="20"/>
        </w:rPr>
        <w:t>a calcination process [10].</w:t>
      </w:r>
      <w:r>
        <w:rPr>
          <w:rFonts w:cs="Times New Roman"/>
          <w:sz w:val="20"/>
          <w:szCs w:val="20"/>
        </w:rPr>
        <w:t xml:space="preserve"> Instead of using single soft template, the mesopore zeolites can </w:t>
      </w:r>
      <w:r w:rsidR="00796863">
        <w:rPr>
          <w:rFonts w:cs="Times New Roman"/>
          <w:sz w:val="20"/>
          <w:szCs w:val="20"/>
        </w:rPr>
        <w:t xml:space="preserve">also </w:t>
      </w:r>
      <w:r>
        <w:rPr>
          <w:rFonts w:cs="Times New Roman"/>
          <w:sz w:val="20"/>
          <w:szCs w:val="20"/>
        </w:rPr>
        <w:t xml:space="preserve">be synthesized by mixing two soft templates. This strategy is known as dual templates method by which the small molecular template is used as structure directing agent whereas the large molecular template </w:t>
      </w:r>
      <w:r w:rsidR="00796863">
        <w:rPr>
          <w:rFonts w:cs="Times New Roman"/>
          <w:sz w:val="20"/>
          <w:szCs w:val="20"/>
        </w:rPr>
        <w:t xml:space="preserve">is used </w:t>
      </w:r>
      <w:r>
        <w:rPr>
          <w:rFonts w:cs="Times New Roman"/>
          <w:sz w:val="20"/>
          <w:szCs w:val="20"/>
        </w:rPr>
        <w:t xml:space="preserve">to create mesopores [11]. </w:t>
      </w:r>
    </w:p>
    <w:p w:rsidR="008E6630" w:rsidRDefault="008E6630" w:rsidP="001251A1">
      <w:pPr>
        <w:spacing w:after="0" w:line="240" w:lineRule="auto"/>
        <w:jc w:val="both"/>
        <w:rPr>
          <w:color w:val="000000"/>
          <w:sz w:val="20"/>
          <w:szCs w:val="20"/>
          <w:shd w:val="clear" w:color="auto" w:fill="FFFFFF"/>
        </w:rPr>
      </w:pPr>
    </w:p>
    <w:p w:rsidR="001251A1" w:rsidRDefault="001251A1" w:rsidP="001251A1">
      <w:pPr>
        <w:spacing w:after="0" w:line="240" w:lineRule="auto"/>
        <w:jc w:val="both"/>
        <w:rPr>
          <w:rFonts w:cs="Times New Roman"/>
          <w:sz w:val="20"/>
          <w:szCs w:val="20"/>
        </w:rPr>
      </w:pPr>
      <w:r w:rsidRPr="003E46BA">
        <w:rPr>
          <w:color w:val="000000"/>
          <w:sz w:val="20"/>
          <w:szCs w:val="20"/>
          <w:shd w:val="clear" w:color="auto" w:fill="FFFFFF"/>
        </w:rPr>
        <w:t>The formation of mesoporous zeolites gives lots of advantages in many applications especially in various catalytic reactions. They are primarily useful in improving the catalytic performances of conventional zeolites that having only micropores [</w:t>
      </w:r>
      <w:r>
        <w:rPr>
          <w:sz w:val="20"/>
          <w:szCs w:val="20"/>
          <w:shd w:val="clear" w:color="auto" w:fill="FFFFFF"/>
        </w:rPr>
        <w:t>12</w:t>
      </w:r>
      <w:r w:rsidRPr="003E46BA">
        <w:rPr>
          <w:color w:val="000000"/>
          <w:sz w:val="20"/>
          <w:szCs w:val="20"/>
          <w:shd w:val="clear" w:color="auto" w:fill="FFFFFF"/>
        </w:rPr>
        <w:t>]. Some examples of catalytic reactions that used mesoporous zeolites are cracking, alkylation, isomerization and hydrogenation [</w:t>
      </w:r>
      <w:r>
        <w:rPr>
          <w:sz w:val="20"/>
          <w:szCs w:val="20"/>
          <w:shd w:val="clear" w:color="auto" w:fill="FFFFFF"/>
        </w:rPr>
        <w:t>13</w:t>
      </w:r>
      <w:r w:rsidRPr="003E46BA">
        <w:rPr>
          <w:color w:val="000000"/>
          <w:sz w:val="20"/>
          <w:szCs w:val="20"/>
          <w:shd w:val="clear" w:color="auto" w:fill="FFFFFF"/>
        </w:rPr>
        <w:t>]. Knoevenagel condensation reaction is another example of catalytic reactions being catalyzed by mesoporous zeolites (alkaline X and Y zeolites) [</w:t>
      </w:r>
      <w:r>
        <w:rPr>
          <w:sz w:val="20"/>
          <w:szCs w:val="20"/>
          <w:shd w:val="clear" w:color="auto" w:fill="FFFFFF"/>
        </w:rPr>
        <w:t>14</w:t>
      </w:r>
      <w:r w:rsidRPr="003E46BA">
        <w:rPr>
          <w:color w:val="000000"/>
          <w:sz w:val="20"/>
          <w:szCs w:val="20"/>
          <w:shd w:val="clear" w:color="auto" w:fill="FFFFFF"/>
        </w:rPr>
        <w:t xml:space="preserve">]. This reaction involved the condensation of carbonyl compounds with active methylene </w:t>
      </w:r>
      <w:r>
        <w:rPr>
          <w:color w:val="000000"/>
          <w:sz w:val="20"/>
          <w:szCs w:val="20"/>
          <w:shd w:val="clear" w:color="auto" w:fill="FFFFFF"/>
        </w:rPr>
        <w:t xml:space="preserve">and catalyzed by </w:t>
      </w:r>
      <w:r>
        <w:rPr>
          <w:sz w:val="20"/>
          <w:szCs w:val="20"/>
        </w:rPr>
        <w:t>a</w:t>
      </w:r>
      <w:r w:rsidRPr="003E46BA">
        <w:rPr>
          <w:sz w:val="20"/>
          <w:szCs w:val="20"/>
        </w:rPr>
        <w:t xml:space="preserve"> base</w:t>
      </w:r>
      <w:r>
        <w:rPr>
          <w:sz w:val="20"/>
          <w:szCs w:val="20"/>
        </w:rPr>
        <w:t xml:space="preserve"> catalyst. </w:t>
      </w:r>
      <w:r w:rsidRPr="003E46BA">
        <w:rPr>
          <w:color w:val="000000"/>
          <w:sz w:val="20"/>
          <w:szCs w:val="20"/>
          <w:shd w:val="clear" w:color="auto" w:fill="FFFFFF"/>
        </w:rPr>
        <w:t>Some important intermediates produced from Knoevenagel condensation reactions have significant applications in industries such as therapeutic d</w:t>
      </w:r>
      <w:r>
        <w:rPr>
          <w:color w:val="000000"/>
          <w:sz w:val="20"/>
          <w:szCs w:val="20"/>
          <w:shd w:val="clear" w:color="auto" w:fill="FFFFFF"/>
        </w:rPr>
        <w:t>rugs, perfumes and cosmetics [15</w:t>
      </w:r>
      <w:r w:rsidRPr="003E46BA">
        <w:rPr>
          <w:color w:val="000000"/>
          <w:sz w:val="20"/>
          <w:szCs w:val="20"/>
          <w:shd w:val="clear" w:color="auto" w:fill="FFFFFF"/>
        </w:rPr>
        <w:t xml:space="preserve">]. </w:t>
      </w:r>
      <w:r w:rsidRPr="003E46BA">
        <w:rPr>
          <w:rFonts w:cs="Times New Roman"/>
          <w:sz w:val="20"/>
          <w:szCs w:val="20"/>
        </w:rPr>
        <w:t xml:space="preserve">  </w:t>
      </w:r>
    </w:p>
    <w:p w:rsidR="008E6630" w:rsidRDefault="008E6630" w:rsidP="001251A1">
      <w:pPr>
        <w:spacing w:after="0" w:line="240" w:lineRule="auto"/>
        <w:jc w:val="both"/>
        <w:rPr>
          <w:rFonts w:cs="Times New Roman"/>
          <w:sz w:val="20"/>
          <w:szCs w:val="20"/>
        </w:rPr>
      </w:pPr>
    </w:p>
    <w:p w:rsidR="001251A1" w:rsidRPr="00F85674" w:rsidRDefault="001251A1" w:rsidP="001251A1">
      <w:pPr>
        <w:spacing w:after="0" w:line="240" w:lineRule="auto"/>
        <w:jc w:val="both"/>
        <w:rPr>
          <w:sz w:val="20"/>
          <w:szCs w:val="20"/>
        </w:rPr>
      </w:pPr>
      <w:r w:rsidRPr="00F85674">
        <w:rPr>
          <w:rFonts w:cs="Times New Roman"/>
          <w:sz w:val="20"/>
          <w:szCs w:val="20"/>
        </w:rPr>
        <w:t xml:space="preserve">In this work, </w:t>
      </w:r>
      <w:r w:rsidR="00796863">
        <w:rPr>
          <w:rFonts w:cs="Times New Roman"/>
          <w:sz w:val="20"/>
          <w:szCs w:val="20"/>
        </w:rPr>
        <w:t>we focused on</w:t>
      </w:r>
      <w:r w:rsidRPr="00F85674">
        <w:rPr>
          <w:rFonts w:cs="Times New Roman"/>
          <w:sz w:val="20"/>
          <w:szCs w:val="20"/>
        </w:rPr>
        <w:t xml:space="preserve"> </w:t>
      </w:r>
      <w:r w:rsidR="00796863">
        <w:rPr>
          <w:rFonts w:cs="Times New Roman"/>
          <w:sz w:val="20"/>
          <w:szCs w:val="20"/>
        </w:rPr>
        <w:t>the synthesis of</w:t>
      </w:r>
      <w:r w:rsidRPr="00F85674">
        <w:rPr>
          <w:rFonts w:cs="Times New Roman"/>
          <w:sz w:val="20"/>
          <w:szCs w:val="20"/>
        </w:rPr>
        <w:t xml:space="preserve"> mesoporous sodalite (SOD). </w:t>
      </w:r>
      <w:r w:rsidRPr="00F85674">
        <w:rPr>
          <w:sz w:val="20"/>
          <w:szCs w:val="20"/>
        </w:rPr>
        <w:t xml:space="preserve">SOD is an example </w:t>
      </w:r>
      <w:r w:rsidR="00796863">
        <w:rPr>
          <w:sz w:val="20"/>
          <w:szCs w:val="20"/>
        </w:rPr>
        <w:t xml:space="preserve">of </w:t>
      </w:r>
      <w:r w:rsidRPr="00F85674">
        <w:rPr>
          <w:sz w:val="20"/>
          <w:szCs w:val="20"/>
        </w:rPr>
        <w:t>zeolite</w:t>
      </w:r>
      <w:r w:rsidR="00796863">
        <w:rPr>
          <w:sz w:val="20"/>
          <w:szCs w:val="20"/>
        </w:rPr>
        <w:t>,</w:t>
      </w:r>
      <w:r w:rsidRPr="00F85674">
        <w:rPr>
          <w:sz w:val="20"/>
          <w:szCs w:val="20"/>
        </w:rPr>
        <w:t xml:space="preserve"> </w:t>
      </w:r>
      <w:r w:rsidR="00796863" w:rsidRPr="00F85674">
        <w:rPr>
          <w:sz w:val="20"/>
          <w:szCs w:val="20"/>
        </w:rPr>
        <w:t>consist</w:t>
      </w:r>
      <w:r w:rsidR="00796863">
        <w:rPr>
          <w:sz w:val="20"/>
          <w:szCs w:val="20"/>
        </w:rPr>
        <w:t>ing</w:t>
      </w:r>
      <w:r w:rsidR="00796863" w:rsidRPr="00F85674">
        <w:rPr>
          <w:sz w:val="20"/>
          <w:szCs w:val="20"/>
        </w:rPr>
        <w:t xml:space="preserve"> </w:t>
      </w:r>
      <w:r w:rsidRPr="00F85674">
        <w:rPr>
          <w:sz w:val="20"/>
          <w:szCs w:val="20"/>
        </w:rPr>
        <w:t xml:space="preserve">of a </w:t>
      </w:r>
      <w:r w:rsidR="00796863">
        <w:rPr>
          <w:sz w:val="20"/>
          <w:szCs w:val="20"/>
        </w:rPr>
        <w:t>four</w:t>
      </w:r>
      <w:r w:rsidR="00796863" w:rsidRPr="00F85674">
        <w:rPr>
          <w:sz w:val="20"/>
          <w:szCs w:val="20"/>
        </w:rPr>
        <w:t xml:space="preserve"> </w:t>
      </w:r>
      <w:r w:rsidRPr="00F85674">
        <w:rPr>
          <w:sz w:val="20"/>
          <w:szCs w:val="20"/>
        </w:rPr>
        <w:t xml:space="preserve">membered ring with </w:t>
      </w:r>
      <w:r w:rsidR="00796863">
        <w:rPr>
          <w:sz w:val="20"/>
          <w:szCs w:val="20"/>
        </w:rPr>
        <w:t xml:space="preserve">the </w:t>
      </w:r>
      <w:r w:rsidRPr="00F85674">
        <w:rPr>
          <w:sz w:val="20"/>
          <w:szCs w:val="20"/>
        </w:rPr>
        <w:t>small</w:t>
      </w:r>
      <w:r w:rsidR="00796863">
        <w:rPr>
          <w:sz w:val="20"/>
          <w:szCs w:val="20"/>
        </w:rPr>
        <w:t>est</w:t>
      </w:r>
      <w:r w:rsidRPr="00F85674">
        <w:rPr>
          <w:sz w:val="20"/>
          <w:szCs w:val="20"/>
        </w:rPr>
        <w:t xml:space="preserve"> pore openings size</w:t>
      </w:r>
      <w:r w:rsidR="00796863">
        <w:rPr>
          <w:sz w:val="20"/>
          <w:szCs w:val="20"/>
        </w:rPr>
        <w:t xml:space="preserve"> of</w:t>
      </w:r>
      <w:r w:rsidRPr="00F85674">
        <w:rPr>
          <w:sz w:val="20"/>
          <w:szCs w:val="20"/>
        </w:rPr>
        <w:t xml:space="preserve"> about 2.8 Å</w:t>
      </w:r>
      <w:r w:rsidR="00796863">
        <w:rPr>
          <w:sz w:val="20"/>
          <w:szCs w:val="20"/>
        </w:rPr>
        <w:t xml:space="preserve"> in the zeolite family</w:t>
      </w:r>
      <w:r w:rsidRPr="00F85674">
        <w:rPr>
          <w:sz w:val="20"/>
          <w:szCs w:val="20"/>
        </w:rPr>
        <w:t>. In addition, SOD is an example of basic zeolite with high aluminium content (Si/Al = 1) and high stability in basic solution</w:t>
      </w:r>
      <w:r>
        <w:rPr>
          <w:sz w:val="20"/>
          <w:szCs w:val="20"/>
        </w:rPr>
        <w:t xml:space="preserve"> [16]</w:t>
      </w:r>
      <w:r w:rsidRPr="00F85674">
        <w:rPr>
          <w:sz w:val="20"/>
          <w:szCs w:val="20"/>
        </w:rPr>
        <w:t xml:space="preserve">. However, the presence of </w:t>
      </w:r>
      <w:r w:rsidR="00796863">
        <w:rPr>
          <w:sz w:val="20"/>
          <w:szCs w:val="20"/>
        </w:rPr>
        <w:t xml:space="preserve">ultrafine </w:t>
      </w:r>
      <w:r w:rsidRPr="00F85674">
        <w:rPr>
          <w:sz w:val="20"/>
          <w:szCs w:val="20"/>
        </w:rPr>
        <w:t>micropores in its structure limit only to the reaction involving small reactants. Therefore, this work is expected to solve the problem by synthesizing mesoporous SOD in order to catalyze Knoevenagel condensation reaction involving large reactants. This mesoporous SOD was synthesized by dual templates approach using different quaternary ammonium cation templates and mixed with tetrapropylammonium hydroxide (TPAOH). The catalyst activity was tested in the Knoevenagel condensation reaction of benzaldehyde with diethyl malonate.</w:t>
      </w:r>
    </w:p>
    <w:p w:rsidR="00457898" w:rsidRDefault="00457898" w:rsidP="001251A1">
      <w:pPr>
        <w:spacing w:after="0" w:line="240" w:lineRule="auto"/>
        <w:rPr>
          <w:sz w:val="20"/>
          <w:szCs w:val="20"/>
        </w:rPr>
      </w:pPr>
    </w:p>
    <w:p w:rsidR="00F65E58" w:rsidRDefault="00F65E58" w:rsidP="00D10E1A">
      <w:pPr>
        <w:spacing w:after="0" w:line="240" w:lineRule="auto"/>
        <w:jc w:val="center"/>
        <w:rPr>
          <w:b/>
          <w:sz w:val="20"/>
          <w:szCs w:val="20"/>
        </w:rPr>
      </w:pPr>
      <w:r>
        <w:rPr>
          <w:b/>
          <w:sz w:val="20"/>
          <w:szCs w:val="20"/>
        </w:rPr>
        <w:t>Materials and Methods</w:t>
      </w:r>
    </w:p>
    <w:p w:rsidR="00AB3C73" w:rsidRPr="00D10E1A" w:rsidRDefault="00AB3C73" w:rsidP="00D10E1A">
      <w:pPr>
        <w:spacing w:after="0" w:line="240" w:lineRule="auto"/>
        <w:jc w:val="center"/>
        <w:rPr>
          <w:b/>
          <w:sz w:val="20"/>
          <w:szCs w:val="20"/>
        </w:rPr>
      </w:pPr>
    </w:p>
    <w:p w:rsidR="00F65E58" w:rsidRDefault="00000DA2" w:rsidP="00F65E58">
      <w:pPr>
        <w:spacing w:after="0" w:line="240" w:lineRule="auto"/>
        <w:jc w:val="both"/>
        <w:rPr>
          <w:sz w:val="20"/>
          <w:szCs w:val="20"/>
        </w:rPr>
      </w:pPr>
      <w:r>
        <w:rPr>
          <w:b/>
          <w:sz w:val="20"/>
          <w:szCs w:val="20"/>
        </w:rPr>
        <w:t>Catalyst p</w:t>
      </w:r>
      <w:r w:rsidR="00F65E58">
        <w:rPr>
          <w:b/>
          <w:sz w:val="20"/>
          <w:szCs w:val="20"/>
        </w:rPr>
        <w:t>reparation</w:t>
      </w:r>
    </w:p>
    <w:p w:rsidR="008E6630" w:rsidRDefault="00F65E58" w:rsidP="00F65E58">
      <w:pPr>
        <w:spacing w:after="0" w:line="240" w:lineRule="auto"/>
        <w:jc w:val="both"/>
        <w:rPr>
          <w:sz w:val="20"/>
          <w:szCs w:val="20"/>
        </w:rPr>
      </w:pPr>
      <w:r>
        <w:rPr>
          <w:sz w:val="20"/>
          <w:szCs w:val="20"/>
        </w:rPr>
        <w:t>A series of</w:t>
      </w:r>
      <w:r w:rsidRPr="00F65E58">
        <w:rPr>
          <w:sz w:val="20"/>
          <w:szCs w:val="20"/>
        </w:rPr>
        <w:t xml:space="preserve"> SOD</w:t>
      </w:r>
      <w:r>
        <w:rPr>
          <w:sz w:val="20"/>
          <w:szCs w:val="20"/>
        </w:rPr>
        <w:t xml:space="preserve"> samples</w:t>
      </w:r>
      <w:r w:rsidRPr="00F65E58">
        <w:rPr>
          <w:sz w:val="20"/>
          <w:szCs w:val="20"/>
        </w:rPr>
        <w:t xml:space="preserve"> w</w:t>
      </w:r>
      <w:r>
        <w:rPr>
          <w:sz w:val="20"/>
          <w:szCs w:val="20"/>
        </w:rPr>
        <w:t xml:space="preserve">ere </w:t>
      </w:r>
      <w:r w:rsidRPr="00F65E58">
        <w:rPr>
          <w:sz w:val="20"/>
          <w:szCs w:val="20"/>
        </w:rPr>
        <w:t xml:space="preserve">prepared </w:t>
      </w:r>
      <w:r w:rsidR="005B1A44">
        <w:rPr>
          <w:sz w:val="20"/>
          <w:szCs w:val="20"/>
        </w:rPr>
        <w:t>by follow</w:t>
      </w:r>
      <w:r w:rsidR="00CE38AE">
        <w:rPr>
          <w:sz w:val="20"/>
          <w:szCs w:val="20"/>
        </w:rPr>
        <w:t>ing</w:t>
      </w:r>
      <w:r w:rsidR="005B1A44">
        <w:rPr>
          <w:sz w:val="20"/>
          <w:szCs w:val="20"/>
        </w:rPr>
        <w:t xml:space="preserve"> the molar ratio of the previous study;</w:t>
      </w:r>
      <w:r w:rsidR="005B1A44" w:rsidRPr="005B1A44">
        <w:rPr>
          <w:sz w:val="20"/>
          <w:szCs w:val="20"/>
        </w:rPr>
        <w:t xml:space="preserve"> </w:t>
      </w:r>
      <w:r w:rsidR="005B1A44" w:rsidRPr="00F65E58">
        <w:rPr>
          <w:sz w:val="20"/>
          <w:szCs w:val="20"/>
        </w:rPr>
        <w:t>1.7SiO</w:t>
      </w:r>
      <w:r w:rsidR="005B1A44" w:rsidRPr="00F65E58">
        <w:rPr>
          <w:sz w:val="20"/>
          <w:szCs w:val="20"/>
          <w:vertAlign w:val="subscript"/>
        </w:rPr>
        <w:t>2</w:t>
      </w:r>
      <w:r w:rsidR="005B1A44" w:rsidRPr="00F65E58">
        <w:rPr>
          <w:sz w:val="20"/>
          <w:szCs w:val="20"/>
        </w:rPr>
        <w:t>: 15NaOH: Al</w:t>
      </w:r>
      <w:r w:rsidR="005B1A44" w:rsidRPr="00F65E58">
        <w:rPr>
          <w:sz w:val="20"/>
          <w:szCs w:val="20"/>
          <w:vertAlign w:val="subscript"/>
        </w:rPr>
        <w:t>2</w:t>
      </w:r>
      <w:r w:rsidR="005B1A44" w:rsidRPr="00F65E58">
        <w:rPr>
          <w:sz w:val="20"/>
          <w:szCs w:val="20"/>
        </w:rPr>
        <w:t>O: 80H</w:t>
      </w:r>
      <w:r w:rsidR="005B1A44" w:rsidRPr="00F65E58">
        <w:rPr>
          <w:sz w:val="20"/>
          <w:szCs w:val="20"/>
          <w:vertAlign w:val="subscript"/>
        </w:rPr>
        <w:t>2</w:t>
      </w:r>
      <w:r w:rsidR="005B1A44" w:rsidRPr="00F65E58">
        <w:rPr>
          <w:sz w:val="20"/>
          <w:szCs w:val="20"/>
        </w:rPr>
        <w:t>O: 0.3templates</w:t>
      </w:r>
      <w:r w:rsidR="005B1A44">
        <w:rPr>
          <w:sz w:val="20"/>
          <w:szCs w:val="20"/>
        </w:rPr>
        <w:t xml:space="preserve"> [</w:t>
      </w:r>
      <w:r w:rsidR="001251A1">
        <w:rPr>
          <w:sz w:val="20"/>
          <w:szCs w:val="20"/>
        </w:rPr>
        <w:t>17</w:t>
      </w:r>
      <w:r w:rsidR="005B1A44">
        <w:rPr>
          <w:sz w:val="20"/>
          <w:szCs w:val="20"/>
        </w:rPr>
        <w:t>]. First, sodium hydroxide</w:t>
      </w:r>
      <w:r w:rsidR="00CB3C10">
        <w:rPr>
          <w:sz w:val="20"/>
          <w:szCs w:val="20"/>
        </w:rPr>
        <w:t xml:space="preserve"> </w:t>
      </w:r>
      <w:r w:rsidR="005B1A44">
        <w:rPr>
          <w:sz w:val="20"/>
          <w:szCs w:val="20"/>
        </w:rPr>
        <w:t>solution was prepared by dissolving NaOH pellets (</w:t>
      </w:r>
      <w:r w:rsidR="00CB3C10">
        <w:rPr>
          <w:sz w:val="20"/>
          <w:szCs w:val="20"/>
        </w:rPr>
        <w:t xml:space="preserve">NaOH; Merck; </w:t>
      </w:r>
      <w:r w:rsidR="005B1A44">
        <w:rPr>
          <w:sz w:val="20"/>
          <w:szCs w:val="20"/>
        </w:rPr>
        <w:t xml:space="preserve">15 g) in distilled water (18 mL). The </w:t>
      </w:r>
      <w:r w:rsidR="00CB3C10">
        <w:rPr>
          <w:sz w:val="20"/>
          <w:szCs w:val="20"/>
        </w:rPr>
        <w:t xml:space="preserve">NaOH </w:t>
      </w:r>
      <w:r w:rsidR="005B1A44">
        <w:rPr>
          <w:sz w:val="20"/>
          <w:szCs w:val="20"/>
        </w:rPr>
        <w:t xml:space="preserve">solution was then divided into two portions equally. One portion of the NaOH solution was mixed with </w:t>
      </w:r>
      <w:r w:rsidR="005B1A44" w:rsidRPr="00F65E58">
        <w:rPr>
          <w:sz w:val="20"/>
          <w:szCs w:val="20"/>
        </w:rPr>
        <w:t>fume silica (SiO</w:t>
      </w:r>
      <w:r w:rsidR="005B1A44" w:rsidRPr="00F65E58">
        <w:rPr>
          <w:sz w:val="20"/>
          <w:szCs w:val="20"/>
          <w:vertAlign w:val="subscript"/>
        </w:rPr>
        <w:t>2</w:t>
      </w:r>
      <w:r w:rsidR="005B1A44" w:rsidRPr="00F65E58">
        <w:rPr>
          <w:sz w:val="20"/>
          <w:szCs w:val="20"/>
        </w:rPr>
        <w:t>; Fluka</w:t>
      </w:r>
      <w:r w:rsidR="00FD2EBB">
        <w:rPr>
          <w:sz w:val="20"/>
          <w:szCs w:val="20"/>
        </w:rPr>
        <w:t>; 1.28 g</w:t>
      </w:r>
      <w:r w:rsidR="005B1A44" w:rsidRPr="00F65E58">
        <w:rPr>
          <w:sz w:val="20"/>
          <w:szCs w:val="20"/>
        </w:rPr>
        <w:t>)</w:t>
      </w:r>
      <w:r w:rsidR="005B1A44">
        <w:rPr>
          <w:sz w:val="20"/>
          <w:szCs w:val="20"/>
        </w:rPr>
        <w:t xml:space="preserve"> </w:t>
      </w:r>
      <w:r w:rsidR="00FD2EBB">
        <w:rPr>
          <w:sz w:val="20"/>
          <w:szCs w:val="20"/>
        </w:rPr>
        <w:t xml:space="preserve">to form silicate solution. </w:t>
      </w:r>
      <w:r w:rsidR="00CB3C10">
        <w:rPr>
          <w:sz w:val="20"/>
          <w:szCs w:val="20"/>
        </w:rPr>
        <w:t>T</w:t>
      </w:r>
      <w:r w:rsidR="00FD2EBB">
        <w:rPr>
          <w:sz w:val="20"/>
          <w:szCs w:val="20"/>
        </w:rPr>
        <w:t xml:space="preserve">he other portion was mixed with </w:t>
      </w:r>
      <w:r w:rsidR="00FD2EBB" w:rsidRPr="00F65E58">
        <w:rPr>
          <w:sz w:val="20"/>
          <w:szCs w:val="20"/>
        </w:rPr>
        <w:t>sodium aluminate (NaAlO</w:t>
      </w:r>
      <w:r w:rsidR="00FD2EBB" w:rsidRPr="00F65E58">
        <w:rPr>
          <w:sz w:val="20"/>
          <w:szCs w:val="20"/>
          <w:vertAlign w:val="subscript"/>
        </w:rPr>
        <w:t>2</w:t>
      </w:r>
      <w:r w:rsidR="00FD2EBB" w:rsidRPr="00F65E58">
        <w:rPr>
          <w:sz w:val="20"/>
          <w:szCs w:val="20"/>
        </w:rPr>
        <w:t>; Riedel-de Haë</w:t>
      </w:r>
      <w:r w:rsidR="00FD2EBB">
        <w:rPr>
          <w:sz w:val="20"/>
          <w:szCs w:val="20"/>
        </w:rPr>
        <w:t>; 1.28 g</w:t>
      </w:r>
      <w:r w:rsidR="00FD2EBB" w:rsidRPr="00F65E58">
        <w:rPr>
          <w:sz w:val="20"/>
          <w:szCs w:val="20"/>
        </w:rPr>
        <w:t>)</w:t>
      </w:r>
      <w:r w:rsidR="00FD2EBB">
        <w:rPr>
          <w:sz w:val="20"/>
          <w:szCs w:val="20"/>
        </w:rPr>
        <w:t xml:space="preserve"> to form aluminate solution. Next, </w:t>
      </w:r>
      <w:r w:rsidRPr="00F65E58">
        <w:rPr>
          <w:sz w:val="20"/>
          <w:szCs w:val="20"/>
        </w:rPr>
        <w:t>tetrapropylammonium</w:t>
      </w:r>
      <w:r>
        <w:rPr>
          <w:sz w:val="20"/>
          <w:szCs w:val="20"/>
        </w:rPr>
        <w:t xml:space="preserve"> hydroxide</w:t>
      </w:r>
      <w:r w:rsidRPr="00F65E58">
        <w:rPr>
          <w:sz w:val="20"/>
          <w:szCs w:val="20"/>
        </w:rPr>
        <w:t xml:space="preserve"> (TPA</w:t>
      </w:r>
      <w:r>
        <w:rPr>
          <w:sz w:val="20"/>
          <w:szCs w:val="20"/>
        </w:rPr>
        <w:t>OH</w:t>
      </w:r>
      <w:r w:rsidRPr="00F65E58">
        <w:rPr>
          <w:sz w:val="20"/>
          <w:szCs w:val="20"/>
        </w:rPr>
        <w:t>; Merck</w:t>
      </w:r>
      <w:r w:rsidR="00FD2EBB">
        <w:rPr>
          <w:sz w:val="20"/>
          <w:szCs w:val="20"/>
        </w:rPr>
        <w:t>; 0.85 mL</w:t>
      </w:r>
      <w:r w:rsidRPr="00F65E58">
        <w:rPr>
          <w:sz w:val="20"/>
          <w:szCs w:val="20"/>
        </w:rPr>
        <w:t>)</w:t>
      </w:r>
      <w:r w:rsidR="00FD2EBB">
        <w:rPr>
          <w:sz w:val="20"/>
          <w:szCs w:val="20"/>
        </w:rPr>
        <w:t xml:space="preserve"> was added into the silicate solution followed by </w:t>
      </w:r>
      <w:r w:rsidRPr="00F65E58">
        <w:rPr>
          <w:sz w:val="20"/>
          <w:szCs w:val="20"/>
        </w:rPr>
        <w:t>dimethyloctadecyl[3-(trimethoxysilyl)propyl] ammonium chloride (Organosilane; Sigma-Aldrich</w:t>
      </w:r>
      <w:r w:rsidR="00FD2EBB">
        <w:rPr>
          <w:sz w:val="20"/>
          <w:szCs w:val="20"/>
        </w:rPr>
        <w:t>; 2.09 mL</w:t>
      </w:r>
      <w:r w:rsidRPr="00F65E58">
        <w:rPr>
          <w:sz w:val="20"/>
          <w:szCs w:val="20"/>
        </w:rPr>
        <w:t>)</w:t>
      </w:r>
      <w:r w:rsidR="00FD2EBB">
        <w:rPr>
          <w:sz w:val="20"/>
          <w:szCs w:val="20"/>
        </w:rPr>
        <w:t>. The mixture was stirred until clear solution was formed. The resulting solution was then added dropwise into the aluminate solution and stirred of about 1</w:t>
      </w:r>
      <w:r w:rsidR="00000DA2">
        <w:rPr>
          <w:sz w:val="20"/>
          <w:szCs w:val="20"/>
        </w:rPr>
        <w:t xml:space="preserve"> </w:t>
      </w:r>
      <w:r w:rsidR="00FD2EBB">
        <w:rPr>
          <w:sz w:val="20"/>
          <w:szCs w:val="20"/>
        </w:rPr>
        <w:t>h</w:t>
      </w:r>
      <w:r w:rsidR="00000DA2">
        <w:rPr>
          <w:sz w:val="20"/>
          <w:szCs w:val="20"/>
        </w:rPr>
        <w:t>our</w:t>
      </w:r>
      <w:r w:rsidR="00FD2EBB">
        <w:rPr>
          <w:sz w:val="20"/>
          <w:szCs w:val="20"/>
        </w:rPr>
        <w:t xml:space="preserve">. </w:t>
      </w:r>
      <w:r w:rsidRPr="00F65E58">
        <w:rPr>
          <w:sz w:val="20"/>
          <w:szCs w:val="20"/>
        </w:rPr>
        <w:t>The resulting solution formed was transferred into stainless steel autoclave and heated at 150</w:t>
      </w:r>
      <w:r w:rsidR="00000DA2">
        <w:rPr>
          <w:sz w:val="20"/>
          <w:szCs w:val="20"/>
        </w:rPr>
        <w:t xml:space="preserve"> </w:t>
      </w:r>
      <w:r w:rsidRPr="00F65E58">
        <w:rPr>
          <w:sz w:val="20"/>
          <w:szCs w:val="20"/>
        </w:rPr>
        <w:t>°C for 24 h</w:t>
      </w:r>
      <w:r w:rsidR="00000DA2">
        <w:rPr>
          <w:sz w:val="20"/>
          <w:szCs w:val="20"/>
        </w:rPr>
        <w:t>ours</w:t>
      </w:r>
      <w:r w:rsidRPr="00F65E58">
        <w:rPr>
          <w:sz w:val="20"/>
          <w:szCs w:val="20"/>
        </w:rPr>
        <w:t xml:space="preserve"> for the precipitation of SOD. The SOD product was collected by filtration and washed using distilled water until the filtrate solution reached</w:t>
      </w:r>
      <w:r w:rsidR="00FD2EBB">
        <w:rPr>
          <w:sz w:val="20"/>
          <w:szCs w:val="20"/>
        </w:rPr>
        <w:t xml:space="preserve"> to</w:t>
      </w:r>
      <w:r w:rsidRPr="00F65E58">
        <w:rPr>
          <w:sz w:val="20"/>
          <w:szCs w:val="20"/>
        </w:rPr>
        <w:t xml:space="preserve"> pH 7. The product was then dried at 60</w:t>
      </w:r>
      <w:r w:rsidR="00000DA2">
        <w:rPr>
          <w:sz w:val="20"/>
          <w:szCs w:val="20"/>
        </w:rPr>
        <w:t xml:space="preserve"> </w:t>
      </w:r>
      <w:r w:rsidRPr="00F65E58">
        <w:rPr>
          <w:sz w:val="20"/>
          <w:szCs w:val="20"/>
        </w:rPr>
        <w:t>°C overnight and calcined at 550</w:t>
      </w:r>
      <w:r w:rsidR="00000DA2">
        <w:rPr>
          <w:sz w:val="20"/>
          <w:szCs w:val="20"/>
        </w:rPr>
        <w:t xml:space="preserve"> </w:t>
      </w:r>
      <w:r w:rsidRPr="00F65E58">
        <w:rPr>
          <w:sz w:val="20"/>
          <w:szCs w:val="20"/>
        </w:rPr>
        <w:t>°C for 6 h</w:t>
      </w:r>
      <w:r w:rsidR="00000DA2">
        <w:rPr>
          <w:sz w:val="20"/>
          <w:szCs w:val="20"/>
        </w:rPr>
        <w:t>ours</w:t>
      </w:r>
      <w:r w:rsidRPr="00F65E58">
        <w:rPr>
          <w:sz w:val="20"/>
          <w:szCs w:val="20"/>
        </w:rPr>
        <w:t xml:space="preserve">. </w:t>
      </w:r>
    </w:p>
    <w:p w:rsidR="008E6630" w:rsidRDefault="008E6630" w:rsidP="00F65E58">
      <w:pPr>
        <w:spacing w:after="0" w:line="240" w:lineRule="auto"/>
        <w:jc w:val="both"/>
        <w:rPr>
          <w:sz w:val="20"/>
          <w:szCs w:val="20"/>
        </w:rPr>
      </w:pPr>
    </w:p>
    <w:p w:rsidR="00F65E58" w:rsidRDefault="00F65E58" w:rsidP="00F65E58">
      <w:pPr>
        <w:spacing w:after="0" w:line="240" w:lineRule="auto"/>
        <w:jc w:val="both"/>
        <w:rPr>
          <w:sz w:val="20"/>
          <w:szCs w:val="20"/>
        </w:rPr>
      </w:pPr>
      <w:r w:rsidRPr="00F65E58">
        <w:rPr>
          <w:sz w:val="20"/>
          <w:szCs w:val="20"/>
        </w:rPr>
        <w:t>The procedures were repeated for different mixture of templates: the mixture of TPA</w:t>
      </w:r>
      <w:r w:rsidR="00FD2EBB">
        <w:rPr>
          <w:sz w:val="20"/>
          <w:szCs w:val="20"/>
        </w:rPr>
        <w:t>OH</w:t>
      </w:r>
      <w:r w:rsidRPr="00F65E58">
        <w:rPr>
          <w:sz w:val="20"/>
          <w:szCs w:val="20"/>
        </w:rPr>
        <w:t xml:space="preserve"> with cetyltrimethylammonium bromide (CTAB; Fisher Scientific), dodecyltrimethylammonium bromide (DTAB; Sigma-Aldrich) and dimethyldioctadecylammonium bromide (DDAB; Sigma-Aldrich). As comparison, microporous SOD (Na-SOD) was synthesized using the same method without the presence of templates. </w:t>
      </w:r>
    </w:p>
    <w:p w:rsidR="00AB3C73" w:rsidRDefault="00AB3C73" w:rsidP="00F65E58">
      <w:pPr>
        <w:spacing w:after="0" w:line="240" w:lineRule="auto"/>
        <w:jc w:val="both"/>
        <w:rPr>
          <w:sz w:val="20"/>
          <w:szCs w:val="20"/>
        </w:rPr>
      </w:pPr>
    </w:p>
    <w:p w:rsidR="00FD2EBB" w:rsidRDefault="00FD2EBB" w:rsidP="00F65E58">
      <w:pPr>
        <w:spacing w:after="0" w:line="240" w:lineRule="auto"/>
        <w:jc w:val="both"/>
        <w:rPr>
          <w:b/>
          <w:sz w:val="20"/>
          <w:szCs w:val="20"/>
        </w:rPr>
      </w:pPr>
      <w:r>
        <w:rPr>
          <w:b/>
          <w:sz w:val="20"/>
          <w:szCs w:val="20"/>
        </w:rPr>
        <w:t>Characterizations</w:t>
      </w:r>
    </w:p>
    <w:p w:rsidR="00FD2EBB" w:rsidRDefault="00FD2EBB" w:rsidP="00F65E58">
      <w:pPr>
        <w:spacing w:after="0" w:line="240" w:lineRule="auto"/>
        <w:jc w:val="both"/>
        <w:rPr>
          <w:sz w:val="20"/>
          <w:szCs w:val="20"/>
        </w:rPr>
      </w:pPr>
      <w:r w:rsidRPr="00FD2EBB">
        <w:rPr>
          <w:sz w:val="20"/>
          <w:szCs w:val="20"/>
        </w:rPr>
        <w:t>X-ray diffraction (XRD) patterns were recorded on powder diffractometer (Bruker Advance D8, 40 kV, 10 mA) using a Cu-Kα radiation source in the range of 5</w:t>
      </w:r>
      <w:r w:rsidR="00000DA2">
        <w:rPr>
          <w:sz w:val="20"/>
          <w:szCs w:val="20"/>
        </w:rPr>
        <w:t xml:space="preserve"> – </w:t>
      </w:r>
      <w:r w:rsidRPr="00FD2EBB">
        <w:rPr>
          <w:sz w:val="20"/>
          <w:szCs w:val="20"/>
        </w:rPr>
        <w:t>50°. The FTIR analysis was recorded in the range of 400 to 4000 cm</w:t>
      </w:r>
      <w:r w:rsidRPr="00FD2EBB">
        <w:rPr>
          <w:sz w:val="20"/>
          <w:szCs w:val="20"/>
          <w:vertAlign w:val="superscript"/>
        </w:rPr>
        <w:t>-1</w:t>
      </w:r>
      <w:r w:rsidRPr="00FD2EBB">
        <w:rPr>
          <w:sz w:val="20"/>
          <w:szCs w:val="20"/>
        </w:rPr>
        <w:t xml:space="preserve"> using Perkin Elmer 1600 series spectrometer. The BET analysis of the </w:t>
      </w:r>
      <w:r w:rsidR="00CE38AE">
        <w:rPr>
          <w:sz w:val="20"/>
          <w:szCs w:val="20"/>
        </w:rPr>
        <w:t>samples</w:t>
      </w:r>
      <w:r w:rsidRPr="00FD2EBB">
        <w:rPr>
          <w:sz w:val="20"/>
          <w:szCs w:val="20"/>
        </w:rPr>
        <w:t xml:space="preserve"> was determined by N</w:t>
      </w:r>
      <w:r w:rsidRPr="00FD2EBB">
        <w:rPr>
          <w:sz w:val="20"/>
          <w:szCs w:val="20"/>
          <w:vertAlign w:val="subscript"/>
        </w:rPr>
        <w:t>2</w:t>
      </w:r>
      <w:r w:rsidRPr="00FD2EBB">
        <w:rPr>
          <w:sz w:val="20"/>
          <w:szCs w:val="20"/>
        </w:rPr>
        <w:t xml:space="preserve"> adsorption-desorption isotherms using a Micromeritics ASAP 2010 instrument. The </w:t>
      </w:r>
      <w:r w:rsidR="00CE38AE">
        <w:rPr>
          <w:sz w:val="20"/>
          <w:szCs w:val="20"/>
        </w:rPr>
        <w:t>samples</w:t>
      </w:r>
      <w:r w:rsidRPr="00FD2EBB">
        <w:rPr>
          <w:sz w:val="20"/>
          <w:szCs w:val="20"/>
        </w:rPr>
        <w:t xml:space="preserve"> w</w:t>
      </w:r>
      <w:r w:rsidR="00CE38AE">
        <w:rPr>
          <w:sz w:val="20"/>
          <w:szCs w:val="20"/>
        </w:rPr>
        <w:t>ere</w:t>
      </w:r>
      <w:r w:rsidRPr="00FD2EBB">
        <w:rPr>
          <w:sz w:val="20"/>
          <w:szCs w:val="20"/>
        </w:rPr>
        <w:t xml:space="preserve"> outgassed at 90</w:t>
      </w:r>
      <w:r w:rsidR="00000DA2">
        <w:rPr>
          <w:sz w:val="20"/>
          <w:szCs w:val="20"/>
        </w:rPr>
        <w:t xml:space="preserve"> </w:t>
      </w:r>
      <w:r w:rsidRPr="00FD2EBB">
        <w:rPr>
          <w:sz w:val="20"/>
          <w:szCs w:val="20"/>
        </w:rPr>
        <w:t>°C for 1 h</w:t>
      </w:r>
      <w:r w:rsidR="00000DA2">
        <w:rPr>
          <w:sz w:val="20"/>
          <w:szCs w:val="20"/>
        </w:rPr>
        <w:t>our</w:t>
      </w:r>
      <w:r w:rsidRPr="00FD2EBB">
        <w:rPr>
          <w:sz w:val="20"/>
          <w:szCs w:val="20"/>
        </w:rPr>
        <w:t xml:space="preserve"> and heated up again at 350</w:t>
      </w:r>
      <w:r w:rsidR="00000DA2">
        <w:rPr>
          <w:sz w:val="20"/>
          <w:szCs w:val="20"/>
        </w:rPr>
        <w:t xml:space="preserve"> </w:t>
      </w:r>
      <w:r w:rsidRPr="00FD2EBB">
        <w:rPr>
          <w:sz w:val="20"/>
          <w:szCs w:val="20"/>
        </w:rPr>
        <w:t>°C for 4 h</w:t>
      </w:r>
      <w:r w:rsidR="00000DA2">
        <w:rPr>
          <w:sz w:val="20"/>
          <w:szCs w:val="20"/>
        </w:rPr>
        <w:t>ours</w:t>
      </w:r>
      <w:r w:rsidRPr="00FD2EBB">
        <w:rPr>
          <w:sz w:val="20"/>
          <w:szCs w:val="20"/>
        </w:rPr>
        <w:t xml:space="preserve"> before being subjected to N</w:t>
      </w:r>
      <w:r w:rsidRPr="00FD2EBB">
        <w:rPr>
          <w:sz w:val="20"/>
          <w:szCs w:val="20"/>
          <w:vertAlign w:val="subscript"/>
        </w:rPr>
        <w:t>2</w:t>
      </w:r>
      <w:r w:rsidRPr="00FD2EBB">
        <w:rPr>
          <w:sz w:val="20"/>
          <w:szCs w:val="20"/>
        </w:rPr>
        <w:t xml:space="preserve"> adsorption.  The surface </w:t>
      </w:r>
      <w:r w:rsidRPr="00FD2EBB">
        <w:rPr>
          <w:sz w:val="20"/>
          <w:szCs w:val="20"/>
        </w:rPr>
        <w:lastRenderedPageBreak/>
        <w:t xml:space="preserve">area measurement was derived from the Brunauer – Emmett - Teller (BET) theory and the pore size distributions based on Barrett, Joyner and Halenda (BJH) theory. </w:t>
      </w:r>
    </w:p>
    <w:p w:rsidR="00FD2EBB" w:rsidRDefault="00FD2EBB" w:rsidP="00F65E58">
      <w:pPr>
        <w:spacing w:after="0" w:line="240" w:lineRule="auto"/>
        <w:jc w:val="both"/>
        <w:rPr>
          <w:sz w:val="20"/>
          <w:szCs w:val="20"/>
        </w:rPr>
      </w:pPr>
    </w:p>
    <w:p w:rsidR="00FD2EBB" w:rsidRDefault="00000DA2" w:rsidP="00F65E58">
      <w:pPr>
        <w:spacing w:after="0" w:line="240" w:lineRule="auto"/>
        <w:jc w:val="both"/>
        <w:rPr>
          <w:b/>
          <w:sz w:val="20"/>
          <w:szCs w:val="20"/>
        </w:rPr>
      </w:pPr>
      <w:r>
        <w:rPr>
          <w:b/>
          <w:sz w:val="20"/>
          <w:szCs w:val="20"/>
        </w:rPr>
        <w:t>Basicity m</w:t>
      </w:r>
      <w:r w:rsidR="00FD2EBB">
        <w:rPr>
          <w:b/>
          <w:sz w:val="20"/>
          <w:szCs w:val="20"/>
        </w:rPr>
        <w:t>easurements</w:t>
      </w:r>
    </w:p>
    <w:p w:rsidR="008E6630" w:rsidRDefault="00FD2EBB" w:rsidP="00F65E58">
      <w:pPr>
        <w:spacing w:after="0" w:line="240" w:lineRule="auto"/>
        <w:jc w:val="both"/>
        <w:rPr>
          <w:sz w:val="20"/>
          <w:szCs w:val="20"/>
        </w:rPr>
      </w:pPr>
      <w:r w:rsidRPr="00FD2EBB">
        <w:rPr>
          <w:sz w:val="20"/>
          <w:szCs w:val="20"/>
        </w:rPr>
        <w:t>Basicity of all</w:t>
      </w:r>
      <w:r w:rsidR="00CE38AE">
        <w:rPr>
          <w:sz w:val="20"/>
          <w:szCs w:val="20"/>
        </w:rPr>
        <w:t xml:space="preserve"> SOD</w:t>
      </w:r>
      <w:r w:rsidRPr="00FD2EBB">
        <w:rPr>
          <w:sz w:val="20"/>
          <w:szCs w:val="20"/>
        </w:rPr>
        <w:t xml:space="preserve"> samples was determined using Hammett indicators and back titration method. In the case of the former, the procedure was followed from previous study with some modifications [</w:t>
      </w:r>
      <w:r w:rsidR="001251A1">
        <w:rPr>
          <w:sz w:val="20"/>
          <w:szCs w:val="20"/>
        </w:rPr>
        <w:t>18</w:t>
      </w:r>
      <w:r w:rsidRPr="00FD2EBB">
        <w:rPr>
          <w:sz w:val="20"/>
          <w:szCs w:val="20"/>
        </w:rPr>
        <w:t xml:space="preserve">]. An activated solid </w:t>
      </w:r>
      <w:r w:rsidR="00CE38AE">
        <w:rPr>
          <w:sz w:val="20"/>
          <w:szCs w:val="20"/>
        </w:rPr>
        <w:t xml:space="preserve">SOD </w:t>
      </w:r>
      <w:r w:rsidRPr="00FD2EBB">
        <w:rPr>
          <w:sz w:val="20"/>
          <w:szCs w:val="20"/>
        </w:rPr>
        <w:t>sample was shaken with 2 mL solution of Hammett indicators in ethanol and left to equilibrate. The color changed was noted. The following Hammett indicators were used; bromothymol blue (</w:t>
      </w:r>
      <w:r w:rsidRPr="00FD2EBB">
        <w:rPr>
          <w:i/>
          <w:sz w:val="20"/>
          <w:szCs w:val="20"/>
        </w:rPr>
        <w:t>p</w:t>
      </w:r>
      <w:r w:rsidRPr="00FD2EBB">
        <w:rPr>
          <w:sz w:val="20"/>
          <w:szCs w:val="20"/>
        </w:rPr>
        <w:t>K</w:t>
      </w:r>
      <w:r w:rsidRPr="00FD2EBB">
        <w:rPr>
          <w:sz w:val="20"/>
          <w:szCs w:val="20"/>
          <w:vertAlign w:val="subscript"/>
        </w:rPr>
        <w:t>a</w:t>
      </w:r>
      <w:r w:rsidRPr="00FD2EBB">
        <w:rPr>
          <w:sz w:val="20"/>
          <w:szCs w:val="20"/>
        </w:rPr>
        <w:t xml:space="preserve"> = 7.2), phenolphthalein (</w:t>
      </w:r>
      <w:r w:rsidRPr="00FD2EBB">
        <w:rPr>
          <w:i/>
          <w:sz w:val="20"/>
          <w:szCs w:val="20"/>
        </w:rPr>
        <w:t>p</w:t>
      </w:r>
      <w:r w:rsidRPr="00FD2EBB">
        <w:rPr>
          <w:sz w:val="20"/>
          <w:szCs w:val="20"/>
        </w:rPr>
        <w:t>K</w:t>
      </w:r>
      <w:r w:rsidRPr="00FD2EBB">
        <w:rPr>
          <w:sz w:val="20"/>
          <w:szCs w:val="20"/>
          <w:vertAlign w:val="subscript"/>
        </w:rPr>
        <w:t>a</w:t>
      </w:r>
      <w:r w:rsidRPr="00FD2EBB">
        <w:rPr>
          <w:sz w:val="20"/>
          <w:szCs w:val="20"/>
        </w:rPr>
        <w:t xml:space="preserve"> = 8.2) and 4-nitroaniline (</w:t>
      </w:r>
      <w:r w:rsidRPr="00FD2EBB">
        <w:rPr>
          <w:i/>
          <w:sz w:val="20"/>
          <w:szCs w:val="20"/>
        </w:rPr>
        <w:t>p</w:t>
      </w:r>
      <w:r w:rsidRPr="00FD2EBB">
        <w:rPr>
          <w:sz w:val="20"/>
          <w:szCs w:val="20"/>
        </w:rPr>
        <w:t>K</w:t>
      </w:r>
      <w:r w:rsidRPr="00FD2EBB">
        <w:rPr>
          <w:sz w:val="20"/>
          <w:szCs w:val="20"/>
          <w:vertAlign w:val="subscript"/>
        </w:rPr>
        <w:t>a</w:t>
      </w:r>
      <w:r w:rsidRPr="00FD2EBB">
        <w:rPr>
          <w:sz w:val="20"/>
          <w:szCs w:val="20"/>
        </w:rPr>
        <w:t xml:space="preserve"> = 18.4). </w:t>
      </w:r>
    </w:p>
    <w:p w:rsidR="008E6630" w:rsidRDefault="008E6630" w:rsidP="00F65E58">
      <w:pPr>
        <w:spacing w:after="0" w:line="240" w:lineRule="auto"/>
        <w:jc w:val="both"/>
        <w:rPr>
          <w:sz w:val="20"/>
          <w:szCs w:val="20"/>
        </w:rPr>
      </w:pPr>
    </w:p>
    <w:p w:rsidR="008E6630" w:rsidRDefault="00FD2EBB" w:rsidP="00F65E58">
      <w:pPr>
        <w:spacing w:after="0" w:line="240" w:lineRule="auto"/>
        <w:jc w:val="both"/>
        <w:rPr>
          <w:sz w:val="20"/>
          <w:szCs w:val="20"/>
        </w:rPr>
      </w:pPr>
      <w:r w:rsidRPr="00FD2EBB">
        <w:rPr>
          <w:sz w:val="20"/>
          <w:szCs w:val="20"/>
        </w:rPr>
        <w:t xml:space="preserve">In the back titration method, an amount of activated solid </w:t>
      </w:r>
      <w:r w:rsidR="00CE38AE">
        <w:rPr>
          <w:sz w:val="20"/>
          <w:szCs w:val="20"/>
        </w:rPr>
        <w:t xml:space="preserve">SOD </w:t>
      </w:r>
      <w:r w:rsidRPr="00FD2EBB">
        <w:rPr>
          <w:sz w:val="20"/>
          <w:szCs w:val="20"/>
        </w:rPr>
        <w:t>sample was suspended in 10 mL of distilled water. It was shaken and left for 1 day. After one day, the solution was filtered. Then, the filtrate was mixed with 5 mL of 0.05 M HCl (</w:t>
      </w:r>
      <w:r w:rsidRPr="00FD2EBB">
        <w:rPr>
          <w:rFonts w:cs="Times New Roman"/>
          <w:sz w:val="20"/>
          <w:szCs w:val="20"/>
        </w:rPr>
        <w:t>Qrëc)</w:t>
      </w:r>
      <w:r w:rsidRPr="00FD2EBB">
        <w:rPr>
          <w:sz w:val="20"/>
          <w:szCs w:val="20"/>
        </w:rPr>
        <w:t>. The resulting solution was next titrated against 0.02 M of KOH (</w:t>
      </w:r>
      <w:r w:rsidRPr="00FD2EBB">
        <w:rPr>
          <w:rFonts w:cs="Times New Roman"/>
          <w:sz w:val="20"/>
          <w:szCs w:val="20"/>
        </w:rPr>
        <w:t>Qrëc)</w:t>
      </w:r>
      <w:r w:rsidRPr="00FD2EBB">
        <w:rPr>
          <w:sz w:val="20"/>
          <w:szCs w:val="20"/>
        </w:rPr>
        <w:t xml:space="preserve"> using phenolphthalein as the indicator. End point was noted when the colorless color of the phenolphthalein changed to pink. </w:t>
      </w:r>
    </w:p>
    <w:p w:rsidR="008E6630" w:rsidRDefault="008E6630" w:rsidP="00F65E58">
      <w:pPr>
        <w:spacing w:after="0" w:line="240" w:lineRule="auto"/>
        <w:jc w:val="both"/>
        <w:rPr>
          <w:sz w:val="20"/>
          <w:szCs w:val="20"/>
        </w:rPr>
      </w:pPr>
    </w:p>
    <w:p w:rsidR="00FD2EBB" w:rsidRPr="00FD2EBB" w:rsidRDefault="00FD2EBB" w:rsidP="00F65E58">
      <w:pPr>
        <w:spacing w:after="0" w:line="240" w:lineRule="auto"/>
        <w:jc w:val="both"/>
        <w:rPr>
          <w:b/>
          <w:sz w:val="20"/>
          <w:szCs w:val="20"/>
        </w:rPr>
      </w:pPr>
      <w:r w:rsidRPr="00FD2EBB">
        <w:rPr>
          <w:sz w:val="20"/>
          <w:szCs w:val="20"/>
        </w:rPr>
        <w:t>Basicity comparison between Na-SOD sample and mesoporous SOD with highest BET surface area was done by T</w:t>
      </w:r>
      <w:r w:rsidR="00CE29F8">
        <w:rPr>
          <w:sz w:val="20"/>
          <w:szCs w:val="20"/>
        </w:rPr>
        <w:t xml:space="preserve">emperature </w:t>
      </w:r>
      <w:r w:rsidRPr="00FD2EBB">
        <w:rPr>
          <w:sz w:val="20"/>
          <w:szCs w:val="20"/>
        </w:rPr>
        <w:t>P</w:t>
      </w:r>
      <w:r w:rsidR="00CE29F8">
        <w:rPr>
          <w:sz w:val="20"/>
          <w:szCs w:val="20"/>
        </w:rPr>
        <w:t xml:space="preserve">rogram </w:t>
      </w:r>
      <w:r w:rsidRPr="00FD2EBB">
        <w:rPr>
          <w:sz w:val="20"/>
          <w:szCs w:val="20"/>
        </w:rPr>
        <w:t>D</w:t>
      </w:r>
      <w:r w:rsidR="00CE29F8">
        <w:rPr>
          <w:sz w:val="20"/>
          <w:szCs w:val="20"/>
        </w:rPr>
        <w:t xml:space="preserve">esorption of </w:t>
      </w:r>
      <w:r w:rsidRPr="00FD2EBB">
        <w:rPr>
          <w:sz w:val="20"/>
          <w:szCs w:val="20"/>
        </w:rPr>
        <w:t>CO</w:t>
      </w:r>
      <w:r w:rsidRPr="00FD2EBB">
        <w:rPr>
          <w:sz w:val="20"/>
          <w:szCs w:val="20"/>
          <w:vertAlign w:val="subscript"/>
        </w:rPr>
        <w:t>2</w:t>
      </w:r>
      <w:r w:rsidR="00CE29F8">
        <w:rPr>
          <w:sz w:val="20"/>
          <w:szCs w:val="20"/>
        </w:rPr>
        <w:t xml:space="preserve"> (TPD-CO</w:t>
      </w:r>
      <w:r w:rsidR="00CE29F8" w:rsidRPr="00CE29F8">
        <w:rPr>
          <w:sz w:val="20"/>
          <w:szCs w:val="20"/>
          <w:vertAlign w:val="subscript"/>
        </w:rPr>
        <w:t>2</w:t>
      </w:r>
      <w:r w:rsidR="00CE29F8">
        <w:rPr>
          <w:sz w:val="20"/>
          <w:szCs w:val="20"/>
        </w:rPr>
        <w:t>)</w:t>
      </w:r>
      <w:r w:rsidRPr="00FD2EBB">
        <w:rPr>
          <w:sz w:val="20"/>
          <w:szCs w:val="20"/>
        </w:rPr>
        <w:t xml:space="preserve"> using AutoChem II 2920 Micromeritics Chemisorption analyzer. </w:t>
      </w:r>
      <w:r w:rsidR="00CE29F8">
        <w:rPr>
          <w:sz w:val="20"/>
          <w:szCs w:val="20"/>
        </w:rPr>
        <w:t xml:space="preserve"> Sample was heated in a stream of He gas at the flow rate of 20 mL/min to 500</w:t>
      </w:r>
      <w:r w:rsidR="00000DA2">
        <w:rPr>
          <w:sz w:val="20"/>
          <w:szCs w:val="20"/>
        </w:rPr>
        <w:t xml:space="preserve"> </w:t>
      </w:r>
      <w:r w:rsidR="00CE29F8" w:rsidRPr="00CE29F8">
        <w:rPr>
          <w:sz w:val="20"/>
          <w:szCs w:val="20"/>
          <w:vertAlign w:val="superscript"/>
        </w:rPr>
        <w:t>o</w:t>
      </w:r>
      <w:r w:rsidR="00CE29F8">
        <w:rPr>
          <w:sz w:val="20"/>
          <w:szCs w:val="20"/>
        </w:rPr>
        <w:t>C at the heating rate of 10</w:t>
      </w:r>
      <w:r w:rsidR="00000DA2">
        <w:rPr>
          <w:sz w:val="20"/>
          <w:szCs w:val="20"/>
        </w:rPr>
        <w:t xml:space="preserve"> </w:t>
      </w:r>
      <w:r w:rsidR="00CE29F8" w:rsidRPr="0054290D">
        <w:rPr>
          <w:sz w:val="20"/>
          <w:szCs w:val="20"/>
          <w:vertAlign w:val="superscript"/>
        </w:rPr>
        <w:t>o</w:t>
      </w:r>
      <w:r w:rsidR="00CE29F8">
        <w:rPr>
          <w:sz w:val="20"/>
          <w:szCs w:val="20"/>
        </w:rPr>
        <w:t>C/min for 2 h</w:t>
      </w:r>
      <w:r w:rsidR="00000DA2">
        <w:rPr>
          <w:sz w:val="20"/>
          <w:szCs w:val="20"/>
        </w:rPr>
        <w:t>ours</w:t>
      </w:r>
      <w:r w:rsidR="00CE29F8">
        <w:rPr>
          <w:sz w:val="20"/>
          <w:szCs w:val="20"/>
        </w:rPr>
        <w:t xml:space="preserve"> and then cooled to 50</w:t>
      </w:r>
      <w:r w:rsidR="00000DA2">
        <w:rPr>
          <w:sz w:val="20"/>
          <w:szCs w:val="20"/>
        </w:rPr>
        <w:t xml:space="preserve"> </w:t>
      </w:r>
      <w:r w:rsidR="00CE29F8" w:rsidRPr="0054290D">
        <w:rPr>
          <w:sz w:val="20"/>
          <w:szCs w:val="20"/>
          <w:vertAlign w:val="superscript"/>
        </w:rPr>
        <w:t>o</w:t>
      </w:r>
      <w:r w:rsidR="00CE29F8">
        <w:rPr>
          <w:sz w:val="20"/>
          <w:szCs w:val="20"/>
        </w:rPr>
        <w:t>C. After cooling, the CO</w:t>
      </w:r>
      <w:r w:rsidR="00CE29F8" w:rsidRPr="0054290D">
        <w:rPr>
          <w:sz w:val="20"/>
          <w:szCs w:val="20"/>
          <w:vertAlign w:val="subscript"/>
        </w:rPr>
        <w:t>2</w:t>
      </w:r>
      <w:r w:rsidR="00CE29F8">
        <w:rPr>
          <w:sz w:val="20"/>
          <w:szCs w:val="20"/>
        </w:rPr>
        <w:t xml:space="preserve"> gas was introduced at the rate of 20 mL/min for 30 min</w:t>
      </w:r>
      <w:r w:rsidR="0054290D">
        <w:rPr>
          <w:sz w:val="20"/>
          <w:szCs w:val="20"/>
        </w:rPr>
        <w:t>utes. After that the gas flow was changed to He as carrier gas. The TPD-CO</w:t>
      </w:r>
      <w:r w:rsidR="0054290D" w:rsidRPr="0054290D">
        <w:rPr>
          <w:sz w:val="20"/>
          <w:szCs w:val="20"/>
          <w:vertAlign w:val="subscript"/>
        </w:rPr>
        <w:t>2</w:t>
      </w:r>
      <w:r w:rsidR="0054290D">
        <w:rPr>
          <w:sz w:val="20"/>
          <w:szCs w:val="20"/>
        </w:rPr>
        <w:t xml:space="preserve"> was carried out in the temperature range of 50 to 1000</w:t>
      </w:r>
      <w:r w:rsidR="00C1510D">
        <w:rPr>
          <w:sz w:val="20"/>
          <w:szCs w:val="20"/>
        </w:rPr>
        <w:t xml:space="preserve"> </w:t>
      </w:r>
      <w:r w:rsidR="0054290D" w:rsidRPr="0054290D">
        <w:rPr>
          <w:sz w:val="20"/>
          <w:szCs w:val="20"/>
          <w:vertAlign w:val="superscript"/>
        </w:rPr>
        <w:t>o</w:t>
      </w:r>
      <w:r w:rsidR="0054290D">
        <w:rPr>
          <w:sz w:val="20"/>
          <w:szCs w:val="20"/>
        </w:rPr>
        <w:t>C at heating rate of 10</w:t>
      </w:r>
      <w:r w:rsidR="00C1510D">
        <w:rPr>
          <w:sz w:val="20"/>
          <w:szCs w:val="20"/>
        </w:rPr>
        <w:t xml:space="preserve"> </w:t>
      </w:r>
      <w:r w:rsidR="0054290D" w:rsidRPr="0054290D">
        <w:rPr>
          <w:sz w:val="20"/>
          <w:szCs w:val="20"/>
          <w:vertAlign w:val="superscript"/>
        </w:rPr>
        <w:t>o</w:t>
      </w:r>
      <w:r w:rsidR="0054290D">
        <w:rPr>
          <w:sz w:val="20"/>
          <w:szCs w:val="20"/>
        </w:rPr>
        <w:t>C/mL and He rate of 20 mL/min.</w:t>
      </w:r>
    </w:p>
    <w:p w:rsidR="00277850" w:rsidRDefault="00277850" w:rsidP="00277850">
      <w:pPr>
        <w:spacing w:after="0" w:line="240" w:lineRule="auto"/>
        <w:jc w:val="both"/>
        <w:rPr>
          <w:sz w:val="20"/>
          <w:szCs w:val="20"/>
        </w:rPr>
      </w:pPr>
    </w:p>
    <w:p w:rsidR="00FD2EBB" w:rsidRDefault="00C1510D" w:rsidP="00277850">
      <w:pPr>
        <w:spacing w:after="0" w:line="240" w:lineRule="auto"/>
        <w:jc w:val="both"/>
        <w:rPr>
          <w:b/>
          <w:sz w:val="20"/>
          <w:szCs w:val="20"/>
        </w:rPr>
      </w:pPr>
      <w:r>
        <w:rPr>
          <w:b/>
          <w:sz w:val="20"/>
          <w:szCs w:val="20"/>
        </w:rPr>
        <w:t>Catalytic t</w:t>
      </w:r>
      <w:r w:rsidR="00CB3C10">
        <w:rPr>
          <w:b/>
          <w:sz w:val="20"/>
          <w:szCs w:val="20"/>
        </w:rPr>
        <w:t>esting</w:t>
      </w:r>
    </w:p>
    <w:p w:rsidR="00CB3C10" w:rsidRDefault="00CB3C10" w:rsidP="00CB3C10">
      <w:pPr>
        <w:spacing w:after="0" w:line="240" w:lineRule="auto"/>
        <w:jc w:val="both"/>
        <w:rPr>
          <w:sz w:val="20"/>
          <w:szCs w:val="20"/>
        </w:rPr>
      </w:pPr>
      <w:r w:rsidRPr="00CB3C10">
        <w:rPr>
          <w:sz w:val="20"/>
          <w:szCs w:val="20"/>
        </w:rPr>
        <w:t>Knoevenagel condensation reaction of benzaldehyde and diethyl malonate was carried out in this study. The catalyst samples were first activated at 500</w:t>
      </w:r>
      <w:r w:rsidR="00C1510D">
        <w:rPr>
          <w:sz w:val="20"/>
          <w:szCs w:val="20"/>
        </w:rPr>
        <w:t xml:space="preserve"> </w:t>
      </w:r>
      <w:r w:rsidRPr="00CB3C10">
        <w:rPr>
          <w:sz w:val="20"/>
          <w:szCs w:val="20"/>
        </w:rPr>
        <w:t>°C for 2 h</w:t>
      </w:r>
      <w:r w:rsidR="00C1510D">
        <w:rPr>
          <w:sz w:val="20"/>
          <w:szCs w:val="20"/>
        </w:rPr>
        <w:t>ours</w:t>
      </w:r>
      <w:r w:rsidRPr="00CB3C10">
        <w:rPr>
          <w:sz w:val="20"/>
          <w:szCs w:val="20"/>
        </w:rPr>
        <w:t xml:space="preserve">. </w:t>
      </w:r>
      <w:r>
        <w:rPr>
          <w:sz w:val="20"/>
          <w:szCs w:val="20"/>
        </w:rPr>
        <w:t>E</w:t>
      </w:r>
      <w:r w:rsidRPr="00CB3C10">
        <w:rPr>
          <w:sz w:val="20"/>
          <w:szCs w:val="20"/>
        </w:rPr>
        <w:t>quimolar solutions of benzaldehyde (0.02 mol) and diethyl malonate (0.02 mol) were added into a 50 mL round bottom glass reactor. The 0.05 g catalyst powder was then added to the solution. N</w:t>
      </w:r>
      <w:r w:rsidRPr="00CB3C10">
        <w:rPr>
          <w:sz w:val="20"/>
          <w:szCs w:val="20"/>
          <w:vertAlign w:val="subscript"/>
        </w:rPr>
        <w:t>2</w:t>
      </w:r>
      <w:r w:rsidRPr="00CB3C10">
        <w:rPr>
          <w:sz w:val="20"/>
          <w:szCs w:val="20"/>
        </w:rPr>
        <w:t xml:space="preserve"> </w:t>
      </w:r>
      <w:r w:rsidR="00945BDD">
        <w:rPr>
          <w:sz w:val="20"/>
          <w:szCs w:val="20"/>
        </w:rPr>
        <w:t xml:space="preserve">gas </w:t>
      </w:r>
      <w:r w:rsidRPr="00CB3C10">
        <w:rPr>
          <w:sz w:val="20"/>
          <w:szCs w:val="20"/>
        </w:rPr>
        <w:t>was then bubbled through the solution to remove dissolved oxygen to avoid formation of benzoic acid. Lastly, the solution was connected to the condenser and refluxed in an oil bath at 150</w:t>
      </w:r>
      <w:r w:rsidR="00C1510D">
        <w:rPr>
          <w:sz w:val="20"/>
          <w:szCs w:val="20"/>
        </w:rPr>
        <w:t xml:space="preserve"> </w:t>
      </w:r>
      <w:r w:rsidRPr="00CB3C10">
        <w:rPr>
          <w:sz w:val="20"/>
          <w:szCs w:val="20"/>
        </w:rPr>
        <w:t>°C for 24 h</w:t>
      </w:r>
      <w:r w:rsidR="00C1510D">
        <w:rPr>
          <w:sz w:val="20"/>
          <w:szCs w:val="20"/>
        </w:rPr>
        <w:t>ours</w:t>
      </w:r>
      <w:r w:rsidRPr="00CB3C10">
        <w:rPr>
          <w:sz w:val="20"/>
          <w:szCs w:val="20"/>
        </w:rPr>
        <w:t xml:space="preserve"> with stirring. Products of reaction were separated and analyzed using Gas Chromatography model Agilent 6890N Series equipped with flame ion d</w:t>
      </w:r>
      <w:r w:rsidR="00C1510D">
        <w:rPr>
          <w:sz w:val="20"/>
          <w:szCs w:val="20"/>
        </w:rPr>
        <w:t>etector (FID) using Ultra-</w:t>
      </w:r>
      <w:r w:rsidRPr="00CB3C10">
        <w:rPr>
          <w:sz w:val="20"/>
          <w:szCs w:val="20"/>
        </w:rPr>
        <w:t>1 column. Meanwhile, the components of the product produced in the reaction were identified by using Gas Chromatography-Mass Spectroscopy (GC-MS) model Perkin Elmer Clarus 680.</w:t>
      </w:r>
    </w:p>
    <w:p w:rsidR="00CB3C10" w:rsidRPr="00CB3C10" w:rsidRDefault="00CB3C10" w:rsidP="00CB3C10">
      <w:pPr>
        <w:spacing w:after="0" w:line="240" w:lineRule="auto"/>
        <w:jc w:val="both"/>
        <w:rPr>
          <w:sz w:val="20"/>
          <w:szCs w:val="20"/>
        </w:rPr>
      </w:pPr>
    </w:p>
    <w:p w:rsidR="00CE38AE" w:rsidRDefault="00CB3C10" w:rsidP="00C1510D">
      <w:pPr>
        <w:spacing w:after="0" w:line="240" w:lineRule="auto"/>
        <w:jc w:val="center"/>
        <w:rPr>
          <w:sz w:val="20"/>
          <w:szCs w:val="20"/>
        </w:rPr>
      </w:pPr>
      <w:r>
        <w:rPr>
          <w:b/>
          <w:sz w:val="20"/>
          <w:szCs w:val="20"/>
        </w:rPr>
        <w:t>Results and Discussion</w:t>
      </w:r>
    </w:p>
    <w:p w:rsidR="00CE38AE" w:rsidRPr="00006FDE" w:rsidRDefault="00C1510D" w:rsidP="00CE38AE">
      <w:pPr>
        <w:spacing w:after="0" w:line="240" w:lineRule="auto"/>
        <w:jc w:val="both"/>
        <w:rPr>
          <w:b/>
          <w:sz w:val="20"/>
          <w:szCs w:val="20"/>
        </w:rPr>
      </w:pPr>
      <w:r>
        <w:rPr>
          <w:b/>
          <w:sz w:val="20"/>
          <w:szCs w:val="20"/>
        </w:rPr>
        <w:t>Catalyst c</w:t>
      </w:r>
      <w:r w:rsidR="00CE38AE" w:rsidRPr="00C12992">
        <w:rPr>
          <w:b/>
          <w:sz w:val="20"/>
          <w:szCs w:val="20"/>
        </w:rPr>
        <w:t>haracterizations</w:t>
      </w:r>
    </w:p>
    <w:p w:rsidR="00CB3C10" w:rsidRPr="00624FF2" w:rsidRDefault="00CE38AE" w:rsidP="00277850">
      <w:pPr>
        <w:spacing w:after="0" w:line="240" w:lineRule="auto"/>
        <w:jc w:val="both"/>
        <w:rPr>
          <w:sz w:val="20"/>
          <w:szCs w:val="20"/>
        </w:rPr>
      </w:pPr>
      <w:r w:rsidRPr="00CE38AE">
        <w:rPr>
          <w:sz w:val="20"/>
          <w:szCs w:val="20"/>
        </w:rPr>
        <w:t>Figure 1 shows the XRD patterns of the as-synthesized SOD samples. The patterns exhibited six diffraction peaks at 2θ = 14.10°, 24.40°, 31.60°, 34.70°, 37.60° and 48.80° correspond to d</w:t>
      </w:r>
      <w:r w:rsidRPr="00CE38AE">
        <w:rPr>
          <w:sz w:val="20"/>
          <w:szCs w:val="20"/>
          <w:vertAlign w:val="subscript"/>
        </w:rPr>
        <w:t>[110]</w:t>
      </w:r>
      <w:r w:rsidRPr="00CE38AE">
        <w:rPr>
          <w:sz w:val="20"/>
          <w:szCs w:val="20"/>
        </w:rPr>
        <w:t>, d</w:t>
      </w:r>
      <w:r w:rsidRPr="00CE38AE">
        <w:rPr>
          <w:sz w:val="20"/>
          <w:szCs w:val="20"/>
          <w:vertAlign w:val="subscript"/>
        </w:rPr>
        <w:t>[211]</w:t>
      </w:r>
      <w:r w:rsidRPr="00CE38AE">
        <w:rPr>
          <w:sz w:val="20"/>
          <w:szCs w:val="20"/>
        </w:rPr>
        <w:t>, d</w:t>
      </w:r>
      <w:r w:rsidRPr="00CE38AE">
        <w:rPr>
          <w:sz w:val="20"/>
          <w:szCs w:val="20"/>
          <w:vertAlign w:val="subscript"/>
        </w:rPr>
        <w:t>[310]</w:t>
      </w:r>
      <w:r w:rsidRPr="00CE38AE">
        <w:rPr>
          <w:sz w:val="20"/>
          <w:szCs w:val="20"/>
        </w:rPr>
        <w:t>, d</w:t>
      </w:r>
      <w:r w:rsidRPr="00CE38AE">
        <w:rPr>
          <w:sz w:val="20"/>
          <w:szCs w:val="20"/>
          <w:vertAlign w:val="subscript"/>
        </w:rPr>
        <w:t>[222]</w:t>
      </w:r>
      <w:r w:rsidRPr="00CE38AE">
        <w:rPr>
          <w:sz w:val="20"/>
          <w:szCs w:val="20"/>
        </w:rPr>
        <w:t>, d</w:t>
      </w:r>
      <w:r w:rsidRPr="00CE38AE">
        <w:rPr>
          <w:sz w:val="20"/>
          <w:szCs w:val="20"/>
          <w:vertAlign w:val="subscript"/>
        </w:rPr>
        <w:t>[321]</w:t>
      </w:r>
      <w:r w:rsidRPr="00CE38AE">
        <w:rPr>
          <w:sz w:val="20"/>
          <w:szCs w:val="20"/>
        </w:rPr>
        <w:t xml:space="preserve"> and d</w:t>
      </w:r>
      <w:r w:rsidRPr="00CE38AE">
        <w:rPr>
          <w:sz w:val="20"/>
          <w:szCs w:val="20"/>
          <w:vertAlign w:val="subscript"/>
        </w:rPr>
        <w:t>[330]</w:t>
      </w:r>
      <w:r>
        <w:rPr>
          <w:sz w:val="20"/>
          <w:szCs w:val="20"/>
        </w:rPr>
        <w:t xml:space="preserve"> planes</w:t>
      </w:r>
      <w:r w:rsidRPr="00CE38AE">
        <w:rPr>
          <w:sz w:val="20"/>
          <w:szCs w:val="20"/>
        </w:rPr>
        <w:t xml:space="preserve"> respectively. These patterns are assigned to SOD crystal phase pattern after comparing with the previous study [</w:t>
      </w:r>
      <w:r w:rsidR="001251A1">
        <w:rPr>
          <w:sz w:val="20"/>
          <w:szCs w:val="20"/>
        </w:rPr>
        <w:t>19</w:t>
      </w:r>
      <w:r w:rsidRPr="00CE38AE">
        <w:rPr>
          <w:sz w:val="20"/>
          <w:szCs w:val="20"/>
        </w:rPr>
        <w:t>]. Among the SOD samples, SOD-TO showed broader XRD peaks which indicated a smallest crystallite size in its structure.</w:t>
      </w:r>
      <w:r w:rsidR="00C33E68">
        <w:rPr>
          <w:sz w:val="20"/>
          <w:szCs w:val="20"/>
        </w:rPr>
        <w:t xml:space="preserve"> </w:t>
      </w:r>
      <w:r w:rsidR="00C33E68" w:rsidRPr="00C33E68">
        <w:rPr>
          <w:sz w:val="20"/>
          <w:szCs w:val="20"/>
        </w:rPr>
        <w:t>In some cases, mixture of phases could be seen for SOD.</w:t>
      </w:r>
      <w:r w:rsidR="00C33E68">
        <w:rPr>
          <w:sz w:val="20"/>
          <w:szCs w:val="20"/>
        </w:rPr>
        <w:t xml:space="preserve"> It can be observed that the XRD pattern for SOD-TDDAB sample produced two peaks at certain 2</w:t>
      </w:r>
      <w:r w:rsidR="00C33E68">
        <w:rPr>
          <w:rFonts w:cs="Times New Roman"/>
          <w:sz w:val="20"/>
          <w:szCs w:val="20"/>
        </w:rPr>
        <w:t>θ</w:t>
      </w:r>
      <w:r w:rsidR="00C33E68">
        <w:rPr>
          <w:sz w:val="20"/>
          <w:szCs w:val="20"/>
        </w:rPr>
        <w:t xml:space="preserve">. </w:t>
      </w:r>
      <w:r w:rsidR="00C33E68" w:rsidRPr="00C33E68">
        <w:rPr>
          <w:sz w:val="20"/>
          <w:szCs w:val="20"/>
        </w:rPr>
        <w:t>However, the extra peaks could not be identified and not matched with other type of zeolites</w:t>
      </w:r>
      <w:r w:rsidR="00C33E68">
        <w:rPr>
          <w:sz w:val="20"/>
          <w:szCs w:val="20"/>
        </w:rPr>
        <w:t>. As for other SOD samples, peaks with high intensity were observed.</w:t>
      </w:r>
      <w:r w:rsidRPr="00CE38AE">
        <w:rPr>
          <w:sz w:val="20"/>
          <w:szCs w:val="20"/>
        </w:rPr>
        <w:t xml:space="preserve"> </w:t>
      </w:r>
      <w:r w:rsidR="00C33E68" w:rsidRPr="00CE38AE">
        <w:rPr>
          <w:sz w:val="20"/>
          <w:szCs w:val="20"/>
        </w:rPr>
        <w:t>T</w:t>
      </w:r>
      <w:r w:rsidRPr="00CE38AE">
        <w:rPr>
          <w:sz w:val="20"/>
          <w:szCs w:val="20"/>
        </w:rPr>
        <w:t xml:space="preserve">he diffraction peak at (211) corresponding to the most intense peak was selected to calculate the crystallite size using Debye-Scherrer equation. The results correspond to the crystallite size of all SOD samples are shown in Table 1. The values suggested that all </w:t>
      </w:r>
      <w:r w:rsidR="00C33E68">
        <w:rPr>
          <w:sz w:val="20"/>
          <w:szCs w:val="20"/>
        </w:rPr>
        <w:t>SOD</w:t>
      </w:r>
      <w:r w:rsidRPr="00CE38AE">
        <w:rPr>
          <w:sz w:val="20"/>
          <w:szCs w:val="20"/>
        </w:rPr>
        <w:t xml:space="preserve"> samples were composed of nano-sized crystals. In addition, the values also suggested that the crystallite size increases as the wideness </w:t>
      </w:r>
      <w:r w:rsidR="00244592">
        <w:rPr>
          <w:sz w:val="20"/>
          <w:szCs w:val="20"/>
        </w:rPr>
        <w:t xml:space="preserve">of the diffraction peak </w:t>
      </w:r>
      <w:r w:rsidRPr="00CE38AE">
        <w:rPr>
          <w:sz w:val="20"/>
          <w:szCs w:val="20"/>
        </w:rPr>
        <w:t xml:space="preserve">decreases. The SOD-TO sample has the smallest crystallite size as compared with other </w:t>
      </w:r>
      <w:r w:rsidR="00C33E68">
        <w:rPr>
          <w:sz w:val="20"/>
          <w:szCs w:val="20"/>
        </w:rPr>
        <w:t xml:space="preserve">SOD </w:t>
      </w:r>
      <w:r w:rsidRPr="00CE38AE">
        <w:rPr>
          <w:sz w:val="20"/>
          <w:szCs w:val="20"/>
        </w:rPr>
        <w:t>samples which indicated that this sample consists of a highly nanocrystalline nature of the framework due to the presence of small crystallite size.</w:t>
      </w:r>
    </w:p>
    <w:p w:rsidR="007A4A06" w:rsidRDefault="00B26327" w:rsidP="00815ADB">
      <w:pPr>
        <w:spacing w:after="0" w:line="240" w:lineRule="auto"/>
        <w:jc w:val="center"/>
        <w:rPr>
          <w:b/>
          <w:sz w:val="20"/>
          <w:szCs w:val="20"/>
        </w:rPr>
      </w:pPr>
      <w:r>
        <w:rPr>
          <w:b/>
          <w:noProof/>
          <w:sz w:val="20"/>
          <w:szCs w:val="20"/>
        </w:rPr>
        <w:lastRenderedPageBreak/>
        <w:pict>
          <v:shapetype id="_x0000_t202" coordsize="21600,21600" o:spt="202" path="m,l,21600r21600,l21600,xe">
            <v:stroke joinstyle="miter"/>
            <v:path gradientshapeok="t" o:connecttype="rect"/>
          </v:shapetype>
          <v:shape id="_x0000_s1026" type="#_x0000_t202" style="position:absolute;left:0;text-align:left;margin-left:189.9pt;margin-top:189.35pt;width:59.2pt;height:19.2pt;z-index:251639296;mso-width-relative:margin;mso-height-relative:margin" filled="f" stroked="f">
            <v:textbox style="mso-next-textbox:#_x0000_s1026">
              <w:txbxContent>
                <w:p w:rsidR="005545F3" w:rsidRPr="00815ADB" w:rsidRDefault="005545F3" w:rsidP="00815ADB">
                  <w:pPr>
                    <w:rPr>
                      <w:sz w:val="20"/>
                      <w:szCs w:val="20"/>
                    </w:rPr>
                  </w:pPr>
                  <w:r w:rsidRPr="00815ADB">
                    <w:rPr>
                      <w:sz w:val="20"/>
                      <w:szCs w:val="20"/>
                    </w:rPr>
                    <w:t>2</w:t>
                  </w:r>
                  <w:r w:rsidRPr="00815ADB">
                    <w:rPr>
                      <w:rFonts w:cs="Times New Roman"/>
                      <w:sz w:val="20"/>
                      <w:szCs w:val="20"/>
                    </w:rPr>
                    <w:t>θ</w:t>
                  </w:r>
                  <w:r w:rsidRPr="00815ADB">
                    <w:rPr>
                      <w:sz w:val="20"/>
                      <w:szCs w:val="20"/>
                    </w:rPr>
                    <w:t xml:space="preserve"> (angle)</w:t>
                  </w:r>
                </w:p>
              </w:txbxContent>
            </v:textbox>
          </v:shape>
        </w:pict>
      </w:r>
      <w:r>
        <w:rPr>
          <w:b/>
          <w:noProof/>
          <w:sz w:val="20"/>
          <w:szCs w:val="20"/>
        </w:rPr>
        <w:pict>
          <v:rect id="_x0000_s1027" style="position:absolute;left:0;text-align:left;margin-left:55.8pt;margin-top:101.6pt;width:72.5pt;height:18.75pt;rotation:270;z-index:251640320" filled="f" stroked="f">
            <v:textbox style="layout-flow:vertical;mso-layout-flow-alt:bottom-to-top;mso-next-textbox:#_x0000_s1027">
              <w:txbxContent>
                <w:p w:rsidR="005545F3" w:rsidRPr="00815ADB" w:rsidRDefault="005545F3" w:rsidP="00815ADB">
                  <w:pPr>
                    <w:rPr>
                      <w:rFonts w:cs="Times New Roman"/>
                      <w:sz w:val="20"/>
                      <w:szCs w:val="20"/>
                    </w:rPr>
                  </w:pPr>
                  <w:r w:rsidRPr="00815ADB">
                    <w:rPr>
                      <w:rFonts w:cs="Times New Roman"/>
                      <w:sz w:val="20"/>
                      <w:szCs w:val="20"/>
                    </w:rPr>
                    <w:t>Intensity (a.u)</w:t>
                  </w:r>
                </w:p>
              </w:txbxContent>
            </v:textbox>
          </v:rect>
        </w:pict>
      </w:r>
      <w:r w:rsidR="00815ADB">
        <w:rPr>
          <w:b/>
          <w:noProof/>
          <w:sz w:val="20"/>
          <w:szCs w:val="20"/>
        </w:rPr>
        <w:drawing>
          <wp:inline distT="0" distB="0" distL="0" distR="0">
            <wp:extent cx="3616829" cy="2631881"/>
            <wp:effectExtent l="19050" t="1905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619909" cy="2634122"/>
                    </a:xfrm>
                    <a:prstGeom prst="rect">
                      <a:avLst/>
                    </a:prstGeom>
                    <a:noFill/>
                    <a:ln w="9525">
                      <a:solidFill>
                        <a:schemeClr val="tx1"/>
                      </a:solidFill>
                      <a:miter lim="800000"/>
                      <a:headEnd/>
                      <a:tailEnd/>
                    </a:ln>
                  </pic:spPr>
                </pic:pic>
              </a:graphicData>
            </a:graphic>
          </wp:inline>
        </w:drawing>
      </w:r>
    </w:p>
    <w:p w:rsidR="00C1510D" w:rsidRDefault="00C1510D" w:rsidP="00815ADB">
      <w:pPr>
        <w:spacing w:after="0" w:line="240" w:lineRule="auto"/>
        <w:jc w:val="center"/>
        <w:rPr>
          <w:b/>
          <w:sz w:val="20"/>
          <w:szCs w:val="20"/>
        </w:rPr>
      </w:pPr>
    </w:p>
    <w:p w:rsidR="00815ADB" w:rsidRDefault="00815ADB" w:rsidP="00C1510D">
      <w:pPr>
        <w:spacing w:after="0" w:line="240" w:lineRule="auto"/>
        <w:ind w:left="851" w:hanging="851"/>
        <w:jc w:val="both"/>
        <w:rPr>
          <w:sz w:val="20"/>
          <w:szCs w:val="20"/>
        </w:rPr>
      </w:pPr>
      <w:r>
        <w:rPr>
          <w:sz w:val="20"/>
          <w:szCs w:val="20"/>
        </w:rPr>
        <w:t>Figure 1</w:t>
      </w:r>
      <w:r w:rsidR="00C1510D">
        <w:rPr>
          <w:sz w:val="20"/>
          <w:szCs w:val="20"/>
        </w:rPr>
        <w:t xml:space="preserve">. </w:t>
      </w:r>
      <w:r w:rsidRPr="00815ADB">
        <w:rPr>
          <w:sz w:val="20"/>
          <w:szCs w:val="20"/>
        </w:rPr>
        <w:t>XRD diffractograms of (a) Na-SOD, (b) SOD-TDDAB, (c) SOD-TCTAB, (d) SOD-TDTAB and (e) SOD-TO</w:t>
      </w:r>
    </w:p>
    <w:p w:rsidR="00B449F8" w:rsidRDefault="00B449F8" w:rsidP="00C1510D">
      <w:pPr>
        <w:spacing w:after="0" w:line="240" w:lineRule="auto"/>
        <w:rPr>
          <w:sz w:val="20"/>
          <w:szCs w:val="20"/>
        </w:rPr>
      </w:pPr>
    </w:p>
    <w:p w:rsidR="00815ADB" w:rsidRPr="00815ADB" w:rsidRDefault="00815ADB" w:rsidP="00815ADB">
      <w:pPr>
        <w:spacing w:after="0" w:line="240" w:lineRule="auto"/>
        <w:jc w:val="center"/>
        <w:rPr>
          <w:sz w:val="20"/>
          <w:szCs w:val="20"/>
        </w:rPr>
      </w:pPr>
      <w:r w:rsidRPr="00815ADB">
        <w:rPr>
          <w:sz w:val="20"/>
          <w:szCs w:val="20"/>
        </w:rPr>
        <w:t>Table 1</w:t>
      </w:r>
      <w:r w:rsidR="00C1510D">
        <w:rPr>
          <w:sz w:val="20"/>
          <w:szCs w:val="20"/>
        </w:rPr>
        <w:t xml:space="preserve">. </w:t>
      </w:r>
      <w:r w:rsidRPr="00815ADB">
        <w:rPr>
          <w:rFonts w:cs="Times New Roman"/>
          <w:sz w:val="20"/>
          <w:szCs w:val="20"/>
        </w:rPr>
        <w:t>Crystallite size of all SOD samples</w:t>
      </w:r>
    </w:p>
    <w:p w:rsidR="00815ADB" w:rsidRDefault="00815ADB" w:rsidP="00815ADB">
      <w:pPr>
        <w:spacing w:after="0" w:line="240" w:lineRule="auto"/>
        <w:jc w:val="center"/>
        <w:rPr>
          <w:b/>
          <w:sz w:val="20"/>
          <w:szCs w:val="20"/>
        </w:rPr>
      </w:pPr>
    </w:p>
    <w:tbl>
      <w:tblPr>
        <w:tblStyle w:val="TableGrid"/>
        <w:tblW w:w="4174" w:type="dxa"/>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single" w:sz="4" w:space="0" w:color="000000" w:themeColor="text1"/>
        </w:tblBorders>
        <w:tblLook w:val="04A0" w:firstRow="1" w:lastRow="0" w:firstColumn="1" w:lastColumn="0" w:noHBand="0" w:noVBand="1"/>
      </w:tblPr>
      <w:tblGrid>
        <w:gridCol w:w="1730"/>
        <w:gridCol w:w="2444"/>
      </w:tblGrid>
      <w:tr w:rsidR="00815ADB" w:rsidRPr="00386933" w:rsidTr="00C84CE8">
        <w:trPr>
          <w:trHeight w:val="354"/>
          <w:jc w:val="center"/>
        </w:trPr>
        <w:tc>
          <w:tcPr>
            <w:tcW w:w="0" w:type="auto"/>
            <w:tcBorders>
              <w:top w:val="single" w:sz="4" w:space="0" w:color="000000" w:themeColor="text1"/>
              <w:left w:val="nil"/>
              <w:bottom w:val="single" w:sz="4" w:space="0" w:color="000000" w:themeColor="text1"/>
              <w:right w:val="nil"/>
            </w:tcBorders>
          </w:tcPr>
          <w:p w:rsidR="00624FF2" w:rsidRPr="00C1510D" w:rsidRDefault="00815ADB" w:rsidP="00624FF2">
            <w:pPr>
              <w:jc w:val="center"/>
              <w:rPr>
                <w:rFonts w:ascii="Times New Roman" w:hAnsi="Times New Roman"/>
                <w:b/>
              </w:rPr>
            </w:pPr>
            <w:r w:rsidRPr="00C1510D">
              <w:rPr>
                <w:rFonts w:ascii="Times New Roman" w:hAnsi="Times New Roman"/>
                <w:b/>
              </w:rPr>
              <w:t>Sample</w:t>
            </w:r>
            <w:r w:rsidR="00624FF2" w:rsidRPr="00C1510D">
              <w:rPr>
                <w:rFonts w:ascii="Times New Roman" w:hAnsi="Times New Roman"/>
                <w:b/>
              </w:rPr>
              <w:t>s</w:t>
            </w:r>
          </w:p>
        </w:tc>
        <w:tc>
          <w:tcPr>
            <w:tcW w:w="0" w:type="auto"/>
            <w:tcBorders>
              <w:top w:val="single" w:sz="4" w:space="0" w:color="000000" w:themeColor="text1"/>
              <w:left w:val="nil"/>
              <w:bottom w:val="single" w:sz="4" w:space="0" w:color="000000" w:themeColor="text1"/>
              <w:right w:val="nil"/>
            </w:tcBorders>
          </w:tcPr>
          <w:p w:rsidR="00624FF2" w:rsidRPr="00C1510D" w:rsidRDefault="00815ADB" w:rsidP="00624FF2">
            <w:pPr>
              <w:jc w:val="center"/>
              <w:rPr>
                <w:rFonts w:ascii="Times New Roman" w:hAnsi="Times New Roman"/>
                <w:b/>
              </w:rPr>
            </w:pPr>
            <w:r w:rsidRPr="00C1510D">
              <w:rPr>
                <w:rFonts w:ascii="Times New Roman" w:hAnsi="Times New Roman"/>
                <w:b/>
              </w:rPr>
              <w:t>Crystallite size (nm</w:t>
            </w:r>
            <w:r w:rsidR="00624FF2" w:rsidRPr="00C1510D">
              <w:rPr>
                <w:rFonts w:ascii="Times New Roman" w:hAnsi="Times New Roman"/>
                <w:b/>
              </w:rPr>
              <w:t>)</w:t>
            </w:r>
          </w:p>
        </w:tc>
      </w:tr>
      <w:tr w:rsidR="00815ADB" w:rsidRPr="00386933" w:rsidTr="00C84CE8">
        <w:trPr>
          <w:trHeight w:val="166"/>
          <w:jc w:val="center"/>
        </w:trPr>
        <w:tc>
          <w:tcPr>
            <w:tcW w:w="0" w:type="auto"/>
            <w:tcBorders>
              <w:top w:val="single" w:sz="4" w:space="0" w:color="000000" w:themeColor="text1"/>
              <w:right w:val="nil"/>
            </w:tcBorders>
          </w:tcPr>
          <w:p w:rsidR="00815ADB" w:rsidRPr="00815ADB" w:rsidRDefault="00624FF2" w:rsidP="00C84CE8">
            <w:pPr>
              <w:jc w:val="center"/>
              <w:rPr>
                <w:rFonts w:ascii="Times New Roman" w:hAnsi="Times New Roman"/>
              </w:rPr>
            </w:pPr>
            <w:r w:rsidRPr="00815ADB">
              <w:rPr>
                <w:rFonts w:ascii="Times New Roman" w:hAnsi="Times New Roman"/>
              </w:rPr>
              <w:t>Na-SOD</w:t>
            </w:r>
          </w:p>
        </w:tc>
        <w:tc>
          <w:tcPr>
            <w:tcW w:w="0" w:type="auto"/>
            <w:tcBorders>
              <w:top w:val="single" w:sz="4" w:space="0" w:color="000000" w:themeColor="text1"/>
              <w:left w:val="nil"/>
            </w:tcBorders>
          </w:tcPr>
          <w:p w:rsidR="00815ADB" w:rsidRPr="00815ADB" w:rsidRDefault="00624FF2" w:rsidP="00624FF2">
            <w:pPr>
              <w:jc w:val="center"/>
              <w:rPr>
                <w:rFonts w:ascii="Times New Roman" w:hAnsi="Times New Roman"/>
              </w:rPr>
            </w:pPr>
            <w:r w:rsidRPr="00815ADB">
              <w:rPr>
                <w:rFonts w:ascii="Times New Roman" w:hAnsi="Times New Roman"/>
              </w:rPr>
              <w:t>18</w:t>
            </w:r>
          </w:p>
        </w:tc>
      </w:tr>
      <w:tr w:rsidR="00815ADB" w:rsidRPr="00386933" w:rsidTr="00C84CE8">
        <w:trPr>
          <w:trHeight w:val="157"/>
          <w:jc w:val="center"/>
        </w:trPr>
        <w:tc>
          <w:tcPr>
            <w:tcW w:w="0" w:type="auto"/>
            <w:tcBorders>
              <w:right w:val="nil"/>
            </w:tcBorders>
          </w:tcPr>
          <w:p w:rsidR="00815ADB" w:rsidRPr="00815ADB" w:rsidRDefault="00624FF2" w:rsidP="00C84CE8">
            <w:pPr>
              <w:jc w:val="center"/>
              <w:rPr>
                <w:rFonts w:ascii="Times New Roman" w:hAnsi="Times New Roman"/>
              </w:rPr>
            </w:pPr>
            <w:r w:rsidRPr="00815ADB">
              <w:rPr>
                <w:rFonts w:ascii="Times New Roman" w:hAnsi="Times New Roman"/>
              </w:rPr>
              <w:t>SOD-TDDAB</w:t>
            </w:r>
          </w:p>
        </w:tc>
        <w:tc>
          <w:tcPr>
            <w:tcW w:w="0" w:type="auto"/>
            <w:tcBorders>
              <w:left w:val="nil"/>
            </w:tcBorders>
          </w:tcPr>
          <w:p w:rsidR="00815ADB" w:rsidRPr="00815ADB" w:rsidRDefault="00624FF2" w:rsidP="00254637">
            <w:pPr>
              <w:jc w:val="center"/>
              <w:rPr>
                <w:rFonts w:ascii="Times New Roman" w:hAnsi="Times New Roman"/>
              </w:rPr>
            </w:pPr>
            <w:r w:rsidRPr="00815ADB">
              <w:rPr>
                <w:rFonts w:ascii="Times New Roman" w:hAnsi="Times New Roman"/>
              </w:rPr>
              <w:t>23</w:t>
            </w:r>
          </w:p>
        </w:tc>
      </w:tr>
      <w:tr w:rsidR="00815ADB" w:rsidRPr="00386933" w:rsidTr="00C84CE8">
        <w:trPr>
          <w:trHeight w:val="137"/>
          <w:jc w:val="center"/>
        </w:trPr>
        <w:tc>
          <w:tcPr>
            <w:tcW w:w="0" w:type="auto"/>
            <w:tcBorders>
              <w:right w:val="nil"/>
            </w:tcBorders>
          </w:tcPr>
          <w:p w:rsidR="00815ADB" w:rsidRPr="00815ADB" w:rsidRDefault="00624FF2" w:rsidP="00C84CE8">
            <w:pPr>
              <w:jc w:val="center"/>
              <w:rPr>
                <w:rFonts w:ascii="Times New Roman" w:hAnsi="Times New Roman"/>
              </w:rPr>
            </w:pPr>
            <w:r w:rsidRPr="00815ADB">
              <w:rPr>
                <w:rFonts w:ascii="Times New Roman" w:hAnsi="Times New Roman"/>
              </w:rPr>
              <w:t>SOD-TCTAB</w:t>
            </w:r>
          </w:p>
        </w:tc>
        <w:tc>
          <w:tcPr>
            <w:tcW w:w="0" w:type="auto"/>
            <w:tcBorders>
              <w:left w:val="nil"/>
            </w:tcBorders>
          </w:tcPr>
          <w:p w:rsidR="00815ADB" w:rsidRPr="00815ADB" w:rsidRDefault="00624FF2" w:rsidP="00254637">
            <w:pPr>
              <w:jc w:val="center"/>
              <w:rPr>
                <w:rFonts w:ascii="Times New Roman" w:hAnsi="Times New Roman"/>
              </w:rPr>
            </w:pPr>
            <w:r w:rsidRPr="00815ADB">
              <w:rPr>
                <w:rFonts w:ascii="Times New Roman" w:hAnsi="Times New Roman"/>
              </w:rPr>
              <w:t>25</w:t>
            </w:r>
          </w:p>
        </w:tc>
      </w:tr>
      <w:tr w:rsidR="00815ADB" w:rsidRPr="00386933" w:rsidTr="00C84CE8">
        <w:trPr>
          <w:trHeight w:val="87"/>
          <w:jc w:val="center"/>
        </w:trPr>
        <w:tc>
          <w:tcPr>
            <w:tcW w:w="0" w:type="auto"/>
            <w:tcBorders>
              <w:right w:val="nil"/>
            </w:tcBorders>
          </w:tcPr>
          <w:p w:rsidR="00815ADB" w:rsidRPr="00815ADB" w:rsidRDefault="00624FF2" w:rsidP="00C84CE8">
            <w:pPr>
              <w:jc w:val="center"/>
              <w:rPr>
                <w:rFonts w:ascii="Times New Roman" w:hAnsi="Times New Roman"/>
              </w:rPr>
            </w:pPr>
            <w:r w:rsidRPr="00815ADB">
              <w:rPr>
                <w:rFonts w:ascii="Times New Roman" w:hAnsi="Times New Roman"/>
              </w:rPr>
              <w:t>SOD-TDTAB</w:t>
            </w:r>
          </w:p>
        </w:tc>
        <w:tc>
          <w:tcPr>
            <w:tcW w:w="0" w:type="auto"/>
            <w:tcBorders>
              <w:left w:val="nil"/>
            </w:tcBorders>
          </w:tcPr>
          <w:p w:rsidR="00815ADB" w:rsidRPr="00815ADB" w:rsidRDefault="00624FF2" w:rsidP="00254637">
            <w:pPr>
              <w:jc w:val="center"/>
              <w:rPr>
                <w:rFonts w:ascii="Times New Roman" w:hAnsi="Times New Roman"/>
              </w:rPr>
            </w:pPr>
            <w:r w:rsidRPr="00815ADB">
              <w:rPr>
                <w:rFonts w:ascii="Times New Roman" w:hAnsi="Times New Roman"/>
              </w:rPr>
              <w:t>26</w:t>
            </w:r>
          </w:p>
        </w:tc>
      </w:tr>
      <w:tr w:rsidR="00815ADB" w:rsidRPr="00386933" w:rsidTr="00C84CE8">
        <w:trPr>
          <w:trHeight w:val="266"/>
          <w:jc w:val="center"/>
        </w:trPr>
        <w:tc>
          <w:tcPr>
            <w:tcW w:w="0" w:type="auto"/>
            <w:tcBorders>
              <w:bottom w:val="single" w:sz="4" w:space="0" w:color="000000" w:themeColor="text1"/>
              <w:right w:val="nil"/>
            </w:tcBorders>
          </w:tcPr>
          <w:p w:rsidR="00815ADB" w:rsidRPr="00815ADB" w:rsidRDefault="00624FF2" w:rsidP="00C84CE8">
            <w:pPr>
              <w:jc w:val="center"/>
              <w:rPr>
                <w:rFonts w:ascii="Times New Roman" w:hAnsi="Times New Roman"/>
              </w:rPr>
            </w:pPr>
            <w:r w:rsidRPr="00815ADB">
              <w:rPr>
                <w:rFonts w:ascii="Times New Roman" w:hAnsi="Times New Roman"/>
              </w:rPr>
              <w:t>SOD-TO</w:t>
            </w:r>
          </w:p>
        </w:tc>
        <w:tc>
          <w:tcPr>
            <w:tcW w:w="0" w:type="auto"/>
            <w:tcBorders>
              <w:left w:val="nil"/>
              <w:bottom w:val="single" w:sz="4" w:space="0" w:color="000000" w:themeColor="text1"/>
            </w:tcBorders>
          </w:tcPr>
          <w:p w:rsidR="00815ADB" w:rsidRPr="00815ADB" w:rsidRDefault="00624FF2" w:rsidP="00254637">
            <w:pPr>
              <w:jc w:val="center"/>
              <w:rPr>
                <w:rFonts w:ascii="Times New Roman" w:hAnsi="Times New Roman"/>
              </w:rPr>
            </w:pPr>
            <w:r w:rsidRPr="00815ADB">
              <w:rPr>
                <w:rFonts w:ascii="Times New Roman" w:hAnsi="Times New Roman"/>
              </w:rPr>
              <w:t>17</w:t>
            </w:r>
          </w:p>
        </w:tc>
      </w:tr>
    </w:tbl>
    <w:p w:rsidR="008E6630" w:rsidRDefault="008E6630" w:rsidP="00C1510D">
      <w:pPr>
        <w:spacing w:after="0" w:line="240" w:lineRule="auto"/>
        <w:rPr>
          <w:b/>
          <w:sz w:val="20"/>
          <w:szCs w:val="20"/>
        </w:rPr>
      </w:pPr>
    </w:p>
    <w:p w:rsidR="00C1510D" w:rsidRDefault="00624FF2" w:rsidP="00624FF2">
      <w:pPr>
        <w:spacing w:after="0" w:line="240" w:lineRule="auto"/>
        <w:jc w:val="both"/>
        <w:rPr>
          <w:sz w:val="20"/>
          <w:szCs w:val="20"/>
        </w:rPr>
      </w:pPr>
      <w:r w:rsidRPr="00624FF2">
        <w:rPr>
          <w:sz w:val="20"/>
          <w:szCs w:val="20"/>
        </w:rPr>
        <w:t>Figure 2 shows the IR spectra of as-synthesized SOD samples. Each SOD sample showed a broad absorption band at around 980 cm</w:t>
      </w:r>
      <w:r w:rsidRPr="00624FF2">
        <w:rPr>
          <w:sz w:val="20"/>
          <w:szCs w:val="20"/>
          <w:vertAlign w:val="superscript"/>
        </w:rPr>
        <w:t>-1</w:t>
      </w:r>
      <w:r w:rsidRPr="00624FF2">
        <w:rPr>
          <w:sz w:val="20"/>
          <w:szCs w:val="20"/>
        </w:rPr>
        <w:t xml:space="preserve">. This band can be assigned to the internal vibration of T-O-T (T = Si or Al) asymmetric stretch. However, except SOD-TO sample, all other </w:t>
      </w:r>
      <w:r w:rsidR="00C33E68">
        <w:rPr>
          <w:sz w:val="20"/>
          <w:szCs w:val="20"/>
        </w:rPr>
        <w:t xml:space="preserve">SOD </w:t>
      </w:r>
      <w:r w:rsidRPr="00624FF2">
        <w:rPr>
          <w:sz w:val="20"/>
          <w:szCs w:val="20"/>
        </w:rPr>
        <w:t>samples showed additional absorption band at around 920 cm</w:t>
      </w:r>
      <w:r w:rsidRPr="00624FF2">
        <w:rPr>
          <w:sz w:val="20"/>
          <w:szCs w:val="20"/>
          <w:vertAlign w:val="superscript"/>
        </w:rPr>
        <w:t>-1</w:t>
      </w:r>
      <w:r w:rsidRPr="00624FF2">
        <w:rPr>
          <w:sz w:val="20"/>
          <w:szCs w:val="20"/>
        </w:rPr>
        <w:t>. This band could be assigned to the Si-O stretching mode of surficial silanol group (Si-OH). This band might be produced due to the hydroxylation of silica upon exposure to water. In addition, each of SOD samples showed absorption bands in the region of 650</w:t>
      </w:r>
      <w:r w:rsidR="00C1510D">
        <w:rPr>
          <w:sz w:val="20"/>
          <w:szCs w:val="20"/>
        </w:rPr>
        <w:t xml:space="preserve"> – </w:t>
      </w:r>
      <w:r w:rsidRPr="00624FF2">
        <w:rPr>
          <w:sz w:val="20"/>
          <w:szCs w:val="20"/>
        </w:rPr>
        <w:t>740 cm</w:t>
      </w:r>
      <w:r w:rsidRPr="00624FF2">
        <w:rPr>
          <w:sz w:val="20"/>
          <w:szCs w:val="20"/>
          <w:vertAlign w:val="superscript"/>
        </w:rPr>
        <w:t>-1</w:t>
      </w:r>
      <w:r w:rsidRPr="00624FF2">
        <w:rPr>
          <w:sz w:val="20"/>
          <w:szCs w:val="20"/>
        </w:rPr>
        <w:t xml:space="preserve"> that can be due to the symmetric stretch of T-O-T (T = Si or Al). While, t</w:t>
      </w:r>
      <w:r w:rsidR="00C1510D">
        <w:rPr>
          <w:sz w:val="20"/>
          <w:szCs w:val="20"/>
        </w:rPr>
        <w:t xml:space="preserve">he absorption band around 450 – </w:t>
      </w:r>
      <w:r w:rsidRPr="00624FF2">
        <w:rPr>
          <w:sz w:val="20"/>
          <w:szCs w:val="20"/>
        </w:rPr>
        <w:t>465 cm</w:t>
      </w:r>
      <w:r w:rsidRPr="00624FF2">
        <w:rPr>
          <w:sz w:val="20"/>
          <w:szCs w:val="20"/>
          <w:vertAlign w:val="superscript"/>
        </w:rPr>
        <w:t>-1</w:t>
      </w:r>
      <w:r w:rsidRPr="00624FF2">
        <w:rPr>
          <w:sz w:val="20"/>
          <w:szCs w:val="20"/>
        </w:rPr>
        <w:t xml:space="preserve"> represents the internal vibration of T-O-T bending (T = Si or Al). The characte</w:t>
      </w:r>
      <w:r w:rsidR="00C1510D">
        <w:rPr>
          <w:sz w:val="20"/>
          <w:szCs w:val="20"/>
        </w:rPr>
        <w:t xml:space="preserve">ristic absorption band at 428 – </w:t>
      </w:r>
      <w:r w:rsidRPr="00624FF2">
        <w:rPr>
          <w:sz w:val="20"/>
          <w:szCs w:val="20"/>
        </w:rPr>
        <w:t>436 cm</w:t>
      </w:r>
      <w:r w:rsidRPr="00624FF2">
        <w:rPr>
          <w:sz w:val="20"/>
          <w:szCs w:val="20"/>
          <w:vertAlign w:val="superscript"/>
        </w:rPr>
        <w:t>-1</w:t>
      </w:r>
      <w:r w:rsidRPr="00624FF2">
        <w:rPr>
          <w:sz w:val="20"/>
          <w:szCs w:val="20"/>
        </w:rPr>
        <w:t xml:space="preserve"> also represent the vibrations of T-O-T (T = Si or Al) bending that related to the pore opening of the SOD unit. The absorption bands discussed are related to the characteristic of SOD framework as found by previous study [</w:t>
      </w:r>
      <w:r w:rsidR="001251A1">
        <w:rPr>
          <w:sz w:val="20"/>
          <w:szCs w:val="20"/>
        </w:rPr>
        <w:t>20</w:t>
      </w:r>
      <w:r w:rsidRPr="00624FF2">
        <w:rPr>
          <w:sz w:val="20"/>
          <w:szCs w:val="20"/>
        </w:rPr>
        <w:t>].</w:t>
      </w:r>
    </w:p>
    <w:p w:rsidR="00215376" w:rsidRDefault="00215376" w:rsidP="00624FF2">
      <w:pPr>
        <w:spacing w:after="0" w:line="240" w:lineRule="auto"/>
        <w:jc w:val="both"/>
        <w:rPr>
          <w:sz w:val="20"/>
          <w:szCs w:val="20"/>
        </w:rPr>
      </w:pPr>
    </w:p>
    <w:p w:rsidR="00624FF2" w:rsidRDefault="00B26327" w:rsidP="00624FF2">
      <w:pPr>
        <w:spacing w:after="0" w:line="240" w:lineRule="auto"/>
        <w:jc w:val="center"/>
        <w:rPr>
          <w:sz w:val="20"/>
          <w:szCs w:val="20"/>
        </w:rPr>
      </w:pPr>
      <w:r>
        <w:rPr>
          <w:b/>
          <w:noProof/>
          <w:sz w:val="20"/>
          <w:szCs w:val="20"/>
        </w:rPr>
        <w:pict>
          <v:rect id="_x0000_s1030" style="position:absolute;left:0;text-align:left;margin-left:56.45pt;margin-top:84.9pt;width:95.25pt;height:19.5pt;rotation:270;z-index:251642368" stroked="f">
            <v:textbox style="layout-flow:vertical;mso-layout-flow-alt:bottom-to-top;mso-next-textbox:#_x0000_s1030">
              <w:txbxContent>
                <w:p w:rsidR="005545F3" w:rsidRPr="00C12992" w:rsidRDefault="005545F3" w:rsidP="00C12992">
                  <w:pPr>
                    <w:rPr>
                      <w:rFonts w:cs="Times New Roman"/>
                      <w:sz w:val="20"/>
                      <w:szCs w:val="20"/>
                    </w:rPr>
                  </w:pPr>
                  <w:r w:rsidRPr="00C12992">
                    <w:rPr>
                      <w:rFonts w:cs="Times New Roman"/>
                      <w:sz w:val="20"/>
                      <w:szCs w:val="20"/>
                    </w:rPr>
                    <w:t>Transmittance (%)</w:t>
                  </w:r>
                </w:p>
                <w:p w:rsidR="005545F3" w:rsidRPr="00364836" w:rsidRDefault="005545F3" w:rsidP="00C12992">
                  <w:pPr>
                    <w:rPr>
                      <w:sz w:val="18"/>
                      <w:szCs w:val="18"/>
                    </w:rPr>
                  </w:pPr>
                </w:p>
              </w:txbxContent>
            </v:textbox>
          </v:rect>
        </w:pict>
      </w:r>
      <w:r>
        <w:rPr>
          <w:noProof/>
          <w:sz w:val="20"/>
          <w:szCs w:val="20"/>
        </w:rPr>
        <w:pict>
          <v:shape id="_x0000_s1029" type="#_x0000_t202" style="position:absolute;left:0;text-align:left;margin-left:172.55pt;margin-top:183.3pt;width:113.25pt;height:16.75pt;z-index:251641344;mso-width-relative:margin;mso-height-relative:margin" filled="f" stroked="f">
            <v:textbox style="mso-next-textbox:#_x0000_s1029">
              <w:txbxContent>
                <w:p w:rsidR="005545F3" w:rsidRPr="00C12992" w:rsidRDefault="005545F3" w:rsidP="00C12992">
                  <w:pPr>
                    <w:jc w:val="center"/>
                    <w:rPr>
                      <w:rFonts w:cs="Times New Roman"/>
                      <w:sz w:val="20"/>
                      <w:szCs w:val="20"/>
                    </w:rPr>
                  </w:pPr>
                  <w:r w:rsidRPr="00C12992">
                    <w:rPr>
                      <w:rFonts w:cs="Times New Roman"/>
                      <w:sz w:val="20"/>
                      <w:szCs w:val="20"/>
                    </w:rPr>
                    <w:t>Wavenumber, ʋ, cm</w:t>
                  </w:r>
                  <w:r w:rsidRPr="00C12992">
                    <w:rPr>
                      <w:rFonts w:cs="Times New Roman"/>
                      <w:sz w:val="20"/>
                      <w:szCs w:val="20"/>
                      <w:vertAlign w:val="superscript"/>
                    </w:rPr>
                    <w:t>-1</w:t>
                  </w:r>
                </w:p>
                <w:p w:rsidR="005545F3" w:rsidRPr="00364836" w:rsidRDefault="005545F3" w:rsidP="00C12992">
                  <w:pPr>
                    <w:rPr>
                      <w:sz w:val="18"/>
                      <w:szCs w:val="18"/>
                    </w:rPr>
                  </w:pPr>
                </w:p>
              </w:txbxContent>
            </v:textbox>
          </v:shape>
        </w:pict>
      </w:r>
      <w:r w:rsidR="00081E63">
        <w:rPr>
          <w:noProof/>
          <w:sz w:val="20"/>
          <w:szCs w:val="20"/>
        </w:rPr>
        <w:drawing>
          <wp:inline distT="0" distB="0" distL="0" distR="0">
            <wp:extent cx="3407723" cy="2520000"/>
            <wp:effectExtent l="19050" t="1905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407723" cy="2520000"/>
                    </a:xfrm>
                    <a:prstGeom prst="rect">
                      <a:avLst/>
                    </a:prstGeom>
                    <a:noFill/>
                    <a:ln w="9525">
                      <a:solidFill>
                        <a:schemeClr val="tx1"/>
                      </a:solidFill>
                      <a:miter lim="800000"/>
                      <a:headEnd/>
                      <a:tailEnd/>
                    </a:ln>
                  </pic:spPr>
                </pic:pic>
              </a:graphicData>
            </a:graphic>
          </wp:inline>
        </w:drawing>
      </w:r>
    </w:p>
    <w:p w:rsidR="00C12992" w:rsidRDefault="00C12992" w:rsidP="00624FF2">
      <w:pPr>
        <w:spacing w:after="0" w:line="240" w:lineRule="auto"/>
        <w:jc w:val="center"/>
        <w:rPr>
          <w:sz w:val="20"/>
          <w:szCs w:val="20"/>
        </w:rPr>
      </w:pPr>
      <w:r w:rsidRPr="00C12992">
        <w:rPr>
          <w:sz w:val="20"/>
          <w:szCs w:val="20"/>
        </w:rPr>
        <w:lastRenderedPageBreak/>
        <w:t>Figure 2</w:t>
      </w:r>
      <w:r w:rsidR="00215376">
        <w:rPr>
          <w:sz w:val="20"/>
          <w:szCs w:val="20"/>
        </w:rPr>
        <w:t xml:space="preserve">. </w:t>
      </w:r>
      <w:r w:rsidRPr="00C12992">
        <w:rPr>
          <w:sz w:val="20"/>
          <w:szCs w:val="20"/>
        </w:rPr>
        <w:t>IR spectra of (a) Na-SOD, (b) SOD-TDDAB, (c) SOD-TCTAB, (d) SOD-TDTAB and (e) SOD-TO</w:t>
      </w:r>
    </w:p>
    <w:p w:rsidR="00C12992" w:rsidRDefault="00C12992" w:rsidP="00624FF2">
      <w:pPr>
        <w:spacing w:after="0" w:line="240" w:lineRule="auto"/>
        <w:jc w:val="center"/>
        <w:rPr>
          <w:sz w:val="20"/>
          <w:szCs w:val="20"/>
        </w:rPr>
      </w:pPr>
    </w:p>
    <w:p w:rsidR="00C12992" w:rsidRPr="00EC5EA6" w:rsidRDefault="00C12992" w:rsidP="00C12992">
      <w:pPr>
        <w:spacing w:after="0" w:line="240" w:lineRule="auto"/>
        <w:jc w:val="both"/>
        <w:rPr>
          <w:sz w:val="20"/>
          <w:szCs w:val="20"/>
        </w:rPr>
      </w:pPr>
      <w:r w:rsidRPr="00C12992">
        <w:rPr>
          <w:sz w:val="20"/>
          <w:szCs w:val="20"/>
        </w:rPr>
        <w:t xml:space="preserve">Figure 3 shows the BET adsorption-desorption isotherm of </w:t>
      </w:r>
      <w:r w:rsidR="000E2CE3">
        <w:rPr>
          <w:sz w:val="20"/>
          <w:szCs w:val="20"/>
        </w:rPr>
        <w:t xml:space="preserve">all </w:t>
      </w:r>
      <w:r w:rsidRPr="00C12992">
        <w:rPr>
          <w:sz w:val="20"/>
          <w:szCs w:val="20"/>
        </w:rPr>
        <w:t>SOD sample</w:t>
      </w:r>
      <w:r w:rsidR="000E2CE3">
        <w:rPr>
          <w:sz w:val="20"/>
          <w:szCs w:val="20"/>
        </w:rPr>
        <w:t>s</w:t>
      </w:r>
      <w:r w:rsidRPr="00C12992">
        <w:rPr>
          <w:sz w:val="20"/>
          <w:szCs w:val="20"/>
        </w:rPr>
        <w:t xml:space="preserve"> while Figure 3B shows the BJH pore size distributions of </w:t>
      </w:r>
      <w:r w:rsidR="000E2CE3">
        <w:rPr>
          <w:sz w:val="20"/>
          <w:szCs w:val="20"/>
        </w:rPr>
        <w:t xml:space="preserve">all </w:t>
      </w:r>
      <w:r w:rsidRPr="00C12992">
        <w:rPr>
          <w:sz w:val="20"/>
          <w:szCs w:val="20"/>
        </w:rPr>
        <w:t>SOD sample</w:t>
      </w:r>
      <w:r w:rsidR="000E2CE3">
        <w:rPr>
          <w:sz w:val="20"/>
          <w:szCs w:val="20"/>
        </w:rPr>
        <w:t>s</w:t>
      </w:r>
      <w:r w:rsidRPr="00C12992">
        <w:rPr>
          <w:sz w:val="20"/>
          <w:szCs w:val="20"/>
        </w:rPr>
        <w:t>. Based on Figure 3A, the BET adsorption-desorption isotherm of the SOD-TO sample</w:t>
      </w:r>
      <w:r w:rsidR="000E2CE3">
        <w:rPr>
          <w:sz w:val="20"/>
          <w:szCs w:val="20"/>
        </w:rPr>
        <w:t xml:space="preserve"> (see Figure 3 (e)) exhibited </w:t>
      </w:r>
      <w:r w:rsidRPr="00C12992">
        <w:rPr>
          <w:sz w:val="20"/>
          <w:szCs w:val="20"/>
        </w:rPr>
        <w:t xml:space="preserve">type IV isotherm with a H1 type hysteresis loop which was typical of mesoporous solids. This hysteresis loop </w:t>
      </w:r>
      <w:r w:rsidR="00C33E68" w:rsidRPr="00C12992">
        <w:rPr>
          <w:sz w:val="20"/>
          <w:szCs w:val="20"/>
        </w:rPr>
        <w:t>produce</w:t>
      </w:r>
      <w:r w:rsidR="00EC10D0">
        <w:rPr>
          <w:sz w:val="20"/>
          <w:szCs w:val="20"/>
        </w:rPr>
        <w:t>d</w:t>
      </w:r>
      <w:r w:rsidRPr="00C12992">
        <w:rPr>
          <w:sz w:val="20"/>
          <w:szCs w:val="20"/>
        </w:rPr>
        <w:t xml:space="preserve"> </w:t>
      </w:r>
      <w:r w:rsidR="00EC10D0">
        <w:rPr>
          <w:sz w:val="20"/>
          <w:szCs w:val="20"/>
        </w:rPr>
        <w:t xml:space="preserve">was </w:t>
      </w:r>
      <w:r w:rsidRPr="00C12992">
        <w:rPr>
          <w:sz w:val="20"/>
          <w:szCs w:val="20"/>
        </w:rPr>
        <w:t xml:space="preserve">due to the capillary condensation in mesopore channels. As for other </w:t>
      </w:r>
      <w:r w:rsidR="00C33E68">
        <w:rPr>
          <w:sz w:val="20"/>
          <w:szCs w:val="20"/>
        </w:rPr>
        <w:t xml:space="preserve">SOD </w:t>
      </w:r>
      <w:r w:rsidRPr="00C12992">
        <w:rPr>
          <w:sz w:val="20"/>
          <w:szCs w:val="20"/>
        </w:rPr>
        <w:t>samples, the isotherms can be classified as type II isotherm with a non-uniform type H3 hysteresis loop. While, the Na-SOD sample produced type II isotherm with type H</w:t>
      </w:r>
      <w:r w:rsidRPr="00EC10D0">
        <w:rPr>
          <w:sz w:val="20"/>
          <w:szCs w:val="20"/>
        </w:rPr>
        <w:t>2</w:t>
      </w:r>
      <w:r w:rsidRPr="00C12992">
        <w:rPr>
          <w:sz w:val="20"/>
          <w:szCs w:val="20"/>
        </w:rPr>
        <w:t xml:space="preserve"> hysteresis loop. </w:t>
      </w:r>
      <w:r w:rsidR="00EC10D0">
        <w:rPr>
          <w:sz w:val="20"/>
          <w:szCs w:val="20"/>
        </w:rPr>
        <w:t>Thus, only</w:t>
      </w:r>
      <w:r w:rsidR="00EC10D0" w:rsidRPr="00C12992">
        <w:rPr>
          <w:sz w:val="20"/>
          <w:szCs w:val="20"/>
        </w:rPr>
        <w:t xml:space="preserve"> </w:t>
      </w:r>
      <w:r w:rsidRPr="00C12992">
        <w:rPr>
          <w:sz w:val="20"/>
          <w:szCs w:val="20"/>
        </w:rPr>
        <w:t>SOD-TO sample showed the successfully formation of mesoporosity in it</w:t>
      </w:r>
      <w:r w:rsidR="00EC10D0">
        <w:rPr>
          <w:sz w:val="20"/>
          <w:szCs w:val="20"/>
        </w:rPr>
        <w:t>s</w:t>
      </w:r>
      <w:r w:rsidRPr="00C12992">
        <w:rPr>
          <w:sz w:val="20"/>
          <w:szCs w:val="20"/>
        </w:rPr>
        <w:t xml:space="preserve"> structure based on </w:t>
      </w:r>
      <w:r w:rsidR="00EC10D0">
        <w:rPr>
          <w:sz w:val="20"/>
          <w:szCs w:val="20"/>
        </w:rPr>
        <w:t xml:space="preserve">the obtained </w:t>
      </w:r>
      <w:r w:rsidRPr="00C12992">
        <w:rPr>
          <w:sz w:val="20"/>
          <w:szCs w:val="20"/>
        </w:rPr>
        <w:t xml:space="preserve">isotherm. The presence of mesoporous structure in the SOD-TO sample was confirmed with a narrow pore </w:t>
      </w:r>
      <w:r w:rsidR="00EC10D0">
        <w:rPr>
          <w:sz w:val="20"/>
          <w:szCs w:val="20"/>
        </w:rPr>
        <w:t xml:space="preserve">size </w:t>
      </w:r>
      <w:r w:rsidRPr="00C12992">
        <w:rPr>
          <w:sz w:val="20"/>
          <w:szCs w:val="20"/>
        </w:rPr>
        <w:t xml:space="preserve">distribution peak centered at </w:t>
      </w:r>
      <w:r w:rsidRPr="00C12992">
        <w:rPr>
          <w:i/>
          <w:sz w:val="20"/>
          <w:szCs w:val="20"/>
        </w:rPr>
        <w:t>ca.</w:t>
      </w:r>
      <w:r w:rsidRPr="00C12992">
        <w:rPr>
          <w:sz w:val="20"/>
          <w:szCs w:val="20"/>
        </w:rPr>
        <w:t xml:space="preserve"> 66 Å as shown in Figure </w:t>
      </w:r>
      <w:r w:rsidR="00C47EDA">
        <w:rPr>
          <w:sz w:val="20"/>
          <w:szCs w:val="20"/>
        </w:rPr>
        <w:t xml:space="preserve">4 </w:t>
      </w:r>
      <w:r w:rsidR="000E2CE3">
        <w:rPr>
          <w:sz w:val="20"/>
          <w:szCs w:val="20"/>
        </w:rPr>
        <w:t>(e)</w:t>
      </w:r>
      <w:r w:rsidRPr="00C12992">
        <w:rPr>
          <w:sz w:val="20"/>
          <w:szCs w:val="20"/>
        </w:rPr>
        <w:t>. In addition, the higher specific surface area and larger pore volume were attributed to the presence of mesoporous structure in the SOD-TO as shown in Table 2.</w:t>
      </w:r>
      <w:r w:rsidR="00C33E68">
        <w:rPr>
          <w:sz w:val="20"/>
          <w:szCs w:val="20"/>
        </w:rPr>
        <w:t xml:space="preserve"> As for other SOD samples, </w:t>
      </w:r>
      <w:r w:rsidR="00EC5EA6" w:rsidRPr="00EC5EA6">
        <w:rPr>
          <w:sz w:val="20"/>
          <w:szCs w:val="20"/>
        </w:rPr>
        <w:t>they exhibited broader pore size distributions ranging from 30 Å to 475 Å</w:t>
      </w:r>
      <w:r w:rsidR="00EC10D0">
        <w:rPr>
          <w:sz w:val="20"/>
          <w:szCs w:val="20"/>
        </w:rPr>
        <w:t xml:space="preserve"> and </w:t>
      </w:r>
      <w:r w:rsidR="00215376">
        <w:rPr>
          <w:sz w:val="20"/>
          <w:szCs w:val="20"/>
        </w:rPr>
        <w:t xml:space="preserve">some </w:t>
      </w:r>
      <w:r w:rsidR="00215376" w:rsidRPr="00EC5EA6">
        <w:rPr>
          <w:sz w:val="20"/>
          <w:szCs w:val="20"/>
        </w:rPr>
        <w:t>even</w:t>
      </w:r>
      <w:r w:rsidR="00EC5EA6" w:rsidRPr="00EC5EA6">
        <w:rPr>
          <w:sz w:val="20"/>
          <w:szCs w:val="20"/>
        </w:rPr>
        <w:t xml:space="preserve"> extend</w:t>
      </w:r>
      <w:r w:rsidR="00EC10D0">
        <w:rPr>
          <w:sz w:val="20"/>
          <w:szCs w:val="20"/>
        </w:rPr>
        <w:t>ed</w:t>
      </w:r>
      <w:r w:rsidR="00EC5EA6" w:rsidRPr="00EC5EA6">
        <w:rPr>
          <w:sz w:val="20"/>
          <w:szCs w:val="20"/>
        </w:rPr>
        <w:t xml:space="preserve"> to the macropore range. This suggested </w:t>
      </w:r>
      <w:r w:rsidR="00EC5EA6">
        <w:rPr>
          <w:sz w:val="20"/>
          <w:szCs w:val="20"/>
        </w:rPr>
        <w:t xml:space="preserve">that </w:t>
      </w:r>
      <w:r w:rsidR="00EC5EA6" w:rsidRPr="00EC5EA6">
        <w:rPr>
          <w:sz w:val="20"/>
          <w:szCs w:val="20"/>
        </w:rPr>
        <w:t xml:space="preserve">those samples inhibited the characteristic of an ordered mesoporous solid with very low BET surface area as shown in Table 2. </w:t>
      </w:r>
    </w:p>
    <w:p w:rsidR="00FD5BCE" w:rsidRPr="00EC5EA6" w:rsidRDefault="00FD5BCE" w:rsidP="00FD5BCE">
      <w:pPr>
        <w:spacing w:after="0" w:line="240" w:lineRule="auto"/>
        <w:jc w:val="center"/>
        <w:rPr>
          <w:sz w:val="20"/>
          <w:szCs w:val="20"/>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4610"/>
      </w:tblGrid>
      <w:tr w:rsidR="000E2CE3" w:rsidRPr="00386933" w:rsidTr="00215376">
        <w:trPr>
          <w:trHeight w:val="3843"/>
        </w:trPr>
        <w:tc>
          <w:tcPr>
            <w:tcW w:w="4475" w:type="dxa"/>
          </w:tcPr>
          <w:p w:rsidR="000E2CE3" w:rsidRPr="00182055" w:rsidRDefault="000E2CE3" w:rsidP="00254637">
            <w:pPr>
              <w:tabs>
                <w:tab w:val="center" w:pos="1971"/>
              </w:tabs>
              <w:rPr>
                <w:rFonts w:ascii="Times New Roman" w:hAnsi="Times New Roman"/>
              </w:rPr>
            </w:pPr>
          </w:p>
          <w:p w:rsidR="000E2CE3" w:rsidRPr="00182055" w:rsidRDefault="00B26327" w:rsidP="00215376">
            <w:pPr>
              <w:tabs>
                <w:tab w:val="center" w:pos="1971"/>
              </w:tabs>
              <w:spacing w:line="360" w:lineRule="auto"/>
              <w:jc w:val="right"/>
              <w:rPr>
                <w:rFonts w:ascii="Times New Roman" w:hAnsi="Times New Roman"/>
              </w:rPr>
            </w:pPr>
            <w:r>
              <w:rPr>
                <w:noProof/>
              </w:rPr>
              <w:pict>
                <v:rect id="_x0000_s1038" style="position:absolute;left:0;text-align:left;margin-left:-26pt;margin-top:64.7pt;width:117.75pt;height:20.65pt;rotation:270;z-index:251648512" stroked="f">
                  <v:textbox style="layout-flow:vertical;mso-layout-flow-alt:bottom-to-top;mso-next-textbox:#_x0000_s1038">
                    <w:txbxContent>
                      <w:p w:rsidR="005545F3" w:rsidRPr="00182055" w:rsidRDefault="005545F3" w:rsidP="000E2CE3">
                        <w:r w:rsidRPr="00182055">
                          <w:rPr>
                            <w:sz w:val="20"/>
                            <w:szCs w:val="20"/>
                          </w:rPr>
                          <w:t>Volume adsorbed (cm</w:t>
                        </w:r>
                        <w:r w:rsidRPr="00182055">
                          <w:rPr>
                            <w:sz w:val="20"/>
                            <w:szCs w:val="20"/>
                            <w:vertAlign w:val="superscript"/>
                          </w:rPr>
                          <w:t>3</w:t>
                        </w:r>
                        <w:r w:rsidRPr="00182055">
                          <w:rPr>
                            <w:sz w:val="20"/>
                            <w:szCs w:val="20"/>
                          </w:rPr>
                          <w:t>/g)</w:t>
                        </w:r>
                      </w:p>
                    </w:txbxContent>
                  </v:textbox>
                </v:rect>
              </w:pict>
            </w:r>
            <w:r>
              <w:rPr>
                <w:noProof/>
              </w:rPr>
              <w:pict>
                <v:rect id="_x0000_s1046" style="position:absolute;left:0;text-align:left;margin-left:179.9pt;margin-top:4.5pt;width:32.25pt;height:21pt;z-index:251656704" stroked="f">
                  <v:textbox style="mso-next-textbox:#_x0000_s1046">
                    <w:txbxContent>
                      <w:p w:rsidR="005545F3" w:rsidRPr="00BD71A6" w:rsidRDefault="005545F3" w:rsidP="000E2CE3">
                        <w:r w:rsidRPr="00BD71A6">
                          <w:rPr>
                            <w:sz w:val="20"/>
                            <w:szCs w:val="20"/>
                          </w:rPr>
                          <w:t>(a)</w:t>
                        </w:r>
                      </w:p>
                    </w:txbxContent>
                  </v:textbox>
                </v:rect>
              </w:pict>
            </w:r>
            <w:r>
              <w:rPr>
                <w:noProof/>
              </w:rPr>
              <w:pict>
                <v:rect id="_x0000_s1043" style="position:absolute;left:0;text-align:left;margin-left:62.2pt;margin-top:142.25pt;width:111.05pt;height:21.75pt;z-index:251653632" stroked="f">
                  <v:textbox style="mso-next-textbox:#_x0000_s1043">
                    <w:txbxContent>
                      <w:p w:rsidR="005545F3" w:rsidRPr="00182055" w:rsidRDefault="005545F3" w:rsidP="000E2CE3">
                        <w:r w:rsidRPr="00182055">
                          <w:rPr>
                            <w:sz w:val="20"/>
                            <w:szCs w:val="20"/>
                          </w:rPr>
                          <w:t>Relative pressure (P/P</w:t>
                        </w:r>
                        <w:r w:rsidRPr="00182055">
                          <w:rPr>
                            <w:sz w:val="20"/>
                            <w:szCs w:val="20"/>
                            <w:vertAlign w:val="subscript"/>
                          </w:rPr>
                          <w:t>◦</w:t>
                        </w:r>
                        <w:r w:rsidRPr="00182055">
                          <w:rPr>
                            <w:sz w:val="20"/>
                            <w:szCs w:val="20"/>
                          </w:rPr>
                          <w:t>)</w:t>
                        </w:r>
                      </w:p>
                    </w:txbxContent>
                  </v:textbox>
                </v:rect>
              </w:pict>
            </w:r>
            <w:r w:rsidR="000E2CE3" w:rsidRPr="00182055">
              <w:rPr>
                <w:rFonts w:ascii="Times New Roman" w:hAnsi="Times New Roman"/>
              </w:rPr>
              <w:tab/>
            </w:r>
            <w:r w:rsidR="000E2CE3" w:rsidRPr="00182055">
              <w:rPr>
                <w:noProof/>
              </w:rPr>
              <w:drawing>
                <wp:inline distT="0" distB="0" distL="0" distR="0">
                  <wp:extent cx="2473187" cy="2219325"/>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610" w:type="dxa"/>
          </w:tcPr>
          <w:p w:rsidR="000E2CE3" w:rsidRPr="00182055" w:rsidRDefault="000E2CE3" w:rsidP="00254637">
            <w:pPr>
              <w:rPr>
                <w:rFonts w:ascii="Times New Roman" w:hAnsi="Times New Roman"/>
              </w:rPr>
            </w:pPr>
          </w:p>
          <w:p w:rsidR="000E2CE3" w:rsidRPr="00182055" w:rsidRDefault="00B26327" w:rsidP="00215376">
            <w:pPr>
              <w:tabs>
                <w:tab w:val="left" w:pos="676"/>
              </w:tabs>
              <w:spacing w:line="360" w:lineRule="auto"/>
              <w:rPr>
                <w:rFonts w:ascii="Times New Roman" w:hAnsi="Times New Roman"/>
              </w:rPr>
            </w:pPr>
            <w:r>
              <w:rPr>
                <w:noProof/>
              </w:rPr>
              <w:pict>
                <v:rect id="_x0000_s1047" style="position:absolute;margin-left:173.5pt;margin-top:3.25pt;width:32.25pt;height:21pt;z-index:251657728" stroked="f">
                  <v:textbox style="mso-next-textbox:#_x0000_s1047">
                    <w:txbxContent>
                      <w:p w:rsidR="005545F3" w:rsidRPr="00BD71A6" w:rsidRDefault="005545F3" w:rsidP="000E2CE3">
                        <w:r>
                          <w:rPr>
                            <w:sz w:val="20"/>
                            <w:szCs w:val="20"/>
                          </w:rPr>
                          <w:t xml:space="preserve">  </w:t>
                        </w:r>
                        <w:r w:rsidRPr="00BD71A6">
                          <w:rPr>
                            <w:sz w:val="20"/>
                            <w:szCs w:val="20"/>
                          </w:rPr>
                          <w:t>(b)</w:t>
                        </w:r>
                      </w:p>
                    </w:txbxContent>
                  </v:textbox>
                </v:rect>
              </w:pict>
            </w:r>
            <w:r>
              <w:rPr>
                <w:noProof/>
              </w:rPr>
              <w:pict>
                <v:rect id="_x0000_s1039" style="position:absolute;margin-left:-38.15pt;margin-top:61.25pt;width:122.2pt;height:21.75pt;rotation:90;z-index:251649536" stroked="f">
                  <v:textbox style="layout-flow:vertical;mso-layout-flow-alt:bottom-to-top;mso-next-textbox:#_x0000_s1039">
                    <w:txbxContent>
                      <w:p w:rsidR="005545F3" w:rsidRPr="00182055" w:rsidRDefault="005545F3" w:rsidP="000E2CE3">
                        <w:r w:rsidRPr="00182055">
                          <w:rPr>
                            <w:sz w:val="20"/>
                            <w:szCs w:val="20"/>
                          </w:rPr>
                          <w:t>Volume adsorbed (cm</w:t>
                        </w:r>
                        <w:r w:rsidRPr="00182055">
                          <w:rPr>
                            <w:sz w:val="20"/>
                            <w:szCs w:val="20"/>
                            <w:vertAlign w:val="superscript"/>
                          </w:rPr>
                          <w:t>3</w:t>
                        </w:r>
                        <w:r w:rsidRPr="00182055">
                          <w:rPr>
                            <w:sz w:val="20"/>
                            <w:szCs w:val="20"/>
                          </w:rPr>
                          <w:t>/g)</w:t>
                        </w:r>
                      </w:p>
                    </w:txbxContent>
                  </v:textbox>
                </v:rect>
              </w:pict>
            </w:r>
            <w:r w:rsidR="00215376" w:rsidRPr="00FC45DA">
              <w:rPr>
                <w:noProof/>
              </w:rPr>
              <w:drawing>
                <wp:anchor distT="0" distB="0" distL="114300" distR="114300" simplePos="0" relativeHeight="251637248" behindDoc="1" locked="0" layoutInCell="1" allowOverlap="1">
                  <wp:simplePos x="0" y="0"/>
                  <wp:positionH relativeFrom="column">
                    <wp:posOffset>132163</wp:posOffset>
                  </wp:positionH>
                  <wp:positionV relativeFrom="paragraph">
                    <wp:posOffset>-2043</wp:posOffset>
                  </wp:positionV>
                  <wp:extent cx="2524125" cy="2171700"/>
                  <wp:effectExtent l="0" t="0" r="0" b="0"/>
                  <wp:wrapNone/>
                  <wp:docPr id="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215376">
              <w:rPr>
                <w:rFonts w:ascii="Times New Roman" w:hAnsi="Times New Roman"/>
              </w:rPr>
              <w:tab/>
            </w:r>
          </w:p>
          <w:p w:rsidR="000E2CE3" w:rsidRPr="00182055" w:rsidRDefault="00B26327" w:rsidP="00215376">
            <w:pPr>
              <w:tabs>
                <w:tab w:val="left" w:pos="960"/>
              </w:tabs>
              <w:rPr>
                <w:rFonts w:ascii="Times New Roman" w:hAnsi="Times New Roman"/>
              </w:rPr>
            </w:pPr>
            <w:r>
              <w:rPr>
                <w:noProof/>
              </w:rPr>
              <w:pict>
                <v:rect id="_x0000_s1044" style="position:absolute;margin-left:58.75pt;margin-top:125pt;width:111pt;height:23.25pt;z-index:251654656" stroked="f">
                  <v:textbox style="mso-next-textbox:#_x0000_s1044">
                    <w:txbxContent>
                      <w:p w:rsidR="005545F3" w:rsidRPr="00182055" w:rsidRDefault="005545F3" w:rsidP="000E2CE3">
                        <w:r w:rsidRPr="00182055">
                          <w:rPr>
                            <w:sz w:val="20"/>
                            <w:szCs w:val="20"/>
                          </w:rPr>
                          <w:t>Relative pressure (P/P</w:t>
                        </w:r>
                        <w:r w:rsidRPr="00182055">
                          <w:rPr>
                            <w:sz w:val="20"/>
                            <w:szCs w:val="20"/>
                            <w:vertAlign w:val="subscript"/>
                          </w:rPr>
                          <w:t>◦</w:t>
                        </w:r>
                        <w:r w:rsidRPr="00182055">
                          <w:rPr>
                            <w:sz w:val="20"/>
                            <w:szCs w:val="20"/>
                          </w:rPr>
                          <w:t>)</w:t>
                        </w:r>
                      </w:p>
                    </w:txbxContent>
                  </v:textbox>
                </v:rect>
              </w:pict>
            </w:r>
          </w:p>
        </w:tc>
      </w:tr>
      <w:tr w:rsidR="000E2CE3" w:rsidRPr="00386933" w:rsidTr="00215376">
        <w:trPr>
          <w:trHeight w:val="3713"/>
        </w:trPr>
        <w:tc>
          <w:tcPr>
            <w:tcW w:w="4475" w:type="dxa"/>
          </w:tcPr>
          <w:p w:rsidR="000E2CE3" w:rsidRPr="00182055" w:rsidRDefault="000E2CE3" w:rsidP="00254637">
            <w:pPr>
              <w:tabs>
                <w:tab w:val="center" w:pos="1971"/>
              </w:tabs>
              <w:rPr>
                <w:rFonts w:ascii="Times New Roman" w:hAnsi="Times New Roman"/>
              </w:rPr>
            </w:pPr>
          </w:p>
          <w:p w:rsidR="000E2CE3" w:rsidRPr="00182055" w:rsidRDefault="00B26327" w:rsidP="00215376">
            <w:pPr>
              <w:tabs>
                <w:tab w:val="center" w:pos="1971"/>
              </w:tabs>
              <w:spacing w:line="360" w:lineRule="auto"/>
              <w:jc w:val="right"/>
              <w:rPr>
                <w:rFonts w:ascii="Times New Roman" w:hAnsi="Times New Roman"/>
              </w:rPr>
            </w:pPr>
            <w:r>
              <w:rPr>
                <w:noProof/>
              </w:rPr>
              <w:pict>
                <v:rect id="_x0000_s1040" style="position:absolute;left:0;text-align:left;margin-left:-30.2pt;margin-top:68.4pt;width:122.25pt;height:21.75pt;rotation:90;z-index:251650560" stroked="f">
                  <v:textbox style="layout-flow:vertical;mso-layout-flow-alt:bottom-to-top;mso-next-textbox:#_x0000_s1040">
                    <w:txbxContent>
                      <w:p w:rsidR="005545F3" w:rsidRPr="00182055" w:rsidRDefault="005545F3" w:rsidP="000E2CE3">
                        <w:r w:rsidRPr="00182055">
                          <w:rPr>
                            <w:sz w:val="20"/>
                            <w:szCs w:val="20"/>
                          </w:rPr>
                          <w:t>Volume adsorbed (cm</w:t>
                        </w:r>
                        <w:r w:rsidRPr="00182055">
                          <w:rPr>
                            <w:sz w:val="20"/>
                            <w:szCs w:val="20"/>
                            <w:vertAlign w:val="superscript"/>
                          </w:rPr>
                          <w:t>3</w:t>
                        </w:r>
                        <w:r w:rsidRPr="00182055">
                          <w:rPr>
                            <w:sz w:val="20"/>
                            <w:szCs w:val="20"/>
                          </w:rPr>
                          <w:t>/g)</w:t>
                        </w:r>
                      </w:p>
                    </w:txbxContent>
                  </v:textbox>
                </v:rect>
              </w:pict>
            </w:r>
            <w:r>
              <w:rPr>
                <w:noProof/>
              </w:rPr>
              <w:pict>
                <v:rect id="_x0000_s1048" style="position:absolute;left:0;text-align:left;margin-left:175.5pt;margin-top:3.85pt;width:32.25pt;height:21pt;z-index:251658752" stroked="f">
                  <v:textbox style="mso-next-textbox:#_x0000_s1048">
                    <w:txbxContent>
                      <w:p w:rsidR="005545F3" w:rsidRPr="00BD71A6" w:rsidRDefault="005545F3" w:rsidP="00215376">
                        <w:pPr>
                          <w:jc w:val="right"/>
                        </w:pPr>
                        <w:r w:rsidRPr="00BD71A6">
                          <w:rPr>
                            <w:sz w:val="20"/>
                            <w:szCs w:val="20"/>
                          </w:rPr>
                          <w:t>(c)</w:t>
                        </w:r>
                      </w:p>
                    </w:txbxContent>
                  </v:textbox>
                </v:rect>
              </w:pict>
            </w:r>
            <w:r>
              <w:rPr>
                <w:noProof/>
              </w:rPr>
              <w:pict>
                <v:rect id="_x0000_s1042" style="position:absolute;left:0;text-align:left;margin-left:62.2pt;margin-top:145.75pt;width:111.05pt;height:21.75pt;z-index:251652608" stroked="f">
                  <v:textbox style="mso-next-textbox:#_x0000_s1042">
                    <w:txbxContent>
                      <w:p w:rsidR="005545F3" w:rsidRPr="00182055" w:rsidRDefault="005545F3" w:rsidP="000E2CE3">
                        <w:r w:rsidRPr="00182055">
                          <w:rPr>
                            <w:sz w:val="20"/>
                            <w:szCs w:val="20"/>
                          </w:rPr>
                          <w:t>Relative pressure (P/P</w:t>
                        </w:r>
                        <w:r w:rsidRPr="00182055">
                          <w:rPr>
                            <w:sz w:val="20"/>
                            <w:szCs w:val="20"/>
                            <w:vertAlign w:val="subscript"/>
                          </w:rPr>
                          <w:t>◦</w:t>
                        </w:r>
                        <w:r w:rsidRPr="00182055">
                          <w:rPr>
                            <w:sz w:val="20"/>
                            <w:szCs w:val="20"/>
                          </w:rPr>
                          <w:t>)</w:t>
                        </w:r>
                      </w:p>
                    </w:txbxContent>
                  </v:textbox>
                </v:rect>
              </w:pict>
            </w:r>
            <w:r w:rsidR="000E2CE3" w:rsidRPr="00182055">
              <w:rPr>
                <w:rFonts w:ascii="Times New Roman" w:hAnsi="Times New Roman"/>
              </w:rPr>
              <w:tab/>
            </w:r>
            <w:r w:rsidR="000E2CE3" w:rsidRPr="00182055">
              <w:rPr>
                <w:noProof/>
              </w:rPr>
              <w:drawing>
                <wp:inline distT="0" distB="0" distL="0" distR="0">
                  <wp:extent cx="2486025" cy="2171700"/>
                  <wp:effectExtent l="0" t="0" r="0" b="0"/>
                  <wp:docPr id="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E2CE3" w:rsidRPr="00182055" w:rsidRDefault="000E2CE3" w:rsidP="00254637">
            <w:pPr>
              <w:tabs>
                <w:tab w:val="center" w:pos="1971"/>
              </w:tabs>
              <w:spacing w:line="360" w:lineRule="auto"/>
              <w:rPr>
                <w:rFonts w:ascii="Times New Roman" w:hAnsi="Times New Roman"/>
              </w:rPr>
            </w:pPr>
          </w:p>
        </w:tc>
        <w:tc>
          <w:tcPr>
            <w:tcW w:w="4610" w:type="dxa"/>
          </w:tcPr>
          <w:p w:rsidR="000E2CE3" w:rsidRPr="00182055" w:rsidRDefault="000E2CE3" w:rsidP="00254637">
            <w:pPr>
              <w:tabs>
                <w:tab w:val="center" w:pos="2032"/>
              </w:tabs>
              <w:rPr>
                <w:rFonts w:ascii="Times New Roman" w:hAnsi="Times New Roman"/>
              </w:rPr>
            </w:pPr>
          </w:p>
          <w:p w:rsidR="000E2CE3" w:rsidRPr="00182055" w:rsidRDefault="003B1E6D" w:rsidP="00215376">
            <w:pPr>
              <w:tabs>
                <w:tab w:val="center" w:pos="2032"/>
              </w:tabs>
              <w:spacing w:line="360" w:lineRule="auto"/>
              <w:jc w:val="center"/>
              <w:rPr>
                <w:rFonts w:ascii="Times New Roman" w:hAnsi="Times New Roman"/>
              </w:rPr>
            </w:pPr>
            <w:r>
              <w:rPr>
                <w:noProof/>
              </w:rPr>
              <w:pict>
                <v:rect id="_x0000_s1045" style="position:absolute;left:0;text-align:left;margin-left:62.8pt;margin-top:145.75pt;width:110.7pt;height:19.85pt;z-index:251655680" stroked="f">
                  <v:textbox style="mso-next-textbox:#_x0000_s1045">
                    <w:txbxContent>
                      <w:p w:rsidR="005545F3" w:rsidRPr="00182055" w:rsidRDefault="005545F3" w:rsidP="000E2CE3">
                        <w:r w:rsidRPr="00182055">
                          <w:rPr>
                            <w:sz w:val="20"/>
                            <w:szCs w:val="20"/>
                          </w:rPr>
                          <w:t>Relative pressure (P/P</w:t>
                        </w:r>
                        <w:r w:rsidRPr="00182055">
                          <w:rPr>
                            <w:sz w:val="20"/>
                            <w:szCs w:val="20"/>
                            <w:vertAlign w:val="subscript"/>
                          </w:rPr>
                          <w:t>◦</w:t>
                        </w:r>
                        <w:r w:rsidRPr="00182055">
                          <w:rPr>
                            <w:sz w:val="20"/>
                            <w:szCs w:val="20"/>
                          </w:rPr>
                          <w:t>)</w:t>
                        </w:r>
                      </w:p>
                    </w:txbxContent>
                  </v:textbox>
                </v:rect>
              </w:pict>
            </w:r>
            <w:r w:rsidR="00B26327">
              <w:rPr>
                <w:noProof/>
              </w:rPr>
              <w:pict>
                <v:rect id="_x0000_s1049" style="position:absolute;left:0;text-align:left;margin-left:174.4pt;margin-top:5.75pt;width:32.25pt;height:21pt;z-index:251659776" stroked="f">
                  <v:textbox style="mso-next-textbox:#_x0000_s1049">
                    <w:txbxContent>
                      <w:p w:rsidR="005545F3" w:rsidRPr="00BD71A6" w:rsidRDefault="005545F3" w:rsidP="00067394">
                        <w:pPr>
                          <w:jc w:val="right"/>
                        </w:pPr>
                        <w:r w:rsidRPr="00BD71A6">
                          <w:rPr>
                            <w:sz w:val="20"/>
                            <w:szCs w:val="20"/>
                          </w:rPr>
                          <w:t>(d)</w:t>
                        </w:r>
                      </w:p>
                    </w:txbxContent>
                  </v:textbox>
                </v:rect>
              </w:pict>
            </w:r>
            <w:r w:rsidR="00B26327">
              <w:rPr>
                <w:noProof/>
              </w:rPr>
              <w:pict>
                <v:rect id="_x0000_s1041" style="position:absolute;left:0;text-align:left;margin-left:-33.55pt;margin-top:71.8pt;width:117.9pt;height:21.75pt;rotation:90;z-index:251651584" stroked="f">
                  <v:textbox style="layout-flow:vertical;mso-layout-flow-alt:bottom-to-top;mso-next-textbox:#_x0000_s1041">
                    <w:txbxContent>
                      <w:p w:rsidR="005545F3" w:rsidRPr="00182055" w:rsidRDefault="005545F3" w:rsidP="000E2CE3">
                        <w:r w:rsidRPr="00182055">
                          <w:rPr>
                            <w:sz w:val="20"/>
                            <w:szCs w:val="20"/>
                          </w:rPr>
                          <w:t>Volume adsorbed (cm</w:t>
                        </w:r>
                        <w:r w:rsidRPr="00182055">
                          <w:rPr>
                            <w:sz w:val="20"/>
                            <w:szCs w:val="20"/>
                            <w:vertAlign w:val="superscript"/>
                          </w:rPr>
                          <w:t>3</w:t>
                        </w:r>
                        <w:r w:rsidRPr="00182055">
                          <w:rPr>
                            <w:sz w:val="20"/>
                            <w:szCs w:val="20"/>
                          </w:rPr>
                          <w:t>/g)</w:t>
                        </w:r>
                      </w:p>
                    </w:txbxContent>
                  </v:textbox>
                </v:rect>
              </w:pict>
            </w:r>
            <w:r w:rsidR="000E2CE3" w:rsidRPr="00FC45DA">
              <w:rPr>
                <w:noProof/>
              </w:rPr>
              <w:drawing>
                <wp:inline distT="0" distB="0" distL="0" distR="0">
                  <wp:extent cx="2543810" cy="2171700"/>
                  <wp:effectExtent l="0" t="0" r="0" b="0"/>
                  <wp:docPr id="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E2CE3" w:rsidRPr="00386933" w:rsidTr="00B26327">
        <w:trPr>
          <w:trHeight w:val="3158"/>
        </w:trPr>
        <w:tc>
          <w:tcPr>
            <w:tcW w:w="9085" w:type="dxa"/>
            <w:gridSpan w:val="2"/>
          </w:tcPr>
          <w:p w:rsidR="00B26327" w:rsidRDefault="00B26327" w:rsidP="00254637">
            <w:pPr>
              <w:tabs>
                <w:tab w:val="center" w:pos="2032"/>
              </w:tabs>
              <w:jc w:val="center"/>
              <w:rPr>
                <w:noProof/>
              </w:rPr>
            </w:pPr>
          </w:p>
          <w:p w:rsidR="000E2CE3" w:rsidRDefault="00B26327" w:rsidP="00254637">
            <w:pPr>
              <w:tabs>
                <w:tab w:val="center" w:pos="2032"/>
              </w:tabs>
              <w:jc w:val="center"/>
              <w:rPr>
                <w:noProof/>
              </w:rPr>
            </w:pPr>
            <w:r>
              <w:rPr>
                <w:noProof/>
              </w:rPr>
              <w:pict>
                <v:rect id="_x0000_s1050" style="position:absolute;left:0;text-align:left;margin-left:273.75pt;margin-top:5.75pt;width:32.25pt;height:21pt;z-index:251660800;mso-position-horizontal-relative:text;mso-position-vertical-relative:text" stroked="f">
                  <v:textbox style="mso-next-textbox:#_x0000_s1050">
                    <w:txbxContent>
                      <w:p w:rsidR="005545F3" w:rsidRPr="00BD71A6" w:rsidRDefault="005545F3" w:rsidP="00215376">
                        <w:pPr>
                          <w:jc w:val="right"/>
                        </w:pPr>
                        <w:r w:rsidRPr="00BD71A6">
                          <w:rPr>
                            <w:sz w:val="20"/>
                            <w:szCs w:val="20"/>
                          </w:rPr>
                          <w:t>(e)</w:t>
                        </w:r>
                      </w:p>
                    </w:txbxContent>
                  </v:textbox>
                </v:rect>
              </w:pict>
            </w:r>
            <w:r>
              <w:rPr>
                <w:noProof/>
              </w:rPr>
              <w:pict>
                <v:rect id="_x0000_s1052" style="position:absolute;left:0;text-align:left;margin-left:191.5pt;margin-top:142.5pt;width:110.7pt;height:21.75pt;z-index:251662848;mso-position-horizontal-relative:text;mso-position-vertical-relative:text" stroked="f">
                  <v:textbox style="mso-next-textbox:#_x0000_s1052">
                    <w:txbxContent>
                      <w:p w:rsidR="005545F3" w:rsidRPr="00182055" w:rsidRDefault="005545F3" w:rsidP="000E2CE3">
                        <w:r w:rsidRPr="00182055">
                          <w:rPr>
                            <w:sz w:val="20"/>
                            <w:szCs w:val="20"/>
                          </w:rPr>
                          <w:t>Relative pressure (P/P</w:t>
                        </w:r>
                        <w:r w:rsidRPr="00182055">
                          <w:rPr>
                            <w:sz w:val="20"/>
                            <w:szCs w:val="20"/>
                            <w:vertAlign w:val="subscript"/>
                          </w:rPr>
                          <w:t>◦</w:t>
                        </w:r>
                        <w:r w:rsidRPr="00182055">
                          <w:rPr>
                            <w:sz w:val="20"/>
                            <w:szCs w:val="20"/>
                          </w:rPr>
                          <w:t>)</w:t>
                        </w:r>
                      </w:p>
                    </w:txbxContent>
                  </v:textbox>
                </v:rect>
              </w:pict>
            </w:r>
            <w:r>
              <w:rPr>
                <w:noProof/>
              </w:rPr>
              <w:pict>
                <v:rect id="_x0000_s1051" style="position:absolute;left:0;text-align:left;margin-left:77.5pt;margin-top:61.55pt;width:117.9pt;height:21.75pt;rotation:90;z-index:251661824;mso-position-horizontal-relative:text;mso-position-vertical-relative:text" stroked="f">
                  <v:textbox style="layout-flow:vertical;mso-layout-flow-alt:bottom-to-top;mso-next-textbox:#_x0000_s1051">
                    <w:txbxContent>
                      <w:p w:rsidR="005545F3" w:rsidRPr="00182055" w:rsidRDefault="005545F3" w:rsidP="000E2CE3">
                        <w:r w:rsidRPr="00182055">
                          <w:rPr>
                            <w:sz w:val="20"/>
                            <w:szCs w:val="20"/>
                          </w:rPr>
                          <w:t>Volume adsorbed (cm</w:t>
                        </w:r>
                        <w:r w:rsidRPr="00182055">
                          <w:rPr>
                            <w:sz w:val="20"/>
                            <w:szCs w:val="20"/>
                            <w:vertAlign w:val="superscript"/>
                          </w:rPr>
                          <w:t>3</w:t>
                        </w:r>
                        <w:r w:rsidRPr="00182055">
                          <w:rPr>
                            <w:sz w:val="20"/>
                            <w:szCs w:val="20"/>
                          </w:rPr>
                          <w:t>/g)</w:t>
                        </w:r>
                      </w:p>
                    </w:txbxContent>
                  </v:textbox>
                </v:rect>
              </w:pict>
            </w:r>
            <w:r w:rsidR="000E2CE3" w:rsidRPr="00B26327">
              <w:rPr>
                <w:noProof/>
                <w:bdr w:val="single" w:sz="4" w:space="0" w:color="auto"/>
              </w:rPr>
              <w:drawing>
                <wp:inline distT="0" distB="0" distL="0" distR="0" wp14:anchorId="725AE0E8" wp14:editId="237306D0">
                  <wp:extent cx="2457450" cy="2124075"/>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1E6D" w:rsidRPr="00182055" w:rsidRDefault="003B1E6D" w:rsidP="00B26327">
            <w:pPr>
              <w:tabs>
                <w:tab w:val="center" w:pos="2032"/>
              </w:tabs>
              <w:rPr>
                <w:noProof/>
              </w:rPr>
            </w:pPr>
          </w:p>
        </w:tc>
      </w:tr>
    </w:tbl>
    <w:p w:rsidR="006D7F3F" w:rsidRPr="000E2CE3" w:rsidRDefault="000E2CE3" w:rsidP="00215376">
      <w:pPr>
        <w:spacing w:after="0" w:line="240" w:lineRule="auto"/>
        <w:ind w:left="851" w:hanging="851"/>
        <w:jc w:val="both"/>
        <w:rPr>
          <w:sz w:val="20"/>
          <w:szCs w:val="20"/>
        </w:rPr>
      </w:pPr>
      <w:r w:rsidRPr="000E2CE3">
        <w:rPr>
          <w:sz w:val="20"/>
          <w:szCs w:val="20"/>
        </w:rPr>
        <w:t xml:space="preserve">Figure </w:t>
      </w:r>
      <w:r w:rsidR="008124C6" w:rsidRPr="000E2CE3">
        <w:rPr>
          <w:sz w:val="20"/>
          <w:szCs w:val="20"/>
        </w:rPr>
        <w:t>3</w:t>
      </w:r>
      <w:r w:rsidR="00215376">
        <w:rPr>
          <w:sz w:val="20"/>
          <w:szCs w:val="20"/>
        </w:rPr>
        <w:t xml:space="preserve">. </w:t>
      </w:r>
      <w:r w:rsidR="003B1E6D">
        <w:rPr>
          <w:sz w:val="20"/>
          <w:szCs w:val="20"/>
        </w:rPr>
        <w:t xml:space="preserve"> </w:t>
      </w:r>
      <w:r w:rsidRPr="000E2CE3">
        <w:rPr>
          <w:sz w:val="20"/>
          <w:szCs w:val="20"/>
        </w:rPr>
        <w:t>BET adsorption-desorption isotherm of (a) Na-SOD, (b) SOD-TDDAB, (c) SOD-TCTAB, (d) SOD-TDTAB and (e) SOD-TO</w:t>
      </w:r>
    </w:p>
    <w:p w:rsidR="006D7F3F" w:rsidRDefault="006D7F3F" w:rsidP="00B26327">
      <w:pPr>
        <w:spacing w:after="120" w:line="240" w:lineRule="auto"/>
        <w:jc w:val="both"/>
        <w:rPr>
          <w:sz w:val="20"/>
          <w:szCs w:val="20"/>
        </w:rPr>
      </w:pPr>
    </w:p>
    <w:p w:rsidR="00215376" w:rsidRDefault="00215376" w:rsidP="00B26327">
      <w:pPr>
        <w:spacing w:after="120" w:line="240" w:lineRule="auto"/>
        <w:jc w:val="center"/>
        <w:rPr>
          <w:sz w:val="20"/>
          <w:szCs w:val="20"/>
        </w:rPr>
      </w:pPr>
      <w:r w:rsidRPr="00FD5BCE">
        <w:rPr>
          <w:sz w:val="20"/>
          <w:szCs w:val="20"/>
        </w:rPr>
        <w:t>Table</w:t>
      </w:r>
      <w:r>
        <w:rPr>
          <w:sz w:val="20"/>
          <w:szCs w:val="20"/>
        </w:rPr>
        <w:t xml:space="preserve"> 2. </w:t>
      </w:r>
      <w:r w:rsidR="00B26327">
        <w:rPr>
          <w:sz w:val="20"/>
          <w:szCs w:val="20"/>
        </w:rPr>
        <w:t xml:space="preserve"> </w:t>
      </w:r>
      <w:r w:rsidRPr="00FD5BCE">
        <w:rPr>
          <w:rFonts w:cs="Times New Roman"/>
          <w:sz w:val="20"/>
          <w:szCs w:val="20"/>
        </w:rPr>
        <w:t>N</w:t>
      </w:r>
      <w:r w:rsidRPr="00FD5BCE">
        <w:rPr>
          <w:rFonts w:cs="Times New Roman"/>
          <w:sz w:val="20"/>
          <w:szCs w:val="20"/>
          <w:vertAlign w:val="subscript"/>
        </w:rPr>
        <w:t>2</w:t>
      </w:r>
      <w:r w:rsidRPr="00FD5BCE">
        <w:rPr>
          <w:rFonts w:cs="Times New Roman"/>
          <w:sz w:val="20"/>
          <w:szCs w:val="20"/>
        </w:rPr>
        <w:t xml:space="preserve"> adsorption-desorption data of all SOD samples</w:t>
      </w:r>
      <w:bookmarkStart w:id="0" w:name="_GoBack"/>
      <w:bookmarkEnd w:id="0"/>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581"/>
        <w:gridCol w:w="1435"/>
        <w:gridCol w:w="1801"/>
        <w:gridCol w:w="1537"/>
        <w:gridCol w:w="1950"/>
      </w:tblGrid>
      <w:tr w:rsidR="00215376" w:rsidRPr="004E0CC3" w:rsidTr="00C84CE8">
        <w:trPr>
          <w:trHeight w:val="585"/>
          <w:jc w:val="center"/>
        </w:trPr>
        <w:tc>
          <w:tcPr>
            <w:tcW w:w="1581" w:type="dxa"/>
            <w:tcBorders>
              <w:bottom w:val="single" w:sz="4" w:space="0" w:color="000000" w:themeColor="text1"/>
            </w:tcBorders>
            <w:vAlign w:val="center"/>
          </w:tcPr>
          <w:p w:rsidR="00215376" w:rsidRPr="00C84CE8" w:rsidRDefault="00215376" w:rsidP="005545F3">
            <w:pPr>
              <w:spacing w:line="360" w:lineRule="auto"/>
              <w:jc w:val="center"/>
              <w:rPr>
                <w:rFonts w:ascii="Times New Roman" w:hAnsi="Times New Roman"/>
                <w:b/>
              </w:rPr>
            </w:pPr>
            <w:r w:rsidRPr="00C84CE8">
              <w:rPr>
                <w:rFonts w:ascii="Times New Roman" w:hAnsi="Times New Roman"/>
                <w:b/>
              </w:rPr>
              <w:t>Samples</w:t>
            </w:r>
          </w:p>
        </w:tc>
        <w:tc>
          <w:tcPr>
            <w:tcW w:w="1435" w:type="dxa"/>
            <w:tcBorders>
              <w:bottom w:val="single" w:sz="4" w:space="0" w:color="000000" w:themeColor="text1"/>
            </w:tcBorders>
          </w:tcPr>
          <w:p w:rsidR="00215376" w:rsidRPr="00C84CE8" w:rsidRDefault="00215376" w:rsidP="005545F3">
            <w:pPr>
              <w:jc w:val="center"/>
              <w:rPr>
                <w:rFonts w:ascii="Times New Roman" w:hAnsi="Times New Roman"/>
                <w:b/>
              </w:rPr>
            </w:pPr>
            <w:r w:rsidRPr="00C84CE8">
              <w:rPr>
                <w:rFonts w:ascii="Times New Roman" w:hAnsi="Times New Roman"/>
                <w:b/>
              </w:rPr>
              <w:t>BET Surface Area, S</w:t>
            </w:r>
            <w:r w:rsidRPr="00C84CE8">
              <w:rPr>
                <w:rFonts w:ascii="Times New Roman" w:hAnsi="Times New Roman"/>
                <w:b/>
                <w:vertAlign w:val="subscript"/>
              </w:rPr>
              <w:t>BET</w:t>
            </w:r>
            <w:r w:rsidRPr="00C84CE8">
              <w:rPr>
                <w:rFonts w:ascii="Times New Roman" w:hAnsi="Times New Roman"/>
                <w:b/>
              </w:rPr>
              <w:t xml:space="preserve"> (m</w:t>
            </w:r>
            <w:r w:rsidRPr="00C84CE8">
              <w:rPr>
                <w:rFonts w:ascii="Times New Roman" w:hAnsi="Times New Roman"/>
                <w:b/>
                <w:vertAlign w:val="superscript"/>
              </w:rPr>
              <w:t>2</w:t>
            </w:r>
            <w:r w:rsidRPr="00C84CE8">
              <w:rPr>
                <w:rFonts w:ascii="Times New Roman" w:hAnsi="Times New Roman"/>
                <w:b/>
              </w:rPr>
              <w:t>/g)</w:t>
            </w:r>
          </w:p>
        </w:tc>
        <w:tc>
          <w:tcPr>
            <w:tcW w:w="1801" w:type="dxa"/>
            <w:tcBorders>
              <w:bottom w:val="single" w:sz="4" w:space="0" w:color="000000" w:themeColor="text1"/>
            </w:tcBorders>
          </w:tcPr>
          <w:p w:rsidR="00C84CE8" w:rsidRPr="00C84CE8" w:rsidRDefault="00215376" w:rsidP="005545F3">
            <w:pPr>
              <w:jc w:val="center"/>
              <w:rPr>
                <w:rFonts w:ascii="Times New Roman" w:hAnsi="Times New Roman"/>
                <w:b/>
              </w:rPr>
            </w:pPr>
            <w:r w:rsidRPr="00C84CE8">
              <w:rPr>
                <w:rFonts w:ascii="Times New Roman" w:hAnsi="Times New Roman"/>
                <w:b/>
              </w:rPr>
              <w:t xml:space="preserve">t-plot </w:t>
            </w:r>
          </w:p>
          <w:p w:rsidR="00C84CE8" w:rsidRPr="00C84CE8" w:rsidRDefault="00215376" w:rsidP="005545F3">
            <w:pPr>
              <w:jc w:val="center"/>
              <w:rPr>
                <w:rFonts w:ascii="Times New Roman" w:hAnsi="Times New Roman"/>
                <w:b/>
              </w:rPr>
            </w:pPr>
            <w:r w:rsidRPr="00C84CE8">
              <w:rPr>
                <w:rFonts w:ascii="Times New Roman" w:hAnsi="Times New Roman"/>
                <w:b/>
              </w:rPr>
              <w:t xml:space="preserve">Micropore Area </w:t>
            </w:r>
          </w:p>
          <w:p w:rsidR="00215376" w:rsidRPr="00C84CE8" w:rsidRDefault="00215376" w:rsidP="005545F3">
            <w:pPr>
              <w:jc w:val="center"/>
              <w:rPr>
                <w:rFonts w:ascii="Times New Roman" w:hAnsi="Times New Roman"/>
                <w:b/>
              </w:rPr>
            </w:pPr>
            <w:r w:rsidRPr="00C84CE8">
              <w:rPr>
                <w:rFonts w:ascii="Times New Roman" w:hAnsi="Times New Roman"/>
                <w:b/>
              </w:rPr>
              <w:t>(m</w:t>
            </w:r>
            <w:r w:rsidRPr="00C84CE8">
              <w:rPr>
                <w:rFonts w:ascii="Times New Roman" w:hAnsi="Times New Roman"/>
                <w:b/>
                <w:vertAlign w:val="superscript"/>
              </w:rPr>
              <w:t>2</w:t>
            </w:r>
            <w:r w:rsidRPr="00C84CE8">
              <w:rPr>
                <w:rFonts w:ascii="Times New Roman" w:hAnsi="Times New Roman"/>
                <w:b/>
              </w:rPr>
              <w:t>/g)</w:t>
            </w:r>
          </w:p>
        </w:tc>
        <w:tc>
          <w:tcPr>
            <w:tcW w:w="1537" w:type="dxa"/>
            <w:tcBorders>
              <w:bottom w:val="single" w:sz="4" w:space="0" w:color="000000" w:themeColor="text1"/>
            </w:tcBorders>
          </w:tcPr>
          <w:p w:rsidR="00215376" w:rsidRPr="00C84CE8" w:rsidRDefault="00215376" w:rsidP="005545F3">
            <w:pPr>
              <w:jc w:val="center"/>
              <w:rPr>
                <w:rFonts w:ascii="Times New Roman" w:hAnsi="Times New Roman"/>
                <w:b/>
              </w:rPr>
            </w:pPr>
            <w:r w:rsidRPr="00C84CE8">
              <w:rPr>
                <w:rFonts w:ascii="Times New Roman" w:hAnsi="Times New Roman"/>
                <w:b/>
              </w:rPr>
              <w:t>External Surface Area, S</w:t>
            </w:r>
            <w:r w:rsidRPr="00C84CE8">
              <w:rPr>
                <w:rFonts w:ascii="Times New Roman" w:hAnsi="Times New Roman"/>
                <w:b/>
                <w:vertAlign w:val="subscript"/>
              </w:rPr>
              <w:t>Ext</w:t>
            </w:r>
            <w:r w:rsidRPr="00C84CE8">
              <w:rPr>
                <w:rFonts w:ascii="Times New Roman" w:hAnsi="Times New Roman"/>
                <w:b/>
              </w:rPr>
              <w:t xml:space="preserve"> (m</w:t>
            </w:r>
            <w:r w:rsidRPr="00C84CE8">
              <w:rPr>
                <w:rFonts w:ascii="Times New Roman" w:hAnsi="Times New Roman"/>
                <w:b/>
                <w:vertAlign w:val="superscript"/>
              </w:rPr>
              <w:t>2</w:t>
            </w:r>
            <w:r w:rsidRPr="00C84CE8">
              <w:rPr>
                <w:rFonts w:ascii="Times New Roman" w:hAnsi="Times New Roman"/>
                <w:b/>
              </w:rPr>
              <w:t>/g)</w:t>
            </w:r>
          </w:p>
        </w:tc>
        <w:tc>
          <w:tcPr>
            <w:tcW w:w="1950" w:type="dxa"/>
            <w:tcBorders>
              <w:bottom w:val="single" w:sz="4" w:space="0" w:color="000000" w:themeColor="text1"/>
            </w:tcBorders>
          </w:tcPr>
          <w:p w:rsidR="00215376" w:rsidRPr="00C84CE8" w:rsidRDefault="00215376" w:rsidP="005545F3">
            <w:pPr>
              <w:jc w:val="center"/>
              <w:rPr>
                <w:rFonts w:ascii="Times New Roman" w:hAnsi="Times New Roman"/>
                <w:b/>
              </w:rPr>
            </w:pPr>
            <w:r w:rsidRPr="00C84CE8">
              <w:rPr>
                <w:rFonts w:ascii="Times New Roman" w:hAnsi="Times New Roman"/>
                <w:b/>
              </w:rPr>
              <w:t>BJH Desorption Cumulative Volume of Pores (cm</w:t>
            </w:r>
            <w:r w:rsidRPr="00C84CE8">
              <w:rPr>
                <w:rFonts w:ascii="Times New Roman" w:hAnsi="Times New Roman"/>
                <w:b/>
                <w:vertAlign w:val="superscript"/>
              </w:rPr>
              <w:t>3</w:t>
            </w:r>
            <w:r w:rsidRPr="00C84CE8">
              <w:rPr>
                <w:rFonts w:ascii="Times New Roman" w:hAnsi="Times New Roman"/>
                <w:b/>
              </w:rPr>
              <w:t>/g)</w:t>
            </w:r>
          </w:p>
        </w:tc>
      </w:tr>
      <w:tr w:rsidR="00215376" w:rsidRPr="004E0CC3" w:rsidTr="00067394">
        <w:trPr>
          <w:trHeight w:val="96"/>
          <w:jc w:val="center"/>
        </w:trPr>
        <w:tc>
          <w:tcPr>
            <w:tcW w:w="1581" w:type="dxa"/>
            <w:tcBorders>
              <w:bottom w:val="nil"/>
            </w:tcBorders>
          </w:tcPr>
          <w:p w:rsidR="00215376" w:rsidRPr="004E0CC3" w:rsidRDefault="00215376" w:rsidP="005545F3">
            <w:pPr>
              <w:jc w:val="center"/>
              <w:rPr>
                <w:rFonts w:ascii="Times New Roman" w:hAnsi="Times New Roman"/>
              </w:rPr>
            </w:pPr>
            <w:r w:rsidRPr="004E0CC3">
              <w:rPr>
                <w:rFonts w:ascii="Times New Roman" w:hAnsi="Times New Roman"/>
              </w:rPr>
              <w:t>Na-SOD</w:t>
            </w:r>
          </w:p>
        </w:tc>
        <w:tc>
          <w:tcPr>
            <w:tcW w:w="1435" w:type="dxa"/>
            <w:tcBorders>
              <w:bottom w:val="nil"/>
            </w:tcBorders>
          </w:tcPr>
          <w:p w:rsidR="00215376" w:rsidRPr="004E0CC3" w:rsidRDefault="00215376" w:rsidP="005545F3">
            <w:pPr>
              <w:jc w:val="center"/>
              <w:rPr>
                <w:rFonts w:ascii="Times New Roman" w:hAnsi="Times New Roman"/>
              </w:rPr>
            </w:pPr>
            <w:r w:rsidRPr="004E0CC3">
              <w:rPr>
                <w:rFonts w:ascii="Times New Roman" w:hAnsi="Times New Roman"/>
              </w:rPr>
              <w:t>6.8</w:t>
            </w:r>
          </w:p>
        </w:tc>
        <w:tc>
          <w:tcPr>
            <w:tcW w:w="1801" w:type="dxa"/>
            <w:tcBorders>
              <w:bottom w:val="nil"/>
            </w:tcBorders>
          </w:tcPr>
          <w:p w:rsidR="00215376" w:rsidRPr="004E0CC3" w:rsidRDefault="00215376" w:rsidP="005545F3">
            <w:pPr>
              <w:jc w:val="center"/>
              <w:rPr>
                <w:rFonts w:ascii="Times New Roman" w:hAnsi="Times New Roman"/>
              </w:rPr>
            </w:pPr>
            <w:r w:rsidRPr="004E0CC3">
              <w:rPr>
                <w:rFonts w:ascii="Times New Roman" w:hAnsi="Times New Roman"/>
              </w:rPr>
              <w:t>6.0</w:t>
            </w:r>
          </w:p>
        </w:tc>
        <w:tc>
          <w:tcPr>
            <w:tcW w:w="1537" w:type="dxa"/>
            <w:tcBorders>
              <w:bottom w:val="nil"/>
            </w:tcBorders>
          </w:tcPr>
          <w:p w:rsidR="00215376" w:rsidRPr="004E0CC3" w:rsidRDefault="00215376" w:rsidP="005545F3">
            <w:pPr>
              <w:jc w:val="center"/>
              <w:rPr>
                <w:rFonts w:ascii="Times New Roman" w:hAnsi="Times New Roman"/>
              </w:rPr>
            </w:pPr>
            <w:r w:rsidRPr="004E0CC3">
              <w:rPr>
                <w:rFonts w:ascii="Times New Roman" w:hAnsi="Times New Roman"/>
              </w:rPr>
              <w:t>0.8</w:t>
            </w:r>
          </w:p>
        </w:tc>
        <w:tc>
          <w:tcPr>
            <w:tcW w:w="1950" w:type="dxa"/>
            <w:tcBorders>
              <w:bottom w:val="nil"/>
            </w:tcBorders>
          </w:tcPr>
          <w:p w:rsidR="00215376" w:rsidRPr="004E0CC3" w:rsidRDefault="00215376" w:rsidP="005545F3">
            <w:pPr>
              <w:jc w:val="center"/>
              <w:rPr>
                <w:rFonts w:ascii="Times New Roman" w:hAnsi="Times New Roman"/>
              </w:rPr>
            </w:pPr>
            <w:r w:rsidRPr="004E0CC3">
              <w:rPr>
                <w:rFonts w:ascii="Times New Roman" w:hAnsi="Times New Roman"/>
              </w:rPr>
              <w:t>0.007</w:t>
            </w:r>
          </w:p>
        </w:tc>
      </w:tr>
      <w:tr w:rsidR="00215376" w:rsidRPr="004E0CC3" w:rsidTr="00067394">
        <w:trPr>
          <w:trHeight w:val="151"/>
          <w:jc w:val="center"/>
        </w:trPr>
        <w:tc>
          <w:tcPr>
            <w:tcW w:w="1581"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SOD-TDDAB</w:t>
            </w:r>
          </w:p>
        </w:tc>
        <w:tc>
          <w:tcPr>
            <w:tcW w:w="1435"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3.3</w:t>
            </w:r>
          </w:p>
        </w:tc>
        <w:tc>
          <w:tcPr>
            <w:tcW w:w="1801"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2.4</w:t>
            </w:r>
          </w:p>
        </w:tc>
        <w:tc>
          <w:tcPr>
            <w:tcW w:w="1537"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0.9</w:t>
            </w:r>
          </w:p>
        </w:tc>
        <w:tc>
          <w:tcPr>
            <w:tcW w:w="1950"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0.012</w:t>
            </w:r>
          </w:p>
        </w:tc>
      </w:tr>
      <w:tr w:rsidR="00215376" w:rsidRPr="004E0CC3" w:rsidTr="00067394">
        <w:trPr>
          <w:trHeight w:val="70"/>
          <w:jc w:val="center"/>
        </w:trPr>
        <w:tc>
          <w:tcPr>
            <w:tcW w:w="1581"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SOD-TCTAB</w:t>
            </w:r>
          </w:p>
        </w:tc>
        <w:tc>
          <w:tcPr>
            <w:tcW w:w="1435"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6.8</w:t>
            </w:r>
          </w:p>
        </w:tc>
        <w:tc>
          <w:tcPr>
            <w:tcW w:w="1801"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5.8</w:t>
            </w:r>
          </w:p>
        </w:tc>
        <w:tc>
          <w:tcPr>
            <w:tcW w:w="1537"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0.9</w:t>
            </w:r>
          </w:p>
        </w:tc>
        <w:tc>
          <w:tcPr>
            <w:tcW w:w="1950"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0.051</w:t>
            </w:r>
          </w:p>
        </w:tc>
      </w:tr>
      <w:tr w:rsidR="00215376" w:rsidRPr="004E0CC3" w:rsidTr="00067394">
        <w:trPr>
          <w:trHeight w:val="116"/>
          <w:jc w:val="center"/>
        </w:trPr>
        <w:tc>
          <w:tcPr>
            <w:tcW w:w="1581"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SOD-TDTAB</w:t>
            </w:r>
          </w:p>
        </w:tc>
        <w:tc>
          <w:tcPr>
            <w:tcW w:w="1435"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9.1</w:t>
            </w:r>
          </w:p>
        </w:tc>
        <w:tc>
          <w:tcPr>
            <w:tcW w:w="1801"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6.6</w:t>
            </w:r>
          </w:p>
        </w:tc>
        <w:tc>
          <w:tcPr>
            <w:tcW w:w="1537"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2.5</w:t>
            </w:r>
          </w:p>
        </w:tc>
        <w:tc>
          <w:tcPr>
            <w:tcW w:w="1950" w:type="dxa"/>
            <w:tcBorders>
              <w:top w:val="nil"/>
              <w:bottom w:val="nil"/>
            </w:tcBorders>
          </w:tcPr>
          <w:p w:rsidR="00215376" w:rsidRPr="004E0CC3" w:rsidRDefault="00215376" w:rsidP="005545F3">
            <w:pPr>
              <w:jc w:val="center"/>
              <w:rPr>
                <w:rFonts w:ascii="Times New Roman" w:hAnsi="Times New Roman"/>
              </w:rPr>
            </w:pPr>
            <w:r w:rsidRPr="004E0CC3">
              <w:rPr>
                <w:rFonts w:ascii="Times New Roman" w:hAnsi="Times New Roman"/>
              </w:rPr>
              <w:t>0.049</w:t>
            </w:r>
          </w:p>
        </w:tc>
      </w:tr>
      <w:tr w:rsidR="00215376" w:rsidRPr="004E0CC3" w:rsidTr="00067394">
        <w:trPr>
          <w:trHeight w:val="70"/>
          <w:jc w:val="center"/>
        </w:trPr>
        <w:tc>
          <w:tcPr>
            <w:tcW w:w="1581" w:type="dxa"/>
            <w:tcBorders>
              <w:top w:val="nil"/>
            </w:tcBorders>
          </w:tcPr>
          <w:p w:rsidR="00215376" w:rsidRPr="004E0CC3" w:rsidRDefault="00215376" w:rsidP="005545F3">
            <w:pPr>
              <w:jc w:val="center"/>
              <w:rPr>
                <w:rFonts w:ascii="Times New Roman" w:hAnsi="Times New Roman"/>
              </w:rPr>
            </w:pPr>
            <w:r w:rsidRPr="004E0CC3">
              <w:rPr>
                <w:rFonts w:ascii="Times New Roman" w:hAnsi="Times New Roman"/>
              </w:rPr>
              <w:t>SOD-TO</w:t>
            </w:r>
          </w:p>
        </w:tc>
        <w:tc>
          <w:tcPr>
            <w:tcW w:w="1435" w:type="dxa"/>
            <w:tcBorders>
              <w:top w:val="nil"/>
            </w:tcBorders>
          </w:tcPr>
          <w:p w:rsidR="00215376" w:rsidRPr="004E0CC3" w:rsidRDefault="00215376" w:rsidP="005545F3">
            <w:pPr>
              <w:jc w:val="center"/>
              <w:rPr>
                <w:rFonts w:ascii="Times New Roman" w:hAnsi="Times New Roman"/>
              </w:rPr>
            </w:pPr>
            <w:r w:rsidRPr="004E0CC3">
              <w:rPr>
                <w:rFonts w:ascii="Times New Roman" w:hAnsi="Times New Roman"/>
              </w:rPr>
              <w:t>94.2</w:t>
            </w:r>
          </w:p>
        </w:tc>
        <w:tc>
          <w:tcPr>
            <w:tcW w:w="1801" w:type="dxa"/>
            <w:tcBorders>
              <w:top w:val="nil"/>
            </w:tcBorders>
          </w:tcPr>
          <w:p w:rsidR="00215376" w:rsidRPr="004E0CC3" w:rsidRDefault="00215376" w:rsidP="005545F3">
            <w:pPr>
              <w:jc w:val="center"/>
              <w:rPr>
                <w:rFonts w:ascii="Times New Roman" w:hAnsi="Times New Roman"/>
              </w:rPr>
            </w:pPr>
            <w:r w:rsidRPr="004E0CC3">
              <w:rPr>
                <w:rFonts w:ascii="Times New Roman" w:hAnsi="Times New Roman"/>
              </w:rPr>
              <w:t>19.2</w:t>
            </w:r>
          </w:p>
        </w:tc>
        <w:tc>
          <w:tcPr>
            <w:tcW w:w="1537" w:type="dxa"/>
            <w:tcBorders>
              <w:top w:val="nil"/>
            </w:tcBorders>
          </w:tcPr>
          <w:p w:rsidR="00215376" w:rsidRPr="004E0CC3" w:rsidRDefault="00215376" w:rsidP="005545F3">
            <w:pPr>
              <w:jc w:val="center"/>
              <w:rPr>
                <w:rFonts w:ascii="Times New Roman" w:hAnsi="Times New Roman"/>
              </w:rPr>
            </w:pPr>
            <w:r w:rsidRPr="004E0CC3">
              <w:rPr>
                <w:rFonts w:ascii="Times New Roman" w:hAnsi="Times New Roman"/>
              </w:rPr>
              <w:t>75.0</w:t>
            </w:r>
          </w:p>
        </w:tc>
        <w:tc>
          <w:tcPr>
            <w:tcW w:w="1950" w:type="dxa"/>
            <w:tcBorders>
              <w:top w:val="nil"/>
            </w:tcBorders>
          </w:tcPr>
          <w:p w:rsidR="00215376" w:rsidRPr="004E0CC3" w:rsidRDefault="00215376" w:rsidP="005545F3">
            <w:pPr>
              <w:jc w:val="center"/>
              <w:rPr>
                <w:rFonts w:ascii="Times New Roman" w:hAnsi="Times New Roman"/>
              </w:rPr>
            </w:pPr>
            <w:r w:rsidRPr="004E0CC3">
              <w:rPr>
                <w:rFonts w:ascii="Times New Roman" w:hAnsi="Times New Roman"/>
              </w:rPr>
              <w:t>0.285</w:t>
            </w:r>
          </w:p>
        </w:tc>
      </w:tr>
    </w:tbl>
    <w:p w:rsidR="00215376" w:rsidRPr="004E0CC3" w:rsidRDefault="00215376" w:rsidP="00215376">
      <w:pPr>
        <w:spacing w:after="0" w:line="240" w:lineRule="auto"/>
        <w:jc w:val="both"/>
        <w:rPr>
          <w:sz w:val="20"/>
          <w:szCs w:val="20"/>
        </w:rPr>
      </w:pPr>
    </w:p>
    <w:p w:rsidR="00215376" w:rsidRDefault="00215376" w:rsidP="00006FDE">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4500"/>
      </w:tblGrid>
      <w:tr w:rsidR="000E2CE3" w:rsidRPr="007E4447" w:rsidTr="00AB3C73">
        <w:tc>
          <w:tcPr>
            <w:tcW w:w="4608" w:type="dxa"/>
          </w:tcPr>
          <w:p w:rsidR="000E2CE3" w:rsidRPr="007E4447" w:rsidRDefault="00B26327" w:rsidP="00067394">
            <w:pPr>
              <w:spacing w:line="360" w:lineRule="auto"/>
              <w:jc w:val="right"/>
              <w:rPr>
                <w:rFonts w:ascii="Times New Roman" w:hAnsi="Times New Roman"/>
              </w:rPr>
            </w:pPr>
            <w:r>
              <w:rPr>
                <w:noProof/>
              </w:rPr>
              <w:pict>
                <v:rect id="_x0000_s1058" style="position:absolute;left:0;text-align:left;margin-left:182.45pt;margin-top:4pt;width:32.25pt;height:21pt;z-index:251668992" stroked="f" strokecolor="black [3213]">
                  <v:textbox style="mso-next-textbox:#_x0000_s1058">
                    <w:txbxContent>
                      <w:p w:rsidR="005545F3" w:rsidRPr="00BD71A6" w:rsidRDefault="005545F3" w:rsidP="00A14EB9">
                        <w:pPr>
                          <w:jc w:val="right"/>
                        </w:pPr>
                        <w:r w:rsidRPr="00BD71A6">
                          <w:rPr>
                            <w:sz w:val="20"/>
                            <w:szCs w:val="20"/>
                          </w:rPr>
                          <w:t>(a)</w:t>
                        </w:r>
                      </w:p>
                    </w:txbxContent>
                  </v:textbox>
                </v:rect>
              </w:pict>
            </w:r>
            <w:r>
              <w:rPr>
                <w:noProof/>
              </w:rPr>
              <w:pict>
                <v:rect id="_x0000_s1053" style="position:absolute;left:0;text-align:left;margin-left:75.65pt;margin-top:151.95pt;width:113.7pt;height:18pt;z-index:251663872" stroked="f" strokecolor="black [3213]">
                  <v:textbox style="mso-next-textbox:#_x0000_s1053">
                    <w:txbxContent>
                      <w:p w:rsidR="005545F3" w:rsidRPr="007E4447" w:rsidRDefault="005545F3" w:rsidP="000E2CE3">
                        <w:pPr>
                          <w:jc w:val="center"/>
                        </w:pPr>
                        <w:r w:rsidRPr="007E4447">
                          <w:rPr>
                            <w:sz w:val="20"/>
                            <w:szCs w:val="20"/>
                          </w:rPr>
                          <w:t>Pore diameter (Å)</w:t>
                        </w:r>
                      </w:p>
                    </w:txbxContent>
                  </v:textbox>
                </v:rect>
              </w:pict>
            </w:r>
            <w:r>
              <w:rPr>
                <w:noProof/>
              </w:rPr>
              <w:pict>
                <v:rect id="_x0000_s1054" style="position:absolute;left:0;text-align:left;margin-left:-18.85pt;margin-top:65.2pt;width:117.75pt;height:21.75pt;rotation:90;z-index:251664896" stroked="f" strokecolor="black [3213]">
                  <v:textbox style="layout-flow:vertical;mso-layout-flow-alt:bottom-to-top;mso-next-textbox:#_x0000_s1054">
                    <w:txbxContent>
                      <w:p w:rsidR="005545F3" w:rsidRPr="007E4447" w:rsidRDefault="005545F3" w:rsidP="000E2CE3">
                        <w:r w:rsidRPr="007E4447">
                          <w:rPr>
                            <w:sz w:val="20"/>
                            <w:szCs w:val="20"/>
                          </w:rPr>
                          <w:t>Pore volume (cm</w:t>
                        </w:r>
                        <w:r w:rsidRPr="007E4447">
                          <w:rPr>
                            <w:sz w:val="20"/>
                            <w:szCs w:val="20"/>
                            <w:vertAlign w:val="superscript"/>
                          </w:rPr>
                          <w:t>3</w:t>
                        </w:r>
                        <w:r w:rsidRPr="007E4447">
                          <w:rPr>
                            <w:sz w:val="20"/>
                            <w:szCs w:val="20"/>
                          </w:rPr>
                          <w:t>/g)</w:t>
                        </w:r>
                      </w:p>
                    </w:txbxContent>
                  </v:textbox>
                </v:rect>
              </w:pict>
            </w:r>
            <w:r w:rsidR="000E2CE3" w:rsidRPr="007E4447">
              <w:rPr>
                <w:noProof/>
              </w:rPr>
              <w:drawing>
                <wp:inline distT="0" distB="0" distL="0" distR="0">
                  <wp:extent cx="2448000" cy="2219325"/>
                  <wp:effectExtent l="0" t="0" r="0"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E2CE3" w:rsidRPr="007E4447" w:rsidRDefault="000E2CE3" w:rsidP="00254637">
            <w:pPr>
              <w:spacing w:line="360" w:lineRule="auto"/>
              <w:jc w:val="center"/>
              <w:rPr>
                <w:rFonts w:ascii="Times New Roman" w:hAnsi="Times New Roman"/>
              </w:rPr>
            </w:pPr>
          </w:p>
        </w:tc>
        <w:tc>
          <w:tcPr>
            <w:tcW w:w="4500" w:type="dxa"/>
          </w:tcPr>
          <w:p w:rsidR="000E2CE3" w:rsidRPr="007E4447" w:rsidRDefault="00B26327" w:rsidP="00254637">
            <w:pPr>
              <w:spacing w:line="360" w:lineRule="auto"/>
              <w:rPr>
                <w:rFonts w:ascii="Times New Roman" w:hAnsi="Times New Roman"/>
              </w:rPr>
            </w:pPr>
            <w:r>
              <w:rPr>
                <w:noProof/>
              </w:rPr>
              <w:pict>
                <v:rect id="_x0000_s1059" style="position:absolute;margin-left:54.05pt;margin-top:150.55pt;width:104.15pt;height:21.05pt;z-index:251670016;mso-position-horizontal-relative:text;mso-position-vertical-relative:text" stroked="f" strokecolor="black [3213]">
                  <v:textbox style="mso-next-textbox:#_x0000_s1059">
                    <w:txbxContent>
                      <w:p w:rsidR="005545F3" w:rsidRPr="007E4447" w:rsidRDefault="005545F3" w:rsidP="000E2CE3">
                        <w:pPr>
                          <w:jc w:val="center"/>
                        </w:pPr>
                        <w:r w:rsidRPr="007E4447">
                          <w:rPr>
                            <w:sz w:val="20"/>
                            <w:szCs w:val="20"/>
                          </w:rPr>
                          <w:t>Pore diameter (Å)</w:t>
                        </w:r>
                      </w:p>
                    </w:txbxContent>
                  </v:textbox>
                </v:rect>
              </w:pict>
            </w:r>
            <w:r>
              <w:rPr>
                <w:noProof/>
              </w:rPr>
              <w:pict>
                <v:rect id="_x0000_s1055" style="position:absolute;margin-left:163.85pt;margin-top:2.75pt;width:32.25pt;height:21pt;z-index:251665920;mso-position-horizontal-relative:text;mso-position-vertical-relative:text" stroked="f" strokecolor="black [3213]">
                  <v:textbox style="mso-next-textbox:#_x0000_s1055">
                    <w:txbxContent>
                      <w:p w:rsidR="005545F3" w:rsidRPr="00BD71A6" w:rsidRDefault="005545F3" w:rsidP="00A14EB9">
                        <w:pPr>
                          <w:jc w:val="right"/>
                        </w:pPr>
                        <w:r w:rsidRPr="00BD71A6">
                          <w:rPr>
                            <w:sz w:val="20"/>
                            <w:szCs w:val="20"/>
                          </w:rPr>
                          <w:t>(b)</w:t>
                        </w:r>
                      </w:p>
                    </w:txbxContent>
                  </v:textbox>
                </v:rect>
              </w:pict>
            </w:r>
            <w:r>
              <w:rPr>
                <w:noProof/>
              </w:rPr>
              <w:pict>
                <v:rect id="_x0000_s1064" style="position:absolute;margin-left:-36.25pt;margin-top:67.1pt;width:100.65pt;height:21.75pt;rotation:90;z-index:251674112;mso-position-horizontal-relative:text;mso-position-vertical-relative:text" stroked="f" strokecolor="black [3213]">
                  <v:textbox style="layout-flow:vertical;mso-layout-flow-alt:bottom-to-top;mso-next-textbox:#_x0000_s1064">
                    <w:txbxContent>
                      <w:p w:rsidR="005545F3" w:rsidRPr="007E4447" w:rsidRDefault="005545F3" w:rsidP="000E2CE3">
                        <w:r w:rsidRPr="007E4447">
                          <w:rPr>
                            <w:sz w:val="20"/>
                            <w:szCs w:val="20"/>
                          </w:rPr>
                          <w:t>Pore volume (cm</w:t>
                        </w:r>
                        <w:r w:rsidRPr="007E4447">
                          <w:rPr>
                            <w:sz w:val="20"/>
                            <w:szCs w:val="20"/>
                            <w:vertAlign w:val="superscript"/>
                          </w:rPr>
                          <w:t>3</w:t>
                        </w:r>
                        <w:r w:rsidRPr="007E4447">
                          <w:rPr>
                            <w:sz w:val="20"/>
                            <w:szCs w:val="20"/>
                          </w:rPr>
                          <w:t>/g)</w:t>
                        </w:r>
                      </w:p>
                    </w:txbxContent>
                  </v:textbox>
                </v:rect>
              </w:pict>
            </w:r>
            <w:r w:rsidR="00A14EB9" w:rsidRPr="00A81B81">
              <w:rPr>
                <w:noProof/>
              </w:rPr>
              <w:drawing>
                <wp:inline distT="0" distB="0" distL="0" distR="0" wp14:anchorId="59198EE7" wp14:editId="448C10C1">
                  <wp:extent cx="2520000" cy="2219325"/>
                  <wp:effectExtent l="0" t="0" r="0" b="0"/>
                  <wp:docPr id="2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E2CE3" w:rsidRDefault="000E2CE3" w:rsidP="00254637">
            <w:pPr>
              <w:spacing w:line="360" w:lineRule="auto"/>
              <w:jc w:val="center"/>
              <w:rPr>
                <w:rFonts w:ascii="Times New Roman" w:hAnsi="Times New Roman"/>
              </w:rPr>
            </w:pPr>
          </w:p>
          <w:p w:rsidR="000E2CE3" w:rsidRPr="007E4447" w:rsidRDefault="000E2CE3" w:rsidP="00A14EB9">
            <w:pPr>
              <w:rPr>
                <w:rFonts w:ascii="Times New Roman" w:hAnsi="Times New Roman"/>
              </w:rPr>
            </w:pPr>
          </w:p>
        </w:tc>
      </w:tr>
      <w:tr w:rsidR="000E2CE3" w:rsidRPr="007E4447" w:rsidTr="00AB3C73">
        <w:tc>
          <w:tcPr>
            <w:tcW w:w="4608" w:type="dxa"/>
          </w:tcPr>
          <w:p w:rsidR="000E2CE3" w:rsidRPr="007E4447" w:rsidRDefault="000E2CE3" w:rsidP="00254637">
            <w:pPr>
              <w:spacing w:line="360" w:lineRule="auto"/>
              <w:rPr>
                <w:rFonts w:ascii="Times New Roman" w:hAnsi="Times New Roman"/>
              </w:rPr>
            </w:pPr>
          </w:p>
          <w:p w:rsidR="000E2CE3" w:rsidRPr="00BD71A6" w:rsidRDefault="00B26327" w:rsidP="006E1C70">
            <w:pPr>
              <w:spacing w:line="360" w:lineRule="auto"/>
              <w:jc w:val="right"/>
              <w:rPr>
                <w:rFonts w:ascii="Times New Roman" w:hAnsi="Times New Roman"/>
              </w:rPr>
            </w:pPr>
            <w:r>
              <w:rPr>
                <w:noProof/>
              </w:rPr>
              <w:lastRenderedPageBreak/>
              <w:pict>
                <v:rect id="_x0000_s1062" style="position:absolute;left:0;text-align:left;margin-left:-17.2pt;margin-top:72.9pt;width:101.4pt;height:18.65pt;rotation:90;z-index:251672064" stroked="f" strokecolor="black [3213]">
                  <v:textbox style="layout-flow:vertical;mso-layout-flow-alt:bottom-to-top;mso-next-textbox:#_x0000_s1062">
                    <w:txbxContent>
                      <w:p w:rsidR="005545F3" w:rsidRPr="007E4447" w:rsidRDefault="005545F3" w:rsidP="000E2CE3">
                        <w:r w:rsidRPr="007E4447">
                          <w:rPr>
                            <w:sz w:val="20"/>
                            <w:szCs w:val="20"/>
                          </w:rPr>
                          <w:t>Pore volume (cm</w:t>
                        </w:r>
                        <w:r w:rsidRPr="007E4447">
                          <w:rPr>
                            <w:sz w:val="20"/>
                            <w:szCs w:val="20"/>
                            <w:vertAlign w:val="superscript"/>
                          </w:rPr>
                          <w:t>3</w:t>
                        </w:r>
                        <w:r w:rsidRPr="007E4447">
                          <w:rPr>
                            <w:sz w:val="20"/>
                            <w:szCs w:val="20"/>
                          </w:rPr>
                          <w:t>/g)</w:t>
                        </w:r>
                      </w:p>
                    </w:txbxContent>
                  </v:textbox>
                </v:rect>
              </w:pict>
            </w:r>
            <w:r>
              <w:rPr>
                <w:noProof/>
              </w:rPr>
              <w:pict>
                <v:rect id="_x0000_s1056" style="position:absolute;left:0;text-align:left;margin-left:179.3pt;margin-top:7.05pt;width:32.25pt;height:21pt;z-index:251666944" stroked="f" strokecolor="black [3213]">
                  <v:textbox style="mso-next-textbox:#_x0000_s1056">
                    <w:txbxContent>
                      <w:p w:rsidR="005545F3" w:rsidRPr="00BD71A6" w:rsidRDefault="005545F3" w:rsidP="00A14EB9">
                        <w:pPr>
                          <w:jc w:val="right"/>
                        </w:pPr>
                        <w:r w:rsidRPr="00BD71A6">
                          <w:rPr>
                            <w:sz w:val="20"/>
                            <w:szCs w:val="20"/>
                          </w:rPr>
                          <w:t>(c)</w:t>
                        </w:r>
                      </w:p>
                    </w:txbxContent>
                  </v:textbox>
                </v:rect>
              </w:pict>
            </w:r>
            <w:r>
              <w:rPr>
                <w:noProof/>
              </w:rPr>
              <w:pict>
                <v:rect id="_x0000_s1061" style="position:absolute;left:0;text-align:left;margin-left:90.4pt;margin-top:151.15pt;width:100.15pt;height:17.2pt;z-index:251671040" stroked="f" strokecolor="black [3213]">
                  <v:textbox style="mso-next-textbox:#_x0000_s1061">
                    <w:txbxContent>
                      <w:p w:rsidR="005545F3" w:rsidRPr="007E4447" w:rsidRDefault="005545F3" w:rsidP="000E2CE3">
                        <w:pPr>
                          <w:jc w:val="center"/>
                        </w:pPr>
                        <w:r w:rsidRPr="007E4447">
                          <w:rPr>
                            <w:sz w:val="20"/>
                            <w:szCs w:val="20"/>
                          </w:rPr>
                          <w:t>Pore diameter (Å)</w:t>
                        </w:r>
                      </w:p>
                    </w:txbxContent>
                  </v:textbox>
                </v:rect>
              </w:pict>
            </w:r>
            <w:r w:rsidR="000E2CE3" w:rsidRPr="007E4447">
              <w:rPr>
                <w:noProof/>
              </w:rPr>
              <w:drawing>
                <wp:inline distT="0" distB="0" distL="0" distR="0">
                  <wp:extent cx="2520000" cy="2196000"/>
                  <wp:effectExtent l="0" t="0" r="0" b="0"/>
                  <wp:docPr id="3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500" w:type="dxa"/>
          </w:tcPr>
          <w:p w:rsidR="000E2CE3" w:rsidRPr="007E4447" w:rsidRDefault="000E2CE3" w:rsidP="00254637">
            <w:pPr>
              <w:spacing w:line="360" w:lineRule="auto"/>
              <w:rPr>
                <w:rFonts w:ascii="Times New Roman" w:hAnsi="Times New Roman"/>
              </w:rPr>
            </w:pPr>
          </w:p>
          <w:p w:rsidR="000E2CE3" w:rsidRPr="007E4447" w:rsidRDefault="000E2CE3" w:rsidP="00254637">
            <w:pPr>
              <w:spacing w:line="360" w:lineRule="auto"/>
              <w:jc w:val="center"/>
              <w:rPr>
                <w:rFonts w:ascii="Times New Roman" w:hAnsi="Times New Roman"/>
              </w:rPr>
            </w:pPr>
          </w:p>
          <w:p w:rsidR="000E2CE3" w:rsidRPr="007E4447" w:rsidRDefault="00B26327" w:rsidP="006E1C70">
            <w:pPr>
              <w:spacing w:line="360" w:lineRule="auto"/>
              <w:rPr>
                <w:rFonts w:ascii="Times New Roman" w:hAnsi="Times New Roman"/>
              </w:rPr>
            </w:pPr>
            <w:r>
              <w:rPr>
                <w:noProof/>
              </w:rPr>
              <w:lastRenderedPageBreak/>
              <w:pict>
                <v:rect id="_x0000_s1074" style="position:absolute;margin-left:-35.6pt;margin-top:66.65pt;width:101.2pt;height:21.75pt;rotation:90;z-index:251678208" stroked="f" strokecolor="black [3213]">
                  <v:textbox style="layout-flow:vertical;mso-layout-flow-alt:bottom-to-top;mso-next-textbox:#_x0000_s1074">
                    <w:txbxContent>
                      <w:p w:rsidR="005545F3" w:rsidRPr="007E4447" w:rsidRDefault="005545F3" w:rsidP="006E1C70">
                        <w:r w:rsidRPr="007E4447">
                          <w:rPr>
                            <w:sz w:val="20"/>
                            <w:szCs w:val="20"/>
                          </w:rPr>
                          <w:t>Pore volume (cm</w:t>
                        </w:r>
                        <w:r w:rsidRPr="007E4447">
                          <w:rPr>
                            <w:sz w:val="20"/>
                            <w:szCs w:val="20"/>
                            <w:vertAlign w:val="superscript"/>
                          </w:rPr>
                          <w:t>3</w:t>
                        </w:r>
                        <w:r w:rsidRPr="007E4447">
                          <w:rPr>
                            <w:sz w:val="20"/>
                            <w:szCs w:val="20"/>
                          </w:rPr>
                          <w:t>/g)</w:t>
                        </w:r>
                      </w:p>
                    </w:txbxContent>
                  </v:textbox>
                </v:rect>
              </w:pict>
            </w:r>
            <w:r>
              <w:rPr>
                <w:noProof/>
              </w:rPr>
              <w:pict>
                <v:rect id="_x0000_s1057" style="position:absolute;margin-left:163.25pt;margin-top:4.05pt;width:32.25pt;height:21pt;z-index:251667968" stroked="f" strokecolor="black [3213]">
                  <v:textbox style="mso-next-textbox:#_x0000_s1057">
                    <w:txbxContent>
                      <w:p w:rsidR="005545F3" w:rsidRPr="00BD71A6" w:rsidRDefault="005545F3" w:rsidP="006E1C70">
                        <w:pPr>
                          <w:jc w:val="right"/>
                        </w:pPr>
                        <w:r w:rsidRPr="00BD71A6">
                          <w:rPr>
                            <w:sz w:val="20"/>
                            <w:szCs w:val="20"/>
                          </w:rPr>
                          <w:t>(d)</w:t>
                        </w:r>
                      </w:p>
                    </w:txbxContent>
                  </v:textbox>
                </v:rect>
              </w:pict>
            </w:r>
            <w:r>
              <w:rPr>
                <w:noProof/>
              </w:rPr>
              <w:pict>
                <v:rect id="_x0000_s1063" style="position:absolute;margin-left:80.35pt;margin-top:151.15pt;width:99.65pt;height:17.2pt;z-index:251673088" stroked="f" strokecolor="black [3213]">
                  <v:textbox style="mso-next-textbox:#_x0000_s1063">
                    <w:txbxContent>
                      <w:p w:rsidR="005545F3" w:rsidRPr="007E4447" w:rsidRDefault="005545F3" w:rsidP="000E2CE3">
                        <w:pPr>
                          <w:jc w:val="center"/>
                        </w:pPr>
                        <w:r w:rsidRPr="007E4447">
                          <w:rPr>
                            <w:sz w:val="20"/>
                            <w:szCs w:val="20"/>
                          </w:rPr>
                          <w:t>Pore diameter (Å)</w:t>
                        </w:r>
                      </w:p>
                    </w:txbxContent>
                  </v:textbox>
                </v:rect>
              </w:pict>
            </w:r>
            <w:r w:rsidR="000E2CE3" w:rsidRPr="007E4447">
              <w:rPr>
                <w:noProof/>
              </w:rPr>
              <w:drawing>
                <wp:inline distT="0" distB="0" distL="0" distR="0">
                  <wp:extent cx="2520000" cy="2196000"/>
                  <wp:effectExtent l="0" t="0" r="0" b="0"/>
                  <wp:docPr id="1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0E2CE3" w:rsidRPr="007E4447" w:rsidTr="00AB3C73">
        <w:tc>
          <w:tcPr>
            <w:tcW w:w="9108" w:type="dxa"/>
            <w:gridSpan w:val="2"/>
          </w:tcPr>
          <w:p w:rsidR="000E2CE3" w:rsidRPr="007E4447" w:rsidRDefault="00B26327" w:rsidP="00254637">
            <w:pPr>
              <w:spacing w:line="360" w:lineRule="auto"/>
              <w:jc w:val="center"/>
              <w:rPr>
                <w:rFonts w:ascii="Times New Roman" w:hAnsi="Times New Roman"/>
                <w:noProof/>
              </w:rPr>
            </w:pPr>
            <w:r>
              <w:rPr>
                <w:noProof/>
              </w:rPr>
              <w:lastRenderedPageBreak/>
              <w:pict>
                <v:rect id="_x0000_s1066" style="position:absolute;left:0;text-align:left;margin-left:87.1pt;margin-top:56.45pt;width:107.05pt;height:21.75pt;rotation:90;z-index:251676160;mso-position-horizontal-relative:text;mso-position-vertical-relative:text" stroked="f" strokecolor="black [3213]">
                  <v:textbox style="layout-flow:vertical;mso-layout-flow-alt:bottom-to-top;mso-next-textbox:#_x0000_s1066">
                    <w:txbxContent>
                      <w:p w:rsidR="005545F3" w:rsidRPr="007E4447" w:rsidRDefault="005545F3" w:rsidP="000E2CE3">
                        <w:r w:rsidRPr="007E4447">
                          <w:rPr>
                            <w:sz w:val="20"/>
                            <w:szCs w:val="20"/>
                          </w:rPr>
                          <w:t>Pore volume (cm</w:t>
                        </w:r>
                        <w:r w:rsidRPr="007E4447">
                          <w:rPr>
                            <w:sz w:val="20"/>
                            <w:szCs w:val="20"/>
                            <w:vertAlign w:val="superscript"/>
                          </w:rPr>
                          <w:t>3</w:t>
                        </w:r>
                        <w:r w:rsidRPr="007E4447">
                          <w:rPr>
                            <w:sz w:val="20"/>
                            <w:szCs w:val="20"/>
                          </w:rPr>
                          <w:t>/g)</w:t>
                        </w:r>
                      </w:p>
                    </w:txbxContent>
                  </v:textbox>
                </v:rect>
              </w:pict>
            </w:r>
            <w:r>
              <w:rPr>
                <w:noProof/>
              </w:rPr>
              <w:pict>
                <v:rect id="_x0000_s1067" style="position:absolute;left:0;text-align:left;margin-left:282.55pt;margin-top:6.05pt;width:32.25pt;height:21pt;z-index:251677184;mso-position-horizontal-relative:text;mso-position-vertical-relative:text" stroked="f" strokecolor="black [3213]">
                  <v:textbox style="mso-next-textbox:#_x0000_s1067">
                    <w:txbxContent>
                      <w:p w:rsidR="005545F3" w:rsidRPr="00BD71A6" w:rsidRDefault="005545F3" w:rsidP="006E1C70">
                        <w:pPr>
                          <w:jc w:val="right"/>
                        </w:pPr>
                        <w:r>
                          <w:rPr>
                            <w:sz w:val="20"/>
                            <w:szCs w:val="20"/>
                          </w:rPr>
                          <w:t>(e</w:t>
                        </w:r>
                        <w:r w:rsidRPr="00BD71A6">
                          <w:rPr>
                            <w:sz w:val="20"/>
                            <w:szCs w:val="20"/>
                          </w:rPr>
                          <w:t>)</w:t>
                        </w:r>
                      </w:p>
                    </w:txbxContent>
                  </v:textbox>
                </v:rect>
              </w:pict>
            </w:r>
            <w:r>
              <w:rPr>
                <w:noProof/>
              </w:rPr>
              <w:pict>
                <v:rect id="_x0000_s1065" style="position:absolute;left:0;text-align:left;margin-left:202.15pt;margin-top:140.75pt;width:103.1pt;height:18pt;z-index:251675136;mso-position-horizontal-relative:text;mso-position-vertical-relative:text" stroked="f" strokecolor="black [3213]">
                  <v:textbox style="mso-next-textbox:#_x0000_s1065">
                    <w:txbxContent>
                      <w:p w:rsidR="005545F3" w:rsidRPr="007E4447" w:rsidRDefault="005545F3" w:rsidP="000E2CE3">
                        <w:pPr>
                          <w:jc w:val="center"/>
                        </w:pPr>
                        <w:r w:rsidRPr="007E4447">
                          <w:rPr>
                            <w:sz w:val="20"/>
                            <w:szCs w:val="20"/>
                          </w:rPr>
                          <w:t>Pore diameter (Å)</w:t>
                        </w:r>
                      </w:p>
                    </w:txbxContent>
                  </v:textbox>
                </v:rect>
              </w:pict>
            </w:r>
            <w:r w:rsidR="000E2CE3" w:rsidRPr="007E4447">
              <w:rPr>
                <w:noProof/>
              </w:rPr>
              <w:drawing>
                <wp:inline distT="0" distB="0" distL="0" distR="0">
                  <wp:extent cx="2520000" cy="2160000"/>
                  <wp:effectExtent l="0" t="0" r="0"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0E2CE3" w:rsidRPr="000E2CE3" w:rsidRDefault="000E2CE3" w:rsidP="006E1C70">
      <w:pPr>
        <w:spacing w:after="0" w:line="240" w:lineRule="auto"/>
        <w:ind w:left="851" w:hanging="851"/>
        <w:jc w:val="both"/>
        <w:rPr>
          <w:sz w:val="20"/>
          <w:szCs w:val="20"/>
        </w:rPr>
      </w:pPr>
      <w:r>
        <w:rPr>
          <w:sz w:val="20"/>
          <w:szCs w:val="20"/>
        </w:rPr>
        <w:t xml:space="preserve">Figure </w:t>
      </w:r>
      <w:r w:rsidR="006E1C70">
        <w:rPr>
          <w:sz w:val="20"/>
          <w:szCs w:val="20"/>
        </w:rPr>
        <w:t xml:space="preserve">4. </w:t>
      </w:r>
      <w:r w:rsidRPr="00C12992">
        <w:rPr>
          <w:sz w:val="20"/>
          <w:szCs w:val="20"/>
        </w:rPr>
        <w:t>BJH pore size distributions of</w:t>
      </w:r>
      <w:r>
        <w:rPr>
          <w:sz w:val="20"/>
          <w:szCs w:val="20"/>
        </w:rPr>
        <w:t xml:space="preserve"> </w:t>
      </w:r>
      <w:r w:rsidRPr="000E2CE3">
        <w:rPr>
          <w:sz w:val="20"/>
          <w:szCs w:val="20"/>
        </w:rPr>
        <w:t>(a) Na-SOD, (b) SOD-TDDAB, (c) SOD-TCTAB, (d) SOD-TDTAB and (e) SOD-TO</w:t>
      </w:r>
    </w:p>
    <w:p w:rsidR="00C12992" w:rsidRDefault="00C12992" w:rsidP="00C12992">
      <w:pPr>
        <w:spacing w:after="0" w:line="240" w:lineRule="auto"/>
        <w:jc w:val="both"/>
        <w:rPr>
          <w:sz w:val="20"/>
          <w:szCs w:val="20"/>
        </w:rPr>
      </w:pPr>
    </w:p>
    <w:p w:rsidR="00C12992" w:rsidRPr="00C12992" w:rsidRDefault="001F6D8A" w:rsidP="00C12992">
      <w:pPr>
        <w:spacing w:after="0" w:line="240" w:lineRule="auto"/>
        <w:jc w:val="both"/>
        <w:rPr>
          <w:sz w:val="20"/>
          <w:szCs w:val="20"/>
        </w:rPr>
      </w:pPr>
      <w:r>
        <w:rPr>
          <w:b/>
          <w:sz w:val="20"/>
          <w:szCs w:val="20"/>
        </w:rPr>
        <w:t>Basicity m</w:t>
      </w:r>
      <w:r w:rsidR="00C12992">
        <w:rPr>
          <w:b/>
          <w:sz w:val="20"/>
          <w:szCs w:val="20"/>
        </w:rPr>
        <w:t>easurements</w:t>
      </w:r>
    </w:p>
    <w:p w:rsidR="00C12992" w:rsidRDefault="00C12992" w:rsidP="00C12992">
      <w:pPr>
        <w:spacing w:after="0" w:line="240" w:lineRule="auto"/>
        <w:jc w:val="both"/>
        <w:rPr>
          <w:sz w:val="20"/>
          <w:szCs w:val="20"/>
        </w:rPr>
      </w:pPr>
      <w:r w:rsidRPr="00C12992">
        <w:rPr>
          <w:sz w:val="20"/>
          <w:szCs w:val="20"/>
        </w:rPr>
        <w:t xml:space="preserve">The basic strength of the SOD samples was estimated by using Hammett indicators. A change in color was observed for bromothymol blue from orange to dark blue and colorless to pink for phenolphthalein indicators. None of the samples were able to change the color of 4-nitroaniline.  Hence, the strength of the basicity of all SOD samples prepared in this study was estimated in the range: 8.2 ≤ pKa ≤ 18.4 as shown in Table 3. </w:t>
      </w:r>
    </w:p>
    <w:p w:rsidR="00AB3C73" w:rsidRDefault="00AB3C73" w:rsidP="001F6D8A">
      <w:pPr>
        <w:spacing w:after="0" w:line="240" w:lineRule="auto"/>
        <w:rPr>
          <w:sz w:val="20"/>
          <w:szCs w:val="20"/>
        </w:rPr>
      </w:pPr>
    </w:p>
    <w:p w:rsidR="00C12992" w:rsidRDefault="00C12992" w:rsidP="00C12992">
      <w:pPr>
        <w:spacing w:after="0" w:line="240" w:lineRule="auto"/>
        <w:jc w:val="center"/>
        <w:rPr>
          <w:rFonts w:cs="Times New Roman"/>
          <w:sz w:val="20"/>
          <w:szCs w:val="20"/>
        </w:rPr>
      </w:pPr>
      <w:r w:rsidRPr="00C12992">
        <w:rPr>
          <w:sz w:val="20"/>
          <w:szCs w:val="20"/>
        </w:rPr>
        <w:t>Table 3</w:t>
      </w:r>
      <w:r w:rsidR="001F6D8A">
        <w:rPr>
          <w:sz w:val="20"/>
          <w:szCs w:val="20"/>
        </w:rPr>
        <w:t xml:space="preserve">. </w:t>
      </w:r>
      <w:r w:rsidRPr="00C12992">
        <w:rPr>
          <w:rFonts w:cs="Times New Roman"/>
          <w:sz w:val="20"/>
          <w:szCs w:val="20"/>
        </w:rPr>
        <w:t>Basic strength of all SOD samples</w:t>
      </w:r>
    </w:p>
    <w:tbl>
      <w:tblPr>
        <w:tblStyle w:val="TableGrid"/>
        <w:tblpPr w:leftFromText="180" w:rightFromText="180" w:vertAnchor="text" w:horzAnchor="margin" w:tblpXSpec="center" w:tblpY="91"/>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372"/>
        <w:gridCol w:w="1844"/>
        <w:gridCol w:w="1617"/>
        <w:gridCol w:w="1383"/>
        <w:gridCol w:w="1569"/>
      </w:tblGrid>
      <w:tr w:rsidR="001F6D8A" w:rsidRPr="00364836" w:rsidTr="001F6D8A">
        <w:trPr>
          <w:trHeight w:val="263"/>
        </w:trPr>
        <w:tc>
          <w:tcPr>
            <w:tcW w:w="0" w:type="auto"/>
            <w:tcBorders>
              <w:bottom w:val="nil"/>
            </w:tcBorders>
          </w:tcPr>
          <w:p w:rsidR="001F6D8A" w:rsidRPr="001F6D8A" w:rsidRDefault="001F6D8A" w:rsidP="001F6D8A">
            <w:pPr>
              <w:jc w:val="center"/>
              <w:rPr>
                <w:rFonts w:ascii="Times New Roman" w:hAnsi="Times New Roman"/>
                <w:b/>
              </w:rPr>
            </w:pPr>
            <w:r w:rsidRPr="001F6D8A">
              <w:rPr>
                <w:rFonts w:ascii="Times New Roman" w:hAnsi="Times New Roman"/>
                <w:b/>
              </w:rPr>
              <w:t>Samples</w:t>
            </w:r>
          </w:p>
        </w:tc>
        <w:tc>
          <w:tcPr>
            <w:tcW w:w="0" w:type="auto"/>
            <w:gridSpan w:val="3"/>
          </w:tcPr>
          <w:p w:rsidR="001F6D8A" w:rsidRPr="001F6D8A" w:rsidRDefault="001F6D8A" w:rsidP="001F6D8A">
            <w:pPr>
              <w:jc w:val="center"/>
              <w:rPr>
                <w:rFonts w:ascii="Times New Roman" w:hAnsi="Times New Roman"/>
                <w:b/>
              </w:rPr>
            </w:pPr>
            <w:r w:rsidRPr="001F6D8A">
              <w:rPr>
                <w:rFonts w:ascii="Times New Roman" w:hAnsi="Times New Roman"/>
                <w:b/>
              </w:rPr>
              <w:t>Hammett Indicators</w:t>
            </w:r>
          </w:p>
        </w:tc>
        <w:tc>
          <w:tcPr>
            <w:tcW w:w="0" w:type="auto"/>
            <w:tcBorders>
              <w:bottom w:val="nil"/>
            </w:tcBorders>
          </w:tcPr>
          <w:p w:rsidR="001F6D8A" w:rsidRPr="001F6D8A" w:rsidRDefault="001F6D8A" w:rsidP="001F6D8A">
            <w:pPr>
              <w:jc w:val="center"/>
              <w:rPr>
                <w:rFonts w:ascii="Times New Roman" w:hAnsi="Times New Roman"/>
                <w:b/>
              </w:rPr>
            </w:pPr>
            <w:r>
              <w:rPr>
                <w:rFonts w:ascii="Times New Roman" w:hAnsi="Times New Roman"/>
                <w:b/>
              </w:rPr>
              <w:t>Basic S</w:t>
            </w:r>
            <w:r w:rsidRPr="001F6D8A">
              <w:rPr>
                <w:rFonts w:ascii="Times New Roman" w:hAnsi="Times New Roman"/>
                <w:b/>
              </w:rPr>
              <w:t xml:space="preserve">trength </w:t>
            </w:r>
          </w:p>
        </w:tc>
      </w:tr>
      <w:tr w:rsidR="001F6D8A" w:rsidRPr="00364836" w:rsidTr="001F6D8A">
        <w:trPr>
          <w:trHeight w:val="245"/>
        </w:trPr>
        <w:tc>
          <w:tcPr>
            <w:tcW w:w="0" w:type="auto"/>
            <w:tcBorders>
              <w:top w:val="nil"/>
              <w:bottom w:val="single" w:sz="4" w:space="0" w:color="000000" w:themeColor="text1"/>
            </w:tcBorders>
          </w:tcPr>
          <w:p w:rsidR="001F6D8A" w:rsidRPr="001F6D8A" w:rsidRDefault="001F6D8A" w:rsidP="001F6D8A">
            <w:pPr>
              <w:jc w:val="center"/>
              <w:rPr>
                <w:rFonts w:ascii="Times New Roman" w:hAnsi="Times New Roman"/>
                <w:b/>
              </w:rPr>
            </w:pPr>
          </w:p>
        </w:tc>
        <w:tc>
          <w:tcPr>
            <w:tcW w:w="0" w:type="auto"/>
            <w:tcBorders>
              <w:bottom w:val="single" w:sz="4" w:space="0" w:color="000000" w:themeColor="text1"/>
            </w:tcBorders>
          </w:tcPr>
          <w:p w:rsidR="001F6D8A" w:rsidRPr="001F6D8A" w:rsidRDefault="001F6D8A" w:rsidP="001F6D8A">
            <w:pPr>
              <w:jc w:val="center"/>
              <w:rPr>
                <w:rFonts w:ascii="Times New Roman" w:hAnsi="Times New Roman"/>
                <w:b/>
              </w:rPr>
            </w:pPr>
            <w:r>
              <w:rPr>
                <w:rFonts w:ascii="Times New Roman" w:hAnsi="Times New Roman"/>
                <w:b/>
              </w:rPr>
              <w:t>Bromothymol B</w:t>
            </w:r>
            <w:r w:rsidRPr="001F6D8A">
              <w:rPr>
                <w:rFonts w:ascii="Times New Roman" w:hAnsi="Times New Roman"/>
                <w:b/>
              </w:rPr>
              <w:t>lue</w:t>
            </w:r>
          </w:p>
        </w:tc>
        <w:tc>
          <w:tcPr>
            <w:tcW w:w="0" w:type="auto"/>
            <w:tcBorders>
              <w:bottom w:val="single" w:sz="4" w:space="0" w:color="000000" w:themeColor="text1"/>
            </w:tcBorders>
          </w:tcPr>
          <w:p w:rsidR="001F6D8A" w:rsidRPr="001F6D8A" w:rsidRDefault="001F6D8A" w:rsidP="001F6D8A">
            <w:pPr>
              <w:jc w:val="center"/>
              <w:rPr>
                <w:rFonts w:ascii="Times New Roman" w:hAnsi="Times New Roman"/>
                <w:b/>
              </w:rPr>
            </w:pPr>
            <w:r w:rsidRPr="001F6D8A">
              <w:rPr>
                <w:rFonts w:ascii="Times New Roman" w:hAnsi="Times New Roman"/>
                <w:b/>
              </w:rPr>
              <w:t>Phenolphthalein</w:t>
            </w:r>
          </w:p>
        </w:tc>
        <w:tc>
          <w:tcPr>
            <w:tcW w:w="0" w:type="auto"/>
            <w:tcBorders>
              <w:bottom w:val="single" w:sz="4" w:space="0" w:color="000000" w:themeColor="text1"/>
            </w:tcBorders>
          </w:tcPr>
          <w:p w:rsidR="001F6D8A" w:rsidRPr="001F6D8A" w:rsidRDefault="001F6D8A" w:rsidP="001F6D8A">
            <w:pPr>
              <w:jc w:val="center"/>
              <w:rPr>
                <w:rFonts w:ascii="Times New Roman" w:hAnsi="Times New Roman"/>
                <w:b/>
              </w:rPr>
            </w:pPr>
            <w:r w:rsidRPr="001F6D8A">
              <w:rPr>
                <w:rFonts w:ascii="Times New Roman" w:hAnsi="Times New Roman"/>
                <w:b/>
              </w:rPr>
              <w:t>4-nitroaniline</w:t>
            </w:r>
          </w:p>
        </w:tc>
        <w:tc>
          <w:tcPr>
            <w:tcW w:w="0" w:type="auto"/>
            <w:tcBorders>
              <w:top w:val="nil"/>
              <w:bottom w:val="single" w:sz="4" w:space="0" w:color="000000" w:themeColor="text1"/>
            </w:tcBorders>
          </w:tcPr>
          <w:p w:rsidR="001F6D8A" w:rsidRPr="001F6D8A" w:rsidRDefault="001F6D8A" w:rsidP="001F6D8A">
            <w:pPr>
              <w:jc w:val="center"/>
              <w:rPr>
                <w:rFonts w:ascii="Times New Roman" w:hAnsi="Times New Roman"/>
                <w:b/>
              </w:rPr>
            </w:pPr>
          </w:p>
        </w:tc>
      </w:tr>
      <w:tr w:rsidR="001F6D8A" w:rsidRPr="00364836" w:rsidTr="001F6D8A">
        <w:trPr>
          <w:trHeight w:val="263"/>
        </w:trPr>
        <w:tc>
          <w:tcPr>
            <w:tcW w:w="0" w:type="auto"/>
            <w:tcBorders>
              <w:bottom w:val="nil"/>
            </w:tcBorders>
          </w:tcPr>
          <w:p w:rsidR="001F6D8A" w:rsidRPr="00C12992" w:rsidRDefault="001F6D8A" w:rsidP="001F6D8A">
            <w:pPr>
              <w:jc w:val="center"/>
              <w:rPr>
                <w:rFonts w:ascii="Times New Roman" w:hAnsi="Times New Roman"/>
              </w:rPr>
            </w:pPr>
            <w:r w:rsidRPr="00C12992">
              <w:rPr>
                <w:rFonts w:ascii="Times New Roman" w:hAnsi="Times New Roman"/>
              </w:rPr>
              <w:t>Na-SOD</w:t>
            </w:r>
          </w:p>
        </w:tc>
        <w:tc>
          <w:tcPr>
            <w:tcW w:w="0" w:type="auto"/>
            <w:tcBorders>
              <w:bottom w:val="nil"/>
            </w:tcBorders>
          </w:tcPr>
          <w:p w:rsidR="001F6D8A" w:rsidRPr="00C12992" w:rsidRDefault="001F6D8A" w:rsidP="001F6D8A">
            <w:pPr>
              <w:jc w:val="center"/>
              <w:rPr>
                <w:rFonts w:ascii="Times New Roman" w:hAnsi="Times New Roman"/>
              </w:rPr>
            </w:pPr>
            <w:r w:rsidRPr="00C12992">
              <w:rPr>
                <w:rFonts w:ascii="Times New Roman" w:hAnsi="Times New Roman"/>
              </w:rPr>
              <w:t xml:space="preserve"> +</w:t>
            </w:r>
            <w:r w:rsidRPr="00C12992">
              <w:rPr>
                <w:rFonts w:ascii="Times New Roman" w:hAnsi="Times New Roman"/>
                <w:vertAlign w:val="superscript"/>
              </w:rPr>
              <w:t>*</w:t>
            </w:r>
          </w:p>
        </w:tc>
        <w:tc>
          <w:tcPr>
            <w:tcW w:w="0" w:type="auto"/>
            <w:tcBorders>
              <w:bottom w:val="nil"/>
            </w:tcBorders>
          </w:tcPr>
          <w:p w:rsidR="001F6D8A" w:rsidRPr="00C12992" w:rsidRDefault="001F6D8A" w:rsidP="001F6D8A">
            <w:pPr>
              <w:jc w:val="center"/>
              <w:rPr>
                <w:rFonts w:ascii="Times New Roman" w:hAnsi="Times New Roman"/>
              </w:rPr>
            </w:pPr>
            <w:r w:rsidRPr="00C12992">
              <w:rPr>
                <w:rFonts w:ascii="Times New Roman" w:hAnsi="Times New Roman"/>
              </w:rPr>
              <w:t>+</w:t>
            </w:r>
          </w:p>
        </w:tc>
        <w:tc>
          <w:tcPr>
            <w:tcW w:w="0" w:type="auto"/>
            <w:tcBorders>
              <w:bottom w:val="nil"/>
            </w:tcBorders>
          </w:tcPr>
          <w:p w:rsidR="001F6D8A" w:rsidRPr="00C12992" w:rsidRDefault="001F6D8A" w:rsidP="001F6D8A">
            <w:pPr>
              <w:jc w:val="center"/>
              <w:rPr>
                <w:rFonts w:ascii="Times New Roman" w:hAnsi="Times New Roman"/>
              </w:rPr>
            </w:pPr>
            <w:r>
              <w:rPr>
                <w:rFonts w:ascii="Times New Roman" w:hAnsi="Times New Roman"/>
              </w:rPr>
              <w:t xml:space="preserve">            </w:t>
            </w:r>
            <w:r w:rsidRPr="00C12992">
              <w:rPr>
                <w:rFonts w:ascii="Times New Roman" w:hAnsi="Times New Roman"/>
              </w:rPr>
              <w:t>-</w:t>
            </w:r>
            <w:r w:rsidRPr="00C12992">
              <w:rPr>
                <w:rFonts w:ascii="Times New Roman" w:hAnsi="Times New Roman"/>
                <w:vertAlign w:val="superscript"/>
              </w:rPr>
              <w:t>*</w:t>
            </w:r>
          </w:p>
        </w:tc>
        <w:tc>
          <w:tcPr>
            <w:tcW w:w="0" w:type="auto"/>
            <w:tcBorders>
              <w:bottom w:val="nil"/>
            </w:tcBorders>
          </w:tcPr>
          <w:p w:rsidR="001F6D8A" w:rsidRPr="00C12992" w:rsidRDefault="001F6D8A" w:rsidP="001F6D8A">
            <w:pPr>
              <w:jc w:val="center"/>
              <w:rPr>
                <w:rFonts w:ascii="Times New Roman" w:hAnsi="Times New Roman"/>
              </w:rPr>
            </w:pPr>
            <w:r w:rsidRPr="00C12992">
              <w:rPr>
                <w:rFonts w:ascii="Times New Roman" w:hAnsi="Times New Roman"/>
              </w:rPr>
              <w:t>8.2 ≤ pKa ≤ 18.4</w:t>
            </w:r>
          </w:p>
        </w:tc>
      </w:tr>
      <w:tr w:rsidR="001F6D8A" w:rsidRPr="00364836" w:rsidTr="001F6D8A">
        <w:trPr>
          <w:trHeight w:val="263"/>
        </w:trPr>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SOD-TDDAB</w:t>
            </w:r>
          </w:p>
        </w:tc>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w:t>
            </w:r>
          </w:p>
        </w:tc>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w:t>
            </w:r>
          </w:p>
        </w:tc>
        <w:tc>
          <w:tcPr>
            <w:tcW w:w="0" w:type="auto"/>
            <w:tcBorders>
              <w:top w:val="nil"/>
              <w:bottom w:val="nil"/>
            </w:tcBorders>
          </w:tcPr>
          <w:p w:rsidR="001F6D8A" w:rsidRPr="00C12992" w:rsidRDefault="001F6D8A" w:rsidP="001F6D8A">
            <w:pPr>
              <w:jc w:val="center"/>
              <w:rPr>
                <w:rFonts w:ascii="Times New Roman" w:hAnsi="Times New Roman"/>
              </w:rPr>
            </w:pPr>
            <w:r>
              <w:rPr>
                <w:rFonts w:ascii="Times New Roman" w:hAnsi="Times New Roman"/>
              </w:rPr>
              <w:t xml:space="preserve">          </w:t>
            </w:r>
            <w:r w:rsidRPr="00C12992">
              <w:rPr>
                <w:rFonts w:ascii="Times New Roman" w:hAnsi="Times New Roman"/>
              </w:rPr>
              <w:t>-</w:t>
            </w:r>
          </w:p>
        </w:tc>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8.2 ≤ pKa ≤ 18.4</w:t>
            </w:r>
          </w:p>
        </w:tc>
      </w:tr>
      <w:tr w:rsidR="001F6D8A" w:rsidRPr="00364836" w:rsidTr="001F6D8A">
        <w:trPr>
          <w:trHeight w:val="263"/>
        </w:trPr>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SOD-TCTAB</w:t>
            </w:r>
          </w:p>
        </w:tc>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w:t>
            </w:r>
          </w:p>
        </w:tc>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w:t>
            </w:r>
          </w:p>
        </w:tc>
        <w:tc>
          <w:tcPr>
            <w:tcW w:w="0" w:type="auto"/>
            <w:tcBorders>
              <w:top w:val="nil"/>
              <w:bottom w:val="nil"/>
            </w:tcBorders>
          </w:tcPr>
          <w:p w:rsidR="001F6D8A" w:rsidRPr="00C12992" w:rsidRDefault="001F6D8A" w:rsidP="001F6D8A">
            <w:pPr>
              <w:jc w:val="center"/>
              <w:rPr>
                <w:rFonts w:ascii="Times New Roman" w:hAnsi="Times New Roman"/>
              </w:rPr>
            </w:pPr>
            <w:r>
              <w:rPr>
                <w:rFonts w:ascii="Times New Roman" w:hAnsi="Times New Roman"/>
              </w:rPr>
              <w:t xml:space="preserve">          </w:t>
            </w:r>
            <w:r w:rsidRPr="00C12992">
              <w:rPr>
                <w:rFonts w:ascii="Times New Roman" w:hAnsi="Times New Roman"/>
              </w:rPr>
              <w:t>-</w:t>
            </w:r>
          </w:p>
        </w:tc>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8.2 ≤ pKa ≤ 18.4</w:t>
            </w:r>
          </w:p>
        </w:tc>
      </w:tr>
      <w:tr w:rsidR="001F6D8A" w:rsidRPr="00364836" w:rsidTr="001F6D8A">
        <w:trPr>
          <w:trHeight w:val="263"/>
        </w:trPr>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SOD-TDTAB</w:t>
            </w:r>
          </w:p>
        </w:tc>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w:t>
            </w:r>
          </w:p>
        </w:tc>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w:t>
            </w:r>
          </w:p>
        </w:tc>
        <w:tc>
          <w:tcPr>
            <w:tcW w:w="0" w:type="auto"/>
            <w:tcBorders>
              <w:top w:val="nil"/>
              <w:bottom w:val="nil"/>
            </w:tcBorders>
          </w:tcPr>
          <w:p w:rsidR="001F6D8A" w:rsidRPr="00C12992" w:rsidRDefault="001F6D8A" w:rsidP="001F6D8A">
            <w:pPr>
              <w:jc w:val="center"/>
              <w:rPr>
                <w:rFonts w:ascii="Times New Roman" w:hAnsi="Times New Roman"/>
              </w:rPr>
            </w:pPr>
            <w:r>
              <w:rPr>
                <w:rFonts w:ascii="Times New Roman" w:hAnsi="Times New Roman"/>
              </w:rPr>
              <w:t xml:space="preserve">          </w:t>
            </w:r>
            <w:r w:rsidRPr="00C12992">
              <w:rPr>
                <w:rFonts w:ascii="Times New Roman" w:hAnsi="Times New Roman"/>
              </w:rPr>
              <w:t>-</w:t>
            </w:r>
          </w:p>
        </w:tc>
        <w:tc>
          <w:tcPr>
            <w:tcW w:w="0" w:type="auto"/>
            <w:tcBorders>
              <w:top w:val="nil"/>
              <w:bottom w:val="nil"/>
            </w:tcBorders>
          </w:tcPr>
          <w:p w:rsidR="001F6D8A" w:rsidRPr="00C12992" w:rsidRDefault="001F6D8A" w:rsidP="001F6D8A">
            <w:pPr>
              <w:jc w:val="center"/>
              <w:rPr>
                <w:rFonts w:ascii="Times New Roman" w:hAnsi="Times New Roman"/>
              </w:rPr>
            </w:pPr>
            <w:r w:rsidRPr="00C12992">
              <w:rPr>
                <w:rFonts w:ascii="Times New Roman" w:hAnsi="Times New Roman"/>
              </w:rPr>
              <w:t>8.2 ≤ pKa ≤ 18.4</w:t>
            </w:r>
          </w:p>
        </w:tc>
      </w:tr>
      <w:tr w:rsidR="001F6D8A" w:rsidRPr="00364836" w:rsidTr="001F6D8A">
        <w:trPr>
          <w:trHeight w:val="96"/>
        </w:trPr>
        <w:tc>
          <w:tcPr>
            <w:tcW w:w="0" w:type="auto"/>
            <w:tcBorders>
              <w:top w:val="nil"/>
            </w:tcBorders>
          </w:tcPr>
          <w:p w:rsidR="001F6D8A" w:rsidRPr="00C12992" w:rsidRDefault="001F6D8A" w:rsidP="001F6D8A">
            <w:pPr>
              <w:jc w:val="center"/>
              <w:rPr>
                <w:rFonts w:ascii="Times New Roman" w:hAnsi="Times New Roman"/>
              </w:rPr>
            </w:pPr>
            <w:r w:rsidRPr="00C12992">
              <w:rPr>
                <w:rFonts w:ascii="Times New Roman" w:hAnsi="Times New Roman"/>
              </w:rPr>
              <w:t>SOD-TO</w:t>
            </w:r>
          </w:p>
        </w:tc>
        <w:tc>
          <w:tcPr>
            <w:tcW w:w="0" w:type="auto"/>
            <w:tcBorders>
              <w:top w:val="nil"/>
            </w:tcBorders>
          </w:tcPr>
          <w:p w:rsidR="001F6D8A" w:rsidRPr="00C12992" w:rsidRDefault="001F6D8A" w:rsidP="001F6D8A">
            <w:pPr>
              <w:jc w:val="center"/>
              <w:rPr>
                <w:rFonts w:ascii="Times New Roman" w:hAnsi="Times New Roman"/>
              </w:rPr>
            </w:pPr>
            <w:r w:rsidRPr="00C12992">
              <w:rPr>
                <w:rFonts w:ascii="Times New Roman" w:hAnsi="Times New Roman"/>
              </w:rPr>
              <w:t>+</w:t>
            </w:r>
          </w:p>
        </w:tc>
        <w:tc>
          <w:tcPr>
            <w:tcW w:w="0" w:type="auto"/>
            <w:tcBorders>
              <w:top w:val="nil"/>
            </w:tcBorders>
          </w:tcPr>
          <w:p w:rsidR="001F6D8A" w:rsidRPr="00C12992" w:rsidRDefault="001F6D8A" w:rsidP="001F6D8A">
            <w:pPr>
              <w:jc w:val="center"/>
              <w:rPr>
                <w:rFonts w:ascii="Times New Roman" w:hAnsi="Times New Roman"/>
              </w:rPr>
            </w:pPr>
            <w:r w:rsidRPr="00C12992">
              <w:rPr>
                <w:rFonts w:ascii="Times New Roman" w:hAnsi="Times New Roman"/>
              </w:rPr>
              <w:t>+</w:t>
            </w:r>
          </w:p>
        </w:tc>
        <w:tc>
          <w:tcPr>
            <w:tcW w:w="0" w:type="auto"/>
            <w:tcBorders>
              <w:top w:val="nil"/>
            </w:tcBorders>
          </w:tcPr>
          <w:p w:rsidR="001F6D8A" w:rsidRPr="00C12992" w:rsidRDefault="001F6D8A" w:rsidP="001F6D8A">
            <w:pPr>
              <w:jc w:val="center"/>
              <w:rPr>
                <w:rFonts w:ascii="Times New Roman" w:hAnsi="Times New Roman"/>
              </w:rPr>
            </w:pPr>
            <w:r>
              <w:rPr>
                <w:rFonts w:ascii="Times New Roman" w:hAnsi="Times New Roman"/>
              </w:rPr>
              <w:t xml:space="preserve">          </w:t>
            </w:r>
            <w:r w:rsidRPr="00C12992">
              <w:rPr>
                <w:rFonts w:ascii="Times New Roman" w:hAnsi="Times New Roman"/>
              </w:rPr>
              <w:t>-</w:t>
            </w:r>
          </w:p>
        </w:tc>
        <w:tc>
          <w:tcPr>
            <w:tcW w:w="0" w:type="auto"/>
            <w:tcBorders>
              <w:top w:val="nil"/>
            </w:tcBorders>
          </w:tcPr>
          <w:p w:rsidR="001F6D8A" w:rsidRPr="00C12992" w:rsidRDefault="001F6D8A" w:rsidP="001F6D8A">
            <w:pPr>
              <w:jc w:val="center"/>
              <w:rPr>
                <w:rFonts w:ascii="Times New Roman" w:hAnsi="Times New Roman"/>
              </w:rPr>
            </w:pPr>
            <w:r w:rsidRPr="00C12992">
              <w:rPr>
                <w:rFonts w:ascii="Times New Roman" w:hAnsi="Times New Roman"/>
              </w:rPr>
              <w:t>8.2 ≤ pKa ≤ 18.4</w:t>
            </w:r>
          </w:p>
        </w:tc>
      </w:tr>
    </w:tbl>
    <w:p w:rsidR="001F6D8A" w:rsidRDefault="001F6D8A" w:rsidP="002C39D5">
      <w:pPr>
        <w:tabs>
          <w:tab w:val="left" w:pos="7125"/>
        </w:tabs>
        <w:spacing w:after="0" w:line="240" w:lineRule="auto"/>
        <w:jc w:val="both"/>
        <w:rPr>
          <w:rFonts w:cs="Times New Roman"/>
          <w:sz w:val="20"/>
          <w:szCs w:val="20"/>
        </w:rPr>
      </w:pPr>
    </w:p>
    <w:p w:rsidR="001F6D8A" w:rsidRDefault="001F6D8A" w:rsidP="002C39D5">
      <w:pPr>
        <w:tabs>
          <w:tab w:val="left" w:pos="7125"/>
        </w:tabs>
        <w:spacing w:after="0" w:line="240" w:lineRule="auto"/>
        <w:jc w:val="both"/>
        <w:rPr>
          <w:rFonts w:cs="Times New Roman"/>
          <w:sz w:val="20"/>
          <w:szCs w:val="20"/>
        </w:rPr>
      </w:pPr>
    </w:p>
    <w:p w:rsidR="001F6D8A" w:rsidRDefault="001F6D8A" w:rsidP="002C39D5">
      <w:pPr>
        <w:tabs>
          <w:tab w:val="left" w:pos="7125"/>
        </w:tabs>
        <w:spacing w:after="0" w:line="240" w:lineRule="auto"/>
        <w:jc w:val="both"/>
        <w:rPr>
          <w:rFonts w:cs="Times New Roman"/>
          <w:sz w:val="20"/>
          <w:szCs w:val="20"/>
        </w:rPr>
      </w:pPr>
    </w:p>
    <w:p w:rsidR="001F6D8A" w:rsidRDefault="001F6D8A" w:rsidP="002C39D5">
      <w:pPr>
        <w:tabs>
          <w:tab w:val="left" w:pos="7125"/>
        </w:tabs>
        <w:spacing w:after="0" w:line="240" w:lineRule="auto"/>
        <w:jc w:val="both"/>
        <w:rPr>
          <w:rFonts w:cs="Times New Roman"/>
          <w:sz w:val="20"/>
          <w:szCs w:val="20"/>
        </w:rPr>
      </w:pPr>
    </w:p>
    <w:p w:rsidR="001F6D8A" w:rsidRDefault="001F6D8A" w:rsidP="002C39D5">
      <w:pPr>
        <w:tabs>
          <w:tab w:val="left" w:pos="7125"/>
        </w:tabs>
        <w:spacing w:after="0" w:line="240" w:lineRule="auto"/>
        <w:jc w:val="both"/>
        <w:rPr>
          <w:rFonts w:cs="Times New Roman"/>
          <w:sz w:val="20"/>
          <w:szCs w:val="20"/>
        </w:rPr>
      </w:pPr>
    </w:p>
    <w:p w:rsidR="001F6D8A" w:rsidRDefault="001F6D8A" w:rsidP="002C39D5">
      <w:pPr>
        <w:tabs>
          <w:tab w:val="left" w:pos="7125"/>
        </w:tabs>
        <w:spacing w:after="0" w:line="240" w:lineRule="auto"/>
        <w:jc w:val="both"/>
        <w:rPr>
          <w:rFonts w:cs="Times New Roman"/>
          <w:sz w:val="20"/>
          <w:szCs w:val="20"/>
        </w:rPr>
      </w:pPr>
    </w:p>
    <w:p w:rsidR="001F6D8A" w:rsidRDefault="001F6D8A" w:rsidP="002C39D5">
      <w:pPr>
        <w:tabs>
          <w:tab w:val="left" w:pos="7125"/>
        </w:tabs>
        <w:spacing w:after="0" w:line="240" w:lineRule="auto"/>
        <w:jc w:val="both"/>
        <w:rPr>
          <w:rFonts w:cs="Times New Roman"/>
          <w:sz w:val="20"/>
          <w:szCs w:val="20"/>
        </w:rPr>
      </w:pPr>
    </w:p>
    <w:p w:rsidR="001F6D8A" w:rsidRDefault="001F6D8A" w:rsidP="002C39D5">
      <w:pPr>
        <w:tabs>
          <w:tab w:val="left" w:pos="7125"/>
        </w:tabs>
        <w:spacing w:after="0" w:line="240" w:lineRule="auto"/>
        <w:jc w:val="both"/>
        <w:rPr>
          <w:rFonts w:cs="Times New Roman"/>
          <w:sz w:val="20"/>
          <w:szCs w:val="20"/>
        </w:rPr>
      </w:pPr>
    </w:p>
    <w:p w:rsidR="001F6D8A" w:rsidRPr="001F6D8A" w:rsidRDefault="001F6D8A" w:rsidP="001F6D8A">
      <w:pPr>
        <w:tabs>
          <w:tab w:val="left" w:pos="7125"/>
        </w:tabs>
        <w:spacing w:after="0" w:line="240" w:lineRule="auto"/>
        <w:jc w:val="both"/>
        <w:rPr>
          <w:rFonts w:cs="Times New Roman"/>
          <w:sz w:val="18"/>
          <w:szCs w:val="20"/>
        </w:rPr>
      </w:pPr>
    </w:p>
    <w:p w:rsidR="00C12992" w:rsidRPr="001F6D8A" w:rsidRDefault="001F6D8A" w:rsidP="001F6D8A">
      <w:pPr>
        <w:tabs>
          <w:tab w:val="left" w:pos="7125"/>
        </w:tabs>
        <w:spacing w:after="0" w:line="240" w:lineRule="auto"/>
        <w:jc w:val="both"/>
        <w:rPr>
          <w:rFonts w:cs="Times New Roman"/>
          <w:sz w:val="18"/>
          <w:szCs w:val="20"/>
        </w:rPr>
      </w:pPr>
      <w:r>
        <w:rPr>
          <w:rFonts w:cs="Times New Roman"/>
          <w:sz w:val="18"/>
          <w:szCs w:val="20"/>
        </w:rPr>
        <w:t xml:space="preserve">             </w:t>
      </w:r>
      <w:r w:rsidR="002C39D5" w:rsidRPr="001F6D8A">
        <w:rPr>
          <w:rFonts w:cs="Times New Roman"/>
          <w:sz w:val="18"/>
          <w:szCs w:val="20"/>
        </w:rPr>
        <w:t>*(+) = color changed, (-) = color unchanged</w:t>
      </w:r>
      <w:r w:rsidR="002C39D5" w:rsidRPr="001F6D8A">
        <w:rPr>
          <w:rFonts w:cs="Times New Roman"/>
          <w:sz w:val="18"/>
          <w:szCs w:val="20"/>
        </w:rPr>
        <w:tab/>
      </w:r>
    </w:p>
    <w:p w:rsidR="00254848" w:rsidRDefault="00254848" w:rsidP="002C39D5">
      <w:pPr>
        <w:spacing w:after="0" w:line="240" w:lineRule="auto"/>
        <w:jc w:val="both"/>
        <w:rPr>
          <w:sz w:val="20"/>
          <w:szCs w:val="20"/>
        </w:rPr>
      </w:pPr>
    </w:p>
    <w:p w:rsidR="002C39D5" w:rsidRPr="00C12992" w:rsidRDefault="00EC5EA6" w:rsidP="002C39D5">
      <w:pPr>
        <w:spacing w:after="0" w:line="240" w:lineRule="auto"/>
        <w:jc w:val="both"/>
        <w:rPr>
          <w:sz w:val="20"/>
          <w:szCs w:val="20"/>
        </w:rPr>
      </w:pPr>
      <w:r w:rsidRPr="002C39D5">
        <w:rPr>
          <w:sz w:val="20"/>
          <w:szCs w:val="20"/>
        </w:rPr>
        <w:t>T</w:t>
      </w:r>
      <w:r w:rsidR="002C39D5" w:rsidRPr="002C39D5">
        <w:rPr>
          <w:sz w:val="20"/>
          <w:szCs w:val="20"/>
        </w:rPr>
        <w:t xml:space="preserve">he similar strength of all the samples suggested that the basicity strength is contributed by the type of counter cation used and not the porosity. </w:t>
      </w:r>
      <w:r w:rsidR="00254637">
        <w:rPr>
          <w:sz w:val="20"/>
          <w:szCs w:val="20"/>
        </w:rPr>
        <w:t>In this study, similar</w:t>
      </w:r>
      <w:r w:rsidR="008E6630">
        <w:rPr>
          <w:sz w:val="20"/>
          <w:szCs w:val="20"/>
        </w:rPr>
        <w:t xml:space="preserve"> </w:t>
      </w:r>
      <w:r w:rsidR="002C39D5" w:rsidRPr="002C39D5">
        <w:rPr>
          <w:sz w:val="20"/>
          <w:szCs w:val="20"/>
        </w:rPr>
        <w:t>alkali cation which was Na</w:t>
      </w:r>
      <w:r w:rsidR="002C39D5" w:rsidRPr="002C39D5">
        <w:rPr>
          <w:sz w:val="20"/>
          <w:szCs w:val="20"/>
          <w:vertAlign w:val="superscript"/>
        </w:rPr>
        <w:t>+</w:t>
      </w:r>
      <w:r w:rsidR="002C39D5" w:rsidRPr="002C39D5">
        <w:rPr>
          <w:sz w:val="20"/>
          <w:szCs w:val="20"/>
        </w:rPr>
        <w:t xml:space="preserve"> was used as the counter cation during the synthesis</w:t>
      </w:r>
      <w:r w:rsidR="00254637">
        <w:rPr>
          <w:sz w:val="20"/>
          <w:szCs w:val="20"/>
        </w:rPr>
        <w:t xml:space="preserve"> of all sodalite samples</w:t>
      </w:r>
      <w:r w:rsidR="002C39D5" w:rsidRPr="00253C40">
        <w:t>.</w:t>
      </w:r>
    </w:p>
    <w:p w:rsidR="00C12992" w:rsidRDefault="00C12992" w:rsidP="00C12992">
      <w:pPr>
        <w:spacing w:after="0" w:line="240" w:lineRule="auto"/>
        <w:jc w:val="both"/>
        <w:rPr>
          <w:sz w:val="20"/>
          <w:szCs w:val="20"/>
        </w:rPr>
      </w:pPr>
    </w:p>
    <w:p w:rsidR="002C39D5" w:rsidRPr="002C39D5" w:rsidRDefault="00254637" w:rsidP="00C12992">
      <w:pPr>
        <w:spacing w:after="0" w:line="240" w:lineRule="auto"/>
        <w:jc w:val="both"/>
        <w:rPr>
          <w:sz w:val="20"/>
          <w:szCs w:val="20"/>
        </w:rPr>
      </w:pPr>
      <w:r>
        <w:rPr>
          <w:sz w:val="20"/>
          <w:szCs w:val="20"/>
        </w:rPr>
        <w:t>T</w:t>
      </w:r>
      <w:r w:rsidR="002C39D5" w:rsidRPr="002C39D5">
        <w:rPr>
          <w:sz w:val="20"/>
          <w:szCs w:val="20"/>
        </w:rPr>
        <w:t xml:space="preserve">he amount of basicity of the SOD samples was evaluated by back titration method. Results found that the average amount of basicity of all SOD samples synthesized with the presence of templates is more than two fold higher than the SOD synthesized without the presence of templates, Na-SOD as shown in Table 4. Among the SOD samples synthesized with the presence of templates, it was found that the SOD-TO sample possess the </w:t>
      </w:r>
      <w:r w:rsidR="002C39D5" w:rsidRPr="002C39D5">
        <w:rPr>
          <w:sz w:val="20"/>
          <w:szCs w:val="20"/>
        </w:rPr>
        <w:lastRenderedPageBreak/>
        <w:t xml:space="preserve">highest average amount of basicity as compared with other SOD samples. This result indicated that the highest basic sites were </w:t>
      </w:r>
      <w:r w:rsidRPr="002C39D5">
        <w:rPr>
          <w:sz w:val="20"/>
          <w:szCs w:val="20"/>
        </w:rPr>
        <w:t>presen</w:t>
      </w:r>
      <w:r>
        <w:rPr>
          <w:sz w:val="20"/>
          <w:szCs w:val="20"/>
        </w:rPr>
        <w:t>t</w:t>
      </w:r>
      <w:r w:rsidRPr="002C39D5">
        <w:rPr>
          <w:sz w:val="20"/>
          <w:szCs w:val="20"/>
        </w:rPr>
        <w:t xml:space="preserve"> </w:t>
      </w:r>
      <w:r w:rsidR="002C39D5" w:rsidRPr="002C39D5">
        <w:rPr>
          <w:sz w:val="20"/>
          <w:szCs w:val="20"/>
        </w:rPr>
        <w:t xml:space="preserve">in the SOD-TO sample and lead to the highest amount of basicity. This could be due to the mesopore structure </w:t>
      </w:r>
      <w:r>
        <w:rPr>
          <w:sz w:val="20"/>
          <w:szCs w:val="20"/>
        </w:rPr>
        <w:t>present in the sample</w:t>
      </w:r>
      <w:r w:rsidR="00E85282">
        <w:rPr>
          <w:sz w:val="20"/>
          <w:szCs w:val="20"/>
        </w:rPr>
        <w:t>,</w:t>
      </w:r>
      <w:r>
        <w:rPr>
          <w:sz w:val="20"/>
          <w:szCs w:val="20"/>
        </w:rPr>
        <w:t xml:space="preserve"> </w:t>
      </w:r>
      <w:r w:rsidR="002C39D5" w:rsidRPr="002C39D5">
        <w:rPr>
          <w:sz w:val="20"/>
          <w:szCs w:val="20"/>
        </w:rPr>
        <w:t xml:space="preserve">which more accessible of the reactant for </w:t>
      </w:r>
      <w:r>
        <w:rPr>
          <w:sz w:val="20"/>
          <w:szCs w:val="20"/>
        </w:rPr>
        <w:t xml:space="preserve">the </w:t>
      </w:r>
      <w:r w:rsidR="002C39D5" w:rsidRPr="002C39D5">
        <w:rPr>
          <w:sz w:val="20"/>
          <w:szCs w:val="20"/>
        </w:rPr>
        <w:t>basic sites</w:t>
      </w:r>
      <w:r>
        <w:rPr>
          <w:sz w:val="20"/>
          <w:szCs w:val="20"/>
        </w:rPr>
        <w:t>.</w:t>
      </w:r>
    </w:p>
    <w:p w:rsidR="002C39D5" w:rsidRPr="002C39D5" w:rsidRDefault="002C39D5" w:rsidP="002C39D5">
      <w:pPr>
        <w:spacing w:after="0" w:line="240" w:lineRule="auto"/>
        <w:jc w:val="center"/>
        <w:rPr>
          <w:sz w:val="20"/>
          <w:szCs w:val="20"/>
        </w:rPr>
      </w:pPr>
    </w:p>
    <w:p w:rsidR="002C39D5" w:rsidRDefault="002C39D5" w:rsidP="002C39D5">
      <w:pPr>
        <w:spacing w:after="0" w:line="240" w:lineRule="auto"/>
        <w:jc w:val="center"/>
        <w:rPr>
          <w:rFonts w:cs="Times New Roman"/>
          <w:sz w:val="20"/>
          <w:szCs w:val="20"/>
        </w:rPr>
      </w:pPr>
      <w:r w:rsidRPr="002C39D5">
        <w:rPr>
          <w:sz w:val="20"/>
          <w:szCs w:val="20"/>
        </w:rPr>
        <w:t>Table 4</w:t>
      </w:r>
      <w:r w:rsidR="001F6D8A">
        <w:rPr>
          <w:sz w:val="20"/>
          <w:szCs w:val="20"/>
        </w:rPr>
        <w:t xml:space="preserve">. </w:t>
      </w:r>
      <w:r>
        <w:rPr>
          <w:rFonts w:cs="Times New Roman"/>
          <w:sz w:val="20"/>
          <w:szCs w:val="20"/>
        </w:rPr>
        <w:t>A</w:t>
      </w:r>
      <w:r w:rsidRPr="002C39D5">
        <w:rPr>
          <w:rFonts w:cs="Times New Roman"/>
          <w:sz w:val="20"/>
          <w:szCs w:val="20"/>
        </w:rPr>
        <w:t>verage amount of basicity of all SOD samples</w:t>
      </w:r>
    </w:p>
    <w:p w:rsidR="002C39D5" w:rsidRDefault="002C39D5" w:rsidP="002C39D5">
      <w:pPr>
        <w:spacing w:after="0" w:line="240" w:lineRule="auto"/>
        <w:jc w:val="center"/>
        <w:rPr>
          <w:rFonts w:cs="Times New Roman"/>
          <w:sz w:val="20"/>
          <w:szCs w:val="20"/>
        </w:rPr>
      </w:pP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372"/>
        <w:gridCol w:w="621"/>
        <w:gridCol w:w="620"/>
        <w:gridCol w:w="620"/>
        <w:gridCol w:w="2622"/>
      </w:tblGrid>
      <w:tr w:rsidR="002C39D5" w:rsidRPr="00386933" w:rsidTr="004815CC">
        <w:trPr>
          <w:trHeight w:val="180"/>
          <w:jc w:val="center"/>
        </w:trPr>
        <w:tc>
          <w:tcPr>
            <w:tcW w:w="0" w:type="auto"/>
            <w:tcBorders>
              <w:bottom w:val="nil"/>
            </w:tcBorders>
          </w:tcPr>
          <w:p w:rsidR="002C39D5" w:rsidRPr="004815CC" w:rsidRDefault="002C39D5" w:rsidP="00254637">
            <w:pPr>
              <w:jc w:val="center"/>
              <w:rPr>
                <w:rFonts w:ascii="Times New Roman" w:hAnsi="Times New Roman"/>
                <w:b/>
              </w:rPr>
            </w:pPr>
            <w:r w:rsidRPr="004815CC">
              <w:rPr>
                <w:rFonts w:ascii="Times New Roman" w:hAnsi="Times New Roman"/>
                <w:b/>
              </w:rPr>
              <w:t>Sample</w:t>
            </w:r>
          </w:p>
        </w:tc>
        <w:tc>
          <w:tcPr>
            <w:tcW w:w="0" w:type="auto"/>
            <w:gridSpan w:val="3"/>
            <w:tcBorders>
              <w:top w:val="single" w:sz="4" w:space="0" w:color="000000" w:themeColor="text1"/>
              <w:bottom w:val="single" w:sz="4" w:space="0" w:color="000000" w:themeColor="text1"/>
            </w:tcBorders>
          </w:tcPr>
          <w:p w:rsidR="004815CC" w:rsidRDefault="002C39D5" w:rsidP="00254637">
            <w:pPr>
              <w:jc w:val="center"/>
              <w:rPr>
                <w:rFonts w:ascii="Times New Roman" w:hAnsi="Times New Roman"/>
                <w:b/>
              </w:rPr>
            </w:pPr>
            <w:r w:rsidRPr="004815CC">
              <w:rPr>
                <w:rFonts w:ascii="Times New Roman" w:hAnsi="Times New Roman"/>
                <w:b/>
              </w:rPr>
              <w:t xml:space="preserve">Amount of Basicity </w:t>
            </w:r>
          </w:p>
          <w:p w:rsidR="002C39D5" w:rsidRPr="004815CC" w:rsidRDefault="002C39D5" w:rsidP="00254637">
            <w:pPr>
              <w:jc w:val="center"/>
              <w:rPr>
                <w:rFonts w:ascii="Times New Roman" w:hAnsi="Times New Roman"/>
                <w:b/>
              </w:rPr>
            </w:pPr>
            <w:r w:rsidRPr="004815CC">
              <w:rPr>
                <w:rFonts w:ascii="Times New Roman" w:hAnsi="Times New Roman"/>
                <w:b/>
              </w:rPr>
              <w:t>(mmol/g)</w:t>
            </w:r>
          </w:p>
        </w:tc>
        <w:tc>
          <w:tcPr>
            <w:tcW w:w="0" w:type="auto"/>
            <w:tcBorders>
              <w:bottom w:val="nil"/>
            </w:tcBorders>
          </w:tcPr>
          <w:p w:rsidR="004815CC" w:rsidRPr="004815CC" w:rsidRDefault="002C39D5" w:rsidP="00254637">
            <w:pPr>
              <w:jc w:val="center"/>
              <w:rPr>
                <w:rFonts w:ascii="Times New Roman" w:hAnsi="Times New Roman"/>
                <w:b/>
              </w:rPr>
            </w:pPr>
            <w:r w:rsidRPr="004815CC">
              <w:rPr>
                <w:rFonts w:ascii="Times New Roman" w:hAnsi="Times New Roman"/>
                <w:b/>
              </w:rPr>
              <w:t xml:space="preserve">Average </w:t>
            </w:r>
            <w:r w:rsidR="004815CC">
              <w:rPr>
                <w:rFonts w:ascii="Times New Roman" w:hAnsi="Times New Roman"/>
                <w:b/>
              </w:rPr>
              <w:t>Amount o</w:t>
            </w:r>
            <w:r w:rsidR="004815CC" w:rsidRPr="004815CC">
              <w:rPr>
                <w:rFonts w:ascii="Times New Roman" w:hAnsi="Times New Roman"/>
                <w:b/>
              </w:rPr>
              <w:t xml:space="preserve">f Basicity </w:t>
            </w:r>
          </w:p>
          <w:p w:rsidR="002C39D5" w:rsidRPr="004815CC" w:rsidRDefault="002C39D5" w:rsidP="00254637">
            <w:pPr>
              <w:jc w:val="center"/>
              <w:rPr>
                <w:rFonts w:ascii="Times New Roman" w:hAnsi="Times New Roman"/>
                <w:b/>
              </w:rPr>
            </w:pPr>
            <w:r w:rsidRPr="004815CC">
              <w:rPr>
                <w:rFonts w:ascii="Times New Roman" w:hAnsi="Times New Roman"/>
                <w:b/>
              </w:rPr>
              <w:t>(mmol/g)</w:t>
            </w:r>
          </w:p>
        </w:tc>
      </w:tr>
      <w:tr w:rsidR="002C39D5" w:rsidRPr="00386933" w:rsidTr="004815CC">
        <w:trPr>
          <w:trHeight w:val="232"/>
          <w:jc w:val="center"/>
        </w:trPr>
        <w:tc>
          <w:tcPr>
            <w:tcW w:w="0" w:type="auto"/>
            <w:tcBorders>
              <w:top w:val="nil"/>
              <w:bottom w:val="single" w:sz="4" w:space="0" w:color="000000" w:themeColor="text1"/>
            </w:tcBorders>
          </w:tcPr>
          <w:p w:rsidR="002C39D5" w:rsidRPr="004815CC" w:rsidRDefault="002C39D5" w:rsidP="00254637">
            <w:pPr>
              <w:jc w:val="center"/>
              <w:rPr>
                <w:rFonts w:ascii="Times New Roman" w:hAnsi="Times New Roman"/>
                <w:b/>
              </w:rPr>
            </w:pPr>
          </w:p>
        </w:tc>
        <w:tc>
          <w:tcPr>
            <w:tcW w:w="0" w:type="auto"/>
            <w:tcBorders>
              <w:top w:val="single" w:sz="4" w:space="0" w:color="000000" w:themeColor="text1"/>
              <w:bottom w:val="single" w:sz="4" w:space="0" w:color="000000" w:themeColor="text1"/>
            </w:tcBorders>
          </w:tcPr>
          <w:p w:rsidR="002C39D5" w:rsidRPr="004815CC" w:rsidRDefault="002C39D5" w:rsidP="00254637">
            <w:pPr>
              <w:jc w:val="center"/>
              <w:rPr>
                <w:rFonts w:ascii="Times New Roman" w:hAnsi="Times New Roman"/>
                <w:b/>
              </w:rPr>
            </w:pPr>
            <w:r w:rsidRPr="004815CC">
              <w:rPr>
                <w:rFonts w:ascii="Times New Roman" w:hAnsi="Times New Roman"/>
                <w:b/>
              </w:rPr>
              <w:t>(i)</w:t>
            </w:r>
          </w:p>
        </w:tc>
        <w:tc>
          <w:tcPr>
            <w:tcW w:w="0" w:type="auto"/>
            <w:tcBorders>
              <w:top w:val="single" w:sz="4" w:space="0" w:color="000000" w:themeColor="text1"/>
              <w:bottom w:val="single" w:sz="4" w:space="0" w:color="000000" w:themeColor="text1"/>
            </w:tcBorders>
          </w:tcPr>
          <w:p w:rsidR="002C39D5" w:rsidRPr="004815CC" w:rsidRDefault="002C39D5" w:rsidP="00254637">
            <w:pPr>
              <w:jc w:val="center"/>
              <w:rPr>
                <w:rFonts w:ascii="Times New Roman" w:hAnsi="Times New Roman"/>
                <w:b/>
              </w:rPr>
            </w:pPr>
            <w:r w:rsidRPr="004815CC">
              <w:rPr>
                <w:rFonts w:ascii="Times New Roman" w:hAnsi="Times New Roman"/>
                <w:b/>
              </w:rPr>
              <w:t>(ii)</w:t>
            </w:r>
          </w:p>
        </w:tc>
        <w:tc>
          <w:tcPr>
            <w:tcW w:w="0" w:type="auto"/>
            <w:tcBorders>
              <w:top w:val="single" w:sz="4" w:space="0" w:color="000000" w:themeColor="text1"/>
              <w:bottom w:val="single" w:sz="4" w:space="0" w:color="000000" w:themeColor="text1"/>
            </w:tcBorders>
          </w:tcPr>
          <w:p w:rsidR="002C39D5" w:rsidRPr="004815CC" w:rsidRDefault="002C39D5" w:rsidP="00254637">
            <w:pPr>
              <w:jc w:val="center"/>
              <w:rPr>
                <w:rFonts w:ascii="Times New Roman" w:hAnsi="Times New Roman"/>
                <w:b/>
              </w:rPr>
            </w:pPr>
            <w:r w:rsidRPr="004815CC">
              <w:rPr>
                <w:rFonts w:ascii="Times New Roman" w:hAnsi="Times New Roman"/>
                <w:b/>
              </w:rPr>
              <w:t>(iii)</w:t>
            </w:r>
          </w:p>
        </w:tc>
        <w:tc>
          <w:tcPr>
            <w:tcW w:w="0" w:type="auto"/>
            <w:tcBorders>
              <w:top w:val="nil"/>
              <w:bottom w:val="single" w:sz="4" w:space="0" w:color="000000" w:themeColor="text1"/>
            </w:tcBorders>
          </w:tcPr>
          <w:p w:rsidR="002C39D5" w:rsidRPr="004815CC" w:rsidRDefault="002C39D5" w:rsidP="00254637">
            <w:pPr>
              <w:jc w:val="center"/>
              <w:rPr>
                <w:rFonts w:ascii="Times New Roman" w:hAnsi="Times New Roman"/>
                <w:b/>
              </w:rPr>
            </w:pPr>
          </w:p>
        </w:tc>
      </w:tr>
      <w:tr w:rsidR="002C39D5" w:rsidRPr="00386933" w:rsidTr="004815CC">
        <w:trPr>
          <w:trHeight w:val="232"/>
          <w:jc w:val="center"/>
        </w:trPr>
        <w:tc>
          <w:tcPr>
            <w:tcW w:w="0" w:type="auto"/>
            <w:tcBorders>
              <w:top w:val="single" w:sz="4" w:space="0" w:color="000000" w:themeColor="text1"/>
            </w:tcBorders>
          </w:tcPr>
          <w:p w:rsidR="002C39D5" w:rsidRPr="002C39D5" w:rsidRDefault="002C39D5" w:rsidP="00254637">
            <w:pPr>
              <w:jc w:val="center"/>
              <w:rPr>
                <w:rFonts w:ascii="Times New Roman" w:hAnsi="Times New Roman"/>
              </w:rPr>
            </w:pPr>
            <w:r w:rsidRPr="002C39D5">
              <w:rPr>
                <w:rFonts w:ascii="Times New Roman" w:hAnsi="Times New Roman"/>
              </w:rPr>
              <w:t>Na-SOD</w:t>
            </w:r>
          </w:p>
        </w:tc>
        <w:tc>
          <w:tcPr>
            <w:tcW w:w="0" w:type="auto"/>
            <w:tcBorders>
              <w:top w:val="single" w:sz="4" w:space="0" w:color="000000" w:themeColor="text1"/>
            </w:tcBorders>
          </w:tcPr>
          <w:p w:rsidR="002C39D5" w:rsidRPr="002C39D5" w:rsidRDefault="002C39D5" w:rsidP="00254637">
            <w:pPr>
              <w:jc w:val="center"/>
              <w:rPr>
                <w:rFonts w:ascii="Times New Roman" w:hAnsi="Times New Roman"/>
              </w:rPr>
            </w:pPr>
            <w:r w:rsidRPr="002C39D5">
              <w:rPr>
                <w:rFonts w:ascii="Times New Roman" w:hAnsi="Times New Roman"/>
              </w:rPr>
              <w:t>0.60</w:t>
            </w:r>
          </w:p>
        </w:tc>
        <w:tc>
          <w:tcPr>
            <w:tcW w:w="0" w:type="auto"/>
            <w:tcBorders>
              <w:top w:val="single" w:sz="4" w:space="0" w:color="000000" w:themeColor="text1"/>
            </w:tcBorders>
          </w:tcPr>
          <w:p w:rsidR="002C39D5" w:rsidRPr="002C39D5" w:rsidRDefault="002C39D5" w:rsidP="00254637">
            <w:pPr>
              <w:jc w:val="center"/>
              <w:rPr>
                <w:rFonts w:ascii="Times New Roman" w:hAnsi="Times New Roman"/>
              </w:rPr>
            </w:pPr>
            <w:r w:rsidRPr="002C39D5">
              <w:rPr>
                <w:rFonts w:ascii="Times New Roman" w:hAnsi="Times New Roman"/>
              </w:rPr>
              <w:t>0.80</w:t>
            </w:r>
          </w:p>
        </w:tc>
        <w:tc>
          <w:tcPr>
            <w:tcW w:w="0" w:type="auto"/>
            <w:tcBorders>
              <w:top w:val="single" w:sz="4" w:space="0" w:color="000000" w:themeColor="text1"/>
            </w:tcBorders>
          </w:tcPr>
          <w:p w:rsidR="002C39D5" w:rsidRPr="002C39D5" w:rsidRDefault="002C39D5" w:rsidP="00254637">
            <w:pPr>
              <w:jc w:val="center"/>
              <w:rPr>
                <w:rFonts w:ascii="Times New Roman" w:hAnsi="Times New Roman"/>
              </w:rPr>
            </w:pPr>
            <w:r w:rsidRPr="002C39D5">
              <w:rPr>
                <w:rFonts w:ascii="Times New Roman" w:hAnsi="Times New Roman"/>
              </w:rPr>
              <w:t>0.80</w:t>
            </w:r>
          </w:p>
        </w:tc>
        <w:tc>
          <w:tcPr>
            <w:tcW w:w="0" w:type="auto"/>
            <w:tcBorders>
              <w:top w:val="single" w:sz="4" w:space="0" w:color="000000" w:themeColor="text1"/>
            </w:tcBorders>
          </w:tcPr>
          <w:p w:rsidR="002C39D5" w:rsidRPr="002C39D5" w:rsidRDefault="002C39D5" w:rsidP="00254637">
            <w:pPr>
              <w:jc w:val="center"/>
              <w:rPr>
                <w:rFonts w:ascii="Times New Roman" w:hAnsi="Times New Roman"/>
              </w:rPr>
            </w:pPr>
            <w:r w:rsidRPr="002C39D5">
              <w:rPr>
                <w:rFonts w:ascii="Times New Roman" w:hAnsi="Times New Roman"/>
              </w:rPr>
              <w:t>0.73</w:t>
            </w:r>
          </w:p>
        </w:tc>
      </w:tr>
      <w:tr w:rsidR="002C39D5" w:rsidRPr="00386933" w:rsidTr="004815CC">
        <w:trPr>
          <w:trHeight w:val="232"/>
          <w:jc w:val="center"/>
        </w:trPr>
        <w:tc>
          <w:tcPr>
            <w:tcW w:w="0" w:type="auto"/>
          </w:tcPr>
          <w:p w:rsidR="002C39D5" w:rsidRPr="002C39D5" w:rsidRDefault="002C39D5" w:rsidP="00254637">
            <w:pPr>
              <w:jc w:val="center"/>
              <w:rPr>
                <w:rFonts w:ascii="Times New Roman" w:hAnsi="Times New Roman"/>
              </w:rPr>
            </w:pPr>
            <w:r w:rsidRPr="002C39D5">
              <w:rPr>
                <w:rFonts w:ascii="Times New Roman" w:hAnsi="Times New Roman"/>
              </w:rPr>
              <w:t>SOD-TDDAB</w:t>
            </w:r>
          </w:p>
        </w:tc>
        <w:tc>
          <w:tcPr>
            <w:tcW w:w="0" w:type="auto"/>
          </w:tcPr>
          <w:p w:rsidR="002C39D5" w:rsidRPr="002C39D5" w:rsidRDefault="002C39D5" w:rsidP="00254637">
            <w:pPr>
              <w:jc w:val="center"/>
              <w:rPr>
                <w:rFonts w:ascii="Times New Roman" w:hAnsi="Times New Roman"/>
              </w:rPr>
            </w:pPr>
            <w:r w:rsidRPr="002C39D5">
              <w:rPr>
                <w:rFonts w:ascii="Times New Roman" w:hAnsi="Times New Roman"/>
              </w:rPr>
              <w:t>1.72</w:t>
            </w:r>
          </w:p>
        </w:tc>
        <w:tc>
          <w:tcPr>
            <w:tcW w:w="0" w:type="auto"/>
          </w:tcPr>
          <w:p w:rsidR="002C39D5" w:rsidRPr="002C39D5" w:rsidRDefault="002C39D5" w:rsidP="00254637">
            <w:pPr>
              <w:jc w:val="center"/>
              <w:rPr>
                <w:rFonts w:ascii="Times New Roman" w:hAnsi="Times New Roman"/>
              </w:rPr>
            </w:pPr>
            <w:r w:rsidRPr="002C39D5">
              <w:rPr>
                <w:rFonts w:ascii="Times New Roman" w:hAnsi="Times New Roman"/>
              </w:rPr>
              <w:t>1.76</w:t>
            </w:r>
          </w:p>
        </w:tc>
        <w:tc>
          <w:tcPr>
            <w:tcW w:w="0" w:type="auto"/>
          </w:tcPr>
          <w:p w:rsidR="002C39D5" w:rsidRPr="002C39D5" w:rsidRDefault="002C39D5" w:rsidP="00254637">
            <w:pPr>
              <w:jc w:val="center"/>
              <w:rPr>
                <w:rFonts w:ascii="Times New Roman" w:hAnsi="Times New Roman"/>
              </w:rPr>
            </w:pPr>
            <w:r w:rsidRPr="002C39D5">
              <w:rPr>
                <w:rFonts w:ascii="Times New Roman" w:hAnsi="Times New Roman"/>
              </w:rPr>
              <w:t>1.76</w:t>
            </w:r>
          </w:p>
        </w:tc>
        <w:tc>
          <w:tcPr>
            <w:tcW w:w="0" w:type="auto"/>
          </w:tcPr>
          <w:p w:rsidR="002C39D5" w:rsidRPr="002C39D5" w:rsidRDefault="002C39D5" w:rsidP="00254637">
            <w:pPr>
              <w:jc w:val="center"/>
              <w:rPr>
                <w:rFonts w:ascii="Times New Roman" w:hAnsi="Times New Roman"/>
              </w:rPr>
            </w:pPr>
            <w:r w:rsidRPr="002C39D5">
              <w:rPr>
                <w:rFonts w:ascii="Times New Roman" w:hAnsi="Times New Roman"/>
              </w:rPr>
              <w:t>1.75</w:t>
            </w:r>
          </w:p>
        </w:tc>
      </w:tr>
      <w:tr w:rsidR="002C39D5" w:rsidRPr="00386933" w:rsidTr="004815CC">
        <w:trPr>
          <w:trHeight w:val="247"/>
          <w:jc w:val="center"/>
        </w:trPr>
        <w:tc>
          <w:tcPr>
            <w:tcW w:w="0" w:type="auto"/>
            <w:tcBorders>
              <w:bottom w:val="nil"/>
            </w:tcBorders>
          </w:tcPr>
          <w:p w:rsidR="002C39D5" w:rsidRPr="002C39D5" w:rsidRDefault="002C39D5" w:rsidP="00254637">
            <w:pPr>
              <w:jc w:val="center"/>
              <w:rPr>
                <w:rFonts w:ascii="Times New Roman" w:hAnsi="Times New Roman"/>
              </w:rPr>
            </w:pPr>
            <w:r w:rsidRPr="002C39D5">
              <w:rPr>
                <w:rFonts w:ascii="Times New Roman" w:hAnsi="Times New Roman"/>
              </w:rPr>
              <w:t>SOD-TCTAB</w:t>
            </w:r>
          </w:p>
        </w:tc>
        <w:tc>
          <w:tcPr>
            <w:tcW w:w="0" w:type="auto"/>
            <w:tcBorders>
              <w:bottom w:val="nil"/>
            </w:tcBorders>
          </w:tcPr>
          <w:p w:rsidR="002C39D5" w:rsidRPr="002C39D5" w:rsidRDefault="002C39D5" w:rsidP="00254637">
            <w:pPr>
              <w:jc w:val="center"/>
              <w:rPr>
                <w:rFonts w:ascii="Times New Roman" w:hAnsi="Times New Roman"/>
              </w:rPr>
            </w:pPr>
            <w:r w:rsidRPr="002C39D5">
              <w:rPr>
                <w:rFonts w:ascii="Times New Roman" w:hAnsi="Times New Roman"/>
              </w:rPr>
              <w:t>1.64</w:t>
            </w:r>
          </w:p>
        </w:tc>
        <w:tc>
          <w:tcPr>
            <w:tcW w:w="0" w:type="auto"/>
            <w:tcBorders>
              <w:bottom w:val="nil"/>
            </w:tcBorders>
          </w:tcPr>
          <w:p w:rsidR="002C39D5" w:rsidRPr="002C39D5" w:rsidRDefault="002C39D5" w:rsidP="00254637">
            <w:pPr>
              <w:jc w:val="center"/>
              <w:rPr>
                <w:rFonts w:ascii="Times New Roman" w:hAnsi="Times New Roman"/>
              </w:rPr>
            </w:pPr>
            <w:r w:rsidRPr="002C39D5">
              <w:rPr>
                <w:rFonts w:ascii="Times New Roman" w:hAnsi="Times New Roman"/>
              </w:rPr>
              <w:t>1.68</w:t>
            </w:r>
          </w:p>
        </w:tc>
        <w:tc>
          <w:tcPr>
            <w:tcW w:w="0" w:type="auto"/>
            <w:tcBorders>
              <w:bottom w:val="nil"/>
            </w:tcBorders>
          </w:tcPr>
          <w:p w:rsidR="002C39D5" w:rsidRPr="002C39D5" w:rsidRDefault="002C39D5" w:rsidP="00254637">
            <w:pPr>
              <w:jc w:val="center"/>
              <w:rPr>
                <w:rFonts w:ascii="Times New Roman" w:hAnsi="Times New Roman"/>
              </w:rPr>
            </w:pPr>
            <w:r w:rsidRPr="002C39D5">
              <w:rPr>
                <w:rFonts w:ascii="Times New Roman" w:hAnsi="Times New Roman"/>
              </w:rPr>
              <w:t>1.68</w:t>
            </w:r>
          </w:p>
        </w:tc>
        <w:tc>
          <w:tcPr>
            <w:tcW w:w="0" w:type="auto"/>
            <w:tcBorders>
              <w:bottom w:val="nil"/>
            </w:tcBorders>
          </w:tcPr>
          <w:p w:rsidR="002C39D5" w:rsidRPr="002C39D5" w:rsidRDefault="002C39D5" w:rsidP="002C39D5">
            <w:pPr>
              <w:jc w:val="center"/>
              <w:rPr>
                <w:rFonts w:ascii="Times New Roman" w:hAnsi="Times New Roman"/>
              </w:rPr>
            </w:pPr>
            <w:r w:rsidRPr="002C39D5">
              <w:rPr>
                <w:rFonts w:ascii="Times New Roman" w:hAnsi="Times New Roman"/>
              </w:rPr>
              <w:t>1.67</w:t>
            </w:r>
          </w:p>
        </w:tc>
      </w:tr>
      <w:tr w:rsidR="002C39D5" w:rsidRPr="00386933" w:rsidTr="004815CC">
        <w:trPr>
          <w:trHeight w:val="247"/>
          <w:jc w:val="center"/>
        </w:trPr>
        <w:tc>
          <w:tcPr>
            <w:tcW w:w="0" w:type="auto"/>
            <w:tcBorders>
              <w:top w:val="nil"/>
              <w:bottom w:val="nil"/>
            </w:tcBorders>
          </w:tcPr>
          <w:p w:rsidR="002C39D5" w:rsidRPr="002C39D5" w:rsidRDefault="002C39D5" w:rsidP="00254637">
            <w:pPr>
              <w:jc w:val="center"/>
              <w:rPr>
                <w:rFonts w:ascii="Times New Roman" w:hAnsi="Times New Roman"/>
              </w:rPr>
            </w:pPr>
            <w:r w:rsidRPr="002C39D5">
              <w:rPr>
                <w:rFonts w:ascii="Times New Roman" w:hAnsi="Times New Roman"/>
              </w:rPr>
              <w:t>SOD-TDTAB</w:t>
            </w:r>
          </w:p>
        </w:tc>
        <w:tc>
          <w:tcPr>
            <w:tcW w:w="0" w:type="auto"/>
            <w:tcBorders>
              <w:top w:val="nil"/>
              <w:bottom w:val="nil"/>
            </w:tcBorders>
          </w:tcPr>
          <w:p w:rsidR="002C39D5" w:rsidRPr="002C39D5" w:rsidRDefault="002C39D5" w:rsidP="00254637">
            <w:pPr>
              <w:jc w:val="center"/>
              <w:rPr>
                <w:rFonts w:ascii="Times New Roman" w:hAnsi="Times New Roman"/>
              </w:rPr>
            </w:pPr>
            <w:r w:rsidRPr="002C39D5">
              <w:rPr>
                <w:rFonts w:ascii="Times New Roman" w:hAnsi="Times New Roman"/>
              </w:rPr>
              <w:t>1.68</w:t>
            </w:r>
          </w:p>
        </w:tc>
        <w:tc>
          <w:tcPr>
            <w:tcW w:w="0" w:type="auto"/>
            <w:tcBorders>
              <w:top w:val="nil"/>
              <w:bottom w:val="nil"/>
            </w:tcBorders>
          </w:tcPr>
          <w:p w:rsidR="002C39D5" w:rsidRPr="002C39D5" w:rsidRDefault="002C39D5" w:rsidP="00254637">
            <w:pPr>
              <w:jc w:val="center"/>
              <w:rPr>
                <w:rFonts w:ascii="Times New Roman" w:hAnsi="Times New Roman"/>
              </w:rPr>
            </w:pPr>
            <w:r w:rsidRPr="002C39D5">
              <w:rPr>
                <w:rFonts w:ascii="Times New Roman" w:hAnsi="Times New Roman"/>
              </w:rPr>
              <w:t>1.72</w:t>
            </w:r>
          </w:p>
        </w:tc>
        <w:tc>
          <w:tcPr>
            <w:tcW w:w="0" w:type="auto"/>
            <w:tcBorders>
              <w:top w:val="nil"/>
              <w:bottom w:val="nil"/>
            </w:tcBorders>
          </w:tcPr>
          <w:p w:rsidR="002C39D5" w:rsidRPr="002C39D5" w:rsidRDefault="002C39D5" w:rsidP="00254637">
            <w:pPr>
              <w:jc w:val="center"/>
              <w:rPr>
                <w:rFonts w:ascii="Times New Roman" w:hAnsi="Times New Roman"/>
              </w:rPr>
            </w:pPr>
            <w:r w:rsidRPr="002C39D5">
              <w:rPr>
                <w:rFonts w:ascii="Times New Roman" w:hAnsi="Times New Roman"/>
              </w:rPr>
              <w:t>1.72</w:t>
            </w:r>
          </w:p>
        </w:tc>
        <w:tc>
          <w:tcPr>
            <w:tcW w:w="0" w:type="auto"/>
            <w:tcBorders>
              <w:top w:val="nil"/>
              <w:bottom w:val="nil"/>
            </w:tcBorders>
          </w:tcPr>
          <w:p w:rsidR="002C39D5" w:rsidRPr="002C39D5" w:rsidRDefault="002C39D5" w:rsidP="00254637">
            <w:pPr>
              <w:jc w:val="center"/>
              <w:rPr>
                <w:rFonts w:ascii="Times New Roman" w:hAnsi="Times New Roman"/>
              </w:rPr>
            </w:pPr>
            <w:r w:rsidRPr="002C39D5">
              <w:rPr>
                <w:rFonts w:ascii="Times New Roman" w:hAnsi="Times New Roman"/>
              </w:rPr>
              <w:t>1.71</w:t>
            </w:r>
          </w:p>
        </w:tc>
      </w:tr>
      <w:tr w:rsidR="002C39D5" w:rsidRPr="00BC1F98" w:rsidTr="004815CC">
        <w:trPr>
          <w:trHeight w:val="225"/>
          <w:jc w:val="center"/>
        </w:trPr>
        <w:tc>
          <w:tcPr>
            <w:tcW w:w="0" w:type="auto"/>
            <w:tcBorders>
              <w:top w:val="nil"/>
              <w:bottom w:val="single" w:sz="4" w:space="0" w:color="000000" w:themeColor="text1"/>
            </w:tcBorders>
          </w:tcPr>
          <w:p w:rsidR="002C39D5" w:rsidRPr="002C39D5" w:rsidRDefault="002C39D5" w:rsidP="00254637">
            <w:pPr>
              <w:jc w:val="center"/>
              <w:rPr>
                <w:rFonts w:ascii="Times New Roman" w:hAnsi="Times New Roman"/>
              </w:rPr>
            </w:pPr>
            <w:r w:rsidRPr="002C39D5">
              <w:rPr>
                <w:rFonts w:ascii="Times New Roman" w:hAnsi="Times New Roman"/>
              </w:rPr>
              <w:t>SOD-TO</w:t>
            </w:r>
          </w:p>
        </w:tc>
        <w:tc>
          <w:tcPr>
            <w:tcW w:w="0" w:type="auto"/>
            <w:tcBorders>
              <w:top w:val="nil"/>
              <w:bottom w:val="single" w:sz="4" w:space="0" w:color="000000" w:themeColor="text1"/>
            </w:tcBorders>
          </w:tcPr>
          <w:p w:rsidR="002C39D5" w:rsidRPr="002C39D5" w:rsidRDefault="002C39D5" w:rsidP="00254637">
            <w:pPr>
              <w:jc w:val="center"/>
              <w:rPr>
                <w:rFonts w:ascii="Times New Roman" w:hAnsi="Times New Roman"/>
              </w:rPr>
            </w:pPr>
            <w:r w:rsidRPr="002C39D5">
              <w:rPr>
                <w:rFonts w:ascii="Times New Roman" w:hAnsi="Times New Roman"/>
              </w:rPr>
              <w:t>1.80</w:t>
            </w:r>
          </w:p>
        </w:tc>
        <w:tc>
          <w:tcPr>
            <w:tcW w:w="0" w:type="auto"/>
            <w:tcBorders>
              <w:top w:val="nil"/>
              <w:bottom w:val="single" w:sz="4" w:space="0" w:color="000000" w:themeColor="text1"/>
            </w:tcBorders>
          </w:tcPr>
          <w:p w:rsidR="002C39D5" w:rsidRPr="002C39D5" w:rsidRDefault="002C39D5" w:rsidP="002C39D5">
            <w:pPr>
              <w:jc w:val="center"/>
              <w:rPr>
                <w:rFonts w:ascii="Times New Roman" w:hAnsi="Times New Roman"/>
              </w:rPr>
            </w:pPr>
            <w:r w:rsidRPr="002C39D5">
              <w:rPr>
                <w:rFonts w:ascii="Times New Roman" w:hAnsi="Times New Roman"/>
              </w:rPr>
              <w:t>1.80</w:t>
            </w:r>
          </w:p>
        </w:tc>
        <w:tc>
          <w:tcPr>
            <w:tcW w:w="0" w:type="auto"/>
            <w:tcBorders>
              <w:top w:val="nil"/>
              <w:bottom w:val="single" w:sz="4" w:space="0" w:color="000000" w:themeColor="text1"/>
            </w:tcBorders>
          </w:tcPr>
          <w:p w:rsidR="002C39D5" w:rsidRPr="002C39D5" w:rsidRDefault="002C39D5" w:rsidP="002C39D5">
            <w:pPr>
              <w:jc w:val="center"/>
              <w:rPr>
                <w:rFonts w:ascii="Times New Roman" w:hAnsi="Times New Roman"/>
              </w:rPr>
            </w:pPr>
            <w:r w:rsidRPr="002C39D5">
              <w:rPr>
                <w:rFonts w:ascii="Times New Roman" w:hAnsi="Times New Roman"/>
              </w:rPr>
              <w:t>1.84</w:t>
            </w:r>
          </w:p>
        </w:tc>
        <w:tc>
          <w:tcPr>
            <w:tcW w:w="0" w:type="auto"/>
            <w:tcBorders>
              <w:top w:val="nil"/>
              <w:bottom w:val="single" w:sz="4" w:space="0" w:color="000000" w:themeColor="text1"/>
            </w:tcBorders>
          </w:tcPr>
          <w:p w:rsidR="002C39D5" w:rsidRPr="002C39D5" w:rsidRDefault="002C39D5" w:rsidP="00254637">
            <w:pPr>
              <w:jc w:val="center"/>
              <w:rPr>
                <w:rFonts w:ascii="Times New Roman" w:hAnsi="Times New Roman"/>
              </w:rPr>
            </w:pPr>
            <w:r w:rsidRPr="002C39D5">
              <w:rPr>
                <w:rFonts w:ascii="Times New Roman" w:hAnsi="Times New Roman"/>
              </w:rPr>
              <w:t>1.81</w:t>
            </w:r>
          </w:p>
        </w:tc>
      </w:tr>
    </w:tbl>
    <w:p w:rsidR="00624FF2" w:rsidRDefault="00624FF2" w:rsidP="00624FF2">
      <w:pPr>
        <w:spacing w:after="0" w:line="240" w:lineRule="auto"/>
        <w:jc w:val="both"/>
        <w:rPr>
          <w:sz w:val="20"/>
          <w:szCs w:val="20"/>
        </w:rPr>
      </w:pPr>
    </w:p>
    <w:p w:rsidR="00E41102" w:rsidRDefault="00254637" w:rsidP="004F4B4A">
      <w:pPr>
        <w:spacing w:after="0" w:line="240" w:lineRule="auto"/>
        <w:jc w:val="both"/>
        <w:rPr>
          <w:sz w:val="20"/>
          <w:szCs w:val="20"/>
        </w:rPr>
      </w:pPr>
      <w:r>
        <w:rPr>
          <w:sz w:val="20"/>
          <w:szCs w:val="20"/>
        </w:rPr>
        <w:t>C</w:t>
      </w:r>
      <w:r w:rsidR="002C39D5" w:rsidRPr="00E41102">
        <w:rPr>
          <w:sz w:val="20"/>
          <w:szCs w:val="20"/>
        </w:rPr>
        <w:t xml:space="preserve">omparison of the strength and the amount of basicity for </w:t>
      </w:r>
      <w:r>
        <w:rPr>
          <w:sz w:val="20"/>
          <w:szCs w:val="20"/>
        </w:rPr>
        <w:t xml:space="preserve">mesoporous </w:t>
      </w:r>
      <w:r w:rsidR="002C39D5" w:rsidRPr="00E41102">
        <w:rPr>
          <w:sz w:val="20"/>
          <w:szCs w:val="20"/>
        </w:rPr>
        <w:t xml:space="preserve">SOD-TO and </w:t>
      </w:r>
      <w:r>
        <w:rPr>
          <w:sz w:val="20"/>
          <w:szCs w:val="20"/>
        </w:rPr>
        <w:t xml:space="preserve">microporous </w:t>
      </w:r>
      <w:r w:rsidR="002C39D5" w:rsidRPr="00E41102">
        <w:rPr>
          <w:sz w:val="20"/>
          <w:szCs w:val="20"/>
        </w:rPr>
        <w:t>Na-SOD samples were measured using TPD-CO</w:t>
      </w:r>
      <w:r w:rsidR="002C39D5" w:rsidRPr="00E41102">
        <w:rPr>
          <w:sz w:val="20"/>
          <w:szCs w:val="20"/>
          <w:vertAlign w:val="subscript"/>
        </w:rPr>
        <w:t>2</w:t>
      </w:r>
      <w:r w:rsidR="002C39D5" w:rsidRPr="00E41102">
        <w:rPr>
          <w:sz w:val="20"/>
          <w:szCs w:val="20"/>
        </w:rPr>
        <w:t xml:space="preserve"> analysis. </w:t>
      </w:r>
      <w:r w:rsidR="002C39D5" w:rsidRPr="00E41102">
        <w:rPr>
          <w:rFonts w:cs="Times New Roman"/>
          <w:sz w:val="20"/>
          <w:szCs w:val="20"/>
        </w:rPr>
        <w:t xml:space="preserve">The basicity profiles of SOD-TO and </w:t>
      </w:r>
      <w:r w:rsidR="002C39D5" w:rsidRPr="00E41102">
        <w:rPr>
          <w:sz w:val="20"/>
          <w:szCs w:val="20"/>
        </w:rPr>
        <w:t>Na-SOD</w:t>
      </w:r>
      <w:r w:rsidR="002C39D5" w:rsidRPr="00E41102">
        <w:rPr>
          <w:rFonts w:cs="Times New Roman"/>
          <w:sz w:val="20"/>
          <w:szCs w:val="20"/>
        </w:rPr>
        <w:t xml:space="preserve"> samples are presented in Figure </w:t>
      </w:r>
      <w:r w:rsidR="00C47EDA">
        <w:rPr>
          <w:rFonts w:cs="Times New Roman"/>
          <w:sz w:val="20"/>
          <w:szCs w:val="20"/>
        </w:rPr>
        <w:t>5</w:t>
      </w:r>
      <w:r w:rsidR="002C39D5" w:rsidRPr="00E41102">
        <w:rPr>
          <w:rFonts w:cs="Times New Roman"/>
          <w:sz w:val="20"/>
          <w:szCs w:val="20"/>
        </w:rPr>
        <w:t xml:space="preserve">. </w:t>
      </w:r>
      <w:r w:rsidR="002C39D5" w:rsidRPr="00E41102">
        <w:rPr>
          <w:sz w:val="20"/>
          <w:szCs w:val="20"/>
        </w:rPr>
        <w:t>Four peaks were found for the SOD-TO sample which centred at 131.7, 210.4, 688.8 and 895.4</w:t>
      </w:r>
      <w:r w:rsidR="004815CC">
        <w:rPr>
          <w:sz w:val="20"/>
          <w:szCs w:val="20"/>
        </w:rPr>
        <w:t xml:space="preserve"> </w:t>
      </w:r>
      <w:r w:rsidR="002C39D5" w:rsidRPr="00E41102">
        <w:rPr>
          <w:sz w:val="20"/>
          <w:szCs w:val="20"/>
        </w:rPr>
        <w:t>°C with the amount of CO</w:t>
      </w:r>
      <w:r w:rsidR="002C39D5" w:rsidRPr="00E41102">
        <w:rPr>
          <w:sz w:val="20"/>
          <w:szCs w:val="20"/>
          <w:vertAlign w:val="subscript"/>
        </w:rPr>
        <w:t>2</w:t>
      </w:r>
      <w:r w:rsidR="002C39D5" w:rsidRPr="00E41102">
        <w:rPr>
          <w:sz w:val="20"/>
          <w:szCs w:val="20"/>
        </w:rPr>
        <w:t xml:space="preserve"> desorbed of 0.1098, 1</w:t>
      </w:r>
      <w:r w:rsidR="004815CC">
        <w:rPr>
          <w:sz w:val="20"/>
          <w:szCs w:val="20"/>
        </w:rPr>
        <w:t xml:space="preserve">.0632, 0.2789 and 0.4242 mmol/g, </w:t>
      </w:r>
      <w:r w:rsidR="002C39D5" w:rsidRPr="00E41102">
        <w:rPr>
          <w:sz w:val="20"/>
          <w:szCs w:val="20"/>
        </w:rPr>
        <w:t>respectively. Meanwhile, three peaks were observed for the Na-SOD sample which centred at 142.0, 723.5 and 875.5</w:t>
      </w:r>
      <w:r w:rsidR="004815CC">
        <w:rPr>
          <w:sz w:val="20"/>
          <w:szCs w:val="20"/>
        </w:rPr>
        <w:t xml:space="preserve"> </w:t>
      </w:r>
      <w:r w:rsidR="00FF0B5A" w:rsidRPr="00FF0B5A">
        <w:rPr>
          <w:sz w:val="20"/>
          <w:szCs w:val="20"/>
          <w:vertAlign w:val="superscript"/>
        </w:rPr>
        <w:t>o</w:t>
      </w:r>
      <w:r w:rsidR="00FF0B5A">
        <w:rPr>
          <w:sz w:val="20"/>
          <w:szCs w:val="20"/>
        </w:rPr>
        <w:t>C</w:t>
      </w:r>
      <w:r w:rsidR="002C39D5" w:rsidRPr="00E41102">
        <w:rPr>
          <w:sz w:val="20"/>
          <w:szCs w:val="20"/>
        </w:rPr>
        <w:t xml:space="preserve"> with the amount of CO</w:t>
      </w:r>
      <w:r w:rsidR="002C39D5" w:rsidRPr="00E41102">
        <w:rPr>
          <w:sz w:val="20"/>
          <w:szCs w:val="20"/>
          <w:vertAlign w:val="subscript"/>
        </w:rPr>
        <w:t>2</w:t>
      </w:r>
      <w:r w:rsidR="002C39D5" w:rsidRPr="00E41102">
        <w:rPr>
          <w:sz w:val="20"/>
          <w:szCs w:val="20"/>
        </w:rPr>
        <w:t xml:space="preserve"> desorbed of 0</w:t>
      </w:r>
      <w:r w:rsidR="004815CC">
        <w:rPr>
          <w:sz w:val="20"/>
          <w:szCs w:val="20"/>
        </w:rPr>
        <w:t xml:space="preserve">.0867, 0.4278 and 0.2946 mmol/g, </w:t>
      </w:r>
      <w:r w:rsidR="002C39D5" w:rsidRPr="00E41102">
        <w:rPr>
          <w:sz w:val="20"/>
          <w:szCs w:val="20"/>
        </w:rPr>
        <w:t>respectively.</w:t>
      </w:r>
      <w:r w:rsidR="00E41102" w:rsidRPr="00E41102">
        <w:rPr>
          <w:sz w:val="20"/>
          <w:szCs w:val="20"/>
        </w:rPr>
        <w:t xml:space="preserve"> </w:t>
      </w:r>
    </w:p>
    <w:p w:rsidR="00D149FC" w:rsidRDefault="00D149FC" w:rsidP="004F4B4A">
      <w:pPr>
        <w:spacing w:after="0" w:line="240" w:lineRule="auto"/>
        <w:jc w:val="both"/>
        <w:rPr>
          <w:sz w:val="20"/>
          <w:szCs w:val="20"/>
        </w:rPr>
      </w:pPr>
    </w:p>
    <w:p w:rsidR="00FF0B5A" w:rsidRDefault="00FF0B5A" w:rsidP="004F4B4A">
      <w:pPr>
        <w:spacing w:after="0" w:line="240" w:lineRule="auto"/>
        <w:jc w:val="both"/>
        <w:rPr>
          <w:sz w:val="20"/>
          <w:szCs w:val="20"/>
        </w:rPr>
      </w:pPr>
      <w:r w:rsidRPr="00E41102">
        <w:rPr>
          <w:sz w:val="20"/>
          <w:szCs w:val="20"/>
        </w:rPr>
        <w:t xml:space="preserve">Since </w:t>
      </w:r>
      <w:r w:rsidR="00D149FC">
        <w:rPr>
          <w:sz w:val="20"/>
          <w:szCs w:val="20"/>
        </w:rPr>
        <w:t xml:space="preserve">the activation temperature of the catalyst </w:t>
      </w:r>
      <w:r>
        <w:rPr>
          <w:sz w:val="20"/>
          <w:szCs w:val="20"/>
        </w:rPr>
        <w:t xml:space="preserve">for </w:t>
      </w:r>
      <w:r w:rsidR="00D149FC">
        <w:rPr>
          <w:sz w:val="20"/>
          <w:szCs w:val="20"/>
        </w:rPr>
        <w:t xml:space="preserve">the </w:t>
      </w:r>
      <w:r>
        <w:rPr>
          <w:sz w:val="20"/>
          <w:szCs w:val="20"/>
        </w:rPr>
        <w:t xml:space="preserve">catalytic </w:t>
      </w:r>
      <w:r w:rsidR="00D149FC">
        <w:rPr>
          <w:sz w:val="20"/>
          <w:szCs w:val="20"/>
        </w:rPr>
        <w:t>study</w:t>
      </w:r>
      <w:r>
        <w:rPr>
          <w:sz w:val="20"/>
          <w:szCs w:val="20"/>
        </w:rPr>
        <w:t xml:space="preserve"> </w:t>
      </w:r>
      <w:r w:rsidR="00D149FC">
        <w:rPr>
          <w:sz w:val="20"/>
          <w:szCs w:val="20"/>
        </w:rPr>
        <w:t>was carried out</w:t>
      </w:r>
      <w:r w:rsidRPr="00E41102">
        <w:rPr>
          <w:sz w:val="20"/>
          <w:szCs w:val="20"/>
        </w:rPr>
        <w:t xml:space="preserve"> at 500</w:t>
      </w:r>
      <w:r w:rsidR="004815CC">
        <w:rPr>
          <w:sz w:val="20"/>
          <w:szCs w:val="20"/>
        </w:rPr>
        <w:t xml:space="preserve"> </w:t>
      </w:r>
      <w:r w:rsidRPr="00E41102">
        <w:rPr>
          <w:sz w:val="20"/>
          <w:szCs w:val="20"/>
        </w:rPr>
        <w:t>°C, thus the amount of CO</w:t>
      </w:r>
      <w:r w:rsidRPr="00E41102">
        <w:rPr>
          <w:sz w:val="20"/>
          <w:szCs w:val="20"/>
          <w:vertAlign w:val="subscript"/>
        </w:rPr>
        <w:t>2</w:t>
      </w:r>
      <w:r w:rsidRPr="00E41102">
        <w:rPr>
          <w:sz w:val="20"/>
          <w:szCs w:val="20"/>
        </w:rPr>
        <w:t xml:space="preserve"> desorbed was compared in the range of temperature below 500</w:t>
      </w:r>
      <w:r w:rsidR="004815CC">
        <w:rPr>
          <w:sz w:val="20"/>
          <w:szCs w:val="20"/>
        </w:rPr>
        <w:t xml:space="preserve"> </w:t>
      </w:r>
      <w:r w:rsidRPr="00E41102">
        <w:rPr>
          <w:sz w:val="20"/>
          <w:szCs w:val="20"/>
        </w:rPr>
        <w:t>°C. It was observed that at temperature below 500</w:t>
      </w:r>
      <w:r w:rsidR="004815CC">
        <w:rPr>
          <w:sz w:val="20"/>
          <w:szCs w:val="20"/>
        </w:rPr>
        <w:t xml:space="preserve"> </w:t>
      </w:r>
      <w:r w:rsidRPr="00E41102">
        <w:rPr>
          <w:sz w:val="20"/>
          <w:szCs w:val="20"/>
        </w:rPr>
        <w:t>°C, the amount of CO</w:t>
      </w:r>
      <w:r w:rsidRPr="00E41102">
        <w:rPr>
          <w:sz w:val="20"/>
          <w:szCs w:val="20"/>
          <w:vertAlign w:val="subscript"/>
        </w:rPr>
        <w:t>2</w:t>
      </w:r>
      <w:r w:rsidRPr="00E41102">
        <w:rPr>
          <w:sz w:val="20"/>
          <w:szCs w:val="20"/>
        </w:rPr>
        <w:t xml:space="preserve"> desorbed for the SOD-TO sample was higher than that of the Na-SOD sample. In this study, the peaks with broader width and high peak area for the SOD-TO sample was found at around 300</w:t>
      </w:r>
      <w:r w:rsidR="004815CC">
        <w:rPr>
          <w:sz w:val="20"/>
          <w:szCs w:val="20"/>
        </w:rPr>
        <w:t xml:space="preserve"> </w:t>
      </w:r>
      <w:r w:rsidRPr="00E41102">
        <w:rPr>
          <w:sz w:val="20"/>
          <w:szCs w:val="20"/>
        </w:rPr>
        <w:t>°C. This suggested that within this range of temperature, more CO</w:t>
      </w:r>
      <w:r w:rsidRPr="00E41102">
        <w:rPr>
          <w:sz w:val="20"/>
          <w:szCs w:val="20"/>
          <w:vertAlign w:val="subscript"/>
        </w:rPr>
        <w:t>2</w:t>
      </w:r>
      <w:r w:rsidRPr="00E41102">
        <w:rPr>
          <w:sz w:val="20"/>
          <w:szCs w:val="20"/>
        </w:rPr>
        <w:t xml:space="preserve"> was desorbed from SOD-TO sample. From the results, at temperature below 500</w:t>
      </w:r>
      <w:r w:rsidR="004815CC">
        <w:rPr>
          <w:sz w:val="20"/>
          <w:szCs w:val="20"/>
        </w:rPr>
        <w:t xml:space="preserve"> </w:t>
      </w:r>
      <w:r w:rsidRPr="00E41102">
        <w:rPr>
          <w:sz w:val="20"/>
          <w:szCs w:val="20"/>
        </w:rPr>
        <w:t xml:space="preserve">°C, the amount of basic site for the SOD-TO sample is higher than the Na-SOD sample. This phenomenon should be due to the presence of mesoporosity in the SOD-TO sample that leads to </w:t>
      </w:r>
      <w:r>
        <w:rPr>
          <w:sz w:val="20"/>
          <w:szCs w:val="20"/>
        </w:rPr>
        <w:t xml:space="preserve">the </w:t>
      </w:r>
      <w:r w:rsidRPr="00E41102">
        <w:rPr>
          <w:sz w:val="20"/>
          <w:szCs w:val="20"/>
        </w:rPr>
        <w:t xml:space="preserve">increase in </w:t>
      </w:r>
      <w:r>
        <w:rPr>
          <w:sz w:val="20"/>
          <w:szCs w:val="20"/>
        </w:rPr>
        <w:t xml:space="preserve">the </w:t>
      </w:r>
      <w:r w:rsidRPr="00E41102">
        <w:rPr>
          <w:sz w:val="20"/>
          <w:szCs w:val="20"/>
        </w:rPr>
        <w:t>basic sites available for CO</w:t>
      </w:r>
      <w:r w:rsidRPr="00E41102">
        <w:rPr>
          <w:sz w:val="20"/>
          <w:szCs w:val="20"/>
          <w:vertAlign w:val="subscript"/>
        </w:rPr>
        <w:t>2</w:t>
      </w:r>
      <w:r w:rsidRPr="00E41102">
        <w:rPr>
          <w:sz w:val="20"/>
          <w:szCs w:val="20"/>
        </w:rPr>
        <w:t xml:space="preserve"> to react. Thus, more CO</w:t>
      </w:r>
      <w:r w:rsidRPr="00E41102">
        <w:rPr>
          <w:sz w:val="20"/>
          <w:szCs w:val="20"/>
          <w:vertAlign w:val="subscript"/>
        </w:rPr>
        <w:t>2</w:t>
      </w:r>
      <w:r w:rsidRPr="00E41102">
        <w:rPr>
          <w:sz w:val="20"/>
          <w:szCs w:val="20"/>
        </w:rPr>
        <w:t xml:space="preserve"> is physically attached within the mesopores channels of the SOD-TO sample. It is also suggested that the interaction of CO</w:t>
      </w:r>
      <w:r w:rsidRPr="00E41102">
        <w:rPr>
          <w:sz w:val="20"/>
          <w:szCs w:val="20"/>
          <w:vertAlign w:val="subscript"/>
        </w:rPr>
        <w:t>2</w:t>
      </w:r>
      <w:r w:rsidRPr="00E41102">
        <w:rPr>
          <w:sz w:val="20"/>
          <w:szCs w:val="20"/>
        </w:rPr>
        <w:t xml:space="preserve"> with the basic site in the mesopore channels is not very strong and can be easily detached at lower temperature</w:t>
      </w:r>
    </w:p>
    <w:p w:rsidR="00E41102" w:rsidRDefault="00E41102" w:rsidP="00E41102">
      <w:pPr>
        <w:spacing w:after="0" w:line="240" w:lineRule="auto"/>
        <w:jc w:val="center"/>
        <w:rPr>
          <w:sz w:val="20"/>
          <w:szCs w:val="20"/>
        </w:rPr>
      </w:pPr>
    </w:p>
    <w:p w:rsidR="004815CC" w:rsidRDefault="004815CC" w:rsidP="004F4B4A">
      <w:pPr>
        <w:spacing w:after="0" w:line="240" w:lineRule="auto"/>
        <w:jc w:val="center"/>
        <w:rPr>
          <w:sz w:val="20"/>
          <w:szCs w:val="20"/>
        </w:rPr>
      </w:pPr>
      <w:r>
        <w:rPr>
          <w:noProof/>
          <w:sz w:val="20"/>
          <w:szCs w:val="20"/>
        </w:rPr>
        <w:drawing>
          <wp:anchor distT="0" distB="0" distL="114300" distR="114300" simplePos="0" relativeHeight="251638272" behindDoc="1" locked="0" layoutInCell="1" allowOverlap="1" wp14:anchorId="71F2CFCD" wp14:editId="0B1AF1AC">
            <wp:simplePos x="0" y="0"/>
            <wp:positionH relativeFrom="column">
              <wp:posOffset>1414780</wp:posOffset>
            </wp:positionH>
            <wp:positionV relativeFrom="paragraph">
              <wp:posOffset>19685</wp:posOffset>
            </wp:positionV>
            <wp:extent cx="3253740" cy="2159635"/>
            <wp:effectExtent l="19050" t="1905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3740" cy="2159635"/>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4815CC" w:rsidRDefault="004815CC" w:rsidP="004F4B4A">
      <w:pPr>
        <w:spacing w:after="0" w:line="240" w:lineRule="auto"/>
        <w:jc w:val="center"/>
        <w:rPr>
          <w:sz w:val="20"/>
          <w:szCs w:val="20"/>
        </w:rPr>
      </w:pPr>
    </w:p>
    <w:p w:rsidR="004815CC" w:rsidRDefault="004815CC" w:rsidP="004F4B4A">
      <w:pPr>
        <w:spacing w:after="0" w:line="240" w:lineRule="auto"/>
        <w:jc w:val="center"/>
        <w:rPr>
          <w:sz w:val="20"/>
          <w:szCs w:val="20"/>
        </w:rPr>
      </w:pPr>
    </w:p>
    <w:p w:rsidR="004815CC" w:rsidRDefault="00B26327" w:rsidP="004F4B4A">
      <w:pPr>
        <w:spacing w:after="0" w:line="240" w:lineRule="auto"/>
        <w:jc w:val="center"/>
        <w:rPr>
          <w:sz w:val="20"/>
          <w:szCs w:val="20"/>
        </w:rPr>
      </w:pPr>
      <w:r>
        <w:rPr>
          <w:noProof/>
          <w:sz w:val="20"/>
          <w:szCs w:val="20"/>
        </w:rPr>
        <w:pict>
          <v:rect id="_x0000_s1032" style="position:absolute;left:0;text-align:left;margin-left:76.85pt;margin-top:46.9pt;width:94.9pt;height:22.5pt;rotation:270;z-index:251644416;mso-position-horizontal:absolute" filled="f" stroked="f">
            <v:textbox style="layout-flow:vertical;mso-layout-flow-alt:bottom-to-top;mso-next-textbox:#_x0000_s1032">
              <w:txbxContent>
                <w:p w:rsidR="005545F3" w:rsidRPr="004815CC" w:rsidRDefault="005545F3" w:rsidP="004F4B4A">
                  <w:pPr>
                    <w:jc w:val="center"/>
                    <w:rPr>
                      <w:rFonts w:cs="Times New Roman"/>
                      <w:sz w:val="18"/>
                      <w:szCs w:val="20"/>
                    </w:rPr>
                  </w:pPr>
                  <w:r w:rsidRPr="004815CC">
                    <w:rPr>
                      <w:rFonts w:cs="Times New Roman"/>
                      <w:sz w:val="18"/>
                      <w:szCs w:val="20"/>
                    </w:rPr>
                    <w:t>CO</w:t>
                  </w:r>
                  <w:r w:rsidRPr="004815CC">
                    <w:rPr>
                      <w:rFonts w:cs="Times New Roman"/>
                      <w:sz w:val="18"/>
                      <w:szCs w:val="20"/>
                      <w:vertAlign w:val="subscript"/>
                    </w:rPr>
                    <w:t>2</w:t>
                  </w:r>
                  <w:r w:rsidRPr="004815CC">
                    <w:rPr>
                      <w:rFonts w:cs="Times New Roman"/>
                      <w:sz w:val="18"/>
                      <w:szCs w:val="20"/>
                    </w:rPr>
                    <w:t xml:space="preserve"> Desorbed (a.u)</w:t>
                  </w:r>
                </w:p>
                <w:p w:rsidR="005545F3" w:rsidRPr="002A6F6B" w:rsidRDefault="005545F3" w:rsidP="004F4B4A">
                  <w:pPr>
                    <w:rPr>
                      <w:sz w:val="18"/>
                      <w:szCs w:val="18"/>
                    </w:rPr>
                  </w:pPr>
                </w:p>
              </w:txbxContent>
            </v:textbox>
          </v:rect>
        </w:pict>
      </w:r>
    </w:p>
    <w:p w:rsidR="004815CC" w:rsidRDefault="004815CC" w:rsidP="004F4B4A">
      <w:pPr>
        <w:spacing w:after="0" w:line="240" w:lineRule="auto"/>
        <w:jc w:val="center"/>
        <w:rPr>
          <w:sz w:val="20"/>
          <w:szCs w:val="20"/>
        </w:rPr>
      </w:pPr>
    </w:p>
    <w:p w:rsidR="004815CC" w:rsidRDefault="004815CC" w:rsidP="004F4B4A">
      <w:pPr>
        <w:spacing w:after="0" w:line="240" w:lineRule="auto"/>
        <w:jc w:val="center"/>
        <w:rPr>
          <w:sz w:val="20"/>
          <w:szCs w:val="20"/>
        </w:rPr>
      </w:pPr>
    </w:p>
    <w:p w:rsidR="004815CC" w:rsidRDefault="004815CC" w:rsidP="004F4B4A">
      <w:pPr>
        <w:spacing w:after="0" w:line="240" w:lineRule="auto"/>
        <w:jc w:val="center"/>
        <w:rPr>
          <w:sz w:val="20"/>
          <w:szCs w:val="20"/>
        </w:rPr>
      </w:pPr>
    </w:p>
    <w:p w:rsidR="004815CC" w:rsidRDefault="004815CC" w:rsidP="004F4B4A">
      <w:pPr>
        <w:spacing w:after="0" w:line="240" w:lineRule="auto"/>
        <w:jc w:val="center"/>
        <w:rPr>
          <w:sz w:val="20"/>
          <w:szCs w:val="20"/>
        </w:rPr>
      </w:pPr>
    </w:p>
    <w:p w:rsidR="004815CC" w:rsidRDefault="004815CC" w:rsidP="004F4B4A">
      <w:pPr>
        <w:spacing w:after="0" w:line="240" w:lineRule="auto"/>
        <w:jc w:val="center"/>
        <w:rPr>
          <w:sz w:val="20"/>
          <w:szCs w:val="20"/>
        </w:rPr>
      </w:pPr>
    </w:p>
    <w:p w:rsidR="004815CC" w:rsidRDefault="004815CC" w:rsidP="004F4B4A">
      <w:pPr>
        <w:spacing w:after="0" w:line="240" w:lineRule="auto"/>
        <w:jc w:val="center"/>
        <w:rPr>
          <w:sz w:val="20"/>
          <w:szCs w:val="20"/>
        </w:rPr>
      </w:pPr>
    </w:p>
    <w:p w:rsidR="004815CC" w:rsidRDefault="004815CC" w:rsidP="004F4B4A">
      <w:pPr>
        <w:spacing w:after="0" w:line="240" w:lineRule="auto"/>
        <w:jc w:val="center"/>
        <w:rPr>
          <w:sz w:val="20"/>
          <w:szCs w:val="20"/>
        </w:rPr>
      </w:pPr>
    </w:p>
    <w:p w:rsidR="004815CC" w:rsidRDefault="004815CC" w:rsidP="004F4B4A">
      <w:pPr>
        <w:spacing w:after="0" w:line="240" w:lineRule="auto"/>
        <w:jc w:val="center"/>
        <w:rPr>
          <w:sz w:val="20"/>
          <w:szCs w:val="20"/>
        </w:rPr>
      </w:pPr>
    </w:p>
    <w:p w:rsidR="004815CC" w:rsidRDefault="004815CC" w:rsidP="004F4B4A">
      <w:pPr>
        <w:spacing w:after="0" w:line="240" w:lineRule="auto"/>
        <w:jc w:val="center"/>
        <w:rPr>
          <w:sz w:val="20"/>
          <w:szCs w:val="20"/>
        </w:rPr>
      </w:pPr>
    </w:p>
    <w:p w:rsidR="004815CC" w:rsidRDefault="00B26327" w:rsidP="004F4B4A">
      <w:pPr>
        <w:spacing w:after="0" w:line="240" w:lineRule="auto"/>
        <w:jc w:val="center"/>
        <w:rPr>
          <w:sz w:val="20"/>
          <w:szCs w:val="20"/>
        </w:rPr>
      </w:pPr>
      <w:r>
        <w:rPr>
          <w:noProof/>
          <w:sz w:val="20"/>
          <w:szCs w:val="20"/>
        </w:rPr>
        <w:pict>
          <v:shape id="_x0000_s1031" type="#_x0000_t202" style="position:absolute;left:0;text-align:left;margin-left:186.65pt;margin-top:8.15pt;width:113.25pt;height:16.25pt;z-index:251643392;mso-width-relative:margin;mso-height-relative:margin" filled="f" stroked="f">
            <v:textbox style="mso-next-textbox:#_x0000_s1031">
              <w:txbxContent>
                <w:p w:rsidR="005545F3" w:rsidRPr="004815CC" w:rsidRDefault="005545F3" w:rsidP="004F4B4A">
                  <w:pPr>
                    <w:jc w:val="center"/>
                    <w:rPr>
                      <w:rFonts w:cs="Times New Roman"/>
                      <w:sz w:val="18"/>
                      <w:szCs w:val="20"/>
                    </w:rPr>
                  </w:pPr>
                  <w:r w:rsidRPr="004815CC">
                    <w:rPr>
                      <w:rFonts w:cs="Times New Roman"/>
                      <w:sz w:val="18"/>
                      <w:szCs w:val="20"/>
                    </w:rPr>
                    <w:t>Temperature (°C)</w:t>
                  </w:r>
                </w:p>
                <w:p w:rsidR="005545F3" w:rsidRPr="002A6F6B" w:rsidRDefault="005545F3" w:rsidP="004F4B4A">
                  <w:pPr>
                    <w:rPr>
                      <w:sz w:val="18"/>
                      <w:szCs w:val="18"/>
                    </w:rPr>
                  </w:pPr>
                </w:p>
              </w:txbxContent>
            </v:textbox>
          </v:shape>
        </w:pict>
      </w:r>
    </w:p>
    <w:p w:rsidR="004815CC" w:rsidRDefault="004815CC" w:rsidP="004F4B4A">
      <w:pPr>
        <w:spacing w:after="0" w:line="240" w:lineRule="auto"/>
        <w:jc w:val="center"/>
        <w:rPr>
          <w:sz w:val="20"/>
          <w:szCs w:val="20"/>
        </w:rPr>
      </w:pPr>
    </w:p>
    <w:p w:rsidR="004815CC" w:rsidRDefault="004815CC" w:rsidP="004F4B4A">
      <w:pPr>
        <w:spacing w:after="0" w:line="240" w:lineRule="auto"/>
        <w:jc w:val="center"/>
        <w:rPr>
          <w:sz w:val="20"/>
          <w:szCs w:val="20"/>
        </w:rPr>
      </w:pPr>
    </w:p>
    <w:p w:rsidR="00E41102" w:rsidRDefault="004F4B4A" w:rsidP="004F4B4A">
      <w:pPr>
        <w:spacing w:after="0" w:line="240" w:lineRule="auto"/>
        <w:jc w:val="center"/>
        <w:rPr>
          <w:sz w:val="20"/>
          <w:szCs w:val="20"/>
        </w:rPr>
      </w:pPr>
      <w:r w:rsidRPr="004F4B4A">
        <w:rPr>
          <w:sz w:val="20"/>
          <w:szCs w:val="20"/>
        </w:rPr>
        <w:t xml:space="preserve">Figure </w:t>
      </w:r>
      <w:r w:rsidR="001546C4">
        <w:rPr>
          <w:sz w:val="20"/>
          <w:szCs w:val="20"/>
        </w:rPr>
        <w:t>5</w:t>
      </w:r>
      <w:r w:rsidR="004815CC">
        <w:rPr>
          <w:sz w:val="20"/>
          <w:szCs w:val="20"/>
        </w:rPr>
        <w:t xml:space="preserve">. </w:t>
      </w:r>
      <w:r w:rsidRPr="004F4B4A">
        <w:rPr>
          <w:rFonts w:cs="Times New Roman"/>
          <w:sz w:val="20"/>
          <w:szCs w:val="20"/>
        </w:rPr>
        <w:t>TPD-CO</w:t>
      </w:r>
      <w:r w:rsidRPr="004F4B4A">
        <w:rPr>
          <w:rFonts w:cs="Times New Roman"/>
          <w:sz w:val="20"/>
          <w:szCs w:val="20"/>
          <w:vertAlign w:val="subscript"/>
        </w:rPr>
        <w:t>2</w:t>
      </w:r>
      <w:r w:rsidRPr="004F4B4A">
        <w:rPr>
          <w:rFonts w:cs="Times New Roman"/>
          <w:sz w:val="20"/>
          <w:szCs w:val="20"/>
        </w:rPr>
        <w:t xml:space="preserve"> analysis for the SOD-TO and Na-SOD samples</w:t>
      </w:r>
    </w:p>
    <w:p w:rsidR="00006FDE" w:rsidRDefault="00006FDE" w:rsidP="00624FF2">
      <w:pPr>
        <w:spacing w:after="0" w:line="240" w:lineRule="auto"/>
        <w:jc w:val="both"/>
        <w:rPr>
          <w:sz w:val="20"/>
          <w:szCs w:val="20"/>
        </w:rPr>
      </w:pPr>
    </w:p>
    <w:p w:rsidR="004F4B4A" w:rsidRPr="004F4B4A" w:rsidRDefault="004F4B4A" w:rsidP="00624FF2">
      <w:pPr>
        <w:spacing w:after="0" w:line="240" w:lineRule="auto"/>
        <w:jc w:val="both"/>
        <w:rPr>
          <w:sz w:val="20"/>
          <w:szCs w:val="20"/>
        </w:rPr>
      </w:pPr>
      <w:r w:rsidRPr="004F4B4A">
        <w:rPr>
          <w:b/>
          <w:sz w:val="20"/>
          <w:szCs w:val="20"/>
        </w:rPr>
        <w:t xml:space="preserve">Catalytic </w:t>
      </w:r>
      <w:r w:rsidR="004815CC" w:rsidRPr="004F4B4A">
        <w:rPr>
          <w:b/>
          <w:sz w:val="20"/>
          <w:szCs w:val="20"/>
        </w:rPr>
        <w:t>activity study</w:t>
      </w:r>
    </w:p>
    <w:p w:rsidR="004F4B4A" w:rsidRDefault="004F4B4A" w:rsidP="004F4B4A">
      <w:pPr>
        <w:spacing w:after="0" w:line="240" w:lineRule="auto"/>
        <w:jc w:val="both"/>
        <w:rPr>
          <w:rFonts w:cs="Times New Roman"/>
          <w:sz w:val="20"/>
          <w:szCs w:val="20"/>
        </w:rPr>
      </w:pPr>
      <w:r w:rsidRPr="004F4B4A">
        <w:rPr>
          <w:sz w:val="20"/>
          <w:szCs w:val="20"/>
        </w:rPr>
        <w:t>The catalytic activity of all SOD samples was tested</w:t>
      </w:r>
      <w:r w:rsidR="00446A12">
        <w:rPr>
          <w:sz w:val="20"/>
          <w:szCs w:val="20"/>
        </w:rPr>
        <w:t xml:space="preserve"> as base catalysts </w:t>
      </w:r>
      <w:r w:rsidRPr="004F4B4A">
        <w:rPr>
          <w:sz w:val="20"/>
          <w:szCs w:val="20"/>
        </w:rPr>
        <w:t xml:space="preserve">in the reaction </w:t>
      </w:r>
      <w:r w:rsidR="00FF0B5A">
        <w:rPr>
          <w:sz w:val="20"/>
          <w:szCs w:val="20"/>
        </w:rPr>
        <w:t xml:space="preserve">Knoevenagel condensation reaction </w:t>
      </w:r>
      <w:r w:rsidRPr="004F4B4A">
        <w:rPr>
          <w:sz w:val="20"/>
          <w:szCs w:val="20"/>
        </w:rPr>
        <w:t xml:space="preserve">between benzaldehyde and diethyl malonate. </w:t>
      </w:r>
      <w:r w:rsidRPr="004F4B4A">
        <w:rPr>
          <w:rFonts w:cs="Times New Roman"/>
          <w:sz w:val="20"/>
          <w:szCs w:val="20"/>
        </w:rPr>
        <w:t>The reaction was expected to give an enone which was diethyl-2-benzylidenemalonate as the major product as shown in Scheme 1.</w:t>
      </w:r>
    </w:p>
    <w:p w:rsidR="004F4B4A" w:rsidRDefault="004F4B4A" w:rsidP="004F4B4A">
      <w:pPr>
        <w:spacing w:after="0" w:line="240" w:lineRule="auto"/>
        <w:jc w:val="both"/>
        <w:rPr>
          <w:rFonts w:cs="Times New Roman"/>
          <w:sz w:val="20"/>
          <w:szCs w:val="20"/>
        </w:rPr>
      </w:pPr>
    </w:p>
    <w:p w:rsidR="004F4B4A" w:rsidRPr="004F4B4A" w:rsidRDefault="00B26327" w:rsidP="004815CC">
      <w:pPr>
        <w:spacing w:after="0" w:line="240" w:lineRule="auto"/>
        <w:jc w:val="center"/>
        <w:rPr>
          <w:rFonts w:cs="Times New Roman"/>
          <w:sz w:val="20"/>
          <w:szCs w:val="20"/>
        </w:rPr>
      </w:pPr>
      <w:r>
        <w:rPr>
          <w:noProof/>
          <w:sz w:val="20"/>
          <w:szCs w:val="20"/>
        </w:rPr>
        <w:lastRenderedPageBreak/>
        <w:pict>
          <v:shape id="_x0000_s1035" type="#_x0000_t202" style="position:absolute;left:0;text-align:left;margin-left:273.8pt;margin-top:66.95pt;width:147.7pt;height:22.5pt;z-index:251647488;mso-width-relative:margin;mso-height-relative:margin" stroked="f">
            <v:textbox style="mso-next-textbox:#_x0000_s1035">
              <w:txbxContent>
                <w:p w:rsidR="005545F3" w:rsidRPr="004815CC" w:rsidRDefault="005545F3" w:rsidP="004F4B4A">
                  <w:pPr>
                    <w:rPr>
                      <w:rFonts w:cs="Times New Roman"/>
                      <w:sz w:val="18"/>
                      <w:szCs w:val="20"/>
                    </w:rPr>
                  </w:pPr>
                  <w:r w:rsidRPr="004815CC">
                    <w:rPr>
                      <w:rFonts w:cs="Times New Roman"/>
                      <w:sz w:val="18"/>
                      <w:szCs w:val="20"/>
                    </w:rPr>
                    <w:t>Diethyl-2-benzylidenemalonate</w:t>
                  </w:r>
                </w:p>
              </w:txbxContent>
            </v:textbox>
          </v:shape>
        </w:pict>
      </w:r>
      <w:r>
        <w:rPr>
          <w:noProof/>
          <w:sz w:val="20"/>
          <w:szCs w:val="20"/>
        </w:rPr>
        <w:pict>
          <v:shape id="_x0000_s1034" type="#_x0000_t202" style="position:absolute;left:0;text-align:left;margin-left:114.75pt;margin-top:66.2pt;width:86.85pt;height:23.25pt;z-index:251646464;mso-width-relative:margin;mso-height-relative:margin" stroked="f">
            <v:textbox style="mso-next-textbox:#_x0000_s1034">
              <w:txbxContent>
                <w:p w:rsidR="005545F3" w:rsidRPr="004815CC" w:rsidRDefault="005545F3" w:rsidP="004F4B4A">
                  <w:pPr>
                    <w:rPr>
                      <w:rFonts w:cs="Times New Roman"/>
                      <w:sz w:val="18"/>
                      <w:szCs w:val="20"/>
                    </w:rPr>
                  </w:pPr>
                  <w:r w:rsidRPr="004815CC">
                    <w:rPr>
                      <w:rFonts w:cs="Times New Roman"/>
                      <w:sz w:val="18"/>
                      <w:szCs w:val="20"/>
                    </w:rPr>
                    <w:t>Diethyl-malonate</w:t>
                  </w:r>
                </w:p>
              </w:txbxContent>
            </v:textbox>
          </v:shape>
        </w:pict>
      </w:r>
      <w:r>
        <w:rPr>
          <w:noProof/>
          <w:sz w:val="20"/>
          <w:szCs w:val="20"/>
        </w:rPr>
        <w:pict>
          <v:shape id="_x0000_s1033" type="#_x0000_t202" style="position:absolute;left:0;text-align:left;margin-left:20.55pt;margin-top:66.2pt;width:72.35pt;height:23.25pt;z-index:251645440;mso-width-relative:margin;mso-height-relative:margin" stroked="f">
            <v:textbox style="mso-next-textbox:#_x0000_s1033">
              <w:txbxContent>
                <w:p w:rsidR="005545F3" w:rsidRPr="004815CC" w:rsidRDefault="005545F3" w:rsidP="004F4B4A">
                  <w:pPr>
                    <w:rPr>
                      <w:rFonts w:cs="Times New Roman"/>
                      <w:sz w:val="18"/>
                      <w:szCs w:val="20"/>
                    </w:rPr>
                  </w:pPr>
                  <w:r w:rsidRPr="004815CC">
                    <w:rPr>
                      <w:rFonts w:cs="Times New Roman"/>
                      <w:sz w:val="18"/>
                      <w:szCs w:val="20"/>
                    </w:rPr>
                    <w:t>Benzaldehyde</w:t>
                  </w:r>
                </w:p>
              </w:txbxContent>
            </v:textbox>
          </v:shape>
        </w:pict>
      </w:r>
      <w:r w:rsidR="004815CC" w:rsidRPr="008A0B14">
        <w:rPr>
          <w:rFonts w:cs="Times New Roman"/>
        </w:rPr>
        <w:object w:dxaOrig="9976" w:dyaOrig="1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67pt" o:ole="">
            <v:imagedata r:id="rId21" o:title=""/>
          </v:shape>
          <o:OLEObject Type="Embed" ProgID="ChemDraw.Document.6.0" ShapeID="_x0000_i1025" DrawAspect="Content" ObjectID="_1562832854" r:id="rId22"/>
        </w:object>
      </w:r>
    </w:p>
    <w:p w:rsidR="004F4B4A" w:rsidRDefault="004F4B4A" w:rsidP="00624FF2">
      <w:pPr>
        <w:spacing w:after="0" w:line="240" w:lineRule="auto"/>
        <w:jc w:val="both"/>
        <w:rPr>
          <w:sz w:val="20"/>
          <w:szCs w:val="20"/>
        </w:rPr>
      </w:pPr>
    </w:p>
    <w:p w:rsidR="004F4B4A" w:rsidRDefault="004815CC" w:rsidP="004F4B4A">
      <w:pPr>
        <w:jc w:val="right"/>
        <w:rPr>
          <w:sz w:val="20"/>
          <w:szCs w:val="20"/>
        </w:rPr>
      </w:pPr>
      <w:r>
        <w:rPr>
          <w:sz w:val="20"/>
          <w:szCs w:val="20"/>
        </w:rPr>
        <w:t xml:space="preserve">   </w:t>
      </w:r>
    </w:p>
    <w:p w:rsidR="004F4B4A" w:rsidRDefault="004F4B4A" w:rsidP="004F4B4A">
      <w:pPr>
        <w:spacing w:after="0" w:line="240" w:lineRule="auto"/>
        <w:jc w:val="center"/>
        <w:rPr>
          <w:rFonts w:cs="Times New Roman"/>
          <w:sz w:val="20"/>
          <w:szCs w:val="20"/>
        </w:rPr>
      </w:pPr>
      <w:r w:rsidRPr="004F4B4A">
        <w:rPr>
          <w:sz w:val="20"/>
          <w:szCs w:val="20"/>
        </w:rPr>
        <w:t>Scheme 1</w:t>
      </w:r>
      <w:r w:rsidR="004815CC">
        <w:rPr>
          <w:sz w:val="20"/>
          <w:szCs w:val="20"/>
        </w:rPr>
        <w:t xml:space="preserve">. </w:t>
      </w:r>
      <w:r w:rsidRPr="004F4B4A">
        <w:rPr>
          <w:rFonts w:cs="Times New Roman"/>
          <w:sz w:val="20"/>
          <w:szCs w:val="20"/>
        </w:rPr>
        <w:t>Equation of Knoevenagel condensation reaction between benzaldehyde and diethyl malonate</w:t>
      </w:r>
    </w:p>
    <w:p w:rsidR="004F4B4A" w:rsidRDefault="004F4B4A" w:rsidP="004F4B4A">
      <w:pPr>
        <w:spacing w:after="0" w:line="240" w:lineRule="auto"/>
        <w:jc w:val="center"/>
        <w:rPr>
          <w:rFonts w:cs="Times New Roman"/>
          <w:sz w:val="20"/>
          <w:szCs w:val="20"/>
        </w:rPr>
      </w:pPr>
    </w:p>
    <w:p w:rsidR="004F4B4A" w:rsidRPr="00446A12" w:rsidRDefault="00FF0B5A" w:rsidP="00446A12">
      <w:pPr>
        <w:spacing w:after="0" w:line="240" w:lineRule="auto"/>
        <w:jc w:val="both"/>
        <w:rPr>
          <w:sz w:val="20"/>
          <w:szCs w:val="20"/>
        </w:rPr>
      </w:pPr>
      <w:r>
        <w:rPr>
          <w:sz w:val="20"/>
          <w:szCs w:val="20"/>
        </w:rPr>
        <w:t>Since the result</w:t>
      </w:r>
      <w:r w:rsidR="00D149FC">
        <w:rPr>
          <w:sz w:val="20"/>
          <w:szCs w:val="20"/>
        </w:rPr>
        <w:t>s</w:t>
      </w:r>
      <w:r>
        <w:rPr>
          <w:sz w:val="20"/>
          <w:szCs w:val="20"/>
        </w:rPr>
        <w:t xml:space="preserve"> of the reaction showed that</w:t>
      </w:r>
      <w:r w:rsidR="007336DB">
        <w:rPr>
          <w:sz w:val="20"/>
          <w:szCs w:val="20"/>
        </w:rPr>
        <w:t xml:space="preserve"> </w:t>
      </w:r>
      <w:r>
        <w:rPr>
          <w:sz w:val="20"/>
          <w:szCs w:val="20"/>
        </w:rPr>
        <w:t>t</w:t>
      </w:r>
      <w:r w:rsidR="004F4B4A" w:rsidRPr="00446A12">
        <w:rPr>
          <w:sz w:val="20"/>
          <w:szCs w:val="20"/>
        </w:rPr>
        <w:t>he reactants were converted into products</w:t>
      </w:r>
      <w:r>
        <w:rPr>
          <w:sz w:val="20"/>
          <w:szCs w:val="20"/>
        </w:rPr>
        <w:t>, it was</w:t>
      </w:r>
      <w:r w:rsidR="004F4B4A" w:rsidRPr="00446A12">
        <w:rPr>
          <w:sz w:val="20"/>
          <w:szCs w:val="20"/>
        </w:rPr>
        <w:t xml:space="preserve"> suggested that all SOD catalysts</w:t>
      </w:r>
      <w:r w:rsidR="007336DB">
        <w:rPr>
          <w:sz w:val="20"/>
          <w:szCs w:val="20"/>
        </w:rPr>
        <w:t xml:space="preserve"> synthesized in this study</w:t>
      </w:r>
      <w:r w:rsidR="004F4B4A" w:rsidRPr="00446A12">
        <w:rPr>
          <w:sz w:val="20"/>
          <w:szCs w:val="20"/>
        </w:rPr>
        <w:t xml:space="preserve"> </w:t>
      </w:r>
      <w:r w:rsidR="007336DB">
        <w:rPr>
          <w:sz w:val="20"/>
          <w:szCs w:val="20"/>
        </w:rPr>
        <w:t>were</w:t>
      </w:r>
      <w:r w:rsidR="007336DB" w:rsidRPr="00446A12">
        <w:rPr>
          <w:sz w:val="20"/>
          <w:szCs w:val="20"/>
        </w:rPr>
        <w:t xml:space="preserve"> </w:t>
      </w:r>
      <w:r w:rsidR="004F4B4A" w:rsidRPr="00446A12">
        <w:rPr>
          <w:sz w:val="20"/>
          <w:szCs w:val="20"/>
        </w:rPr>
        <w:t xml:space="preserve">active for the Knoevenagel condensation reaction. </w:t>
      </w:r>
      <w:r w:rsidR="00446A12" w:rsidRPr="00446A12">
        <w:rPr>
          <w:sz w:val="20"/>
          <w:szCs w:val="20"/>
        </w:rPr>
        <w:t>As shown in Scheme 1, it was deduced that only one product produced from the reaction. However, two side products were obtained from this reaction. The most probable compounds produced as side products belong to ethyl cinnamate as a major side product and diethyl 2,</w:t>
      </w:r>
      <w:r w:rsidR="005C46C5">
        <w:rPr>
          <w:sz w:val="20"/>
          <w:szCs w:val="20"/>
        </w:rPr>
        <w:t xml:space="preserve"> </w:t>
      </w:r>
      <w:r w:rsidR="00446A12" w:rsidRPr="00446A12">
        <w:rPr>
          <w:sz w:val="20"/>
          <w:szCs w:val="20"/>
        </w:rPr>
        <w:t>2- bis(hydroxy(phenyl)methyl) mal</w:t>
      </w:r>
      <w:r w:rsidR="005C46C5">
        <w:rPr>
          <w:sz w:val="20"/>
          <w:szCs w:val="20"/>
        </w:rPr>
        <w:t xml:space="preserve">onate as a minor side product. </w:t>
      </w:r>
      <w:r w:rsidR="00446A12" w:rsidRPr="00446A12">
        <w:rPr>
          <w:sz w:val="20"/>
          <w:szCs w:val="20"/>
        </w:rPr>
        <w:t xml:space="preserve">The reactivity of the SOD catalysts was studied in term of percentages of conversion and selectivity. Besides, the percentage of yield for all SOD catalysts was calculated based on the major product. </w:t>
      </w:r>
      <w:r w:rsidR="004F4B4A" w:rsidRPr="00446A12">
        <w:rPr>
          <w:sz w:val="20"/>
          <w:szCs w:val="20"/>
        </w:rPr>
        <w:t xml:space="preserve">The percentages of </w:t>
      </w:r>
      <w:r w:rsidR="00446A12">
        <w:rPr>
          <w:sz w:val="20"/>
          <w:szCs w:val="20"/>
        </w:rPr>
        <w:t xml:space="preserve">yield, </w:t>
      </w:r>
      <w:r w:rsidR="004F4B4A" w:rsidRPr="00446A12">
        <w:rPr>
          <w:sz w:val="20"/>
          <w:szCs w:val="20"/>
        </w:rPr>
        <w:t xml:space="preserve">conversion and selectivity of the SOD catalysts are listed in Table 5. SOD-TO </w:t>
      </w:r>
      <w:r w:rsidR="005C46C5" w:rsidRPr="00446A12">
        <w:rPr>
          <w:sz w:val="20"/>
          <w:szCs w:val="20"/>
        </w:rPr>
        <w:t>produce</w:t>
      </w:r>
      <w:r w:rsidR="004F4B4A" w:rsidRPr="00446A12">
        <w:rPr>
          <w:sz w:val="20"/>
          <w:szCs w:val="20"/>
        </w:rPr>
        <w:t xml:space="preserve"> the highest </w:t>
      </w:r>
      <w:r w:rsidR="004F4B4A" w:rsidRPr="00446A12">
        <w:rPr>
          <w:color w:val="000000" w:themeColor="text1"/>
          <w:sz w:val="20"/>
          <w:szCs w:val="20"/>
        </w:rPr>
        <w:t>percentage of conversion (96.29%)</w:t>
      </w:r>
      <w:r w:rsidR="004060A1">
        <w:rPr>
          <w:color w:val="000000" w:themeColor="text1"/>
          <w:sz w:val="20"/>
          <w:szCs w:val="20"/>
        </w:rPr>
        <w:t xml:space="preserve"> </w:t>
      </w:r>
      <w:r w:rsidR="004F4B4A" w:rsidRPr="00446A12">
        <w:rPr>
          <w:color w:val="000000" w:themeColor="text1"/>
          <w:sz w:val="20"/>
          <w:szCs w:val="20"/>
        </w:rPr>
        <w:t>followed by SOD-TDDAB (95.84%), Na-SOD (95.63%), SOD-TDTAB (42.02%) and SOD-TCTAB (13.25%) after 24 h</w:t>
      </w:r>
      <w:r w:rsidR="005C46C5">
        <w:rPr>
          <w:color w:val="000000" w:themeColor="text1"/>
          <w:sz w:val="20"/>
          <w:szCs w:val="20"/>
        </w:rPr>
        <w:t>ours</w:t>
      </w:r>
      <w:r w:rsidR="004F4B4A" w:rsidRPr="00446A12">
        <w:rPr>
          <w:color w:val="000000" w:themeColor="text1"/>
          <w:sz w:val="20"/>
          <w:szCs w:val="20"/>
        </w:rPr>
        <w:t xml:space="preserve"> reaction. The higher percentage conversation of SOD-TO could be due to the higher possibility of reactants to access to the active basic sites </w:t>
      </w:r>
      <w:r w:rsidR="00E85282" w:rsidRPr="00446A12">
        <w:rPr>
          <w:color w:val="000000" w:themeColor="text1"/>
          <w:sz w:val="20"/>
          <w:szCs w:val="20"/>
        </w:rPr>
        <w:t>presen</w:t>
      </w:r>
      <w:r w:rsidR="00E85282">
        <w:rPr>
          <w:color w:val="000000" w:themeColor="text1"/>
          <w:sz w:val="20"/>
          <w:szCs w:val="20"/>
        </w:rPr>
        <w:t>t</w:t>
      </w:r>
      <w:r w:rsidR="00E85282" w:rsidRPr="00446A12">
        <w:rPr>
          <w:color w:val="000000" w:themeColor="text1"/>
          <w:sz w:val="20"/>
          <w:szCs w:val="20"/>
        </w:rPr>
        <w:t xml:space="preserve"> </w:t>
      </w:r>
      <w:r w:rsidR="004F4B4A" w:rsidRPr="00446A12">
        <w:rPr>
          <w:color w:val="000000" w:themeColor="text1"/>
          <w:sz w:val="20"/>
          <w:szCs w:val="20"/>
        </w:rPr>
        <w:t>in their mesopores. In addition, the SOD-TO catalyst possessed the higher amount of basicity indicated the higher amount of the active basic sites is available.</w:t>
      </w:r>
      <w:r w:rsidR="004060A1">
        <w:rPr>
          <w:color w:val="000000" w:themeColor="text1"/>
          <w:sz w:val="20"/>
          <w:szCs w:val="20"/>
        </w:rPr>
        <w:t xml:space="preserve"> From Table 5, the SOD-TO catalyst showed the highest percentage of yield for the major product as compared with other SOD catalysts which was 34.80%. </w:t>
      </w:r>
    </w:p>
    <w:p w:rsidR="0024678A" w:rsidRPr="004F4B4A" w:rsidRDefault="0024678A" w:rsidP="005C46C5">
      <w:pPr>
        <w:spacing w:after="0" w:line="240" w:lineRule="auto"/>
        <w:rPr>
          <w:rFonts w:cs="Times New Roman"/>
          <w:sz w:val="20"/>
          <w:szCs w:val="20"/>
        </w:rPr>
      </w:pPr>
    </w:p>
    <w:p w:rsidR="004F4B4A" w:rsidRPr="004F4B4A" w:rsidRDefault="004F4B4A" w:rsidP="00EC5EA6">
      <w:pPr>
        <w:spacing w:after="0" w:line="240" w:lineRule="auto"/>
        <w:jc w:val="center"/>
        <w:rPr>
          <w:rFonts w:cs="Times New Roman"/>
          <w:sz w:val="20"/>
          <w:szCs w:val="20"/>
        </w:rPr>
      </w:pPr>
      <w:r w:rsidRPr="004F4B4A">
        <w:rPr>
          <w:rFonts w:cs="Times New Roman"/>
          <w:sz w:val="20"/>
          <w:szCs w:val="20"/>
        </w:rPr>
        <w:t>Table 5</w:t>
      </w:r>
      <w:r w:rsidR="005C46C5">
        <w:rPr>
          <w:rFonts w:cs="Times New Roman"/>
          <w:sz w:val="20"/>
          <w:szCs w:val="20"/>
        </w:rPr>
        <w:t xml:space="preserve">. </w:t>
      </w:r>
      <w:r>
        <w:rPr>
          <w:rFonts w:cs="Times New Roman"/>
          <w:sz w:val="20"/>
          <w:szCs w:val="20"/>
        </w:rPr>
        <w:t>P</w:t>
      </w:r>
      <w:r w:rsidRPr="004F4B4A">
        <w:rPr>
          <w:rFonts w:cs="Times New Roman"/>
          <w:sz w:val="20"/>
          <w:szCs w:val="20"/>
        </w:rPr>
        <w:t>ercentages of conversion</w:t>
      </w:r>
      <w:r w:rsidR="00254848">
        <w:rPr>
          <w:rFonts w:cs="Times New Roman"/>
          <w:sz w:val="20"/>
          <w:szCs w:val="20"/>
        </w:rPr>
        <w:t>,</w:t>
      </w:r>
      <w:r w:rsidRPr="004F4B4A">
        <w:rPr>
          <w:rFonts w:cs="Times New Roman"/>
          <w:sz w:val="20"/>
          <w:szCs w:val="20"/>
        </w:rPr>
        <w:t xml:space="preserve"> selectivity </w:t>
      </w:r>
      <w:r w:rsidR="00254848" w:rsidRPr="004F4B4A">
        <w:rPr>
          <w:rFonts w:cs="Times New Roman"/>
          <w:sz w:val="20"/>
          <w:szCs w:val="20"/>
        </w:rPr>
        <w:t xml:space="preserve">and </w:t>
      </w:r>
      <w:r w:rsidR="00254848">
        <w:rPr>
          <w:rFonts w:cs="Times New Roman"/>
          <w:sz w:val="20"/>
          <w:szCs w:val="20"/>
        </w:rPr>
        <w:t xml:space="preserve">yield </w:t>
      </w:r>
      <w:r w:rsidRPr="004F4B4A">
        <w:rPr>
          <w:rFonts w:cs="Times New Roman"/>
          <w:sz w:val="20"/>
          <w:szCs w:val="20"/>
        </w:rPr>
        <w:t>of all SOD catalysts</w:t>
      </w:r>
    </w:p>
    <w:p w:rsidR="004F4B4A" w:rsidRDefault="004F4B4A" w:rsidP="00EC5EA6">
      <w:pPr>
        <w:spacing w:after="0" w:line="240" w:lineRule="auto"/>
        <w:jc w:val="center"/>
        <w:rPr>
          <w:sz w:val="20"/>
          <w:szCs w:val="20"/>
        </w:rPr>
      </w:pPr>
    </w:p>
    <w:tbl>
      <w:tblPr>
        <w:tblW w:w="7531" w:type="dxa"/>
        <w:jc w:val="center"/>
        <w:tblBorders>
          <w:top w:val="single" w:sz="4" w:space="0" w:color="000000"/>
          <w:bottom w:val="single" w:sz="4" w:space="0" w:color="000000"/>
          <w:insideV w:val="single" w:sz="4" w:space="0" w:color="000000"/>
        </w:tblBorders>
        <w:tblLook w:val="04A0" w:firstRow="1" w:lastRow="0" w:firstColumn="1" w:lastColumn="0" w:noHBand="0" w:noVBand="1"/>
      </w:tblPr>
      <w:tblGrid>
        <w:gridCol w:w="1437"/>
        <w:gridCol w:w="1632"/>
        <w:gridCol w:w="936"/>
        <w:gridCol w:w="1217"/>
        <w:gridCol w:w="1218"/>
        <w:gridCol w:w="1091"/>
      </w:tblGrid>
      <w:tr w:rsidR="005C46C5" w:rsidRPr="00386933" w:rsidTr="005C46C5">
        <w:trPr>
          <w:trHeight w:val="181"/>
          <w:jc w:val="center"/>
        </w:trPr>
        <w:tc>
          <w:tcPr>
            <w:tcW w:w="0" w:type="auto"/>
            <w:vMerge w:val="restart"/>
            <w:tcBorders>
              <w:top w:val="single" w:sz="4" w:space="0" w:color="000000"/>
              <w:bottom w:val="nil"/>
              <w:right w:val="nil"/>
            </w:tcBorders>
          </w:tcPr>
          <w:p w:rsidR="004D4D1D" w:rsidRPr="005C46C5" w:rsidRDefault="004D4D1D" w:rsidP="006860FB">
            <w:pPr>
              <w:spacing w:after="0" w:line="240" w:lineRule="auto"/>
              <w:jc w:val="center"/>
              <w:rPr>
                <w:rFonts w:cs="Times New Roman"/>
                <w:b/>
                <w:sz w:val="20"/>
                <w:szCs w:val="20"/>
              </w:rPr>
            </w:pPr>
            <w:r w:rsidRPr="005C46C5">
              <w:rPr>
                <w:rFonts w:cs="Times New Roman"/>
                <w:b/>
                <w:sz w:val="20"/>
                <w:szCs w:val="20"/>
              </w:rPr>
              <w:t>Sample</w:t>
            </w:r>
          </w:p>
        </w:tc>
        <w:tc>
          <w:tcPr>
            <w:tcW w:w="0" w:type="auto"/>
            <w:vMerge w:val="restart"/>
            <w:tcBorders>
              <w:top w:val="single" w:sz="4" w:space="0" w:color="000000"/>
              <w:left w:val="nil"/>
              <w:bottom w:val="nil"/>
              <w:right w:val="nil"/>
            </w:tcBorders>
          </w:tcPr>
          <w:p w:rsidR="004D4D1D" w:rsidRPr="005C46C5" w:rsidRDefault="004D4D1D" w:rsidP="006860FB">
            <w:pPr>
              <w:spacing w:after="0" w:line="240" w:lineRule="auto"/>
              <w:jc w:val="center"/>
              <w:rPr>
                <w:rFonts w:cs="Times New Roman"/>
                <w:b/>
                <w:sz w:val="20"/>
                <w:szCs w:val="20"/>
              </w:rPr>
            </w:pPr>
            <w:r w:rsidRPr="005C46C5">
              <w:rPr>
                <w:rFonts w:cs="Times New Roman"/>
                <w:b/>
                <w:sz w:val="20"/>
                <w:szCs w:val="20"/>
              </w:rPr>
              <w:t>Conversion (%)</w:t>
            </w:r>
          </w:p>
          <w:p w:rsidR="004D4D1D" w:rsidRPr="005C46C5" w:rsidRDefault="004D4D1D" w:rsidP="006860FB">
            <w:pPr>
              <w:spacing w:after="0" w:line="240" w:lineRule="auto"/>
              <w:jc w:val="center"/>
              <w:rPr>
                <w:rFonts w:cs="Times New Roman"/>
                <w:b/>
                <w:sz w:val="20"/>
                <w:szCs w:val="20"/>
              </w:rPr>
            </w:pPr>
          </w:p>
        </w:tc>
        <w:tc>
          <w:tcPr>
            <w:tcW w:w="0" w:type="auto"/>
            <w:gridSpan w:val="3"/>
            <w:tcBorders>
              <w:top w:val="single" w:sz="4" w:space="0" w:color="auto"/>
              <w:left w:val="nil"/>
              <w:bottom w:val="single" w:sz="4" w:space="0" w:color="auto"/>
              <w:right w:val="nil"/>
            </w:tcBorders>
          </w:tcPr>
          <w:p w:rsidR="004D4D1D" w:rsidRPr="005C46C5" w:rsidRDefault="004D4D1D" w:rsidP="006860FB">
            <w:pPr>
              <w:spacing w:after="0" w:line="240" w:lineRule="auto"/>
              <w:jc w:val="center"/>
              <w:rPr>
                <w:rFonts w:cs="Times New Roman"/>
                <w:b/>
                <w:sz w:val="20"/>
                <w:szCs w:val="20"/>
              </w:rPr>
            </w:pPr>
            <w:r w:rsidRPr="005C46C5">
              <w:rPr>
                <w:rFonts w:cs="Times New Roman"/>
                <w:b/>
                <w:sz w:val="20"/>
                <w:szCs w:val="20"/>
              </w:rPr>
              <w:t>Selectivity (%)</w:t>
            </w:r>
          </w:p>
        </w:tc>
        <w:tc>
          <w:tcPr>
            <w:tcW w:w="0" w:type="auto"/>
            <w:vMerge w:val="restart"/>
            <w:tcBorders>
              <w:top w:val="single" w:sz="4" w:space="0" w:color="000000"/>
              <w:left w:val="nil"/>
            </w:tcBorders>
          </w:tcPr>
          <w:p w:rsidR="004D4D1D" w:rsidRPr="005C46C5" w:rsidRDefault="004D4D1D" w:rsidP="006860FB">
            <w:pPr>
              <w:spacing w:after="0" w:line="240" w:lineRule="auto"/>
              <w:jc w:val="center"/>
              <w:rPr>
                <w:rFonts w:cs="Times New Roman"/>
                <w:b/>
                <w:sz w:val="20"/>
                <w:szCs w:val="20"/>
              </w:rPr>
            </w:pPr>
            <w:r w:rsidRPr="005C46C5">
              <w:rPr>
                <w:rFonts w:cs="Times New Roman"/>
                <w:b/>
                <w:sz w:val="20"/>
                <w:szCs w:val="20"/>
              </w:rPr>
              <w:t>Yield (%)</w:t>
            </w:r>
          </w:p>
        </w:tc>
      </w:tr>
      <w:tr w:rsidR="005C46C5" w:rsidRPr="00386933" w:rsidTr="005C46C5">
        <w:trPr>
          <w:trHeight w:val="347"/>
          <w:jc w:val="center"/>
        </w:trPr>
        <w:tc>
          <w:tcPr>
            <w:tcW w:w="0" w:type="auto"/>
            <w:vMerge/>
            <w:tcBorders>
              <w:top w:val="nil"/>
              <w:bottom w:val="single" w:sz="4" w:space="0" w:color="000000"/>
              <w:right w:val="nil"/>
            </w:tcBorders>
          </w:tcPr>
          <w:p w:rsidR="004D4D1D" w:rsidRPr="004F4B4A" w:rsidRDefault="004D4D1D" w:rsidP="006860FB">
            <w:pPr>
              <w:spacing w:after="0" w:line="240" w:lineRule="auto"/>
              <w:jc w:val="center"/>
              <w:rPr>
                <w:rFonts w:cs="Times New Roman"/>
                <w:sz w:val="20"/>
                <w:szCs w:val="20"/>
              </w:rPr>
            </w:pPr>
          </w:p>
        </w:tc>
        <w:tc>
          <w:tcPr>
            <w:tcW w:w="0" w:type="auto"/>
            <w:vMerge/>
            <w:tcBorders>
              <w:top w:val="nil"/>
              <w:left w:val="nil"/>
              <w:bottom w:val="single" w:sz="4" w:space="0" w:color="000000"/>
              <w:right w:val="nil"/>
            </w:tcBorders>
          </w:tcPr>
          <w:p w:rsidR="004D4D1D" w:rsidRPr="004F4B4A" w:rsidRDefault="004D4D1D" w:rsidP="006860FB">
            <w:pPr>
              <w:spacing w:after="0" w:line="240" w:lineRule="auto"/>
              <w:jc w:val="center"/>
              <w:rPr>
                <w:rFonts w:cs="Times New Roman"/>
                <w:sz w:val="20"/>
                <w:szCs w:val="20"/>
              </w:rPr>
            </w:pPr>
          </w:p>
        </w:tc>
        <w:tc>
          <w:tcPr>
            <w:tcW w:w="0" w:type="auto"/>
            <w:tcBorders>
              <w:top w:val="single" w:sz="4" w:space="0" w:color="auto"/>
              <w:left w:val="nil"/>
              <w:bottom w:val="single" w:sz="4" w:space="0" w:color="auto"/>
              <w:right w:val="nil"/>
            </w:tcBorders>
          </w:tcPr>
          <w:p w:rsidR="005C46C5" w:rsidRDefault="005C46C5" w:rsidP="006860FB">
            <w:pPr>
              <w:spacing w:after="0" w:line="240" w:lineRule="auto"/>
              <w:jc w:val="center"/>
              <w:rPr>
                <w:rFonts w:cs="Times New Roman"/>
                <w:b/>
                <w:sz w:val="20"/>
                <w:szCs w:val="20"/>
              </w:rPr>
            </w:pPr>
            <w:r>
              <w:rPr>
                <w:rFonts w:cs="Times New Roman"/>
                <w:b/>
                <w:sz w:val="20"/>
                <w:szCs w:val="20"/>
              </w:rPr>
              <w:t xml:space="preserve">Major </w:t>
            </w:r>
          </w:p>
          <w:p w:rsidR="004D4D1D" w:rsidRPr="005C46C5" w:rsidRDefault="005C46C5" w:rsidP="006860FB">
            <w:pPr>
              <w:spacing w:after="0" w:line="240" w:lineRule="auto"/>
              <w:jc w:val="center"/>
              <w:rPr>
                <w:rFonts w:cs="Times New Roman"/>
                <w:b/>
                <w:sz w:val="20"/>
                <w:szCs w:val="20"/>
              </w:rPr>
            </w:pPr>
            <w:r>
              <w:rPr>
                <w:rFonts w:cs="Times New Roman"/>
                <w:b/>
                <w:sz w:val="20"/>
                <w:szCs w:val="20"/>
              </w:rPr>
              <w:t>P</w:t>
            </w:r>
            <w:r w:rsidR="004D4D1D" w:rsidRPr="005C46C5">
              <w:rPr>
                <w:rFonts w:cs="Times New Roman"/>
                <w:b/>
                <w:sz w:val="20"/>
                <w:szCs w:val="20"/>
              </w:rPr>
              <w:t>roduct</w:t>
            </w:r>
          </w:p>
        </w:tc>
        <w:tc>
          <w:tcPr>
            <w:tcW w:w="0" w:type="auto"/>
            <w:tcBorders>
              <w:top w:val="single" w:sz="4" w:space="0" w:color="auto"/>
              <w:left w:val="nil"/>
              <w:bottom w:val="single" w:sz="4" w:space="0" w:color="auto"/>
              <w:right w:val="nil"/>
            </w:tcBorders>
          </w:tcPr>
          <w:p w:rsidR="005C46C5" w:rsidRDefault="004D4D1D" w:rsidP="006860FB">
            <w:pPr>
              <w:spacing w:after="0" w:line="240" w:lineRule="auto"/>
              <w:jc w:val="center"/>
              <w:rPr>
                <w:rFonts w:cs="Times New Roman"/>
                <w:b/>
                <w:sz w:val="20"/>
                <w:szCs w:val="20"/>
              </w:rPr>
            </w:pPr>
            <w:r w:rsidRPr="005C46C5">
              <w:rPr>
                <w:rFonts w:cs="Times New Roman"/>
                <w:b/>
                <w:sz w:val="20"/>
                <w:szCs w:val="20"/>
              </w:rPr>
              <w:t xml:space="preserve">Major </w:t>
            </w:r>
            <w:r w:rsidR="005C46C5" w:rsidRPr="005C46C5">
              <w:rPr>
                <w:rFonts w:cs="Times New Roman"/>
                <w:b/>
                <w:sz w:val="20"/>
                <w:szCs w:val="20"/>
              </w:rPr>
              <w:t xml:space="preserve">Side </w:t>
            </w:r>
          </w:p>
          <w:p w:rsidR="004D4D1D" w:rsidRPr="005C46C5" w:rsidRDefault="005C46C5" w:rsidP="006860FB">
            <w:pPr>
              <w:spacing w:after="0" w:line="240" w:lineRule="auto"/>
              <w:jc w:val="center"/>
              <w:rPr>
                <w:rFonts w:cs="Times New Roman"/>
                <w:b/>
                <w:sz w:val="20"/>
                <w:szCs w:val="20"/>
              </w:rPr>
            </w:pPr>
            <w:r w:rsidRPr="005C46C5">
              <w:rPr>
                <w:rFonts w:cs="Times New Roman"/>
                <w:b/>
                <w:sz w:val="20"/>
                <w:szCs w:val="20"/>
              </w:rPr>
              <w:t>Product</w:t>
            </w:r>
          </w:p>
        </w:tc>
        <w:tc>
          <w:tcPr>
            <w:tcW w:w="0" w:type="auto"/>
            <w:tcBorders>
              <w:top w:val="single" w:sz="4" w:space="0" w:color="auto"/>
              <w:left w:val="nil"/>
              <w:bottom w:val="single" w:sz="4" w:space="0" w:color="auto"/>
              <w:right w:val="nil"/>
            </w:tcBorders>
          </w:tcPr>
          <w:p w:rsidR="005C46C5" w:rsidRDefault="004D4D1D" w:rsidP="006860FB">
            <w:pPr>
              <w:spacing w:after="0" w:line="240" w:lineRule="auto"/>
              <w:jc w:val="center"/>
              <w:rPr>
                <w:rFonts w:cs="Times New Roman"/>
                <w:b/>
                <w:sz w:val="20"/>
                <w:szCs w:val="20"/>
              </w:rPr>
            </w:pPr>
            <w:r w:rsidRPr="005C46C5">
              <w:rPr>
                <w:rFonts w:cs="Times New Roman"/>
                <w:b/>
                <w:sz w:val="20"/>
                <w:szCs w:val="20"/>
              </w:rPr>
              <w:t xml:space="preserve">Minor </w:t>
            </w:r>
            <w:r w:rsidR="005C46C5" w:rsidRPr="005C46C5">
              <w:rPr>
                <w:rFonts w:cs="Times New Roman"/>
                <w:b/>
                <w:sz w:val="20"/>
                <w:szCs w:val="20"/>
              </w:rPr>
              <w:t xml:space="preserve">Side </w:t>
            </w:r>
          </w:p>
          <w:p w:rsidR="004D4D1D" w:rsidRPr="005C46C5" w:rsidRDefault="005C46C5" w:rsidP="006860FB">
            <w:pPr>
              <w:spacing w:after="0" w:line="240" w:lineRule="auto"/>
              <w:jc w:val="center"/>
              <w:rPr>
                <w:rFonts w:cs="Times New Roman"/>
                <w:b/>
                <w:sz w:val="20"/>
                <w:szCs w:val="20"/>
              </w:rPr>
            </w:pPr>
            <w:r w:rsidRPr="005C46C5">
              <w:rPr>
                <w:rFonts w:cs="Times New Roman"/>
                <w:b/>
                <w:sz w:val="20"/>
                <w:szCs w:val="20"/>
              </w:rPr>
              <w:t>Product</w:t>
            </w:r>
          </w:p>
        </w:tc>
        <w:tc>
          <w:tcPr>
            <w:tcW w:w="0" w:type="auto"/>
            <w:vMerge/>
            <w:tcBorders>
              <w:left w:val="nil"/>
              <w:bottom w:val="single" w:sz="4" w:space="0" w:color="auto"/>
            </w:tcBorders>
          </w:tcPr>
          <w:p w:rsidR="004D4D1D" w:rsidRPr="004F4B4A" w:rsidRDefault="004D4D1D" w:rsidP="006860FB">
            <w:pPr>
              <w:spacing w:after="0" w:line="240" w:lineRule="auto"/>
              <w:jc w:val="center"/>
              <w:rPr>
                <w:rFonts w:cs="Times New Roman"/>
                <w:sz w:val="20"/>
                <w:szCs w:val="20"/>
              </w:rPr>
            </w:pPr>
          </w:p>
        </w:tc>
      </w:tr>
      <w:tr w:rsidR="005C46C5" w:rsidRPr="00386933" w:rsidTr="005C46C5">
        <w:trPr>
          <w:trHeight w:val="104"/>
          <w:jc w:val="center"/>
        </w:trPr>
        <w:tc>
          <w:tcPr>
            <w:tcW w:w="0" w:type="auto"/>
            <w:tcBorders>
              <w:top w:val="single" w:sz="4" w:space="0" w:color="000000"/>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Na-SOD</w:t>
            </w:r>
          </w:p>
        </w:tc>
        <w:tc>
          <w:tcPr>
            <w:tcW w:w="0" w:type="auto"/>
            <w:tcBorders>
              <w:top w:val="single" w:sz="4" w:space="0" w:color="000000"/>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95.63</w:t>
            </w:r>
          </w:p>
        </w:tc>
        <w:tc>
          <w:tcPr>
            <w:tcW w:w="0" w:type="auto"/>
            <w:tcBorders>
              <w:top w:val="single" w:sz="4" w:space="0" w:color="auto"/>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18.66</w:t>
            </w:r>
          </w:p>
        </w:tc>
        <w:tc>
          <w:tcPr>
            <w:tcW w:w="0" w:type="auto"/>
            <w:tcBorders>
              <w:top w:val="single" w:sz="4" w:space="0" w:color="auto"/>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61.05</w:t>
            </w:r>
          </w:p>
        </w:tc>
        <w:tc>
          <w:tcPr>
            <w:tcW w:w="0" w:type="auto"/>
            <w:tcBorders>
              <w:top w:val="single" w:sz="4" w:space="0" w:color="auto"/>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20.29</w:t>
            </w:r>
          </w:p>
        </w:tc>
        <w:tc>
          <w:tcPr>
            <w:tcW w:w="0" w:type="auto"/>
            <w:tcBorders>
              <w:top w:val="single" w:sz="4" w:space="0" w:color="auto"/>
              <w:left w:val="nil"/>
              <w:bottom w:val="nil"/>
            </w:tcBorders>
          </w:tcPr>
          <w:p w:rsidR="004D4D1D" w:rsidRPr="004F4B4A" w:rsidRDefault="004D4D1D" w:rsidP="00254637">
            <w:pPr>
              <w:spacing w:after="0" w:line="240" w:lineRule="auto"/>
              <w:jc w:val="center"/>
              <w:rPr>
                <w:rFonts w:cs="Times New Roman"/>
                <w:sz w:val="20"/>
                <w:szCs w:val="20"/>
              </w:rPr>
            </w:pPr>
            <w:r>
              <w:rPr>
                <w:rFonts w:cs="Times New Roman"/>
                <w:sz w:val="20"/>
                <w:szCs w:val="20"/>
              </w:rPr>
              <w:t>17.84</w:t>
            </w:r>
          </w:p>
        </w:tc>
      </w:tr>
      <w:tr w:rsidR="005C46C5" w:rsidRPr="00386933" w:rsidTr="005C46C5">
        <w:trPr>
          <w:trHeight w:val="102"/>
          <w:jc w:val="center"/>
        </w:trPr>
        <w:tc>
          <w:tcPr>
            <w:tcW w:w="0" w:type="auto"/>
            <w:tcBorders>
              <w:top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SOD-TDDAB</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95.84</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22.88</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68.11</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9.01</w:t>
            </w:r>
          </w:p>
        </w:tc>
        <w:tc>
          <w:tcPr>
            <w:tcW w:w="0" w:type="auto"/>
            <w:tcBorders>
              <w:top w:val="nil"/>
              <w:left w:val="nil"/>
              <w:bottom w:val="nil"/>
            </w:tcBorders>
          </w:tcPr>
          <w:p w:rsidR="004D4D1D" w:rsidRPr="004F4B4A" w:rsidRDefault="004D4D1D" w:rsidP="00254637">
            <w:pPr>
              <w:spacing w:after="0" w:line="240" w:lineRule="auto"/>
              <w:jc w:val="center"/>
              <w:rPr>
                <w:rFonts w:cs="Times New Roman"/>
                <w:sz w:val="20"/>
                <w:szCs w:val="20"/>
              </w:rPr>
            </w:pPr>
            <w:r>
              <w:rPr>
                <w:rFonts w:cs="Times New Roman"/>
                <w:sz w:val="20"/>
                <w:szCs w:val="20"/>
              </w:rPr>
              <w:t>21.93</w:t>
            </w:r>
          </w:p>
        </w:tc>
      </w:tr>
      <w:tr w:rsidR="005C46C5" w:rsidRPr="00386933" w:rsidTr="005C46C5">
        <w:trPr>
          <w:trHeight w:val="69"/>
          <w:jc w:val="center"/>
        </w:trPr>
        <w:tc>
          <w:tcPr>
            <w:tcW w:w="0" w:type="auto"/>
            <w:tcBorders>
              <w:top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 xml:space="preserve"> SOD-TCTAB</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13.25</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72.30</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0.91</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26.79</w:t>
            </w:r>
          </w:p>
        </w:tc>
        <w:tc>
          <w:tcPr>
            <w:tcW w:w="0" w:type="auto"/>
            <w:tcBorders>
              <w:top w:val="nil"/>
              <w:left w:val="nil"/>
              <w:bottom w:val="nil"/>
            </w:tcBorders>
          </w:tcPr>
          <w:p w:rsidR="004D4D1D" w:rsidRPr="004F4B4A" w:rsidRDefault="004D4D1D" w:rsidP="00254637">
            <w:pPr>
              <w:spacing w:after="0" w:line="240" w:lineRule="auto"/>
              <w:jc w:val="center"/>
              <w:rPr>
                <w:rFonts w:cs="Times New Roman"/>
                <w:sz w:val="20"/>
                <w:szCs w:val="20"/>
              </w:rPr>
            </w:pPr>
            <w:r>
              <w:rPr>
                <w:rFonts w:cs="Times New Roman"/>
                <w:sz w:val="20"/>
                <w:szCs w:val="20"/>
              </w:rPr>
              <w:t>9.58</w:t>
            </w:r>
          </w:p>
        </w:tc>
      </w:tr>
      <w:tr w:rsidR="005C46C5" w:rsidRPr="00386933" w:rsidTr="005C46C5">
        <w:trPr>
          <w:trHeight w:val="69"/>
          <w:jc w:val="center"/>
        </w:trPr>
        <w:tc>
          <w:tcPr>
            <w:tcW w:w="0" w:type="auto"/>
            <w:tcBorders>
              <w:top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SOD-TDTAB</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42.02</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59.83</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3.15</w:t>
            </w:r>
          </w:p>
        </w:tc>
        <w:tc>
          <w:tcPr>
            <w:tcW w:w="0" w:type="auto"/>
            <w:tcBorders>
              <w:top w:val="nil"/>
              <w:left w:val="nil"/>
              <w:bottom w:val="nil"/>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37.02</w:t>
            </w:r>
          </w:p>
        </w:tc>
        <w:tc>
          <w:tcPr>
            <w:tcW w:w="0" w:type="auto"/>
            <w:tcBorders>
              <w:top w:val="nil"/>
              <w:left w:val="nil"/>
              <w:bottom w:val="nil"/>
            </w:tcBorders>
          </w:tcPr>
          <w:p w:rsidR="004D4D1D" w:rsidRPr="004F4B4A" w:rsidRDefault="004D4D1D" w:rsidP="00254637">
            <w:pPr>
              <w:spacing w:after="0" w:line="240" w:lineRule="auto"/>
              <w:jc w:val="center"/>
              <w:rPr>
                <w:rFonts w:cs="Times New Roman"/>
                <w:sz w:val="20"/>
                <w:szCs w:val="20"/>
              </w:rPr>
            </w:pPr>
            <w:r>
              <w:rPr>
                <w:rFonts w:cs="Times New Roman"/>
                <w:sz w:val="20"/>
                <w:szCs w:val="20"/>
              </w:rPr>
              <w:t>25.14</w:t>
            </w:r>
          </w:p>
        </w:tc>
      </w:tr>
      <w:tr w:rsidR="005C46C5" w:rsidRPr="00386933" w:rsidTr="005C46C5">
        <w:trPr>
          <w:trHeight w:val="111"/>
          <w:jc w:val="center"/>
        </w:trPr>
        <w:tc>
          <w:tcPr>
            <w:tcW w:w="0" w:type="auto"/>
            <w:tcBorders>
              <w:top w:val="nil"/>
              <w:bottom w:val="single" w:sz="4" w:space="0" w:color="000000"/>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SOD-TO</w:t>
            </w:r>
          </w:p>
        </w:tc>
        <w:tc>
          <w:tcPr>
            <w:tcW w:w="0" w:type="auto"/>
            <w:tcBorders>
              <w:top w:val="nil"/>
              <w:left w:val="nil"/>
              <w:bottom w:val="single" w:sz="4" w:space="0" w:color="000000"/>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96.29</w:t>
            </w:r>
          </w:p>
        </w:tc>
        <w:tc>
          <w:tcPr>
            <w:tcW w:w="0" w:type="auto"/>
            <w:tcBorders>
              <w:top w:val="nil"/>
              <w:left w:val="nil"/>
              <w:bottom w:val="single" w:sz="4" w:space="0" w:color="000000"/>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36.14</w:t>
            </w:r>
          </w:p>
        </w:tc>
        <w:tc>
          <w:tcPr>
            <w:tcW w:w="0" w:type="auto"/>
            <w:tcBorders>
              <w:top w:val="nil"/>
              <w:left w:val="nil"/>
              <w:bottom w:val="single" w:sz="4" w:space="0" w:color="000000"/>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45.66</w:t>
            </w:r>
          </w:p>
        </w:tc>
        <w:tc>
          <w:tcPr>
            <w:tcW w:w="0" w:type="auto"/>
            <w:tcBorders>
              <w:top w:val="nil"/>
              <w:left w:val="nil"/>
              <w:bottom w:val="single" w:sz="4" w:space="0" w:color="auto"/>
              <w:right w:val="nil"/>
            </w:tcBorders>
          </w:tcPr>
          <w:p w:rsidR="004D4D1D" w:rsidRPr="004F4B4A" w:rsidRDefault="004D4D1D" w:rsidP="006860FB">
            <w:pPr>
              <w:spacing w:after="0" w:line="240" w:lineRule="auto"/>
              <w:jc w:val="center"/>
              <w:rPr>
                <w:rFonts w:cs="Times New Roman"/>
                <w:sz w:val="20"/>
                <w:szCs w:val="20"/>
              </w:rPr>
            </w:pPr>
            <w:r w:rsidRPr="004F4B4A">
              <w:rPr>
                <w:rFonts w:cs="Times New Roman"/>
                <w:sz w:val="20"/>
                <w:szCs w:val="20"/>
              </w:rPr>
              <w:t>18.20</w:t>
            </w:r>
          </w:p>
        </w:tc>
        <w:tc>
          <w:tcPr>
            <w:tcW w:w="0" w:type="auto"/>
            <w:tcBorders>
              <w:top w:val="nil"/>
              <w:left w:val="nil"/>
              <w:bottom w:val="single" w:sz="4" w:space="0" w:color="auto"/>
            </w:tcBorders>
          </w:tcPr>
          <w:p w:rsidR="004D4D1D" w:rsidRPr="004F4B4A" w:rsidRDefault="004D4D1D" w:rsidP="00254637">
            <w:pPr>
              <w:spacing w:after="0" w:line="240" w:lineRule="auto"/>
              <w:jc w:val="center"/>
              <w:rPr>
                <w:rFonts w:cs="Times New Roman"/>
                <w:sz w:val="20"/>
                <w:szCs w:val="20"/>
              </w:rPr>
            </w:pPr>
            <w:r>
              <w:rPr>
                <w:rFonts w:cs="Times New Roman"/>
                <w:sz w:val="20"/>
                <w:szCs w:val="20"/>
              </w:rPr>
              <w:t>34.80</w:t>
            </w:r>
          </w:p>
        </w:tc>
      </w:tr>
    </w:tbl>
    <w:p w:rsidR="000E2CE3" w:rsidRDefault="000E2CE3" w:rsidP="006860FB">
      <w:pPr>
        <w:spacing w:after="0" w:line="240" w:lineRule="auto"/>
        <w:rPr>
          <w:sz w:val="20"/>
          <w:szCs w:val="20"/>
        </w:rPr>
      </w:pPr>
    </w:p>
    <w:p w:rsidR="006860FB" w:rsidRPr="006860FB" w:rsidRDefault="006860FB" w:rsidP="004060A1">
      <w:pPr>
        <w:spacing w:after="0" w:line="240" w:lineRule="auto"/>
        <w:jc w:val="center"/>
        <w:rPr>
          <w:sz w:val="20"/>
          <w:szCs w:val="20"/>
        </w:rPr>
      </w:pPr>
      <w:r>
        <w:rPr>
          <w:b/>
          <w:sz w:val="20"/>
          <w:szCs w:val="20"/>
        </w:rPr>
        <w:t>Conclusion</w:t>
      </w:r>
    </w:p>
    <w:p w:rsidR="006860FB" w:rsidRPr="006860FB" w:rsidRDefault="00E85282" w:rsidP="006860FB">
      <w:pPr>
        <w:spacing w:after="0" w:line="240" w:lineRule="auto"/>
        <w:jc w:val="both"/>
        <w:rPr>
          <w:color w:val="000000" w:themeColor="text1"/>
          <w:sz w:val="20"/>
          <w:szCs w:val="20"/>
        </w:rPr>
      </w:pPr>
      <w:r>
        <w:rPr>
          <w:sz w:val="20"/>
          <w:szCs w:val="20"/>
        </w:rPr>
        <w:t>M</w:t>
      </w:r>
      <w:r w:rsidR="006860FB" w:rsidRPr="006860FB">
        <w:rPr>
          <w:sz w:val="20"/>
          <w:szCs w:val="20"/>
        </w:rPr>
        <w:t xml:space="preserve">esoporous </w:t>
      </w:r>
      <w:r w:rsidR="00861C4A">
        <w:rPr>
          <w:sz w:val="20"/>
          <w:szCs w:val="20"/>
        </w:rPr>
        <w:t>sodalite</w:t>
      </w:r>
      <w:r w:rsidR="00861C4A" w:rsidRPr="006860FB">
        <w:rPr>
          <w:sz w:val="20"/>
          <w:szCs w:val="20"/>
        </w:rPr>
        <w:t xml:space="preserve"> </w:t>
      </w:r>
      <w:r w:rsidR="00861C4A">
        <w:rPr>
          <w:sz w:val="20"/>
          <w:szCs w:val="20"/>
        </w:rPr>
        <w:t>(SOD-TO)</w:t>
      </w:r>
      <w:r w:rsidR="0000531E">
        <w:rPr>
          <w:sz w:val="20"/>
          <w:szCs w:val="20"/>
        </w:rPr>
        <w:t xml:space="preserve"> </w:t>
      </w:r>
      <w:r w:rsidR="006860FB" w:rsidRPr="006860FB">
        <w:rPr>
          <w:sz w:val="20"/>
          <w:szCs w:val="20"/>
        </w:rPr>
        <w:t xml:space="preserve">was successfully synthesized </w:t>
      </w:r>
      <w:r w:rsidR="00D149FC">
        <w:rPr>
          <w:sz w:val="20"/>
          <w:szCs w:val="20"/>
        </w:rPr>
        <w:t>in</w:t>
      </w:r>
      <w:r w:rsidR="00D149FC" w:rsidRPr="006860FB">
        <w:rPr>
          <w:sz w:val="20"/>
          <w:szCs w:val="20"/>
        </w:rPr>
        <w:t xml:space="preserve"> </w:t>
      </w:r>
      <w:r w:rsidR="006860FB" w:rsidRPr="006860FB">
        <w:rPr>
          <w:sz w:val="20"/>
          <w:szCs w:val="20"/>
        </w:rPr>
        <w:t>the presence of tetrapropylammonium</w:t>
      </w:r>
      <w:r w:rsidR="00024043">
        <w:rPr>
          <w:sz w:val="20"/>
          <w:szCs w:val="20"/>
        </w:rPr>
        <w:t xml:space="preserve"> hydroxide</w:t>
      </w:r>
      <w:r w:rsidR="006860FB" w:rsidRPr="006860FB">
        <w:rPr>
          <w:sz w:val="20"/>
          <w:szCs w:val="20"/>
        </w:rPr>
        <w:t xml:space="preserve"> (TPA</w:t>
      </w:r>
      <w:r w:rsidR="00024043">
        <w:rPr>
          <w:sz w:val="20"/>
          <w:szCs w:val="20"/>
        </w:rPr>
        <w:t>OH</w:t>
      </w:r>
      <w:r w:rsidR="006860FB" w:rsidRPr="006860FB">
        <w:rPr>
          <w:sz w:val="20"/>
          <w:szCs w:val="20"/>
        </w:rPr>
        <w:t>) and organosilane templates</w:t>
      </w:r>
      <w:r w:rsidR="00376CAC">
        <w:rPr>
          <w:sz w:val="20"/>
          <w:szCs w:val="20"/>
        </w:rPr>
        <w:t xml:space="preserve"> using molar oxide ratio of 1.7SiO</w:t>
      </w:r>
      <w:r w:rsidR="00376CAC" w:rsidRPr="00376CAC">
        <w:rPr>
          <w:sz w:val="20"/>
          <w:szCs w:val="20"/>
          <w:vertAlign w:val="subscript"/>
        </w:rPr>
        <w:t>2</w:t>
      </w:r>
      <w:r w:rsidR="00376CAC">
        <w:rPr>
          <w:sz w:val="20"/>
          <w:szCs w:val="20"/>
        </w:rPr>
        <w:t>: 15NaOH: Al</w:t>
      </w:r>
      <w:r w:rsidR="00376CAC" w:rsidRPr="00376CAC">
        <w:rPr>
          <w:sz w:val="20"/>
          <w:szCs w:val="20"/>
          <w:vertAlign w:val="subscript"/>
        </w:rPr>
        <w:t>2</w:t>
      </w:r>
      <w:r w:rsidR="00376CAC">
        <w:rPr>
          <w:sz w:val="20"/>
          <w:szCs w:val="20"/>
        </w:rPr>
        <w:t>O</w:t>
      </w:r>
      <w:r w:rsidR="00376CAC" w:rsidRPr="00D149FC">
        <w:rPr>
          <w:sz w:val="20"/>
          <w:szCs w:val="20"/>
          <w:vertAlign w:val="subscript"/>
        </w:rPr>
        <w:t>3</w:t>
      </w:r>
      <w:r w:rsidR="00376CAC">
        <w:rPr>
          <w:sz w:val="20"/>
          <w:szCs w:val="20"/>
        </w:rPr>
        <w:t>: 80H</w:t>
      </w:r>
      <w:r w:rsidR="00376CAC" w:rsidRPr="00376CAC">
        <w:rPr>
          <w:sz w:val="20"/>
          <w:szCs w:val="20"/>
          <w:vertAlign w:val="subscript"/>
        </w:rPr>
        <w:t>2</w:t>
      </w:r>
      <w:r w:rsidR="00376CAC">
        <w:rPr>
          <w:sz w:val="20"/>
          <w:szCs w:val="20"/>
        </w:rPr>
        <w:t>O: 0.3</w:t>
      </w:r>
      <w:r w:rsidR="005C46C5">
        <w:rPr>
          <w:sz w:val="20"/>
          <w:szCs w:val="20"/>
        </w:rPr>
        <w:t xml:space="preserve"> </w:t>
      </w:r>
      <w:r w:rsidR="00376CAC">
        <w:rPr>
          <w:sz w:val="20"/>
          <w:szCs w:val="20"/>
        </w:rPr>
        <w:t xml:space="preserve">templates. On the other hand, </w:t>
      </w:r>
      <w:r w:rsidR="00861C4A">
        <w:rPr>
          <w:sz w:val="20"/>
          <w:szCs w:val="20"/>
        </w:rPr>
        <w:t xml:space="preserve">the rest of sodalite samples synthesized </w:t>
      </w:r>
      <w:r w:rsidR="00376CAC">
        <w:rPr>
          <w:sz w:val="20"/>
          <w:szCs w:val="20"/>
        </w:rPr>
        <w:t>using TPAOH mixed with</w:t>
      </w:r>
      <w:r w:rsidR="00861C4A">
        <w:rPr>
          <w:sz w:val="20"/>
          <w:szCs w:val="20"/>
        </w:rPr>
        <w:t xml:space="preserve"> </w:t>
      </w:r>
      <w:r w:rsidR="0000531E">
        <w:rPr>
          <w:sz w:val="20"/>
          <w:szCs w:val="20"/>
        </w:rPr>
        <w:t>quaternary</w:t>
      </w:r>
      <w:r w:rsidR="00376CAC">
        <w:rPr>
          <w:sz w:val="20"/>
          <w:szCs w:val="20"/>
        </w:rPr>
        <w:t xml:space="preserve"> ammonium</w:t>
      </w:r>
      <w:r w:rsidR="00D149FC">
        <w:rPr>
          <w:sz w:val="20"/>
          <w:szCs w:val="20"/>
        </w:rPr>
        <w:t>s</w:t>
      </w:r>
      <w:r w:rsidR="00376CAC">
        <w:rPr>
          <w:sz w:val="20"/>
          <w:szCs w:val="20"/>
        </w:rPr>
        <w:t xml:space="preserve"> </w:t>
      </w:r>
      <w:r w:rsidR="00861C4A">
        <w:rPr>
          <w:sz w:val="20"/>
          <w:szCs w:val="20"/>
        </w:rPr>
        <w:t xml:space="preserve">other than </w:t>
      </w:r>
      <w:r w:rsidR="00376CAC">
        <w:rPr>
          <w:sz w:val="20"/>
          <w:szCs w:val="20"/>
        </w:rPr>
        <w:t>organosilane</w:t>
      </w:r>
      <w:r w:rsidR="00D149FC">
        <w:rPr>
          <w:sz w:val="20"/>
          <w:szCs w:val="20"/>
        </w:rPr>
        <w:t>,</w:t>
      </w:r>
      <w:r w:rsidR="00376CAC">
        <w:rPr>
          <w:sz w:val="20"/>
          <w:szCs w:val="20"/>
        </w:rPr>
        <w:t xml:space="preserve"> only produced microporous </w:t>
      </w:r>
      <w:r w:rsidR="0000531E">
        <w:rPr>
          <w:sz w:val="20"/>
          <w:szCs w:val="20"/>
        </w:rPr>
        <w:t>sodalite.</w:t>
      </w:r>
      <w:r w:rsidR="006860FB" w:rsidRPr="006860FB">
        <w:rPr>
          <w:sz w:val="20"/>
          <w:szCs w:val="20"/>
        </w:rPr>
        <w:t xml:space="preserve"> </w:t>
      </w:r>
      <w:r w:rsidR="00376CAC">
        <w:rPr>
          <w:sz w:val="20"/>
          <w:szCs w:val="20"/>
        </w:rPr>
        <w:t>A</w:t>
      </w:r>
      <w:r w:rsidR="00376CAC" w:rsidRPr="006860FB">
        <w:rPr>
          <w:sz w:val="20"/>
          <w:szCs w:val="20"/>
        </w:rPr>
        <w:t xml:space="preserve">ll </w:t>
      </w:r>
      <w:r w:rsidR="007D27B5">
        <w:rPr>
          <w:sz w:val="20"/>
          <w:szCs w:val="20"/>
        </w:rPr>
        <w:t>the as-</w:t>
      </w:r>
      <w:r w:rsidR="00376CAC">
        <w:rPr>
          <w:sz w:val="20"/>
          <w:szCs w:val="20"/>
        </w:rPr>
        <w:t xml:space="preserve">synthesized </w:t>
      </w:r>
      <w:r w:rsidR="006860FB" w:rsidRPr="006860FB">
        <w:rPr>
          <w:sz w:val="20"/>
          <w:szCs w:val="20"/>
        </w:rPr>
        <w:t>samples showed the XRD patterns</w:t>
      </w:r>
      <w:r w:rsidR="00376CAC">
        <w:rPr>
          <w:sz w:val="20"/>
          <w:szCs w:val="20"/>
        </w:rPr>
        <w:t xml:space="preserve"> of sodalite phase</w:t>
      </w:r>
      <w:r w:rsidR="0061429F">
        <w:rPr>
          <w:sz w:val="20"/>
          <w:szCs w:val="20"/>
        </w:rPr>
        <w:t xml:space="preserve"> indicating</w:t>
      </w:r>
      <w:r w:rsidR="0000531E">
        <w:rPr>
          <w:sz w:val="20"/>
          <w:szCs w:val="20"/>
        </w:rPr>
        <w:t xml:space="preserve"> </w:t>
      </w:r>
      <w:r w:rsidR="006860FB" w:rsidRPr="006860FB">
        <w:rPr>
          <w:sz w:val="20"/>
          <w:szCs w:val="20"/>
        </w:rPr>
        <w:t xml:space="preserve">the successful formation of </w:t>
      </w:r>
      <w:r w:rsidR="00376CAC">
        <w:rPr>
          <w:sz w:val="20"/>
          <w:szCs w:val="20"/>
        </w:rPr>
        <w:t>sodalite</w:t>
      </w:r>
      <w:r w:rsidR="00376CAC" w:rsidRPr="006860FB">
        <w:rPr>
          <w:sz w:val="20"/>
          <w:szCs w:val="20"/>
        </w:rPr>
        <w:t xml:space="preserve"> </w:t>
      </w:r>
      <w:r w:rsidR="006860FB" w:rsidRPr="006860FB">
        <w:rPr>
          <w:sz w:val="20"/>
          <w:szCs w:val="20"/>
        </w:rPr>
        <w:t xml:space="preserve">phase crystal. While, FTIR results revealed that all absorption patterns shown by all </w:t>
      </w:r>
      <w:r w:rsidR="007D27B5">
        <w:rPr>
          <w:sz w:val="20"/>
          <w:szCs w:val="20"/>
        </w:rPr>
        <w:t>the as-</w:t>
      </w:r>
      <w:r w:rsidR="0061429F">
        <w:rPr>
          <w:sz w:val="20"/>
          <w:szCs w:val="20"/>
        </w:rPr>
        <w:t>synthesized</w:t>
      </w:r>
      <w:r w:rsidR="0061429F" w:rsidRPr="006860FB">
        <w:rPr>
          <w:sz w:val="20"/>
          <w:szCs w:val="20"/>
        </w:rPr>
        <w:t xml:space="preserve"> </w:t>
      </w:r>
      <w:r w:rsidR="006860FB" w:rsidRPr="006860FB">
        <w:rPr>
          <w:sz w:val="20"/>
          <w:szCs w:val="20"/>
        </w:rPr>
        <w:t xml:space="preserve">samples are related to the characteristic of </w:t>
      </w:r>
      <w:r w:rsidR="0061429F">
        <w:rPr>
          <w:sz w:val="20"/>
          <w:szCs w:val="20"/>
        </w:rPr>
        <w:t>sodalite</w:t>
      </w:r>
      <w:r w:rsidR="0061429F" w:rsidRPr="006860FB">
        <w:rPr>
          <w:sz w:val="20"/>
          <w:szCs w:val="20"/>
        </w:rPr>
        <w:t xml:space="preserve"> </w:t>
      </w:r>
      <w:r w:rsidR="006860FB" w:rsidRPr="006860FB">
        <w:rPr>
          <w:sz w:val="20"/>
          <w:szCs w:val="20"/>
        </w:rPr>
        <w:t>framework. From N</w:t>
      </w:r>
      <w:r w:rsidR="006860FB" w:rsidRPr="006860FB">
        <w:rPr>
          <w:sz w:val="20"/>
          <w:szCs w:val="20"/>
          <w:vertAlign w:val="subscript"/>
        </w:rPr>
        <w:t>2</w:t>
      </w:r>
      <w:r w:rsidR="006860FB" w:rsidRPr="006860FB">
        <w:rPr>
          <w:sz w:val="20"/>
          <w:szCs w:val="20"/>
        </w:rPr>
        <w:t xml:space="preserve"> adsorption analysis, SOD-TO showed the successful formation of mesoporosity contains mesoporous-microporous hierarchical structure with the highest BET surface area. All </w:t>
      </w:r>
      <w:r w:rsidR="007D27B5">
        <w:rPr>
          <w:sz w:val="20"/>
          <w:szCs w:val="20"/>
        </w:rPr>
        <w:t>the as-</w:t>
      </w:r>
      <w:r w:rsidR="006C218E">
        <w:rPr>
          <w:sz w:val="20"/>
          <w:szCs w:val="20"/>
        </w:rPr>
        <w:t xml:space="preserve">synthesized </w:t>
      </w:r>
      <w:r w:rsidR="0061429F">
        <w:rPr>
          <w:sz w:val="20"/>
          <w:szCs w:val="20"/>
        </w:rPr>
        <w:t>sodalite</w:t>
      </w:r>
      <w:r w:rsidR="0061429F" w:rsidRPr="006860FB">
        <w:rPr>
          <w:sz w:val="20"/>
          <w:szCs w:val="20"/>
        </w:rPr>
        <w:t xml:space="preserve"> </w:t>
      </w:r>
      <w:r w:rsidR="006860FB" w:rsidRPr="006860FB">
        <w:rPr>
          <w:sz w:val="20"/>
          <w:szCs w:val="20"/>
        </w:rPr>
        <w:t xml:space="preserve">samples showed the basicity strength in the range: 8.2 ≤ pKa ≤ 18.4 </w:t>
      </w:r>
      <w:r w:rsidR="0061429F">
        <w:rPr>
          <w:sz w:val="20"/>
          <w:szCs w:val="20"/>
        </w:rPr>
        <w:t>with mesoporous</w:t>
      </w:r>
      <w:r w:rsidR="006860FB" w:rsidRPr="006860FB">
        <w:rPr>
          <w:sz w:val="20"/>
          <w:szCs w:val="20"/>
        </w:rPr>
        <w:t xml:space="preserve"> SOD-TO sample showed the highest amount of basicity. TPD-CO</w:t>
      </w:r>
      <w:r w:rsidR="006860FB" w:rsidRPr="006860FB">
        <w:rPr>
          <w:sz w:val="20"/>
          <w:szCs w:val="20"/>
          <w:vertAlign w:val="subscript"/>
        </w:rPr>
        <w:t>2</w:t>
      </w:r>
      <w:r w:rsidR="006860FB" w:rsidRPr="006860FB">
        <w:rPr>
          <w:sz w:val="20"/>
          <w:szCs w:val="20"/>
        </w:rPr>
        <w:t xml:space="preserve"> analysis found that the </w:t>
      </w:r>
      <w:r w:rsidR="0061429F">
        <w:rPr>
          <w:sz w:val="20"/>
          <w:szCs w:val="20"/>
        </w:rPr>
        <w:t xml:space="preserve">mesoporous </w:t>
      </w:r>
      <w:r w:rsidR="006860FB" w:rsidRPr="006860FB">
        <w:rPr>
          <w:sz w:val="20"/>
          <w:szCs w:val="20"/>
        </w:rPr>
        <w:t xml:space="preserve">SOD-TO sample gave higher strength and amount of basic sites than the Na-SOD sample at temperature below 500°C. </w:t>
      </w:r>
      <w:r w:rsidR="006860FB" w:rsidRPr="006860FB">
        <w:rPr>
          <w:color w:val="000000" w:themeColor="text1"/>
          <w:sz w:val="20"/>
          <w:szCs w:val="20"/>
        </w:rPr>
        <w:t xml:space="preserve">The SOD-TO catalyst with the highest amount of basicity and the highest surface area </w:t>
      </w:r>
      <w:r w:rsidR="0061429F">
        <w:rPr>
          <w:color w:val="000000" w:themeColor="text1"/>
          <w:sz w:val="20"/>
          <w:szCs w:val="20"/>
        </w:rPr>
        <w:t xml:space="preserve">is most active, </w:t>
      </w:r>
      <w:r w:rsidR="0061429F" w:rsidRPr="006860FB">
        <w:rPr>
          <w:color w:val="000000" w:themeColor="text1"/>
          <w:sz w:val="20"/>
          <w:szCs w:val="20"/>
        </w:rPr>
        <w:t>g</w:t>
      </w:r>
      <w:r w:rsidR="0061429F">
        <w:rPr>
          <w:color w:val="000000" w:themeColor="text1"/>
          <w:sz w:val="20"/>
          <w:szCs w:val="20"/>
        </w:rPr>
        <w:t>iving</w:t>
      </w:r>
      <w:r w:rsidR="0061429F" w:rsidRPr="006860FB">
        <w:rPr>
          <w:color w:val="000000" w:themeColor="text1"/>
          <w:sz w:val="20"/>
          <w:szCs w:val="20"/>
        </w:rPr>
        <w:t xml:space="preserve"> </w:t>
      </w:r>
      <w:r w:rsidR="006860FB" w:rsidRPr="006860FB">
        <w:rPr>
          <w:color w:val="000000" w:themeColor="text1"/>
          <w:sz w:val="20"/>
          <w:szCs w:val="20"/>
        </w:rPr>
        <w:t>the highest percentage</w:t>
      </w:r>
      <w:r w:rsidR="004060A1">
        <w:rPr>
          <w:color w:val="000000" w:themeColor="text1"/>
          <w:sz w:val="20"/>
          <w:szCs w:val="20"/>
        </w:rPr>
        <w:t>s</w:t>
      </w:r>
      <w:r w:rsidR="006860FB" w:rsidRPr="006860FB">
        <w:rPr>
          <w:color w:val="000000" w:themeColor="text1"/>
          <w:sz w:val="20"/>
          <w:szCs w:val="20"/>
        </w:rPr>
        <w:t xml:space="preserve"> </w:t>
      </w:r>
      <w:r w:rsidR="00024043">
        <w:rPr>
          <w:color w:val="000000" w:themeColor="text1"/>
          <w:sz w:val="20"/>
          <w:szCs w:val="20"/>
        </w:rPr>
        <w:t xml:space="preserve">of conversion </w:t>
      </w:r>
      <w:r w:rsidR="004060A1">
        <w:rPr>
          <w:color w:val="000000" w:themeColor="text1"/>
          <w:sz w:val="20"/>
          <w:szCs w:val="20"/>
        </w:rPr>
        <w:t>and yield</w:t>
      </w:r>
      <w:r w:rsidR="00024043">
        <w:rPr>
          <w:color w:val="000000" w:themeColor="text1"/>
          <w:sz w:val="20"/>
          <w:szCs w:val="20"/>
        </w:rPr>
        <w:t xml:space="preserve"> in the Knoevenagel condensation reaction of </w:t>
      </w:r>
      <w:r w:rsidR="00024043" w:rsidRPr="004F4B4A">
        <w:rPr>
          <w:sz w:val="20"/>
          <w:szCs w:val="20"/>
        </w:rPr>
        <w:t>benzaldehyde and diethyl malonate</w:t>
      </w:r>
      <w:r w:rsidR="00024043">
        <w:rPr>
          <w:sz w:val="20"/>
          <w:szCs w:val="20"/>
        </w:rPr>
        <w:t>.</w:t>
      </w:r>
    </w:p>
    <w:p w:rsidR="000E2CE3" w:rsidRDefault="000E2CE3" w:rsidP="006860FB">
      <w:pPr>
        <w:spacing w:after="0" w:line="240" w:lineRule="auto"/>
        <w:jc w:val="both"/>
        <w:rPr>
          <w:sz w:val="20"/>
          <w:szCs w:val="20"/>
        </w:rPr>
      </w:pPr>
    </w:p>
    <w:p w:rsidR="004060A1" w:rsidRPr="000E2CE3" w:rsidRDefault="000E2CE3" w:rsidP="005C46C5">
      <w:pPr>
        <w:spacing w:after="0" w:line="240" w:lineRule="auto"/>
        <w:jc w:val="center"/>
        <w:rPr>
          <w:b/>
          <w:color w:val="000000" w:themeColor="text1"/>
          <w:sz w:val="20"/>
          <w:szCs w:val="20"/>
        </w:rPr>
      </w:pPr>
      <w:r w:rsidRPr="000E2CE3">
        <w:rPr>
          <w:b/>
          <w:color w:val="000000" w:themeColor="text1"/>
          <w:sz w:val="20"/>
          <w:szCs w:val="20"/>
        </w:rPr>
        <w:t>Acknowledgements</w:t>
      </w:r>
    </w:p>
    <w:p w:rsidR="000E2CE3" w:rsidRDefault="000E2CE3" w:rsidP="000E2CE3">
      <w:pPr>
        <w:spacing w:after="0" w:line="240" w:lineRule="auto"/>
        <w:jc w:val="both"/>
        <w:rPr>
          <w:color w:val="000000" w:themeColor="text1"/>
          <w:sz w:val="20"/>
          <w:szCs w:val="20"/>
        </w:rPr>
      </w:pPr>
      <w:r w:rsidRPr="000E2CE3">
        <w:rPr>
          <w:color w:val="000000" w:themeColor="text1"/>
          <w:sz w:val="20"/>
          <w:szCs w:val="20"/>
        </w:rPr>
        <w:t>Authors would like to thank Universiti Teknologi Malaysia</w:t>
      </w:r>
      <w:r w:rsidR="007D27B5">
        <w:rPr>
          <w:color w:val="000000" w:themeColor="text1"/>
          <w:sz w:val="20"/>
          <w:szCs w:val="20"/>
        </w:rPr>
        <w:t xml:space="preserve"> </w:t>
      </w:r>
      <w:r w:rsidRPr="000E2CE3">
        <w:rPr>
          <w:color w:val="000000" w:themeColor="text1"/>
          <w:sz w:val="20"/>
          <w:szCs w:val="20"/>
        </w:rPr>
        <w:t>(UTM) and Ministry of Higher Education (MOHE) for fin</w:t>
      </w:r>
      <w:r w:rsidR="005C46C5">
        <w:rPr>
          <w:color w:val="000000" w:themeColor="text1"/>
          <w:sz w:val="20"/>
          <w:szCs w:val="20"/>
        </w:rPr>
        <w:t>ancial assistant under GUP Vot N</w:t>
      </w:r>
      <w:r w:rsidRPr="000E2CE3">
        <w:rPr>
          <w:color w:val="000000" w:themeColor="text1"/>
          <w:sz w:val="20"/>
          <w:szCs w:val="20"/>
        </w:rPr>
        <w:t>o QJ13000.2526.06H70</w:t>
      </w:r>
      <w:r w:rsidR="00FC5C8D">
        <w:rPr>
          <w:color w:val="000000" w:themeColor="text1"/>
          <w:sz w:val="20"/>
          <w:szCs w:val="20"/>
        </w:rPr>
        <w:t>.</w:t>
      </w:r>
    </w:p>
    <w:p w:rsidR="005C46C5" w:rsidRDefault="005C46C5" w:rsidP="000E2CE3">
      <w:pPr>
        <w:spacing w:after="0" w:line="240" w:lineRule="auto"/>
        <w:jc w:val="both"/>
        <w:rPr>
          <w:color w:val="000000" w:themeColor="text1"/>
          <w:sz w:val="20"/>
          <w:szCs w:val="20"/>
        </w:rPr>
      </w:pPr>
    </w:p>
    <w:p w:rsidR="005C46C5" w:rsidRDefault="005C46C5" w:rsidP="000E2CE3">
      <w:pPr>
        <w:spacing w:after="0" w:line="240" w:lineRule="auto"/>
        <w:jc w:val="both"/>
        <w:rPr>
          <w:color w:val="000000" w:themeColor="text1"/>
          <w:sz w:val="20"/>
          <w:szCs w:val="20"/>
        </w:rPr>
      </w:pPr>
    </w:p>
    <w:p w:rsidR="005C46C5" w:rsidRPr="000E2CE3" w:rsidRDefault="005C46C5" w:rsidP="000E2CE3">
      <w:pPr>
        <w:spacing w:after="0" w:line="240" w:lineRule="auto"/>
        <w:jc w:val="both"/>
        <w:rPr>
          <w:color w:val="000000" w:themeColor="text1"/>
          <w:sz w:val="20"/>
          <w:szCs w:val="20"/>
        </w:rPr>
      </w:pPr>
    </w:p>
    <w:p w:rsidR="000E2CE3" w:rsidRDefault="000E2CE3" w:rsidP="000E2CE3">
      <w:pPr>
        <w:spacing w:after="0" w:line="240" w:lineRule="auto"/>
        <w:jc w:val="center"/>
        <w:rPr>
          <w:sz w:val="20"/>
          <w:szCs w:val="20"/>
        </w:rPr>
      </w:pPr>
    </w:p>
    <w:p w:rsidR="000E2CE3" w:rsidRDefault="000E2CE3" w:rsidP="000E2CE3">
      <w:pPr>
        <w:spacing w:after="0" w:line="240" w:lineRule="auto"/>
        <w:jc w:val="center"/>
        <w:rPr>
          <w:b/>
          <w:sz w:val="20"/>
          <w:szCs w:val="20"/>
        </w:rPr>
      </w:pPr>
      <w:r>
        <w:rPr>
          <w:b/>
          <w:sz w:val="20"/>
          <w:szCs w:val="20"/>
        </w:rPr>
        <w:lastRenderedPageBreak/>
        <w:t>References</w:t>
      </w:r>
    </w:p>
    <w:p w:rsidR="000E2CE3" w:rsidRDefault="000E2CE3" w:rsidP="000E2CE3">
      <w:pPr>
        <w:spacing w:after="0" w:line="240" w:lineRule="auto"/>
        <w:jc w:val="center"/>
        <w:rPr>
          <w:b/>
          <w:sz w:val="20"/>
          <w:szCs w:val="20"/>
        </w:rPr>
      </w:pPr>
    </w:p>
    <w:p w:rsidR="00D10E1A" w:rsidRPr="005545F3" w:rsidRDefault="00D10E1A" w:rsidP="005545F3">
      <w:pPr>
        <w:pStyle w:val="ListParagraph"/>
        <w:numPr>
          <w:ilvl w:val="0"/>
          <w:numId w:val="9"/>
        </w:numPr>
        <w:spacing w:after="0" w:line="240" w:lineRule="auto"/>
        <w:ind w:hanging="720"/>
        <w:jc w:val="both"/>
        <w:rPr>
          <w:rFonts w:cs="Times New Roman"/>
          <w:sz w:val="20"/>
          <w:szCs w:val="20"/>
        </w:rPr>
      </w:pPr>
      <w:r>
        <w:rPr>
          <w:rFonts w:cs="Times New Roman"/>
          <w:sz w:val="20"/>
          <w:szCs w:val="20"/>
        </w:rPr>
        <w:t>Weckhuysen, B. M. and</w:t>
      </w:r>
      <w:r w:rsidRPr="00EA70F5">
        <w:rPr>
          <w:rFonts w:cs="Times New Roman"/>
          <w:sz w:val="20"/>
          <w:szCs w:val="20"/>
        </w:rPr>
        <w:t xml:space="preserve"> Yu, J. (2015). Recent </w:t>
      </w:r>
      <w:r w:rsidR="005545F3">
        <w:rPr>
          <w:rFonts w:cs="Times New Roman"/>
          <w:sz w:val="20"/>
          <w:szCs w:val="20"/>
        </w:rPr>
        <w:t>advances i</w:t>
      </w:r>
      <w:r w:rsidR="005545F3" w:rsidRPr="00EA70F5">
        <w:rPr>
          <w:rFonts w:cs="Times New Roman"/>
          <w:sz w:val="20"/>
          <w:szCs w:val="20"/>
        </w:rPr>
        <w:t xml:space="preserve">n zeolite chemistry </w:t>
      </w:r>
      <w:r w:rsidR="005545F3">
        <w:rPr>
          <w:rFonts w:cs="Times New Roman"/>
          <w:sz w:val="20"/>
          <w:szCs w:val="20"/>
        </w:rPr>
        <w:t>a</w:t>
      </w:r>
      <w:r w:rsidR="005545F3" w:rsidRPr="00EA70F5">
        <w:rPr>
          <w:rFonts w:cs="Times New Roman"/>
          <w:sz w:val="20"/>
          <w:szCs w:val="20"/>
        </w:rPr>
        <w:t xml:space="preserve">nd catalysis. </w:t>
      </w:r>
      <w:r w:rsidRPr="00EA70F5">
        <w:rPr>
          <w:rFonts w:cs="Times New Roman"/>
          <w:i/>
          <w:iCs/>
          <w:sz w:val="20"/>
          <w:szCs w:val="20"/>
        </w:rPr>
        <w:t xml:space="preserve">Chemical Society Reviews, </w:t>
      </w:r>
      <w:r w:rsidRPr="004A54E5">
        <w:rPr>
          <w:rFonts w:cs="Times New Roman"/>
          <w:iCs/>
          <w:sz w:val="20"/>
          <w:szCs w:val="20"/>
        </w:rPr>
        <w:t>44</w:t>
      </w:r>
      <w:r>
        <w:rPr>
          <w:rFonts w:cs="Times New Roman"/>
          <w:iCs/>
          <w:sz w:val="20"/>
          <w:szCs w:val="20"/>
        </w:rPr>
        <w:t xml:space="preserve"> </w:t>
      </w:r>
      <w:r w:rsidR="005545F3">
        <w:rPr>
          <w:rFonts w:cs="Times New Roman"/>
          <w:sz w:val="20"/>
          <w:szCs w:val="20"/>
        </w:rPr>
        <w:t xml:space="preserve">(20): </w:t>
      </w:r>
      <w:r w:rsidRPr="00EA70F5">
        <w:rPr>
          <w:rFonts w:cs="Times New Roman"/>
          <w:sz w:val="20"/>
          <w:szCs w:val="20"/>
        </w:rPr>
        <w:t>7022</w:t>
      </w:r>
      <w:r w:rsidR="005545F3">
        <w:rPr>
          <w:rFonts w:cs="Times New Roman"/>
          <w:sz w:val="20"/>
          <w:szCs w:val="20"/>
        </w:rPr>
        <w:t xml:space="preserve"> – </w:t>
      </w:r>
      <w:r w:rsidRPr="005545F3">
        <w:rPr>
          <w:rFonts w:cs="Times New Roman"/>
          <w:sz w:val="20"/>
          <w:szCs w:val="20"/>
        </w:rPr>
        <w:t xml:space="preserve">7024. </w:t>
      </w:r>
    </w:p>
    <w:p w:rsidR="00D10E1A" w:rsidRPr="005545F3" w:rsidRDefault="00D10E1A" w:rsidP="005545F3">
      <w:pPr>
        <w:pStyle w:val="ListParagraph"/>
        <w:numPr>
          <w:ilvl w:val="0"/>
          <w:numId w:val="9"/>
        </w:numPr>
        <w:spacing w:after="0" w:line="240" w:lineRule="auto"/>
        <w:ind w:hanging="720"/>
        <w:jc w:val="both"/>
        <w:rPr>
          <w:rFonts w:cs="Times New Roman"/>
          <w:sz w:val="20"/>
          <w:szCs w:val="20"/>
        </w:rPr>
      </w:pPr>
      <w:r>
        <w:rPr>
          <w:rFonts w:cs="Times New Roman"/>
          <w:sz w:val="20"/>
          <w:szCs w:val="20"/>
        </w:rPr>
        <w:t xml:space="preserve">Arya, K. and </w:t>
      </w:r>
      <w:r w:rsidRPr="008B0F8F">
        <w:rPr>
          <w:rFonts w:cs="Times New Roman"/>
          <w:sz w:val="20"/>
          <w:szCs w:val="20"/>
        </w:rPr>
        <w:t xml:space="preserve">Tomar, R. (2015). Microporous </w:t>
      </w:r>
      <w:r w:rsidR="005545F3">
        <w:rPr>
          <w:rFonts w:cs="Times New Roman"/>
          <w:sz w:val="20"/>
          <w:szCs w:val="20"/>
        </w:rPr>
        <w:t>zeolite catalyst system: A</w:t>
      </w:r>
      <w:r w:rsidR="005545F3" w:rsidRPr="008B0F8F">
        <w:rPr>
          <w:rFonts w:cs="Times New Roman"/>
          <w:sz w:val="20"/>
          <w:szCs w:val="20"/>
        </w:rPr>
        <w:t xml:space="preserve">n eco-approach </w:t>
      </w:r>
      <w:r w:rsidR="005545F3">
        <w:rPr>
          <w:rFonts w:cs="Times New Roman"/>
          <w:sz w:val="20"/>
          <w:szCs w:val="20"/>
        </w:rPr>
        <w:t>f</w:t>
      </w:r>
      <w:r w:rsidR="005545F3" w:rsidRPr="008B0F8F">
        <w:rPr>
          <w:rFonts w:cs="Times New Roman"/>
          <w:sz w:val="20"/>
          <w:szCs w:val="20"/>
        </w:rPr>
        <w:t xml:space="preserve">or regioselective synthesis </w:t>
      </w:r>
      <w:r w:rsidR="005545F3">
        <w:rPr>
          <w:rFonts w:cs="Times New Roman"/>
          <w:sz w:val="20"/>
          <w:szCs w:val="20"/>
        </w:rPr>
        <w:t>o</w:t>
      </w:r>
      <w:r w:rsidR="005545F3" w:rsidRPr="008B0F8F">
        <w:rPr>
          <w:rFonts w:cs="Times New Roman"/>
          <w:sz w:val="20"/>
          <w:szCs w:val="20"/>
        </w:rPr>
        <w:t xml:space="preserve">f pyrimidobenzimidazoles. </w:t>
      </w:r>
      <w:r w:rsidRPr="008B0F8F">
        <w:rPr>
          <w:rFonts w:cs="Times New Roman"/>
          <w:i/>
          <w:iCs/>
          <w:sz w:val="20"/>
          <w:szCs w:val="20"/>
        </w:rPr>
        <w:t xml:space="preserve">Research on Chemical Intermediates, </w:t>
      </w:r>
      <w:r w:rsidR="005545F3">
        <w:rPr>
          <w:rFonts w:cs="Times New Roman"/>
          <w:iCs/>
          <w:sz w:val="20"/>
          <w:szCs w:val="20"/>
        </w:rPr>
        <w:t>41</w:t>
      </w:r>
      <w:r w:rsidRPr="004A54E5">
        <w:rPr>
          <w:rFonts w:cs="Times New Roman"/>
          <w:sz w:val="20"/>
          <w:szCs w:val="20"/>
        </w:rPr>
        <w:t>(</w:t>
      </w:r>
      <w:r w:rsidR="005545F3">
        <w:rPr>
          <w:rFonts w:cs="Times New Roman"/>
          <w:sz w:val="20"/>
          <w:szCs w:val="20"/>
        </w:rPr>
        <w:t xml:space="preserve">6): </w:t>
      </w:r>
      <w:r w:rsidRPr="008B0F8F">
        <w:rPr>
          <w:rFonts w:cs="Times New Roman"/>
          <w:sz w:val="20"/>
          <w:szCs w:val="20"/>
        </w:rPr>
        <w:t>3389</w:t>
      </w:r>
      <w:r w:rsidR="005545F3">
        <w:rPr>
          <w:rFonts w:cs="Times New Roman"/>
          <w:sz w:val="20"/>
          <w:szCs w:val="20"/>
        </w:rPr>
        <w:t xml:space="preserve"> – </w:t>
      </w:r>
      <w:r w:rsidRPr="005545F3">
        <w:rPr>
          <w:rFonts w:cs="Times New Roman"/>
          <w:sz w:val="20"/>
          <w:szCs w:val="20"/>
        </w:rPr>
        <w:t>3400.</w:t>
      </w:r>
    </w:p>
    <w:p w:rsidR="00D10E1A" w:rsidRPr="005545F3" w:rsidRDefault="00D10E1A" w:rsidP="005545F3">
      <w:pPr>
        <w:pStyle w:val="ListParagraph"/>
        <w:numPr>
          <w:ilvl w:val="0"/>
          <w:numId w:val="9"/>
        </w:numPr>
        <w:spacing w:after="0" w:line="240" w:lineRule="auto"/>
        <w:ind w:hanging="720"/>
        <w:jc w:val="both"/>
        <w:rPr>
          <w:rFonts w:cs="Times New Roman"/>
          <w:sz w:val="20"/>
          <w:szCs w:val="20"/>
        </w:rPr>
      </w:pPr>
      <w:r w:rsidRPr="00EA70F5">
        <w:rPr>
          <w:rFonts w:cs="Times New Roman"/>
          <w:sz w:val="20"/>
          <w:szCs w:val="20"/>
        </w:rPr>
        <w:t xml:space="preserve">Zhao, J., Wang, </w:t>
      </w:r>
      <w:r>
        <w:rPr>
          <w:rFonts w:cs="Times New Roman"/>
          <w:sz w:val="20"/>
          <w:szCs w:val="20"/>
        </w:rPr>
        <w:t xml:space="preserve">G., Qin, L., Li, H., Chen, Y. and </w:t>
      </w:r>
      <w:r w:rsidRPr="00EA70F5">
        <w:rPr>
          <w:rFonts w:cs="Times New Roman"/>
          <w:sz w:val="20"/>
          <w:szCs w:val="20"/>
        </w:rPr>
        <w:t xml:space="preserve">Liu, B. (2016). Synthesis </w:t>
      </w:r>
      <w:r w:rsidR="005545F3">
        <w:rPr>
          <w:rFonts w:cs="Times New Roman"/>
          <w:sz w:val="20"/>
          <w:szCs w:val="20"/>
        </w:rPr>
        <w:t>a</w:t>
      </w:r>
      <w:r w:rsidR="005545F3" w:rsidRPr="00EA70F5">
        <w:rPr>
          <w:rFonts w:cs="Times New Roman"/>
          <w:sz w:val="20"/>
          <w:szCs w:val="20"/>
        </w:rPr>
        <w:t xml:space="preserve">nd catalytic cracking performance </w:t>
      </w:r>
      <w:r w:rsidR="005545F3">
        <w:rPr>
          <w:rFonts w:cs="Times New Roman"/>
          <w:sz w:val="20"/>
          <w:szCs w:val="20"/>
        </w:rPr>
        <w:t>of mesoporous zeolite Y</w:t>
      </w:r>
      <w:r w:rsidRPr="00EA70F5">
        <w:rPr>
          <w:rFonts w:cs="Times New Roman"/>
          <w:sz w:val="20"/>
          <w:szCs w:val="20"/>
        </w:rPr>
        <w:t xml:space="preserve">. </w:t>
      </w:r>
      <w:r w:rsidRPr="00EA70F5">
        <w:rPr>
          <w:rFonts w:cs="Times New Roman"/>
          <w:i/>
          <w:iCs/>
          <w:sz w:val="20"/>
          <w:szCs w:val="20"/>
        </w:rPr>
        <w:t xml:space="preserve">Catalysis Communications, </w:t>
      </w:r>
      <w:r w:rsidRPr="004A54E5">
        <w:rPr>
          <w:rFonts w:cs="Times New Roman"/>
          <w:iCs/>
          <w:sz w:val="20"/>
          <w:szCs w:val="20"/>
        </w:rPr>
        <w:t>73</w:t>
      </w:r>
      <w:r w:rsidR="005545F3">
        <w:rPr>
          <w:rFonts w:cs="Times New Roman"/>
          <w:sz w:val="20"/>
          <w:szCs w:val="20"/>
        </w:rPr>
        <w:t xml:space="preserve">: </w:t>
      </w:r>
      <w:r w:rsidRPr="00EA70F5">
        <w:rPr>
          <w:rFonts w:cs="Times New Roman"/>
          <w:sz w:val="20"/>
          <w:szCs w:val="20"/>
        </w:rPr>
        <w:t>98</w:t>
      </w:r>
      <w:r w:rsidR="005545F3">
        <w:rPr>
          <w:rFonts w:cs="Times New Roman"/>
          <w:sz w:val="20"/>
          <w:szCs w:val="20"/>
        </w:rPr>
        <w:t xml:space="preserve"> – </w:t>
      </w:r>
      <w:r w:rsidRPr="005545F3">
        <w:rPr>
          <w:rFonts w:cs="Times New Roman"/>
          <w:sz w:val="20"/>
          <w:szCs w:val="20"/>
        </w:rPr>
        <w:t>102.</w:t>
      </w:r>
    </w:p>
    <w:p w:rsidR="00D10E1A" w:rsidRPr="005545F3" w:rsidRDefault="00D10E1A" w:rsidP="005545F3">
      <w:pPr>
        <w:pStyle w:val="Default"/>
        <w:numPr>
          <w:ilvl w:val="0"/>
          <w:numId w:val="9"/>
        </w:numPr>
        <w:ind w:hanging="720"/>
        <w:jc w:val="both"/>
        <w:rPr>
          <w:color w:val="auto"/>
          <w:sz w:val="20"/>
          <w:szCs w:val="20"/>
        </w:rPr>
      </w:pPr>
      <w:r w:rsidRPr="008B0F8F">
        <w:rPr>
          <w:bCs/>
          <w:color w:val="auto"/>
          <w:sz w:val="20"/>
          <w:szCs w:val="20"/>
        </w:rPr>
        <w:t xml:space="preserve">Mukti, R. R., </w:t>
      </w:r>
      <w:r w:rsidRPr="008B0F8F">
        <w:rPr>
          <w:bCs/>
          <w:color w:val="000000" w:themeColor="text1"/>
          <w:sz w:val="20"/>
          <w:szCs w:val="20"/>
        </w:rPr>
        <w:t xml:space="preserve">Kamimura, Y. </w:t>
      </w:r>
      <w:r>
        <w:rPr>
          <w:bCs/>
          <w:color w:val="000000" w:themeColor="text1"/>
          <w:sz w:val="20"/>
          <w:szCs w:val="20"/>
        </w:rPr>
        <w:t>and</w:t>
      </w:r>
      <w:r w:rsidRPr="008B0F8F">
        <w:rPr>
          <w:bCs/>
          <w:color w:val="000000" w:themeColor="text1"/>
          <w:sz w:val="20"/>
          <w:szCs w:val="20"/>
        </w:rPr>
        <w:t xml:space="preserve"> Chaikittisilp, W.</w:t>
      </w:r>
      <w:r w:rsidR="005545F3">
        <w:rPr>
          <w:bCs/>
          <w:color w:val="auto"/>
          <w:sz w:val="20"/>
          <w:szCs w:val="20"/>
        </w:rPr>
        <w:t xml:space="preserve"> (2011). Hierarchically p</w:t>
      </w:r>
      <w:r w:rsidRPr="008B0F8F">
        <w:rPr>
          <w:bCs/>
          <w:color w:val="auto"/>
          <w:sz w:val="20"/>
          <w:szCs w:val="20"/>
        </w:rPr>
        <w:t xml:space="preserve">orous ZSM-5 </w:t>
      </w:r>
      <w:r w:rsidR="005545F3" w:rsidRPr="008B0F8F">
        <w:rPr>
          <w:bCs/>
          <w:color w:val="auto"/>
          <w:sz w:val="20"/>
          <w:szCs w:val="20"/>
        </w:rPr>
        <w:t xml:space="preserve">synthesized by nonionic- and cationic-templating routes and their catalytic activity in liquid-phase esterification. </w:t>
      </w:r>
      <w:r w:rsidR="005545F3" w:rsidRPr="005545F3">
        <w:rPr>
          <w:i/>
          <w:color w:val="auto"/>
          <w:sz w:val="20"/>
          <w:szCs w:val="20"/>
        </w:rPr>
        <w:t>ITB Journal</w:t>
      </w:r>
      <w:r w:rsidRPr="005545F3">
        <w:rPr>
          <w:i/>
          <w:color w:val="auto"/>
          <w:sz w:val="20"/>
          <w:szCs w:val="20"/>
        </w:rPr>
        <w:t xml:space="preserve"> </w:t>
      </w:r>
      <w:r w:rsidR="005545F3" w:rsidRPr="005545F3">
        <w:rPr>
          <w:i/>
          <w:color w:val="auto"/>
          <w:sz w:val="20"/>
          <w:szCs w:val="20"/>
        </w:rPr>
        <w:t xml:space="preserve">of </w:t>
      </w:r>
      <w:r w:rsidRPr="005545F3">
        <w:rPr>
          <w:i/>
          <w:color w:val="auto"/>
          <w:sz w:val="20"/>
          <w:szCs w:val="20"/>
        </w:rPr>
        <w:t>Sci</w:t>
      </w:r>
      <w:r w:rsidR="005545F3" w:rsidRPr="005545F3">
        <w:rPr>
          <w:i/>
          <w:color w:val="auto"/>
          <w:sz w:val="20"/>
          <w:szCs w:val="20"/>
        </w:rPr>
        <w:t>ence,</w:t>
      </w:r>
      <w:r w:rsidRPr="008B0F8F">
        <w:rPr>
          <w:color w:val="auto"/>
          <w:sz w:val="20"/>
          <w:szCs w:val="20"/>
        </w:rPr>
        <w:t xml:space="preserve"> </w:t>
      </w:r>
      <w:r w:rsidRPr="004A54E5">
        <w:rPr>
          <w:color w:val="auto"/>
          <w:sz w:val="20"/>
          <w:szCs w:val="20"/>
        </w:rPr>
        <w:t>43</w:t>
      </w:r>
      <w:r>
        <w:rPr>
          <w:color w:val="auto"/>
          <w:sz w:val="20"/>
          <w:szCs w:val="20"/>
        </w:rPr>
        <w:t xml:space="preserve"> </w:t>
      </w:r>
      <w:r w:rsidR="005545F3">
        <w:rPr>
          <w:color w:val="auto"/>
          <w:sz w:val="20"/>
          <w:szCs w:val="20"/>
        </w:rPr>
        <w:t xml:space="preserve">(1): </w:t>
      </w:r>
      <w:r w:rsidRPr="008B0F8F">
        <w:rPr>
          <w:color w:val="auto"/>
          <w:sz w:val="20"/>
          <w:szCs w:val="20"/>
        </w:rPr>
        <w:t>59</w:t>
      </w:r>
      <w:r w:rsidR="005545F3">
        <w:rPr>
          <w:color w:val="auto"/>
          <w:sz w:val="20"/>
          <w:szCs w:val="20"/>
        </w:rPr>
        <w:t xml:space="preserve"> – </w:t>
      </w:r>
      <w:r w:rsidRPr="005545F3">
        <w:rPr>
          <w:color w:val="auto"/>
          <w:sz w:val="20"/>
          <w:szCs w:val="20"/>
        </w:rPr>
        <w:t>72.</w:t>
      </w:r>
    </w:p>
    <w:p w:rsidR="00D10E1A" w:rsidRPr="005545F3" w:rsidRDefault="00D10E1A" w:rsidP="005545F3">
      <w:pPr>
        <w:pStyle w:val="ListParagraph"/>
        <w:numPr>
          <w:ilvl w:val="0"/>
          <w:numId w:val="9"/>
        </w:numPr>
        <w:spacing w:after="0" w:line="240" w:lineRule="auto"/>
        <w:ind w:hanging="720"/>
        <w:jc w:val="both"/>
        <w:rPr>
          <w:rFonts w:cs="Times New Roman"/>
          <w:sz w:val="20"/>
          <w:szCs w:val="20"/>
        </w:rPr>
      </w:pPr>
      <w:r>
        <w:rPr>
          <w:rFonts w:cs="Times New Roman"/>
          <w:sz w:val="20"/>
          <w:szCs w:val="20"/>
        </w:rPr>
        <w:t xml:space="preserve">Zhu, J., Meng, X. and Xiao, F. (2013). </w:t>
      </w:r>
      <w:r w:rsidR="005545F3">
        <w:rPr>
          <w:rFonts w:cs="Times New Roman"/>
          <w:sz w:val="20"/>
          <w:szCs w:val="20"/>
        </w:rPr>
        <w:t xml:space="preserve">Mesoporous zeolites as efficient catalysts for oil refining and natural gas conversion. </w:t>
      </w:r>
      <w:r w:rsidR="005545F3">
        <w:rPr>
          <w:rFonts w:cs="Times New Roman"/>
          <w:i/>
          <w:sz w:val="20"/>
          <w:szCs w:val="20"/>
        </w:rPr>
        <w:t>Frontier</w:t>
      </w:r>
      <w:r w:rsidR="007A1616">
        <w:rPr>
          <w:rFonts w:cs="Times New Roman"/>
          <w:i/>
          <w:sz w:val="20"/>
          <w:szCs w:val="20"/>
        </w:rPr>
        <w:t>s of</w:t>
      </w:r>
      <w:r w:rsidR="005545F3">
        <w:rPr>
          <w:rFonts w:cs="Times New Roman"/>
          <w:i/>
          <w:sz w:val="20"/>
          <w:szCs w:val="20"/>
        </w:rPr>
        <w:t xml:space="preserve"> Chemical Science and Engineering,</w:t>
      </w:r>
      <w:r>
        <w:rPr>
          <w:rFonts w:cs="Times New Roman"/>
          <w:i/>
          <w:sz w:val="20"/>
          <w:szCs w:val="20"/>
        </w:rPr>
        <w:t xml:space="preserve"> </w:t>
      </w:r>
      <w:r w:rsidRPr="005545F3">
        <w:rPr>
          <w:rFonts w:cs="Times New Roman"/>
          <w:sz w:val="20"/>
          <w:szCs w:val="20"/>
        </w:rPr>
        <w:t>7</w:t>
      </w:r>
      <w:r w:rsidR="005545F3" w:rsidRPr="005545F3">
        <w:rPr>
          <w:rFonts w:cs="Times New Roman"/>
          <w:sz w:val="20"/>
          <w:szCs w:val="20"/>
        </w:rPr>
        <w:t>(2):</w:t>
      </w:r>
      <w:r w:rsidR="005545F3">
        <w:rPr>
          <w:rFonts w:cs="Times New Roman"/>
          <w:sz w:val="20"/>
          <w:szCs w:val="20"/>
        </w:rPr>
        <w:t xml:space="preserve"> </w:t>
      </w:r>
      <w:r>
        <w:rPr>
          <w:rFonts w:cs="Times New Roman"/>
          <w:sz w:val="20"/>
          <w:szCs w:val="20"/>
        </w:rPr>
        <w:t>233</w:t>
      </w:r>
      <w:r w:rsidR="005545F3">
        <w:rPr>
          <w:rFonts w:cs="Times New Roman"/>
          <w:sz w:val="20"/>
          <w:szCs w:val="20"/>
        </w:rPr>
        <w:t xml:space="preserve"> – </w:t>
      </w:r>
      <w:r w:rsidRPr="005545F3">
        <w:rPr>
          <w:rFonts w:cs="Times New Roman"/>
          <w:sz w:val="20"/>
          <w:szCs w:val="20"/>
        </w:rPr>
        <w:t>248</w:t>
      </w:r>
    </w:p>
    <w:p w:rsidR="00D10E1A" w:rsidRPr="007A1616" w:rsidRDefault="00D10E1A" w:rsidP="007A1616">
      <w:pPr>
        <w:pStyle w:val="ListParagraph"/>
        <w:numPr>
          <w:ilvl w:val="0"/>
          <w:numId w:val="9"/>
        </w:numPr>
        <w:spacing w:after="0" w:line="240" w:lineRule="auto"/>
        <w:ind w:hanging="720"/>
        <w:jc w:val="both"/>
        <w:rPr>
          <w:rFonts w:cs="Times New Roman"/>
          <w:sz w:val="20"/>
          <w:szCs w:val="20"/>
        </w:rPr>
      </w:pPr>
      <w:r w:rsidRPr="00AE2F05">
        <w:rPr>
          <w:rFonts w:cs="Times New Roman"/>
          <w:sz w:val="20"/>
          <w:szCs w:val="20"/>
          <w:lang w:val="fr-FR"/>
        </w:rPr>
        <w:t xml:space="preserve">Wei, Y., Parmentier, T. E., de Jong, K. P. and Zecevic, J. (2015). </w:t>
      </w:r>
      <w:r w:rsidRPr="000373B0">
        <w:rPr>
          <w:rFonts w:cs="Times New Roman"/>
          <w:sz w:val="20"/>
          <w:szCs w:val="20"/>
        </w:rPr>
        <w:t xml:space="preserve">Tailoring </w:t>
      </w:r>
      <w:r w:rsidR="005545F3">
        <w:rPr>
          <w:rFonts w:cs="Times New Roman"/>
          <w:sz w:val="20"/>
          <w:szCs w:val="20"/>
        </w:rPr>
        <w:t>a</w:t>
      </w:r>
      <w:r w:rsidR="005545F3" w:rsidRPr="000373B0">
        <w:rPr>
          <w:rFonts w:cs="Times New Roman"/>
          <w:sz w:val="20"/>
          <w:szCs w:val="20"/>
        </w:rPr>
        <w:t xml:space="preserve">nd visualizing </w:t>
      </w:r>
      <w:r w:rsidR="005545F3">
        <w:rPr>
          <w:rFonts w:cs="Times New Roman"/>
          <w:sz w:val="20"/>
          <w:szCs w:val="20"/>
        </w:rPr>
        <w:t>t</w:t>
      </w:r>
      <w:r w:rsidR="005545F3" w:rsidRPr="000373B0">
        <w:rPr>
          <w:rFonts w:cs="Times New Roman"/>
          <w:sz w:val="20"/>
          <w:szCs w:val="20"/>
        </w:rPr>
        <w:t xml:space="preserve">he pore architecture </w:t>
      </w:r>
      <w:r w:rsidR="005545F3">
        <w:rPr>
          <w:rFonts w:cs="Times New Roman"/>
          <w:sz w:val="20"/>
          <w:szCs w:val="20"/>
        </w:rPr>
        <w:t>o</w:t>
      </w:r>
      <w:r w:rsidR="005545F3" w:rsidRPr="000373B0">
        <w:rPr>
          <w:rFonts w:cs="Times New Roman"/>
          <w:sz w:val="20"/>
          <w:szCs w:val="20"/>
        </w:rPr>
        <w:t>f hierarchical zeolites.</w:t>
      </w:r>
      <w:r w:rsidRPr="000373B0">
        <w:rPr>
          <w:rFonts w:cs="Times New Roman"/>
          <w:sz w:val="20"/>
          <w:szCs w:val="20"/>
        </w:rPr>
        <w:t xml:space="preserve"> </w:t>
      </w:r>
      <w:r w:rsidRPr="000373B0">
        <w:rPr>
          <w:rFonts w:cs="Times New Roman"/>
          <w:i/>
          <w:iCs/>
          <w:sz w:val="20"/>
          <w:szCs w:val="20"/>
        </w:rPr>
        <w:t xml:space="preserve">Chemical Society Reviews, </w:t>
      </w:r>
      <w:r w:rsidRPr="004A54E5">
        <w:rPr>
          <w:rFonts w:cs="Times New Roman"/>
          <w:iCs/>
          <w:sz w:val="20"/>
          <w:szCs w:val="20"/>
        </w:rPr>
        <w:t>44</w:t>
      </w:r>
      <w:r w:rsidR="007A1616">
        <w:rPr>
          <w:rFonts w:cs="Times New Roman"/>
          <w:sz w:val="20"/>
          <w:szCs w:val="20"/>
        </w:rPr>
        <w:t xml:space="preserve">(20): </w:t>
      </w:r>
      <w:r w:rsidRPr="000373B0">
        <w:rPr>
          <w:rFonts w:cs="Times New Roman"/>
          <w:sz w:val="20"/>
          <w:szCs w:val="20"/>
        </w:rPr>
        <w:t>7234</w:t>
      </w:r>
      <w:r w:rsidR="007A1616">
        <w:rPr>
          <w:rFonts w:cs="Times New Roman"/>
          <w:sz w:val="20"/>
          <w:szCs w:val="20"/>
        </w:rPr>
        <w:t xml:space="preserve"> – </w:t>
      </w:r>
      <w:r w:rsidRPr="007A1616">
        <w:rPr>
          <w:rFonts w:cs="Times New Roman"/>
          <w:sz w:val="20"/>
          <w:szCs w:val="20"/>
        </w:rPr>
        <w:t>7261.</w:t>
      </w:r>
    </w:p>
    <w:p w:rsidR="00D10E1A" w:rsidRPr="007A1616" w:rsidRDefault="00D10E1A" w:rsidP="007A1616">
      <w:pPr>
        <w:pStyle w:val="ListParagraph"/>
        <w:numPr>
          <w:ilvl w:val="0"/>
          <w:numId w:val="9"/>
        </w:numPr>
        <w:spacing w:after="0" w:line="240" w:lineRule="auto"/>
        <w:ind w:hanging="720"/>
        <w:jc w:val="both"/>
        <w:rPr>
          <w:rFonts w:cs="Times New Roman"/>
          <w:sz w:val="20"/>
          <w:szCs w:val="20"/>
        </w:rPr>
      </w:pPr>
      <w:r>
        <w:rPr>
          <w:rFonts w:cs="Times New Roman"/>
          <w:sz w:val="20"/>
          <w:szCs w:val="20"/>
        </w:rPr>
        <w:t xml:space="preserve">Vernimmen, J., Meynen, V. and </w:t>
      </w:r>
      <w:r w:rsidRPr="006F6C30">
        <w:rPr>
          <w:rFonts w:cs="Times New Roman"/>
          <w:sz w:val="20"/>
          <w:szCs w:val="20"/>
        </w:rPr>
        <w:t xml:space="preserve">Cool, P. (2011). Synthesis </w:t>
      </w:r>
      <w:r w:rsidR="007A1616">
        <w:rPr>
          <w:rFonts w:cs="Times New Roman"/>
          <w:sz w:val="20"/>
          <w:szCs w:val="20"/>
        </w:rPr>
        <w:t>a</w:t>
      </w:r>
      <w:r w:rsidR="007A1616" w:rsidRPr="006F6C30">
        <w:rPr>
          <w:rFonts w:cs="Times New Roman"/>
          <w:sz w:val="20"/>
          <w:szCs w:val="20"/>
        </w:rPr>
        <w:t xml:space="preserve">nd catalytic applications </w:t>
      </w:r>
      <w:r w:rsidR="007A1616">
        <w:rPr>
          <w:rFonts w:cs="Times New Roman"/>
          <w:sz w:val="20"/>
          <w:szCs w:val="20"/>
        </w:rPr>
        <w:t>o</w:t>
      </w:r>
      <w:r w:rsidR="007A1616" w:rsidRPr="006F6C30">
        <w:rPr>
          <w:rFonts w:cs="Times New Roman"/>
          <w:sz w:val="20"/>
          <w:szCs w:val="20"/>
        </w:rPr>
        <w:t xml:space="preserve">f combined zeolitic/mesoporous materials. </w:t>
      </w:r>
      <w:r w:rsidRPr="006F6C30">
        <w:rPr>
          <w:rFonts w:cs="Times New Roman"/>
          <w:i/>
          <w:iCs/>
          <w:sz w:val="20"/>
          <w:szCs w:val="20"/>
        </w:rPr>
        <w:t xml:space="preserve">Beilstein Journal of Nanotechnology, </w:t>
      </w:r>
      <w:r w:rsidRPr="004A54E5">
        <w:rPr>
          <w:rFonts w:cs="Times New Roman"/>
          <w:iCs/>
          <w:sz w:val="20"/>
          <w:szCs w:val="20"/>
        </w:rPr>
        <w:t>2</w:t>
      </w:r>
      <w:r w:rsidR="007A1616">
        <w:rPr>
          <w:rFonts w:cs="Times New Roman"/>
          <w:sz w:val="20"/>
          <w:szCs w:val="20"/>
        </w:rPr>
        <w:t xml:space="preserve">: </w:t>
      </w:r>
      <w:r w:rsidRPr="006F6C30">
        <w:rPr>
          <w:rFonts w:cs="Times New Roman"/>
          <w:sz w:val="20"/>
          <w:szCs w:val="20"/>
        </w:rPr>
        <w:t>785</w:t>
      </w:r>
      <w:r w:rsidR="007A1616">
        <w:rPr>
          <w:rFonts w:cs="Times New Roman"/>
          <w:sz w:val="20"/>
          <w:szCs w:val="20"/>
        </w:rPr>
        <w:t xml:space="preserve"> – </w:t>
      </w:r>
      <w:r w:rsidRPr="007A1616">
        <w:rPr>
          <w:rFonts w:cs="Times New Roman"/>
          <w:sz w:val="20"/>
          <w:szCs w:val="20"/>
        </w:rPr>
        <w:t>801.</w:t>
      </w:r>
    </w:p>
    <w:p w:rsidR="00D10E1A" w:rsidRPr="007A1616" w:rsidRDefault="00D10E1A" w:rsidP="007A1616">
      <w:pPr>
        <w:pStyle w:val="ListParagraph"/>
        <w:numPr>
          <w:ilvl w:val="0"/>
          <w:numId w:val="9"/>
        </w:numPr>
        <w:spacing w:line="240" w:lineRule="auto"/>
        <w:ind w:hanging="720"/>
        <w:jc w:val="both"/>
        <w:rPr>
          <w:sz w:val="20"/>
          <w:szCs w:val="20"/>
        </w:rPr>
      </w:pPr>
      <w:r w:rsidRPr="006F6C30">
        <w:rPr>
          <w:sz w:val="20"/>
          <w:szCs w:val="20"/>
        </w:rPr>
        <w:t xml:space="preserve">Moliner, M. (2012). Direct </w:t>
      </w:r>
      <w:r w:rsidR="007A1616" w:rsidRPr="006F6C30">
        <w:rPr>
          <w:sz w:val="20"/>
          <w:szCs w:val="20"/>
        </w:rPr>
        <w:t xml:space="preserve">synthesis of functional zeolitic materials. </w:t>
      </w:r>
      <w:r w:rsidRPr="006F6C30">
        <w:rPr>
          <w:i/>
          <w:iCs/>
          <w:sz w:val="20"/>
          <w:szCs w:val="20"/>
        </w:rPr>
        <w:t xml:space="preserve">ISRN Materials Science, </w:t>
      </w:r>
      <w:r w:rsidR="007A1616">
        <w:rPr>
          <w:iCs/>
          <w:sz w:val="20"/>
          <w:szCs w:val="20"/>
        </w:rPr>
        <w:t>2012: 1 –</w:t>
      </w:r>
      <w:r w:rsidRPr="007A1616">
        <w:rPr>
          <w:sz w:val="20"/>
          <w:szCs w:val="20"/>
        </w:rPr>
        <w:t xml:space="preserve">24. </w:t>
      </w:r>
    </w:p>
    <w:p w:rsidR="00D10E1A" w:rsidRPr="007A1616" w:rsidRDefault="00D10E1A" w:rsidP="007A1616">
      <w:pPr>
        <w:pStyle w:val="ListParagraph"/>
        <w:numPr>
          <w:ilvl w:val="0"/>
          <w:numId w:val="9"/>
        </w:numPr>
        <w:spacing w:line="240" w:lineRule="auto"/>
        <w:ind w:hanging="720"/>
        <w:jc w:val="both"/>
        <w:rPr>
          <w:sz w:val="20"/>
          <w:szCs w:val="20"/>
        </w:rPr>
      </w:pPr>
      <w:r w:rsidRPr="006F6C30">
        <w:rPr>
          <w:sz w:val="20"/>
          <w:szCs w:val="20"/>
        </w:rPr>
        <w:t xml:space="preserve">Chen, Z., Zhang, J. and Yu, B. (2015). Amino </w:t>
      </w:r>
      <w:r w:rsidR="007A1616" w:rsidRPr="006F6C30">
        <w:rPr>
          <w:sz w:val="20"/>
          <w:szCs w:val="20"/>
        </w:rPr>
        <w:t xml:space="preserve">acid mediated mesopore formation in </w:t>
      </w:r>
      <w:r w:rsidR="007A1616">
        <w:rPr>
          <w:sz w:val="20"/>
          <w:szCs w:val="20"/>
        </w:rPr>
        <w:t>LTA z</w:t>
      </w:r>
      <w:r w:rsidRPr="006F6C30">
        <w:rPr>
          <w:sz w:val="20"/>
          <w:szCs w:val="20"/>
        </w:rPr>
        <w:t xml:space="preserve">eolites. </w:t>
      </w:r>
      <w:r w:rsidRPr="006F6C30">
        <w:rPr>
          <w:i/>
          <w:iCs/>
          <w:sz w:val="20"/>
          <w:szCs w:val="20"/>
        </w:rPr>
        <w:t>Journal of Materials Chemistry A,</w:t>
      </w:r>
      <w:r w:rsidRPr="004A54E5">
        <w:rPr>
          <w:i/>
          <w:iCs/>
          <w:sz w:val="20"/>
          <w:szCs w:val="20"/>
        </w:rPr>
        <w:t xml:space="preserve"> </w:t>
      </w:r>
      <w:r w:rsidRPr="004A54E5">
        <w:rPr>
          <w:iCs/>
          <w:sz w:val="20"/>
          <w:szCs w:val="20"/>
        </w:rPr>
        <w:t>4</w:t>
      </w:r>
      <w:r w:rsidR="007A1616">
        <w:rPr>
          <w:sz w:val="20"/>
          <w:szCs w:val="20"/>
        </w:rPr>
        <w:t xml:space="preserve">(6): </w:t>
      </w:r>
      <w:r w:rsidRPr="006F6C30">
        <w:rPr>
          <w:sz w:val="20"/>
          <w:szCs w:val="20"/>
        </w:rPr>
        <w:t>2305</w:t>
      </w:r>
      <w:r w:rsidR="007A1616">
        <w:rPr>
          <w:sz w:val="20"/>
          <w:szCs w:val="20"/>
        </w:rPr>
        <w:t xml:space="preserve"> – </w:t>
      </w:r>
      <w:r w:rsidRPr="007A1616">
        <w:rPr>
          <w:sz w:val="20"/>
          <w:szCs w:val="20"/>
        </w:rPr>
        <w:t>2313.</w:t>
      </w:r>
    </w:p>
    <w:p w:rsidR="00D10E1A" w:rsidRPr="007A1616" w:rsidRDefault="00D10E1A" w:rsidP="007A1616">
      <w:pPr>
        <w:pStyle w:val="ListParagraph"/>
        <w:numPr>
          <w:ilvl w:val="0"/>
          <w:numId w:val="9"/>
        </w:numPr>
        <w:spacing w:line="240" w:lineRule="auto"/>
        <w:ind w:hanging="720"/>
        <w:jc w:val="both"/>
        <w:rPr>
          <w:sz w:val="20"/>
          <w:szCs w:val="20"/>
        </w:rPr>
      </w:pPr>
      <w:r w:rsidRPr="006F6C30">
        <w:rPr>
          <w:sz w:val="20"/>
          <w:szCs w:val="20"/>
        </w:rPr>
        <w:t xml:space="preserve">Jiao, W. Q., Fu, W. H. and Liang, X. M. (2014). Preparation </w:t>
      </w:r>
      <w:r w:rsidR="007A1616" w:rsidRPr="006F6C30">
        <w:rPr>
          <w:sz w:val="20"/>
          <w:szCs w:val="20"/>
        </w:rPr>
        <w:t xml:space="preserve">of hierarchically structured </w:t>
      </w:r>
      <w:r w:rsidRPr="006F6C30">
        <w:rPr>
          <w:sz w:val="20"/>
          <w:szCs w:val="20"/>
        </w:rPr>
        <w:t xml:space="preserve">Y </w:t>
      </w:r>
      <w:r w:rsidR="007A1616" w:rsidRPr="006F6C30">
        <w:rPr>
          <w:sz w:val="20"/>
          <w:szCs w:val="20"/>
        </w:rPr>
        <w:t xml:space="preserve">zeolite with low </w:t>
      </w:r>
      <w:r w:rsidR="007A1616">
        <w:rPr>
          <w:sz w:val="20"/>
          <w:szCs w:val="20"/>
        </w:rPr>
        <w:t>Si/Al ratio and Its applications in acetalization r</w:t>
      </w:r>
      <w:r w:rsidRPr="006F6C30">
        <w:rPr>
          <w:sz w:val="20"/>
          <w:szCs w:val="20"/>
        </w:rPr>
        <w:t xml:space="preserve">eactions. </w:t>
      </w:r>
      <w:r w:rsidRPr="006F6C30">
        <w:rPr>
          <w:i/>
          <w:iCs/>
          <w:sz w:val="20"/>
          <w:szCs w:val="20"/>
        </w:rPr>
        <w:t>RSC Advances</w:t>
      </w:r>
      <w:r w:rsidRPr="004A54E5">
        <w:rPr>
          <w:i/>
          <w:iCs/>
          <w:sz w:val="20"/>
          <w:szCs w:val="20"/>
        </w:rPr>
        <w:t xml:space="preserve">, </w:t>
      </w:r>
      <w:r w:rsidRPr="004A54E5">
        <w:rPr>
          <w:iCs/>
          <w:sz w:val="20"/>
          <w:szCs w:val="20"/>
        </w:rPr>
        <w:t>4</w:t>
      </w:r>
      <w:r w:rsidR="007A1616">
        <w:rPr>
          <w:sz w:val="20"/>
          <w:szCs w:val="20"/>
        </w:rPr>
        <w:t xml:space="preserve">(102): </w:t>
      </w:r>
      <w:r w:rsidRPr="006F6C30">
        <w:rPr>
          <w:sz w:val="20"/>
          <w:szCs w:val="20"/>
        </w:rPr>
        <w:t>58596</w:t>
      </w:r>
      <w:r w:rsidR="007A1616">
        <w:rPr>
          <w:sz w:val="20"/>
          <w:szCs w:val="20"/>
        </w:rPr>
        <w:t xml:space="preserve"> – </w:t>
      </w:r>
      <w:r w:rsidRPr="007A1616">
        <w:rPr>
          <w:sz w:val="20"/>
          <w:szCs w:val="20"/>
        </w:rPr>
        <w:t>58607.</w:t>
      </w:r>
    </w:p>
    <w:p w:rsidR="00D10E1A" w:rsidRPr="007A1616" w:rsidRDefault="00D10E1A" w:rsidP="007A1616">
      <w:pPr>
        <w:pStyle w:val="ListParagraph"/>
        <w:numPr>
          <w:ilvl w:val="0"/>
          <w:numId w:val="9"/>
        </w:numPr>
        <w:spacing w:after="0" w:line="240" w:lineRule="auto"/>
        <w:ind w:hanging="720"/>
        <w:jc w:val="both"/>
        <w:rPr>
          <w:rFonts w:cs="Times New Roman"/>
          <w:sz w:val="20"/>
          <w:szCs w:val="20"/>
        </w:rPr>
      </w:pPr>
      <w:r>
        <w:rPr>
          <w:rFonts w:cs="Times New Roman"/>
          <w:sz w:val="20"/>
          <w:szCs w:val="20"/>
        </w:rPr>
        <w:t>Emda</w:t>
      </w:r>
      <w:r w:rsidRPr="00FA1C81">
        <w:rPr>
          <w:rFonts w:cs="Times New Roman"/>
          <w:sz w:val="20"/>
          <w:szCs w:val="20"/>
        </w:rPr>
        <w:t xml:space="preserve">di, L., Wu, Y., Zhu, G., Chang, </w:t>
      </w:r>
      <w:r>
        <w:rPr>
          <w:rFonts w:cs="Times New Roman"/>
          <w:sz w:val="20"/>
          <w:szCs w:val="20"/>
        </w:rPr>
        <w:t xml:space="preserve">C. C., Fan, W., Pham, T. and </w:t>
      </w:r>
      <w:r w:rsidRPr="00FA1C81">
        <w:rPr>
          <w:rFonts w:cs="Times New Roman"/>
          <w:sz w:val="20"/>
          <w:szCs w:val="20"/>
        </w:rPr>
        <w:t xml:space="preserve">Liu, D. (2014). Dual </w:t>
      </w:r>
      <w:r w:rsidR="007A1616" w:rsidRPr="00FA1C81">
        <w:rPr>
          <w:rFonts w:cs="Times New Roman"/>
          <w:sz w:val="20"/>
          <w:szCs w:val="20"/>
        </w:rPr>
        <w:t>template synthesis of meso- and microporous</w:t>
      </w:r>
      <w:r w:rsidRPr="00FA1C81">
        <w:rPr>
          <w:rFonts w:cs="Times New Roman"/>
          <w:sz w:val="20"/>
          <w:szCs w:val="20"/>
        </w:rPr>
        <w:t xml:space="preserve"> MFI </w:t>
      </w:r>
      <w:r w:rsidR="007A1616" w:rsidRPr="00FA1C81">
        <w:rPr>
          <w:rFonts w:cs="Times New Roman"/>
          <w:sz w:val="20"/>
          <w:szCs w:val="20"/>
        </w:rPr>
        <w:t>zeolite nanosheet assemblies with tailored activity in catalytic reactions</w:t>
      </w:r>
      <w:r w:rsidRPr="00FA1C81">
        <w:rPr>
          <w:rFonts w:cs="Times New Roman"/>
          <w:sz w:val="20"/>
          <w:szCs w:val="20"/>
        </w:rPr>
        <w:t xml:space="preserve">. </w:t>
      </w:r>
      <w:r w:rsidRPr="00FA1C81">
        <w:rPr>
          <w:rFonts w:cs="Times New Roman"/>
          <w:i/>
          <w:iCs/>
          <w:sz w:val="20"/>
          <w:szCs w:val="20"/>
        </w:rPr>
        <w:t xml:space="preserve">Chemistry of Materials, </w:t>
      </w:r>
      <w:r w:rsidRPr="004A54E5">
        <w:rPr>
          <w:rFonts w:cs="Times New Roman"/>
          <w:iCs/>
          <w:sz w:val="20"/>
          <w:szCs w:val="20"/>
        </w:rPr>
        <w:t>26</w:t>
      </w:r>
      <w:r w:rsidR="007A1616">
        <w:rPr>
          <w:rFonts w:cs="Times New Roman"/>
          <w:sz w:val="20"/>
          <w:szCs w:val="20"/>
        </w:rPr>
        <w:t xml:space="preserve">(3): </w:t>
      </w:r>
      <w:r w:rsidRPr="00FA1C81">
        <w:rPr>
          <w:rFonts w:cs="Times New Roman"/>
          <w:sz w:val="20"/>
          <w:szCs w:val="20"/>
        </w:rPr>
        <w:t>1345</w:t>
      </w:r>
      <w:r w:rsidR="007A1616">
        <w:rPr>
          <w:rFonts w:cs="Times New Roman"/>
          <w:sz w:val="20"/>
          <w:szCs w:val="20"/>
        </w:rPr>
        <w:t xml:space="preserve"> – </w:t>
      </w:r>
      <w:r w:rsidRPr="007A1616">
        <w:rPr>
          <w:rFonts w:cs="Times New Roman"/>
          <w:sz w:val="20"/>
          <w:szCs w:val="20"/>
        </w:rPr>
        <w:t>1355.</w:t>
      </w:r>
    </w:p>
    <w:p w:rsidR="00D10E1A" w:rsidRPr="007A1616" w:rsidRDefault="00D10E1A" w:rsidP="007A1616">
      <w:pPr>
        <w:pStyle w:val="ListParagraph"/>
        <w:numPr>
          <w:ilvl w:val="0"/>
          <w:numId w:val="9"/>
        </w:numPr>
        <w:spacing w:line="240" w:lineRule="auto"/>
        <w:ind w:hanging="720"/>
        <w:jc w:val="both"/>
        <w:rPr>
          <w:sz w:val="20"/>
          <w:szCs w:val="20"/>
        </w:rPr>
      </w:pPr>
      <w:r w:rsidRPr="00264088">
        <w:rPr>
          <w:sz w:val="20"/>
          <w:szCs w:val="20"/>
        </w:rPr>
        <w:t xml:space="preserve">Na, K. and Somorjai, G. A. (2014). Hierarchically </w:t>
      </w:r>
      <w:r w:rsidR="007A1616" w:rsidRPr="00264088">
        <w:rPr>
          <w:sz w:val="20"/>
          <w:szCs w:val="20"/>
        </w:rPr>
        <w:t xml:space="preserve">nanoporous zeolites and </w:t>
      </w:r>
      <w:r w:rsidR="007A1616">
        <w:rPr>
          <w:sz w:val="20"/>
          <w:szCs w:val="20"/>
        </w:rPr>
        <w:t>their heterogeneous catalysis: C</w:t>
      </w:r>
      <w:r w:rsidR="007A1616" w:rsidRPr="00264088">
        <w:rPr>
          <w:sz w:val="20"/>
          <w:szCs w:val="20"/>
        </w:rPr>
        <w:t xml:space="preserve">urrent status and future perspectives. </w:t>
      </w:r>
      <w:r w:rsidRPr="00264088">
        <w:rPr>
          <w:i/>
          <w:iCs/>
          <w:sz w:val="20"/>
          <w:szCs w:val="20"/>
        </w:rPr>
        <w:t xml:space="preserve">Catalysis Letters, </w:t>
      </w:r>
      <w:r w:rsidRPr="004A54E5">
        <w:rPr>
          <w:iCs/>
          <w:sz w:val="20"/>
          <w:szCs w:val="20"/>
        </w:rPr>
        <w:t>145</w:t>
      </w:r>
      <w:r w:rsidR="007A1616">
        <w:rPr>
          <w:sz w:val="20"/>
          <w:szCs w:val="20"/>
        </w:rPr>
        <w:t>(1):</w:t>
      </w:r>
      <w:r w:rsidRPr="00264088">
        <w:rPr>
          <w:sz w:val="20"/>
          <w:szCs w:val="20"/>
        </w:rPr>
        <w:t xml:space="preserve"> 193</w:t>
      </w:r>
      <w:r w:rsidR="007A1616">
        <w:rPr>
          <w:sz w:val="20"/>
          <w:szCs w:val="20"/>
        </w:rPr>
        <w:t xml:space="preserve"> – </w:t>
      </w:r>
      <w:r w:rsidRPr="007A1616">
        <w:rPr>
          <w:sz w:val="20"/>
          <w:szCs w:val="20"/>
        </w:rPr>
        <w:t>213.</w:t>
      </w:r>
    </w:p>
    <w:p w:rsidR="00D10E1A" w:rsidRPr="007A1616" w:rsidRDefault="00D10E1A" w:rsidP="007A1616">
      <w:pPr>
        <w:pStyle w:val="ListParagraph"/>
        <w:numPr>
          <w:ilvl w:val="0"/>
          <w:numId w:val="9"/>
        </w:numPr>
        <w:spacing w:line="240" w:lineRule="auto"/>
        <w:ind w:hanging="720"/>
        <w:jc w:val="both"/>
        <w:rPr>
          <w:sz w:val="20"/>
          <w:szCs w:val="20"/>
        </w:rPr>
      </w:pPr>
      <w:r w:rsidRPr="00264088">
        <w:rPr>
          <w:sz w:val="20"/>
          <w:szCs w:val="20"/>
        </w:rPr>
        <w:t xml:space="preserve">Jie, Z., X. M. and Fengshou, X. (2013). Mesoporous </w:t>
      </w:r>
      <w:r w:rsidR="007A1616" w:rsidRPr="00264088">
        <w:rPr>
          <w:sz w:val="20"/>
          <w:szCs w:val="20"/>
        </w:rPr>
        <w:t>zeolites as efficient catalysts for oil refining and natural gas conversion.</w:t>
      </w:r>
      <w:r w:rsidRPr="00264088">
        <w:rPr>
          <w:sz w:val="20"/>
          <w:szCs w:val="20"/>
        </w:rPr>
        <w:t xml:space="preserve"> </w:t>
      </w:r>
      <w:r w:rsidRPr="00264088">
        <w:rPr>
          <w:i/>
          <w:iCs/>
          <w:sz w:val="20"/>
          <w:szCs w:val="20"/>
        </w:rPr>
        <w:t>Frontiers of Chemical Science and Engineering,</w:t>
      </w:r>
      <w:r w:rsidRPr="004A54E5">
        <w:rPr>
          <w:i/>
          <w:iCs/>
          <w:sz w:val="20"/>
          <w:szCs w:val="20"/>
        </w:rPr>
        <w:t xml:space="preserve"> </w:t>
      </w:r>
      <w:r w:rsidRPr="004A54E5">
        <w:rPr>
          <w:iCs/>
          <w:sz w:val="20"/>
          <w:szCs w:val="20"/>
        </w:rPr>
        <w:t>7</w:t>
      </w:r>
      <w:r w:rsidR="007A1616">
        <w:rPr>
          <w:sz w:val="20"/>
          <w:szCs w:val="20"/>
        </w:rPr>
        <w:t xml:space="preserve">(2): </w:t>
      </w:r>
      <w:r w:rsidRPr="00264088">
        <w:rPr>
          <w:sz w:val="20"/>
          <w:szCs w:val="20"/>
        </w:rPr>
        <w:t>233</w:t>
      </w:r>
      <w:r w:rsidR="007A1616">
        <w:rPr>
          <w:sz w:val="20"/>
          <w:szCs w:val="20"/>
        </w:rPr>
        <w:t xml:space="preserve"> – </w:t>
      </w:r>
      <w:r w:rsidRPr="007A1616">
        <w:rPr>
          <w:sz w:val="20"/>
          <w:szCs w:val="20"/>
        </w:rPr>
        <w:t>248.</w:t>
      </w:r>
    </w:p>
    <w:p w:rsidR="00D10E1A" w:rsidRPr="007A1616" w:rsidRDefault="00D10E1A" w:rsidP="007A1616">
      <w:pPr>
        <w:pStyle w:val="ListParagraph"/>
        <w:numPr>
          <w:ilvl w:val="0"/>
          <w:numId w:val="9"/>
        </w:numPr>
        <w:spacing w:line="240" w:lineRule="auto"/>
        <w:ind w:hanging="720"/>
        <w:jc w:val="both"/>
        <w:rPr>
          <w:sz w:val="20"/>
          <w:szCs w:val="20"/>
        </w:rPr>
      </w:pPr>
      <w:r w:rsidRPr="00264088">
        <w:rPr>
          <w:sz w:val="20"/>
          <w:szCs w:val="20"/>
        </w:rPr>
        <w:t xml:space="preserve">Corma, A., Fornés, V. and Martín-Aranda, R. M. (1990). Zeolites </w:t>
      </w:r>
      <w:r w:rsidR="007A1616">
        <w:rPr>
          <w:sz w:val="20"/>
          <w:szCs w:val="20"/>
        </w:rPr>
        <w:t>as base catalysts: C</w:t>
      </w:r>
      <w:r w:rsidR="007A1616" w:rsidRPr="00264088">
        <w:rPr>
          <w:sz w:val="20"/>
          <w:szCs w:val="20"/>
        </w:rPr>
        <w:t xml:space="preserve">ondensation of aldehydes with derivatives of malonic esters. </w:t>
      </w:r>
      <w:r w:rsidRPr="00264088">
        <w:rPr>
          <w:i/>
          <w:iCs/>
          <w:sz w:val="20"/>
          <w:szCs w:val="20"/>
        </w:rPr>
        <w:t xml:space="preserve">Applied Catalysis, </w:t>
      </w:r>
      <w:r w:rsidRPr="004A54E5">
        <w:rPr>
          <w:iCs/>
          <w:sz w:val="20"/>
          <w:szCs w:val="20"/>
        </w:rPr>
        <w:t>59</w:t>
      </w:r>
      <w:r w:rsidR="007A1616">
        <w:rPr>
          <w:sz w:val="20"/>
          <w:szCs w:val="20"/>
        </w:rPr>
        <w:t xml:space="preserve">(1): </w:t>
      </w:r>
      <w:r w:rsidRPr="00264088">
        <w:rPr>
          <w:sz w:val="20"/>
          <w:szCs w:val="20"/>
        </w:rPr>
        <w:t>237</w:t>
      </w:r>
      <w:r w:rsidR="007A1616">
        <w:rPr>
          <w:sz w:val="20"/>
          <w:szCs w:val="20"/>
        </w:rPr>
        <w:t xml:space="preserve"> – </w:t>
      </w:r>
      <w:r w:rsidRPr="007A1616">
        <w:rPr>
          <w:sz w:val="20"/>
          <w:szCs w:val="20"/>
        </w:rPr>
        <w:t>248.</w:t>
      </w:r>
    </w:p>
    <w:p w:rsidR="00D10E1A" w:rsidRPr="007A1616" w:rsidRDefault="00D10E1A" w:rsidP="007A1616">
      <w:pPr>
        <w:pStyle w:val="ListParagraph"/>
        <w:numPr>
          <w:ilvl w:val="0"/>
          <w:numId w:val="9"/>
        </w:numPr>
        <w:spacing w:line="240" w:lineRule="auto"/>
        <w:ind w:hanging="720"/>
        <w:jc w:val="both"/>
        <w:rPr>
          <w:sz w:val="20"/>
          <w:szCs w:val="20"/>
        </w:rPr>
      </w:pPr>
      <w:r w:rsidRPr="00264088">
        <w:rPr>
          <w:sz w:val="20"/>
          <w:szCs w:val="20"/>
        </w:rPr>
        <w:t xml:space="preserve">Muralidhar, L. and Girija, C. R. (2014). Simple </w:t>
      </w:r>
      <w:r w:rsidR="007A1616" w:rsidRPr="00264088">
        <w:rPr>
          <w:sz w:val="20"/>
          <w:szCs w:val="20"/>
        </w:rPr>
        <w:t>and practical procedure for knoevenagel condensation under solvent-free conditions.</w:t>
      </w:r>
      <w:r w:rsidRPr="00264088">
        <w:rPr>
          <w:sz w:val="20"/>
          <w:szCs w:val="20"/>
        </w:rPr>
        <w:t xml:space="preserve"> </w:t>
      </w:r>
      <w:r w:rsidRPr="00264088">
        <w:rPr>
          <w:i/>
          <w:iCs/>
          <w:sz w:val="20"/>
          <w:szCs w:val="20"/>
        </w:rPr>
        <w:t xml:space="preserve">Journal of Saudi Chemical Society, </w:t>
      </w:r>
      <w:r w:rsidRPr="004A54E5">
        <w:rPr>
          <w:iCs/>
          <w:sz w:val="20"/>
          <w:szCs w:val="20"/>
        </w:rPr>
        <w:t>18</w:t>
      </w:r>
      <w:r w:rsidR="007A1616">
        <w:rPr>
          <w:sz w:val="20"/>
          <w:szCs w:val="20"/>
        </w:rPr>
        <w:t xml:space="preserve">(5): </w:t>
      </w:r>
      <w:r w:rsidRPr="00264088">
        <w:rPr>
          <w:sz w:val="20"/>
          <w:szCs w:val="20"/>
        </w:rPr>
        <w:t>541</w:t>
      </w:r>
      <w:r w:rsidR="007A1616">
        <w:rPr>
          <w:sz w:val="20"/>
          <w:szCs w:val="20"/>
        </w:rPr>
        <w:t xml:space="preserve"> – </w:t>
      </w:r>
      <w:r w:rsidRPr="007A1616">
        <w:rPr>
          <w:sz w:val="20"/>
          <w:szCs w:val="20"/>
        </w:rPr>
        <w:t>544.</w:t>
      </w:r>
    </w:p>
    <w:p w:rsidR="00D10E1A" w:rsidRPr="007A1616" w:rsidRDefault="00D10E1A" w:rsidP="007A1616">
      <w:pPr>
        <w:pStyle w:val="ListParagraph"/>
        <w:numPr>
          <w:ilvl w:val="0"/>
          <w:numId w:val="9"/>
        </w:numPr>
        <w:spacing w:line="240" w:lineRule="auto"/>
        <w:ind w:hanging="720"/>
        <w:jc w:val="both"/>
        <w:rPr>
          <w:sz w:val="20"/>
          <w:szCs w:val="20"/>
        </w:rPr>
      </w:pPr>
      <w:r w:rsidRPr="00264088">
        <w:rPr>
          <w:sz w:val="20"/>
          <w:szCs w:val="20"/>
        </w:rPr>
        <w:t xml:space="preserve">Yao, J., Zhang, L., and Wang, H. (2008). Synthesis </w:t>
      </w:r>
      <w:r w:rsidR="007A1616" w:rsidRPr="00264088">
        <w:rPr>
          <w:sz w:val="20"/>
          <w:szCs w:val="20"/>
        </w:rPr>
        <w:t>of nanocrystalline sodalite with organic additives.</w:t>
      </w:r>
      <w:r w:rsidRPr="00264088">
        <w:rPr>
          <w:sz w:val="20"/>
          <w:szCs w:val="20"/>
        </w:rPr>
        <w:t xml:space="preserve"> </w:t>
      </w:r>
      <w:r w:rsidRPr="00264088">
        <w:rPr>
          <w:i/>
          <w:iCs/>
          <w:sz w:val="20"/>
          <w:szCs w:val="20"/>
        </w:rPr>
        <w:t>Materials Letters,</w:t>
      </w:r>
      <w:r w:rsidRPr="004A54E5">
        <w:rPr>
          <w:i/>
          <w:iCs/>
          <w:sz w:val="20"/>
          <w:szCs w:val="20"/>
        </w:rPr>
        <w:t xml:space="preserve"> </w:t>
      </w:r>
      <w:r w:rsidRPr="004A54E5">
        <w:rPr>
          <w:iCs/>
          <w:sz w:val="20"/>
          <w:szCs w:val="20"/>
        </w:rPr>
        <w:t>62</w:t>
      </w:r>
      <w:r w:rsidRPr="00264088">
        <w:rPr>
          <w:sz w:val="20"/>
          <w:szCs w:val="20"/>
        </w:rPr>
        <w:t>(24), 4028</w:t>
      </w:r>
      <w:r w:rsidR="007A1616">
        <w:rPr>
          <w:sz w:val="20"/>
          <w:szCs w:val="20"/>
        </w:rPr>
        <w:t xml:space="preserve"> – </w:t>
      </w:r>
      <w:r w:rsidRPr="007A1616">
        <w:rPr>
          <w:sz w:val="20"/>
          <w:szCs w:val="20"/>
        </w:rPr>
        <w:t>4030.</w:t>
      </w:r>
    </w:p>
    <w:p w:rsidR="00D10E1A" w:rsidRPr="007A1616" w:rsidRDefault="00D10E1A" w:rsidP="007A1616">
      <w:pPr>
        <w:pStyle w:val="ListParagraph"/>
        <w:numPr>
          <w:ilvl w:val="0"/>
          <w:numId w:val="9"/>
        </w:numPr>
        <w:spacing w:line="240" w:lineRule="auto"/>
        <w:ind w:hanging="720"/>
        <w:jc w:val="both"/>
        <w:rPr>
          <w:sz w:val="20"/>
          <w:szCs w:val="20"/>
        </w:rPr>
      </w:pPr>
      <w:r w:rsidRPr="00FD0542">
        <w:rPr>
          <w:sz w:val="20"/>
          <w:szCs w:val="20"/>
        </w:rPr>
        <w:t>Shanbhag, G. V., Choi, M., Kim, J. a</w:t>
      </w:r>
      <w:r w:rsidR="007A1616">
        <w:rPr>
          <w:sz w:val="20"/>
          <w:szCs w:val="20"/>
        </w:rPr>
        <w:t>nd Ryoo, R. (2009). Mesoporous s</w:t>
      </w:r>
      <w:r w:rsidRPr="00FD0542">
        <w:rPr>
          <w:sz w:val="20"/>
          <w:szCs w:val="20"/>
        </w:rPr>
        <w:t xml:space="preserve">odalite: A </w:t>
      </w:r>
      <w:r w:rsidR="007A1616" w:rsidRPr="00FD0542">
        <w:rPr>
          <w:sz w:val="20"/>
          <w:szCs w:val="20"/>
        </w:rPr>
        <w:t xml:space="preserve">novel, stable solid catalyst for base-catalyzed organic transformations. </w:t>
      </w:r>
      <w:r w:rsidRPr="00FD0542">
        <w:rPr>
          <w:i/>
          <w:iCs/>
          <w:sz w:val="20"/>
          <w:szCs w:val="20"/>
        </w:rPr>
        <w:t xml:space="preserve">Journal of Catalysis, </w:t>
      </w:r>
      <w:r w:rsidRPr="004A54E5">
        <w:rPr>
          <w:iCs/>
          <w:sz w:val="20"/>
          <w:szCs w:val="20"/>
        </w:rPr>
        <w:t>264</w:t>
      </w:r>
      <w:r w:rsidR="007A1616">
        <w:rPr>
          <w:sz w:val="20"/>
          <w:szCs w:val="20"/>
        </w:rPr>
        <w:t xml:space="preserve">(1): </w:t>
      </w:r>
      <w:r w:rsidRPr="00FD0542">
        <w:rPr>
          <w:sz w:val="20"/>
          <w:szCs w:val="20"/>
        </w:rPr>
        <w:t>88</w:t>
      </w:r>
      <w:r w:rsidR="007A1616">
        <w:rPr>
          <w:sz w:val="20"/>
          <w:szCs w:val="20"/>
        </w:rPr>
        <w:t xml:space="preserve"> – </w:t>
      </w:r>
      <w:r w:rsidRPr="007A1616">
        <w:rPr>
          <w:sz w:val="20"/>
          <w:szCs w:val="20"/>
        </w:rPr>
        <w:t>92.</w:t>
      </w:r>
    </w:p>
    <w:p w:rsidR="00D10E1A" w:rsidRPr="007A1616" w:rsidRDefault="00D10E1A" w:rsidP="007A1616">
      <w:pPr>
        <w:pStyle w:val="ListParagraph"/>
        <w:numPr>
          <w:ilvl w:val="0"/>
          <w:numId w:val="9"/>
        </w:numPr>
        <w:spacing w:line="240" w:lineRule="auto"/>
        <w:ind w:hanging="720"/>
        <w:jc w:val="both"/>
        <w:rPr>
          <w:sz w:val="20"/>
          <w:szCs w:val="20"/>
          <w:shd w:val="clear" w:color="auto" w:fill="FFFFFF"/>
        </w:rPr>
      </w:pPr>
      <w:r w:rsidRPr="00FD0542">
        <w:rPr>
          <w:sz w:val="20"/>
          <w:szCs w:val="20"/>
          <w:shd w:val="clear" w:color="auto" w:fill="FFFFFF"/>
        </w:rPr>
        <w:t xml:space="preserve">Rahul, R., Satyarthi, J. K. and Srinivas, D. (2011). Lanthanum and </w:t>
      </w:r>
      <w:r w:rsidR="007A1616" w:rsidRPr="00FD0542">
        <w:rPr>
          <w:sz w:val="20"/>
          <w:szCs w:val="20"/>
          <w:shd w:val="clear" w:color="auto" w:fill="FFFFFF"/>
        </w:rPr>
        <w:t>zinc incorporated hydrotalcites as solid base catalysts for biodiesel and biolubricants production.</w:t>
      </w:r>
      <w:r w:rsidRPr="00FD0542">
        <w:rPr>
          <w:sz w:val="20"/>
          <w:szCs w:val="20"/>
          <w:shd w:val="clear" w:color="auto" w:fill="FFFFFF"/>
        </w:rPr>
        <w:t xml:space="preserve"> </w:t>
      </w:r>
      <w:r w:rsidRPr="00FD0542">
        <w:rPr>
          <w:i/>
          <w:sz w:val="20"/>
          <w:szCs w:val="20"/>
          <w:shd w:val="clear" w:color="auto" w:fill="FFFFFF"/>
        </w:rPr>
        <w:t>Indian Journal of Chemistry-Section A,</w:t>
      </w:r>
      <w:r w:rsidRPr="00FD0542">
        <w:rPr>
          <w:sz w:val="20"/>
          <w:szCs w:val="20"/>
          <w:shd w:val="clear" w:color="auto" w:fill="FFFFFF"/>
        </w:rPr>
        <w:t xml:space="preserve"> </w:t>
      </w:r>
      <w:r w:rsidRPr="004A54E5">
        <w:rPr>
          <w:sz w:val="20"/>
          <w:szCs w:val="20"/>
          <w:shd w:val="clear" w:color="auto" w:fill="FFFFFF"/>
        </w:rPr>
        <w:t>50</w:t>
      </w:r>
      <w:r w:rsidR="007A1616">
        <w:rPr>
          <w:sz w:val="20"/>
          <w:szCs w:val="20"/>
          <w:shd w:val="clear" w:color="auto" w:fill="FFFFFF"/>
        </w:rPr>
        <w:t xml:space="preserve">: </w:t>
      </w:r>
      <w:r w:rsidRPr="00FD0542">
        <w:rPr>
          <w:sz w:val="20"/>
          <w:szCs w:val="20"/>
          <w:shd w:val="clear" w:color="auto" w:fill="FFFFFF"/>
        </w:rPr>
        <w:t>1017</w:t>
      </w:r>
      <w:r w:rsidR="007A1616">
        <w:rPr>
          <w:sz w:val="20"/>
          <w:szCs w:val="20"/>
          <w:shd w:val="clear" w:color="auto" w:fill="FFFFFF"/>
        </w:rPr>
        <w:t xml:space="preserve"> – </w:t>
      </w:r>
      <w:r w:rsidRPr="007A1616">
        <w:rPr>
          <w:sz w:val="20"/>
          <w:szCs w:val="20"/>
          <w:shd w:val="clear" w:color="auto" w:fill="FFFFFF"/>
        </w:rPr>
        <w:t>1025.</w:t>
      </w:r>
    </w:p>
    <w:p w:rsidR="00D10E1A" w:rsidRPr="00FD0542" w:rsidRDefault="00D10E1A" w:rsidP="00FC5C8D">
      <w:pPr>
        <w:pStyle w:val="ListParagraph"/>
        <w:numPr>
          <w:ilvl w:val="0"/>
          <w:numId w:val="9"/>
        </w:numPr>
        <w:spacing w:line="240" w:lineRule="auto"/>
        <w:ind w:hanging="720"/>
        <w:jc w:val="both"/>
        <w:rPr>
          <w:sz w:val="20"/>
          <w:szCs w:val="20"/>
        </w:rPr>
      </w:pPr>
      <w:r w:rsidRPr="00FD0542">
        <w:rPr>
          <w:sz w:val="20"/>
          <w:szCs w:val="20"/>
        </w:rPr>
        <w:t>Treacy, M.</w:t>
      </w:r>
      <w:r w:rsidR="007A1616">
        <w:rPr>
          <w:sz w:val="20"/>
          <w:szCs w:val="20"/>
        </w:rPr>
        <w:t xml:space="preserve"> M. J. and Higgins J. B. </w:t>
      </w:r>
      <w:r w:rsidRPr="00FD0542">
        <w:rPr>
          <w:sz w:val="20"/>
          <w:szCs w:val="20"/>
        </w:rPr>
        <w:t>(2001</w:t>
      </w:r>
      <w:r w:rsidRPr="007A1616">
        <w:rPr>
          <w:sz w:val="20"/>
          <w:szCs w:val="20"/>
        </w:rPr>
        <w:t xml:space="preserve">). </w:t>
      </w:r>
      <w:r w:rsidR="007A1616">
        <w:rPr>
          <w:sz w:val="20"/>
          <w:szCs w:val="20"/>
        </w:rPr>
        <w:t>Collection of s</w:t>
      </w:r>
      <w:r w:rsidRPr="007A1616">
        <w:rPr>
          <w:sz w:val="20"/>
          <w:szCs w:val="20"/>
        </w:rPr>
        <w:t xml:space="preserve">imulated XRD </w:t>
      </w:r>
      <w:r w:rsidR="007A1616" w:rsidRPr="007A1616">
        <w:rPr>
          <w:sz w:val="20"/>
          <w:szCs w:val="20"/>
        </w:rPr>
        <w:t>powder patterns for zeolites.</w:t>
      </w:r>
      <w:r w:rsidR="007A1616" w:rsidRPr="00FD0542">
        <w:rPr>
          <w:sz w:val="20"/>
          <w:szCs w:val="20"/>
        </w:rPr>
        <w:t xml:space="preserve"> </w:t>
      </w:r>
      <w:r w:rsidRPr="00FD0542">
        <w:rPr>
          <w:sz w:val="20"/>
          <w:szCs w:val="20"/>
        </w:rPr>
        <w:t>Elsevier</w:t>
      </w:r>
      <w:r w:rsidR="007A1616">
        <w:rPr>
          <w:sz w:val="20"/>
          <w:szCs w:val="20"/>
        </w:rPr>
        <w:t>, Amsterdam.</w:t>
      </w:r>
    </w:p>
    <w:p w:rsidR="00D10E1A" w:rsidRPr="007A1616" w:rsidRDefault="00D10E1A" w:rsidP="007A1616">
      <w:pPr>
        <w:pStyle w:val="ListParagraph"/>
        <w:numPr>
          <w:ilvl w:val="0"/>
          <w:numId w:val="9"/>
        </w:numPr>
        <w:spacing w:line="240" w:lineRule="auto"/>
        <w:ind w:hanging="720"/>
        <w:jc w:val="both"/>
        <w:rPr>
          <w:sz w:val="20"/>
          <w:szCs w:val="20"/>
        </w:rPr>
      </w:pPr>
      <w:r w:rsidRPr="00FD0542">
        <w:rPr>
          <w:sz w:val="20"/>
          <w:szCs w:val="20"/>
        </w:rPr>
        <w:t xml:space="preserve">Yao, J., Wang, H., Ratinac, K. R., and Ringer, S. P. (2006). Formation </w:t>
      </w:r>
      <w:r w:rsidR="007A1616" w:rsidRPr="00FD0542">
        <w:rPr>
          <w:sz w:val="20"/>
          <w:szCs w:val="20"/>
        </w:rPr>
        <w:t xml:space="preserve">of colloidal hydroxy-sodalite nanocrystals by the direct transformation of silicalite nanocrystals. </w:t>
      </w:r>
      <w:r w:rsidRPr="00FD0542">
        <w:rPr>
          <w:i/>
          <w:iCs/>
          <w:sz w:val="20"/>
          <w:szCs w:val="20"/>
        </w:rPr>
        <w:t xml:space="preserve">Chemistry of Materials, </w:t>
      </w:r>
      <w:r w:rsidRPr="004A54E5">
        <w:rPr>
          <w:iCs/>
          <w:sz w:val="20"/>
          <w:szCs w:val="20"/>
        </w:rPr>
        <w:t>18</w:t>
      </w:r>
      <w:r w:rsidR="007A1616">
        <w:rPr>
          <w:sz w:val="20"/>
          <w:szCs w:val="20"/>
        </w:rPr>
        <w:t xml:space="preserve">(6): </w:t>
      </w:r>
      <w:r w:rsidRPr="00FD0542">
        <w:rPr>
          <w:sz w:val="20"/>
          <w:szCs w:val="20"/>
        </w:rPr>
        <w:t>1394</w:t>
      </w:r>
      <w:r w:rsidR="007A1616">
        <w:rPr>
          <w:sz w:val="20"/>
          <w:szCs w:val="20"/>
        </w:rPr>
        <w:t xml:space="preserve"> – </w:t>
      </w:r>
      <w:r w:rsidRPr="007A1616">
        <w:rPr>
          <w:sz w:val="20"/>
          <w:szCs w:val="20"/>
        </w:rPr>
        <w:t>1396.</w:t>
      </w:r>
    </w:p>
    <w:p w:rsidR="000E2CE3" w:rsidRPr="00D10E1A" w:rsidRDefault="000E2CE3" w:rsidP="00D10E1A">
      <w:pPr>
        <w:spacing w:after="0" w:line="240" w:lineRule="auto"/>
        <w:jc w:val="both"/>
        <w:rPr>
          <w:sz w:val="20"/>
          <w:szCs w:val="20"/>
        </w:rPr>
      </w:pPr>
    </w:p>
    <w:sectPr w:rsidR="000E2CE3" w:rsidRPr="00D10E1A" w:rsidSect="00AE2F0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4C8" w:rsidRDefault="006574C8" w:rsidP="00215376">
      <w:pPr>
        <w:spacing w:after="0" w:line="240" w:lineRule="auto"/>
      </w:pPr>
      <w:r>
        <w:separator/>
      </w:r>
    </w:p>
  </w:endnote>
  <w:endnote w:type="continuationSeparator" w:id="0">
    <w:p w:rsidR="006574C8" w:rsidRDefault="006574C8" w:rsidP="0021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4C8" w:rsidRDefault="006574C8" w:rsidP="00215376">
      <w:pPr>
        <w:spacing w:after="0" w:line="240" w:lineRule="auto"/>
      </w:pPr>
      <w:r>
        <w:separator/>
      </w:r>
    </w:p>
  </w:footnote>
  <w:footnote w:type="continuationSeparator" w:id="0">
    <w:p w:rsidR="006574C8" w:rsidRDefault="006574C8" w:rsidP="002153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71B0"/>
    <w:multiLevelType w:val="hybridMultilevel"/>
    <w:tmpl w:val="B6EAD140"/>
    <w:lvl w:ilvl="0" w:tplc="2A66E5D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35E33"/>
    <w:multiLevelType w:val="hybridMultilevel"/>
    <w:tmpl w:val="B6BCBA0E"/>
    <w:lvl w:ilvl="0" w:tplc="A07E6D6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AB3494"/>
    <w:multiLevelType w:val="hybridMultilevel"/>
    <w:tmpl w:val="895CF8E2"/>
    <w:lvl w:ilvl="0" w:tplc="A54AA61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24CB2"/>
    <w:multiLevelType w:val="hybridMultilevel"/>
    <w:tmpl w:val="8752B8BC"/>
    <w:lvl w:ilvl="0" w:tplc="F500CB7A">
      <w:start w:val="3"/>
      <w:numFmt w:val="bullet"/>
      <w:lvlText w:val=""/>
      <w:lvlJc w:val="left"/>
      <w:pPr>
        <w:ind w:left="600" w:hanging="360"/>
      </w:pPr>
      <w:rPr>
        <w:rFonts w:ascii="Symbol" w:eastAsiaTheme="minorHAnsi"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nsid w:val="369B0B73"/>
    <w:multiLevelType w:val="hybridMultilevel"/>
    <w:tmpl w:val="9A46DDC4"/>
    <w:lvl w:ilvl="0" w:tplc="4260D22C">
      <w:start w:val="3"/>
      <w:numFmt w:val="bullet"/>
      <w:lvlText w:val=""/>
      <w:lvlJc w:val="left"/>
      <w:pPr>
        <w:ind w:left="645" w:hanging="360"/>
      </w:pPr>
      <w:rPr>
        <w:rFonts w:ascii="Symbol" w:eastAsiaTheme="minorHAnsi"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5">
    <w:nsid w:val="63796ED6"/>
    <w:multiLevelType w:val="hybridMultilevel"/>
    <w:tmpl w:val="E2DCA86A"/>
    <w:lvl w:ilvl="0" w:tplc="5934BB96">
      <w:start w:val="3"/>
      <w:numFmt w:val="bullet"/>
      <w:lvlText w:val=""/>
      <w:lvlJc w:val="left"/>
      <w:pPr>
        <w:ind w:left="645" w:hanging="360"/>
      </w:pPr>
      <w:rPr>
        <w:rFonts w:ascii="Symbol" w:eastAsiaTheme="minorHAnsi"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nsid w:val="66E5281A"/>
    <w:multiLevelType w:val="hybridMultilevel"/>
    <w:tmpl w:val="2F703478"/>
    <w:lvl w:ilvl="0" w:tplc="B9CE9F8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F3682D"/>
    <w:multiLevelType w:val="hybridMultilevel"/>
    <w:tmpl w:val="22709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2C07A6"/>
    <w:multiLevelType w:val="hybridMultilevel"/>
    <w:tmpl w:val="AEF20972"/>
    <w:lvl w:ilvl="0" w:tplc="9BD6EE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B52087"/>
    <w:multiLevelType w:val="hybridMultilevel"/>
    <w:tmpl w:val="F760DD52"/>
    <w:lvl w:ilvl="0" w:tplc="8C5C1F8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 w:numId="7">
    <w:abstractNumId w:val="6"/>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C4759"/>
    <w:rsid w:val="00000DA2"/>
    <w:rsid w:val="0000531E"/>
    <w:rsid w:val="00006FDE"/>
    <w:rsid w:val="00024043"/>
    <w:rsid w:val="00052E52"/>
    <w:rsid w:val="0006453E"/>
    <w:rsid w:val="00067394"/>
    <w:rsid w:val="00081E63"/>
    <w:rsid w:val="000A3356"/>
    <w:rsid w:val="000D67FF"/>
    <w:rsid w:val="000E2CE3"/>
    <w:rsid w:val="000E47B8"/>
    <w:rsid w:val="001140AC"/>
    <w:rsid w:val="001251A1"/>
    <w:rsid w:val="00131047"/>
    <w:rsid w:val="00134184"/>
    <w:rsid w:val="00152411"/>
    <w:rsid w:val="001546C4"/>
    <w:rsid w:val="00182FC2"/>
    <w:rsid w:val="001C0E18"/>
    <w:rsid w:val="001F6D8A"/>
    <w:rsid w:val="00215376"/>
    <w:rsid w:val="00244592"/>
    <w:rsid w:val="0024678A"/>
    <w:rsid w:val="00254637"/>
    <w:rsid w:val="00254848"/>
    <w:rsid w:val="00277850"/>
    <w:rsid w:val="002A7478"/>
    <w:rsid w:val="002C39D5"/>
    <w:rsid w:val="002F6C30"/>
    <w:rsid w:val="00324E4E"/>
    <w:rsid w:val="00376CAC"/>
    <w:rsid w:val="00397F38"/>
    <w:rsid w:val="003B1E6D"/>
    <w:rsid w:val="003B5D95"/>
    <w:rsid w:val="003E19D4"/>
    <w:rsid w:val="004060A1"/>
    <w:rsid w:val="00442D27"/>
    <w:rsid w:val="00446A12"/>
    <w:rsid w:val="00457898"/>
    <w:rsid w:val="00463943"/>
    <w:rsid w:val="00466C32"/>
    <w:rsid w:val="004815CC"/>
    <w:rsid w:val="004C4759"/>
    <w:rsid w:val="004D4D1D"/>
    <w:rsid w:val="004E0CC3"/>
    <w:rsid w:val="004F4B4A"/>
    <w:rsid w:val="0054290D"/>
    <w:rsid w:val="005545F3"/>
    <w:rsid w:val="005655C4"/>
    <w:rsid w:val="00583F46"/>
    <w:rsid w:val="005935CF"/>
    <w:rsid w:val="00594DCC"/>
    <w:rsid w:val="005B190F"/>
    <w:rsid w:val="005B1A44"/>
    <w:rsid w:val="005C46C5"/>
    <w:rsid w:val="006022B3"/>
    <w:rsid w:val="0061429F"/>
    <w:rsid w:val="00624FF2"/>
    <w:rsid w:val="00630E7D"/>
    <w:rsid w:val="006574C8"/>
    <w:rsid w:val="006860FB"/>
    <w:rsid w:val="006A021B"/>
    <w:rsid w:val="006C218E"/>
    <w:rsid w:val="006D305B"/>
    <w:rsid w:val="006D7F3F"/>
    <w:rsid w:val="006E1C70"/>
    <w:rsid w:val="006E5B6E"/>
    <w:rsid w:val="00726884"/>
    <w:rsid w:val="007336DB"/>
    <w:rsid w:val="00776C26"/>
    <w:rsid w:val="00785D6E"/>
    <w:rsid w:val="00796863"/>
    <w:rsid w:val="007A1616"/>
    <w:rsid w:val="007A4A06"/>
    <w:rsid w:val="007D27B5"/>
    <w:rsid w:val="008124C6"/>
    <w:rsid w:val="00815ADB"/>
    <w:rsid w:val="00840E54"/>
    <w:rsid w:val="00854749"/>
    <w:rsid w:val="00861C4A"/>
    <w:rsid w:val="008E6630"/>
    <w:rsid w:val="00945BDD"/>
    <w:rsid w:val="009E756E"/>
    <w:rsid w:val="00A14EB9"/>
    <w:rsid w:val="00A26CC4"/>
    <w:rsid w:val="00A7308D"/>
    <w:rsid w:val="00AB3C73"/>
    <w:rsid w:val="00AE2F05"/>
    <w:rsid w:val="00B26327"/>
    <w:rsid w:val="00B449F8"/>
    <w:rsid w:val="00B7368A"/>
    <w:rsid w:val="00BA2CF4"/>
    <w:rsid w:val="00BE4C57"/>
    <w:rsid w:val="00BF4291"/>
    <w:rsid w:val="00BF71B0"/>
    <w:rsid w:val="00C12992"/>
    <w:rsid w:val="00C1510D"/>
    <w:rsid w:val="00C33E68"/>
    <w:rsid w:val="00C47EDA"/>
    <w:rsid w:val="00C64350"/>
    <w:rsid w:val="00C84CE8"/>
    <w:rsid w:val="00CB3C10"/>
    <w:rsid w:val="00CE29F8"/>
    <w:rsid w:val="00CE38AE"/>
    <w:rsid w:val="00D10E1A"/>
    <w:rsid w:val="00D149FC"/>
    <w:rsid w:val="00D355B5"/>
    <w:rsid w:val="00D42914"/>
    <w:rsid w:val="00D6477A"/>
    <w:rsid w:val="00DC4431"/>
    <w:rsid w:val="00DF32A3"/>
    <w:rsid w:val="00DF7D93"/>
    <w:rsid w:val="00E32804"/>
    <w:rsid w:val="00E41102"/>
    <w:rsid w:val="00E80C18"/>
    <w:rsid w:val="00E85282"/>
    <w:rsid w:val="00E8769E"/>
    <w:rsid w:val="00EC10D0"/>
    <w:rsid w:val="00EC5EA6"/>
    <w:rsid w:val="00EC643C"/>
    <w:rsid w:val="00F2370B"/>
    <w:rsid w:val="00F33289"/>
    <w:rsid w:val="00F35C75"/>
    <w:rsid w:val="00F65E58"/>
    <w:rsid w:val="00F93C44"/>
    <w:rsid w:val="00FC5C8D"/>
    <w:rsid w:val="00FD2EBB"/>
    <w:rsid w:val="00FD5BCE"/>
    <w:rsid w:val="00FF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D4"/>
  </w:style>
  <w:style w:type="paragraph" w:styleId="Heading1">
    <w:name w:val="heading 1"/>
    <w:basedOn w:val="Normal"/>
    <w:next w:val="Normal"/>
    <w:link w:val="Heading1Char"/>
    <w:uiPriority w:val="9"/>
    <w:qFormat/>
    <w:rsid w:val="001C0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0E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0E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0E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0E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E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C0E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0E1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C0E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ADB"/>
    <w:rPr>
      <w:rFonts w:ascii="Tahoma" w:hAnsi="Tahoma" w:cs="Tahoma"/>
      <w:sz w:val="16"/>
      <w:szCs w:val="16"/>
    </w:rPr>
  </w:style>
  <w:style w:type="table" w:styleId="TableGrid">
    <w:name w:val="Table Grid"/>
    <w:basedOn w:val="TableNormal"/>
    <w:uiPriority w:val="59"/>
    <w:rsid w:val="00815ADB"/>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992"/>
    <w:pPr>
      <w:ind w:left="720"/>
      <w:contextualSpacing/>
    </w:pPr>
  </w:style>
  <w:style w:type="paragraph" w:customStyle="1" w:styleId="Default">
    <w:name w:val="Default"/>
    <w:rsid w:val="000E2CE3"/>
    <w:pPr>
      <w:autoSpaceDE w:val="0"/>
      <w:autoSpaceDN w:val="0"/>
      <w:adjustRightInd w:val="0"/>
      <w:spacing w:after="0" w:line="240" w:lineRule="auto"/>
    </w:pPr>
    <w:rPr>
      <w:rFonts w:cs="Times New Roman"/>
      <w:color w:val="000000"/>
      <w:szCs w:val="24"/>
    </w:rPr>
  </w:style>
  <w:style w:type="character" w:customStyle="1" w:styleId="Heading1Char">
    <w:name w:val="Heading 1 Char"/>
    <w:basedOn w:val="DefaultParagraphFont"/>
    <w:link w:val="Heading1"/>
    <w:uiPriority w:val="9"/>
    <w:rsid w:val="001C0E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C0E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C0E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C0E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C0E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C0E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C0E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C0E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C0E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C0E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0E1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C0E1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C0E18"/>
    <w:rPr>
      <w:rFonts w:asciiTheme="majorHAnsi" w:eastAsiaTheme="majorEastAsia" w:hAnsiTheme="majorHAnsi" w:cstheme="majorBidi"/>
      <w:i/>
      <w:iCs/>
      <w:color w:val="4F81BD" w:themeColor="accent1"/>
      <w:spacing w:val="15"/>
      <w:szCs w:val="24"/>
    </w:rPr>
  </w:style>
  <w:style w:type="character" w:customStyle="1" w:styleId="gi">
    <w:name w:val="gi"/>
    <w:basedOn w:val="DefaultParagraphFont"/>
    <w:rsid w:val="004D4D1D"/>
  </w:style>
  <w:style w:type="paragraph" w:styleId="Header">
    <w:name w:val="header"/>
    <w:basedOn w:val="Normal"/>
    <w:link w:val="HeaderChar"/>
    <w:uiPriority w:val="99"/>
    <w:unhideWhenUsed/>
    <w:rsid w:val="00215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76"/>
  </w:style>
  <w:style w:type="paragraph" w:styleId="Footer">
    <w:name w:val="footer"/>
    <w:basedOn w:val="Normal"/>
    <w:link w:val="FooterChar"/>
    <w:uiPriority w:val="99"/>
    <w:unhideWhenUsed/>
    <w:rsid w:val="00215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chart" Target="charts/chart9.xml"/><Relationship Id="rId3" Type="http://schemas.microsoft.com/office/2007/relationships/stylesWithEffects" Target="stylesWithEffect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 Id="rId22"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FYP%20Master%202\Characterization\BET\Na-SOD\000-363.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FYP%20Master%202\Characterization\BET\SOD-TO\000-21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FYP%20Master%202\Characterization\BET\SOD-TDDAB\000-24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FYP%20Master%202\Characterization\BET\SOD-TCTAB\000-288.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FYP%20Master%202\Characterization\BET\SOD-TDTAB\000-24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FYP%20Master%202\Characterization\BET\SOD-TDDAB\000-24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FYP%20Master%202\Characterization\BET\Na-SOD\000-36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FYP%20Master%202\Characterization\BET\SOD-TDDAB\000-246.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FYP%20Master%202\Characterization\BET\SOD-TCTAB\000-288.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FYP%20Master%202\Characterization\BET\SOD-TDTAB\000-24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035100090100678"/>
          <c:y val="0.14250504094713537"/>
          <c:w val="0.6610432091510976"/>
          <c:h val="0.56322800851611265"/>
        </c:manualLayout>
      </c:layout>
      <c:scatterChart>
        <c:scatterStyle val="smoothMarker"/>
        <c:varyColors val="0"/>
        <c:ser>
          <c:idx val="0"/>
          <c:order val="0"/>
          <c:spPr>
            <a:ln>
              <a:solidFill>
                <a:schemeClr val="tx1"/>
              </a:solidFill>
            </a:ln>
          </c:spPr>
          <c:marker>
            <c:symbol val="none"/>
          </c:marker>
          <c:xVal>
            <c:numRef>
              <c:f>'Adsorption Plot'!$B$5:$B$72</c:f>
              <c:numCache>
                <c:formatCode>0.00</c:formatCode>
                <c:ptCount val="68"/>
                <c:pt idx="0">
                  <c:v>9.7561423000451022E-3</c:v>
                </c:pt>
                <c:pt idx="1">
                  <c:v>3.2020395240969488E-2</c:v>
                </c:pt>
                <c:pt idx="2">
                  <c:v>6.511334658949372E-2</c:v>
                </c:pt>
                <c:pt idx="3">
                  <c:v>7.9907798832507121E-2</c:v>
                </c:pt>
                <c:pt idx="4">
                  <c:v>0.10001495361328126</c:v>
                </c:pt>
                <c:pt idx="5">
                  <c:v>0.11975863895679553</c:v>
                </c:pt>
                <c:pt idx="6">
                  <c:v>0.13984992118218031</c:v>
                </c:pt>
                <c:pt idx="7">
                  <c:v>0.15969595619269825</c:v>
                </c:pt>
                <c:pt idx="8">
                  <c:v>0.18744628246145956</c:v>
                </c:pt>
                <c:pt idx="9">
                  <c:v>0.20834536885935062</c:v>
                </c:pt>
                <c:pt idx="10">
                  <c:v>0.2571934075194498</c:v>
                </c:pt>
                <c:pt idx="11">
                  <c:v>0.30750605166512007</c:v>
                </c:pt>
                <c:pt idx="12">
                  <c:v>0.35792622757992876</c:v>
                </c:pt>
                <c:pt idx="13">
                  <c:v>0.4078971002640619</c:v>
                </c:pt>
                <c:pt idx="14">
                  <c:v>0.45752448351656838</c:v>
                </c:pt>
                <c:pt idx="15">
                  <c:v>0.50795184575968355</c:v>
                </c:pt>
                <c:pt idx="16">
                  <c:v>0.55760018980924519</c:v>
                </c:pt>
                <c:pt idx="17">
                  <c:v>0.60012879065544644</c:v>
                </c:pt>
                <c:pt idx="18">
                  <c:v>0.61934625625270801</c:v>
                </c:pt>
                <c:pt idx="19">
                  <c:v>0.63897873916163961</c:v>
                </c:pt>
                <c:pt idx="20">
                  <c:v>0.6584060870461349</c:v>
                </c:pt>
                <c:pt idx="21">
                  <c:v>0.67786925838060597</c:v>
                </c:pt>
                <c:pt idx="22">
                  <c:v>0.69794920397042293</c:v>
                </c:pt>
                <c:pt idx="23">
                  <c:v>0.71860321773714664</c:v>
                </c:pt>
                <c:pt idx="24">
                  <c:v>0.73913927644486843</c:v>
                </c:pt>
                <c:pt idx="25">
                  <c:v>0.7595275100976</c:v>
                </c:pt>
                <c:pt idx="26">
                  <c:v>0.77980157407531914</c:v>
                </c:pt>
                <c:pt idx="27">
                  <c:v>0.79993630689437289</c:v>
                </c:pt>
                <c:pt idx="28">
                  <c:v>0.81997796017222557</c:v>
                </c:pt>
                <c:pt idx="29">
                  <c:v>0.84001220703124957</c:v>
                </c:pt>
                <c:pt idx="30">
                  <c:v>0.86025743223841966</c:v>
                </c:pt>
                <c:pt idx="31">
                  <c:v>0.88025820873158689</c:v>
                </c:pt>
                <c:pt idx="32">
                  <c:v>0.90001708984372519</c:v>
                </c:pt>
                <c:pt idx="33">
                  <c:v>0.91978595481843661</c:v>
                </c:pt>
                <c:pt idx="34">
                  <c:v>0.93845346323224044</c:v>
                </c:pt>
                <c:pt idx="35">
                  <c:v>0.95690004435776399</c:v>
                </c:pt>
                <c:pt idx="36">
                  <c:v>0.97441653351241542</c:v>
                </c:pt>
                <c:pt idx="37">
                  <c:v>0.97987398847862961</c:v>
                </c:pt>
                <c:pt idx="38">
                  <c:v>0.9889443828014185</c:v>
                </c:pt>
                <c:pt idx="39">
                  <c:v>0.99402077673124456</c:v>
                </c:pt>
                <c:pt idx="40">
                  <c:v>0.99015099391220307</c:v>
                </c:pt>
                <c:pt idx="41">
                  <c:v>0.97448379460272561</c:v>
                </c:pt>
                <c:pt idx="42">
                  <c:v>0.94320857803541869</c:v>
                </c:pt>
                <c:pt idx="43">
                  <c:v>0.91717538198089998</c:v>
                </c:pt>
                <c:pt idx="44">
                  <c:v>0.8916877409085685</c:v>
                </c:pt>
                <c:pt idx="45">
                  <c:v>0.8666826812808337</c:v>
                </c:pt>
                <c:pt idx="46">
                  <c:v>0.84185134441366294</c:v>
                </c:pt>
                <c:pt idx="47">
                  <c:v>0.81687509499586164</c:v>
                </c:pt>
                <c:pt idx="48">
                  <c:v>0.79199382762692194</c:v>
                </c:pt>
                <c:pt idx="49">
                  <c:v>0.77198277287725148</c:v>
                </c:pt>
                <c:pt idx="50">
                  <c:v>0.75187934464522965</c:v>
                </c:pt>
                <c:pt idx="51">
                  <c:v>0.7318081076504398</c:v>
                </c:pt>
                <c:pt idx="52">
                  <c:v>0.71170992860290005</c:v>
                </c:pt>
                <c:pt idx="53">
                  <c:v>0.69161058221126159</c:v>
                </c:pt>
                <c:pt idx="54">
                  <c:v>0.67176064857423401</c:v>
                </c:pt>
                <c:pt idx="55">
                  <c:v>0.65112422723872343</c:v>
                </c:pt>
                <c:pt idx="56">
                  <c:v>0.63080265706883099</c:v>
                </c:pt>
                <c:pt idx="57">
                  <c:v>0.61150768292360003</c:v>
                </c:pt>
                <c:pt idx="58">
                  <c:v>0.59168497790975649</c:v>
                </c:pt>
                <c:pt idx="59">
                  <c:v>0.54263201410637474</c:v>
                </c:pt>
                <c:pt idx="60">
                  <c:v>0.49288741022481986</c:v>
                </c:pt>
                <c:pt idx="61">
                  <c:v>0.44516800839097626</c:v>
                </c:pt>
                <c:pt idx="62">
                  <c:v>0.39276218020242643</c:v>
                </c:pt>
                <c:pt idx="63">
                  <c:v>0.34235507984693531</c:v>
                </c:pt>
                <c:pt idx="64">
                  <c:v>0.29248150475016832</c:v>
                </c:pt>
                <c:pt idx="65">
                  <c:v>0.24229180375063081</c:v>
                </c:pt>
                <c:pt idx="66">
                  <c:v>0.19219501289659829</c:v>
                </c:pt>
                <c:pt idx="67">
                  <c:v>0.13226651067822753</c:v>
                </c:pt>
              </c:numCache>
            </c:numRef>
          </c:xVal>
          <c:yVal>
            <c:numRef>
              <c:f>'Adsorption Plot'!$C$5:$C$72</c:f>
              <c:numCache>
                <c:formatCode>0.00</c:formatCode>
                <c:ptCount val="68"/>
                <c:pt idx="0">
                  <c:v>1.183747119081938</c:v>
                </c:pt>
                <c:pt idx="1">
                  <c:v>1.4869430958706114</c:v>
                </c:pt>
                <c:pt idx="2">
                  <c:v>1.5454992453545866</c:v>
                </c:pt>
                <c:pt idx="3">
                  <c:v>1.5642042187529208</c:v>
                </c:pt>
                <c:pt idx="4">
                  <c:v>1.5644371078321835</c:v>
                </c:pt>
                <c:pt idx="5">
                  <c:v>1.5673047520749186</c:v>
                </c:pt>
                <c:pt idx="6">
                  <c:v>1.5565050649084828</c:v>
                </c:pt>
                <c:pt idx="7">
                  <c:v>1.5468295457797079</c:v>
                </c:pt>
                <c:pt idx="8">
                  <c:v>1.5398370001277799</c:v>
                </c:pt>
                <c:pt idx="9">
                  <c:v>1.5328822524734238</c:v>
                </c:pt>
                <c:pt idx="10">
                  <c:v>1.4961967299857701</c:v>
                </c:pt>
                <c:pt idx="11">
                  <c:v>1.475712357150305</c:v>
                </c:pt>
                <c:pt idx="12">
                  <c:v>1.4648595240313977</c:v>
                </c:pt>
                <c:pt idx="13">
                  <c:v>1.4583062450500266</c:v>
                </c:pt>
                <c:pt idx="14">
                  <c:v>1.4518594143598138</c:v>
                </c:pt>
                <c:pt idx="15">
                  <c:v>1.4505303405280168</c:v>
                </c:pt>
                <c:pt idx="16">
                  <c:v>1.4715476594473658</c:v>
                </c:pt>
                <c:pt idx="17">
                  <c:v>1.503321876231879</c:v>
                </c:pt>
                <c:pt idx="18">
                  <c:v>1.521494680528005</c:v>
                </c:pt>
                <c:pt idx="19">
                  <c:v>1.5454854393113597</c:v>
                </c:pt>
                <c:pt idx="20">
                  <c:v>1.5800439453124999</c:v>
                </c:pt>
                <c:pt idx="21">
                  <c:v>1.6114478384132815</c:v>
                </c:pt>
                <c:pt idx="22">
                  <c:v>1.6550113650402021</c:v>
                </c:pt>
                <c:pt idx="23">
                  <c:v>1.7175613234373122</c:v>
                </c:pt>
                <c:pt idx="24">
                  <c:v>1.7934450209127832</c:v>
                </c:pt>
                <c:pt idx="25">
                  <c:v>1.8732377266933091</c:v>
                </c:pt>
                <c:pt idx="26">
                  <c:v>1.9596240377513774</c:v>
                </c:pt>
                <c:pt idx="27">
                  <c:v>2.061222874364677</c:v>
                </c:pt>
                <c:pt idx="28">
                  <c:v>2.1771436496451204</c:v>
                </c:pt>
                <c:pt idx="29">
                  <c:v>2.3017692810955994</c:v>
                </c:pt>
                <c:pt idx="30">
                  <c:v>2.4066615590273392</c:v>
                </c:pt>
                <c:pt idx="31">
                  <c:v>2.5067886855318164</c:v>
                </c:pt>
                <c:pt idx="32">
                  <c:v>2.5938645534688387</c:v>
                </c:pt>
                <c:pt idx="33">
                  <c:v>2.6876427182816411</c:v>
                </c:pt>
                <c:pt idx="34">
                  <c:v>2.8190286096609767</c:v>
                </c:pt>
                <c:pt idx="35">
                  <c:v>3.0428347235844972</c:v>
                </c:pt>
                <c:pt idx="36">
                  <c:v>3.5109747806540219</c:v>
                </c:pt>
                <c:pt idx="37">
                  <c:v>3.7731061361652758</c:v>
                </c:pt>
                <c:pt idx="38">
                  <c:v>4.4413113752222024</c:v>
                </c:pt>
                <c:pt idx="39">
                  <c:v>5.1772298915057862</c:v>
                </c:pt>
                <c:pt idx="40">
                  <c:v>4.8826344959093824</c:v>
                </c:pt>
                <c:pt idx="41">
                  <c:v>3.7349433653671813</c:v>
                </c:pt>
                <c:pt idx="42">
                  <c:v>3.0595809032334977</c:v>
                </c:pt>
                <c:pt idx="43">
                  <c:v>2.9281678588728695</c:v>
                </c:pt>
                <c:pt idx="44">
                  <c:v>2.8920451793780111</c:v>
                </c:pt>
                <c:pt idx="45">
                  <c:v>2.9039954599983342</c:v>
                </c:pt>
                <c:pt idx="46">
                  <c:v>2.9365182585455782</c:v>
                </c:pt>
                <c:pt idx="47">
                  <c:v>2.9786876143267547</c:v>
                </c:pt>
                <c:pt idx="48">
                  <c:v>3.0275104642628095</c:v>
                </c:pt>
                <c:pt idx="49">
                  <c:v>3.0678051016170631</c:v>
                </c:pt>
                <c:pt idx="50">
                  <c:v>3.1142105221225416</c:v>
                </c:pt>
                <c:pt idx="51">
                  <c:v>3.1538501113404869</c:v>
                </c:pt>
                <c:pt idx="52">
                  <c:v>3.1881505251807019</c:v>
                </c:pt>
                <c:pt idx="53">
                  <c:v>3.235858497128576</c:v>
                </c:pt>
                <c:pt idx="54">
                  <c:v>3.2846853895805075</c:v>
                </c:pt>
                <c:pt idx="55">
                  <c:v>3.3226440787289833</c:v>
                </c:pt>
                <c:pt idx="56">
                  <c:v>3.3671668798439391</c:v>
                </c:pt>
                <c:pt idx="57">
                  <c:v>3.4035790468106515</c:v>
                </c:pt>
                <c:pt idx="58">
                  <c:v>3.439050000006556</c:v>
                </c:pt>
                <c:pt idx="59">
                  <c:v>3.4800781249999977</c:v>
                </c:pt>
                <c:pt idx="60">
                  <c:v>3.1000878906250002</c:v>
                </c:pt>
                <c:pt idx="61">
                  <c:v>1.849765951710016</c:v>
                </c:pt>
                <c:pt idx="62">
                  <c:v>1.6946974542409021</c:v>
                </c:pt>
                <c:pt idx="63">
                  <c:v>1.672764450405877</c:v>
                </c:pt>
                <c:pt idx="64">
                  <c:v>1.6750661221499099</c:v>
                </c:pt>
                <c:pt idx="65">
                  <c:v>1.6860485320058922</c:v>
                </c:pt>
                <c:pt idx="66">
                  <c:v>1.7179312574698764</c:v>
                </c:pt>
                <c:pt idx="67">
                  <c:v>1.742442210429147</c:v>
                </c:pt>
              </c:numCache>
            </c:numRef>
          </c:yVal>
          <c:smooth val="1"/>
        </c:ser>
        <c:dLbls>
          <c:showLegendKey val="0"/>
          <c:showVal val="0"/>
          <c:showCatName val="0"/>
          <c:showSerName val="0"/>
          <c:showPercent val="0"/>
          <c:showBubbleSize val="0"/>
        </c:dLbls>
        <c:axId val="35555584"/>
        <c:axId val="42602496"/>
      </c:scatterChart>
      <c:valAx>
        <c:axId val="35555584"/>
        <c:scaling>
          <c:orientation val="minMax"/>
          <c:max val="1"/>
        </c:scaling>
        <c:delete val="0"/>
        <c:axPos val="b"/>
        <c:numFmt formatCode="0.00"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42602496"/>
        <c:crosses val="autoZero"/>
        <c:crossBetween val="midCat"/>
        <c:majorUnit val="0.2"/>
      </c:valAx>
      <c:valAx>
        <c:axId val="42602496"/>
        <c:scaling>
          <c:orientation val="minMax"/>
        </c:scaling>
        <c:delete val="0"/>
        <c:axPos val="l"/>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35555584"/>
        <c:crosses val="autoZero"/>
        <c:crossBetween val="midCat"/>
      </c:valAx>
    </c:plotArea>
    <c:plotVisOnly val="1"/>
    <c:dispBlanksAs val="gap"/>
    <c:showDLblsOverMax val="0"/>
  </c:chart>
  <c:spPr>
    <a:noFill/>
    <a:ln>
      <a:solidFill>
        <a:schemeClr val="tx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708463328876345"/>
          <c:y val="0.1746995751091652"/>
          <c:w val="0.62499083840934977"/>
          <c:h val="0.55373346188869244"/>
        </c:manualLayout>
      </c:layout>
      <c:scatterChart>
        <c:scatterStyle val="lineMarker"/>
        <c:varyColors val="0"/>
        <c:ser>
          <c:idx val="1"/>
          <c:order val="1"/>
          <c:spPr>
            <a:ln>
              <a:solidFill>
                <a:schemeClr val="tx1"/>
              </a:solidFill>
            </a:ln>
          </c:spPr>
          <c:xVal>
            <c:numRef>
              <c:f>'Adsorption Plot'!$B$4:$B$107</c:f>
            </c:numRef>
          </c:xVal>
          <c:yVal>
            <c:numRef>
              <c:f>'Adsorption Plot'!$C$4:$C$107</c:f>
            </c:numRef>
          </c:yVal>
          <c:smooth val="0"/>
        </c:ser>
        <c:ser>
          <c:idx val="0"/>
          <c:order val="0"/>
          <c:tx>
            <c:strRef>
              <c:f>'BJH Plot'!$C$2</c:f>
              <c:strCache>
                <c:ptCount val="1"/>
                <c:pt idx="0">
                  <c:v>dV/dw Pore Volume (cm³/g·Å)</c:v>
                </c:pt>
              </c:strCache>
            </c:strRef>
          </c:tx>
          <c:spPr>
            <a:ln>
              <a:solidFill>
                <a:sysClr val="windowText" lastClr="000000"/>
              </a:solidFill>
            </a:ln>
          </c:spPr>
          <c:xVal>
            <c:numRef>
              <c:f>'BJH Plot'!$B$3:$B$34</c:f>
              <c:numCache>
                <c:formatCode>General</c:formatCode>
                <c:ptCount val="32"/>
                <c:pt idx="0">
                  <c:v>849.63876586600304</c:v>
                </c:pt>
                <c:pt idx="1">
                  <c:v>444.81044416463732</c:v>
                </c:pt>
                <c:pt idx="2">
                  <c:v>310.76456242901975</c:v>
                </c:pt>
                <c:pt idx="3">
                  <c:v>231.24452959233398</c:v>
                </c:pt>
                <c:pt idx="4">
                  <c:v>179.3224845854061</c:v>
                </c:pt>
                <c:pt idx="5">
                  <c:v>146.74708826684608</c:v>
                </c:pt>
                <c:pt idx="6">
                  <c:v>124.80288325456708</c:v>
                </c:pt>
                <c:pt idx="7">
                  <c:v>108.98019274675895</c:v>
                </c:pt>
                <c:pt idx="8">
                  <c:v>100.12357464495418</c:v>
                </c:pt>
                <c:pt idx="9">
                  <c:v>95.139730134545644</c:v>
                </c:pt>
                <c:pt idx="10">
                  <c:v>90.870270488951718</c:v>
                </c:pt>
                <c:pt idx="11">
                  <c:v>87.181474379767153</c:v>
                </c:pt>
                <c:pt idx="12">
                  <c:v>83.943624805294675</c:v>
                </c:pt>
                <c:pt idx="13">
                  <c:v>81.091985030843603</c:v>
                </c:pt>
                <c:pt idx="14">
                  <c:v>78.566849266654458</c:v>
                </c:pt>
                <c:pt idx="15">
                  <c:v>76.304816402450058</c:v>
                </c:pt>
                <c:pt idx="16">
                  <c:v>74.283536565294781</c:v>
                </c:pt>
                <c:pt idx="17">
                  <c:v>72.496632566542814</c:v>
                </c:pt>
                <c:pt idx="18">
                  <c:v>70.841485816777109</c:v>
                </c:pt>
                <c:pt idx="19">
                  <c:v>69.240670683508327</c:v>
                </c:pt>
                <c:pt idx="20">
                  <c:v>67.689327785467952</c:v>
                </c:pt>
                <c:pt idx="21">
                  <c:v>66.135210130318711</c:v>
                </c:pt>
                <c:pt idx="22">
                  <c:v>64.550645470913594</c:v>
                </c:pt>
                <c:pt idx="23">
                  <c:v>62.902846966217894</c:v>
                </c:pt>
                <c:pt idx="24">
                  <c:v>61.181424090011994</c:v>
                </c:pt>
                <c:pt idx="25">
                  <c:v>59.391199118379262</c:v>
                </c:pt>
                <c:pt idx="26">
                  <c:v>57.549788523026756</c:v>
                </c:pt>
                <c:pt idx="27">
                  <c:v>55.686818511541993</c:v>
                </c:pt>
                <c:pt idx="28">
                  <c:v>53.834425508476755</c:v>
                </c:pt>
                <c:pt idx="29">
                  <c:v>52.002445547409266</c:v>
                </c:pt>
                <c:pt idx="30">
                  <c:v>50.191657257461998</c:v>
                </c:pt>
                <c:pt idx="31">
                  <c:v>45.603918600860013</c:v>
                </c:pt>
              </c:numCache>
            </c:numRef>
          </c:xVal>
          <c:yVal>
            <c:numRef>
              <c:f>'BJH Plot'!$C$3:$C$34</c:f>
              <c:numCache>
                <c:formatCode>General</c:formatCode>
                <c:ptCount val="32"/>
                <c:pt idx="0">
                  <c:v>4.2121508158743524E-5</c:v>
                </c:pt>
                <c:pt idx="1">
                  <c:v>7.072812877595426E-5</c:v>
                </c:pt>
                <c:pt idx="2">
                  <c:v>1.112671305255984E-4</c:v>
                </c:pt>
                <c:pt idx="3">
                  <c:v>1.3936276216815969E-4</c:v>
                </c:pt>
                <c:pt idx="4">
                  <c:v>1.8403173760631416E-4</c:v>
                </c:pt>
                <c:pt idx="5">
                  <c:v>2.696689304264139E-4</c:v>
                </c:pt>
                <c:pt idx="6">
                  <c:v>4.1427733064391433E-4</c:v>
                </c:pt>
                <c:pt idx="7">
                  <c:v>6.8945149375870677E-4</c:v>
                </c:pt>
                <c:pt idx="8">
                  <c:v>1.0982884782194441E-3</c:v>
                </c:pt>
                <c:pt idx="9">
                  <c:v>1.5431122781653821E-3</c:v>
                </c:pt>
                <c:pt idx="10">
                  <c:v>1.9523335957231417E-3</c:v>
                </c:pt>
                <c:pt idx="11">
                  <c:v>2.5430742151508292E-3</c:v>
                </c:pt>
                <c:pt idx="12">
                  <c:v>3.0810852956233252E-3</c:v>
                </c:pt>
                <c:pt idx="13">
                  <c:v>3.8747393704590652E-3</c:v>
                </c:pt>
                <c:pt idx="14">
                  <c:v>4.5139257284365379E-3</c:v>
                </c:pt>
                <c:pt idx="15">
                  <c:v>5.4287041669530064E-3</c:v>
                </c:pt>
                <c:pt idx="16">
                  <c:v>6.3190829024475014E-3</c:v>
                </c:pt>
                <c:pt idx="17">
                  <c:v>6.6854821857009689E-3</c:v>
                </c:pt>
                <c:pt idx="18">
                  <c:v>7.1242655039535424E-3</c:v>
                </c:pt>
                <c:pt idx="19">
                  <c:v>7.5323673292530978E-3</c:v>
                </c:pt>
                <c:pt idx="20">
                  <c:v>7.4962283859325565E-3</c:v>
                </c:pt>
                <c:pt idx="21">
                  <c:v>6.8485211611903534E-3</c:v>
                </c:pt>
                <c:pt idx="22">
                  <c:v>6.2286149420755239E-3</c:v>
                </c:pt>
                <c:pt idx="23">
                  <c:v>5.2122745199824384E-3</c:v>
                </c:pt>
                <c:pt idx="24">
                  <c:v>4.3729122914152284E-3</c:v>
                </c:pt>
                <c:pt idx="25">
                  <c:v>3.5210057023685212E-3</c:v>
                </c:pt>
                <c:pt idx="26">
                  <c:v>2.9524748250723096E-3</c:v>
                </c:pt>
                <c:pt idx="27">
                  <c:v>2.3430063174584882E-3</c:v>
                </c:pt>
                <c:pt idx="28">
                  <c:v>1.9155692174478653E-3</c:v>
                </c:pt>
                <c:pt idx="29">
                  <c:v>1.545718496046976E-3</c:v>
                </c:pt>
                <c:pt idx="30">
                  <c:v>1.1493907486636961E-3</c:v>
                </c:pt>
                <c:pt idx="31">
                  <c:v>5.1814708438130592E-4</c:v>
                </c:pt>
              </c:numCache>
            </c:numRef>
          </c:yVal>
          <c:smooth val="0"/>
        </c:ser>
        <c:dLbls>
          <c:showLegendKey val="0"/>
          <c:showVal val="0"/>
          <c:showCatName val="0"/>
          <c:showSerName val="0"/>
          <c:showPercent val="0"/>
          <c:showBubbleSize val="0"/>
        </c:dLbls>
        <c:axId val="119402496"/>
        <c:axId val="119404032"/>
      </c:scatterChart>
      <c:valAx>
        <c:axId val="119402496"/>
        <c:scaling>
          <c:orientation val="minMax"/>
          <c:max val="500"/>
          <c:min val="0"/>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119404032"/>
        <c:crosses val="autoZero"/>
        <c:crossBetween val="midCat"/>
        <c:majorUnit val="100"/>
      </c:valAx>
      <c:valAx>
        <c:axId val="119404032"/>
        <c:scaling>
          <c:orientation val="minMax"/>
        </c:scaling>
        <c:delete val="0"/>
        <c:axPos val="l"/>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19402496"/>
        <c:crosses val="autoZero"/>
        <c:crossBetween val="midCat"/>
        <c:majorUnit val="2.0000000000000052E-3"/>
        <c:minorUnit val="2.0000000000000052E-4"/>
      </c:valAx>
    </c:plotArea>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996127370871092"/>
          <c:y val="0.13273702629276604"/>
          <c:w val="0.62841697617986469"/>
          <c:h val="0.60277432426209887"/>
        </c:manualLayout>
      </c:layout>
      <c:scatterChart>
        <c:scatterStyle val="smoothMarker"/>
        <c:varyColors val="0"/>
        <c:ser>
          <c:idx val="0"/>
          <c:order val="0"/>
          <c:spPr>
            <a:ln>
              <a:solidFill>
                <a:sysClr val="windowText" lastClr="000000"/>
              </a:solidFill>
            </a:ln>
          </c:spPr>
          <c:marker>
            <c:symbol val="none"/>
          </c:marker>
          <c:xVal>
            <c:numRef>
              <c:f>'Adsorption Plot 1'!$A$3:$A$60</c:f>
              <c:numCache>
                <c:formatCode>0.00</c:formatCode>
                <c:ptCount val="58"/>
                <c:pt idx="0">
                  <c:v>1.001171112060547E-2</c:v>
                </c:pt>
                <c:pt idx="1">
                  <c:v>3.2545129441060611E-2</c:v>
                </c:pt>
                <c:pt idx="2">
                  <c:v>6.566857897379437E-2</c:v>
                </c:pt>
                <c:pt idx="3">
                  <c:v>7.9916949572538934E-2</c:v>
                </c:pt>
                <c:pt idx="4">
                  <c:v>0.10804468504103691</c:v>
                </c:pt>
                <c:pt idx="5">
                  <c:v>0.12774660387567291</c:v>
                </c:pt>
                <c:pt idx="6">
                  <c:v>0.14774722708947993</c:v>
                </c:pt>
                <c:pt idx="7">
                  <c:v>0.16786823359970454</c:v>
                </c:pt>
                <c:pt idx="8">
                  <c:v>0.18790011623528799</c:v>
                </c:pt>
                <c:pt idx="9">
                  <c:v>0.20746558831328496</c:v>
                </c:pt>
                <c:pt idx="10">
                  <c:v>0.25790916464091646</c:v>
                </c:pt>
                <c:pt idx="11">
                  <c:v>0.30785304614276882</c:v>
                </c:pt>
                <c:pt idx="12">
                  <c:v>0.35752752741571431</c:v>
                </c:pt>
                <c:pt idx="13">
                  <c:v>0.40762584052871914</c:v>
                </c:pt>
                <c:pt idx="14">
                  <c:v>0.45752874496712431</c:v>
                </c:pt>
                <c:pt idx="15">
                  <c:v>0.50755007326422452</c:v>
                </c:pt>
                <c:pt idx="16">
                  <c:v>0.5572844896261544</c:v>
                </c:pt>
                <c:pt idx="17">
                  <c:v>0.60745696296580942</c:v>
                </c:pt>
                <c:pt idx="18">
                  <c:v>0.62069249284174965</c:v>
                </c:pt>
                <c:pt idx="19">
                  <c:v>0.6341587648011987</c:v>
                </c:pt>
                <c:pt idx="20">
                  <c:v>0.64743760763512126</c:v>
                </c:pt>
                <c:pt idx="21">
                  <c:v>0.66064634754684881</c:v>
                </c:pt>
                <c:pt idx="22">
                  <c:v>0.67368105568143943</c:v>
                </c:pt>
                <c:pt idx="23">
                  <c:v>0.68709717710611173</c:v>
                </c:pt>
                <c:pt idx="24">
                  <c:v>0.70045837169585945</c:v>
                </c:pt>
                <c:pt idx="25">
                  <c:v>0.71339656130057472</c:v>
                </c:pt>
                <c:pt idx="26">
                  <c:v>0.72649404399992368</c:v>
                </c:pt>
                <c:pt idx="27">
                  <c:v>0.73956058771930056</c:v>
                </c:pt>
                <c:pt idx="28">
                  <c:v>0.75268167300876054</c:v>
                </c:pt>
                <c:pt idx="29">
                  <c:v>0.76564792018666061</c:v>
                </c:pt>
                <c:pt idx="30">
                  <c:v>0.77866608775738011</c:v>
                </c:pt>
                <c:pt idx="31">
                  <c:v>0.79172836282450665</c:v>
                </c:pt>
                <c:pt idx="32">
                  <c:v>0.80468618974787587</c:v>
                </c:pt>
                <c:pt idx="33">
                  <c:v>0.81761606764592643</c:v>
                </c:pt>
                <c:pt idx="34">
                  <c:v>0.83043852628434045</c:v>
                </c:pt>
                <c:pt idx="35">
                  <c:v>0.84344839748890565</c:v>
                </c:pt>
                <c:pt idx="36">
                  <c:v>0.85620907509060795</c:v>
                </c:pt>
                <c:pt idx="37">
                  <c:v>0.8689555359682587</c:v>
                </c:pt>
                <c:pt idx="38">
                  <c:v>0.8816673425846</c:v>
                </c:pt>
                <c:pt idx="39">
                  <c:v>0.89439297180290622</c:v>
                </c:pt>
                <c:pt idx="40">
                  <c:v>0.90669439503813964</c:v>
                </c:pt>
                <c:pt idx="41">
                  <c:v>0.91913183032461065</c:v>
                </c:pt>
                <c:pt idx="42">
                  <c:v>0.93126020883502558</c:v>
                </c:pt>
                <c:pt idx="43">
                  <c:v>0.94312425470254768</c:v>
                </c:pt>
                <c:pt idx="44">
                  <c:v>0.95470048385326101</c:v>
                </c:pt>
                <c:pt idx="45">
                  <c:v>0.97260228184509634</c:v>
                </c:pt>
                <c:pt idx="46">
                  <c:v>0.97865374041635067</c:v>
                </c:pt>
                <c:pt idx="47">
                  <c:v>0.98836826658316701</c:v>
                </c:pt>
                <c:pt idx="48">
                  <c:v>0.99337500526665956</c:v>
                </c:pt>
                <c:pt idx="49">
                  <c:v>0.99020694011083599</c:v>
                </c:pt>
                <c:pt idx="50">
                  <c:v>0.97672222449160062</c:v>
                </c:pt>
                <c:pt idx="51">
                  <c:v>0.94750052939180052</c:v>
                </c:pt>
                <c:pt idx="52">
                  <c:v>0.91905416648266158</c:v>
                </c:pt>
                <c:pt idx="53">
                  <c:v>0.89280743390562989</c:v>
                </c:pt>
                <c:pt idx="54">
                  <c:v>0.86760095449488794</c:v>
                </c:pt>
                <c:pt idx="55">
                  <c:v>0.8421445807815956</c:v>
                </c:pt>
                <c:pt idx="56">
                  <c:v>0.81773191213388463</c:v>
                </c:pt>
                <c:pt idx="57">
                  <c:v>0.79185203764746992</c:v>
                </c:pt>
              </c:numCache>
            </c:numRef>
          </c:xVal>
          <c:yVal>
            <c:numRef>
              <c:f>'Adsorption Plot 1'!$B$3:$B$60</c:f>
              <c:numCache>
                <c:formatCode>0.00</c:formatCode>
                <c:ptCount val="58"/>
                <c:pt idx="0">
                  <c:v>0.45339188642395445</c:v>
                </c:pt>
                <c:pt idx="1">
                  <c:v>0.7526814823136827</c:v>
                </c:pt>
                <c:pt idx="2">
                  <c:v>0.82117885327404438</c:v>
                </c:pt>
                <c:pt idx="3">
                  <c:v>0.84983254974452149</c:v>
                </c:pt>
                <c:pt idx="4">
                  <c:v>0.87352910817927965</c:v>
                </c:pt>
                <c:pt idx="5">
                  <c:v>0.88787222108992858</c:v>
                </c:pt>
                <c:pt idx="6">
                  <c:v>0.88495198525355012</c:v>
                </c:pt>
                <c:pt idx="7">
                  <c:v>0.8968832906696057</c:v>
                </c:pt>
                <c:pt idx="8">
                  <c:v>0.909195980292404</c:v>
                </c:pt>
                <c:pt idx="9">
                  <c:v>0.91482558902903555</c:v>
                </c:pt>
                <c:pt idx="10">
                  <c:v>0.92123997027284688</c:v>
                </c:pt>
                <c:pt idx="11">
                  <c:v>0.93379290772864754</c:v>
                </c:pt>
                <c:pt idx="12">
                  <c:v>0.94398136418923817</c:v>
                </c:pt>
                <c:pt idx="13">
                  <c:v>0.95147084757668465</c:v>
                </c:pt>
                <c:pt idx="14">
                  <c:v>0.94512638900301249</c:v>
                </c:pt>
                <c:pt idx="15">
                  <c:v>0.91548712718188352</c:v>
                </c:pt>
                <c:pt idx="16">
                  <c:v>0.90524536198989125</c:v>
                </c:pt>
                <c:pt idx="17">
                  <c:v>0.89499350696292157</c:v>
                </c:pt>
                <c:pt idx="18">
                  <c:v>0.88343298994734587</c:v>
                </c:pt>
                <c:pt idx="19">
                  <c:v>0.86951665880772244</c:v>
                </c:pt>
                <c:pt idx="20">
                  <c:v>0.86492177259896896</c:v>
                </c:pt>
                <c:pt idx="21">
                  <c:v>0.84711723219945745</c:v>
                </c:pt>
                <c:pt idx="22">
                  <c:v>0.84252246554306254</c:v>
                </c:pt>
                <c:pt idx="23">
                  <c:v>0.83299535659464308</c:v>
                </c:pt>
                <c:pt idx="24">
                  <c:v>0.83339077311346565</c:v>
                </c:pt>
                <c:pt idx="25">
                  <c:v>0.83499958039644073</c:v>
                </c:pt>
                <c:pt idx="26">
                  <c:v>0.84473659951014968</c:v>
                </c:pt>
                <c:pt idx="27">
                  <c:v>0.85772961077985677</c:v>
                </c:pt>
                <c:pt idx="28">
                  <c:v>0.87225390112237311</c:v>
                </c:pt>
                <c:pt idx="29">
                  <c:v>0.89376894165025156</c:v>
                </c:pt>
                <c:pt idx="30">
                  <c:v>0.91407448554890003</c:v>
                </c:pt>
                <c:pt idx="31">
                  <c:v>0.94597387199092409</c:v>
                </c:pt>
                <c:pt idx="32">
                  <c:v>1.0009021543207521</c:v>
                </c:pt>
                <c:pt idx="33">
                  <c:v>1.0704114861282281</c:v>
                </c:pt>
                <c:pt idx="34">
                  <c:v>1.1134398602809359</c:v>
                </c:pt>
                <c:pt idx="35">
                  <c:v>1.1853293102341882</c:v>
                </c:pt>
                <c:pt idx="36">
                  <c:v>1.2853275686719041</c:v>
                </c:pt>
                <c:pt idx="37">
                  <c:v>1.4097843464716378</c:v>
                </c:pt>
                <c:pt idx="38">
                  <c:v>1.5486371732394499</c:v>
                </c:pt>
                <c:pt idx="39">
                  <c:v>1.726819206636536</c:v>
                </c:pt>
                <c:pt idx="40">
                  <c:v>1.9611778228692966</c:v>
                </c:pt>
                <c:pt idx="41">
                  <c:v>2.2643143067192719</c:v>
                </c:pt>
                <c:pt idx="42">
                  <c:v>2.6339274224485192</c:v>
                </c:pt>
                <c:pt idx="43">
                  <c:v>3.1844736733628443</c:v>
                </c:pt>
                <c:pt idx="44">
                  <c:v>3.8705359910086767</c:v>
                </c:pt>
                <c:pt idx="45">
                  <c:v>5.6054195855052855</c:v>
                </c:pt>
                <c:pt idx="46">
                  <c:v>6.5718015052689234</c:v>
                </c:pt>
                <c:pt idx="47">
                  <c:v>8.7733747643962179</c:v>
                </c:pt>
                <c:pt idx="48">
                  <c:v>10.69663670739685</c:v>
                </c:pt>
                <c:pt idx="49">
                  <c:v>10.427301697528989</c:v>
                </c:pt>
                <c:pt idx="50">
                  <c:v>7.7526786354763999</c:v>
                </c:pt>
                <c:pt idx="51">
                  <c:v>4.2465313755861684</c:v>
                </c:pt>
                <c:pt idx="52">
                  <c:v>2.9013071602717342</c:v>
                </c:pt>
                <c:pt idx="53">
                  <c:v>2.1842876186112612</c:v>
                </c:pt>
                <c:pt idx="54">
                  <c:v>1.7217195652361235</c:v>
                </c:pt>
                <c:pt idx="55">
                  <c:v>1.3895913814330898</c:v>
                </c:pt>
                <c:pt idx="56">
                  <c:v>1.157133304492578</c:v>
                </c:pt>
                <c:pt idx="57">
                  <c:v>0.95826965502355499</c:v>
                </c:pt>
              </c:numCache>
            </c:numRef>
          </c:yVal>
          <c:smooth val="1"/>
        </c:ser>
        <c:dLbls>
          <c:showLegendKey val="0"/>
          <c:showVal val="0"/>
          <c:showCatName val="0"/>
          <c:showSerName val="0"/>
          <c:showPercent val="0"/>
          <c:showBubbleSize val="0"/>
        </c:dLbls>
        <c:axId val="42624896"/>
        <c:axId val="42626432"/>
      </c:scatterChart>
      <c:valAx>
        <c:axId val="42624896"/>
        <c:scaling>
          <c:orientation val="minMax"/>
          <c:max val="1"/>
        </c:scaling>
        <c:delete val="0"/>
        <c:axPos val="b"/>
        <c:numFmt formatCode="0.00"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42626432"/>
        <c:crosses val="autoZero"/>
        <c:crossBetween val="midCat"/>
        <c:majorUnit val="0.2"/>
      </c:valAx>
      <c:valAx>
        <c:axId val="42626432"/>
        <c:scaling>
          <c:orientation val="minMax"/>
          <c:max val="12"/>
        </c:scaling>
        <c:delete val="0"/>
        <c:axPos val="l"/>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42624896"/>
        <c:crosses val="autoZero"/>
        <c:crossBetween val="midCat"/>
        <c:majorUnit val="3"/>
        <c:minorUnit val="1"/>
      </c:valAx>
    </c:plotArea>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606641123882521"/>
          <c:y val="0.20863194732237444"/>
          <c:w val="0.60563228447019046"/>
          <c:h val="0.53864898466639233"/>
        </c:manualLayout>
      </c:layout>
      <c:scatterChart>
        <c:scatterStyle val="smoothMarker"/>
        <c:varyColors val="0"/>
        <c:ser>
          <c:idx val="0"/>
          <c:order val="0"/>
          <c:spPr>
            <a:ln>
              <a:solidFill>
                <a:sysClr val="windowText" lastClr="000000"/>
              </a:solidFill>
            </a:ln>
          </c:spPr>
          <c:marker>
            <c:symbol val="none"/>
          </c:marker>
          <c:xVal>
            <c:numRef>
              <c:f>'Adsorption Plot'!$B$4:$B$82</c:f>
              <c:numCache>
                <c:formatCode>0.00</c:formatCode>
                <c:ptCount val="79"/>
                <c:pt idx="0">
                  <c:v>9.9760299714722767E-3</c:v>
                </c:pt>
                <c:pt idx="1">
                  <c:v>3.2070311030222252E-2</c:v>
                </c:pt>
                <c:pt idx="2">
                  <c:v>6.526051344471423E-2</c:v>
                </c:pt>
                <c:pt idx="3">
                  <c:v>8.0019836425781199E-2</c:v>
                </c:pt>
                <c:pt idx="4">
                  <c:v>0.10000122070312679</c:v>
                </c:pt>
                <c:pt idx="5">
                  <c:v>0.11985027334732636</c:v>
                </c:pt>
                <c:pt idx="6">
                  <c:v>0.14767630441522694</c:v>
                </c:pt>
                <c:pt idx="7">
                  <c:v>0.1677115118255017</c:v>
                </c:pt>
                <c:pt idx="8">
                  <c:v>0.18769521029812741</c:v>
                </c:pt>
                <c:pt idx="9">
                  <c:v>0.20729102017748627</c:v>
                </c:pt>
                <c:pt idx="10">
                  <c:v>0.25714700965855325</c:v>
                </c:pt>
                <c:pt idx="11">
                  <c:v>0.30743014966211385</c:v>
                </c:pt>
                <c:pt idx="12">
                  <c:v>0.35718241686436497</c:v>
                </c:pt>
                <c:pt idx="13">
                  <c:v>0.40702610188689253</c:v>
                </c:pt>
                <c:pt idx="14">
                  <c:v>0.45687467625736233</c:v>
                </c:pt>
                <c:pt idx="15">
                  <c:v>0.50706519811859063</c:v>
                </c:pt>
                <c:pt idx="16">
                  <c:v>0.55668587710425665</c:v>
                </c:pt>
                <c:pt idx="17">
                  <c:v>0.6070070240554396</c:v>
                </c:pt>
                <c:pt idx="18">
                  <c:v>0.62118263925553063</c:v>
                </c:pt>
                <c:pt idx="19">
                  <c:v>0.63533741248245656</c:v>
                </c:pt>
                <c:pt idx="20">
                  <c:v>0.64973698370633048</c:v>
                </c:pt>
                <c:pt idx="21">
                  <c:v>0.66558120853244163</c:v>
                </c:pt>
                <c:pt idx="22">
                  <c:v>0.68130803869113399</c:v>
                </c:pt>
                <c:pt idx="23">
                  <c:v>0.69640738322132656</c:v>
                </c:pt>
                <c:pt idx="24">
                  <c:v>0.71146054214921728</c:v>
                </c:pt>
                <c:pt idx="25">
                  <c:v>0.7266937259777777</c:v>
                </c:pt>
                <c:pt idx="26">
                  <c:v>0.74215911191608563</c:v>
                </c:pt>
                <c:pt idx="27">
                  <c:v>0.75695390548775687</c:v>
                </c:pt>
                <c:pt idx="28">
                  <c:v>0.77242593344078492</c:v>
                </c:pt>
                <c:pt idx="29">
                  <c:v>0.78646756941602802</c:v>
                </c:pt>
                <c:pt idx="30">
                  <c:v>0.80015248833643349</c:v>
                </c:pt>
                <c:pt idx="31">
                  <c:v>0.81552751914512855</c:v>
                </c:pt>
                <c:pt idx="32">
                  <c:v>0.82922567278494885</c:v>
                </c:pt>
                <c:pt idx="33">
                  <c:v>0.84285432473124156</c:v>
                </c:pt>
                <c:pt idx="34">
                  <c:v>0.85621954268183664</c:v>
                </c:pt>
                <c:pt idx="35">
                  <c:v>0.86957361592490845</c:v>
                </c:pt>
                <c:pt idx="36">
                  <c:v>0.8833741429555505</c:v>
                </c:pt>
                <c:pt idx="37">
                  <c:v>0.89610827261726644</c:v>
                </c:pt>
                <c:pt idx="38">
                  <c:v>0.90993270288854988</c:v>
                </c:pt>
                <c:pt idx="39">
                  <c:v>0.92302387304750888</c:v>
                </c:pt>
                <c:pt idx="40">
                  <c:v>0.93486386793037235</c:v>
                </c:pt>
                <c:pt idx="41">
                  <c:v>0.94587247537752561</c:v>
                </c:pt>
                <c:pt idx="42">
                  <c:v>0.95618856643276717</c:v>
                </c:pt>
                <c:pt idx="43">
                  <c:v>0.97382636471497419</c:v>
                </c:pt>
                <c:pt idx="44">
                  <c:v>0.97881093886402371</c:v>
                </c:pt>
                <c:pt idx="45">
                  <c:v>0.98790023886244149</c:v>
                </c:pt>
                <c:pt idx="46">
                  <c:v>0.9944345462983839</c:v>
                </c:pt>
                <c:pt idx="47">
                  <c:v>0.990400997675282</c:v>
                </c:pt>
                <c:pt idx="48">
                  <c:v>0.97819969698286746</c:v>
                </c:pt>
                <c:pt idx="49">
                  <c:v>0.97267963853957051</c:v>
                </c:pt>
                <c:pt idx="50">
                  <c:v>0.94969270871665556</c:v>
                </c:pt>
                <c:pt idx="51">
                  <c:v>0.92593410714019964</c:v>
                </c:pt>
                <c:pt idx="52">
                  <c:v>0.89691086044606849</c:v>
                </c:pt>
                <c:pt idx="53">
                  <c:v>0.87021262895562856</c:v>
                </c:pt>
                <c:pt idx="54">
                  <c:v>0.84419475849344316</c:v>
                </c:pt>
                <c:pt idx="55">
                  <c:v>0.81881020929213932</c:v>
                </c:pt>
                <c:pt idx="56">
                  <c:v>0.79293274018280357</c:v>
                </c:pt>
                <c:pt idx="57">
                  <c:v>0.77813734032664017</c:v>
                </c:pt>
                <c:pt idx="58">
                  <c:v>0.76322660171260859</c:v>
                </c:pt>
                <c:pt idx="59">
                  <c:v>0.74819869988552112</c:v>
                </c:pt>
                <c:pt idx="60">
                  <c:v>0.73291056832936341</c:v>
                </c:pt>
                <c:pt idx="61">
                  <c:v>0.71823569058556935</c:v>
                </c:pt>
                <c:pt idx="62">
                  <c:v>0.70362908072175168</c:v>
                </c:pt>
                <c:pt idx="63">
                  <c:v>0.68840439987129143</c:v>
                </c:pt>
                <c:pt idx="64">
                  <c:v>0.67382091711602465</c:v>
                </c:pt>
                <c:pt idx="65">
                  <c:v>0.65836217320602097</c:v>
                </c:pt>
                <c:pt idx="66">
                  <c:v>0.64314831432183728</c:v>
                </c:pt>
                <c:pt idx="67">
                  <c:v>0.62833866544956285</c:v>
                </c:pt>
                <c:pt idx="68">
                  <c:v>0.61326949415421161</c:v>
                </c:pt>
                <c:pt idx="69">
                  <c:v>0.59783993096433641</c:v>
                </c:pt>
                <c:pt idx="70">
                  <c:v>0.54228615929510826</c:v>
                </c:pt>
                <c:pt idx="71">
                  <c:v>0.49227511341298391</c:v>
                </c:pt>
                <c:pt idx="72">
                  <c:v>0.44300901853377223</c:v>
                </c:pt>
                <c:pt idx="73">
                  <c:v>0.3921267279176785</c:v>
                </c:pt>
                <c:pt idx="74">
                  <c:v>0.34200198270001492</c:v>
                </c:pt>
                <c:pt idx="75">
                  <c:v>0.29191259784808105</c:v>
                </c:pt>
                <c:pt idx="76">
                  <c:v>0.24208445697500044</c:v>
                </c:pt>
                <c:pt idx="77">
                  <c:v>0.19190830939989853</c:v>
                </c:pt>
                <c:pt idx="78">
                  <c:v>0.13205710193812201</c:v>
                </c:pt>
              </c:numCache>
            </c:numRef>
          </c:xVal>
          <c:yVal>
            <c:numRef>
              <c:f>'Adsorption Plot'!$C$4:$C$82</c:f>
              <c:numCache>
                <c:formatCode>0.00</c:formatCode>
                <c:ptCount val="79"/>
                <c:pt idx="0">
                  <c:v>1.2699771506700634</c:v>
                </c:pt>
                <c:pt idx="1">
                  <c:v>1.6346924079149854</c:v>
                </c:pt>
                <c:pt idx="2">
                  <c:v>1.6902554879579281</c:v>
                </c:pt>
                <c:pt idx="3">
                  <c:v>1.7002474957129246</c:v>
                </c:pt>
                <c:pt idx="4">
                  <c:v>1.6792541866799406</c:v>
                </c:pt>
                <c:pt idx="5">
                  <c:v>1.6725463451216975</c:v>
                </c:pt>
                <c:pt idx="6">
                  <c:v>1.6315796957165598</c:v>
                </c:pt>
                <c:pt idx="7">
                  <c:v>1.6097068171116578</c:v>
                </c:pt>
                <c:pt idx="8">
                  <c:v>1.5900439453124999</c:v>
                </c:pt>
                <c:pt idx="9">
                  <c:v>1.5634563831364134</c:v>
                </c:pt>
                <c:pt idx="10">
                  <c:v>1.4827202876905579</c:v>
                </c:pt>
                <c:pt idx="11">
                  <c:v>1.4094945769195977</c:v>
                </c:pt>
                <c:pt idx="12">
                  <c:v>1.3517147147929418</c:v>
                </c:pt>
                <c:pt idx="13">
                  <c:v>1.3040485157961885</c:v>
                </c:pt>
                <c:pt idx="14">
                  <c:v>1.2536582823960654</c:v>
                </c:pt>
                <c:pt idx="15">
                  <c:v>1.2042232416135439</c:v>
                </c:pt>
                <c:pt idx="16">
                  <c:v>1.1879563528996178</c:v>
                </c:pt>
                <c:pt idx="17">
                  <c:v>1.2018528719066501</c:v>
                </c:pt>
                <c:pt idx="18">
                  <c:v>1.2095764593535676</c:v>
                </c:pt>
                <c:pt idx="19">
                  <c:v>1.2205425403421213</c:v>
                </c:pt>
                <c:pt idx="20">
                  <c:v>1.238840690888233</c:v>
                </c:pt>
                <c:pt idx="21">
                  <c:v>1.2619782383253138</c:v>
                </c:pt>
                <c:pt idx="22">
                  <c:v>1.3049217280947754</c:v>
                </c:pt>
                <c:pt idx="23">
                  <c:v>1.3413870287603662</c:v>
                </c:pt>
                <c:pt idx="24">
                  <c:v>1.4026232124151794</c:v>
                </c:pt>
                <c:pt idx="25">
                  <c:v>1.4789334772392251</c:v>
                </c:pt>
                <c:pt idx="26">
                  <c:v>1.565409498195367</c:v>
                </c:pt>
                <c:pt idx="27">
                  <c:v>1.6724517804499839</c:v>
                </c:pt>
                <c:pt idx="28">
                  <c:v>1.7974453636014311</c:v>
                </c:pt>
                <c:pt idx="29">
                  <c:v>1.9333031254475621</c:v>
                </c:pt>
                <c:pt idx="30">
                  <c:v>2.1083271412037252</c:v>
                </c:pt>
                <c:pt idx="31">
                  <c:v>2.336325433997573</c:v>
                </c:pt>
                <c:pt idx="32">
                  <c:v>2.572065463710695</c:v>
                </c:pt>
                <c:pt idx="33">
                  <c:v>2.8897127266889151</c:v>
                </c:pt>
                <c:pt idx="34">
                  <c:v>3.2463224697166986</c:v>
                </c:pt>
                <c:pt idx="35">
                  <c:v>3.6686108473377956</c:v>
                </c:pt>
                <c:pt idx="36">
                  <c:v>4.2365194107579036</c:v>
                </c:pt>
                <c:pt idx="37">
                  <c:v>4.8843519992772855</c:v>
                </c:pt>
                <c:pt idx="38">
                  <c:v>5.7658636208325094</c:v>
                </c:pt>
                <c:pt idx="39">
                  <c:v>6.8910134027670189</c:v>
                </c:pt>
                <c:pt idx="40">
                  <c:v>8.2161923918194635</c:v>
                </c:pt>
                <c:pt idx="41">
                  <c:v>9.8718750732115819</c:v>
                </c:pt>
                <c:pt idx="42">
                  <c:v>11.981185435380773</c:v>
                </c:pt>
                <c:pt idx="43">
                  <c:v>18.01803445527543</c:v>
                </c:pt>
                <c:pt idx="44">
                  <c:v>20.729318530814087</c:v>
                </c:pt>
                <c:pt idx="45">
                  <c:v>27.377938564133448</c:v>
                </c:pt>
                <c:pt idx="46">
                  <c:v>32.712288455939245</c:v>
                </c:pt>
                <c:pt idx="47">
                  <c:v>32.509134813251556</c:v>
                </c:pt>
                <c:pt idx="48">
                  <c:v>29.004152068478035</c:v>
                </c:pt>
                <c:pt idx="49">
                  <c:v>26.215280582540789</c:v>
                </c:pt>
                <c:pt idx="50">
                  <c:v>16.261009936610822</c:v>
                </c:pt>
                <c:pt idx="51">
                  <c:v>11.263137376247126</c:v>
                </c:pt>
                <c:pt idx="52">
                  <c:v>8.2139184231959419</c:v>
                </c:pt>
                <c:pt idx="53">
                  <c:v>6.5598852440039215</c:v>
                </c:pt>
                <c:pt idx="54">
                  <c:v>5.4375629538389525</c:v>
                </c:pt>
                <c:pt idx="55">
                  <c:v>4.6627172091073259</c:v>
                </c:pt>
                <c:pt idx="56">
                  <c:v>4.0423398371442945</c:v>
                </c:pt>
                <c:pt idx="57">
                  <c:v>3.7427875479078208</c:v>
                </c:pt>
                <c:pt idx="58">
                  <c:v>3.4996509187710321</c:v>
                </c:pt>
                <c:pt idx="59">
                  <c:v>3.2762451473747167</c:v>
                </c:pt>
                <c:pt idx="60">
                  <c:v>3.0763031073104781</c:v>
                </c:pt>
                <c:pt idx="61">
                  <c:v>2.8898052589715055</c:v>
                </c:pt>
                <c:pt idx="62">
                  <c:v>2.7399785325857779</c:v>
                </c:pt>
                <c:pt idx="63">
                  <c:v>2.6058422279241467</c:v>
                </c:pt>
                <c:pt idx="64">
                  <c:v>2.4960504335381182</c:v>
                </c:pt>
                <c:pt idx="65">
                  <c:v>2.4027448771722466</c:v>
                </c:pt>
                <c:pt idx="66">
                  <c:v>2.3182787389308968</c:v>
                </c:pt>
                <c:pt idx="67">
                  <c:v>2.2446690810583352</c:v>
                </c:pt>
                <c:pt idx="68">
                  <c:v>2.1809829703266552</c:v>
                </c:pt>
                <c:pt idx="69">
                  <c:v>2.1123350916839554</c:v>
                </c:pt>
                <c:pt idx="70">
                  <c:v>1.9583474117608246</c:v>
                </c:pt>
                <c:pt idx="71">
                  <c:v>1.8489205990915825</c:v>
                </c:pt>
                <c:pt idx="72">
                  <c:v>1.2416822400239858</c:v>
                </c:pt>
                <c:pt idx="73">
                  <c:v>1.2819576165244038</c:v>
                </c:pt>
                <c:pt idx="74">
                  <c:v>1.3483920202300321</c:v>
                </c:pt>
                <c:pt idx="75">
                  <c:v>1.4166525723388321</c:v>
                </c:pt>
                <c:pt idx="76">
                  <c:v>1.4875354846570819</c:v>
                </c:pt>
                <c:pt idx="77">
                  <c:v>1.5748490750660946</c:v>
                </c:pt>
                <c:pt idx="78">
                  <c:v>1.6720206490211005</c:v>
                </c:pt>
              </c:numCache>
            </c:numRef>
          </c:yVal>
          <c:smooth val="1"/>
        </c:ser>
        <c:dLbls>
          <c:showLegendKey val="0"/>
          <c:showVal val="0"/>
          <c:showCatName val="0"/>
          <c:showSerName val="0"/>
          <c:showPercent val="0"/>
          <c:showBubbleSize val="0"/>
        </c:dLbls>
        <c:axId val="42637952"/>
        <c:axId val="42660224"/>
      </c:scatterChart>
      <c:valAx>
        <c:axId val="42637952"/>
        <c:scaling>
          <c:orientation val="minMax"/>
          <c:max val="1"/>
        </c:scaling>
        <c:delete val="0"/>
        <c:axPos val="b"/>
        <c:numFmt formatCode="0.00"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42660224"/>
        <c:crosses val="autoZero"/>
        <c:crossBetween val="midCat"/>
        <c:majorUnit val="0.2"/>
      </c:valAx>
      <c:valAx>
        <c:axId val="42660224"/>
        <c:scaling>
          <c:orientation val="minMax"/>
        </c:scaling>
        <c:delete val="0"/>
        <c:axPos val="l"/>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42637952"/>
        <c:crosses val="autoZero"/>
        <c:crossBetween val="midCat"/>
        <c:majorUnit val="7"/>
      </c:valAx>
    </c:plotArea>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740880503145324"/>
          <c:y val="0.21738168379176886"/>
          <c:w val="0.61658554944782851"/>
          <c:h val="0.5472174946741527"/>
        </c:manualLayout>
      </c:layout>
      <c:scatterChart>
        <c:scatterStyle val="smoothMarker"/>
        <c:varyColors val="0"/>
        <c:ser>
          <c:idx val="0"/>
          <c:order val="0"/>
          <c:spPr>
            <a:ln>
              <a:solidFill>
                <a:sysClr val="windowText" lastClr="000000"/>
              </a:solidFill>
            </a:ln>
          </c:spPr>
          <c:marker>
            <c:symbol val="none"/>
          </c:marker>
          <c:xVal>
            <c:numRef>
              <c:f>'Adsorption Plot 2'!$A$4:$A$73</c:f>
              <c:numCache>
                <c:formatCode>0.00</c:formatCode>
                <c:ptCount val="70"/>
                <c:pt idx="0">
                  <c:v>9.7463147626991719E-3</c:v>
                </c:pt>
                <c:pt idx="1">
                  <c:v>3.2357103498001596E-2</c:v>
                </c:pt>
                <c:pt idx="2">
                  <c:v>6.5151882539858486E-2</c:v>
                </c:pt>
                <c:pt idx="3">
                  <c:v>7.9823871610671129E-2</c:v>
                </c:pt>
                <c:pt idx="4">
                  <c:v>0.10770331113592366</c:v>
                </c:pt>
                <c:pt idx="5">
                  <c:v>0.12785174237186403</c:v>
                </c:pt>
                <c:pt idx="6">
                  <c:v>0.14789944552262271</c:v>
                </c:pt>
                <c:pt idx="7">
                  <c:v>0.16750398519393433</c:v>
                </c:pt>
                <c:pt idx="8">
                  <c:v>0.18762595931554785</c:v>
                </c:pt>
                <c:pt idx="9">
                  <c:v>0.20764225582611937</c:v>
                </c:pt>
                <c:pt idx="10">
                  <c:v>0.25796144907690899</c:v>
                </c:pt>
                <c:pt idx="11">
                  <c:v>0.30768564430926892</c:v>
                </c:pt>
                <c:pt idx="12">
                  <c:v>0.35740983211596788</c:v>
                </c:pt>
                <c:pt idx="13">
                  <c:v>0.40736130810548082</c:v>
                </c:pt>
                <c:pt idx="14">
                  <c:v>0.4573257947583334</c:v>
                </c:pt>
                <c:pt idx="15">
                  <c:v>0.50734206866496956</c:v>
                </c:pt>
                <c:pt idx="16">
                  <c:v>0.5571320377011727</c:v>
                </c:pt>
                <c:pt idx="17">
                  <c:v>0.60705369345983695</c:v>
                </c:pt>
                <c:pt idx="18">
                  <c:v>0.62099462758515134</c:v>
                </c:pt>
                <c:pt idx="19">
                  <c:v>0.6349664980042562</c:v>
                </c:pt>
                <c:pt idx="20">
                  <c:v>0.64898178860065414</c:v>
                </c:pt>
                <c:pt idx="21">
                  <c:v>0.66315583400794464</c:v>
                </c:pt>
                <c:pt idx="22">
                  <c:v>0.67722085355384853</c:v>
                </c:pt>
                <c:pt idx="23">
                  <c:v>0.69100356470041757</c:v>
                </c:pt>
                <c:pt idx="24">
                  <c:v>0.70509654964792856</c:v>
                </c:pt>
                <c:pt idx="25">
                  <c:v>0.71893132863271814</c:v>
                </c:pt>
                <c:pt idx="26">
                  <c:v>0.73262676887124456</c:v>
                </c:pt>
                <c:pt idx="27">
                  <c:v>0.74622207999464552</c:v>
                </c:pt>
                <c:pt idx="28">
                  <c:v>0.7597152720415089</c:v>
                </c:pt>
                <c:pt idx="29">
                  <c:v>0.77321535633984906</c:v>
                </c:pt>
                <c:pt idx="30">
                  <c:v>0.78688857125753053</c:v>
                </c:pt>
                <c:pt idx="31">
                  <c:v>0.80017268787551654</c:v>
                </c:pt>
                <c:pt idx="32">
                  <c:v>0.81345610267688861</c:v>
                </c:pt>
                <c:pt idx="33">
                  <c:v>0.8266084120038667</c:v>
                </c:pt>
                <c:pt idx="34">
                  <c:v>0.8398603231267221</c:v>
                </c:pt>
                <c:pt idx="35">
                  <c:v>0.85279197296058606</c:v>
                </c:pt>
                <c:pt idx="36">
                  <c:v>0.86578753628143046</c:v>
                </c:pt>
                <c:pt idx="37">
                  <c:v>0.87843433006165916</c:v>
                </c:pt>
                <c:pt idx="38">
                  <c:v>0.89082461841771265</c:v>
                </c:pt>
                <c:pt idx="39">
                  <c:v>0.9030137024246</c:v>
                </c:pt>
                <c:pt idx="40">
                  <c:v>0.91509216169619367</c:v>
                </c:pt>
                <c:pt idx="41">
                  <c:v>0.9267190952474027</c:v>
                </c:pt>
                <c:pt idx="42">
                  <c:v>0.9374201341633317</c:v>
                </c:pt>
                <c:pt idx="43">
                  <c:v>0.9477020472022375</c:v>
                </c:pt>
                <c:pt idx="44">
                  <c:v>0.97320931882561101</c:v>
                </c:pt>
                <c:pt idx="45">
                  <c:v>0.97809964436663765</c:v>
                </c:pt>
                <c:pt idx="46">
                  <c:v>0.98802580594018763</c:v>
                </c:pt>
                <c:pt idx="47">
                  <c:v>0.99329112449320001</c:v>
                </c:pt>
                <c:pt idx="48">
                  <c:v>0.98895404568421241</c:v>
                </c:pt>
                <c:pt idx="49">
                  <c:v>0.97702368419186403</c:v>
                </c:pt>
                <c:pt idx="50">
                  <c:v>0.95000732421875</c:v>
                </c:pt>
                <c:pt idx="51">
                  <c:v>0.92700729279794158</c:v>
                </c:pt>
                <c:pt idx="52">
                  <c:v>0.8989687093118145</c:v>
                </c:pt>
                <c:pt idx="53">
                  <c:v>0.86993506162103362</c:v>
                </c:pt>
                <c:pt idx="54">
                  <c:v>0.84341706876719158</c:v>
                </c:pt>
                <c:pt idx="55">
                  <c:v>0.81773700310742314</c:v>
                </c:pt>
                <c:pt idx="56">
                  <c:v>0.79226849405116806</c:v>
                </c:pt>
                <c:pt idx="57">
                  <c:v>0.77669076518588076</c:v>
                </c:pt>
                <c:pt idx="58">
                  <c:v>0.76113691866660005</c:v>
                </c:pt>
                <c:pt idx="59">
                  <c:v>0.74538116513081221</c:v>
                </c:pt>
                <c:pt idx="60">
                  <c:v>0.72972911924917905</c:v>
                </c:pt>
                <c:pt idx="61">
                  <c:v>0.71357272619684253</c:v>
                </c:pt>
                <c:pt idx="62">
                  <c:v>0.69748744359187365</c:v>
                </c:pt>
                <c:pt idx="63">
                  <c:v>0.68143240192018839</c:v>
                </c:pt>
                <c:pt idx="64">
                  <c:v>0.66534342919990364</c:v>
                </c:pt>
                <c:pt idx="65">
                  <c:v>0.64919628715490063</c:v>
                </c:pt>
                <c:pt idx="66">
                  <c:v>0.63329840966444872</c:v>
                </c:pt>
                <c:pt idx="67">
                  <c:v>0.6167414979596989</c:v>
                </c:pt>
                <c:pt idx="68">
                  <c:v>0.60024396978700556</c:v>
                </c:pt>
                <c:pt idx="69">
                  <c:v>0.54091079652826191</c:v>
                </c:pt>
              </c:numCache>
            </c:numRef>
          </c:xVal>
          <c:yVal>
            <c:numRef>
              <c:f>'Adsorption Plot 2'!$B$4:$B$73</c:f>
              <c:numCache>
                <c:formatCode>0.00</c:formatCode>
                <c:ptCount val="70"/>
                <c:pt idx="0">
                  <c:v>1.7863494357741219</c:v>
                </c:pt>
                <c:pt idx="1">
                  <c:v>2.0795754082658267</c:v>
                </c:pt>
                <c:pt idx="2">
                  <c:v>2.2466023646201343</c:v>
                </c:pt>
                <c:pt idx="3">
                  <c:v>2.3037307973702092</c:v>
                </c:pt>
                <c:pt idx="4">
                  <c:v>2.3728587383979987</c:v>
                </c:pt>
                <c:pt idx="5">
                  <c:v>2.4123287333090175</c:v>
                </c:pt>
                <c:pt idx="6">
                  <c:v>2.4371252875078002</c:v>
                </c:pt>
                <c:pt idx="7">
                  <c:v>2.4609025191031977</c:v>
                </c:pt>
                <c:pt idx="8">
                  <c:v>2.4905703938940777</c:v>
                </c:pt>
                <c:pt idx="9">
                  <c:v>2.5125720543773085</c:v>
                </c:pt>
                <c:pt idx="10">
                  <c:v>2.5543812663725598</c:v>
                </c:pt>
                <c:pt idx="11">
                  <c:v>2.5927235882589605</c:v>
                </c:pt>
                <c:pt idx="12">
                  <c:v>2.6364162244980927</c:v>
                </c:pt>
                <c:pt idx="13">
                  <c:v>2.6983457056035185</c:v>
                </c:pt>
                <c:pt idx="14">
                  <c:v>2.7413560947872542</c:v>
                </c:pt>
                <c:pt idx="15">
                  <c:v>2.7765583542663936</c:v>
                </c:pt>
                <c:pt idx="16">
                  <c:v>2.8436030394502567</c:v>
                </c:pt>
                <c:pt idx="17">
                  <c:v>2.9352949981402423</c:v>
                </c:pt>
                <c:pt idx="18">
                  <c:v>2.9511735675866881</c:v>
                </c:pt>
                <c:pt idx="19">
                  <c:v>2.9711545281283542</c:v>
                </c:pt>
                <c:pt idx="20">
                  <c:v>3.0034245311606202</c:v>
                </c:pt>
                <c:pt idx="21">
                  <c:v>3.0408211313320552</c:v>
                </c:pt>
                <c:pt idx="22">
                  <c:v>3.0736109538404675</c:v>
                </c:pt>
                <c:pt idx="23">
                  <c:v>3.1203364329917402</c:v>
                </c:pt>
                <c:pt idx="24">
                  <c:v>3.1833780698680392</c:v>
                </c:pt>
                <c:pt idx="25">
                  <c:v>3.2643965041990612</c:v>
                </c:pt>
                <c:pt idx="26">
                  <c:v>3.3583235842166808</c:v>
                </c:pt>
                <c:pt idx="27">
                  <c:v>3.4788936765270715</c:v>
                </c:pt>
                <c:pt idx="28">
                  <c:v>3.6093784358412377</c:v>
                </c:pt>
                <c:pt idx="29">
                  <c:v>3.7683842600291539</c:v>
                </c:pt>
                <c:pt idx="30">
                  <c:v>3.9543826670161821</c:v>
                </c:pt>
                <c:pt idx="31">
                  <c:v>4.1848740661048645</c:v>
                </c:pt>
                <c:pt idx="32">
                  <c:v>4.4538273132044024</c:v>
                </c:pt>
                <c:pt idx="33">
                  <c:v>4.7733235806804934</c:v>
                </c:pt>
                <c:pt idx="34">
                  <c:v>5.131668556743417</c:v>
                </c:pt>
                <c:pt idx="35">
                  <c:v>5.5380386175709875</c:v>
                </c:pt>
                <c:pt idx="36">
                  <c:v>6.0442293827417934</c:v>
                </c:pt>
                <c:pt idx="37">
                  <c:v>6.6392269335104404</c:v>
                </c:pt>
                <c:pt idx="38">
                  <c:v>7.3463510673997066</c:v>
                </c:pt>
                <c:pt idx="39">
                  <c:v>8.1735935723657267</c:v>
                </c:pt>
                <c:pt idx="40">
                  <c:v>9.2214834116939191</c:v>
                </c:pt>
                <c:pt idx="41">
                  <c:v>10.477066794920452</c:v>
                </c:pt>
                <c:pt idx="42">
                  <c:v>11.956348100682773</c:v>
                </c:pt>
                <c:pt idx="43">
                  <c:v>13.759399669913821</c:v>
                </c:pt>
                <c:pt idx="44">
                  <c:v>21.41958049978777</c:v>
                </c:pt>
                <c:pt idx="45">
                  <c:v>24.031202596340506</c:v>
                </c:pt>
                <c:pt idx="46">
                  <c:v>30.516175656503993</c:v>
                </c:pt>
                <c:pt idx="47">
                  <c:v>34.976841030504225</c:v>
                </c:pt>
                <c:pt idx="48">
                  <c:v>34.768594238551678</c:v>
                </c:pt>
                <c:pt idx="49">
                  <c:v>31.458673076178489</c:v>
                </c:pt>
                <c:pt idx="50">
                  <c:v>20.496361229686958</c:v>
                </c:pt>
                <c:pt idx="51">
                  <c:v>15.083370850579023</c:v>
                </c:pt>
                <c:pt idx="52">
                  <c:v>11.39784866428505</c:v>
                </c:pt>
                <c:pt idx="53">
                  <c:v>9.023733364136568</c:v>
                </c:pt>
                <c:pt idx="54">
                  <c:v>7.5573678205503718</c:v>
                </c:pt>
                <c:pt idx="55">
                  <c:v>6.5054400886431134</c:v>
                </c:pt>
                <c:pt idx="56">
                  <c:v>5.6771334938278324</c:v>
                </c:pt>
                <c:pt idx="57">
                  <c:v>5.2497754497842024</c:v>
                </c:pt>
                <c:pt idx="58">
                  <c:v>4.8881587769903945</c:v>
                </c:pt>
                <c:pt idx="59">
                  <c:v>4.5647166776259755</c:v>
                </c:pt>
                <c:pt idx="60">
                  <c:v>4.2690299736557105</c:v>
                </c:pt>
                <c:pt idx="61">
                  <c:v>4.0057256101201704</c:v>
                </c:pt>
                <c:pt idx="62">
                  <c:v>3.7757554184718769</c:v>
                </c:pt>
                <c:pt idx="63">
                  <c:v>3.5704132346570554</c:v>
                </c:pt>
                <c:pt idx="64">
                  <c:v>3.4011028532377057</c:v>
                </c:pt>
                <c:pt idx="65">
                  <c:v>3.2599527671415411</c:v>
                </c:pt>
                <c:pt idx="66">
                  <c:v>3.1690218535039896</c:v>
                </c:pt>
                <c:pt idx="67">
                  <c:v>3.1039412266696691</c:v>
                </c:pt>
                <c:pt idx="68">
                  <c:v>3.0662261408034435</c:v>
                </c:pt>
                <c:pt idx="69">
                  <c:v>2.9304504199019137</c:v>
                </c:pt>
              </c:numCache>
            </c:numRef>
          </c:yVal>
          <c:smooth val="1"/>
        </c:ser>
        <c:dLbls>
          <c:showLegendKey val="0"/>
          <c:showVal val="0"/>
          <c:showCatName val="0"/>
          <c:showSerName val="0"/>
          <c:showPercent val="0"/>
          <c:showBubbleSize val="0"/>
        </c:dLbls>
        <c:axId val="108096896"/>
        <c:axId val="108098688"/>
      </c:scatterChart>
      <c:valAx>
        <c:axId val="108096896"/>
        <c:scaling>
          <c:orientation val="minMax"/>
          <c:max val="1"/>
        </c:scaling>
        <c:delete val="0"/>
        <c:axPos val="b"/>
        <c:numFmt formatCode="0.00"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108098688"/>
        <c:crosses val="autoZero"/>
        <c:crossBetween val="midCat"/>
        <c:majorUnit val="0.2"/>
      </c:valAx>
      <c:valAx>
        <c:axId val="108098688"/>
        <c:scaling>
          <c:orientation val="minMax"/>
        </c:scaling>
        <c:delete val="0"/>
        <c:axPos val="l"/>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08096896"/>
        <c:crosses val="autoZero"/>
        <c:crossBetween val="midCat"/>
        <c:majorUnit val="8"/>
        <c:minorUnit val="5"/>
      </c:valAx>
    </c:plotArea>
    <c:plotVisOnly val="1"/>
    <c:dispBlanksAs val="gap"/>
    <c:showDLblsOverMax val="0"/>
  </c:chart>
  <c:spPr>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130948747686439"/>
          <c:y val="0.15794545861139697"/>
          <c:w val="0.61724348409937346"/>
          <c:h val="0.57084472064310676"/>
        </c:manualLayout>
      </c:layout>
      <c:scatterChart>
        <c:scatterStyle val="smoothMarker"/>
        <c:varyColors val="0"/>
        <c:ser>
          <c:idx val="0"/>
          <c:order val="0"/>
          <c:spPr>
            <a:ln>
              <a:solidFill>
                <a:schemeClr val="tx1"/>
              </a:solidFill>
            </a:ln>
          </c:spPr>
          <c:marker>
            <c:symbol val="none"/>
          </c:marker>
          <c:xVal>
            <c:numRef>
              <c:f>'Adsorption Plot'!$B$4:$B$107</c:f>
              <c:numCache>
                <c:formatCode>0.00</c:formatCode>
                <c:ptCount val="104"/>
                <c:pt idx="0">
                  <c:v>9.7618758488548629E-3</c:v>
                </c:pt>
                <c:pt idx="1">
                  <c:v>3.1687332121706019E-2</c:v>
                </c:pt>
                <c:pt idx="2">
                  <c:v>6.1752241705896833E-2</c:v>
                </c:pt>
                <c:pt idx="3">
                  <c:v>7.9046301108373129E-2</c:v>
                </c:pt>
                <c:pt idx="4">
                  <c:v>9.9722720197865766E-2</c:v>
                </c:pt>
                <c:pt idx="5">
                  <c:v>0.11985070847126612</c:v>
                </c:pt>
                <c:pt idx="6">
                  <c:v>0.13964322263968768</c:v>
                </c:pt>
                <c:pt idx="7">
                  <c:v>0.15977969938080921</c:v>
                </c:pt>
                <c:pt idx="8">
                  <c:v>0.1798805894008195</c:v>
                </c:pt>
                <c:pt idx="9">
                  <c:v>0.19974318989343726</c:v>
                </c:pt>
                <c:pt idx="10">
                  <c:v>0.24859143362585695</c:v>
                </c:pt>
                <c:pt idx="11">
                  <c:v>0.30016660929400291</c:v>
                </c:pt>
                <c:pt idx="12">
                  <c:v>0.35050478348962477</c:v>
                </c:pt>
                <c:pt idx="13">
                  <c:v>0.39956837353399055</c:v>
                </c:pt>
                <c:pt idx="14">
                  <c:v>0.44905567973733435</c:v>
                </c:pt>
                <c:pt idx="15">
                  <c:v>0.49892887777659273</c:v>
                </c:pt>
                <c:pt idx="16">
                  <c:v>0.5483894755519535</c:v>
                </c:pt>
                <c:pt idx="17">
                  <c:v>0.59815877240562187</c:v>
                </c:pt>
                <c:pt idx="18">
                  <c:v>0.61061961017836808</c:v>
                </c:pt>
                <c:pt idx="19">
                  <c:v>0.62267751547974504</c:v>
                </c:pt>
                <c:pt idx="20">
                  <c:v>0.63460058373594552</c:v>
                </c:pt>
                <c:pt idx="21">
                  <c:v>0.6462833843580007</c:v>
                </c:pt>
                <c:pt idx="22">
                  <c:v>0.65754855133405365</c:v>
                </c:pt>
                <c:pt idx="23">
                  <c:v>0.66834715552670765</c:v>
                </c:pt>
                <c:pt idx="24">
                  <c:v>0.67881319756339986</c:v>
                </c:pt>
                <c:pt idx="25">
                  <c:v>0.68911126473627149</c:v>
                </c:pt>
                <c:pt idx="26">
                  <c:v>0.69896240568422152</c:v>
                </c:pt>
                <c:pt idx="27">
                  <c:v>0.70858640575392273</c:v>
                </c:pt>
                <c:pt idx="28">
                  <c:v>0.71770864885661467</c:v>
                </c:pt>
                <c:pt idx="29">
                  <c:v>0.72662348464631465</c:v>
                </c:pt>
                <c:pt idx="30">
                  <c:v>0.73525054706089465</c:v>
                </c:pt>
                <c:pt idx="31">
                  <c:v>0.74336652294542349</c:v>
                </c:pt>
                <c:pt idx="32">
                  <c:v>0.75132048422004105</c:v>
                </c:pt>
                <c:pt idx="33">
                  <c:v>0.75885218360060469</c:v>
                </c:pt>
                <c:pt idx="34">
                  <c:v>0.76622884309437134</c:v>
                </c:pt>
                <c:pt idx="35">
                  <c:v>0.77324516481376793</c:v>
                </c:pt>
                <c:pt idx="36">
                  <c:v>0.78006347656250064</c:v>
                </c:pt>
                <c:pt idx="37">
                  <c:v>0.78672086852885248</c:v>
                </c:pt>
                <c:pt idx="38">
                  <c:v>0.79318172076808779</c:v>
                </c:pt>
                <c:pt idx="39">
                  <c:v>0.79979479460754421</c:v>
                </c:pt>
                <c:pt idx="40">
                  <c:v>0.80677808766390235</c:v>
                </c:pt>
                <c:pt idx="41">
                  <c:v>0.81366295005379163</c:v>
                </c:pt>
                <c:pt idx="42">
                  <c:v>0.82058755036859365</c:v>
                </c:pt>
                <c:pt idx="43">
                  <c:v>0.82782308345306665</c:v>
                </c:pt>
                <c:pt idx="44">
                  <c:v>0.8353597308436097</c:v>
                </c:pt>
                <c:pt idx="45">
                  <c:v>0.84381268888844851</c:v>
                </c:pt>
                <c:pt idx="46">
                  <c:v>0.85264098365182595</c:v>
                </c:pt>
                <c:pt idx="47">
                  <c:v>0.8616017598439446</c:v>
                </c:pt>
                <c:pt idx="48">
                  <c:v>0.87158129591542843</c:v>
                </c:pt>
                <c:pt idx="49">
                  <c:v>0.88235152855521959</c:v>
                </c:pt>
                <c:pt idx="50">
                  <c:v>0.89317427086634149</c:v>
                </c:pt>
                <c:pt idx="51">
                  <c:v>0.9044004544571399</c:v>
                </c:pt>
                <c:pt idx="52">
                  <c:v>0.91459255809878293</c:v>
                </c:pt>
                <c:pt idx="53">
                  <c:v>0.9245243546219265</c:v>
                </c:pt>
                <c:pt idx="54">
                  <c:v>0.93433977875343477</c:v>
                </c:pt>
                <c:pt idx="55">
                  <c:v>0.94352715673506149</c:v>
                </c:pt>
                <c:pt idx="56">
                  <c:v>0.95275453421790002</c:v>
                </c:pt>
                <c:pt idx="57">
                  <c:v>0.9728150687381486</c:v>
                </c:pt>
                <c:pt idx="58">
                  <c:v>0.97828161787905465</c:v>
                </c:pt>
                <c:pt idx="59">
                  <c:v>0.98735752512179753</c:v>
                </c:pt>
                <c:pt idx="60">
                  <c:v>0.99226657599871226</c:v>
                </c:pt>
                <c:pt idx="61">
                  <c:v>0.99444071791182409</c:v>
                </c:pt>
                <c:pt idx="62">
                  <c:v>0.99139278133010456</c:v>
                </c:pt>
                <c:pt idx="63">
                  <c:v>0.9797452925701422</c:v>
                </c:pt>
                <c:pt idx="64">
                  <c:v>0.97470073012711811</c:v>
                </c:pt>
                <c:pt idx="65">
                  <c:v>0.94623018251073776</c:v>
                </c:pt>
                <c:pt idx="66">
                  <c:v>0.92699174216710523</c:v>
                </c:pt>
                <c:pt idx="67">
                  <c:v>0.90103023572181296</c:v>
                </c:pt>
                <c:pt idx="68">
                  <c:v>0.87373622073585377</c:v>
                </c:pt>
                <c:pt idx="69">
                  <c:v>0.84804750026621267</c:v>
                </c:pt>
                <c:pt idx="70">
                  <c:v>0.82320032180989999</c:v>
                </c:pt>
                <c:pt idx="71">
                  <c:v>0.79952158918610228</c:v>
                </c:pt>
                <c:pt idx="72">
                  <c:v>0.78851563320451623</c:v>
                </c:pt>
                <c:pt idx="73">
                  <c:v>0.77821131471400362</c:v>
                </c:pt>
                <c:pt idx="74">
                  <c:v>0.76853778252925176</c:v>
                </c:pt>
                <c:pt idx="75">
                  <c:v>0.75949770353646662</c:v>
                </c:pt>
                <c:pt idx="76">
                  <c:v>0.75088104657156374</c:v>
                </c:pt>
                <c:pt idx="77">
                  <c:v>0.74287661028453578</c:v>
                </c:pt>
                <c:pt idx="78">
                  <c:v>0.73526215475423196</c:v>
                </c:pt>
                <c:pt idx="79">
                  <c:v>0.72809478690353224</c:v>
                </c:pt>
                <c:pt idx="80">
                  <c:v>0.72137398299580269</c:v>
                </c:pt>
                <c:pt idx="81">
                  <c:v>0.71524040235659092</c:v>
                </c:pt>
                <c:pt idx="82">
                  <c:v>0.70897866688644784</c:v>
                </c:pt>
                <c:pt idx="83">
                  <c:v>0.7027521442972875</c:v>
                </c:pt>
                <c:pt idx="84">
                  <c:v>0.69638960820280682</c:v>
                </c:pt>
                <c:pt idx="85">
                  <c:v>0.68963460892290152</c:v>
                </c:pt>
                <c:pt idx="86">
                  <c:v>0.6824553469212884</c:v>
                </c:pt>
                <c:pt idx="87">
                  <c:v>0.67451821420878633</c:v>
                </c:pt>
                <c:pt idx="88">
                  <c:v>0.66592097185050403</c:v>
                </c:pt>
                <c:pt idx="89">
                  <c:v>0.6564743748452585</c:v>
                </c:pt>
                <c:pt idx="90">
                  <c:v>0.64637614184989911</c:v>
                </c:pt>
                <c:pt idx="91">
                  <c:v>0.63561644368311099</c:v>
                </c:pt>
                <c:pt idx="92">
                  <c:v>0.62445813937285621</c:v>
                </c:pt>
                <c:pt idx="93">
                  <c:v>0.61271388954843264</c:v>
                </c:pt>
                <c:pt idx="94">
                  <c:v>0.60051108470805159</c:v>
                </c:pt>
                <c:pt idx="95">
                  <c:v>0.55021578666990001</c:v>
                </c:pt>
                <c:pt idx="96">
                  <c:v>0.49734529705528552</c:v>
                </c:pt>
                <c:pt idx="97">
                  <c:v>0.44610568287101926</c:v>
                </c:pt>
                <c:pt idx="98">
                  <c:v>0.39508366013634744</c:v>
                </c:pt>
                <c:pt idx="99">
                  <c:v>0.3448152267601618</c:v>
                </c:pt>
                <c:pt idx="100">
                  <c:v>0.29454299848768489</c:v>
                </c:pt>
                <c:pt idx="101">
                  <c:v>0.24444345028751469</c:v>
                </c:pt>
                <c:pt idx="102">
                  <c:v>0.19433261415236044</c:v>
                </c:pt>
                <c:pt idx="103">
                  <c:v>0.13321794006665391</c:v>
                </c:pt>
              </c:numCache>
            </c:numRef>
          </c:xVal>
          <c:yVal>
            <c:numRef>
              <c:f>'Adsorption Plot'!$C$4:$C$107</c:f>
              <c:numCache>
                <c:formatCode>0.00</c:formatCode>
                <c:ptCount val="104"/>
                <c:pt idx="0">
                  <c:v>16.293152459471024</c:v>
                </c:pt>
                <c:pt idx="1">
                  <c:v>19.963446713564796</c:v>
                </c:pt>
                <c:pt idx="2">
                  <c:v>22.150000000000031</c:v>
                </c:pt>
                <c:pt idx="3">
                  <c:v>23.048733878507132</c:v>
                </c:pt>
                <c:pt idx="4">
                  <c:v>23.935865697561596</c:v>
                </c:pt>
                <c:pt idx="5">
                  <c:v>24.705021008900122</c:v>
                </c:pt>
                <c:pt idx="6">
                  <c:v>25.383839376318289</c:v>
                </c:pt>
                <c:pt idx="7">
                  <c:v>26.02719492960189</c:v>
                </c:pt>
                <c:pt idx="8">
                  <c:v>26.660197197627227</c:v>
                </c:pt>
                <c:pt idx="9">
                  <c:v>27.266830204659559</c:v>
                </c:pt>
                <c:pt idx="10">
                  <c:v>28.696968365831935</c:v>
                </c:pt>
                <c:pt idx="11">
                  <c:v>30.242469628571236</c:v>
                </c:pt>
                <c:pt idx="12">
                  <c:v>31.824407321270257</c:v>
                </c:pt>
                <c:pt idx="13">
                  <c:v>33.489939327790758</c:v>
                </c:pt>
                <c:pt idx="14">
                  <c:v>35.366868120354397</c:v>
                </c:pt>
                <c:pt idx="15">
                  <c:v>37.542489923368095</c:v>
                </c:pt>
                <c:pt idx="16">
                  <c:v>40.258636388483581</c:v>
                </c:pt>
                <c:pt idx="17">
                  <c:v>44.005832781292796</c:v>
                </c:pt>
                <c:pt idx="18">
                  <c:v>45.208460666537718</c:v>
                </c:pt>
                <c:pt idx="19">
                  <c:v>46.525219105039163</c:v>
                </c:pt>
                <c:pt idx="20">
                  <c:v>47.948680051013866</c:v>
                </c:pt>
                <c:pt idx="21">
                  <c:v>49.571651896944495</c:v>
                </c:pt>
                <c:pt idx="22">
                  <c:v>51.340116068263875</c:v>
                </c:pt>
                <c:pt idx="23">
                  <c:v>53.216571160973587</c:v>
                </c:pt>
                <c:pt idx="24">
                  <c:v>55.259158006940012</c:v>
                </c:pt>
                <c:pt idx="25">
                  <c:v>57.543565496016946</c:v>
                </c:pt>
                <c:pt idx="26">
                  <c:v>59.996371079599783</c:v>
                </c:pt>
                <c:pt idx="27">
                  <c:v>62.619780800954103</c:v>
                </c:pt>
                <c:pt idx="28">
                  <c:v>65.392890634370403</c:v>
                </c:pt>
                <c:pt idx="29">
                  <c:v>68.399348508310908</c:v>
                </c:pt>
                <c:pt idx="30">
                  <c:v>71.582330750855476</c:v>
                </c:pt>
                <c:pt idx="31">
                  <c:v>74.963301940882033</c:v>
                </c:pt>
                <c:pt idx="32">
                  <c:v>78.387670505381408</c:v>
                </c:pt>
                <c:pt idx="33">
                  <c:v>82.100541871173178</c:v>
                </c:pt>
                <c:pt idx="34">
                  <c:v>86.079052134420621</c:v>
                </c:pt>
                <c:pt idx="35">
                  <c:v>89.951481416969159</c:v>
                </c:pt>
                <c:pt idx="36">
                  <c:v>94.051004510097471</c:v>
                </c:pt>
                <c:pt idx="37">
                  <c:v>98.242374538638558</c:v>
                </c:pt>
                <c:pt idx="38">
                  <c:v>102.50090594660783</c:v>
                </c:pt>
                <c:pt idx="39">
                  <c:v>107.16164209118782</c:v>
                </c:pt>
                <c:pt idx="40">
                  <c:v>111.67201466353355</c:v>
                </c:pt>
                <c:pt idx="41">
                  <c:v>116.07813637572046</c:v>
                </c:pt>
                <c:pt idx="42">
                  <c:v>120.36261281767885</c:v>
                </c:pt>
                <c:pt idx="43">
                  <c:v>124.57511810257475</c:v>
                </c:pt>
                <c:pt idx="44">
                  <c:v>128.40922850752744</c:v>
                </c:pt>
                <c:pt idx="45">
                  <c:v>132.20603620800321</c:v>
                </c:pt>
                <c:pt idx="46">
                  <c:v>135.60668197765506</c:v>
                </c:pt>
                <c:pt idx="47">
                  <c:v>138.41962627968928</c:v>
                </c:pt>
                <c:pt idx="48">
                  <c:v>141.12361922224378</c:v>
                </c:pt>
                <c:pt idx="49">
                  <c:v>143.69264128916922</c:v>
                </c:pt>
                <c:pt idx="50">
                  <c:v>145.95016683791769</c:v>
                </c:pt>
                <c:pt idx="51">
                  <c:v>148.19867932327128</c:v>
                </c:pt>
                <c:pt idx="52">
                  <c:v>150.34857937274381</c:v>
                </c:pt>
                <c:pt idx="53">
                  <c:v>152.47542808117001</c:v>
                </c:pt>
                <c:pt idx="54">
                  <c:v>154.84956481503997</c:v>
                </c:pt>
                <c:pt idx="55">
                  <c:v>157.38944890948838</c:v>
                </c:pt>
                <c:pt idx="56">
                  <c:v>160.29373941863761</c:v>
                </c:pt>
                <c:pt idx="57">
                  <c:v>170.18965211019992</c:v>
                </c:pt>
                <c:pt idx="58">
                  <c:v>174.39428942309041</c:v>
                </c:pt>
                <c:pt idx="59">
                  <c:v>183.89490727015715</c:v>
                </c:pt>
                <c:pt idx="60">
                  <c:v>191.84430763011969</c:v>
                </c:pt>
                <c:pt idx="61">
                  <c:v>196.39203759199847</c:v>
                </c:pt>
                <c:pt idx="62">
                  <c:v>194.82952393969683</c:v>
                </c:pt>
                <c:pt idx="63">
                  <c:v>183.35168396293221</c:v>
                </c:pt>
                <c:pt idx="64">
                  <c:v>178.58808448917031</c:v>
                </c:pt>
                <c:pt idx="65">
                  <c:v>162.30486617080192</c:v>
                </c:pt>
                <c:pt idx="66">
                  <c:v>156.30440244520744</c:v>
                </c:pt>
                <c:pt idx="67">
                  <c:v>150.81227586974092</c:v>
                </c:pt>
                <c:pt idx="68">
                  <c:v>146.40185904485958</c:v>
                </c:pt>
                <c:pt idx="69">
                  <c:v>142.49173481857721</c:v>
                </c:pt>
                <c:pt idx="70">
                  <c:v>138.43559755801041</c:v>
                </c:pt>
                <c:pt idx="71">
                  <c:v>133.70711171514552</c:v>
                </c:pt>
                <c:pt idx="72">
                  <c:v>130.85721434455141</c:v>
                </c:pt>
                <c:pt idx="73">
                  <c:v>127.52891665180556</c:v>
                </c:pt>
                <c:pt idx="74">
                  <c:v>123.9496146351968</c:v>
                </c:pt>
                <c:pt idx="75">
                  <c:v>119.97376417425524</c:v>
                </c:pt>
                <c:pt idx="76">
                  <c:v>115.7317050644168</c:v>
                </c:pt>
                <c:pt idx="77">
                  <c:v>111.13242280454205</c:v>
                </c:pt>
                <c:pt idx="78">
                  <c:v>106.35185399759688</c:v>
                </c:pt>
                <c:pt idx="79">
                  <c:v>101.26135975191472</c:v>
                </c:pt>
                <c:pt idx="80">
                  <c:v>96.000657149787216</c:v>
                </c:pt>
                <c:pt idx="81">
                  <c:v>91.142533023452458</c:v>
                </c:pt>
                <c:pt idx="82">
                  <c:v>86.077947507141388</c:v>
                </c:pt>
                <c:pt idx="83">
                  <c:v>80.97</c:v>
                </c:pt>
                <c:pt idx="84">
                  <c:v>75.962574090409419</c:v>
                </c:pt>
                <c:pt idx="85">
                  <c:v>71.247703329326427</c:v>
                </c:pt>
                <c:pt idx="86">
                  <c:v>66.819539508246137</c:v>
                </c:pt>
                <c:pt idx="87">
                  <c:v>62.795876322831667</c:v>
                </c:pt>
                <c:pt idx="88">
                  <c:v>59.19268661488664</c:v>
                </c:pt>
                <c:pt idx="89">
                  <c:v>56.009190810165563</c:v>
                </c:pt>
                <c:pt idx="90">
                  <c:v>53.161941852827475</c:v>
                </c:pt>
                <c:pt idx="91">
                  <c:v>50.698530613380363</c:v>
                </c:pt>
                <c:pt idx="92">
                  <c:v>48.551971728635344</c:v>
                </c:pt>
                <c:pt idx="93">
                  <c:v>46.641957821636844</c:v>
                </c:pt>
                <c:pt idx="94">
                  <c:v>45.003680368461154</c:v>
                </c:pt>
                <c:pt idx="95">
                  <c:v>40.381151014055071</c:v>
                </c:pt>
                <c:pt idx="96">
                  <c:v>37.310544780534805</c:v>
                </c:pt>
                <c:pt idx="97">
                  <c:v>35.074008399748095</c:v>
                </c:pt>
                <c:pt idx="98">
                  <c:v>33.209657219089593</c:v>
                </c:pt>
                <c:pt idx="99">
                  <c:v>31.608307289303429</c:v>
                </c:pt>
                <c:pt idx="100">
                  <c:v>30.130924536803981</c:v>
                </c:pt>
                <c:pt idx="101">
                  <c:v>28.734104050215091</c:v>
                </c:pt>
                <c:pt idx="102">
                  <c:v>27.355757327097031</c:v>
                </c:pt>
                <c:pt idx="103">
                  <c:v>25.534850246847135</c:v>
                </c:pt>
              </c:numCache>
            </c:numRef>
          </c:yVal>
          <c:smooth val="1"/>
        </c:ser>
        <c:dLbls>
          <c:showLegendKey val="0"/>
          <c:showVal val="0"/>
          <c:showCatName val="0"/>
          <c:showSerName val="0"/>
          <c:showPercent val="0"/>
          <c:showBubbleSize val="0"/>
        </c:dLbls>
        <c:axId val="108118784"/>
        <c:axId val="108120320"/>
      </c:scatterChart>
      <c:valAx>
        <c:axId val="108118784"/>
        <c:scaling>
          <c:orientation val="minMax"/>
          <c:max val="1"/>
        </c:scaling>
        <c:delete val="0"/>
        <c:axPos val="b"/>
        <c:numFmt formatCode="0.00"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108120320"/>
        <c:crosses val="autoZero"/>
        <c:crossBetween val="midCat"/>
        <c:majorUnit val="0.2"/>
      </c:valAx>
      <c:valAx>
        <c:axId val="108120320"/>
        <c:scaling>
          <c:orientation val="minMax"/>
        </c:scaling>
        <c:delete val="0"/>
        <c:axPos val="l"/>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08118784"/>
        <c:crosses val="autoZero"/>
        <c:crossBetween val="midCat"/>
        <c:majorUnit val="50"/>
      </c:valAx>
      <c:spPr>
        <a:ln w="9525"/>
      </c:spPr>
    </c:plotArea>
    <c:plotVisOnly val="1"/>
    <c:dispBlanksAs val="gap"/>
    <c:showDLblsOverMax val="0"/>
  </c:chart>
  <c:spPr>
    <a:ln w="9525">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229480069855078"/>
          <c:y val="0.20286438444121593"/>
          <c:w val="0.58576263570166565"/>
          <c:h val="0.60567334662566363"/>
        </c:manualLayout>
      </c:layout>
      <c:scatterChart>
        <c:scatterStyle val="smoothMarker"/>
        <c:varyColors val="0"/>
        <c:ser>
          <c:idx val="0"/>
          <c:order val="0"/>
          <c:spPr>
            <a:ln>
              <a:solidFill>
                <a:sysClr val="windowText" lastClr="000000"/>
              </a:solidFill>
            </a:ln>
          </c:spPr>
          <c:marker>
            <c:spPr>
              <a:solidFill>
                <a:schemeClr val="accent1"/>
              </a:solidFill>
            </c:spPr>
          </c:marker>
          <c:xVal>
            <c:numRef>
              <c:f>'BJH Plot'!$B$6:$B$10</c:f>
              <c:numCache>
                <c:formatCode>0.00</c:formatCode>
                <c:ptCount val="5"/>
                <c:pt idx="0">
                  <c:v>424.68888173254902</c:v>
                </c:pt>
                <c:pt idx="1">
                  <c:v>282.10825983433278</c:v>
                </c:pt>
                <c:pt idx="2">
                  <c:v>212.16023379232792</c:v>
                </c:pt>
                <c:pt idx="3">
                  <c:v>38.593374675144595</c:v>
                </c:pt>
                <c:pt idx="4">
                  <c:v>32.919883409354753</c:v>
                </c:pt>
              </c:numCache>
            </c:numRef>
          </c:xVal>
          <c:yVal>
            <c:numRef>
              <c:f>'BJH Plot'!$C$6:$C$10</c:f>
              <c:numCache>
                <c:formatCode>0.000000000</c:formatCode>
                <c:ptCount val="5"/>
                <c:pt idx="0">
                  <c:v>2.8621143428611511E-6</c:v>
                </c:pt>
                <c:pt idx="1">
                  <c:v>2.0110237528572207E-6</c:v>
                </c:pt>
                <c:pt idx="2">
                  <c:v>7.4300623964526027E-7</c:v>
                </c:pt>
                <c:pt idx="3">
                  <c:v>1.9004219211639288E-5</c:v>
                </c:pt>
                <c:pt idx="4">
                  <c:v>8.3230203017593745E-5</c:v>
                </c:pt>
              </c:numCache>
            </c:numRef>
          </c:yVal>
          <c:smooth val="1"/>
        </c:ser>
        <c:dLbls>
          <c:showLegendKey val="0"/>
          <c:showVal val="0"/>
          <c:showCatName val="0"/>
          <c:showSerName val="0"/>
          <c:showPercent val="0"/>
          <c:showBubbleSize val="0"/>
        </c:dLbls>
        <c:axId val="119277440"/>
        <c:axId val="119300096"/>
      </c:scatterChart>
      <c:valAx>
        <c:axId val="119277440"/>
        <c:scaling>
          <c:orientation val="minMax"/>
          <c:max val="500"/>
        </c:scaling>
        <c:delete val="0"/>
        <c:axPos val="b"/>
        <c:numFmt formatCode="0" sourceLinked="0"/>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119300096"/>
        <c:crosses val="autoZero"/>
        <c:crossBetween val="midCat"/>
        <c:majorUnit val="100"/>
      </c:valAx>
      <c:valAx>
        <c:axId val="119300096"/>
        <c:scaling>
          <c:orientation val="minMax"/>
          <c:max val="1.0000000000000221E-4"/>
          <c:min val="-1.0000000000000526E-5"/>
        </c:scaling>
        <c:delete val="0"/>
        <c:axPos val="l"/>
        <c:numFmt formatCode="0.0000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19277440"/>
        <c:crosses val="autoZero"/>
        <c:crossBetween val="midCat"/>
        <c:majorUnit val="2.0000000000000903E-5"/>
      </c:valAx>
    </c:plotArea>
    <c:plotVisOnly val="1"/>
    <c:dispBlanksAs val="gap"/>
    <c:showDLblsOverMax val="0"/>
  </c:chart>
  <c:spPr>
    <a:noFill/>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6658583629667257"/>
          <c:y val="0.12166266770301781"/>
          <c:w val="0.52888462026924055"/>
          <c:h val="0.62437993534070046"/>
        </c:manualLayout>
      </c:layout>
      <c:scatterChart>
        <c:scatterStyle val="smoothMarker"/>
        <c:varyColors val="0"/>
        <c:ser>
          <c:idx val="0"/>
          <c:order val="0"/>
          <c:spPr>
            <a:ln>
              <a:solidFill>
                <a:schemeClr val="tx1"/>
              </a:solidFill>
            </a:ln>
          </c:spPr>
          <c:marker>
            <c:symbol val="diamond"/>
            <c:size val="7"/>
          </c:marker>
          <c:xVal>
            <c:numRef>
              <c:f>'BJH Plot'!$B$4:$B$20</c:f>
              <c:numCache>
                <c:formatCode>General</c:formatCode>
                <c:ptCount val="17"/>
                <c:pt idx="0">
                  <c:v>448.26358793532597</c:v>
                </c:pt>
                <c:pt idx="1">
                  <c:v>281.46933905094193</c:v>
                </c:pt>
                <c:pt idx="2">
                  <c:v>204.92581576601305</c:v>
                </c:pt>
                <c:pt idx="3">
                  <c:v>161.75410831477666</c:v>
                </c:pt>
                <c:pt idx="4">
                  <c:v>133.16246036404303</c:v>
                </c:pt>
                <c:pt idx="5">
                  <c:v>113.01335884746344</c:v>
                </c:pt>
                <c:pt idx="6">
                  <c:v>97.513934731620978</c:v>
                </c:pt>
                <c:pt idx="7">
                  <c:v>87.989233030121554</c:v>
                </c:pt>
                <c:pt idx="8">
                  <c:v>81.925960257259518</c:v>
                </c:pt>
                <c:pt idx="9">
                  <c:v>76.594869754763465</c:v>
                </c:pt>
                <c:pt idx="10">
                  <c:v>71.891602100777092</c:v>
                </c:pt>
                <c:pt idx="11">
                  <c:v>67.633061636683308</c:v>
                </c:pt>
                <c:pt idx="12">
                  <c:v>63.761264221075812</c:v>
                </c:pt>
                <c:pt idx="13">
                  <c:v>60.253331064185588</c:v>
                </c:pt>
                <c:pt idx="14">
                  <c:v>57.036648416107852</c:v>
                </c:pt>
                <c:pt idx="15">
                  <c:v>54.055777516804731</c:v>
                </c:pt>
                <c:pt idx="16">
                  <c:v>46.578156793732255</c:v>
                </c:pt>
              </c:numCache>
            </c:numRef>
          </c:xVal>
          <c:yVal>
            <c:numRef>
              <c:f>'BJH Plot'!$C$4:$C$20</c:f>
              <c:numCache>
                <c:formatCode>General</c:formatCode>
                <c:ptCount val="17"/>
                <c:pt idx="0">
                  <c:v>1.2882723240181899E-5</c:v>
                </c:pt>
                <c:pt idx="1">
                  <c:v>1.7226906493306163E-5</c:v>
                </c:pt>
                <c:pt idx="2">
                  <c:v>1.9535887986421656E-5</c:v>
                </c:pt>
                <c:pt idx="3">
                  <c:v>2.0460342057049447E-5</c:v>
                </c:pt>
                <c:pt idx="4">
                  <c:v>2.0168023183941838E-5</c:v>
                </c:pt>
                <c:pt idx="5">
                  <c:v>1.8735416233539666E-5</c:v>
                </c:pt>
                <c:pt idx="6">
                  <c:v>1.8731283489614793E-5</c:v>
                </c:pt>
                <c:pt idx="7">
                  <c:v>1.8096179701388004E-5</c:v>
                </c:pt>
                <c:pt idx="8">
                  <c:v>1.9687809981405854E-5</c:v>
                </c:pt>
                <c:pt idx="9">
                  <c:v>1.9431288819760206E-5</c:v>
                </c:pt>
                <c:pt idx="10">
                  <c:v>1.7530284821987216E-5</c:v>
                </c:pt>
                <c:pt idx="11">
                  <c:v>1.8444203305989589E-5</c:v>
                </c:pt>
                <c:pt idx="12">
                  <c:v>1.4465156709775403E-5</c:v>
                </c:pt>
                <c:pt idx="13">
                  <c:v>9.8280434031039951E-6</c:v>
                </c:pt>
                <c:pt idx="14">
                  <c:v>1.0058545740321285E-5</c:v>
                </c:pt>
                <c:pt idx="15">
                  <c:v>8.0073368735612032E-6</c:v>
                </c:pt>
                <c:pt idx="16">
                  <c:v>3.7049545653644997E-9</c:v>
                </c:pt>
              </c:numCache>
            </c:numRef>
          </c:yVal>
          <c:smooth val="1"/>
        </c:ser>
        <c:dLbls>
          <c:showLegendKey val="0"/>
          <c:showVal val="0"/>
          <c:showCatName val="0"/>
          <c:showSerName val="0"/>
          <c:showPercent val="0"/>
          <c:showBubbleSize val="0"/>
        </c:dLbls>
        <c:axId val="119311360"/>
        <c:axId val="119333632"/>
      </c:scatterChart>
      <c:valAx>
        <c:axId val="119311360"/>
        <c:scaling>
          <c:orientation val="minMax"/>
          <c:max val="500"/>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119333632"/>
        <c:crosses val="autoZero"/>
        <c:crossBetween val="midCat"/>
        <c:majorUnit val="100"/>
      </c:valAx>
      <c:valAx>
        <c:axId val="119333632"/>
        <c:scaling>
          <c:orientation val="minMax"/>
        </c:scaling>
        <c:delete val="0"/>
        <c:axPos val="l"/>
        <c:numFmt formatCode="#,##0.00000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19311360"/>
        <c:crosses val="autoZero"/>
        <c:crossBetween val="midCat"/>
      </c:valAx>
    </c:plotArea>
    <c:plotVisOnly val="1"/>
    <c:dispBlanksAs val="gap"/>
    <c:showDLblsOverMax val="0"/>
  </c:chart>
  <c:spPr>
    <a:ln>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6695810579121152"/>
          <c:y val="0.19107979002624675"/>
          <c:w val="0.52816349695199394"/>
          <c:h val="0.59552020997374056"/>
        </c:manualLayout>
      </c:layout>
      <c:scatterChart>
        <c:scatterStyle val="lineMarker"/>
        <c:varyColors val="0"/>
        <c:ser>
          <c:idx val="1"/>
          <c:order val="1"/>
          <c:spPr>
            <a:ln>
              <a:solidFill>
                <a:sysClr val="windowText" lastClr="000000"/>
              </a:solidFill>
            </a:ln>
          </c:spPr>
          <c:xVal>
            <c:numRef>
              <c:f>'Adsorption Plot'!$B$4:$B$82</c:f>
            </c:numRef>
          </c:xVal>
          <c:yVal>
            <c:numRef>
              <c:f>'Adsorption Plot'!$C$4:$C$82</c:f>
            </c:numRef>
          </c:yVal>
          <c:smooth val="0"/>
        </c:ser>
        <c:ser>
          <c:idx val="0"/>
          <c:order val="0"/>
          <c:spPr>
            <a:ln>
              <a:solidFill>
                <a:sysClr val="windowText" lastClr="000000"/>
              </a:solidFill>
            </a:ln>
          </c:spPr>
          <c:xVal>
            <c:numRef>
              <c:f>'BJH Plot 1'!$A$4:$A$23</c:f>
              <c:numCache>
                <c:formatCode>0</c:formatCode>
                <c:ptCount val="20"/>
                <c:pt idx="0">
                  <c:v>784.11790385083725</c:v>
                </c:pt>
                <c:pt idx="1">
                  <c:v>465.373747073662</c:v>
                </c:pt>
                <c:pt idx="2">
                  <c:v>307.48237123134913</c:v>
                </c:pt>
                <c:pt idx="3">
                  <c:v>218.84979780357341</c:v>
                </c:pt>
                <c:pt idx="4">
                  <c:v>168.96746293754921</c:v>
                </c:pt>
                <c:pt idx="5">
                  <c:v>138.15875298546234</c:v>
                </c:pt>
                <c:pt idx="6">
                  <c:v>116.88094718774875</c:v>
                </c:pt>
                <c:pt idx="7">
                  <c:v>100.92360997120591</c:v>
                </c:pt>
                <c:pt idx="8">
                  <c:v>91.156385277237248</c:v>
                </c:pt>
                <c:pt idx="9">
                  <c:v>84.817794081120027</c:v>
                </c:pt>
                <c:pt idx="10">
                  <c:v>79.169709503467658</c:v>
                </c:pt>
                <c:pt idx="11">
                  <c:v>74.077132321006289</c:v>
                </c:pt>
                <c:pt idx="12">
                  <c:v>69.574952357013558</c:v>
                </c:pt>
                <c:pt idx="13">
                  <c:v>65.592969496028346</c:v>
                </c:pt>
                <c:pt idx="14">
                  <c:v>61.9</c:v>
                </c:pt>
                <c:pt idx="15">
                  <c:v>58.542006555891994</c:v>
                </c:pt>
                <c:pt idx="16">
                  <c:v>55.42907193791271</c:v>
                </c:pt>
                <c:pt idx="17">
                  <c:v>52.514260817696943</c:v>
                </c:pt>
                <c:pt idx="18">
                  <c:v>49.881052458784794</c:v>
                </c:pt>
                <c:pt idx="19">
                  <c:v>30.268339597227744</c:v>
                </c:pt>
              </c:numCache>
            </c:numRef>
          </c:xVal>
          <c:yVal>
            <c:numRef>
              <c:f>'BJH Plot 1'!$B$4:$B$23</c:f>
              <c:numCache>
                <c:formatCode>0.000000</c:formatCode>
                <c:ptCount val="20"/>
                <c:pt idx="0">
                  <c:v>2.6037159841507812E-5</c:v>
                </c:pt>
                <c:pt idx="1">
                  <c:v>5.2899704314769134E-5</c:v>
                </c:pt>
                <c:pt idx="2">
                  <c:v>6.9536734372383779E-5</c:v>
                </c:pt>
                <c:pt idx="3">
                  <c:v>6.9185392931109263E-5</c:v>
                </c:pt>
                <c:pt idx="4">
                  <c:v>6.7820074036723947E-5</c:v>
                </c:pt>
                <c:pt idx="5">
                  <c:v>6.7579559981822981E-5</c:v>
                </c:pt>
                <c:pt idx="6">
                  <c:v>6.1702914536005546E-5</c:v>
                </c:pt>
                <c:pt idx="7">
                  <c:v>6.0283811762929003E-5</c:v>
                </c:pt>
                <c:pt idx="8">
                  <c:v>5.886447615922135E-5</c:v>
                </c:pt>
                <c:pt idx="9">
                  <c:v>4.8457528464496183E-5</c:v>
                </c:pt>
                <c:pt idx="10">
                  <c:v>4.8237852752208723E-5</c:v>
                </c:pt>
                <c:pt idx="11">
                  <c:v>4.433642607182927E-5</c:v>
                </c:pt>
                <c:pt idx="12">
                  <c:v>4.8667541705071933E-5</c:v>
                </c:pt>
                <c:pt idx="13">
                  <c:v>3.5635544918480693E-5</c:v>
                </c:pt>
                <c:pt idx="14">
                  <c:v>2.8307025786491119E-5</c:v>
                </c:pt>
                <c:pt idx="15">
                  <c:v>2.0542240235954652E-5</c:v>
                </c:pt>
                <c:pt idx="16">
                  <c:v>8.6143554653972523E-6</c:v>
                </c:pt>
                <c:pt idx="17">
                  <c:v>6.2493199948230229E-6</c:v>
                </c:pt>
                <c:pt idx="18">
                  <c:v>1.8704049580266395E-6</c:v>
                </c:pt>
                <c:pt idx="19">
                  <c:v>4.8492569476366124E-5</c:v>
                </c:pt>
              </c:numCache>
            </c:numRef>
          </c:yVal>
          <c:smooth val="0"/>
        </c:ser>
        <c:dLbls>
          <c:showLegendKey val="0"/>
          <c:showVal val="0"/>
          <c:showCatName val="0"/>
          <c:showSerName val="0"/>
          <c:showPercent val="0"/>
          <c:showBubbleSize val="0"/>
        </c:dLbls>
        <c:axId val="119350016"/>
        <c:axId val="119351552"/>
      </c:scatterChart>
      <c:valAx>
        <c:axId val="119350016"/>
        <c:scaling>
          <c:orientation val="minMax"/>
          <c:max val="500"/>
          <c:min val="0"/>
        </c:scaling>
        <c:delete val="0"/>
        <c:axPos val="b"/>
        <c:numFmt formatCode="0"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119351552"/>
        <c:crosses val="autoZero"/>
        <c:crossBetween val="midCat"/>
        <c:majorUnit val="100"/>
      </c:valAx>
      <c:valAx>
        <c:axId val="119351552"/>
        <c:scaling>
          <c:orientation val="minMax"/>
        </c:scaling>
        <c:delete val="0"/>
        <c:axPos val="l"/>
        <c:numFmt formatCode="0.00000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19350016"/>
        <c:crosses val="autoZero"/>
        <c:crossBetween val="midCat"/>
        <c:majorUnit val="2.0000000000001052E-5"/>
      </c:valAx>
    </c:plotArea>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7374587249174496"/>
          <c:y val="9.5647659427186976E-2"/>
          <c:w val="0.5527249620113277"/>
          <c:h val="0.75219666367614979"/>
        </c:manualLayout>
      </c:layout>
      <c:scatterChart>
        <c:scatterStyle val="lineMarker"/>
        <c:varyColors val="0"/>
        <c:ser>
          <c:idx val="1"/>
          <c:order val="1"/>
          <c:spPr>
            <a:ln>
              <a:solidFill>
                <a:sysClr val="windowText" lastClr="000000"/>
              </a:solidFill>
            </a:ln>
          </c:spPr>
          <c:xVal>
            <c:numRef>
              <c:f>'Adsorption Plot 2'!$A$4:$A$73</c:f>
            </c:numRef>
          </c:xVal>
          <c:yVal>
            <c:numRef>
              <c:f>'Adsorption Plot 2'!$B$4:$B$73</c:f>
            </c:numRef>
          </c:yVal>
          <c:smooth val="0"/>
        </c:ser>
        <c:ser>
          <c:idx val="0"/>
          <c:order val="0"/>
          <c:spPr>
            <a:ln>
              <a:solidFill>
                <a:sysClr val="windowText" lastClr="000000"/>
              </a:solidFill>
            </a:ln>
          </c:spPr>
          <c:xVal>
            <c:numRef>
              <c:f>'BJH Plot'!$B$4:$B$21</c:f>
              <c:numCache>
                <c:formatCode>General</c:formatCode>
                <c:ptCount val="18"/>
                <c:pt idx="0">
                  <c:v>474.72629357555394</c:v>
                </c:pt>
                <c:pt idx="1">
                  <c:v>313.12768835387038</c:v>
                </c:pt>
                <c:pt idx="2">
                  <c:v>224.7229467037676</c:v>
                </c:pt>
                <c:pt idx="3">
                  <c:v>171.53144414090281</c:v>
                </c:pt>
                <c:pt idx="4">
                  <c:v>139.35052501770008</c:v>
                </c:pt>
                <c:pt idx="5">
                  <c:v>117.96102047696652</c:v>
                </c:pt>
                <c:pt idx="6">
                  <c:v>102.22436745244885</c:v>
                </c:pt>
                <c:pt idx="7">
                  <c:v>92.416308503148386</c:v>
                </c:pt>
                <c:pt idx="8">
                  <c:v>85.857300300582367</c:v>
                </c:pt>
                <c:pt idx="9">
                  <c:v>80.048764823864119</c:v>
                </c:pt>
                <c:pt idx="10">
                  <c:v>74.884505038682818</c:v>
                </c:pt>
                <c:pt idx="11">
                  <c:v>70.207131659811594</c:v>
                </c:pt>
                <c:pt idx="12">
                  <c:v>65.956706838524752</c:v>
                </c:pt>
                <c:pt idx="13">
                  <c:v>62.13012822363752</c:v>
                </c:pt>
                <c:pt idx="14">
                  <c:v>58.653598807854529</c:v>
                </c:pt>
                <c:pt idx="15">
                  <c:v>55.470905776562198</c:v>
                </c:pt>
                <c:pt idx="16">
                  <c:v>36.763027479505254</c:v>
                </c:pt>
                <c:pt idx="17">
                  <c:v>32.169245019570212</c:v>
                </c:pt>
              </c:numCache>
            </c:numRef>
          </c:xVal>
          <c:yVal>
            <c:numRef>
              <c:f>'BJH Plot'!$C$4:$C$21</c:f>
              <c:numCache>
                <c:formatCode>0.000000</c:formatCode>
                <c:ptCount val="18"/>
                <c:pt idx="0">
                  <c:v>4.1830004192888933E-5</c:v>
                </c:pt>
                <c:pt idx="1">
                  <c:v>7.7388947829612064E-5</c:v>
                </c:pt>
                <c:pt idx="2">
                  <c:v>8.6287269368767738E-5</c:v>
                </c:pt>
                <c:pt idx="3">
                  <c:v>9.2710833996534564E-5</c:v>
                </c:pt>
                <c:pt idx="4">
                  <c:v>9.2676607891917242E-5</c:v>
                </c:pt>
                <c:pt idx="5">
                  <c:v>9.1402791440486962E-5</c:v>
                </c:pt>
                <c:pt idx="6">
                  <c:v>9.1677065938720057E-5</c:v>
                </c:pt>
                <c:pt idx="7">
                  <c:v>9.0460991486907046E-5</c:v>
                </c:pt>
                <c:pt idx="8">
                  <c:v>8.3031132817268548E-5</c:v>
                </c:pt>
                <c:pt idx="9">
                  <c:v>7.9707708209758607E-5</c:v>
                </c:pt>
                <c:pt idx="10">
                  <c:v>8.071213960647583E-5</c:v>
                </c:pt>
                <c:pt idx="11">
                  <c:v>7.2270166128873839E-5</c:v>
                </c:pt>
                <c:pt idx="12">
                  <c:v>6.536697037518614E-5</c:v>
                </c:pt>
                <c:pt idx="13">
                  <c:v>6.019021384418666E-5</c:v>
                </c:pt>
                <c:pt idx="14">
                  <c:v>4.4203596189619134E-5</c:v>
                </c:pt>
                <c:pt idx="15">
                  <c:v>2.9947899747640416E-5</c:v>
                </c:pt>
                <c:pt idx="16">
                  <c:v>8.5573810793003135E-7</c:v>
                </c:pt>
                <c:pt idx="17" formatCode="General">
                  <c:v>2.5044183584232494E-4</c:v>
                </c:pt>
              </c:numCache>
            </c:numRef>
          </c:yVal>
          <c:smooth val="0"/>
        </c:ser>
        <c:dLbls>
          <c:showLegendKey val="0"/>
          <c:showVal val="0"/>
          <c:showCatName val="0"/>
          <c:showSerName val="0"/>
          <c:showPercent val="0"/>
          <c:showBubbleSize val="0"/>
        </c:dLbls>
        <c:axId val="119380224"/>
        <c:axId val="119390208"/>
      </c:scatterChart>
      <c:valAx>
        <c:axId val="119380224"/>
        <c:scaling>
          <c:orientation val="minMax"/>
          <c:max val="500"/>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119390208"/>
        <c:crossesAt val="0"/>
        <c:crossBetween val="midCat"/>
        <c:majorUnit val="100"/>
      </c:valAx>
      <c:valAx>
        <c:axId val="119390208"/>
        <c:scaling>
          <c:orientation val="minMax"/>
          <c:min val="0"/>
        </c:scaling>
        <c:delete val="0"/>
        <c:axPos val="l"/>
        <c:numFmt formatCode="0.000000"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19380224"/>
        <c:crosses val="autoZero"/>
        <c:crossBetween val="midCat"/>
        <c:majorUnit val="6.0000000000003945E-5"/>
      </c:valAx>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10</Pages>
  <Words>4351</Words>
  <Characters>24802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Harun Hamzah</cp:lastModifiedBy>
  <cp:revision>8</cp:revision>
  <cp:lastPrinted>2016-11-17T05:47:00Z</cp:lastPrinted>
  <dcterms:created xsi:type="dcterms:W3CDTF">2016-12-14T08:32:00Z</dcterms:created>
  <dcterms:modified xsi:type="dcterms:W3CDTF">2017-07-29T03:28:00Z</dcterms:modified>
</cp:coreProperties>
</file>