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1F" w:rsidRDefault="004E671F" w:rsidP="004E67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21 No 4 (2017): 849 - 859</w:t>
      </w:r>
    </w:p>
    <w:p w:rsidR="004E671F" w:rsidRDefault="004E671F" w:rsidP="004E67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E671F" w:rsidRDefault="004E671F" w:rsidP="004E67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E671F" w:rsidRPr="004E671F" w:rsidRDefault="004E671F" w:rsidP="004E67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E671F" w:rsidRPr="001F4F20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1F4F20">
        <w:rPr>
          <w:rFonts w:ascii="Times New Roman" w:hAnsi="Times New Roman"/>
          <w:sz w:val="28"/>
        </w:rPr>
        <w:t>GAS PHASE GLYCERO</w:t>
      </w:r>
      <w:r>
        <w:rPr>
          <w:rFonts w:ascii="Times New Roman" w:hAnsi="Times New Roman"/>
          <w:sz w:val="28"/>
        </w:rPr>
        <w:t xml:space="preserve">L DEHYDRATION TO ACROLEIN USING </w:t>
      </w:r>
      <w:r w:rsidRPr="001F4F20">
        <w:rPr>
          <w:rFonts w:ascii="Times New Roman" w:hAnsi="Times New Roman"/>
          <w:sz w:val="28"/>
        </w:rPr>
        <w:t xml:space="preserve">SUPPORTED SILICOTUNGSTIC ACID CATALYST </w:t>
      </w:r>
    </w:p>
    <w:p w:rsidR="004E671F" w:rsidRPr="001F4F20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4E671F" w:rsidRPr="001F4F20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1F4F20">
        <w:rPr>
          <w:rFonts w:ascii="Times New Roman" w:hAnsi="Times New Roman"/>
          <w:sz w:val="24"/>
        </w:rPr>
        <w:t xml:space="preserve">(Penyahhidratan Gliserol Fasa Gas Kepada Akrolein Menggunakan </w:t>
      </w:r>
      <w:r>
        <w:rPr>
          <w:rFonts w:ascii="Times New Roman" w:hAnsi="Times New Roman"/>
          <w:sz w:val="24"/>
        </w:rPr>
        <w:t xml:space="preserve">Sokongan </w:t>
      </w:r>
      <w:r w:rsidRPr="001F4F20">
        <w:rPr>
          <w:rFonts w:ascii="Times New Roman" w:hAnsi="Times New Roman"/>
          <w:sz w:val="24"/>
        </w:rPr>
        <w:t>Mangkin Asi</w:t>
      </w:r>
      <w:r>
        <w:rPr>
          <w:rFonts w:ascii="Times New Roman" w:hAnsi="Times New Roman"/>
          <w:sz w:val="24"/>
        </w:rPr>
        <w:t>d Silikotungstik</w:t>
      </w:r>
      <w:r w:rsidRPr="001F4F20">
        <w:rPr>
          <w:rFonts w:ascii="Times New Roman" w:hAnsi="Times New Roman"/>
          <w:sz w:val="24"/>
        </w:rPr>
        <w:t>)</w:t>
      </w:r>
    </w:p>
    <w:p w:rsidR="004E671F" w:rsidRPr="001702F2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E671F" w:rsidRPr="001702F2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1702F2">
        <w:rPr>
          <w:rFonts w:ascii="Times New Roman" w:hAnsi="Times New Roman"/>
          <w:sz w:val="20"/>
          <w:szCs w:val="20"/>
        </w:rPr>
        <w:t>Amin Talebian-Kiakalaieh</w:t>
      </w:r>
      <w:r>
        <w:rPr>
          <w:rFonts w:ascii="Times New Roman" w:hAnsi="Times New Roman"/>
          <w:sz w:val="20"/>
          <w:szCs w:val="20"/>
        </w:rPr>
        <w:t xml:space="preserve"> and </w:t>
      </w:r>
      <w:r w:rsidRPr="001702F2">
        <w:rPr>
          <w:rFonts w:ascii="Times New Roman" w:hAnsi="Times New Roman"/>
          <w:sz w:val="20"/>
          <w:szCs w:val="20"/>
        </w:rPr>
        <w:t>Nor Aishah Saidina Amin</w:t>
      </w:r>
      <w:r w:rsidRPr="001702F2">
        <w:rPr>
          <w:rFonts w:ascii="Times New Roman" w:hAnsi="Times New Roman"/>
          <w:sz w:val="20"/>
          <w:szCs w:val="20"/>
          <w:vertAlign w:val="superscript"/>
        </w:rPr>
        <w:t>*</w:t>
      </w: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E671F" w:rsidRPr="004E671F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4E671F">
        <w:rPr>
          <w:rFonts w:ascii="Times New Roman" w:hAnsi="Times New Roman"/>
          <w:i/>
          <w:sz w:val="20"/>
          <w:szCs w:val="20"/>
        </w:rPr>
        <w:t>Chemical Reaction Engineering Group (CREG), Faculty of Chemical and Energy Engineering,</w:t>
      </w:r>
    </w:p>
    <w:p w:rsidR="004E671F" w:rsidRPr="004E671F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4E671F">
        <w:rPr>
          <w:rFonts w:ascii="Times New Roman" w:hAnsi="Times New Roman"/>
          <w:i/>
          <w:sz w:val="20"/>
          <w:szCs w:val="20"/>
        </w:rPr>
        <w:t>Universiti Teknologi Malaysia, 81310 Johor Bahru, Johor, Malaysia</w:t>
      </w: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4E671F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4E671F">
        <w:rPr>
          <w:rFonts w:ascii="Times New Roman" w:hAnsi="Times New Roman"/>
          <w:i/>
          <w:sz w:val="20"/>
          <w:szCs w:val="20"/>
        </w:rPr>
        <w:t>noraishah@cheme.utm.my</w:t>
      </w: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4E671F">
        <w:rPr>
          <w:rFonts w:ascii="Times New Roman" w:hAnsi="Times New Roman"/>
          <w:noProof/>
          <w:sz w:val="20"/>
          <w:szCs w:val="20"/>
          <w:lang w:bidi="ar-SA"/>
        </w:rPr>
        <w:t>Received: 20 September 2016; Accepted: 16 May 2017</w:t>
      </w: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4E671F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4E671F" w:rsidRPr="004E671F" w:rsidRDefault="004E671F" w:rsidP="004E671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E671F">
        <w:rPr>
          <w:rFonts w:ascii="Times New Roman" w:hAnsi="Times New Roman"/>
          <w:sz w:val="20"/>
          <w:szCs w:val="20"/>
        </w:rPr>
        <w:t>The gas phase dehydration of glycerol to acrolein over a series of supported silicotungstic acid (HSiW) on γ-Al</w:t>
      </w:r>
      <w:r w:rsidRPr="004E671F">
        <w:rPr>
          <w:rFonts w:ascii="Times New Roman" w:hAnsi="Times New Roman"/>
          <w:sz w:val="20"/>
          <w:szCs w:val="20"/>
          <w:vertAlign w:val="subscript"/>
        </w:rPr>
        <w:t>2</w:t>
      </w:r>
      <w:r w:rsidRPr="004E671F">
        <w:rPr>
          <w:rFonts w:ascii="Times New Roman" w:hAnsi="Times New Roman"/>
          <w:sz w:val="20"/>
          <w:szCs w:val="20"/>
        </w:rPr>
        <w:t>O</w:t>
      </w:r>
      <w:r w:rsidRPr="004E671F">
        <w:rPr>
          <w:rFonts w:ascii="Times New Roman" w:hAnsi="Times New Roman"/>
          <w:sz w:val="20"/>
          <w:szCs w:val="20"/>
          <w:vertAlign w:val="subscript"/>
        </w:rPr>
        <w:t>3</w:t>
      </w:r>
      <w:r w:rsidRPr="004E671F">
        <w:rPr>
          <w:rFonts w:ascii="Times New Roman" w:hAnsi="Times New Roman"/>
          <w:sz w:val="20"/>
          <w:szCs w:val="20"/>
        </w:rPr>
        <w:t xml:space="preserve"> nanoparticle (W</w:t>
      </w:r>
      <w:r w:rsidRPr="004E671F">
        <w:rPr>
          <w:rFonts w:ascii="Times New Roman" w:hAnsi="Times New Roman"/>
          <w:sz w:val="20"/>
          <w:szCs w:val="20"/>
          <w:vertAlign w:val="subscript"/>
        </w:rPr>
        <w:t>10</w:t>
      </w:r>
      <w:r w:rsidRPr="004E671F">
        <w:rPr>
          <w:rFonts w:ascii="Times New Roman" w:hAnsi="Times New Roman"/>
          <w:sz w:val="20"/>
          <w:szCs w:val="20"/>
        </w:rPr>
        <w:t>-Al, W</w:t>
      </w:r>
      <w:r w:rsidRPr="004E671F">
        <w:rPr>
          <w:rFonts w:ascii="Times New Roman" w:hAnsi="Times New Roman"/>
          <w:sz w:val="20"/>
          <w:szCs w:val="20"/>
          <w:vertAlign w:val="subscript"/>
        </w:rPr>
        <w:t>20</w:t>
      </w:r>
      <w:r w:rsidRPr="004E671F">
        <w:rPr>
          <w:rFonts w:ascii="Times New Roman" w:hAnsi="Times New Roman"/>
          <w:sz w:val="20"/>
          <w:szCs w:val="20"/>
        </w:rPr>
        <w:t>-Al, W</w:t>
      </w:r>
      <w:r w:rsidRPr="004E671F">
        <w:rPr>
          <w:rFonts w:ascii="Times New Roman" w:hAnsi="Times New Roman"/>
          <w:sz w:val="20"/>
          <w:szCs w:val="20"/>
          <w:vertAlign w:val="subscript"/>
        </w:rPr>
        <w:t>30</w:t>
      </w:r>
      <w:r w:rsidRPr="004E671F">
        <w:rPr>
          <w:rFonts w:ascii="Times New Roman" w:hAnsi="Times New Roman"/>
          <w:sz w:val="20"/>
          <w:szCs w:val="20"/>
        </w:rPr>
        <w:t>-Al and W</w:t>
      </w:r>
      <w:r w:rsidRPr="004E671F">
        <w:rPr>
          <w:rFonts w:ascii="Times New Roman" w:hAnsi="Times New Roman"/>
          <w:sz w:val="20"/>
          <w:szCs w:val="20"/>
          <w:vertAlign w:val="subscript"/>
        </w:rPr>
        <w:t>40</w:t>
      </w:r>
      <w:r w:rsidRPr="004E671F">
        <w:rPr>
          <w:rFonts w:ascii="Times New Roman" w:hAnsi="Times New Roman"/>
          <w:sz w:val="20"/>
          <w:szCs w:val="20"/>
        </w:rPr>
        <w:t>-Al) has been investigated. The catalysts were characterized by temperature programmed desorption, nitrogen adsorption–desorption, thermogravimetric analysis, X-ray diffraction, field-emission scanning electron microscopy and energy dispersive X-ray techniques. The large pore diameters (&gt;21 nm) of the prepared catalysts alleviated the coke deposition effect. The acidity of the samples increased from 2 to 2.6 mmol/g.cat by varying HSiW loadings from 10 to 40 wt.% on γ-Al</w:t>
      </w:r>
      <w:r w:rsidRPr="004E671F">
        <w:rPr>
          <w:rFonts w:ascii="Times New Roman" w:hAnsi="Times New Roman"/>
          <w:sz w:val="20"/>
          <w:szCs w:val="20"/>
          <w:vertAlign w:val="subscript"/>
        </w:rPr>
        <w:t>2</w:t>
      </w:r>
      <w:r w:rsidRPr="004E671F">
        <w:rPr>
          <w:rFonts w:ascii="Times New Roman" w:hAnsi="Times New Roman"/>
          <w:sz w:val="20"/>
          <w:szCs w:val="20"/>
        </w:rPr>
        <w:t>O</w:t>
      </w:r>
      <w:r w:rsidRPr="004E671F">
        <w:rPr>
          <w:rFonts w:ascii="Times New Roman" w:hAnsi="Times New Roman"/>
          <w:sz w:val="20"/>
          <w:szCs w:val="20"/>
          <w:vertAlign w:val="subscript"/>
        </w:rPr>
        <w:t>3</w:t>
      </w:r>
      <w:r w:rsidRPr="004E671F">
        <w:rPr>
          <w:rFonts w:ascii="Times New Roman" w:hAnsi="Times New Roman"/>
          <w:sz w:val="20"/>
          <w:szCs w:val="20"/>
        </w:rPr>
        <w:t xml:space="preserve"> nanoparticle. The highest acrolein yield achieved was 74.1% at 94% glycerol conversion over W</w:t>
      </w:r>
      <w:r w:rsidRPr="004E671F">
        <w:rPr>
          <w:rFonts w:ascii="Times New Roman" w:hAnsi="Times New Roman"/>
          <w:sz w:val="20"/>
          <w:szCs w:val="20"/>
          <w:vertAlign w:val="subscript"/>
        </w:rPr>
        <w:t>20</w:t>
      </w:r>
      <w:r w:rsidRPr="004E671F">
        <w:rPr>
          <w:rFonts w:ascii="Times New Roman" w:hAnsi="Times New Roman"/>
          <w:sz w:val="20"/>
          <w:szCs w:val="20"/>
        </w:rPr>
        <w:t>-Al catalyst for 10 wt% glycerol feed concentration and 300 ˚C reaction temperature in 3 hours. The combined physicochemical characteristics of W</w:t>
      </w:r>
      <w:r w:rsidRPr="004E671F">
        <w:rPr>
          <w:rFonts w:ascii="Times New Roman" w:hAnsi="Times New Roman"/>
          <w:sz w:val="20"/>
          <w:szCs w:val="20"/>
          <w:vertAlign w:val="subscript"/>
        </w:rPr>
        <w:t>20</w:t>
      </w:r>
      <w:r w:rsidRPr="004E671F">
        <w:rPr>
          <w:rFonts w:ascii="Times New Roman" w:hAnsi="Times New Roman"/>
          <w:sz w:val="20"/>
          <w:szCs w:val="20"/>
        </w:rPr>
        <w:t>-Al made it more superior compared with other samples in the current study.</w:t>
      </w:r>
    </w:p>
    <w:p w:rsidR="004E671F" w:rsidRPr="004E671F" w:rsidRDefault="004E671F" w:rsidP="004E671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E671F" w:rsidRPr="004E671F" w:rsidRDefault="004E671F" w:rsidP="004E671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E671F">
        <w:rPr>
          <w:rFonts w:ascii="Times New Roman" w:hAnsi="Times New Roman"/>
          <w:b/>
          <w:sz w:val="20"/>
          <w:szCs w:val="20"/>
        </w:rPr>
        <w:t>Keywords</w:t>
      </w:r>
      <w:r w:rsidRPr="004E671F">
        <w:rPr>
          <w:rFonts w:ascii="Times New Roman" w:hAnsi="Times New Roman"/>
          <w:sz w:val="20"/>
          <w:szCs w:val="20"/>
        </w:rPr>
        <w:t>:  acrolein, dehydration, glycerol, supported silicotungstic acid</w:t>
      </w:r>
    </w:p>
    <w:p w:rsidR="004E671F" w:rsidRPr="004E671F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E671F" w:rsidRPr="004E671F" w:rsidRDefault="004E671F" w:rsidP="004E671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4E671F">
        <w:rPr>
          <w:rFonts w:ascii="Times New Roman" w:hAnsi="Times New Roman"/>
          <w:b/>
          <w:sz w:val="20"/>
          <w:szCs w:val="20"/>
        </w:rPr>
        <w:t>Abstrak</w:t>
      </w:r>
    </w:p>
    <w:p w:rsidR="004E671F" w:rsidRPr="004E671F" w:rsidRDefault="004E671F" w:rsidP="004E671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4E671F">
        <w:rPr>
          <w:rFonts w:ascii="Times New Roman" w:hAnsi="Times New Roman"/>
          <w:sz w:val="20"/>
          <w:szCs w:val="20"/>
          <w:lang w:val="ms-MY"/>
        </w:rPr>
        <w:t>Penyahhidratan gliserol fasa gas kepada akrolein dengan menggunakan satu siri asid silikotungstik disokong (HSiW) terhadapnanopartikel γ-Al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4E671F">
        <w:rPr>
          <w:rFonts w:ascii="Times New Roman" w:hAnsi="Times New Roman"/>
          <w:sz w:val="20"/>
          <w:szCs w:val="20"/>
          <w:lang w:val="ms-MY"/>
        </w:rPr>
        <w:t>O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4E671F">
        <w:rPr>
          <w:rFonts w:ascii="Times New Roman" w:hAnsi="Times New Roman"/>
          <w:sz w:val="20"/>
          <w:szCs w:val="20"/>
          <w:lang w:val="ms-MY"/>
        </w:rPr>
        <w:t xml:space="preserve"> (W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10</w:t>
      </w:r>
      <w:r w:rsidRPr="004E671F">
        <w:rPr>
          <w:rFonts w:ascii="Times New Roman" w:hAnsi="Times New Roman"/>
          <w:sz w:val="20"/>
          <w:szCs w:val="20"/>
          <w:lang w:val="ms-MY"/>
        </w:rPr>
        <w:t>-Al, W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20</w:t>
      </w:r>
      <w:r w:rsidRPr="004E671F">
        <w:rPr>
          <w:rFonts w:ascii="Times New Roman" w:hAnsi="Times New Roman"/>
          <w:sz w:val="20"/>
          <w:szCs w:val="20"/>
          <w:lang w:val="ms-MY"/>
        </w:rPr>
        <w:t>-Al, W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30</w:t>
      </w:r>
      <w:r w:rsidRPr="004E671F">
        <w:rPr>
          <w:rFonts w:ascii="Times New Roman" w:hAnsi="Times New Roman"/>
          <w:sz w:val="20"/>
          <w:szCs w:val="20"/>
          <w:lang w:val="ms-MY"/>
        </w:rPr>
        <w:t>-Al, dan W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40</w:t>
      </w:r>
      <w:r w:rsidRPr="004E671F">
        <w:rPr>
          <w:rFonts w:ascii="Times New Roman" w:hAnsi="Times New Roman"/>
          <w:sz w:val="20"/>
          <w:szCs w:val="20"/>
          <w:lang w:val="ms-MY"/>
        </w:rPr>
        <w:t>-Al) telah dikaji.  Mangkin-mangkin tersebut dicirikan oleh penyahjerapan suhu terprogram, penjerapan-penyahjerapan nitrogen, analisis termogravimetrik, pembelauan sinar X, mikroskop pengimbasan elektron pancaran medan, dan teknik penyerakan tenaga sinar X. Diameter liang besar (&gt;21 nm) bagi mangkin yang disediakan dapat mengurangkan kesan pemendapan kok. Keasidan sampel meningkat daripada 2 hingga 2.6 mmol/g.cat dengan mengubah beban HSiW daripada 10 hingga 40 wt.% pada nanopartikel γ-Al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4E671F">
        <w:rPr>
          <w:rFonts w:ascii="Times New Roman" w:hAnsi="Times New Roman"/>
          <w:sz w:val="20"/>
          <w:szCs w:val="20"/>
          <w:lang w:val="ms-MY"/>
        </w:rPr>
        <w:t>O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 xml:space="preserve">3. </w:t>
      </w:r>
      <w:r w:rsidRPr="004E671F">
        <w:rPr>
          <w:rFonts w:ascii="Times New Roman" w:hAnsi="Times New Roman"/>
          <w:sz w:val="20"/>
          <w:szCs w:val="20"/>
          <w:lang w:val="ms-MY"/>
        </w:rPr>
        <w:t>Hasil akrolein tertinggi yang dicapai adalah 74.1% pada 94% penukaran gliserol terhadap mangkin W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20</w:t>
      </w:r>
      <w:r w:rsidRPr="004E671F">
        <w:rPr>
          <w:rFonts w:ascii="Times New Roman" w:hAnsi="Times New Roman"/>
          <w:sz w:val="20"/>
          <w:szCs w:val="20"/>
          <w:lang w:val="ms-MY"/>
        </w:rPr>
        <w:t>-Al bagi 10 wt.% kepekatan suapan gliserol dan 300 °C suhu tindak balas dalam masa 3 jam. Ciri-ciri gabungan fizikokimia W</w:t>
      </w:r>
      <w:r w:rsidRPr="004E671F">
        <w:rPr>
          <w:rFonts w:ascii="Times New Roman" w:hAnsi="Times New Roman"/>
          <w:sz w:val="20"/>
          <w:szCs w:val="20"/>
          <w:vertAlign w:val="subscript"/>
          <w:lang w:val="ms-MY"/>
        </w:rPr>
        <w:t>20</w:t>
      </w:r>
      <w:r w:rsidRPr="004E671F">
        <w:rPr>
          <w:rFonts w:ascii="Times New Roman" w:hAnsi="Times New Roman"/>
          <w:sz w:val="20"/>
          <w:szCs w:val="20"/>
          <w:lang w:val="ms-MY"/>
        </w:rPr>
        <w:t xml:space="preserve">-Al menjadikannya lebih unggul berbanding sampel lain dalam kajian semasa. </w:t>
      </w:r>
    </w:p>
    <w:p w:rsidR="004E671F" w:rsidRPr="004E671F" w:rsidRDefault="004E671F" w:rsidP="004E671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4E671F" w:rsidRPr="004E671F" w:rsidRDefault="004E671F" w:rsidP="004E671F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4E671F">
        <w:rPr>
          <w:rFonts w:ascii="Times New Roman" w:hAnsi="Times New Roman"/>
          <w:b/>
          <w:sz w:val="20"/>
          <w:szCs w:val="20"/>
          <w:lang w:val="ms-MY"/>
        </w:rPr>
        <w:t>Kata kunci:  a</w:t>
      </w:r>
      <w:r w:rsidRPr="004E671F">
        <w:rPr>
          <w:rFonts w:ascii="Times New Roman" w:hAnsi="Times New Roman"/>
          <w:bCs/>
          <w:sz w:val="20"/>
          <w:szCs w:val="20"/>
          <w:lang w:val="ms-MY"/>
        </w:rPr>
        <w:t>krolein, penyahhidratan, gliserol, asid silikotungstik disokong</w:t>
      </w:r>
    </w:p>
    <w:p w:rsidR="004E671F" w:rsidRPr="004E671F" w:rsidRDefault="004E671F" w:rsidP="004E671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4E671F" w:rsidRPr="00F447A7" w:rsidRDefault="004E671F" w:rsidP="004E671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4E671F" w:rsidRPr="004E671F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Liu, L., Ye, X. P. and Bozell, J. J. (2012).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A comparative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review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petroleum-based and bio-based acrolein production. </w:t>
      </w:r>
      <w:r w:rsidRPr="00625154">
        <w:rPr>
          <w:rFonts w:ascii="Times New Roman" w:hAnsi="Times New Roman"/>
          <w:i/>
          <w:sz w:val="20"/>
          <w:szCs w:val="20"/>
        </w:rPr>
        <w:t>ChemSusChem</w:t>
      </w:r>
      <w:r w:rsidRPr="00625154">
        <w:rPr>
          <w:rFonts w:ascii="Times New Roman" w:hAnsi="Times New Roman"/>
          <w:sz w:val="20"/>
          <w:szCs w:val="20"/>
        </w:rPr>
        <w:t>, 5(7): 1162 – 1180.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lastRenderedPageBreak/>
        <w:t xml:space="preserve">Talebian-Kiakalaieh, A., Amin, N. A. S. and Hezaveh, H. (2014).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Glycerol for renewable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acrolein production by catalytic dehydration. </w:t>
      </w:r>
      <w:r w:rsidRPr="00625154">
        <w:rPr>
          <w:rFonts w:ascii="Times New Roman" w:hAnsi="Times New Roman"/>
          <w:i/>
          <w:iCs/>
          <w:sz w:val="20"/>
          <w:szCs w:val="20"/>
        </w:rPr>
        <w:t>Renewable and Sustainable Energy Reviews</w:t>
      </w:r>
      <w:r w:rsidRPr="00625154">
        <w:rPr>
          <w:rFonts w:ascii="Times New Roman" w:hAnsi="Times New Roman"/>
          <w:sz w:val="20"/>
          <w:szCs w:val="20"/>
        </w:rPr>
        <w:t>, 40: 28 – 59.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Tan, H.W., Aziz, A. R. A. and Aroua, M. K. (2013). Glycerol production and its applications as a raw material: A review. </w:t>
      </w:r>
      <w:r w:rsidRPr="00625154">
        <w:rPr>
          <w:rFonts w:ascii="Times New Roman" w:hAnsi="Times New Roman"/>
          <w:i/>
          <w:iCs/>
          <w:sz w:val="20"/>
          <w:szCs w:val="20"/>
        </w:rPr>
        <w:t>Renewable and Sustainable Energy Reviews</w:t>
      </w:r>
      <w:r w:rsidRPr="00625154">
        <w:rPr>
          <w:rFonts w:ascii="Times New Roman" w:hAnsi="Times New Roman"/>
          <w:sz w:val="20"/>
          <w:szCs w:val="20"/>
        </w:rPr>
        <w:t>. 27: 118 – 127.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Yadav, G. D., Chandan, P. A. and Gopalaswami, N. (2012).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Green ethe</w:t>
      </w:r>
      <w:r>
        <w:rPr>
          <w:rFonts w:ascii="Times New Roman" w:hAnsi="Times New Roman"/>
          <w:sz w:val="20"/>
          <w:szCs w:val="20"/>
        </w:rPr>
        <w:t>rification of bioglycerol with 1</w:t>
      </w:r>
      <w:r w:rsidRPr="00625154">
        <w:rPr>
          <w:rFonts w:ascii="Times New Roman" w:hAnsi="Times New Roman"/>
          <w:sz w:val="20"/>
          <w:szCs w:val="20"/>
        </w:rPr>
        <w:t xml:space="preserve">-phenyl ethanol over supported heteropolyacid. </w:t>
      </w:r>
      <w:r w:rsidRPr="00625154">
        <w:rPr>
          <w:rFonts w:ascii="Times New Roman" w:hAnsi="Times New Roman"/>
          <w:i/>
          <w:iCs/>
          <w:sz w:val="20"/>
          <w:szCs w:val="20"/>
        </w:rPr>
        <w:t>Clean Technologies and Environmental Policy,</w:t>
      </w:r>
      <w:r w:rsidRPr="00625154">
        <w:rPr>
          <w:rFonts w:ascii="Times New Roman" w:hAnsi="Times New Roman"/>
          <w:sz w:val="20"/>
          <w:szCs w:val="20"/>
        </w:rPr>
        <w:t xml:space="preserve"> 14(1): 85 – 95.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  <w:lang w:val="fr-FR"/>
        </w:rPr>
        <w:t xml:space="preserve">Garcia,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J.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I.,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Garcia-Marin,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H.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and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Pires,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E.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(2014).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Glycerol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based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solvents: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synthesis,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properties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and applications. </w:t>
      </w:r>
      <w:r w:rsidRPr="00625154">
        <w:rPr>
          <w:rFonts w:ascii="Times New Roman" w:hAnsi="Times New Roman"/>
          <w:i/>
          <w:iCs/>
          <w:sz w:val="20"/>
          <w:szCs w:val="20"/>
        </w:rPr>
        <w:t>Green Chemistry</w:t>
      </w:r>
      <w:r w:rsidRPr="00625154">
        <w:rPr>
          <w:rFonts w:ascii="Times New Roman" w:hAnsi="Times New Roman"/>
          <w:sz w:val="20"/>
          <w:szCs w:val="20"/>
        </w:rPr>
        <w:t>, 16: 1007 – 1033.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Thomas, J. M. (2014).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Heterogeneous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catalysis and the challenges of powering the planet, securing chemicals for civilised life, and clean efficient utilization of renewable feedstocks. </w:t>
      </w:r>
      <w:r w:rsidRPr="00625154">
        <w:rPr>
          <w:rFonts w:ascii="Times New Roman" w:hAnsi="Times New Roman"/>
          <w:i/>
          <w:iCs/>
          <w:sz w:val="20"/>
          <w:szCs w:val="20"/>
        </w:rPr>
        <w:t>ChemSusChem</w:t>
      </w:r>
      <w:r w:rsidRPr="00625154">
        <w:rPr>
          <w:rFonts w:ascii="Times New Roman" w:hAnsi="Times New Roman"/>
          <w:sz w:val="20"/>
          <w:szCs w:val="20"/>
        </w:rPr>
        <w:t>, 7(7): 1801 – 1832.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Katryniok, B., Paul, S., Capron, M., Belliere-Baca, V., Rey, P. and Dumeignil, F. (2012). Regeneration of silica-supported silicotungstic acid as a catalyst for the dehydration of glycerol. </w:t>
      </w:r>
      <w:r w:rsidRPr="00625154">
        <w:rPr>
          <w:rFonts w:ascii="Times New Roman" w:hAnsi="Times New Roman"/>
          <w:i/>
          <w:iCs/>
          <w:sz w:val="20"/>
          <w:szCs w:val="20"/>
        </w:rPr>
        <w:t>ChemSusChem</w:t>
      </w:r>
      <w:r w:rsidRPr="00625154">
        <w:rPr>
          <w:rFonts w:ascii="Times New Roman" w:hAnsi="Times New Roman"/>
          <w:sz w:val="20"/>
          <w:szCs w:val="20"/>
        </w:rPr>
        <w:t>, 5 (5): 1298 – 1306.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Kang, T. H., Choi, J. H., Bang, Y., Yoo, J., Song, J. H., Joe, W., Choi, J. S. and Song. I. K. (2015). Dehydration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glycerin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acrolein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 over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H</w:t>
      </w:r>
      <w:r w:rsidRPr="00625154">
        <w:rPr>
          <w:rFonts w:ascii="Times New Roman" w:hAnsi="Times New Roman"/>
          <w:sz w:val="20"/>
          <w:szCs w:val="20"/>
          <w:vertAlign w:val="subscript"/>
        </w:rPr>
        <w:t>3</w:t>
      </w:r>
      <w:r w:rsidRPr="00625154">
        <w:rPr>
          <w:rFonts w:ascii="Times New Roman" w:hAnsi="Times New Roman"/>
          <w:sz w:val="20"/>
          <w:szCs w:val="20"/>
        </w:rPr>
        <w:t>PW</w:t>
      </w:r>
      <w:r w:rsidRPr="00625154">
        <w:rPr>
          <w:rFonts w:ascii="Times New Roman" w:hAnsi="Times New Roman"/>
          <w:sz w:val="20"/>
          <w:szCs w:val="20"/>
          <w:vertAlign w:val="subscript"/>
        </w:rPr>
        <w:t>12</w:t>
      </w:r>
      <w:r w:rsidRPr="00625154">
        <w:rPr>
          <w:rFonts w:ascii="Times New Roman" w:hAnsi="Times New Roman"/>
          <w:sz w:val="20"/>
          <w:szCs w:val="20"/>
        </w:rPr>
        <w:t>O</w:t>
      </w:r>
      <w:r w:rsidRPr="00625154">
        <w:rPr>
          <w:rFonts w:ascii="Times New Roman" w:hAnsi="Times New Roman"/>
          <w:sz w:val="20"/>
          <w:szCs w:val="20"/>
          <w:vertAlign w:val="subscript"/>
        </w:rPr>
        <w:t>40</w:t>
      </w:r>
      <w:r w:rsidRPr="006251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heteropolyacid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catalyst supported on silica-alumina.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i/>
          <w:iCs/>
          <w:sz w:val="20"/>
          <w:szCs w:val="20"/>
        </w:rPr>
        <w:t xml:space="preserve">Journal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25154">
        <w:rPr>
          <w:rFonts w:ascii="Times New Roman" w:hAnsi="Times New Roman"/>
          <w:i/>
          <w:iCs/>
          <w:sz w:val="20"/>
          <w:szCs w:val="20"/>
        </w:rPr>
        <w:t xml:space="preserve">of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25154">
        <w:rPr>
          <w:rFonts w:ascii="Times New Roman" w:hAnsi="Times New Roman"/>
          <w:i/>
          <w:iCs/>
          <w:sz w:val="20"/>
          <w:szCs w:val="20"/>
        </w:rPr>
        <w:t>Molecular Catalysis A: Chemistry</w:t>
      </w:r>
      <w:r w:rsidRPr="00625154">
        <w:rPr>
          <w:rFonts w:ascii="Times New Roman" w:hAnsi="Times New Roman"/>
          <w:sz w:val="20"/>
          <w:szCs w:val="20"/>
        </w:rPr>
        <w:t>, 396: 282 – 289.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Ma,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T.,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Yun,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Z.,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Xu, W.,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Chen, L.,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Li,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L.,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Ding, J.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Shao. R. (2016).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Pd-H</w:t>
      </w:r>
      <w:r w:rsidRPr="00625154">
        <w:rPr>
          <w:rFonts w:ascii="Times New Roman" w:hAnsi="Times New Roman"/>
          <w:sz w:val="20"/>
          <w:szCs w:val="20"/>
          <w:vertAlign w:val="subscript"/>
        </w:rPr>
        <w:t>3</w:t>
      </w:r>
      <w:r w:rsidRPr="00625154">
        <w:rPr>
          <w:rFonts w:ascii="Times New Roman" w:hAnsi="Times New Roman"/>
          <w:sz w:val="20"/>
          <w:szCs w:val="20"/>
        </w:rPr>
        <w:t>PW</w:t>
      </w:r>
      <w:r w:rsidRPr="00625154">
        <w:rPr>
          <w:rFonts w:ascii="Times New Roman" w:hAnsi="Times New Roman"/>
          <w:sz w:val="20"/>
          <w:szCs w:val="20"/>
          <w:vertAlign w:val="subscript"/>
        </w:rPr>
        <w:t>12</w:t>
      </w:r>
      <w:r w:rsidRPr="00625154">
        <w:rPr>
          <w:rFonts w:ascii="Times New Roman" w:hAnsi="Times New Roman"/>
          <w:sz w:val="20"/>
          <w:szCs w:val="20"/>
        </w:rPr>
        <w:t>O</w:t>
      </w:r>
      <w:r w:rsidRPr="00625154">
        <w:rPr>
          <w:rFonts w:ascii="Times New Roman" w:hAnsi="Times New Roman"/>
          <w:sz w:val="20"/>
          <w:szCs w:val="20"/>
          <w:vertAlign w:val="subscript"/>
        </w:rPr>
        <w:t>40</w:t>
      </w:r>
      <w:r w:rsidRPr="00625154">
        <w:rPr>
          <w:rFonts w:ascii="Times New Roman" w:hAnsi="Times New Roman"/>
          <w:sz w:val="20"/>
          <w:szCs w:val="20"/>
        </w:rPr>
        <w:t xml:space="preserve">/Zr-MCM-41: An efficient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catalyst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the sustainable dehydration of glycerol to acrolein. </w:t>
      </w:r>
      <w:r w:rsidRPr="00625154">
        <w:rPr>
          <w:rFonts w:ascii="Times New Roman" w:hAnsi="Times New Roman"/>
          <w:i/>
          <w:iCs/>
          <w:sz w:val="20"/>
          <w:szCs w:val="20"/>
        </w:rPr>
        <w:t>Chemical Engineering Journal</w:t>
      </w:r>
      <w:r w:rsidRPr="00625154">
        <w:rPr>
          <w:rFonts w:ascii="Times New Roman" w:hAnsi="Times New Roman"/>
          <w:sz w:val="20"/>
          <w:szCs w:val="20"/>
        </w:rPr>
        <w:t>, 294: 343 – 352.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Costa, B. O. D., Peralta, M. A. and Querini, C. A. (2014). Gas phase dehydration of glycerol over, lanthanum-modified beta-zeolite. </w:t>
      </w:r>
      <w:r w:rsidRPr="00625154">
        <w:rPr>
          <w:rFonts w:ascii="Times New Roman" w:hAnsi="Times New Roman"/>
          <w:i/>
          <w:iCs/>
          <w:sz w:val="20"/>
          <w:szCs w:val="20"/>
        </w:rPr>
        <w:t>Applied Catalysis A: General</w:t>
      </w:r>
      <w:r w:rsidRPr="00625154">
        <w:rPr>
          <w:rFonts w:ascii="Times New Roman" w:hAnsi="Times New Roman"/>
          <w:sz w:val="20"/>
          <w:szCs w:val="20"/>
        </w:rPr>
        <w:t>, 472: 53 – 63.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>Park,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H.,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Yun, Y.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S.,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Kim, T. Y.,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Lee, K. R.,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Baek, J.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Yi. J.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(2015).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Kinetics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dehydration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glycerol over acid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catalysts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with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investigation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deactivation mechanism by coke. </w:t>
      </w:r>
      <w:r w:rsidRPr="00625154">
        <w:rPr>
          <w:rFonts w:ascii="Times New Roman" w:hAnsi="Times New Roman"/>
          <w:i/>
          <w:iCs/>
          <w:sz w:val="20"/>
          <w:szCs w:val="20"/>
        </w:rPr>
        <w:t>Applied Catalysis B: Environment</w:t>
      </w:r>
      <w:r w:rsidRPr="00625154">
        <w:rPr>
          <w:rFonts w:ascii="Times New Roman" w:hAnsi="Times New Roman"/>
          <w:sz w:val="20"/>
          <w:szCs w:val="20"/>
        </w:rPr>
        <w:t>, 176: 1 – 10.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Estevez, R., Lopez-Pedrajas, S., Blanco-Bonilla, F., Luna, D. and Bautista, F. M. (2015). Production of acrolein from glycerol in liquid phase on heterogeneous catalysts. </w:t>
      </w:r>
      <w:r w:rsidRPr="00625154">
        <w:rPr>
          <w:rFonts w:ascii="Times New Roman" w:hAnsi="Times New Roman"/>
          <w:i/>
          <w:iCs/>
          <w:sz w:val="20"/>
          <w:szCs w:val="20"/>
        </w:rPr>
        <w:t>Chemical Engineering Journal</w:t>
      </w:r>
      <w:r w:rsidRPr="00625154">
        <w:rPr>
          <w:rFonts w:ascii="Times New Roman" w:hAnsi="Times New Roman"/>
          <w:sz w:val="20"/>
          <w:szCs w:val="20"/>
        </w:rPr>
        <w:t>, 282: 179 – 186.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Garcia-Sancho, J. A. C. C., Merida-Robles, J. M. M., Gonzalez, J. S., Moreno-Tost, R. and Maireles-Torres, P. (2016).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WO</w:t>
      </w:r>
      <w:r w:rsidRPr="00625154">
        <w:rPr>
          <w:rFonts w:ascii="Times New Roman" w:hAnsi="Times New Roman"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supported on Zr doped mesoporous SBA-15 silica for glycerol dehydration to acrolein. </w:t>
      </w:r>
      <w:r w:rsidRPr="00625154">
        <w:rPr>
          <w:rFonts w:ascii="Times New Roman" w:hAnsi="Times New Roman"/>
          <w:i/>
          <w:iCs/>
          <w:sz w:val="20"/>
          <w:szCs w:val="20"/>
        </w:rPr>
        <w:t>Applied Catalysis A: General</w:t>
      </w:r>
      <w:r w:rsidRPr="00625154">
        <w:rPr>
          <w:rFonts w:ascii="Times New Roman" w:hAnsi="Times New Roman"/>
          <w:sz w:val="20"/>
          <w:szCs w:val="20"/>
        </w:rPr>
        <w:t>, 516: 30 – 40.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Feng, X., Yao, Y., Su, Q., Zhao, L., Jiang, W., Ji, W. and Au. C. (2015). Vanadium pyrophosphate oxides: The role of preparation chemistry in determining renewable acrolein production from glycerol dehydration. </w:t>
      </w:r>
      <w:r w:rsidRPr="00625154">
        <w:rPr>
          <w:rFonts w:ascii="Times New Roman" w:hAnsi="Times New Roman"/>
          <w:i/>
          <w:iCs/>
          <w:sz w:val="20"/>
          <w:szCs w:val="20"/>
        </w:rPr>
        <w:t>Applied Catalysis B: Environment</w:t>
      </w:r>
      <w:r w:rsidRPr="00625154">
        <w:rPr>
          <w:rFonts w:ascii="Times New Roman" w:hAnsi="Times New Roman"/>
          <w:sz w:val="20"/>
          <w:szCs w:val="20"/>
        </w:rPr>
        <w:t>, 164: 31 – 39.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Tao, L. Z.,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Chai, L. H.,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Zuo, Y.,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Zheng, W. T.,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Liang, Y.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Xu, B. Q. (2010).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Sustainable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production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of acrolein: Acidic binary metal oxide catalysts for gas-phase dehydration of glycerol. </w:t>
      </w:r>
      <w:r w:rsidRPr="00625154">
        <w:rPr>
          <w:rFonts w:ascii="Times New Roman" w:hAnsi="Times New Roman"/>
          <w:i/>
          <w:iCs/>
          <w:sz w:val="20"/>
          <w:szCs w:val="20"/>
        </w:rPr>
        <w:t>Catalysis Today</w:t>
      </w:r>
      <w:r w:rsidRPr="00625154">
        <w:rPr>
          <w:rFonts w:ascii="Times New Roman" w:hAnsi="Times New Roman"/>
          <w:sz w:val="20"/>
          <w:szCs w:val="20"/>
        </w:rPr>
        <w:t>, 158: 310 – 316.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>Atia, H.,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Armbruster, H.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Martin, A.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(2008).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Dehydration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glycerol in gas phase using heteropolyacid catalysts as active compounds. </w:t>
      </w:r>
      <w:r w:rsidRPr="00625154">
        <w:rPr>
          <w:rFonts w:ascii="Times New Roman" w:hAnsi="Times New Roman"/>
          <w:i/>
          <w:iCs/>
          <w:sz w:val="20"/>
          <w:szCs w:val="20"/>
        </w:rPr>
        <w:t>Journal of Catalysis</w:t>
      </w:r>
      <w:r w:rsidRPr="00625154">
        <w:rPr>
          <w:rFonts w:ascii="Times New Roman" w:hAnsi="Times New Roman"/>
          <w:sz w:val="20"/>
          <w:szCs w:val="20"/>
        </w:rPr>
        <w:t>, 258: 71 – 82.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  <w:lang w:val="fr-FR"/>
        </w:rPr>
        <w:t xml:space="preserve">Stosic, </w:t>
      </w:r>
      <w:r>
        <w:rPr>
          <w:rFonts w:ascii="Times New Roman" w:hAnsi="Times New Roman"/>
          <w:sz w:val="20"/>
          <w:szCs w:val="20"/>
          <w:lang w:val="fr-FR"/>
        </w:rPr>
        <w:t xml:space="preserve"> D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Bennici,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S.,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Sirotin,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S.,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Calais,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C.,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Couturier,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J.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L.,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Dubois,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J.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L.,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Travert, </w:t>
      </w:r>
      <w:r>
        <w:rPr>
          <w:rFonts w:ascii="Times New Roman" w:hAnsi="Times New Roman"/>
          <w:sz w:val="20"/>
          <w:szCs w:val="20"/>
          <w:lang w:val="fr-FR"/>
        </w:rPr>
        <w:t xml:space="preserve"> 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A.,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Auroux,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A.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(2012). </w:t>
      </w:r>
      <w:r>
        <w:rPr>
          <w:rFonts w:ascii="Times New Roman" w:hAnsi="Times New Roman"/>
          <w:sz w:val="20"/>
          <w:szCs w:val="20"/>
          <w:lang w:val="fr-FR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Glycerol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dehydration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over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>calcium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phosphate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 catalysts: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625154">
        <w:rPr>
          <w:rFonts w:ascii="Times New Roman" w:hAnsi="Times New Roman"/>
          <w:sz w:val="20"/>
          <w:szCs w:val="20"/>
        </w:rPr>
        <w:t xml:space="preserve">Effect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acidic–basic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features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catalytic performance. </w:t>
      </w:r>
      <w:r w:rsidRPr="00625154">
        <w:rPr>
          <w:rFonts w:ascii="Times New Roman" w:hAnsi="Times New Roman"/>
          <w:i/>
          <w:iCs/>
          <w:sz w:val="20"/>
          <w:szCs w:val="20"/>
        </w:rPr>
        <w:t>Applied Catalysis A: General</w:t>
      </w:r>
      <w:r w:rsidRPr="00625154">
        <w:rPr>
          <w:rFonts w:ascii="Times New Roman" w:hAnsi="Times New Roman"/>
          <w:sz w:val="20"/>
          <w:szCs w:val="20"/>
        </w:rPr>
        <w:t>, 447: 124 – 134.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Gu, Y., Cui, N., Yu, Q., Li, C. and Cui, Q. (2012). Study on the influence of channel structure properties in the dehydration of glycerol to acrolein over H-zeolite catalysts. </w:t>
      </w:r>
      <w:r w:rsidRPr="00625154">
        <w:rPr>
          <w:rFonts w:ascii="Times New Roman" w:hAnsi="Times New Roman"/>
          <w:i/>
          <w:iCs/>
          <w:sz w:val="20"/>
          <w:szCs w:val="20"/>
        </w:rPr>
        <w:t>Applied Catalysis A: General</w:t>
      </w:r>
      <w:r w:rsidRPr="00625154">
        <w:rPr>
          <w:rFonts w:ascii="Times New Roman" w:hAnsi="Times New Roman"/>
          <w:sz w:val="20"/>
          <w:szCs w:val="20"/>
        </w:rPr>
        <w:t>, 429: 9 – 16.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Alhanash,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Kozhevnikova,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E. F.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Kozhevnikov,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I. V.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(2010).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Gas-phase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dehydration of glycerol to acrolein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catalysed by caesiumheteropoly salt. </w:t>
      </w:r>
      <w:r w:rsidRPr="00625154">
        <w:rPr>
          <w:rFonts w:ascii="Times New Roman" w:hAnsi="Times New Roman"/>
          <w:i/>
          <w:iCs/>
          <w:sz w:val="20"/>
          <w:szCs w:val="20"/>
        </w:rPr>
        <w:t>Applied Catalysis A: General</w:t>
      </w:r>
      <w:r w:rsidRPr="00625154">
        <w:rPr>
          <w:rFonts w:ascii="Times New Roman" w:hAnsi="Times New Roman"/>
          <w:sz w:val="20"/>
          <w:szCs w:val="20"/>
        </w:rPr>
        <w:t>, 378: 11 – 18.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Haider, M. H., Dummer, N. F., Zhang, D., Miedziak, P., Davies, T. E., Taylor, S. H., Willock, D. J., Knight, D. W., Chadwick, D.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Hutchings,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G. H.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(2012).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Rubidium-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caesium-doped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silicotungstic acid catalysts supported on alumina for the catalytic dehydration of glycerol to acrolein. </w:t>
      </w:r>
      <w:r w:rsidRPr="00625154">
        <w:rPr>
          <w:rFonts w:ascii="Times New Roman" w:hAnsi="Times New Roman"/>
          <w:i/>
          <w:iCs/>
          <w:sz w:val="20"/>
          <w:szCs w:val="20"/>
        </w:rPr>
        <w:t>Journal of Catalysis</w:t>
      </w:r>
      <w:r w:rsidRPr="00625154">
        <w:rPr>
          <w:rFonts w:ascii="Times New Roman" w:hAnsi="Times New Roman"/>
          <w:sz w:val="20"/>
          <w:szCs w:val="20"/>
        </w:rPr>
        <w:t>, 286: 206 – 213.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Yun, D., Kim, T. Y., Park, D. S., Yun, Y. S., Han, J. W. and Yi, J. (2014). A tailored catalyst for the sustainable conversion of glycerol to acrolein: Mechanistic aspect of sequential dehydration. </w:t>
      </w:r>
      <w:r w:rsidRPr="00625154">
        <w:rPr>
          <w:rFonts w:ascii="Times New Roman" w:hAnsi="Times New Roman"/>
          <w:i/>
          <w:iCs/>
          <w:sz w:val="20"/>
          <w:szCs w:val="20"/>
        </w:rPr>
        <w:t>ChemSusChem</w:t>
      </w:r>
      <w:r w:rsidRPr="00625154">
        <w:rPr>
          <w:rFonts w:ascii="Times New Roman" w:hAnsi="Times New Roman"/>
          <w:sz w:val="20"/>
          <w:szCs w:val="20"/>
        </w:rPr>
        <w:t>, 7(8): 2193 – 2201.</w:t>
      </w:r>
    </w:p>
    <w:p w:rsidR="004E671F" w:rsidRPr="004E671F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Atia,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H.,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Armbruster,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U.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Martin,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(2011).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 Influence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alkaline metal on performance of supported silicotungstic acid catalysts in glycerol dehydration towards acrolein</w:t>
      </w:r>
      <w:r w:rsidRPr="00625154">
        <w:rPr>
          <w:rFonts w:ascii="Times New Roman" w:hAnsi="Times New Roman"/>
          <w:i/>
          <w:iCs/>
          <w:sz w:val="20"/>
          <w:szCs w:val="20"/>
        </w:rPr>
        <w:t>. Applied Catalysis A. General</w:t>
      </w:r>
      <w:r w:rsidRPr="00625154">
        <w:rPr>
          <w:rFonts w:ascii="Times New Roman" w:hAnsi="Times New Roman"/>
          <w:sz w:val="20"/>
          <w:szCs w:val="20"/>
        </w:rPr>
        <w:t>, 393: 331 – 339.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Said, A. E. A., El-Wahab, M. M. M. A. and Alian. A. M. (2007).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Catalytic performance of Brønsted acid sites during esterification of acetic acid with ethyl alcohol over phosphotungestic acid supported on silica. </w:t>
      </w:r>
      <w:r w:rsidRPr="00625154">
        <w:rPr>
          <w:rFonts w:ascii="Times New Roman" w:hAnsi="Times New Roman"/>
          <w:i/>
          <w:iCs/>
          <w:sz w:val="20"/>
          <w:szCs w:val="20"/>
        </w:rPr>
        <w:t>Journal of Chemical Technology and Biotechnology,</w:t>
      </w:r>
      <w:r w:rsidRPr="00625154">
        <w:rPr>
          <w:rFonts w:ascii="Times New Roman" w:hAnsi="Times New Roman"/>
          <w:sz w:val="20"/>
          <w:szCs w:val="20"/>
        </w:rPr>
        <w:t xml:space="preserve"> 82: 513 – 523. 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Katryniok, B.,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Paul, S.,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Capron, M.,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Lancelot, C.,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Bellere-Beca, V., Rey, P.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Dumeignil, F. A.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(2010). A long-life catalyst for glycerol dehydration to acrolein. </w:t>
      </w:r>
      <w:r w:rsidRPr="00625154">
        <w:rPr>
          <w:rFonts w:ascii="Times New Roman" w:hAnsi="Times New Roman"/>
          <w:i/>
          <w:iCs/>
          <w:sz w:val="20"/>
          <w:szCs w:val="20"/>
        </w:rPr>
        <w:t>Green Chemistry</w:t>
      </w:r>
      <w:r w:rsidRPr="00625154">
        <w:rPr>
          <w:rFonts w:ascii="Times New Roman" w:hAnsi="Times New Roman"/>
          <w:sz w:val="20"/>
          <w:szCs w:val="20"/>
        </w:rPr>
        <w:t>, 12: 1922 – 1925.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Badday, A. S., Abdullah, A. Z. and Lee, K. (2013). Ultrasound-assisted transesterification of crude Jatropha oil using alumina-supported heteropolyacid catalyst. </w:t>
      </w:r>
      <w:r w:rsidRPr="00625154">
        <w:rPr>
          <w:rFonts w:ascii="Times New Roman" w:hAnsi="Times New Roman"/>
          <w:i/>
          <w:iCs/>
          <w:sz w:val="20"/>
          <w:szCs w:val="20"/>
        </w:rPr>
        <w:t>Applied Energy</w:t>
      </w:r>
      <w:r w:rsidRPr="00625154">
        <w:rPr>
          <w:rFonts w:ascii="Times New Roman" w:hAnsi="Times New Roman"/>
          <w:sz w:val="20"/>
          <w:szCs w:val="20"/>
        </w:rPr>
        <w:t>, 105: 380 – 388.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  <w:lang w:val="fr-FR"/>
        </w:rPr>
        <w:t xml:space="preserve">Hernández-Cortez,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J. G.,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Martinez,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L., Soto, L., López, A., Navarrete, J. and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Manríquez, M. 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625154">
        <w:rPr>
          <w:rFonts w:ascii="Times New Roman" w:hAnsi="Times New Roman"/>
          <w:sz w:val="20"/>
          <w:szCs w:val="20"/>
          <w:lang w:val="fr-FR"/>
        </w:rPr>
        <w:t xml:space="preserve">(2010). </w:t>
      </w:r>
      <w:r w:rsidRPr="00625154">
        <w:rPr>
          <w:rFonts w:ascii="Times New Roman" w:hAnsi="Times New Roman"/>
          <w:sz w:val="20"/>
          <w:szCs w:val="20"/>
        </w:rPr>
        <w:t xml:space="preserve">Liquid phase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alkylation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benzene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with dec-1-ene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catalyzed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supported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12-tungstophosphoric acid.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i/>
          <w:iCs/>
          <w:sz w:val="20"/>
          <w:szCs w:val="20"/>
        </w:rPr>
        <w:t>Catalysis Today</w:t>
      </w:r>
      <w:r w:rsidRPr="00625154">
        <w:rPr>
          <w:rFonts w:ascii="Times New Roman" w:hAnsi="Times New Roman"/>
          <w:sz w:val="20"/>
          <w:szCs w:val="20"/>
        </w:rPr>
        <w:t>, 150: 346 – 352.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Shringarpure,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P. A.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Patel,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(2011).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Supported undecatungstophosphate: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efficient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recyclable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bi-functional catalyst for esterification of alcohols as well as selective oxidation of styrene. </w:t>
      </w:r>
      <w:r w:rsidRPr="00625154">
        <w:rPr>
          <w:rFonts w:ascii="Times New Roman" w:hAnsi="Times New Roman"/>
          <w:i/>
          <w:iCs/>
          <w:sz w:val="20"/>
          <w:szCs w:val="20"/>
        </w:rPr>
        <w:t>Chemical Engineering Journal</w:t>
      </w:r>
      <w:r w:rsidRPr="00625154">
        <w:rPr>
          <w:rFonts w:ascii="Times New Roman" w:hAnsi="Times New Roman"/>
          <w:sz w:val="20"/>
          <w:szCs w:val="20"/>
        </w:rPr>
        <w:t>, 173: 612 – 619.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>Hondnett,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B. H.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Moffat,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J. B.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(1984). Application of temperature-programmed desorption to the study of heteropoly compounds: Desorption of water and pyridine. </w:t>
      </w:r>
      <w:r w:rsidRPr="00625154">
        <w:rPr>
          <w:rFonts w:ascii="Times New Roman" w:hAnsi="Times New Roman"/>
          <w:i/>
          <w:iCs/>
          <w:sz w:val="20"/>
          <w:szCs w:val="20"/>
        </w:rPr>
        <w:t>Journal of Catalysis</w:t>
      </w:r>
      <w:r w:rsidRPr="00625154">
        <w:rPr>
          <w:rFonts w:ascii="Times New Roman" w:hAnsi="Times New Roman"/>
          <w:sz w:val="20"/>
          <w:szCs w:val="20"/>
        </w:rPr>
        <w:t>, 88: 253 – 263.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Pizzio, L. R.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Blanco,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M. N.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(2007).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contribution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to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physicochemical characterization of nonstoi</w:t>
      </w:r>
      <w:r>
        <w:rPr>
          <w:rFonts w:ascii="Times New Roman" w:hAnsi="Times New Roman"/>
          <w:sz w:val="20"/>
          <w:szCs w:val="20"/>
        </w:rPr>
        <w:t>-</w:t>
      </w:r>
      <w:r w:rsidRPr="00625154">
        <w:rPr>
          <w:rFonts w:ascii="Times New Roman" w:hAnsi="Times New Roman"/>
          <w:sz w:val="20"/>
          <w:szCs w:val="20"/>
        </w:rPr>
        <w:t xml:space="preserve">chiometric salts of tungstosilicic acid. </w:t>
      </w:r>
      <w:r w:rsidRPr="00625154">
        <w:rPr>
          <w:rFonts w:ascii="Times New Roman" w:hAnsi="Times New Roman"/>
          <w:i/>
          <w:iCs/>
          <w:sz w:val="20"/>
          <w:szCs w:val="20"/>
        </w:rPr>
        <w:t>Microporous Mesoporous Materials</w:t>
      </w:r>
      <w:r w:rsidRPr="00625154">
        <w:rPr>
          <w:rFonts w:ascii="Times New Roman" w:hAnsi="Times New Roman"/>
          <w:sz w:val="20"/>
          <w:szCs w:val="20"/>
        </w:rPr>
        <w:t>, 103: 40 – 47.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>Zhu, S., Gao, X., Zhu, Y., Zhu, Y., Xiang, X., Hu, C. and Li, Y. (2013). Alkaline metals modified Pt–H</w:t>
      </w:r>
      <w:r w:rsidRPr="00625154">
        <w:rPr>
          <w:rFonts w:ascii="Times New Roman" w:hAnsi="Times New Roman"/>
          <w:sz w:val="20"/>
          <w:szCs w:val="20"/>
          <w:vertAlign w:val="subscript"/>
        </w:rPr>
        <w:t>4</w:t>
      </w:r>
      <w:r w:rsidRPr="00625154">
        <w:rPr>
          <w:rFonts w:ascii="Times New Roman" w:hAnsi="Times New Roman"/>
          <w:sz w:val="20"/>
          <w:szCs w:val="20"/>
        </w:rPr>
        <w:t>SiW</w:t>
      </w:r>
      <w:r w:rsidRPr="00625154">
        <w:rPr>
          <w:rFonts w:ascii="Times New Roman" w:hAnsi="Times New Roman"/>
          <w:sz w:val="20"/>
          <w:szCs w:val="20"/>
          <w:vertAlign w:val="subscript"/>
        </w:rPr>
        <w:t>12</w:t>
      </w:r>
      <w:r w:rsidRPr="00625154">
        <w:rPr>
          <w:rFonts w:ascii="Times New Roman" w:hAnsi="Times New Roman"/>
          <w:sz w:val="20"/>
          <w:szCs w:val="20"/>
        </w:rPr>
        <w:t>O</w:t>
      </w:r>
      <w:r w:rsidRPr="00625154">
        <w:rPr>
          <w:rFonts w:ascii="Times New Roman" w:hAnsi="Times New Roman"/>
          <w:sz w:val="20"/>
          <w:szCs w:val="20"/>
          <w:vertAlign w:val="subscript"/>
        </w:rPr>
        <w:t>40</w:t>
      </w:r>
      <w:r w:rsidRPr="00625154">
        <w:rPr>
          <w:rFonts w:ascii="Times New Roman" w:hAnsi="Times New Roman"/>
          <w:sz w:val="20"/>
          <w:szCs w:val="20"/>
        </w:rPr>
        <w:t>/ZrO</w:t>
      </w:r>
      <w:r w:rsidRPr="00625154"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catalysts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for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selective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hydrogenolysis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glycerol 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1,3-propanediol.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i/>
          <w:iCs/>
          <w:sz w:val="20"/>
          <w:szCs w:val="20"/>
        </w:rPr>
        <w:t xml:space="preserve">Applied Catalysis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25154">
        <w:rPr>
          <w:rFonts w:ascii="Times New Roman" w:hAnsi="Times New Roman"/>
          <w:i/>
          <w:iCs/>
          <w:sz w:val="20"/>
          <w:szCs w:val="20"/>
        </w:rPr>
        <w:t>B: Environment</w:t>
      </w:r>
      <w:r w:rsidRPr="00625154">
        <w:rPr>
          <w:rFonts w:ascii="Times New Roman" w:hAnsi="Times New Roman"/>
          <w:sz w:val="20"/>
          <w:szCs w:val="20"/>
        </w:rPr>
        <w:t>, 140: 60 – 67.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Zhu, S.,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Zhu, Y., Hao, S., Zheng, H., Mo, T. and Li, Y. (2012).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One-step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hydrogenolysis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glycerol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to bio</w:t>
      </w:r>
      <w:r>
        <w:rPr>
          <w:rFonts w:ascii="Times New Roman" w:hAnsi="Times New Roman"/>
          <w:sz w:val="20"/>
          <w:szCs w:val="20"/>
        </w:rPr>
        <w:t>-</w:t>
      </w:r>
      <w:r w:rsidRPr="00625154">
        <w:rPr>
          <w:rFonts w:ascii="Times New Roman" w:hAnsi="Times New Roman"/>
          <w:sz w:val="20"/>
          <w:szCs w:val="20"/>
        </w:rPr>
        <w:t>propanols over Pt–H</w:t>
      </w:r>
      <w:r w:rsidRPr="00625154">
        <w:rPr>
          <w:rFonts w:ascii="Times New Roman" w:hAnsi="Times New Roman"/>
          <w:sz w:val="20"/>
          <w:szCs w:val="20"/>
          <w:vertAlign w:val="subscript"/>
        </w:rPr>
        <w:t>4</w:t>
      </w:r>
      <w:r w:rsidRPr="00625154">
        <w:rPr>
          <w:rFonts w:ascii="Times New Roman" w:hAnsi="Times New Roman"/>
          <w:sz w:val="20"/>
          <w:szCs w:val="20"/>
        </w:rPr>
        <w:t>SiW</w:t>
      </w:r>
      <w:r w:rsidRPr="00625154">
        <w:rPr>
          <w:rFonts w:ascii="Times New Roman" w:hAnsi="Times New Roman"/>
          <w:sz w:val="20"/>
          <w:szCs w:val="20"/>
          <w:vertAlign w:val="subscript"/>
        </w:rPr>
        <w:t>12</w:t>
      </w:r>
      <w:r w:rsidRPr="00625154">
        <w:rPr>
          <w:rFonts w:ascii="Times New Roman" w:hAnsi="Times New Roman"/>
          <w:sz w:val="20"/>
          <w:szCs w:val="20"/>
        </w:rPr>
        <w:t>O</w:t>
      </w:r>
      <w:r w:rsidRPr="00625154">
        <w:rPr>
          <w:rFonts w:ascii="Times New Roman" w:hAnsi="Times New Roman"/>
          <w:sz w:val="20"/>
          <w:szCs w:val="20"/>
          <w:vertAlign w:val="subscript"/>
        </w:rPr>
        <w:t>40</w:t>
      </w:r>
      <w:r w:rsidRPr="00625154">
        <w:rPr>
          <w:rFonts w:ascii="Times New Roman" w:hAnsi="Times New Roman"/>
          <w:sz w:val="20"/>
          <w:szCs w:val="20"/>
        </w:rPr>
        <w:t>/ZrO</w:t>
      </w:r>
      <w:r w:rsidRPr="00625154">
        <w:rPr>
          <w:rFonts w:ascii="Times New Roman" w:hAnsi="Times New Roman"/>
          <w:sz w:val="20"/>
          <w:szCs w:val="20"/>
          <w:vertAlign w:val="subscript"/>
        </w:rPr>
        <w:t>2</w:t>
      </w:r>
      <w:r w:rsidRPr="00625154">
        <w:rPr>
          <w:rFonts w:ascii="Times New Roman" w:hAnsi="Times New Roman"/>
          <w:sz w:val="20"/>
          <w:szCs w:val="20"/>
        </w:rPr>
        <w:t xml:space="preserve"> catalysts. </w:t>
      </w:r>
      <w:r w:rsidRPr="00625154">
        <w:rPr>
          <w:rFonts w:ascii="Times New Roman" w:hAnsi="Times New Roman"/>
          <w:i/>
          <w:iCs/>
          <w:sz w:val="20"/>
          <w:szCs w:val="20"/>
        </w:rPr>
        <w:t>Green Chemistry</w:t>
      </w:r>
      <w:r w:rsidRPr="00625154">
        <w:rPr>
          <w:rFonts w:ascii="Times New Roman" w:hAnsi="Times New Roman"/>
          <w:sz w:val="20"/>
          <w:szCs w:val="20"/>
        </w:rPr>
        <w:t>, 14: 2607 – 2616.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>Yadav, G. D. and Tekale,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D. P.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(2014).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625154">
        <w:rPr>
          <w:rFonts w:ascii="Times New Roman" w:hAnsi="Times New Roman"/>
          <w:sz w:val="20"/>
          <w:szCs w:val="20"/>
        </w:rPr>
        <w:t xml:space="preserve">Selective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mono-isopropylation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,3-propanediol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with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isopropyl alcohol using heteropoly acid supported on K-10 clay catalyst. </w:t>
      </w:r>
      <w:r w:rsidRPr="00625154">
        <w:rPr>
          <w:rFonts w:ascii="Times New Roman" w:hAnsi="Times New Roman"/>
          <w:i/>
          <w:iCs/>
          <w:sz w:val="20"/>
          <w:szCs w:val="20"/>
        </w:rPr>
        <w:t>Catalysis Today</w:t>
      </w:r>
      <w:r w:rsidRPr="00625154">
        <w:rPr>
          <w:rFonts w:ascii="Times New Roman" w:hAnsi="Times New Roman"/>
          <w:sz w:val="20"/>
          <w:szCs w:val="20"/>
        </w:rPr>
        <w:t>, 237: 54 – 61.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>Talebian-Kiakalaieh, A., Amin, N. A. S. and Zaki, Y.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(2016).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>Gas phase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selective conversion of glycerol to acrolein over supported silicotungstic acid catalyst. </w:t>
      </w:r>
      <w:r w:rsidRPr="00625154">
        <w:rPr>
          <w:rFonts w:ascii="Times New Roman" w:hAnsi="Times New Roman"/>
          <w:i/>
          <w:iCs/>
          <w:sz w:val="20"/>
          <w:szCs w:val="20"/>
        </w:rPr>
        <w:t>Journal of Industrial Chemical Engineering</w:t>
      </w:r>
      <w:r w:rsidRPr="00625154">
        <w:rPr>
          <w:rFonts w:ascii="Times New Roman" w:hAnsi="Times New Roman"/>
          <w:sz w:val="20"/>
          <w:szCs w:val="20"/>
        </w:rPr>
        <w:t xml:space="preserve">, 34: 300 – 312.  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Kozhevnikov, I. V.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(1998).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25154">
        <w:rPr>
          <w:rFonts w:ascii="Times New Roman" w:hAnsi="Times New Roman"/>
          <w:sz w:val="20"/>
          <w:szCs w:val="20"/>
        </w:rPr>
        <w:t>Catalysis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heteropoly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 acids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5154">
        <w:rPr>
          <w:rFonts w:ascii="Times New Roman" w:hAnsi="Times New Roman"/>
          <w:sz w:val="20"/>
          <w:szCs w:val="20"/>
        </w:rPr>
        <w:t xml:space="preserve">multicomponent polyoxometalates in liquid-phase reactions. </w:t>
      </w:r>
      <w:r w:rsidRPr="00625154">
        <w:rPr>
          <w:rFonts w:ascii="Times New Roman" w:hAnsi="Times New Roman"/>
          <w:i/>
          <w:iCs/>
          <w:sz w:val="20"/>
          <w:szCs w:val="20"/>
        </w:rPr>
        <w:t>Chemical Reviews</w:t>
      </w:r>
      <w:r w:rsidRPr="00625154">
        <w:rPr>
          <w:rFonts w:ascii="Times New Roman" w:hAnsi="Times New Roman"/>
          <w:sz w:val="20"/>
          <w:szCs w:val="20"/>
        </w:rPr>
        <w:t>, 98: 171 – 198.</w:t>
      </w:r>
    </w:p>
    <w:p w:rsidR="004E671F" w:rsidRPr="00625154" w:rsidRDefault="004E671F" w:rsidP="004E671F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625154">
        <w:rPr>
          <w:rFonts w:ascii="Times New Roman" w:hAnsi="Times New Roman"/>
          <w:sz w:val="20"/>
          <w:szCs w:val="20"/>
        </w:rPr>
        <w:t xml:space="preserve">Tsukuda, E., Sato, S., Takahashi, R. and Sodesawa, T. (2007). Production of acrolein from glycerol over silica-supported heteropoly acids. </w:t>
      </w:r>
      <w:r w:rsidRPr="00625154">
        <w:rPr>
          <w:rFonts w:ascii="Times New Roman" w:hAnsi="Times New Roman"/>
          <w:i/>
          <w:iCs/>
          <w:sz w:val="20"/>
          <w:szCs w:val="20"/>
        </w:rPr>
        <w:t>Catalysis Communication</w:t>
      </w:r>
      <w:r w:rsidRPr="00625154">
        <w:rPr>
          <w:rFonts w:ascii="Times New Roman" w:hAnsi="Times New Roman"/>
          <w:sz w:val="20"/>
          <w:szCs w:val="20"/>
        </w:rPr>
        <w:t xml:space="preserve">, 8(9): 1349 – 1353. </w:t>
      </w:r>
    </w:p>
    <w:p w:rsidR="004E671F" w:rsidRPr="004E671F" w:rsidRDefault="004E671F">
      <w:pPr>
        <w:rPr>
          <w:rFonts w:ascii="Times New Roman" w:hAnsi="Times New Roman"/>
          <w:sz w:val="20"/>
          <w:szCs w:val="20"/>
        </w:rPr>
      </w:pPr>
    </w:p>
    <w:sectPr w:rsidR="004E671F" w:rsidRPr="004E671F" w:rsidSect="006C56B4">
      <w:headerReference w:type="even" r:id="rId6"/>
      <w:headerReference w:type="default" r:id="rId7"/>
      <w:footerReference w:type="even" r:id="rId8"/>
      <w:footerReference w:type="default" r:id="rId9"/>
      <w:pgSz w:w="12240" w:h="15840" w:code="1"/>
      <w:pgMar w:top="1800" w:right="1469" w:bottom="1699" w:left="1440" w:header="706" w:footer="706" w:gutter="0"/>
      <w:pgNumType w:start="84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F0" w:rsidRPr="008B5904" w:rsidRDefault="004E671F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</w:instrText>
    </w:r>
    <w:r w:rsidRPr="008B5904">
      <w:rPr>
        <w:rFonts w:ascii="Times New Roman" w:hAnsi="Times New Roman"/>
      </w:rPr>
      <w:instrText xml:space="preserve">PAGE   \* MERGEFORMAT </w:instrText>
    </w:r>
    <w:r w:rsidRPr="008B590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858</w:t>
    </w:r>
    <w:r w:rsidRPr="008B5904">
      <w:rPr>
        <w:rFonts w:ascii="Times New Roman" w:hAnsi="Times New Roman"/>
        <w:noProof/>
      </w:rPr>
      <w:fldChar w:fldCharType="end"/>
    </w:r>
  </w:p>
  <w:p w:rsidR="004D67F0" w:rsidRDefault="004E6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F0" w:rsidRPr="008B5904" w:rsidRDefault="004E671F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849</w:t>
    </w:r>
    <w:r w:rsidRPr="008B5904">
      <w:rPr>
        <w:rFonts w:ascii="Times New Roman" w:hAnsi="Times New Roman"/>
        <w:noProof/>
      </w:rPr>
      <w:fldChar w:fldCharType="end"/>
    </w:r>
  </w:p>
  <w:p w:rsidR="004D67F0" w:rsidRPr="004B43FF" w:rsidRDefault="004E671F">
    <w:pPr>
      <w:pStyle w:val="Footer"/>
      <w:rPr>
        <w:rFonts w:ascii="Times New Roman" w:hAnsi="Times New Roman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C1" w:rsidRPr="007E3CC1" w:rsidRDefault="004E671F" w:rsidP="007E3CC1">
    <w:pPr>
      <w:spacing w:after="0" w:line="240" w:lineRule="auto"/>
      <w:ind w:left="1890" w:hanging="1890"/>
      <w:outlineLvl w:val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>
      <w:rPr>
        <w:rFonts w:ascii="Times New Roman" w:hAnsi="Times New Roman"/>
        <w:sz w:val="20"/>
        <w:szCs w:val="20"/>
      </w:rPr>
      <w:t>min &amp; Nor Aishah</w:t>
    </w:r>
    <w:r w:rsidRPr="007E3CC1">
      <w:rPr>
        <w:rFonts w:ascii="Times New Roman" w:hAnsi="Times New Roman"/>
        <w:sz w:val="20"/>
        <w:szCs w:val="20"/>
      </w:rPr>
      <w:t xml:space="preserve">: </w:t>
    </w:r>
    <w:r w:rsidRPr="007E3CC1">
      <w:rPr>
        <w:rFonts w:ascii="Times New Roman" w:hAnsi="Times New Roman"/>
        <w:sz w:val="20"/>
        <w:szCs w:val="20"/>
      </w:rPr>
      <w:t xml:space="preserve"> </w:t>
    </w:r>
    <w:r w:rsidRPr="007E3CC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 w:rsidRPr="007E3CC1">
      <w:rPr>
        <w:rFonts w:ascii="Times New Roman" w:hAnsi="Times New Roman"/>
        <w:sz w:val="20"/>
        <w:szCs w:val="20"/>
      </w:rPr>
      <w:t>GAS PHASE GLYCERO</w:t>
    </w:r>
    <w:r w:rsidRPr="007E3CC1">
      <w:rPr>
        <w:rFonts w:ascii="Times New Roman" w:hAnsi="Times New Roman"/>
        <w:sz w:val="20"/>
        <w:szCs w:val="20"/>
      </w:rPr>
      <w:t xml:space="preserve">L DEHYDRATION TO ACROLEIN USING </w:t>
    </w:r>
    <w:r w:rsidRPr="007E3CC1">
      <w:rPr>
        <w:rFonts w:ascii="Times New Roman" w:hAnsi="Times New Roman"/>
        <w:sz w:val="20"/>
        <w:szCs w:val="20"/>
      </w:rPr>
      <w:t xml:space="preserve">SUPPORTED SILICOTUNGSTIC ACID CATALYST </w:t>
    </w:r>
  </w:p>
  <w:p w:rsidR="004D67F0" w:rsidRPr="00070F31" w:rsidRDefault="004E671F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F0" w:rsidRPr="00F4760B" w:rsidRDefault="004E671F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9612BC4C"/>
    <w:lvl w:ilvl="0" w:tplc="24C05D1C">
      <w:start w:val="1"/>
      <w:numFmt w:val="decimal"/>
      <w:lvlText w:val="%1."/>
      <w:lvlJc w:val="left"/>
      <w:pPr>
        <w:ind w:left="1572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1F"/>
    <w:rsid w:val="004E671F"/>
    <w:rsid w:val="00AD2130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1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71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E671F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4E671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E671F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1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71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E671F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4E671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E671F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1631</Words>
  <Characters>8828</Characters>
  <Application>Microsoft Office Word</Application>
  <DocSecurity>0</DocSecurity>
  <Lines>238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54</vt:i4>
      </vt:variant>
    </vt:vector>
  </HeadingPairs>
  <TitlesOfParts>
    <vt:vector size="55" baseType="lpstr">
      <vt:lpstr/>
      <vt:lpstr>Malaysian Journal of Analytical Sciences Vol 21 No 4 (2017): 849 - 859</vt:lpstr>
      <vt:lpstr/>
      <vt:lpstr/>
      <vt:lpstr/>
      <vt:lpstr>GAS PHASE GLYCEROL DEHYDRATION TO ACROLEIN USING SUPPORTED SILICOTUNGSTIC ACID C</vt:lpstr>
      <vt:lpstr/>
      <vt:lpstr>(Penyahhidratan Gliserol Fasa Gas Kepada Akrolein Menggunakan Sokongan Mangkin A</vt:lpstr>
      <vt:lpstr/>
      <vt:lpstr>Amin Talebian-Kiakalaieh and Nor Aishah Saidina Amin*</vt:lpstr>
      <vt:lpstr>Chemical Reaction Engineering Group (CREG), Faculty of Chemical and Energy Engin</vt:lpstr>
      <vt:lpstr>Universiti Teknologi Malaysia, 81310 Johor Bahru, Johor, Malaysia</vt:lpstr>
      <vt:lpstr>The gas phase dehydration of glycerol to acrolein over a series of supported sil</vt:lpstr>
      <vt:lpstr/>
      <vt:lpstr>Keywords:  acrolein, dehydration, glycerol, supported silicotungstic acid</vt:lpstr>
      <vt:lpstr/>
      <vt:lpstr>Abstrak</vt:lpstr>
      <vt:lpstr>Penyahhidratan gliserol fasa gas kepada akrolein dengan menggunakan satu siri as</vt:lpstr>
      <vt:lpstr/>
      <vt:lpstr>Kata kunci:  akrolein, penyahhidratan, gliserol, asid silikotungstik disokong</vt:lpstr>
      <vt:lpstr>Liu, L., Ye, X. P. and Bozell, J. J. (2012).  A comparative  review  of  petrole</vt:lpstr>
      <vt:lpstr>Talebian-Kiakalaieh, A., Amin, N. A. S. and Hezaveh, H. (2014).  Glycerol for re</vt:lpstr>
      <vt:lpstr>Tan, H.W., Aziz, A. R. A. and Aroua, M. K. (2013). Glycerol production and its a</vt:lpstr>
      <vt:lpstr>Yadav, G. D., Chandan, P. A. and Gopalaswami, N. (2012).  Green etherification o</vt:lpstr>
      <vt:lpstr>Garcia,  J.  I.,  Garcia-Marin,  H.  and  Pires,  E.  (2014).  Glycerol  based  </vt:lpstr>
      <vt:lpstr>Thomas, J. M. (2014).  Heterogeneous  catalysis and the challenges of powering t</vt:lpstr>
      <vt:lpstr>Katryniok, B., Paul, S., Capron, M., Belliere-Baca, V., Rey, P. and Dumeignil, F</vt:lpstr>
      <vt:lpstr>Kang, T. H., Choi, J. H., Bang, Y., Yoo, J., Song, J. H., Joe, W., Choi, J. S. a</vt:lpstr>
      <vt:lpstr>Ma,  T.,  Yun,  Z.,  Xu, W.,  Chen, L.,  Li,  L.,  Ding, J. and  Shao. R. (2016)</vt:lpstr>
      <vt:lpstr>Costa, B. O. D., Peralta, M. A. and Querini, C. A. (2014). Gas phase dehydration</vt:lpstr>
      <vt:lpstr>Park,  H.,  Yun, Y.  S.,  Kim, T. Y.,  Lee, K. R.,  Baek, J. and  Yi. J.  (2015)</vt:lpstr>
      <vt:lpstr>Estevez, R., Lopez-Pedrajas, S., Blanco-Bonilla, F., Luna, D. and Bautista, F. M</vt:lpstr>
      <vt:lpstr>Garcia-Sancho, J. A. C. C., Merida-Robles, J. M. M., Gonzalez, J. S., Moreno-Tos</vt:lpstr>
      <vt:lpstr>Feng, X., Yao, Y., Su, Q., Zhao, L., Jiang, W., Ji, W. and Au. C. (2015). Vanadi</vt:lpstr>
      <vt:lpstr>Tao, L. Z.,  Chai, L. H.,  Zuo, Y.,  Zheng, W. T.,  Liang, Y. and  Xu, B. Q. (20</vt:lpstr>
      <vt:lpstr>Atia, H.,  Armbruster, H. and  Martin, A.  (2008).  Dehydration  of  glycerol in</vt:lpstr>
      <vt:lpstr>Stosic,  D,  Bennici,  S.,  Sirotin,  S.,  Calais,  C.,  Couturier,  J.  L.,  Du</vt:lpstr>
      <vt:lpstr>Gu, Y., Cui, N., Yu, Q., Li, C. and Cui, Q. (2012). Study on the influence of ch</vt:lpstr>
      <vt:lpstr>Alhanash,  A.,  Kozhevnikova,  E. F.  and  Kozhevnikov,  I. V.  (2010).   Gas-ph</vt:lpstr>
      <vt:lpstr>Haider, M. H., Dummer, N. F., Zhang, D., Miedziak, P., Davies, T. E., Taylor, S.</vt:lpstr>
      <vt:lpstr>Yun, D., Kim, T. Y., Park, D. S., Yun, Y. S., Han, J. W. and Yi, J. (2014). A ta</vt:lpstr>
      <vt:lpstr>Atia,  H.,  Armbruster,  U. and  Martin,  A.  (2011).   Influence  of  alkaline </vt:lpstr>
      <vt:lpstr>Said, A. E. A., El-Wahab, M. M. M. A. and Alian. A. M. (2007).  Catalytic perfor</vt:lpstr>
      <vt:lpstr>Katryniok, B.,  Paul, S.,  Capron, M.,  Lancelot, C.,  Bellere-Beca, V., Rey, P.</vt:lpstr>
      <vt:lpstr>Badday, A. S., Abdullah, A. Z. and Lee, K. (2013). Ultrasound-assisted transeste</vt:lpstr>
      <vt:lpstr>Hernández-Cortez,  J. G.,  Martinez,  L., Soto, L., López, A., Navarrete, J. and</vt:lpstr>
      <vt:lpstr>Shringarpure,  P. A. and  Patel,  A.  (2011).   Supported undecatungstophosphate</vt:lpstr>
      <vt:lpstr>Hondnett,  B. H. and  Moffat,  J. B.  (1984). Application of temperature-program</vt:lpstr>
      <vt:lpstr>Pizzio, L. R. and  Blanco,  M. N.  (2007).  A  contribution  to  the  physicoche</vt:lpstr>
      <vt:lpstr>Zhu, S., Gao, X., Zhu, Y., Zhu, Y., Xiang, X., Hu, C. and Li, Y. (2013). Alkalin</vt:lpstr>
      <vt:lpstr>Zhu, S.,  Zhu, Y., Hao, S., Zheng, H., Mo, T. and Li, Y. (2012).  One-step  hydr</vt:lpstr>
      <vt:lpstr>Yadav, G. D. and Tekale,  D. P.  (2014).    Selective  mono-isopropylation   of </vt:lpstr>
      <vt:lpstr>Talebian-Kiakalaieh, A., Amin, N. A. S. and Zaki, Y. Z.  (2016).  Gas phase  sel</vt:lpstr>
      <vt:lpstr>Kozhevnikov, I. V.  (1998).   Catalysis  by  heteropoly  acids  and  multicompon</vt:lpstr>
      <vt:lpstr>Tsukuda, E., Sato, S., Takahashi, R. and Sodesawa, T. (2007). Production of acro</vt:lpstr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2017-07-27T16:33:00Z</dcterms:created>
  <dcterms:modified xsi:type="dcterms:W3CDTF">2017-07-27T16:37:00Z</dcterms:modified>
</cp:coreProperties>
</file>